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1.xml" ContentType="application/vnd.openxmlformats-officedocument.drawingml.chart+xml"/>
  <Override PartName="/word/theme/themeOverride11.xml" ContentType="application/vnd.openxmlformats-officedocument.themeOverride+xml"/>
  <Override PartName="/word/charts/chart22.xml" ContentType="application/vnd.openxmlformats-officedocument.drawingml.chart+xml"/>
  <Override PartName="/word/theme/themeOverride12.xml" ContentType="application/vnd.openxmlformats-officedocument.themeOverride+xml"/>
  <Override PartName="/word/charts/chart2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3.xml" ContentType="application/vnd.openxmlformats-officedocument.themeOverride+xml"/>
  <Override PartName="/word/charts/chart24.xml" ContentType="application/vnd.openxmlformats-officedocument.drawingml.chart+xml"/>
  <Override PartName="/word/theme/themeOverride14.xml" ContentType="application/vnd.openxmlformats-officedocument.themeOverrid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6.xml" ContentType="application/vnd.openxmlformats-officedocument.drawingml.chart+xml"/>
  <Override PartName="/word/theme/themeOverride15.xml" ContentType="application/vnd.openxmlformats-officedocument.themeOverride+xml"/>
  <Override PartName="/word/charts/chart27.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6.xml" ContentType="application/vnd.openxmlformats-officedocument.themeOverride+xml"/>
  <Override PartName="/word/charts/chart28.xml" ContentType="application/vnd.openxmlformats-officedocument.drawingml.chart+xml"/>
  <Override PartName="/word/theme/themeOverride17.xml" ContentType="application/vnd.openxmlformats-officedocument.themeOverride+xml"/>
  <Override PartName="/word/charts/chart29.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8.xml" ContentType="application/vnd.openxmlformats-officedocument.themeOverride+xml"/>
  <Override PartName="/word/charts/chart30.xml" ContentType="application/vnd.openxmlformats-officedocument.drawingml.chart+xml"/>
  <Override PartName="/word/theme/themeOverride19.xml" ContentType="application/vnd.openxmlformats-officedocument.themeOverride+xml"/>
  <Override PartName="/word/charts/chart3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2.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0.xml" ContentType="application/vnd.openxmlformats-officedocument.themeOverride+xml"/>
  <Override PartName="/word/charts/chart33.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1.xml" ContentType="application/vnd.openxmlformats-officedocument.themeOverride+xml"/>
  <Override PartName="/word/charts/chart34.xml" ContentType="application/vnd.openxmlformats-officedocument.drawingml.chart+xml"/>
  <Override PartName="/word/theme/themeOverride22.xml" ContentType="application/vnd.openxmlformats-officedocument.themeOverride+xml"/>
  <Override PartName="/word/charts/chart35.xml" ContentType="application/vnd.openxmlformats-officedocument.drawingml.chart+xml"/>
  <Override PartName="/word/theme/themeOverride23.xml" ContentType="application/vnd.openxmlformats-officedocument.themeOverride+xml"/>
  <Override PartName="/word/charts/chart36.xml" ContentType="application/vnd.openxmlformats-officedocument.drawingml.chart+xml"/>
  <Override PartName="/word/theme/themeOverride24.xml" ContentType="application/vnd.openxmlformats-officedocument.themeOverride+xml"/>
  <Override PartName="/word/charts/chart37.xml" ContentType="application/vnd.openxmlformats-officedocument.drawingml.chart+xml"/>
  <Override PartName="/word/theme/themeOverride25.xml" ContentType="application/vnd.openxmlformats-officedocument.themeOverride+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42.xml" ContentType="application/vnd.openxmlformats-officedocument.drawingml.chart+xml"/>
  <Override PartName="/word/theme/themeOverride26.xml" ContentType="application/vnd.openxmlformats-officedocument.themeOverride+xml"/>
  <Override PartName="/word/charts/chart43.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44.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45.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46.xml" ContentType="application/vnd.openxmlformats-officedocument.drawingml.chart+xml"/>
  <Override PartName="/word/theme/themeOverride27.xml" ContentType="application/vnd.openxmlformats-officedocument.themeOverride+xml"/>
  <Override PartName="/word/charts/chart47.xml" ContentType="application/vnd.openxmlformats-officedocument.drawingml.chart+xml"/>
  <Override PartName="/word/charts/chartEx2.xml" ContentType="application/vnd.ms-office.chartex+xml"/>
  <Override PartName="/word/charts/style20.xml" ContentType="application/vnd.ms-office.chartstyle+xml"/>
  <Override PartName="/word/charts/colors20.xml" ContentType="application/vnd.ms-office.chartcolorstyle+xml"/>
  <Override PartName="/word/charts/chart48.xml" ContentType="application/vnd.openxmlformats-officedocument.drawingml.chart+xml"/>
  <Override PartName="/word/theme/themeOverride28.xml" ContentType="application/vnd.openxmlformats-officedocument.themeOverride+xml"/>
  <Override PartName="/word/charts/chart49.xml" ContentType="application/vnd.openxmlformats-officedocument.drawingml.chart+xml"/>
  <Override PartName="/word/theme/themeOverride29.xml" ContentType="application/vnd.openxmlformats-officedocument.themeOverride+xml"/>
  <Override PartName="/word/charts/chart50.xml" ContentType="application/vnd.openxmlformats-officedocument.drawingml.chart+xml"/>
  <Override PartName="/word/theme/themeOverride30.xml" ContentType="application/vnd.openxmlformats-officedocument.themeOverride+xml"/>
  <Override PartName="/word/charts/chart51.xml" ContentType="application/vnd.openxmlformats-officedocument.drawingml.chart+xml"/>
  <Override PartName="/word/theme/themeOverride31.xml" ContentType="application/vnd.openxmlformats-officedocument.themeOverride+xml"/>
  <Override PartName="/word/charts/chart52.xml" ContentType="application/vnd.openxmlformats-officedocument.drawingml.chart+xml"/>
  <Override PartName="/word/theme/themeOverride32.xml" ContentType="application/vnd.openxmlformats-officedocument.themeOverride+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drawings/drawing3.xml" ContentType="application/vnd.openxmlformats-officedocument.drawingml.chartshapes+xml"/>
  <Override PartName="/word/charts/chart58.xml" ContentType="application/vnd.openxmlformats-officedocument.drawingml.chart+xml"/>
  <Override PartName="/word/drawings/drawing4.xml" ContentType="application/vnd.openxmlformats-officedocument.drawingml.chartshapes+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33.xml" ContentType="application/vnd.openxmlformats-officedocument.themeOverride+xml"/>
  <Override PartName="/word/charts/chart6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6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34.xml" ContentType="application/vnd.openxmlformats-officedocument.themeOverride+xml"/>
  <Override PartName="/word/charts/chart64.xml" ContentType="application/vnd.openxmlformats-officedocument.drawingml.chart+xml"/>
  <Override PartName="/word/charts/chart6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35.xml" ContentType="application/vnd.openxmlformats-officedocument.themeOverride+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theme/themeOverride36.xml" ContentType="application/vnd.openxmlformats-officedocument.themeOverride+xml"/>
  <Override PartName="/word/charts/chart73.xml" ContentType="application/vnd.openxmlformats-officedocument.drawingml.chart+xml"/>
  <Override PartName="/word/theme/themeOverride37.xml" ContentType="application/vnd.openxmlformats-officedocument.themeOverride+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theme/themeOverride38.xml" ContentType="application/vnd.openxmlformats-officedocument.themeOverride+xml"/>
  <Override PartName="/word/charts/chart7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7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8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81.xml" ContentType="application/vnd.openxmlformats-officedocument.drawingml.chart+xml"/>
  <Override PartName="/word/drawings/drawing5.xml" ContentType="application/vnd.openxmlformats-officedocument.drawingml.chartshapes+xml"/>
  <Override PartName="/word/charts/chart8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9.xml" ContentType="application/vnd.openxmlformats-officedocument.themeOverride+xml"/>
  <Override PartName="/word/charts/chart83.xml" ContentType="application/vnd.openxmlformats-officedocument.drawingml.chart+xml"/>
  <Override PartName="/word/theme/themeOverride40.xml" ContentType="application/vnd.openxmlformats-officedocument.themeOverride+xml"/>
  <Override PartName="/word/drawings/drawing6.xml" ContentType="application/vnd.openxmlformats-officedocument.drawingml.chartshapes+xml"/>
  <Override PartName="/word/charts/chart84.xml" ContentType="application/vnd.openxmlformats-officedocument.drawingml.chart+xml"/>
  <Override PartName="/word/theme/themeOverride41.xml" ContentType="application/vnd.openxmlformats-officedocument.themeOverride+xml"/>
  <Override PartName="/word/drawings/drawing7.xml" ContentType="application/vnd.openxmlformats-officedocument.drawingml.chartshapes+xml"/>
  <Override PartName="/word/charts/chart85.xml" ContentType="application/vnd.openxmlformats-officedocument.drawingml.chart+xml"/>
  <Override PartName="/word/theme/themeOverride42.xml" ContentType="application/vnd.openxmlformats-officedocument.themeOverride+xml"/>
  <Override PartName="/word/charts/chart86.xml" ContentType="application/vnd.openxmlformats-officedocument.drawingml.chart+xml"/>
  <Override PartName="/word/theme/themeOverride43.xml" ContentType="application/vnd.openxmlformats-officedocument.themeOverride+xml"/>
  <Override PartName="/word/charts/chart87.xml" ContentType="application/vnd.openxmlformats-officedocument.drawingml.chart+xml"/>
  <Override PartName="/word/theme/themeOverride44.xml" ContentType="application/vnd.openxmlformats-officedocument.themeOverride+xml"/>
  <Override PartName="/word/charts/chart88.xml" ContentType="application/vnd.openxmlformats-officedocument.drawingml.chart+xml"/>
  <Override PartName="/word/theme/themeOverride45.xml" ContentType="application/vnd.openxmlformats-officedocument.themeOverride+xml"/>
  <Override PartName="/word/charts/chart89.xml" ContentType="application/vnd.openxmlformats-officedocument.drawingml.chart+xml"/>
  <Override PartName="/word/theme/themeOverride46.xml" ContentType="application/vnd.openxmlformats-officedocument.themeOverride+xml"/>
  <Override PartName="/word/charts/chart90.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47.xml" ContentType="application/vnd.openxmlformats-officedocument.themeOverride+xml"/>
  <Override PartName="/word/charts/chart91.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48.xml" ContentType="application/vnd.openxmlformats-officedocument.themeOverride+xml"/>
  <Override PartName="/word/charts/chart92.xml" ContentType="application/vnd.openxmlformats-officedocument.drawingml.chart+xml"/>
  <Override PartName="/word/theme/themeOverride49.xml" ContentType="application/vnd.openxmlformats-officedocument.themeOverride+xml"/>
  <Override PartName="/word/charts/chart9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94.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95.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50.xml" ContentType="application/vnd.openxmlformats-officedocument.themeOverride+xml"/>
  <Override PartName="/word/charts/chart96.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51.xml" ContentType="application/vnd.openxmlformats-officedocument.themeOverride+xml"/>
  <Override PartName="/word/charts/chart97.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52.xml" ContentType="application/vnd.openxmlformats-officedocument.themeOverride+xml"/>
  <Override PartName="/word/charts/chart98.xml" ContentType="application/vnd.openxmlformats-officedocument.drawingml.chart+xml"/>
  <Override PartName="/word/theme/themeOverride53.xml" ContentType="application/vnd.openxmlformats-officedocument.themeOverride+xml"/>
  <Override PartName="/word/charts/chart9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100.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101.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102.xml" ContentType="application/vnd.openxmlformats-officedocument.drawingml.chart+xml"/>
  <Override PartName="/word/charts/chart103.xml" ContentType="application/vnd.openxmlformats-officedocument.drawingml.chart+xml"/>
  <Override PartName="/word/drawings/drawing8.xml" ContentType="application/vnd.openxmlformats-officedocument.drawingml.chartshapes+xml"/>
  <Override PartName="/word/charts/chart104.xml" ContentType="application/vnd.openxmlformats-officedocument.drawingml.chart+xml"/>
  <Override PartName="/word/theme/themeOverride54.xml" ContentType="application/vnd.openxmlformats-officedocument.themeOverride+xml"/>
  <Override PartName="/word/charts/chart105.xml" ContentType="application/vnd.openxmlformats-officedocument.drawingml.chart+xml"/>
  <Override PartName="/word/theme/themeOverride55.xml" ContentType="application/vnd.openxmlformats-officedocument.themeOverride+xml"/>
  <Override PartName="/word/charts/chart106.xml" ContentType="application/vnd.openxmlformats-officedocument.drawingml.chart+xml"/>
  <Override PartName="/word/theme/themeOverride56.xml" ContentType="application/vnd.openxmlformats-officedocument.themeOverride+xml"/>
  <Override PartName="/word/charts/chart107.xml" ContentType="application/vnd.openxmlformats-officedocument.drawingml.chart+xml"/>
  <Override PartName="/word/theme/themeOverride57.xml" ContentType="application/vnd.openxmlformats-officedocument.themeOverride+xml"/>
  <Override PartName="/word/charts/chart108.xml" ContentType="application/vnd.openxmlformats-officedocument.drawingml.chart+xml"/>
  <Override PartName="/word/drawings/drawing9.xml" ContentType="application/vnd.openxmlformats-officedocument.drawingml.chartshapes+xml"/>
  <Override PartName="/word/charts/chart109.xml" ContentType="application/vnd.openxmlformats-officedocument.drawingml.chart+xml"/>
  <Override PartName="/word/theme/themeOverride58.xml" ContentType="application/vnd.openxmlformats-officedocument.themeOverride+xml"/>
  <Override PartName="/word/charts/chart110.xml" ContentType="application/vnd.openxmlformats-officedocument.drawingml.chart+xml"/>
  <Override PartName="/word/theme/themeOverride59.xml" ContentType="application/vnd.openxmlformats-officedocument.themeOverride+xml"/>
  <Override PartName="/word/charts/chart111.xml" ContentType="application/vnd.openxmlformats-officedocument.drawingml.chart+xml"/>
  <Override PartName="/word/theme/themeOverride60.xml" ContentType="application/vnd.openxmlformats-officedocument.themeOverride+xml"/>
  <Override PartName="/word/charts/chart112.xml" ContentType="application/vnd.openxmlformats-officedocument.drawingml.chart+xml"/>
  <Override PartName="/word/theme/themeOverride61.xml" ContentType="application/vnd.openxmlformats-officedocument.themeOverride+xml"/>
  <Override PartName="/word/charts/chart113.xml" ContentType="application/vnd.openxmlformats-officedocument.drawingml.chart+xml"/>
  <Override PartName="/word/theme/themeOverride62.xml" ContentType="application/vnd.openxmlformats-officedocument.themeOverride+xml"/>
  <Override PartName="/word/charts/chart114.xml" ContentType="application/vnd.openxmlformats-officedocument.drawingml.chart+xml"/>
  <Override PartName="/word/theme/themeOverride63.xml" ContentType="application/vnd.openxmlformats-officedocument.themeOverride+xml"/>
  <Override PartName="/word/charts/chart115.xml" ContentType="application/vnd.openxmlformats-officedocument.drawingml.chart+xml"/>
  <Override PartName="/word/theme/themeOverride64.xml" ContentType="application/vnd.openxmlformats-officedocument.themeOverride+xml"/>
  <Override PartName="/word/charts/chart116.xml" ContentType="application/vnd.openxmlformats-officedocument.drawingml.chart+xml"/>
  <Override PartName="/word/theme/themeOverride65.xml" ContentType="application/vnd.openxmlformats-officedocument.themeOverride+xml"/>
  <Override PartName="/word/charts/chart117.xml" ContentType="application/vnd.openxmlformats-officedocument.drawingml.chart+xml"/>
  <Override PartName="/word/theme/themeOverride66.xml" ContentType="application/vnd.openxmlformats-officedocument.themeOverride+xml"/>
  <Override PartName="/word/charts/chart118.xml" ContentType="application/vnd.openxmlformats-officedocument.drawingml.chart+xml"/>
  <Override PartName="/word/theme/themeOverride67.xml" ContentType="application/vnd.openxmlformats-officedocument.themeOverride+xml"/>
  <Override PartName="/word/charts/chart119.xml" ContentType="application/vnd.openxmlformats-officedocument.drawingml.chart+xml"/>
  <Override PartName="/word/theme/themeOverride68.xml" ContentType="application/vnd.openxmlformats-officedocument.themeOverride+xml"/>
  <Override PartName="/word/charts/chart120.xml" ContentType="application/vnd.openxmlformats-officedocument.drawingml.chart+xml"/>
  <Override PartName="/word/theme/themeOverride69.xml" ContentType="application/vnd.openxmlformats-officedocument.themeOverride+xml"/>
  <Override PartName="/word/charts/chart121.xml" ContentType="application/vnd.openxmlformats-officedocument.drawingml.chart+xml"/>
  <Override PartName="/word/theme/themeOverride70.xml" ContentType="application/vnd.openxmlformats-officedocument.themeOverride+xml"/>
  <Override PartName="/word/charts/chart122.xml" ContentType="application/vnd.openxmlformats-officedocument.drawingml.chart+xml"/>
  <Override PartName="/word/theme/themeOverride71.xml" ContentType="application/vnd.openxmlformats-officedocument.themeOverride+xml"/>
  <Override PartName="/word/charts/chart123.xml" ContentType="application/vnd.openxmlformats-officedocument.drawingml.chart+xml"/>
  <Override PartName="/word/theme/themeOverride72.xml" ContentType="application/vnd.openxmlformats-officedocument.themeOverride+xml"/>
  <Override PartName="/word/charts/chart124.xml" ContentType="application/vnd.openxmlformats-officedocument.drawingml.chart+xml"/>
  <Override PartName="/word/theme/themeOverride73.xml" ContentType="application/vnd.openxmlformats-officedocument.themeOverride+xml"/>
  <Override PartName="/word/charts/chart125.xml" ContentType="application/vnd.openxmlformats-officedocument.drawingml.chart+xml"/>
  <Override PartName="/word/theme/themeOverride74.xml" ContentType="application/vnd.openxmlformats-officedocument.themeOverride+xml"/>
  <Override PartName="/word/charts/chart126.xml" ContentType="application/vnd.openxmlformats-officedocument.drawingml.chart+xml"/>
  <Override PartName="/word/theme/themeOverride75.xml" ContentType="application/vnd.openxmlformats-officedocument.themeOverride+xml"/>
  <Override PartName="/word/charts/chart127.xml" ContentType="application/vnd.openxmlformats-officedocument.drawingml.chart+xml"/>
  <Override PartName="/word/theme/themeOverride76.xml" ContentType="application/vnd.openxmlformats-officedocument.themeOverride+xml"/>
  <Override PartName="/word/charts/chart128.xml" ContentType="application/vnd.openxmlformats-officedocument.drawingml.chart+xml"/>
  <Override PartName="/word/theme/themeOverride77.xml" ContentType="application/vnd.openxmlformats-officedocument.themeOverride+xml"/>
  <Override PartName="/word/charts/chart129.xml" ContentType="application/vnd.openxmlformats-officedocument.drawingml.chart+xml"/>
  <Override PartName="/word/theme/themeOverride78.xml" ContentType="application/vnd.openxmlformats-officedocument.themeOverride+xml"/>
  <Override PartName="/word/charts/chart130.xml" ContentType="application/vnd.openxmlformats-officedocument.drawingml.chart+xml"/>
  <Override PartName="/word/theme/themeOverride79.xml" ContentType="application/vnd.openxmlformats-officedocument.themeOverride+xml"/>
  <Override PartName="/word/charts/chart131.xml" ContentType="application/vnd.openxmlformats-officedocument.drawingml.chart+xml"/>
  <Override PartName="/word/theme/themeOverride80.xml" ContentType="application/vnd.openxmlformats-officedocument.themeOverride+xml"/>
  <Override PartName="/word/charts/chart132.xml" ContentType="application/vnd.openxmlformats-officedocument.drawingml.chart+xml"/>
  <Override PartName="/word/theme/themeOverride81.xml" ContentType="application/vnd.openxmlformats-officedocument.themeOverride+xml"/>
  <Override PartName="/word/charts/chart133.xml" ContentType="application/vnd.openxmlformats-officedocument.drawingml.chart+xml"/>
  <Override PartName="/word/drawings/drawing10.xml" ContentType="application/vnd.openxmlformats-officedocument.drawingml.chartshapes+xml"/>
  <Override PartName="/word/charts/chart134.xml" ContentType="application/vnd.openxmlformats-officedocument.drawingml.chart+xml"/>
  <Override PartName="/word/theme/themeOverride82.xml" ContentType="application/vnd.openxmlformats-officedocument.themeOverride+xml"/>
  <Override PartName="/word/charts/chart135.xml" ContentType="application/vnd.openxmlformats-officedocument.drawingml.chart+xml"/>
  <Override PartName="/word/theme/themeOverride83.xml" ContentType="application/vnd.openxmlformats-officedocument.themeOverride+xml"/>
  <Override PartName="/word/charts/chart136.xml" ContentType="application/vnd.openxmlformats-officedocument.drawingml.chart+xml"/>
  <Override PartName="/word/theme/themeOverride84.xml" ContentType="application/vnd.openxmlformats-officedocument.themeOverride+xml"/>
  <Override PartName="/word/charts/chart137.xml" ContentType="application/vnd.openxmlformats-officedocument.drawingml.chart+xml"/>
  <Override PartName="/word/theme/themeOverride85.xml" ContentType="application/vnd.openxmlformats-officedocument.themeOverride+xml"/>
  <Override PartName="/word/charts/chart138.xml" ContentType="application/vnd.openxmlformats-officedocument.drawingml.chart+xml"/>
  <Override PartName="/word/theme/themeOverride86.xml" ContentType="application/vnd.openxmlformats-officedocument.themeOverride+xml"/>
  <Override PartName="/word/charts/chart139.xml" ContentType="application/vnd.openxmlformats-officedocument.drawingml.chart+xml"/>
  <Override PartName="/word/theme/themeOverride87.xml" ContentType="application/vnd.openxmlformats-officedocument.themeOverride+xml"/>
  <Override PartName="/word/charts/chart140.xml" ContentType="application/vnd.openxmlformats-officedocument.drawingml.chart+xml"/>
  <Override PartName="/word/theme/themeOverride88.xml" ContentType="application/vnd.openxmlformats-officedocument.themeOverride+xml"/>
  <Override PartName="/word/charts/chart141.xml" ContentType="application/vnd.openxmlformats-officedocument.drawingml.chart+xml"/>
  <Override PartName="/word/theme/themeOverride89.xml" ContentType="application/vnd.openxmlformats-officedocument.themeOverride+xml"/>
  <Override PartName="/word/charts/chart142.xml" ContentType="application/vnd.openxmlformats-officedocument.drawingml.chart+xml"/>
  <Override PartName="/word/theme/themeOverride90.xml" ContentType="application/vnd.openxmlformats-officedocument.themeOverride+xml"/>
  <Override PartName="/word/charts/chart143.xml" ContentType="application/vnd.openxmlformats-officedocument.drawingml.chart+xml"/>
  <Override PartName="/word/theme/themeOverride91.xml" ContentType="application/vnd.openxmlformats-officedocument.themeOverride+xml"/>
  <Override PartName="/word/charts/chart144.xml" ContentType="application/vnd.openxmlformats-officedocument.drawingml.chart+xml"/>
  <Override PartName="/word/theme/themeOverride92.xml" ContentType="application/vnd.openxmlformats-officedocument.themeOverride+xml"/>
  <Override PartName="/word/charts/chart145.xml" ContentType="application/vnd.openxmlformats-officedocument.drawingml.chart+xml"/>
  <Override PartName="/word/theme/themeOverride93.xml" ContentType="application/vnd.openxmlformats-officedocument.themeOverride+xml"/>
  <Override PartName="/word/charts/chart146.xml" ContentType="application/vnd.openxmlformats-officedocument.drawingml.chart+xml"/>
  <Override PartName="/word/theme/themeOverride94.xml" ContentType="application/vnd.openxmlformats-officedocument.themeOverride+xml"/>
  <Override PartName="/word/charts/chart147.xml" ContentType="application/vnd.openxmlformats-officedocument.drawingml.chart+xml"/>
  <Override PartName="/word/theme/themeOverride95.xml" ContentType="application/vnd.openxmlformats-officedocument.themeOverride+xml"/>
  <Override PartName="/word/charts/chart148.xml" ContentType="application/vnd.openxmlformats-officedocument.drawingml.chart+xml"/>
  <Override PartName="/word/theme/themeOverride96.xml" ContentType="application/vnd.openxmlformats-officedocument.themeOverride+xml"/>
  <Override PartName="/word/charts/chart149.xml" ContentType="application/vnd.openxmlformats-officedocument.drawingml.chart+xml"/>
  <Override PartName="/word/theme/themeOverride97.xml" ContentType="application/vnd.openxmlformats-officedocument.themeOverride+xml"/>
  <Override PartName="/word/charts/chart150.xml" ContentType="application/vnd.openxmlformats-officedocument.drawingml.chart+xml"/>
  <Override PartName="/word/theme/themeOverride98.xml" ContentType="application/vnd.openxmlformats-officedocument.themeOverride+xml"/>
  <Override PartName="/word/charts/chart151.xml" ContentType="application/vnd.openxmlformats-officedocument.drawingml.chart+xml"/>
  <Override PartName="/word/theme/themeOverride99.xml" ContentType="application/vnd.openxmlformats-officedocument.themeOverride+xml"/>
  <Override PartName="/word/charts/chart152.xml" ContentType="application/vnd.openxmlformats-officedocument.drawingml.chart+xml"/>
  <Override PartName="/word/theme/themeOverride100.xml" ContentType="application/vnd.openxmlformats-officedocument.themeOverride+xml"/>
  <Override PartName="/word/charts/chart153.xml" ContentType="application/vnd.openxmlformats-officedocument.drawingml.chart+xml"/>
  <Override PartName="/word/theme/themeOverride101.xml" ContentType="application/vnd.openxmlformats-officedocument.themeOverride+xml"/>
  <Override PartName="/word/charts/chart154.xml" ContentType="application/vnd.openxmlformats-officedocument.drawingml.chart+xml"/>
  <Override PartName="/word/theme/themeOverride102.xml" ContentType="application/vnd.openxmlformats-officedocument.themeOverride+xml"/>
  <Override PartName="/word/charts/chart155.xml" ContentType="application/vnd.openxmlformats-officedocument.drawingml.chart+xml"/>
  <Override PartName="/word/theme/themeOverride103.xml" ContentType="application/vnd.openxmlformats-officedocument.themeOverride+xml"/>
  <Override PartName="/word/charts/chart156.xml" ContentType="application/vnd.openxmlformats-officedocument.drawingml.chart+xml"/>
  <Override PartName="/word/theme/themeOverride104.xml" ContentType="application/vnd.openxmlformats-officedocument.themeOverride+xml"/>
  <Override PartName="/word/charts/chart157.xml" ContentType="application/vnd.openxmlformats-officedocument.drawingml.chart+xml"/>
  <Override PartName="/word/theme/themeOverride105.xml" ContentType="application/vnd.openxmlformats-officedocument.themeOverride+xml"/>
  <Override PartName="/word/charts/chart158.xml" ContentType="application/vnd.openxmlformats-officedocument.drawingml.chart+xml"/>
  <Override PartName="/word/theme/themeOverride106.xml" ContentType="application/vnd.openxmlformats-officedocument.themeOverride+xml"/>
  <Override PartName="/word/charts/chart159.xml" ContentType="application/vnd.openxmlformats-officedocument.drawingml.chart+xml"/>
  <Override PartName="/word/theme/themeOverride107.xml" ContentType="application/vnd.openxmlformats-officedocument.themeOverride+xml"/>
  <Override PartName="/word/charts/chart160.xml" ContentType="application/vnd.openxmlformats-officedocument.drawingml.chart+xml"/>
  <Override PartName="/word/theme/themeOverride108.xml" ContentType="application/vnd.openxmlformats-officedocument.themeOverride+xml"/>
  <Override PartName="/word/charts/chart161.xml" ContentType="application/vnd.openxmlformats-officedocument.drawingml.chart+xml"/>
  <Override PartName="/word/theme/themeOverride109.xml" ContentType="application/vnd.openxmlformats-officedocument.themeOverride+xml"/>
  <Override PartName="/word/charts/chart162.xml" ContentType="application/vnd.openxmlformats-officedocument.drawingml.chart+xml"/>
  <Override PartName="/word/theme/themeOverride110.xml" ContentType="application/vnd.openxmlformats-officedocument.themeOverride+xml"/>
  <Override PartName="/word/charts/chart163.xml" ContentType="application/vnd.openxmlformats-officedocument.drawingml.chart+xml"/>
  <Override PartName="/word/theme/themeOverride111.xml" ContentType="application/vnd.openxmlformats-officedocument.themeOverride+xml"/>
  <Override PartName="/word/charts/chart164.xml" ContentType="application/vnd.openxmlformats-officedocument.drawingml.chart+xml"/>
  <Override PartName="/word/theme/themeOverride112.xml" ContentType="application/vnd.openxmlformats-officedocument.themeOverride+xml"/>
  <Override PartName="/word/charts/chart165.xml" ContentType="application/vnd.openxmlformats-officedocument.drawingml.chart+xml"/>
  <Override PartName="/word/theme/themeOverride113.xml" ContentType="application/vnd.openxmlformats-officedocument.themeOverride+xml"/>
  <Override PartName="/word/charts/chart166.xml" ContentType="application/vnd.openxmlformats-officedocument.drawingml.chart+xml"/>
  <Override PartName="/word/theme/themeOverride114.xml" ContentType="application/vnd.openxmlformats-officedocument.themeOverride+xml"/>
  <Override PartName="/word/charts/chart167.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115.xml" ContentType="application/vnd.openxmlformats-officedocument.themeOverride+xml"/>
  <Override PartName="/word/charts/chart168.xml" ContentType="application/vnd.openxmlformats-officedocument.drawingml.chart+xml"/>
  <Override PartName="/word/drawings/drawing11.xml" ContentType="application/vnd.openxmlformats-officedocument.drawingml.chartshapes+xml"/>
  <Override PartName="/word/charts/chart169.xml" ContentType="application/vnd.openxmlformats-officedocument.drawingml.chart+xml"/>
  <Override PartName="/word/drawings/drawing1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0168" w14:textId="77777777" w:rsidR="007818B0" w:rsidRDefault="007818B0" w:rsidP="007818B0">
      <w:pPr>
        <w:pStyle w:val="BodyTextIndent2"/>
        <w:spacing w:after="240" w:line="240" w:lineRule="auto"/>
        <w:ind w:left="0"/>
        <w:jc w:val="center"/>
      </w:pPr>
      <w:bookmarkStart w:id="0" w:name="_Hlk39739568"/>
      <w:bookmarkStart w:id="1" w:name="_Toc357503109"/>
      <w:bookmarkStart w:id="2" w:name="_Toc388618379"/>
      <w:bookmarkStart w:id="3" w:name="_Toc390350656"/>
      <w:bookmarkStart w:id="4" w:name="_Toc357503117"/>
      <w:bookmarkEnd w:id="0"/>
    </w:p>
    <w:p w14:paraId="1AA49420" w14:textId="77777777" w:rsidR="007818B0" w:rsidRDefault="007818B0" w:rsidP="007818B0">
      <w:pPr>
        <w:pStyle w:val="BodyTextIndent2"/>
        <w:spacing w:after="240" w:line="240" w:lineRule="auto"/>
        <w:ind w:left="0"/>
        <w:jc w:val="center"/>
      </w:pPr>
    </w:p>
    <w:p w14:paraId="36D362F3" w14:textId="77777777" w:rsidR="007818B0" w:rsidRDefault="007818B0" w:rsidP="007818B0">
      <w:pPr>
        <w:pStyle w:val="BodyTextIndent2"/>
        <w:spacing w:after="240" w:line="240" w:lineRule="auto"/>
        <w:ind w:left="0"/>
        <w:jc w:val="center"/>
      </w:pPr>
    </w:p>
    <w:p w14:paraId="6687CE28" w14:textId="77777777" w:rsidR="007818B0" w:rsidRDefault="007818B0" w:rsidP="007818B0">
      <w:pPr>
        <w:pStyle w:val="BodyTextIndent2"/>
        <w:spacing w:after="240" w:line="240" w:lineRule="auto"/>
        <w:ind w:left="0"/>
        <w:jc w:val="center"/>
      </w:pPr>
    </w:p>
    <w:p w14:paraId="02FCB21F" w14:textId="77777777" w:rsidR="007818B0" w:rsidRDefault="007818B0" w:rsidP="007818B0">
      <w:pPr>
        <w:pStyle w:val="BodyTextIndent2"/>
        <w:spacing w:after="240" w:line="240" w:lineRule="auto"/>
        <w:ind w:left="0"/>
        <w:jc w:val="center"/>
      </w:pPr>
    </w:p>
    <w:p w14:paraId="3349FDB8" w14:textId="77777777" w:rsidR="007818B0" w:rsidRDefault="007818B0" w:rsidP="007818B0">
      <w:pPr>
        <w:pStyle w:val="BodyTextIndent2"/>
        <w:spacing w:after="240" w:line="240" w:lineRule="auto"/>
        <w:ind w:left="0"/>
        <w:jc w:val="center"/>
      </w:pPr>
    </w:p>
    <w:p w14:paraId="38974700" w14:textId="77777777" w:rsidR="007818B0" w:rsidRDefault="007818B0" w:rsidP="007818B0">
      <w:pPr>
        <w:pStyle w:val="BodyTextIndent2"/>
        <w:spacing w:after="240" w:line="240" w:lineRule="auto"/>
        <w:ind w:left="0"/>
        <w:jc w:val="center"/>
      </w:pPr>
    </w:p>
    <w:p w14:paraId="1E8B9C99" w14:textId="77777777" w:rsidR="007818B0" w:rsidRPr="003B4CDA" w:rsidRDefault="007818B0" w:rsidP="007818B0">
      <w:pPr>
        <w:pStyle w:val="BodyTextIndent2"/>
        <w:spacing w:after="0" w:line="360" w:lineRule="auto"/>
        <w:ind w:left="0"/>
        <w:jc w:val="center"/>
        <w:rPr>
          <w:rFonts w:ascii="Gill Sans Nova Cond Lt" w:hAnsi="Gill Sans Nova Cond Lt"/>
          <w:bCs/>
          <w:sz w:val="60"/>
          <w:szCs w:val="60"/>
        </w:rPr>
      </w:pPr>
      <w:r w:rsidRPr="003B4CDA">
        <w:rPr>
          <w:rFonts w:ascii="Gill Sans Nova Cond Lt" w:hAnsi="Gill Sans Nova Cond Lt"/>
          <w:bCs/>
          <w:sz w:val="60"/>
          <w:szCs w:val="60"/>
        </w:rPr>
        <w:t xml:space="preserve">INFORMATĪVAIS ZIŅOJUMS </w:t>
      </w:r>
      <w:r w:rsidRPr="003B4CDA">
        <w:rPr>
          <w:rFonts w:ascii="Gill Sans Nova Cond Lt" w:hAnsi="Gill Sans Nova Cond Lt"/>
          <w:bCs/>
          <w:sz w:val="60"/>
          <w:szCs w:val="60"/>
        </w:rPr>
        <w:br/>
        <w:t>PAR DARBA TIRGUS VIDĒJA UN ILGTERMIŅA PROGNOZĒM</w:t>
      </w:r>
    </w:p>
    <w:p w14:paraId="0E19F593" w14:textId="77777777" w:rsidR="007818B0" w:rsidRPr="003B4CDA" w:rsidRDefault="007818B0" w:rsidP="007818B0">
      <w:pPr>
        <w:pStyle w:val="BodyTextIndent2"/>
        <w:spacing w:after="240" w:line="240" w:lineRule="auto"/>
        <w:ind w:left="0"/>
        <w:jc w:val="center"/>
      </w:pPr>
    </w:p>
    <w:p w14:paraId="14EEB882" w14:textId="77777777" w:rsidR="007818B0" w:rsidRPr="003B4CDA" w:rsidRDefault="007818B0" w:rsidP="007818B0">
      <w:pPr>
        <w:pStyle w:val="BodyTextIndent2"/>
        <w:spacing w:after="240" w:line="240" w:lineRule="auto"/>
        <w:ind w:left="0"/>
        <w:jc w:val="center"/>
      </w:pPr>
    </w:p>
    <w:p w14:paraId="25291E3B" w14:textId="77777777" w:rsidR="007818B0" w:rsidRPr="003B4CDA" w:rsidRDefault="007818B0" w:rsidP="007818B0">
      <w:pPr>
        <w:pStyle w:val="BodyTextIndent2"/>
        <w:spacing w:after="240" w:line="240" w:lineRule="auto"/>
        <w:ind w:left="0"/>
        <w:jc w:val="center"/>
      </w:pPr>
    </w:p>
    <w:p w14:paraId="35799075" w14:textId="77777777" w:rsidR="007818B0" w:rsidRPr="003B4CDA" w:rsidRDefault="007818B0" w:rsidP="007818B0">
      <w:pPr>
        <w:pStyle w:val="BodyTextIndent2"/>
        <w:spacing w:after="240" w:line="240" w:lineRule="auto"/>
        <w:ind w:left="0"/>
        <w:jc w:val="center"/>
      </w:pPr>
    </w:p>
    <w:p w14:paraId="13A795E0" w14:textId="77777777" w:rsidR="007818B0" w:rsidRPr="003B4CDA" w:rsidRDefault="007818B0" w:rsidP="007818B0">
      <w:pPr>
        <w:pStyle w:val="BodyTextIndent2"/>
        <w:spacing w:after="240" w:line="240" w:lineRule="auto"/>
        <w:ind w:left="0"/>
        <w:jc w:val="center"/>
      </w:pPr>
    </w:p>
    <w:p w14:paraId="1F2D5CC9" w14:textId="77777777" w:rsidR="007818B0" w:rsidRPr="003B4CDA" w:rsidRDefault="007818B0" w:rsidP="007818B0">
      <w:pPr>
        <w:pStyle w:val="BodyTextIndent2"/>
        <w:spacing w:after="240" w:line="240" w:lineRule="auto"/>
        <w:ind w:left="0"/>
        <w:jc w:val="center"/>
      </w:pPr>
    </w:p>
    <w:p w14:paraId="2A4D5D84" w14:textId="77777777" w:rsidR="007818B0" w:rsidRPr="003B4CDA" w:rsidRDefault="007818B0" w:rsidP="007818B0">
      <w:pPr>
        <w:pStyle w:val="BodyTextIndent2"/>
        <w:spacing w:after="240" w:line="240" w:lineRule="auto"/>
        <w:ind w:left="0"/>
        <w:jc w:val="center"/>
      </w:pPr>
    </w:p>
    <w:p w14:paraId="75096A44" w14:textId="77777777" w:rsidR="007818B0" w:rsidRPr="003B4CDA" w:rsidRDefault="007818B0" w:rsidP="007818B0">
      <w:pPr>
        <w:pStyle w:val="BodyTextIndent2"/>
        <w:spacing w:after="240" w:line="240" w:lineRule="auto"/>
        <w:ind w:left="0"/>
        <w:jc w:val="center"/>
      </w:pPr>
    </w:p>
    <w:p w14:paraId="053EA054" w14:textId="77777777" w:rsidR="007818B0" w:rsidRPr="003B4CDA" w:rsidRDefault="007818B0" w:rsidP="007818B0">
      <w:pPr>
        <w:pStyle w:val="BodyTextIndent2"/>
        <w:spacing w:after="240" w:line="240" w:lineRule="auto"/>
        <w:ind w:left="0"/>
        <w:jc w:val="center"/>
      </w:pPr>
    </w:p>
    <w:p w14:paraId="4E99601A" w14:textId="77777777" w:rsidR="007818B0" w:rsidRPr="003B4CDA" w:rsidRDefault="007818B0" w:rsidP="007818B0">
      <w:pPr>
        <w:pStyle w:val="BodyTextIndent2"/>
        <w:spacing w:after="240" w:line="240" w:lineRule="auto"/>
        <w:ind w:left="0"/>
        <w:jc w:val="center"/>
      </w:pPr>
    </w:p>
    <w:p w14:paraId="6D089804" w14:textId="77777777" w:rsidR="007818B0" w:rsidRPr="003B4CDA" w:rsidRDefault="007818B0" w:rsidP="007818B0">
      <w:pPr>
        <w:pStyle w:val="BodyTextIndent2"/>
        <w:spacing w:after="240" w:line="240" w:lineRule="auto"/>
        <w:ind w:left="0"/>
        <w:jc w:val="center"/>
      </w:pPr>
    </w:p>
    <w:p w14:paraId="7DBCB1BC" w14:textId="77777777" w:rsidR="007818B0" w:rsidRPr="003B4CDA" w:rsidRDefault="007818B0" w:rsidP="007818B0">
      <w:pPr>
        <w:pStyle w:val="BodyTextIndent2"/>
        <w:spacing w:after="240" w:line="240" w:lineRule="auto"/>
        <w:ind w:left="0"/>
        <w:jc w:val="center"/>
      </w:pPr>
    </w:p>
    <w:p w14:paraId="4AFB62DF" w14:textId="77777777" w:rsidR="007818B0" w:rsidRPr="003B4CDA" w:rsidRDefault="007818B0" w:rsidP="007818B0">
      <w:pPr>
        <w:pStyle w:val="BodyTextIndent2"/>
        <w:spacing w:after="240" w:line="240" w:lineRule="auto"/>
        <w:ind w:left="0"/>
        <w:jc w:val="center"/>
      </w:pPr>
    </w:p>
    <w:p w14:paraId="290CDC4E" w14:textId="77777777" w:rsidR="007818B0" w:rsidRPr="003B4CDA" w:rsidRDefault="007818B0" w:rsidP="007818B0">
      <w:pPr>
        <w:pStyle w:val="BodyTextIndent2"/>
        <w:spacing w:after="240" w:line="240" w:lineRule="auto"/>
        <w:ind w:left="0"/>
        <w:jc w:val="center"/>
      </w:pPr>
    </w:p>
    <w:p w14:paraId="72C267C1" w14:textId="5F1D0204" w:rsidR="007818B0" w:rsidRPr="003B4CDA" w:rsidRDefault="007818B0" w:rsidP="007818B0">
      <w:pPr>
        <w:pStyle w:val="BodyTextIndent2"/>
        <w:spacing w:after="240" w:line="240" w:lineRule="auto"/>
        <w:ind w:left="0"/>
        <w:jc w:val="center"/>
        <w:rPr>
          <w:rFonts w:ascii="Gill Sans Nova Cond Lt" w:hAnsi="Gill Sans Nova Cond Lt"/>
          <w:sz w:val="40"/>
          <w:szCs w:val="40"/>
        </w:rPr>
      </w:pPr>
      <w:r w:rsidRPr="003B4CDA">
        <w:rPr>
          <w:rFonts w:ascii="Gill Sans Nova Cond Lt" w:hAnsi="Gill Sans Nova Cond Lt"/>
          <w:sz w:val="40"/>
          <w:szCs w:val="40"/>
        </w:rPr>
        <w:t>202</w:t>
      </w:r>
      <w:r w:rsidR="001231A9">
        <w:rPr>
          <w:rFonts w:ascii="Gill Sans Nova Cond Lt" w:hAnsi="Gill Sans Nova Cond Lt"/>
          <w:sz w:val="40"/>
          <w:szCs w:val="40"/>
        </w:rPr>
        <w:t>2</w:t>
      </w:r>
      <w:r w:rsidRPr="003B4CDA">
        <w:rPr>
          <w:rFonts w:ascii="Gill Sans Nova Cond Lt" w:hAnsi="Gill Sans Nova Cond Lt"/>
          <w:sz w:val="40"/>
          <w:szCs w:val="40"/>
        </w:rPr>
        <w:br w:type="page"/>
      </w:r>
    </w:p>
    <w:p w14:paraId="27133F0A" w14:textId="77777777" w:rsidR="007818B0" w:rsidRPr="003E0AA3" w:rsidRDefault="007818B0" w:rsidP="007818B0">
      <w:pPr>
        <w:pStyle w:val="Heading1"/>
        <w:rPr>
          <w:color w:val="000000" w:themeColor="text1"/>
        </w:rPr>
      </w:pPr>
      <w:bookmarkStart w:id="5" w:name="_Toc106366785"/>
      <w:r w:rsidRPr="003E0AA3">
        <w:rPr>
          <w:color w:val="000000" w:themeColor="text1"/>
        </w:rPr>
        <w:lastRenderedPageBreak/>
        <w:t>Ievads</w:t>
      </w:r>
      <w:bookmarkEnd w:id="5"/>
    </w:p>
    <w:p w14:paraId="28663A13" w14:textId="77777777" w:rsidR="007818B0" w:rsidRPr="001231A9" w:rsidRDefault="007818B0" w:rsidP="007818B0">
      <w:pPr>
        <w:pStyle w:val="Taksts11"/>
        <w:spacing w:after="240"/>
        <w:ind w:firstLine="0"/>
        <w:jc w:val="left"/>
        <w:rPr>
          <w:color w:val="000000"/>
          <w:sz w:val="20"/>
          <w:highlight w:val="yellow"/>
          <w:lang w:val="lv-LV"/>
        </w:rPr>
      </w:pPr>
    </w:p>
    <w:p w14:paraId="1F02C279" w14:textId="77777777" w:rsidR="00F5076C" w:rsidRPr="003B4CDA" w:rsidRDefault="00F5076C" w:rsidP="00F5076C">
      <w:pPr>
        <w:pStyle w:val="BodyTextIndent2"/>
        <w:spacing w:after="240" w:line="240" w:lineRule="auto"/>
        <w:ind w:left="0"/>
        <w:jc w:val="both"/>
        <w:rPr>
          <w:sz w:val="20"/>
          <w:szCs w:val="20"/>
        </w:rPr>
      </w:pPr>
      <w:r w:rsidRPr="003B4CDA">
        <w:rPr>
          <w:sz w:val="20"/>
          <w:szCs w:val="20"/>
        </w:rPr>
        <w:t xml:space="preserve">Izpildot Valdības rīcības plāna Deklarācijas par Artura Krišjāņa Kariņa vadītā Ministru kabineta iecerēto darbību īstenošanai 34.1. pasākumu, kā arī Ministru kabineta 2009. gada 14. jūlija </w:t>
      </w:r>
      <w:proofErr w:type="spellStart"/>
      <w:r w:rsidRPr="003B4CDA">
        <w:rPr>
          <w:sz w:val="20"/>
          <w:szCs w:val="20"/>
        </w:rPr>
        <w:t>protokollēmumu</w:t>
      </w:r>
      <w:proofErr w:type="spellEnd"/>
      <w:r w:rsidRPr="003B4CDA">
        <w:rPr>
          <w:sz w:val="20"/>
          <w:szCs w:val="20"/>
        </w:rPr>
        <w:t xml:space="preserve"> Nr.48 24.§ un 2016. gada 8. novembra </w:t>
      </w:r>
      <w:proofErr w:type="spellStart"/>
      <w:r w:rsidRPr="003B4CDA">
        <w:rPr>
          <w:sz w:val="20"/>
          <w:szCs w:val="20"/>
        </w:rPr>
        <w:t>protokollēmumu</w:t>
      </w:r>
      <w:proofErr w:type="spellEnd"/>
      <w:r w:rsidRPr="003B4CDA">
        <w:rPr>
          <w:sz w:val="20"/>
          <w:szCs w:val="20"/>
        </w:rPr>
        <w:t xml:space="preserve"> Nr.60 11.§, Ekonomikas ministrija ir sagatavojusi Informatīvo z</w:t>
      </w:r>
      <w:r w:rsidRPr="003B4CDA">
        <w:rPr>
          <w:i/>
          <w:sz w:val="20"/>
          <w:szCs w:val="20"/>
        </w:rPr>
        <w:t>iņojumu par darba tirgus vidēja un ilgtermiņa prognozēm</w:t>
      </w:r>
      <w:r w:rsidRPr="003B4CDA">
        <w:rPr>
          <w:sz w:val="20"/>
          <w:szCs w:val="20"/>
        </w:rPr>
        <w:t xml:space="preserve"> (turpmāk – Ziņojums).</w:t>
      </w:r>
    </w:p>
    <w:p w14:paraId="47EB4BE9" w14:textId="77777777" w:rsidR="00F5076C" w:rsidRPr="00EA43C3" w:rsidRDefault="00F5076C" w:rsidP="00F5076C">
      <w:pPr>
        <w:pStyle w:val="BodyTextIndent2"/>
        <w:spacing w:after="240" w:line="240" w:lineRule="auto"/>
        <w:ind w:left="0"/>
        <w:jc w:val="both"/>
        <w:rPr>
          <w:sz w:val="20"/>
          <w:szCs w:val="20"/>
        </w:rPr>
      </w:pPr>
      <w:r w:rsidRPr="00EA43C3">
        <w:rPr>
          <w:sz w:val="20"/>
          <w:szCs w:val="20"/>
        </w:rPr>
        <w:t>Ziņojumā ir raksturota esošā situācija darba tirgū, kā arī iekļautas Ekonomikas ministrijas aktualizētās vidēja termiņa darba tirgus prognozes laika periodam līdz 2030. gadam un ilgtermiņa darba tirgus prognozes līdz 2040. gadam. Darba tirgus prognozes balstās uz Ekonomikas ministrijas izstrādātajiem tautsaimniecības attīstības un demogrāfijas scenārijiem.</w:t>
      </w:r>
    </w:p>
    <w:p w14:paraId="28CC0D13" w14:textId="77777777" w:rsidR="00F5076C" w:rsidRPr="00EA43C3" w:rsidRDefault="00F5076C" w:rsidP="00F5076C">
      <w:pPr>
        <w:pStyle w:val="BodyTextIndent2"/>
        <w:spacing w:after="240" w:line="240" w:lineRule="auto"/>
        <w:ind w:left="0"/>
        <w:jc w:val="both"/>
        <w:rPr>
          <w:sz w:val="20"/>
          <w:szCs w:val="20"/>
        </w:rPr>
      </w:pPr>
      <w:r w:rsidRPr="00EA43C3">
        <w:rPr>
          <w:sz w:val="20"/>
          <w:szCs w:val="20"/>
        </w:rPr>
        <w:t>Ekonomikas ministrijas darba tirgus prognozes ir viens no instrumentiem, kas ļauj priekšlaicīgi paredzēt darba tirgus neatbilstību veidošanos nākotnē. Tās parāda iespējamās darba tirgus attīstības tendences un iespējamos riskus, saglabājoties esošai izglītības sistēmai un izglītības piedāvājuma struktūrai.</w:t>
      </w:r>
    </w:p>
    <w:p w14:paraId="371E6D2A" w14:textId="77777777" w:rsidR="00F5076C" w:rsidRPr="00EA43C3" w:rsidRDefault="00F5076C" w:rsidP="00F5076C">
      <w:pPr>
        <w:pStyle w:val="BodyTextIndent2"/>
        <w:spacing w:after="240" w:line="240" w:lineRule="auto"/>
        <w:ind w:left="0"/>
        <w:jc w:val="both"/>
        <w:rPr>
          <w:sz w:val="20"/>
          <w:szCs w:val="20"/>
        </w:rPr>
      </w:pPr>
      <w:r w:rsidRPr="00EA43C3">
        <w:rPr>
          <w:sz w:val="20"/>
          <w:szCs w:val="20"/>
        </w:rPr>
        <w:t>Prognozes ir tikai viens no posmiem darbaspēka piedāvājuma pielāgošanas procesā. Tā ir kvantitatīva bāze tālākām diskusijām starp nodarbinātības, izglītības un struktūrpolitikas veidotājiem, sociālajiem partneriem, zinātniekiem un citām iesaistītām pusēm, lai savlaicīgi sagatavotos un pielāgotos sagaidāmajām strukturālajām izmaiņām tautsaimniecībā.</w:t>
      </w:r>
    </w:p>
    <w:p w14:paraId="254EC73D" w14:textId="77777777" w:rsidR="00F5076C" w:rsidRPr="00EA43C3" w:rsidRDefault="00F5076C" w:rsidP="00F5076C">
      <w:pPr>
        <w:pStyle w:val="BodyTextIndent2"/>
        <w:spacing w:after="240" w:line="240" w:lineRule="auto"/>
        <w:ind w:left="0"/>
        <w:jc w:val="both"/>
        <w:rPr>
          <w:sz w:val="20"/>
          <w:szCs w:val="20"/>
        </w:rPr>
      </w:pPr>
      <w:r w:rsidRPr="00EA43C3">
        <w:rPr>
          <w:sz w:val="20"/>
          <w:szCs w:val="20"/>
        </w:rPr>
        <w:t>Informācija izklāstīta 5 nodaļās un pielikumā. Ziņojums sastāv no tautsaimniecības un darba tirgus tendenču raksturojuma, tautsaimniecības un demogrāfijas attīstības scenāriju apraksta, darba tirgus vidēja termiņa un ilgtermiņa prognozēm, īstenoto un plānoto izglītības un nodarbinātības pasākumu pārskata, kā arī kopsavilkuma ar rekomendācijām par darbaspēka pieprasījuma un piedāvājuma uzlabošanas virzieniem un pielikuma.</w:t>
      </w:r>
    </w:p>
    <w:p w14:paraId="5A3E46FA" w14:textId="3B41CA36" w:rsidR="00F5076C" w:rsidRDefault="00F5076C" w:rsidP="00F5076C">
      <w:pPr>
        <w:pStyle w:val="BodyTextIndent2"/>
        <w:spacing w:after="240" w:line="240" w:lineRule="auto"/>
        <w:ind w:left="0"/>
        <w:jc w:val="both"/>
        <w:rPr>
          <w:sz w:val="20"/>
          <w:szCs w:val="20"/>
        </w:rPr>
      </w:pPr>
      <w:r w:rsidRPr="00EA43C3">
        <w:rPr>
          <w:sz w:val="20"/>
          <w:szCs w:val="20"/>
        </w:rPr>
        <w:t>Visa statistiskā informācija, izņemot īpaši norādītos gadījumus, ir ņemta no Latvijas Republikas Centrālās statistikas pārvaldes datu bāzes. Ziņojumā ir izmantoti arī Eiropas Savienības statistikas biroja (</w:t>
      </w:r>
      <w:proofErr w:type="spellStart"/>
      <w:r w:rsidRPr="00EA43C3">
        <w:rPr>
          <w:i/>
          <w:sz w:val="20"/>
          <w:szCs w:val="20"/>
        </w:rPr>
        <w:t>Eurostat</w:t>
      </w:r>
      <w:proofErr w:type="spellEnd"/>
      <w:r w:rsidRPr="00EA43C3">
        <w:rPr>
          <w:sz w:val="20"/>
          <w:szCs w:val="20"/>
        </w:rPr>
        <w:t>), Izglītības un zinātnes ministrijas, Nodarbinātības valsts aģentūras un Eiropas Profesionālās izglītības attīstības centra (</w:t>
      </w:r>
      <w:proofErr w:type="spellStart"/>
      <w:r w:rsidRPr="00EA43C3">
        <w:rPr>
          <w:i/>
          <w:sz w:val="20"/>
          <w:szCs w:val="20"/>
        </w:rPr>
        <w:t>Cedefop</w:t>
      </w:r>
      <w:proofErr w:type="spellEnd"/>
      <w:r w:rsidRPr="00EA43C3">
        <w:rPr>
          <w:sz w:val="20"/>
          <w:szCs w:val="20"/>
        </w:rPr>
        <w:t>) dati.</w:t>
      </w:r>
    </w:p>
    <w:p w14:paraId="65F75EC5" w14:textId="6E70DF41" w:rsidR="00E74D43" w:rsidRPr="003B4CDA" w:rsidRDefault="00E74D43" w:rsidP="00F5076C">
      <w:pPr>
        <w:pStyle w:val="BodyTextIndent2"/>
        <w:spacing w:after="240" w:line="240" w:lineRule="auto"/>
        <w:ind w:left="0"/>
        <w:jc w:val="both"/>
        <w:rPr>
          <w:sz w:val="20"/>
          <w:szCs w:val="20"/>
        </w:rPr>
      </w:pPr>
      <w:r>
        <w:rPr>
          <w:sz w:val="20"/>
          <w:szCs w:val="20"/>
        </w:rPr>
        <w:t xml:space="preserve">Detalizēti ar </w:t>
      </w:r>
      <w:r w:rsidR="00DA5B3F">
        <w:rPr>
          <w:sz w:val="20"/>
          <w:szCs w:val="20"/>
        </w:rPr>
        <w:t xml:space="preserve">EM darba tirgus prognozēm, </w:t>
      </w:r>
      <w:r>
        <w:rPr>
          <w:sz w:val="20"/>
          <w:szCs w:val="20"/>
        </w:rPr>
        <w:t>ekonomikas izaugsmes scenārijiem</w:t>
      </w:r>
      <w:r w:rsidR="00DA5B3F">
        <w:rPr>
          <w:sz w:val="20"/>
          <w:szCs w:val="20"/>
        </w:rPr>
        <w:t xml:space="preserve"> un </w:t>
      </w:r>
      <w:r>
        <w:rPr>
          <w:sz w:val="20"/>
          <w:szCs w:val="20"/>
        </w:rPr>
        <w:t xml:space="preserve">demogrāfijas </w:t>
      </w:r>
      <w:r w:rsidR="00DA5B3F">
        <w:rPr>
          <w:sz w:val="20"/>
          <w:szCs w:val="20"/>
        </w:rPr>
        <w:t>prognozēm</w:t>
      </w:r>
      <w:r>
        <w:rPr>
          <w:sz w:val="20"/>
          <w:szCs w:val="20"/>
        </w:rPr>
        <w:t xml:space="preserve"> iespējams iepazīties</w:t>
      </w:r>
      <w:r w:rsidR="00DA5B3F">
        <w:rPr>
          <w:sz w:val="20"/>
          <w:szCs w:val="20"/>
        </w:rPr>
        <w:t xml:space="preserve"> vietnē</w:t>
      </w:r>
      <w:r>
        <w:rPr>
          <w:sz w:val="20"/>
          <w:szCs w:val="20"/>
        </w:rPr>
        <w:t xml:space="preserve">: </w:t>
      </w:r>
      <w:hyperlink r:id="rId8" w:history="1">
        <w:r w:rsidRPr="00AD4868">
          <w:rPr>
            <w:rStyle w:val="Hyperlink"/>
            <w:sz w:val="20"/>
            <w:szCs w:val="20"/>
          </w:rPr>
          <w:t>https://prognozes.em.gov.lv</w:t>
        </w:r>
      </w:hyperlink>
      <w:r w:rsidR="00DA5B3F">
        <w:rPr>
          <w:sz w:val="20"/>
          <w:szCs w:val="20"/>
        </w:rPr>
        <w:t xml:space="preserve">. </w:t>
      </w:r>
    </w:p>
    <w:p w14:paraId="7927B428" w14:textId="77777777" w:rsidR="007818B0" w:rsidRPr="001231A9" w:rsidRDefault="007818B0" w:rsidP="007818B0">
      <w:pPr>
        <w:spacing w:after="0"/>
        <w:rPr>
          <w:szCs w:val="20"/>
          <w:highlight w:val="yellow"/>
        </w:rPr>
      </w:pPr>
      <w:r w:rsidRPr="001231A9">
        <w:rPr>
          <w:szCs w:val="20"/>
          <w:highlight w:val="yellow"/>
        </w:rPr>
        <w:br w:type="page"/>
      </w:r>
    </w:p>
    <w:p w14:paraId="03376DE7" w14:textId="77777777" w:rsidR="007818B0" w:rsidRPr="003E0AA3" w:rsidRDefault="007818B0" w:rsidP="007818B0">
      <w:pPr>
        <w:pStyle w:val="Heading1"/>
        <w:rPr>
          <w:color w:val="000000" w:themeColor="text1"/>
        </w:rPr>
      </w:pPr>
      <w:bookmarkStart w:id="6" w:name="_Toc106366786"/>
      <w:r w:rsidRPr="003E0AA3">
        <w:rPr>
          <w:color w:val="000000" w:themeColor="text1"/>
        </w:rPr>
        <w:lastRenderedPageBreak/>
        <w:t>Saīsinājumi</w:t>
      </w:r>
      <w:bookmarkEnd w:id="6"/>
    </w:p>
    <w:p w14:paraId="007FE4B4" w14:textId="77777777" w:rsidR="007818B0" w:rsidRPr="008659DB" w:rsidRDefault="007818B0" w:rsidP="007818B0">
      <w:pPr>
        <w:pStyle w:val="Taksts11"/>
        <w:spacing w:after="240"/>
        <w:ind w:firstLine="0"/>
        <w:jc w:val="left"/>
        <w:rPr>
          <w:color w:val="000000"/>
          <w:sz w:val="6"/>
          <w:szCs w:val="6"/>
          <w:lang w:val="lv-LV"/>
        </w:rPr>
      </w:pPr>
    </w:p>
    <w:tbl>
      <w:tblPr>
        <w:tblW w:w="5000" w:type="pct"/>
        <w:tblLook w:val="04A0" w:firstRow="1" w:lastRow="0" w:firstColumn="1" w:lastColumn="0" w:noHBand="0" w:noVBand="1"/>
      </w:tblPr>
      <w:tblGrid>
        <w:gridCol w:w="921"/>
        <w:gridCol w:w="8150"/>
      </w:tblGrid>
      <w:tr w:rsidR="006F1A52" w:rsidRPr="006F1A52" w14:paraId="65A14B23" w14:textId="77777777" w:rsidTr="4398C881">
        <w:trPr>
          <w:trHeight w:val="330"/>
        </w:trPr>
        <w:tc>
          <w:tcPr>
            <w:tcW w:w="778" w:type="pct"/>
            <w:tcBorders>
              <w:top w:val="nil"/>
              <w:left w:val="nil"/>
              <w:bottom w:val="nil"/>
              <w:right w:val="nil"/>
            </w:tcBorders>
            <w:shd w:val="clear" w:color="auto" w:fill="auto"/>
            <w:noWrap/>
            <w:vAlign w:val="center"/>
            <w:hideMark/>
          </w:tcPr>
          <w:p w14:paraId="1A404A92"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ADTP</w:t>
            </w:r>
          </w:p>
        </w:tc>
        <w:tc>
          <w:tcPr>
            <w:tcW w:w="4222" w:type="pct"/>
            <w:tcBorders>
              <w:top w:val="nil"/>
              <w:left w:val="nil"/>
              <w:bottom w:val="nil"/>
              <w:right w:val="nil"/>
            </w:tcBorders>
            <w:shd w:val="clear" w:color="auto" w:fill="auto"/>
            <w:noWrap/>
            <w:vAlign w:val="center"/>
            <w:hideMark/>
          </w:tcPr>
          <w:p w14:paraId="2F79904B"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aktīvā darba tirgus politika</w:t>
            </w:r>
          </w:p>
        </w:tc>
      </w:tr>
      <w:tr w:rsidR="006F1A52" w:rsidRPr="006F1A52" w14:paraId="1BCE9367" w14:textId="77777777" w:rsidTr="4398C881">
        <w:trPr>
          <w:trHeight w:val="330"/>
        </w:trPr>
        <w:tc>
          <w:tcPr>
            <w:tcW w:w="778" w:type="pct"/>
            <w:tcBorders>
              <w:top w:val="nil"/>
              <w:left w:val="nil"/>
              <w:bottom w:val="nil"/>
              <w:right w:val="nil"/>
            </w:tcBorders>
            <w:shd w:val="clear" w:color="auto" w:fill="auto"/>
            <w:noWrap/>
            <w:vAlign w:val="center"/>
            <w:hideMark/>
          </w:tcPr>
          <w:p w14:paraId="77CC58E6"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ANM</w:t>
            </w:r>
          </w:p>
        </w:tc>
        <w:tc>
          <w:tcPr>
            <w:tcW w:w="4222" w:type="pct"/>
            <w:tcBorders>
              <w:top w:val="nil"/>
              <w:left w:val="nil"/>
              <w:bottom w:val="nil"/>
              <w:right w:val="nil"/>
            </w:tcBorders>
            <w:shd w:val="clear" w:color="auto" w:fill="auto"/>
            <w:noWrap/>
            <w:vAlign w:val="center"/>
            <w:hideMark/>
          </w:tcPr>
          <w:p w14:paraId="757B71ED"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Atveseļošanas un noturības mehānisms</w:t>
            </w:r>
          </w:p>
        </w:tc>
      </w:tr>
      <w:tr w:rsidR="006F1A52" w:rsidRPr="006F1A52" w14:paraId="6BD069AB" w14:textId="77777777" w:rsidTr="4398C881">
        <w:trPr>
          <w:trHeight w:val="330"/>
        </w:trPr>
        <w:tc>
          <w:tcPr>
            <w:tcW w:w="778" w:type="pct"/>
            <w:tcBorders>
              <w:top w:val="nil"/>
              <w:left w:val="nil"/>
              <w:bottom w:val="nil"/>
              <w:right w:val="nil"/>
            </w:tcBorders>
            <w:shd w:val="clear" w:color="auto" w:fill="auto"/>
            <w:noWrap/>
            <w:vAlign w:val="center"/>
            <w:hideMark/>
          </w:tcPr>
          <w:p w14:paraId="5EF98519"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CEDEFOP</w:t>
            </w:r>
          </w:p>
        </w:tc>
        <w:tc>
          <w:tcPr>
            <w:tcW w:w="4222" w:type="pct"/>
            <w:tcBorders>
              <w:top w:val="nil"/>
              <w:left w:val="nil"/>
              <w:bottom w:val="nil"/>
              <w:right w:val="nil"/>
            </w:tcBorders>
            <w:shd w:val="clear" w:color="auto" w:fill="auto"/>
            <w:noWrap/>
            <w:vAlign w:val="center"/>
            <w:hideMark/>
          </w:tcPr>
          <w:p w14:paraId="2573F024"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Eiropas Profesionālās izglītības attīstības centrs</w:t>
            </w:r>
          </w:p>
        </w:tc>
      </w:tr>
      <w:tr w:rsidR="006F1A52" w:rsidRPr="006F1A52" w14:paraId="50BA0FFF" w14:textId="77777777" w:rsidTr="4398C881">
        <w:trPr>
          <w:trHeight w:val="330"/>
        </w:trPr>
        <w:tc>
          <w:tcPr>
            <w:tcW w:w="778" w:type="pct"/>
            <w:tcBorders>
              <w:top w:val="nil"/>
              <w:left w:val="nil"/>
              <w:bottom w:val="nil"/>
              <w:right w:val="nil"/>
            </w:tcBorders>
            <w:shd w:val="clear" w:color="auto" w:fill="auto"/>
            <w:noWrap/>
            <w:vAlign w:val="center"/>
            <w:hideMark/>
          </w:tcPr>
          <w:p w14:paraId="3572C819"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CSP</w:t>
            </w:r>
          </w:p>
        </w:tc>
        <w:tc>
          <w:tcPr>
            <w:tcW w:w="4222" w:type="pct"/>
            <w:tcBorders>
              <w:top w:val="nil"/>
              <w:left w:val="nil"/>
              <w:bottom w:val="nil"/>
              <w:right w:val="nil"/>
            </w:tcBorders>
            <w:shd w:val="clear" w:color="auto" w:fill="auto"/>
            <w:noWrap/>
            <w:vAlign w:val="center"/>
            <w:hideMark/>
          </w:tcPr>
          <w:p w14:paraId="0F732E0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Centrālā statistikas pārvalde</w:t>
            </w:r>
          </w:p>
        </w:tc>
      </w:tr>
      <w:tr w:rsidR="006F1A52" w:rsidRPr="006F1A52" w14:paraId="49B74262" w14:textId="77777777" w:rsidTr="4398C881">
        <w:trPr>
          <w:trHeight w:val="330"/>
        </w:trPr>
        <w:tc>
          <w:tcPr>
            <w:tcW w:w="778" w:type="pct"/>
            <w:tcBorders>
              <w:top w:val="nil"/>
              <w:left w:val="nil"/>
              <w:bottom w:val="nil"/>
              <w:right w:val="nil"/>
            </w:tcBorders>
            <w:shd w:val="clear" w:color="auto" w:fill="auto"/>
            <w:noWrap/>
            <w:vAlign w:val="center"/>
            <w:hideMark/>
          </w:tcPr>
          <w:p w14:paraId="0D0485BA"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DOM</w:t>
            </w:r>
          </w:p>
        </w:tc>
        <w:tc>
          <w:tcPr>
            <w:tcW w:w="4222" w:type="pct"/>
            <w:tcBorders>
              <w:top w:val="nil"/>
              <w:left w:val="nil"/>
              <w:bottom w:val="nil"/>
              <w:right w:val="nil"/>
            </w:tcBorders>
            <w:shd w:val="clear" w:color="auto" w:fill="auto"/>
            <w:noWrap/>
            <w:vAlign w:val="center"/>
            <w:hideMark/>
          </w:tcPr>
          <w:p w14:paraId="018AED1E"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dinamiskais optimizācijas modelis</w:t>
            </w:r>
          </w:p>
        </w:tc>
      </w:tr>
      <w:tr w:rsidR="006F1A52" w:rsidRPr="006F1A52" w14:paraId="0FB6E85C" w14:textId="77777777" w:rsidTr="4398C881">
        <w:trPr>
          <w:trHeight w:val="330"/>
        </w:trPr>
        <w:tc>
          <w:tcPr>
            <w:tcW w:w="778" w:type="pct"/>
            <w:tcBorders>
              <w:top w:val="nil"/>
              <w:left w:val="nil"/>
              <w:bottom w:val="nil"/>
              <w:right w:val="nil"/>
            </w:tcBorders>
            <w:shd w:val="clear" w:color="auto" w:fill="auto"/>
            <w:noWrap/>
            <w:vAlign w:val="center"/>
            <w:hideMark/>
          </w:tcPr>
          <w:p w14:paraId="167A8312"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DSA</w:t>
            </w:r>
          </w:p>
        </w:tc>
        <w:tc>
          <w:tcPr>
            <w:tcW w:w="4222" w:type="pct"/>
            <w:tcBorders>
              <w:top w:val="nil"/>
              <w:left w:val="nil"/>
              <w:bottom w:val="nil"/>
              <w:right w:val="nil"/>
            </w:tcBorders>
            <w:shd w:val="clear" w:color="auto" w:fill="auto"/>
            <w:noWrap/>
            <w:vAlign w:val="center"/>
            <w:hideMark/>
          </w:tcPr>
          <w:p w14:paraId="750303D5"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 xml:space="preserve">Darbaspēka </w:t>
            </w:r>
            <w:proofErr w:type="spellStart"/>
            <w:r w:rsidRPr="006F1A52">
              <w:rPr>
                <w:rFonts w:eastAsia="Times New Roman" w:cs="Calibri Light"/>
                <w:color w:val="000000"/>
                <w:szCs w:val="20"/>
                <w:lang w:eastAsia="lv-LV"/>
              </w:rPr>
              <w:t>izlasveida</w:t>
            </w:r>
            <w:proofErr w:type="spellEnd"/>
            <w:r w:rsidRPr="006F1A52">
              <w:rPr>
                <w:rFonts w:eastAsia="Times New Roman" w:cs="Calibri Light"/>
                <w:color w:val="000000"/>
                <w:szCs w:val="20"/>
                <w:lang w:eastAsia="lv-LV"/>
              </w:rPr>
              <w:t xml:space="preserve"> </w:t>
            </w:r>
            <w:proofErr w:type="spellStart"/>
            <w:r w:rsidRPr="006F1A52">
              <w:rPr>
                <w:rFonts w:eastAsia="Times New Roman" w:cs="Calibri Light"/>
                <w:color w:val="000000"/>
                <w:szCs w:val="20"/>
                <w:lang w:eastAsia="lv-LV"/>
              </w:rPr>
              <w:t>apsekojums</w:t>
            </w:r>
            <w:proofErr w:type="spellEnd"/>
          </w:p>
        </w:tc>
      </w:tr>
      <w:tr w:rsidR="006F1A52" w:rsidRPr="006F1A52" w14:paraId="2784736F" w14:textId="77777777" w:rsidTr="4398C881">
        <w:trPr>
          <w:trHeight w:val="330"/>
        </w:trPr>
        <w:tc>
          <w:tcPr>
            <w:tcW w:w="778" w:type="pct"/>
            <w:tcBorders>
              <w:top w:val="nil"/>
              <w:left w:val="nil"/>
              <w:bottom w:val="nil"/>
              <w:right w:val="nil"/>
            </w:tcBorders>
            <w:shd w:val="clear" w:color="auto" w:fill="auto"/>
            <w:noWrap/>
            <w:vAlign w:val="center"/>
            <w:hideMark/>
          </w:tcPr>
          <w:p w14:paraId="76FCCD23"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DVB</w:t>
            </w:r>
          </w:p>
        </w:tc>
        <w:tc>
          <w:tcPr>
            <w:tcW w:w="4222" w:type="pct"/>
            <w:tcBorders>
              <w:top w:val="nil"/>
              <w:left w:val="nil"/>
              <w:bottom w:val="nil"/>
              <w:right w:val="nil"/>
            </w:tcBorders>
            <w:shd w:val="clear" w:color="auto" w:fill="auto"/>
            <w:noWrap/>
            <w:vAlign w:val="center"/>
            <w:hideMark/>
          </w:tcPr>
          <w:p w14:paraId="5B56AF00"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darba vidē balstīts</w:t>
            </w:r>
          </w:p>
        </w:tc>
      </w:tr>
      <w:tr w:rsidR="006F1A52" w:rsidRPr="006F1A52" w14:paraId="7C3BE5A4" w14:textId="77777777" w:rsidTr="4398C881">
        <w:trPr>
          <w:trHeight w:val="330"/>
        </w:trPr>
        <w:tc>
          <w:tcPr>
            <w:tcW w:w="778" w:type="pct"/>
            <w:tcBorders>
              <w:top w:val="nil"/>
              <w:left w:val="nil"/>
              <w:bottom w:val="nil"/>
              <w:right w:val="nil"/>
            </w:tcBorders>
            <w:shd w:val="clear" w:color="auto" w:fill="auto"/>
            <w:noWrap/>
            <w:vAlign w:val="center"/>
            <w:hideMark/>
          </w:tcPr>
          <w:p w14:paraId="1F4D3A66"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EK</w:t>
            </w:r>
          </w:p>
        </w:tc>
        <w:tc>
          <w:tcPr>
            <w:tcW w:w="4222" w:type="pct"/>
            <w:tcBorders>
              <w:top w:val="nil"/>
              <w:left w:val="nil"/>
              <w:bottom w:val="nil"/>
              <w:right w:val="nil"/>
            </w:tcBorders>
            <w:shd w:val="clear" w:color="auto" w:fill="auto"/>
            <w:noWrap/>
            <w:vAlign w:val="center"/>
            <w:hideMark/>
          </w:tcPr>
          <w:p w14:paraId="70C6230F"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Eiropas Komisija</w:t>
            </w:r>
          </w:p>
        </w:tc>
      </w:tr>
      <w:tr w:rsidR="006F1A52" w:rsidRPr="006F1A52" w14:paraId="4F0846B4" w14:textId="77777777" w:rsidTr="4398C881">
        <w:trPr>
          <w:trHeight w:val="330"/>
        </w:trPr>
        <w:tc>
          <w:tcPr>
            <w:tcW w:w="778" w:type="pct"/>
            <w:tcBorders>
              <w:top w:val="nil"/>
              <w:left w:val="nil"/>
              <w:bottom w:val="nil"/>
              <w:right w:val="nil"/>
            </w:tcBorders>
            <w:shd w:val="clear" w:color="auto" w:fill="auto"/>
            <w:noWrap/>
            <w:vAlign w:val="center"/>
            <w:hideMark/>
          </w:tcPr>
          <w:p w14:paraId="20E5B3B3"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EM</w:t>
            </w:r>
          </w:p>
        </w:tc>
        <w:tc>
          <w:tcPr>
            <w:tcW w:w="4222" w:type="pct"/>
            <w:tcBorders>
              <w:top w:val="nil"/>
              <w:left w:val="nil"/>
              <w:bottom w:val="nil"/>
              <w:right w:val="nil"/>
            </w:tcBorders>
            <w:shd w:val="clear" w:color="auto" w:fill="auto"/>
            <w:noWrap/>
            <w:vAlign w:val="center"/>
            <w:hideMark/>
          </w:tcPr>
          <w:p w14:paraId="272B9BE4"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Ekonomikas ministrija</w:t>
            </w:r>
          </w:p>
        </w:tc>
      </w:tr>
      <w:tr w:rsidR="006F1A52" w:rsidRPr="006F1A52" w14:paraId="221342DD" w14:textId="77777777" w:rsidTr="4398C881">
        <w:trPr>
          <w:trHeight w:val="330"/>
        </w:trPr>
        <w:tc>
          <w:tcPr>
            <w:tcW w:w="778" w:type="pct"/>
            <w:tcBorders>
              <w:top w:val="nil"/>
              <w:left w:val="nil"/>
              <w:bottom w:val="nil"/>
              <w:right w:val="nil"/>
            </w:tcBorders>
            <w:shd w:val="clear" w:color="auto" w:fill="auto"/>
            <w:noWrap/>
            <w:vAlign w:val="center"/>
            <w:hideMark/>
          </w:tcPr>
          <w:p w14:paraId="0B8D4F2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ERAF</w:t>
            </w:r>
          </w:p>
        </w:tc>
        <w:tc>
          <w:tcPr>
            <w:tcW w:w="4222" w:type="pct"/>
            <w:tcBorders>
              <w:top w:val="nil"/>
              <w:left w:val="nil"/>
              <w:bottom w:val="nil"/>
              <w:right w:val="nil"/>
            </w:tcBorders>
            <w:shd w:val="clear" w:color="auto" w:fill="auto"/>
            <w:noWrap/>
            <w:vAlign w:val="center"/>
            <w:hideMark/>
          </w:tcPr>
          <w:p w14:paraId="4722EE0D"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Eiropas Reģionālās attīstības fonds</w:t>
            </w:r>
          </w:p>
        </w:tc>
      </w:tr>
      <w:tr w:rsidR="006F1A52" w:rsidRPr="006F1A52" w14:paraId="68A45523" w14:textId="77777777" w:rsidTr="4398C881">
        <w:trPr>
          <w:trHeight w:val="330"/>
        </w:trPr>
        <w:tc>
          <w:tcPr>
            <w:tcW w:w="778" w:type="pct"/>
            <w:tcBorders>
              <w:top w:val="nil"/>
              <w:left w:val="nil"/>
              <w:bottom w:val="nil"/>
              <w:right w:val="nil"/>
            </w:tcBorders>
            <w:shd w:val="clear" w:color="auto" w:fill="auto"/>
            <w:noWrap/>
            <w:vAlign w:val="center"/>
            <w:hideMark/>
          </w:tcPr>
          <w:p w14:paraId="6658F3BC"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ES</w:t>
            </w:r>
          </w:p>
        </w:tc>
        <w:tc>
          <w:tcPr>
            <w:tcW w:w="4222" w:type="pct"/>
            <w:tcBorders>
              <w:top w:val="nil"/>
              <w:left w:val="nil"/>
              <w:bottom w:val="nil"/>
              <w:right w:val="nil"/>
            </w:tcBorders>
            <w:shd w:val="clear" w:color="auto" w:fill="auto"/>
            <w:noWrap/>
            <w:vAlign w:val="center"/>
            <w:hideMark/>
          </w:tcPr>
          <w:p w14:paraId="7D8B6B67"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Eiropas Savienība</w:t>
            </w:r>
          </w:p>
        </w:tc>
      </w:tr>
      <w:tr w:rsidR="006F1A52" w:rsidRPr="006F1A52" w14:paraId="5534B919" w14:textId="77777777" w:rsidTr="4398C881">
        <w:trPr>
          <w:trHeight w:val="330"/>
        </w:trPr>
        <w:tc>
          <w:tcPr>
            <w:tcW w:w="778" w:type="pct"/>
            <w:tcBorders>
              <w:top w:val="nil"/>
              <w:left w:val="nil"/>
              <w:bottom w:val="nil"/>
              <w:right w:val="nil"/>
            </w:tcBorders>
            <w:shd w:val="clear" w:color="auto" w:fill="auto"/>
            <w:noWrap/>
            <w:vAlign w:val="center"/>
            <w:hideMark/>
          </w:tcPr>
          <w:p w14:paraId="7CBC4903"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ESF/ ESF+</w:t>
            </w:r>
          </w:p>
        </w:tc>
        <w:tc>
          <w:tcPr>
            <w:tcW w:w="4222" w:type="pct"/>
            <w:tcBorders>
              <w:top w:val="nil"/>
              <w:left w:val="nil"/>
              <w:bottom w:val="nil"/>
              <w:right w:val="nil"/>
            </w:tcBorders>
            <w:shd w:val="clear" w:color="auto" w:fill="auto"/>
            <w:noWrap/>
            <w:vAlign w:val="center"/>
            <w:hideMark/>
          </w:tcPr>
          <w:p w14:paraId="5E49EDCD"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Eiropas Sociālais fonds (ESF+ 2021.-2027.g. periodā)</w:t>
            </w:r>
          </w:p>
        </w:tc>
      </w:tr>
      <w:tr w:rsidR="006F1A52" w:rsidRPr="006F1A52" w14:paraId="77D4B978" w14:textId="77777777" w:rsidTr="4398C881">
        <w:trPr>
          <w:trHeight w:val="330"/>
        </w:trPr>
        <w:tc>
          <w:tcPr>
            <w:tcW w:w="778" w:type="pct"/>
            <w:tcBorders>
              <w:top w:val="nil"/>
              <w:left w:val="nil"/>
              <w:bottom w:val="nil"/>
              <w:right w:val="nil"/>
            </w:tcBorders>
            <w:shd w:val="clear" w:color="auto" w:fill="auto"/>
            <w:noWrap/>
            <w:vAlign w:val="center"/>
            <w:hideMark/>
          </w:tcPr>
          <w:p w14:paraId="62ADD5F0"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IKP</w:t>
            </w:r>
          </w:p>
        </w:tc>
        <w:tc>
          <w:tcPr>
            <w:tcW w:w="4222" w:type="pct"/>
            <w:tcBorders>
              <w:top w:val="nil"/>
              <w:left w:val="nil"/>
              <w:bottom w:val="nil"/>
              <w:right w:val="nil"/>
            </w:tcBorders>
            <w:shd w:val="clear" w:color="auto" w:fill="auto"/>
            <w:noWrap/>
            <w:vAlign w:val="center"/>
            <w:hideMark/>
          </w:tcPr>
          <w:p w14:paraId="41F53A92"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iekšzemes kopprodukts</w:t>
            </w:r>
          </w:p>
        </w:tc>
      </w:tr>
      <w:tr w:rsidR="006F1A52" w:rsidRPr="006F1A52" w14:paraId="00A5BF5A" w14:textId="77777777" w:rsidTr="4398C881">
        <w:trPr>
          <w:trHeight w:val="330"/>
        </w:trPr>
        <w:tc>
          <w:tcPr>
            <w:tcW w:w="778" w:type="pct"/>
            <w:tcBorders>
              <w:top w:val="nil"/>
              <w:left w:val="nil"/>
              <w:bottom w:val="nil"/>
              <w:right w:val="nil"/>
            </w:tcBorders>
            <w:shd w:val="clear" w:color="auto" w:fill="auto"/>
            <w:noWrap/>
            <w:vAlign w:val="center"/>
            <w:hideMark/>
          </w:tcPr>
          <w:p w14:paraId="36DC26E8"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IKT</w:t>
            </w:r>
          </w:p>
        </w:tc>
        <w:tc>
          <w:tcPr>
            <w:tcW w:w="4222" w:type="pct"/>
            <w:tcBorders>
              <w:top w:val="nil"/>
              <w:left w:val="nil"/>
              <w:bottom w:val="nil"/>
              <w:right w:val="nil"/>
            </w:tcBorders>
            <w:shd w:val="clear" w:color="auto" w:fill="auto"/>
            <w:noWrap/>
            <w:vAlign w:val="center"/>
            <w:hideMark/>
          </w:tcPr>
          <w:p w14:paraId="36CD64EE"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informācijas un komunikācijas tehnoloģijas</w:t>
            </w:r>
          </w:p>
        </w:tc>
      </w:tr>
      <w:tr w:rsidR="006F1A52" w:rsidRPr="006F1A52" w14:paraId="03995520" w14:textId="77777777" w:rsidTr="4398C881">
        <w:trPr>
          <w:trHeight w:val="330"/>
        </w:trPr>
        <w:tc>
          <w:tcPr>
            <w:tcW w:w="778" w:type="pct"/>
            <w:tcBorders>
              <w:top w:val="nil"/>
              <w:left w:val="nil"/>
              <w:bottom w:val="nil"/>
              <w:right w:val="nil"/>
            </w:tcBorders>
            <w:shd w:val="clear" w:color="auto" w:fill="auto"/>
            <w:noWrap/>
            <w:vAlign w:val="center"/>
            <w:hideMark/>
          </w:tcPr>
          <w:p w14:paraId="71AA9EB5"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ISCED</w:t>
            </w:r>
          </w:p>
        </w:tc>
        <w:tc>
          <w:tcPr>
            <w:tcW w:w="4222" w:type="pct"/>
            <w:tcBorders>
              <w:top w:val="nil"/>
              <w:left w:val="nil"/>
              <w:bottom w:val="nil"/>
              <w:right w:val="nil"/>
            </w:tcBorders>
            <w:shd w:val="clear" w:color="auto" w:fill="auto"/>
            <w:noWrap/>
            <w:vAlign w:val="center"/>
            <w:hideMark/>
          </w:tcPr>
          <w:p w14:paraId="39977CBE"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Starptautiskā standartizētā izglītības klasifikācija</w:t>
            </w:r>
          </w:p>
        </w:tc>
      </w:tr>
      <w:tr w:rsidR="006F1A52" w:rsidRPr="006F1A52" w14:paraId="19AF038F" w14:textId="77777777" w:rsidTr="4398C881">
        <w:trPr>
          <w:trHeight w:val="330"/>
        </w:trPr>
        <w:tc>
          <w:tcPr>
            <w:tcW w:w="778" w:type="pct"/>
            <w:tcBorders>
              <w:top w:val="nil"/>
              <w:left w:val="nil"/>
              <w:bottom w:val="nil"/>
              <w:right w:val="nil"/>
            </w:tcBorders>
            <w:shd w:val="clear" w:color="auto" w:fill="auto"/>
            <w:noWrap/>
            <w:vAlign w:val="center"/>
            <w:hideMark/>
          </w:tcPr>
          <w:p w14:paraId="2C6366C5"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ISCO</w:t>
            </w:r>
          </w:p>
        </w:tc>
        <w:tc>
          <w:tcPr>
            <w:tcW w:w="4222" w:type="pct"/>
            <w:tcBorders>
              <w:top w:val="nil"/>
              <w:left w:val="nil"/>
              <w:bottom w:val="nil"/>
              <w:right w:val="nil"/>
            </w:tcBorders>
            <w:shd w:val="clear" w:color="auto" w:fill="auto"/>
            <w:noWrap/>
            <w:vAlign w:val="center"/>
            <w:hideMark/>
          </w:tcPr>
          <w:p w14:paraId="7C6A6B9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Standartizētais profesiju klasifikators</w:t>
            </w:r>
          </w:p>
        </w:tc>
      </w:tr>
      <w:tr w:rsidR="006F1A52" w:rsidRPr="006F1A52" w14:paraId="63B51B87" w14:textId="77777777" w:rsidTr="4398C881">
        <w:trPr>
          <w:trHeight w:val="290"/>
        </w:trPr>
        <w:tc>
          <w:tcPr>
            <w:tcW w:w="778" w:type="pct"/>
            <w:tcBorders>
              <w:top w:val="nil"/>
              <w:left w:val="nil"/>
              <w:bottom w:val="nil"/>
              <w:right w:val="nil"/>
            </w:tcBorders>
            <w:shd w:val="clear" w:color="auto" w:fill="auto"/>
            <w:noWrap/>
            <w:vAlign w:val="center"/>
            <w:hideMark/>
          </w:tcPr>
          <w:p w14:paraId="6A284E4D"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IT</w:t>
            </w:r>
          </w:p>
        </w:tc>
        <w:tc>
          <w:tcPr>
            <w:tcW w:w="4222" w:type="pct"/>
            <w:tcBorders>
              <w:top w:val="nil"/>
              <w:left w:val="nil"/>
              <w:bottom w:val="nil"/>
              <w:right w:val="nil"/>
            </w:tcBorders>
            <w:shd w:val="clear" w:color="auto" w:fill="auto"/>
            <w:noWrap/>
            <w:vAlign w:val="center"/>
            <w:hideMark/>
          </w:tcPr>
          <w:p w14:paraId="2750D982"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informācijas tehnoloģijas</w:t>
            </w:r>
          </w:p>
        </w:tc>
      </w:tr>
      <w:tr w:rsidR="006F1A52" w:rsidRPr="006F1A52" w14:paraId="49C28E98" w14:textId="77777777" w:rsidTr="4398C881">
        <w:trPr>
          <w:trHeight w:val="290"/>
        </w:trPr>
        <w:tc>
          <w:tcPr>
            <w:tcW w:w="778" w:type="pct"/>
            <w:tcBorders>
              <w:top w:val="nil"/>
              <w:left w:val="nil"/>
              <w:bottom w:val="nil"/>
              <w:right w:val="nil"/>
            </w:tcBorders>
            <w:shd w:val="clear" w:color="auto" w:fill="auto"/>
            <w:noWrap/>
            <w:vAlign w:val="center"/>
            <w:hideMark/>
          </w:tcPr>
          <w:p w14:paraId="35EDF8F0"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IZM</w:t>
            </w:r>
          </w:p>
        </w:tc>
        <w:tc>
          <w:tcPr>
            <w:tcW w:w="4222" w:type="pct"/>
            <w:tcBorders>
              <w:top w:val="nil"/>
              <w:left w:val="nil"/>
              <w:bottom w:val="nil"/>
              <w:right w:val="nil"/>
            </w:tcBorders>
            <w:shd w:val="clear" w:color="auto" w:fill="auto"/>
            <w:noWrap/>
            <w:vAlign w:val="center"/>
            <w:hideMark/>
          </w:tcPr>
          <w:p w14:paraId="0573E270"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Izglītības un zinātnes ministrija</w:t>
            </w:r>
          </w:p>
        </w:tc>
      </w:tr>
      <w:tr w:rsidR="006F1A52" w:rsidRPr="006F1A52" w14:paraId="3BCD55F1" w14:textId="77777777" w:rsidTr="4398C881">
        <w:trPr>
          <w:trHeight w:val="290"/>
        </w:trPr>
        <w:tc>
          <w:tcPr>
            <w:tcW w:w="778" w:type="pct"/>
            <w:tcBorders>
              <w:top w:val="nil"/>
              <w:left w:val="nil"/>
              <w:bottom w:val="nil"/>
              <w:right w:val="nil"/>
            </w:tcBorders>
            <w:shd w:val="clear" w:color="auto" w:fill="auto"/>
            <w:noWrap/>
            <w:vAlign w:val="center"/>
            <w:hideMark/>
          </w:tcPr>
          <w:p w14:paraId="47E547FE"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LDDK</w:t>
            </w:r>
          </w:p>
        </w:tc>
        <w:tc>
          <w:tcPr>
            <w:tcW w:w="4222" w:type="pct"/>
            <w:tcBorders>
              <w:top w:val="nil"/>
              <w:left w:val="nil"/>
              <w:bottom w:val="nil"/>
              <w:right w:val="nil"/>
            </w:tcBorders>
            <w:shd w:val="clear" w:color="auto" w:fill="auto"/>
            <w:noWrap/>
            <w:vAlign w:val="center"/>
            <w:hideMark/>
          </w:tcPr>
          <w:p w14:paraId="4207AEE5"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Latvijas Darba devēju konfederācija</w:t>
            </w:r>
          </w:p>
        </w:tc>
      </w:tr>
      <w:tr w:rsidR="006F1A52" w:rsidRPr="006F1A52" w14:paraId="667802BF" w14:textId="77777777" w:rsidTr="4398C881">
        <w:trPr>
          <w:trHeight w:val="290"/>
        </w:trPr>
        <w:tc>
          <w:tcPr>
            <w:tcW w:w="778" w:type="pct"/>
            <w:tcBorders>
              <w:top w:val="nil"/>
              <w:left w:val="nil"/>
              <w:bottom w:val="nil"/>
              <w:right w:val="nil"/>
            </w:tcBorders>
            <w:shd w:val="clear" w:color="auto" w:fill="auto"/>
            <w:noWrap/>
            <w:vAlign w:val="center"/>
            <w:hideMark/>
          </w:tcPr>
          <w:p w14:paraId="4F66D4B8"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LIAA</w:t>
            </w:r>
          </w:p>
        </w:tc>
        <w:tc>
          <w:tcPr>
            <w:tcW w:w="4222" w:type="pct"/>
            <w:tcBorders>
              <w:top w:val="nil"/>
              <w:left w:val="nil"/>
              <w:bottom w:val="nil"/>
              <w:right w:val="nil"/>
            </w:tcBorders>
            <w:shd w:val="clear" w:color="auto" w:fill="auto"/>
            <w:noWrap/>
            <w:vAlign w:val="center"/>
            <w:hideMark/>
          </w:tcPr>
          <w:p w14:paraId="36FB6C56"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Latvijas Investīciju un attīstības aģentūra</w:t>
            </w:r>
          </w:p>
        </w:tc>
      </w:tr>
      <w:tr w:rsidR="006F1A52" w:rsidRPr="006F1A52" w14:paraId="02E0EB2C" w14:textId="77777777" w:rsidTr="4398C881">
        <w:trPr>
          <w:trHeight w:val="290"/>
        </w:trPr>
        <w:tc>
          <w:tcPr>
            <w:tcW w:w="778" w:type="pct"/>
            <w:tcBorders>
              <w:top w:val="nil"/>
              <w:left w:val="nil"/>
              <w:bottom w:val="nil"/>
              <w:right w:val="nil"/>
            </w:tcBorders>
            <w:shd w:val="clear" w:color="auto" w:fill="auto"/>
            <w:noWrap/>
            <w:vAlign w:val="center"/>
            <w:hideMark/>
          </w:tcPr>
          <w:p w14:paraId="250E3B9F"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LKI</w:t>
            </w:r>
          </w:p>
        </w:tc>
        <w:tc>
          <w:tcPr>
            <w:tcW w:w="4222" w:type="pct"/>
            <w:tcBorders>
              <w:top w:val="nil"/>
              <w:left w:val="nil"/>
              <w:bottom w:val="nil"/>
              <w:right w:val="nil"/>
            </w:tcBorders>
            <w:shd w:val="clear" w:color="auto" w:fill="auto"/>
            <w:noWrap/>
            <w:vAlign w:val="center"/>
            <w:hideMark/>
          </w:tcPr>
          <w:p w14:paraId="2E11FB42"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 xml:space="preserve">Latvijas kvalifikāciju </w:t>
            </w:r>
            <w:proofErr w:type="spellStart"/>
            <w:r w:rsidRPr="006F1A52">
              <w:rPr>
                <w:rFonts w:eastAsia="Times New Roman" w:cs="Calibri Light"/>
                <w:color w:val="000000"/>
                <w:szCs w:val="20"/>
                <w:lang w:eastAsia="lv-LV"/>
              </w:rPr>
              <w:t>ietvarstruktūra</w:t>
            </w:r>
            <w:proofErr w:type="spellEnd"/>
          </w:p>
        </w:tc>
      </w:tr>
      <w:tr w:rsidR="006F1A52" w:rsidRPr="006F1A52" w14:paraId="1E071BAA" w14:textId="77777777" w:rsidTr="4398C881">
        <w:trPr>
          <w:trHeight w:val="290"/>
        </w:trPr>
        <w:tc>
          <w:tcPr>
            <w:tcW w:w="778" w:type="pct"/>
            <w:tcBorders>
              <w:top w:val="nil"/>
              <w:left w:val="nil"/>
              <w:bottom w:val="nil"/>
              <w:right w:val="nil"/>
            </w:tcBorders>
            <w:shd w:val="clear" w:color="auto" w:fill="auto"/>
            <w:noWrap/>
            <w:vAlign w:val="center"/>
            <w:hideMark/>
          </w:tcPr>
          <w:p w14:paraId="057D5693"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MK</w:t>
            </w:r>
          </w:p>
        </w:tc>
        <w:tc>
          <w:tcPr>
            <w:tcW w:w="4222" w:type="pct"/>
            <w:tcBorders>
              <w:top w:val="nil"/>
              <w:left w:val="nil"/>
              <w:bottom w:val="nil"/>
              <w:right w:val="nil"/>
            </w:tcBorders>
            <w:shd w:val="clear" w:color="auto" w:fill="auto"/>
            <w:noWrap/>
            <w:vAlign w:val="center"/>
            <w:hideMark/>
          </w:tcPr>
          <w:p w14:paraId="346EE9A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Ministru kabinets</w:t>
            </w:r>
          </w:p>
        </w:tc>
      </w:tr>
      <w:tr w:rsidR="006F1A52" w:rsidRPr="006F1A52" w14:paraId="78253D7B" w14:textId="77777777" w:rsidTr="4398C881">
        <w:trPr>
          <w:trHeight w:val="290"/>
        </w:trPr>
        <w:tc>
          <w:tcPr>
            <w:tcW w:w="778" w:type="pct"/>
            <w:tcBorders>
              <w:top w:val="nil"/>
              <w:left w:val="nil"/>
              <w:bottom w:val="nil"/>
              <w:right w:val="nil"/>
            </w:tcBorders>
            <w:shd w:val="clear" w:color="auto" w:fill="auto"/>
            <w:noWrap/>
            <w:vAlign w:val="center"/>
            <w:hideMark/>
          </w:tcPr>
          <w:p w14:paraId="11BD1ABC"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MVU</w:t>
            </w:r>
          </w:p>
        </w:tc>
        <w:tc>
          <w:tcPr>
            <w:tcW w:w="4222" w:type="pct"/>
            <w:tcBorders>
              <w:top w:val="nil"/>
              <w:left w:val="nil"/>
              <w:bottom w:val="nil"/>
              <w:right w:val="nil"/>
            </w:tcBorders>
            <w:shd w:val="clear" w:color="auto" w:fill="auto"/>
            <w:noWrap/>
            <w:vAlign w:val="center"/>
            <w:hideMark/>
          </w:tcPr>
          <w:p w14:paraId="1EB746D6"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mazie un vidējie uzņēmumi</w:t>
            </w:r>
          </w:p>
        </w:tc>
      </w:tr>
      <w:tr w:rsidR="006F1A52" w:rsidRPr="006F1A52" w14:paraId="172ED74C" w14:textId="77777777" w:rsidTr="4398C881">
        <w:trPr>
          <w:trHeight w:val="290"/>
        </w:trPr>
        <w:tc>
          <w:tcPr>
            <w:tcW w:w="778" w:type="pct"/>
            <w:tcBorders>
              <w:top w:val="nil"/>
              <w:left w:val="nil"/>
              <w:bottom w:val="nil"/>
              <w:right w:val="nil"/>
            </w:tcBorders>
            <w:shd w:val="clear" w:color="auto" w:fill="auto"/>
            <w:noWrap/>
            <w:vAlign w:val="center"/>
            <w:hideMark/>
          </w:tcPr>
          <w:p w14:paraId="3E33D685"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NEP</w:t>
            </w:r>
          </w:p>
        </w:tc>
        <w:tc>
          <w:tcPr>
            <w:tcW w:w="4222" w:type="pct"/>
            <w:tcBorders>
              <w:top w:val="nil"/>
              <w:left w:val="nil"/>
              <w:bottom w:val="nil"/>
              <w:right w:val="nil"/>
            </w:tcBorders>
            <w:shd w:val="clear" w:color="auto" w:fill="auto"/>
            <w:noWrap/>
            <w:vAlign w:val="center"/>
            <w:hideMark/>
          </w:tcPr>
          <w:p w14:paraId="65B9779E"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Nozaru ekspertu padome</w:t>
            </w:r>
          </w:p>
        </w:tc>
      </w:tr>
      <w:tr w:rsidR="006F1A52" w:rsidRPr="006F1A52" w14:paraId="64E1B7EB" w14:textId="77777777" w:rsidTr="4398C881">
        <w:trPr>
          <w:trHeight w:val="290"/>
        </w:trPr>
        <w:tc>
          <w:tcPr>
            <w:tcW w:w="778" w:type="pct"/>
            <w:tcBorders>
              <w:top w:val="nil"/>
              <w:left w:val="nil"/>
              <w:bottom w:val="nil"/>
              <w:right w:val="nil"/>
            </w:tcBorders>
            <w:shd w:val="clear" w:color="auto" w:fill="auto"/>
            <w:noWrap/>
            <w:vAlign w:val="center"/>
            <w:hideMark/>
          </w:tcPr>
          <w:p w14:paraId="7B062B7D"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NVA</w:t>
            </w:r>
          </w:p>
        </w:tc>
        <w:tc>
          <w:tcPr>
            <w:tcW w:w="4222" w:type="pct"/>
            <w:tcBorders>
              <w:top w:val="nil"/>
              <w:left w:val="nil"/>
              <w:bottom w:val="nil"/>
              <w:right w:val="nil"/>
            </w:tcBorders>
            <w:shd w:val="clear" w:color="auto" w:fill="auto"/>
            <w:noWrap/>
            <w:vAlign w:val="center"/>
            <w:hideMark/>
          </w:tcPr>
          <w:p w14:paraId="36BF530C"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Nodarbinātības valsts aģentūra</w:t>
            </w:r>
          </w:p>
        </w:tc>
      </w:tr>
      <w:tr w:rsidR="006F1A52" w:rsidRPr="006F1A52" w14:paraId="32CC9283" w14:textId="77777777" w:rsidTr="4398C881">
        <w:trPr>
          <w:trHeight w:val="290"/>
        </w:trPr>
        <w:tc>
          <w:tcPr>
            <w:tcW w:w="778" w:type="pct"/>
            <w:tcBorders>
              <w:top w:val="nil"/>
              <w:left w:val="nil"/>
              <w:bottom w:val="nil"/>
              <w:right w:val="nil"/>
            </w:tcBorders>
            <w:shd w:val="clear" w:color="auto" w:fill="auto"/>
            <w:noWrap/>
            <w:vAlign w:val="center"/>
            <w:hideMark/>
          </w:tcPr>
          <w:p w14:paraId="03AD6D8C"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OECD</w:t>
            </w:r>
          </w:p>
        </w:tc>
        <w:tc>
          <w:tcPr>
            <w:tcW w:w="4222" w:type="pct"/>
            <w:tcBorders>
              <w:top w:val="nil"/>
              <w:left w:val="nil"/>
              <w:bottom w:val="nil"/>
              <w:right w:val="nil"/>
            </w:tcBorders>
            <w:shd w:val="clear" w:color="auto" w:fill="auto"/>
            <w:noWrap/>
            <w:vAlign w:val="center"/>
            <w:hideMark/>
          </w:tcPr>
          <w:p w14:paraId="2F50334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Ekonomiskās sadarbības un attīstības organizācija</w:t>
            </w:r>
          </w:p>
        </w:tc>
      </w:tr>
      <w:tr w:rsidR="006F1A52" w:rsidRPr="006F1A52" w14:paraId="089AD8D7" w14:textId="77777777" w:rsidTr="4398C881">
        <w:trPr>
          <w:trHeight w:val="290"/>
        </w:trPr>
        <w:tc>
          <w:tcPr>
            <w:tcW w:w="778" w:type="pct"/>
            <w:tcBorders>
              <w:top w:val="nil"/>
              <w:left w:val="nil"/>
              <w:bottom w:val="nil"/>
              <w:right w:val="nil"/>
            </w:tcBorders>
            <w:shd w:val="clear" w:color="auto" w:fill="auto"/>
            <w:noWrap/>
            <w:vAlign w:val="center"/>
            <w:hideMark/>
          </w:tcPr>
          <w:p w14:paraId="71176DC2" w14:textId="7532CD32" w:rsidR="006F1A52" w:rsidRPr="006F1A52" w:rsidRDefault="42DB5F40" w:rsidP="000C591A">
            <w:pPr>
              <w:spacing w:before="40" w:after="40"/>
              <w:rPr>
                <w:rFonts w:eastAsia="Times New Roman" w:cs="Calibri Light"/>
                <w:color w:val="000000" w:themeColor="text1"/>
                <w:lang w:eastAsia="lv-LV"/>
              </w:rPr>
            </w:pPr>
            <w:r w:rsidRPr="4398C881">
              <w:rPr>
                <w:rFonts w:eastAsia="Times New Roman" w:cs="Calibri Light"/>
                <w:color w:val="000000" w:themeColor="text1"/>
                <w:lang w:eastAsia="lv-LV"/>
              </w:rPr>
              <w:t>P&amp;A</w:t>
            </w:r>
          </w:p>
          <w:p w14:paraId="4AAE8DF4" w14:textId="70BF197D" w:rsidR="006F1A52" w:rsidRPr="006F1A52" w:rsidRDefault="4398C881" w:rsidP="000C591A">
            <w:pPr>
              <w:spacing w:before="40" w:after="40"/>
              <w:rPr>
                <w:color w:val="000000"/>
                <w:szCs w:val="20"/>
                <w:lang w:eastAsia="lv-LV"/>
              </w:rPr>
            </w:pPr>
            <w:r w:rsidRPr="4398C881">
              <w:rPr>
                <w:rFonts w:eastAsia="Times New Roman" w:cs="Calibri Light"/>
                <w:color w:val="000000" w:themeColor="text1"/>
                <w:szCs w:val="20"/>
                <w:lang w:eastAsia="lv-LV"/>
              </w:rPr>
              <w:t>PIAAC</w:t>
            </w:r>
          </w:p>
        </w:tc>
        <w:tc>
          <w:tcPr>
            <w:tcW w:w="4222" w:type="pct"/>
            <w:tcBorders>
              <w:top w:val="nil"/>
              <w:left w:val="nil"/>
              <w:bottom w:val="nil"/>
              <w:right w:val="nil"/>
            </w:tcBorders>
            <w:shd w:val="clear" w:color="auto" w:fill="auto"/>
            <w:noWrap/>
            <w:vAlign w:val="center"/>
            <w:hideMark/>
          </w:tcPr>
          <w:p w14:paraId="6A19AEF6" w14:textId="7269466F" w:rsidR="006F1A52" w:rsidRPr="006F1A52" w:rsidRDefault="42DB5F40" w:rsidP="000C591A">
            <w:pPr>
              <w:spacing w:before="40" w:after="40"/>
              <w:rPr>
                <w:rFonts w:eastAsia="Times New Roman" w:cs="Calibri Light"/>
                <w:color w:val="000000" w:themeColor="text1"/>
                <w:lang w:eastAsia="lv-LV"/>
              </w:rPr>
            </w:pPr>
            <w:r w:rsidRPr="4398C881">
              <w:rPr>
                <w:rFonts w:eastAsia="Times New Roman" w:cs="Calibri Light"/>
                <w:color w:val="000000" w:themeColor="text1"/>
                <w:lang w:eastAsia="lv-LV"/>
              </w:rPr>
              <w:t>pētniecība un attīstība</w:t>
            </w:r>
          </w:p>
          <w:p w14:paraId="2588B52A" w14:textId="3BBF186A" w:rsidR="006F1A52" w:rsidRPr="006F1A52" w:rsidRDefault="4398C881" w:rsidP="000C591A">
            <w:pPr>
              <w:spacing w:before="40" w:after="40"/>
              <w:rPr>
                <w:color w:val="000000"/>
                <w:szCs w:val="20"/>
                <w:lang w:eastAsia="lv-LV"/>
              </w:rPr>
            </w:pPr>
            <w:r w:rsidRPr="4398C881">
              <w:rPr>
                <w:color w:val="000000" w:themeColor="text1"/>
                <w:szCs w:val="20"/>
                <w:lang w:eastAsia="lv-LV"/>
              </w:rPr>
              <w:t>OECD Starptautiskā Pieaugušo kompetenču novērtēšanas programma</w:t>
            </w:r>
          </w:p>
        </w:tc>
      </w:tr>
      <w:tr w:rsidR="006F1A52" w:rsidRPr="006F1A52" w14:paraId="0FCECE34" w14:textId="77777777" w:rsidTr="4398C881">
        <w:trPr>
          <w:trHeight w:val="290"/>
        </w:trPr>
        <w:tc>
          <w:tcPr>
            <w:tcW w:w="778" w:type="pct"/>
            <w:tcBorders>
              <w:top w:val="nil"/>
              <w:left w:val="nil"/>
              <w:bottom w:val="nil"/>
              <w:right w:val="nil"/>
            </w:tcBorders>
            <w:shd w:val="clear" w:color="auto" w:fill="auto"/>
            <w:noWrap/>
            <w:vAlign w:val="center"/>
            <w:hideMark/>
          </w:tcPr>
          <w:p w14:paraId="35B1ABDC" w14:textId="471BC28D" w:rsidR="006F1A52" w:rsidRPr="006F1A52" w:rsidRDefault="42DB5F40" w:rsidP="000C591A">
            <w:pPr>
              <w:spacing w:before="40" w:after="40"/>
              <w:rPr>
                <w:rFonts w:eastAsia="Times New Roman" w:cs="Calibri Light"/>
                <w:color w:val="000000" w:themeColor="text1"/>
                <w:lang w:eastAsia="lv-LV"/>
              </w:rPr>
            </w:pPr>
            <w:r w:rsidRPr="4398C881">
              <w:rPr>
                <w:rFonts w:eastAsia="Times New Roman" w:cs="Calibri Light"/>
                <w:color w:val="000000" w:themeColor="text1"/>
                <w:lang w:eastAsia="lv-LV"/>
              </w:rPr>
              <w:t>PIKC</w:t>
            </w:r>
          </w:p>
          <w:p w14:paraId="377D55A5" w14:textId="38AC5454" w:rsidR="006F1A52" w:rsidRPr="006F1A52" w:rsidRDefault="4398C881" w:rsidP="000C591A">
            <w:pPr>
              <w:spacing w:before="40" w:after="40"/>
              <w:rPr>
                <w:color w:val="000000"/>
                <w:szCs w:val="20"/>
                <w:lang w:eastAsia="lv-LV"/>
              </w:rPr>
            </w:pPr>
            <w:r w:rsidRPr="4398C881">
              <w:rPr>
                <w:rFonts w:eastAsia="Times New Roman" w:cs="Calibri Light"/>
                <w:color w:val="000000" w:themeColor="text1"/>
                <w:szCs w:val="20"/>
                <w:lang w:eastAsia="lv-LV"/>
              </w:rPr>
              <w:t>PPS</w:t>
            </w:r>
          </w:p>
        </w:tc>
        <w:tc>
          <w:tcPr>
            <w:tcW w:w="4222" w:type="pct"/>
            <w:tcBorders>
              <w:top w:val="nil"/>
              <w:left w:val="nil"/>
              <w:bottom w:val="nil"/>
              <w:right w:val="nil"/>
            </w:tcBorders>
            <w:shd w:val="clear" w:color="auto" w:fill="auto"/>
            <w:noWrap/>
            <w:vAlign w:val="center"/>
            <w:hideMark/>
          </w:tcPr>
          <w:p w14:paraId="7964F8D8" w14:textId="7A9039EC" w:rsidR="006F1A52" w:rsidRPr="006F1A52" w:rsidRDefault="42DB5F40" w:rsidP="000C591A">
            <w:pPr>
              <w:spacing w:before="40" w:after="40"/>
              <w:rPr>
                <w:rFonts w:eastAsia="Times New Roman" w:cs="Calibri Light"/>
                <w:color w:val="000000" w:themeColor="text1"/>
                <w:lang w:eastAsia="lv-LV"/>
              </w:rPr>
            </w:pPr>
            <w:r w:rsidRPr="4398C881">
              <w:rPr>
                <w:rFonts w:eastAsia="Times New Roman" w:cs="Calibri Light"/>
                <w:color w:val="000000" w:themeColor="text1"/>
                <w:lang w:eastAsia="lv-LV"/>
              </w:rPr>
              <w:t>Profesionālās izglītības kompetences centrs</w:t>
            </w:r>
          </w:p>
          <w:p w14:paraId="5E4B74DB" w14:textId="36FE758B" w:rsidR="006F1A52" w:rsidRPr="006F1A52" w:rsidRDefault="4398C881" w:rsidP="000C591A">
            <w:pPr>
              <w:spacing w:before="40" w:after="40"/>
              <w:rPr>
                <w:color w:val="000000"/>
                <w:szCs w:val="20"/>
                <w:lang w:eastAsia="lv-LV"/>
              </w:rPr>
            </w:pPr>
            <w:r w:rsidRPr="4398C881">
              <w:rPr>
                <w:color w:val="000000" w:themeColor="text1"/>
                <w:szCs w:val="20"/>
                <w:lang w:eastAsia="lv-LV"/>
              </w:rPr>
              <w:t>Pirktspējas paritātes standarts</w:t>
            </w:r>
          </w:p>
        </w:tc>
      </w:tr>
      <w:tr w:rsidR="006F1A52" w:rsidRPr="006F1A52" w14:paraId="3B8BF559" w14:textId="77777777" w:rsidTr="4398C881">
        <w:trPr>
          <w:trHeight w:val="290"/>
        </w:trPr>
        <w:tc>
          <w:tcPr>
            <w:tcW w:w="778" w:type="pct"/>
            <w:tcBorders>
              <w:top w:val="nil"/>
              <w:left w:val="nil"/>
              <w:bottom w:val="nil"/>
              <w:right w:val="nil"/>
            </w:tcBorders>
            <w:shd w:val="clear" w:color="auto" w:fill="auto"/>
            <w:noWrap/>
            <w:vAlign w:val="center"/>
            <w:hideMark/>
          </w:tcPr>
          <w:p w14:paraId="0BC94FCD"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REACT-EU</w:t>
            </w:r>
          </w:p>
        </w:tc>
        <w:tc>
          <w:tcPr>
            <w:tcW w:w="4222" w:type="pct"/>
            <w:tcBorders>
              <w:top w:val="nil"/>
              <w:left w:val="nil"/>
              <w:bottom w:val="nil"/>
              <w:right w:val="nil"/>
            </w:tcBorders>
            <w:shd w:val="clear" w:color="auto" w:fill="auto"/>
            <w:noWrap/>
            <w:vAlign w:val="center"/>
            <w:hideMark/>
          </w:tcPr>
          <w:p w14:paraId="450713B6" w14:textId="77777777" w:rsidR="006F1A52" w:rsidRP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Atveseļošanas palīdzība kohēzijai un Eiropas teritorijām</w:t>
            </w:r>
          </w:p>
        </w:tc>
      </w:tr>
      <w:tr w:rsidR="006F1A52" w:rsidRPr="006F1A52" w14:paraId="163A26BE" w14:textId="77777777" w:rsidTr="4398C881">
        <w:trPr>
          <w:trHeight w:val="290"/>
        </w:trPr>
        <w:tc>
          <w:tcPr>
            <w:tcW w:w="778" w:type="pct"/>
            <w:tcBorders>
              <w:top w:val="nil"/>
              <w:left w:val="nil"/>
              <w:bottom w:val="nil"/>
              <w:right w:val="nil"/>
            </w:tcBorders>
            <w:shd w:val="clear" w:color="auto" w:fill="auto"/>
            <w:noWrap/>
            <w:hideMark/>
          </w:tcPr>
          <w:p w14:paraId="16552056" w14:textId="77777777" w:rsidR="006F1A52" w:rsidRDefault="006F1A52" w:rsidP="000C591A">
            <w:pPr>
              <w:spacing w:before="40" w:after="40"/>
              <w:rPr>
                <w:rFonts w:eastAsia="Times New Roman" w:cs="Calibri Light"/>
                <w:color w:val="000000"/>
                <w:szCs w:val="20"/>
                <w:lang w:eastAsia="lv-LV"/>
              </w:rPr>
            </w:pPr>
            <w:r w:rsidRPr="006F1A52">
              <w:rPr>
                <w:rFonts w:eastAsia="Times New Roman" w:cs="Calibri Light"/>
                <w:color w:val="000000"/>
                <w:szCs w:val="20"/>
                <w:lang w:eastAsia="lv-LV"/>
              </w:rPr>
              <w:t>STEM</w:t>
            </w:r>
          </w:p>
          <w:p w14:paraId="050F25D6" w14:textId="77777777" w:rsidR="00295827" w:rsidRDefault="00295827" w:rsidP="000C591A">
            <w:pPr>
              <w:spacing w:before="40" w:after="40"/>
              <w:rPr>
                <w:rFonts w:eastAsia="Times New Roman" w:cs="Calibri Light"/>
                <w:color w:val="000000"/>
                <w:szCs w:val="20"/>
                <w:lang w:eastAsia="lv-LV"/>
              </w:rPr>
            </w:pPr>
          </w:p>
          <w:p w14:paraId="03503512" w14:textId="2A1A77F6" w:rsidR="00295827" w:rsidRPr="006F1A52" w:rsidRDefault="00295827" w:rsidP="000C591A">
            <w:pPr>
              <w:spacing w:before="40" w:after="40"/>
              <w:rPr>
                <w:rFonts w:eastAsia="Times New Roman" w:cs="Calibri Light"/>
                <w:color w:val="000000"/>
                <w:szCs w:val="20"/>
                <w:lang w:eastAsia="lv-LV"/>
              </w:rPr>
            </w:pPr>
            <w:r>
              <w:rPr>
                <w:rFonts w:eastAsia="Times New Roman" w:cs="Calibri Light"/>
                <w:color w:val="000000"/>
                <w:szCs w:val="20"/>
                <w:lang w:eastAsia="lv-LV"/>
              </w:rPr>
              <w:t>SDO</w:t>
            </w:r>
          </w:p>
        </w:tc>
        <w:tc>
          <w:tcPr>
            <w:tcW w:w="4222" w:type="pct"/>
            <w:tcBorders>
              <w:top w:val="nil"/>
              <w:left w:val="nil"/>
              <w:bottom w:val="nil"/>
              <w:right w:val="nil"/>
            </w:tcBorders>
            <w:shd w:val="clear" w:color="auto" w:fill="auto"/>
            <w:noWrap/>
            <w:hideMark/>
          </w:tcPr>
          <w:p w14:paraId="00884D92" w14:textId="766AC81C" w:rsidR="006F1A52" w:rsidRDefault="006F1A52" w:rsidP="000C591A">
            <w:pPr>
              <w:spacing w:before="40" w:after="40"/>
              <w:ind w:firstLineChars="6" w:firstLine="12"/>
              <w:rPr>
                <w:rFonts w:eastAsia="Times New Roman" w:cs="Calibri Light"/>
                <w:i/>
                <w:iCs/>
                <w:color w:val="000000"/>
                <w:szCs w:val="20"/>
                <w:lang w:val="en-GB" w:eastAsia="lv-LV"/>
              </w:rPr>
            </w:pPr>
            <w:r w:rsidRPr="006F1A52">
              <w:rPr>
                <w:rFonts w:eastAsia="Times New Roman" w:cs="Calibri Light"/>
                <w:color w:val="000000"/>
                <w:szCs w:val="20"/>
                <w:lang w:eastAsia="lv-LV"/>
              </w:rPr>
              <w:t>Zinātnes, tehnoloģiju, inženierzinātņu un matemātikas virzieni</w:t>
            </w:r>
            <w:r w:rsidR="00295827">
              <w:rPr>
                <w:rFonts w:eastAsia="Times New Roman" w:cs="Calibri Light"/>
                <w:color w:val="000000"/>
                <w:szCs w:val="20"/>
                <w:lang w:eastAsia="lv-LV"/>
              </w:rPr>
              <w:t xml:space="preserve"> </w:t>
            </w:r>
            <w:r w:rsidRPr="006F1A52">
              <w:rPr>
                <w:rFonts w:eastAsia="Times New Roman" w:cs="Calibri Light"/>
                <w:i/>
                <w:iCs/>
                <w:color w:val="000000"/>
                <w:szCs w:val="20"/>
                <w:lang w:val="en-GB" w:eastAsia="lv-LV"/>
              </w:rPr>
              <w:t>Science, technology, engineering and mathematics</w:t>
            </w:r>
          </w:p>
          <w:p w14:paraId="3710AFEF" w14:textId="4CDFA047" w:rsidR="00295827" w:rsidRPr="006F1A52" w:rsidRDefault="00295827" w:rsidP="000C591A">
            <w:pPr>
              <w:spacing w:before="40" w:after="40"/>
              <w:ind w:firstLineChars="6" w:firstLine="12"/>
              <w:rPr>
                <w:rFonts w:eastAsia="Times New Roman" w:cs="Calibri Light"/>
                <w:color w:val="000000"/>
                <w:szCs w:val="20"/>
                <w:lang w:eastAsia="lv-LV"/>
              </w:rPr>
            </w:pPr>
            <w:r w:rsidRPr="00295827">
              <w:rPr>
                <w:rFonts w:eastAsia="Times New Roman" w:cs="Calibri Light"/>
                <w:color w:val="000000"/>
                <w:szCs w:val="20"/>
                <w:lang w:eastAsia="lv-LV"/>
              </w:rPr>
              <w:t>Starptautiskā darba organizācija</w:t>
            </w:r>
          </w:p>
        </w:tc>
      </w:tr>
      <w:tr w:rsidR="006F1A52" w:rsidRPr="006F1A52" w14:paraId="5DD45E4E" w14:textId="77777777" w:rsidTr="4398C881">
        <w:trPr>
          <w:trHeight w:val="290"/>
        </w:trPr>
        <w:tc>
          <w:tcPr>
            <w:tcW w:w="778" w:type="pct"/>
            <w:tcBorders>
              <w:top w:val="nil"/>
              <w:left w:val="nil"/>
              <w:bottom w:val="nil"/>
              <w:right w:val="nil"/>
            </w:tcBorders>
            <w:shd w:val="clear" w:color="auto" w:fill="auto"/>
            <w:noWrap/>
            <w:vAlign w:val="center"/>
            <w:hideMark/>
          </w:tcPr>
          <w:p w14:paraId="4FECF301"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ULC</w:t>
            </w:r>
          </w:p>
        </w:tc>
        <w:tc>
          <w:tcPr>
            <w:tcW w:w="4222" w:type="pct"/>
            <w:tcBorders>
              <w:top w:val="nil"/>
              <w:left w:val="nil"/>
              <w:bottom w:val="nil"/>
              <w:right w:val="nil"/>
            </w:tcBorders>
            <w:shd w:val="clear" w:color="auto" w:fill="auto"/>
            <w:noWrap/>
            <w:vAlign w:val="center"/>
            <w:hideMark/>
          </w:tcPr>
          <w:p w14:paraId="50335F1B"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produkcijas vienības darbaspēka izmaksas</w:t>
            </w:r>
          </w:p>
        </w:tc>
      </w:tr>
      <w:tr w:rsidR="006F1A52" w:rsidRPr="006F1A52" w14:paraId="5EC3BADC" w14:textId="77777777" w:rsidTr="4398C881">
        <w:trPr>
          <w:trHeight w:val="290"/>
        </w:trPr>
        <w:tc>
          <w:tcPr>
            <w:tcW w:w="778" w:type="pct"/>
            <w:tcBorders>
              <w:top w:val="nil"/>
              <w:left w:val="nil"/>
              <w:bottom w:val="nil"/>
              <w:right w:val="nil"/>
            </w:tcBorders>
            <w:shd w:val="clear" w:color="auto" w:fill="auto"/>
            <w:noWrap/>
            <w:vAlign w:val="center"/>
            <w:hideMark/>
          </w:tcPr>
          <w:p w14:paraId="3732CBD3"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VID</w:t>
            </w:r>
          </w:p>
        </w:tc>
        <w:tc>
          <w:tcPr>
            <w:tcW w:w="4222" w:type="pct"/>
            <w:tcBorders>
              <w:top w:val="nil"/>
              <w:left w:val="nil"/>
              <w:bottom w:val="nil"/>
              <w:right w:val="nil"/>
            </w:tcBorders>
            <w:shd w:val="clear" w:color="auto" w:fill="auto"/>
            <w:noWrap/>
            <w:vAlign w:val="center"/>
            <w:hideMark/>
          </w:tcPr>
          <w:p w14:paraId="32C2304D" w14:textId="77777777" w:rsidR="006F1A52" w:rsidRPr="006F1A52" w:rsidRDefault="006F1A52" w:rsidP="000C591A">
            <w:pPr>
              <w:spacing w:before="40" w:after="40"/>
              <w:jc w:val="both"/>
              <w:rPr>
                <w:rFonts w:eastAsia="Times New Roman" w:cs="Calibri Light"/>
                <w:color w:val="000000"/>
                <w:szCs w:val="20"/>
                <w:lang w:eastAsia="lv-LV"/>
              </w:rPr>
            </w:pPr>
            <w:r w:rsidRPr="006F1A52">
              <w:rPr>
                <w:rFonts w:eastAsia="Times New Roman" w:cs="Calibri Light"/>
                <w:color w:val="000000"/>
                <w:szCs w:val="20"/>
                <w:lang w:eastAsia="lv-LV"/>
              </w:rPr>
              <w:t>Valsts ieņēmumu dienests</w:t>
            </w:r>
          </w:p>
        </w:tc>
      </w:tr>
    </w:tbl>
    <w:p w14:paraId="58F71C36" w14:textId="77777777" w:rsidR="007818B0" w:rsidRPr="001231A9" w:rsidRDefault="007818B0" w:rsidP="007818B0">
      <w:pPr>
        <w:pStyle w:val="BodyTextIndent2"/>
        <w:spacing w:after="240" w:line="240" w:lineRule="auto"/>
        <w:ind w:left="0"/>
        <w:jc w:val="both"/>
        <w:rPr>
          <w:sz w:val="20"/>
          <w:szCs w:val="20"/>
          <w:highlight w:val="yellow"/>
        </w:rPr>
      </w:pPr>
      <w:r w:rsidRPr="001231A9">
        <w:rPr>
          <w:sz w:val="20"/>
          <w:szCs w:val="20"/>
          <w:highlight w:val="yellow"/>
        </w:rPr>
        <w:br w:type="page"/>
      </w:r>
    </w:p>
    <w:p w14:paraId="1B022D6B" w14:textId="77777777" w:rsidR="007818B0" w:rsidRPr="003E0AA3" w:rsidRDefault="007818B0" w:rsidP="007818B0">
      <w:pPr>
        <w:pStyle w:val="BodyTextIndent2"/>
        <w:spacing w:after="240" w:line="240" w:lineRule="auto"/>
        <w:ind w:left="0"/>
        <w:rPr>
          <w:rFonts w:ascii="Cambria" w:hAnsi="Cambria"/>
          <w:b/>
          <w:color w:val="000000" w:themeColor="text1"/>
          <w:sz w:val="36"/>
          <w:szCs w:val="36"/>
        </w:rPr>
      </w:pPr>
      <w:r w:rsidRPr="003E0AA3">
        <w:rPr>
          <w:rFonts w:ascii="Cambria" w:hAnsi="Cambria"/>
          <w:b/>
          <w:color w:val="000000" w:themeColor="text1"/>
          <w:sz w:val="36"/>
          <w:szCs w:val="36"/>
        </w:rPr>
        <w:lastRenderedPageBreak/>
        <w:t>SATURS</w:t>
      </w:r>
    </w:p>
    <w:p w14:paraId="6F565F10" w14:textId="77777777" w:rsidR="003E0AA3" w:rsidRPr="003E0AA3" w:rsidRDefault="003E0AA3" w:rsidP="003E0AA3">
      <w:pPr>
        <w:pStyle w:val="TOC1"/>
        <w:rPr>
          <w:highlight w:val="yellow"/>
        </w:rPr>
      </w:pPr>
    </w:p>
    <w:p w14:paraId="2C0C1B1E" w14:textId="153E45BA" w:rsidR="00F572F5" w:rsidRDefault="007818B0">
      <w:pPr>
        <w:pStyle w:val="TOC1"/>
        <w:rPr>
          <w:rFonts w:asciiTheme="minorHAnsi" w:eastAsiaTheme="minorEastAsia" w:hAnsiTheme="minorHAnsi" w:cstheme="minorBidi"/>
          <w:b w:val="0"/>
          <w:bCs w:val="0"/>
          <w:caps w:val="0"/>
          <w:color w:val="auto"/>
          <w:sz w:val="22"/>
          <w:szCs w:val="22"/>
          <w:lang w:eastAsia="lv-LV"/>
        </w:rPr>
      </w:pPr>
      <w:r w:rsidRPr="009C3742">
        <w:fldChar w:fldCharType="begin"/>
      </w:r>
      <w:r w:rsidRPr="009C3742">
        <w:instrText xml:space="preserve"> TOC \o "1-3" \h \z \u </w:instrText>
      </w:r>
      <w:r w:rsidRPr="009C3742">
        <w:fldChar w:fldCharType="separate"/>
      </w:r>
      <w:hyperlink w:anchor="_Toc106366785" w:history="1">
        <w:r w:rsidR="00F572F5" w:rsidRPr="008353D4">
          <w:rPr>
            <w:rStyle w:val="Hyperlink"/>
          </w:rPr>
          <w:t>Ievads</w:t>
        </w:r>
        <w:r w:rsidR="00F572F5">
          <w:rPr>
            <w:webHidden/>
          </w:rPr>
          <w:tab/>
        </w:r>
        <w:r w:rsidR="00F572F5">
          <w:rPr>
            <w:webHidden/>
          </w:rPr>
          <w:fldChar w:fldCharType="begin"/>
        </w:r>
        <w:r w:rsidR="00F572F5">
          <w:rPr>
            <w:webHidden/>
          </w:rPr>
          <w:instrText xml:space="preserve"> PAGEREF _Toc106366785 \h </w:instrText>
        </w:r>
        <w:r w:rsidR="00F572F5">
          <w:rPr>
            <w:webHidden/>
          </w:rPr>
        </w:r>
        <w:r w:rsidR="00F572F5">
          <w:rPr>
            <w:webHidden/>
          </w:rPr>
          <w:fldChar w:fldCharType="separate"/>
        </w:r>
        <w:r w:rsidR="000738BC">
          <w:rPr>
            <w:webHidden/>
          </w:rPr>
          <w:t>2</w:t>
        </w:r>
        <w:r w:rsidR="00F572F5">
          <w:rPr>
            <w:webHidden/>
          </w:rPr>
          <w:fldChar w:fldCharType="end"/>
        </w:r>
      </w:hyperlink>
    </w:p>
    <w:p w14:paraId="67790E2F" w14:textId="6C9A843B"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786" w:history="1">
        <w:r w:rsidR="00F572F5" w:rsidRPr="008353D4">
          <w:rPr>
            <w:rStyle w:val="Hyperlink"/>
          </w:rPr>
          <w:t>Saīsinājumi</w:t>
        </w:r>
        <w:r w:rsidR="00F572F5">
          <w:rPr>
            <w:webHidden/>
          </w:rPr>
          <w:tab/>
        </w:r>
        <w:r w:rsidR="00F572F5">
          <w:rPr>
            <w:webHidden/>
          </w:rPr>
          <w:fldChar w:fldCharType="begin"/>
        </w:r>
        <w:r w:rsidR="00F572F5">
          <w:rPr>
            <w:webHidden/>
          </w:rPr>
          <w:instrText xml:space="preserve"> PAGEREF _Toc106366786 \h </w:instrText>
        </w:r>
        <w:r w:rsidR="00F572F5">
          <w:rPr>
            <w:webHidden/>
          </w:rPr>
        </w:r>
        <w:r w:rsidR="00F572F5">
          <w:rPr>
            <w:webHidden/>
          </w:rPr>
          <w:fldChar w:fldCharType="separate"/>
        </w:r>
        <w:r w:rsidR="000738BC">
          <w:rPr>
            <w:webHidden/>
          </w:rPr>
          <w:t>3</w:t>
        </w:r>
        <w:r w:rsidR="00F572F5">
          <w:rPr>
            <w:webHidden/>
          </w:rPr>
          <w:fldChar w:fldCharType="end"/>
        </w:r>
      </w:hyperlink>
    </w:p>
    <w:p w14:paraId="2A221B6F" w14:textId="053F987B"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787" w:history="1">
        <w:r w:rsidR="00F572F5" w:rsidRPr="008353D4">
          <w:rPr>
            <w:rStyle w:val="Hyperlink"/>
          </w:rPr>
          <w:t>1. TAUTSAIMNIECĪBAS UN DARBA TIRGUS ATTĪSTĪBA</w:t>
        </w:r>
        <w:r w:rsidR="00F572F5">
          <w:rPr>
            <w:webHidden/>
          </w:rPr>
          <w:tab/>
        </w:r>
        <w:r w:rsidR="00F572F5">
          <w:rPr>
            <w:webHidden/>
          </w:rPr>
          <w:fldChar w:fldCharType="begin"/>
        </w:r>
        <w:r w:rsidR="00F572F5">
          <w:rPr>
            <w:webHidden/>
          </w:rPr>
          <w:instrText xml:space="preserve"> PAGEREF _Toc106366787 \h </w:instrText>
        </w:r>
        <w:r w:rsidR="00F572F5">
          <w:rPr>
            <w:webHidden/>
          </w:rPr>
        </w:r>
        <w:r w:rsidR="00F572F5">
          <w:rPr>
            <w:webHidden/>
          </w:rPr>
          <w:fldChar w:fldCharType="separate"/>
        </w:r>
        <w:r w:rsidR="000738BC">
          <w:rPr>
            <w:webHidden/>
          </w:rPr>
          <w:t>5</w:t>
        </w:r>
        <w:r w:rsidR="00F572F5">
          <w:rPr>
            <w:webHidden/>
          </w:rPr>
          <w:fldChar w:fldCharType="end"/>
        </w:r>
      </w:hyperlink>
    </w:p>
    <w:p w14:paraId="79833C8D" w14:textId="0D0DBA28" w:rsidR="00F572F5" w:rsidRDefault="00A94648">
      <w:pPr>
        <w:pStyle w:val="TOC2"/>
        <w:rPr>
          <w:rFonts w:asciiTheme="minorHAnsi" w:eastAsiaTheme="minorEastAsia" w:hAnsiTheme="minorHAnsi" w:cstheme="minorBidi"/>
          <w:iCs w:val="0"/>
          <w:lang w:eastAsia="lv-LV"/>
        </w:rPr>
      </w:pPr>
      <w:hyperlink w:anchor="_Toc106366788" w:history="1">
        <w:r w:rsidR="00F572F5" w:rsidRPr="008353D4">
          <w:rPr>
            <w:rStyle w:val="Hyperlink"/>
          </w:rPr>
          <w:t>1.1. Makroekonomiskā situācija un nozaru attīstība</w:t>
        </w:r>
        <w:r w:rsidR="00F572F5">
          <w:rPr>
            <w:webHidden/>
          </w:rPr>
          <w:tab/>
        </w:r>
        <w:r w:rsidR="00F572F5">
          <w:rPr>
            <w:webHidden/>
          </w:rPr>
          <w:fldChar w:fldCharType="begin"/>
        </w:r>
        <w:r w:rsidR="00F572F5">
          <w:rPr>
            <w:webHidden/>
          </w:rPr>
          <w:instrText xml:space="preserve"> PAGEREF _Toc106366788 \h </w:instrText>
        </w:r>
        <w:r w:rsidR="00F572F5">
          <w:rPr>
            <w:webHidden/>
          </w:rPr>
        </w:r>
        <w:r w:rsidR="00F572F5">
          <w:rPr>
            <w:webHidden/>
          </w:rPr>
          <w:fldChar w:fldCharType="separate"/>
        </w:r>
        <w:r w:rsidR="000738BC">
          <w:rPr>
            <w:webHidden/>
          </w:rPr>
          <w:t>5</w:t>
        </w:r>
        <w:r w:rsidR="00F572F5">
          <w:rPr>
            <w:webHidden/>
          </w:rPr>
          <w:fldChar w:fldCharType="end"/>
        </w:r>
      </w:hyperlink>
    </w:p>
    <w:p w14:paraId="3AB6D526" w14:textId="62D22A90" w:rsidR="00F572F5" w:rsidRDefault="00A94648">
      <w:pPr>
        <w:pStyle w:val="TOC2"/>
        <w:rPr>
          <w:rFonts w:asciiTheme="minorHAnsi" w:eastAsiaTheme="minorEastAsia" w:hAnsiTheme="minorHAnsi" w:cstheme="minorBidi"/>
          <w:iCs w:val="0"/>
          <w:lang w:eastAsia="lv-LV"/>
        </w:rPr>
      </w:pPr>
      <w:hyperlink w:anchor="_Toc106366789" w:history="1">
        <w:r w:rsidR="00F572F5" w:rsidRPr="008353D4">
          <w:rPr>
            <w:rStyle w:val="Hyperlink"/>
          </w:rPr>
          <w:t>1.2. Iedzīvotāju nodarbinātība un bezdarbs</w:t>
        </w:r>
        <w:r w:rsidR="00F572F5">
          <w:rPr>
            <w:webHidden/>
          </w:rPr>
          <w:tab/>
        </w:r>
        <w:r w:rsidR="00F572F5">
          <w:rPr>
            <w:webHidden/>
          </w:rPr>
          <w:fldChar w:fldCharType="begin"/>
        </w:r>
        <w:r w:rsidR="00F572F5">
          <w:rPr>
            <w:webHidden/>
          </w:rPr>
          <w:instrText xml:space="preserve"> PAGEREF _Toc106366789 \h </w:instrText>
        </w:r>
        <w:r w:rsidR="00F572F5">
          <w:rPr>
            <w:webHidden/>
          </w:rPr>
        </w:r>
        <w:r w:rsidR="00F572F5">
          <w:rPr>
            <w:webHidden/>
          </w:rPr>
          <w:fldChar w:fldCharType="separate"/>
        </w:r>
        <w:r w:rsidR="000738BC">
          <w:rPr>
            <w:webHidden/>
          </w:rPr>
          <w:t>8</w:t>
        </w:r>
        <w:r w:rsidR="00F572F5">
          <w:rPr>
            <w:webHidden/>
          </w:rPr>
          <w:fldChar w:fldCharType="end"/>
        </w:r>
      </w:hyperlink>
    </w:p>
    <w:p w14:paraId="131BEA40" w14:textId="2E1D9E18" w:rsidR="00F572F5" w:rsidRDefault="00A94648">
      <w:pPr>
        <w:pStyle w:val="TOC2"/>
        <w:rPr>
          <w:rFonts w:asciiTheme="minorHAnsi" w:eastAsiaTheme="minorEastAsia" w:hAnsiTheme="minorHAnsi" w:cstheme="minorBidi"/>
          <w:iCs w:val="0"/>
          <w:lang w:eastAsia="lv-LV"/>
        </w:rPr>
      </w:pPr>
      <w:hyperlink w:anchor="_Toc106366790" w:history="1">
        <w:r w:rsidR="00F572F5" w:rsidRPr="008353D4">
          <w:rPr>
            <w:rStyle w:val="Hyperlink"/>
          </w:rPr>
          <w:t>1.3. Darba algas un produktivitāte</w:t>
        </w:r>
        <w:r w:rsidR="00F572F5">
          <w:rPr>
            <w:webHidden/>
          </w:rPr>
          <w:tab/>
        </w:r>
        <w:r w:rsidR="00F572F5">
          <w:rPr>
            <w:webHidden/>
          </w:rPr>
          <w:fldChar w:fldCharType="begin"/>
        </w:r>
        <w:r w:rsidR="00F572F5">
          <w:rPr>
            <w:webHidden/>
          </w:rPr>
          <w:instrText xml:space="preserve"> PAGEREF _Toc106366790 \h </w:instrText>
        </w:r>
        <w:r w:rsidR="00F572F5">
          <w:rPr>
            <w:webHidden/>
          </w:rPr>
        </w:r>
        <w:r w:rsidR="00F572F5">
          <w:rPr>
            <w:webHidden/>
          </w:rPr>
          <w:fldChar w:fldCharType="separate"/>
        </w:r>
        <w:r w:rsidR="000738BC">
          <w:rPr>
            <w:webHidden/>
          </w:rPr>
          <w:t>13</w:t>
        </w:r>
        <w:r w:rsidR="00F572F5">
          <w:rPr>
            <w:webHidden/>
          </w:rPr>
          <w:fldChar w:fldCharType="end"/>
        </w:r>
      </w:hyperlink>
    </w:p>
    <w:p w14:paraId="30F64BC1" w14:textId="523FE20A"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791" w:history="1">
        <w:r w:rsidR="00F572F5" w:rsidRPr="008353D4">
          <w:rPr>
            <w:rStyle w:val="Hyperlink"/>
          </w:rPr>
          <w:t>2. DARBASPĒKA PIEPRASĪJUMS UN PIEDĀVĀJUMS</w:t>
        </w:r>
        <w:r w:rsidR="00F572F5">
          <w:rPr>
            <w:webHidden/>
          </w:rPr>
          <w:tab/>
        </w:r>
        <w:r w:rsidR="00F572F5">
          <w:rPr>
            <w:webHidden/>
          </w:rPr>
          <w:fldChar w:fldCharType="begin"/>
        </w:r>
        <w:r w:rsidR="00F572F5">
          <w:rPr>
            <w:webHidden/>
          </w:rPr>
          <w:instrText xml:space="preserve"> PAGEREF _Toc106366791 \h </w:instrText>
        </w:r>
        <w:r w:rsidR="00F572F5">
          <w:rPr>
            <w:webHidden/>
          </w:rPr>
        </w:r>
        <w:r w:rsidR="00F572F5">
          <w:rPr>
            <w:webHidden/>
          </w:rPr>
          <w:fldChar w:fldCharType="separate"/>
        </w:r>
        <w:r w:rsidR="000738BC">
          <w:rPr>
            <w:webHidden/>
          </w:rPr>
          <w:t>21</w:t>
        </w:r>
        <w:r w:rsidR="00F572F5">
          <w:rPr>
            <w:webHidden/>
          </w:rPr>
          <w:fldChar w:fldCharType="end"/>
        </w:r>
      </w:hyperlink>
    </w:p>
    <w:p w14:paraId="73C4EEEC" w14:textId="6DD56BE2" w:rsidR="00F572F5" w:rsidRDefault="00A94648">
      <w:pPr>
        <w:pStyle w:val="TOC2"/>
        <w:rPr>
          <w:rFonts w:asciiTheme="minorHAnsi" w:eastAsiaTheme="minorEastAsia" w:hAnsiTheme="minorHAnsi" w:cstheme="minorBidi"/>
          <w:iCs w:val="0"/>
          <w:lang w:eastAsia="lv-LV"/>
        </w:rPr>
      </w:pPr>
      <w:hyperlink w:anchor="_Toc106366792" w:history="1">
        <w:r w:rsidR="00F572F5" w:rsidRPr="008353D4">
          <w:rPr>
            <w:rStyle w:val="Hyperlink"/>
          </w:rPr>
          <w:t>2.1. Darbaspēka pieprasījuma izmaiņas un struktūra</w:t>
        </w:r>
        <w:r w:rsidR="00F572F5">
          <w:rPr>
            <w:webHidden/>
          </w:rPr>
          <w:tab/>
        </w:r>
        <w:r w:rsidR="00F572F5">
          <w:rPr>
            <w:webHidden/>
          </w:rPr>
          <w:fldChar w:fldCharType="begin"/>
        </w:r>
        <w:r w:rsidR="00F572F5">
          <w:rPr>
            <w:webHidden/>
          </w:rPr>
          <w:instrText xml:space="preserve"> PAGEREF _Toc106366792 \h </w:instrText>
        </w:r>
        <w:r w:rsidR="00F572F5">
          <w:rPr>
            <w:webHidden/>
          </w:rPr>
        </w:r>
        <w:r w:rsidR="00F572F5">
          <w:rPr>
            <w:webHidden/>
          </w:rPr>
          <w:fldChar w:fldCharType="separate"/>
        </w:r>
        <w:r w:rsidR="000738BC">
          <w:rPr>
            <w:webHidden/>
          </w:rPr>
          <w:t>21</w:t>
        </w:r>
        <w:r w:rsidR="00F572F5">
          <w:rPr>
            <w:webHidden/>
          </w:rPr>
          <w:fldChar w:fldCharType="end"/>
        </w:r>
      </w:hyperlink>
    </w:p>
    <w:p w14:paraId="650EBC55" w14:textId="1027BC28" w:rsidR="00F572F5" w:rsidRDefault="00A94648">
      <w:pPr>
        <w:pStyle w:val="TOC2"/>
        <w:rPr>
          <w:rFonts w:asciiTheme="minorHAnsi" w:eastAsiaTheme="minorEastAsia" w:hAnsiTheme="minorHAnsi" w:cstheme="minorBidi"/>
          <w:iCs w:val="0"/>
          <w:lang w:eastAsia="lv-LV"/>
        </w:rPr>
      </w:pPr>
      <w:hyperlink w:anchor="_Toc106366793" w:history="1">
        <w:r w:rsidR="00F572F5" w:rsidRPr="008353D4">
          <w:rPr>
            <w:rStyle w:val="Hyperlink"/>
          </w:rPr>
          <w:t>2.2. Demogrāfiskā situācija un darbaspēka piedāvājums</w:t>
        </w:r>
        <w:r w:rsidR="00F572F5">
          <w:rPr>
            <w:webHidden/>
          </w:rPr>
          <w:tab/>
        </w:r>
        <w:r w:rsidR="00F572F5">
          <w:rPr>
            <w:webHidden/>
          </w:rPr>
          <w:fldChar w:fldCharType="begin"/>
        </w:r>
        <w:r w:rsidR="00F572F5">
          <w:rPr>
            <w:webHidden/>
          </w:rPr>
          <w:instrText xml:space="preserve"> PAGEREF _Toc106366793 \h </w:instrText>
        </w:r>
        <w:r w:rsidR="00F572F5">
          <w:rPr>
            <w:webHidden/>
          </w:rPr>
        </w:r>
        <w:r w:rsidR="00F572F5">
          <w:rPr>
            <w:webHidden/>
          </w:rPr>
          <w:fldChar w:fldCharType="separate"/>
        </w:r>
        <w:r w:rsidR="000738BC">
          <w:rPr>
            <w:webHidden/>
          </w:rPr>
          <w:t>30</w:t>
        </w:r>
        <w:r w:rsidR="00F572F5">
          <w:rPr>
            <w:webHidden/>
          </w:rPr>
          <w:fldChar w:fldCharType="end"/>
        </w:r>
      </w:hyperlink>
    </w:p>
    <w:p w14:paraId="015BF89A" w14:textId="0244ED41" w:rsidR="00F572F5" w:rsidRDefault="00A94648">
      <w:pPr>
        <w:pStyle w:val="TOC3"/>
        <w:rPr>
          <w:rFonts w:asciiTheme="minorHAnsi" w:eastAsiaTheme="minorEastAsia" w:hAnsiTheme="minorHAnsi" w:cstheme="minorBidi"/>
          <w:bCs w:val="0"/>
          <w:sz w:val="22"/>
          <w:lang w:eastAsia="lv-LV"/>
        </w:rPr>
      </w:pPr>
      <w:hyperlink w:anchor="_Toc106366794" w:history="1">
        <w:r w:rsidR="00F572F5" w:rsidRPr="008353D4">
          <w:rPr>
            <w:rStyle w:val="Hyperlink"/>
          </w:rPr>
          <w:t>2.2.1. Demogrāfijas tendences</w:t>
        </w:r>
        <w:r w:rsidR="00F572F5">
          <w:rPr>
            <w:webHidden/>
          </w:rPr>
          <w:tab/>
        </w:r>
        <w:r w:rsidR="00F572F5">
          <w:rPr>
            <w:webHidden/>
          </w:rPr>
          <w:fldChar w:fldCharType="begin"/>
        </w:r>
        <w:r w:rsidR="00F572F5">
          <w:rPr>
            <w:webHidden/>
          </w:rPr>
          <w:instrText xml:space="preserve"> PAGEREF _Toc106366794 \h </w:instrText>
        </w:r>
        <w:r w:rsidR="00F572F5">
          <w:rPr>
            <w:webHidden/>
          </w:rPr>
        </w:r>
        <w:r w:rsidR="00F572F5">
          <w:rPr>
            <w:webHidden/>
          </w:rPr>
          <w:fldChar w:fldCharType="separate"/>
        </w:r>
        <w:r w:rsidR="000738BC">
          <w:rPr>
            <w:webHidden/>
          </w:rPr>
          <w:t>30</w:t>
        </w:r>
        <w:r w:rsidR="00F572F5">
          <w:rPr>
            <w:webHidden/>
          </w:rPr>
          <w:fldChar w:fldCharType="end"/>
        </w:r>
      </w:hyperlink>
    </w:p>
    <w:p w14:paraId="405CD8C1" w14:textId="43B2D5F0" w:rsidR="00F572F5" w:rsidRDefault="00A94648">
      <w:pPr>
        <w:pStyle w:val="TOC3"/>
        <w:rPr>
          <w:rFonts w:asciiTheme="minorHAnsi" w:eastAsiaTheme="minorEastAsia" w:hAnsiTheme="minorHAnsi" w:cstheme="minorBidi"/>
          <w:bCs w:val="0"/>
          <w:sz w:val="22"/>
          <w:lang w:eastAsia="lv-LV"/>
        </w:rPr>
      </w:pPr>
      <w:hyperlink w:anchor="_Toc106366795" w:history="1">
        <w:r w:rsidR="00F572F5" w:rsidRPr="008353D4">
          <w:rPr>
            <w:rStyle w:val="Hyperlink"/>
          </w:rPr>
          <w:t>2.2.2. Iedzīvotāju līdzdalība darba tirgū un darbaspēka piedāvājums</w:t>
        </w:r>
        <w:r w:rsidR="00F572F5">
          <w:rPr>
            <w:webHidden/>
          </w:rPr>
          <w:tab/>
        </w:r>
        <w:r w:rsidR="00F572F5">
          <w:rPr>
            <w:webHidden/>
          </w:rPr>
          <w:fldChar w:fldCharType="begin"/>
        </w:r>
        <w:r w:rsidR="00F572F5">
          <w:rPr>
            <w:webHidden/>
          </w:rPr>
          <w:instrText xml:space="preserve"> PAGEREF _Toc106366795 \h </w:instrText>
        </w:r>
        <w:r w:rsidR="00F572F5">
          <w:rPr>
            <w:webHidden/>
          </w:rPr>
        </w:r>
        <w:r w:rsidR="00F572F5">
          <w:rPr>
            <w:webHidden/>
          </w:rPr>
          <w:fldChar w:fldCharType="separate"/>
        </w:r>
        <w:r w:rsidR="000738BC">
          <w:rPr>
            <w:webHidden/>
          </w:rPr>
          <w:t>32</w:t>
        </w:r>
        <w:r w:rsidR="00F572F5">
          <w:rPr>
            <w:webHidden/>
          </w:rPr>
          <w:fldChar w:fldCharType="end"/>
        </w:r>
      </w:hyperlink>
    </w:p>
    <w:p w14:paraId="44F42F6B" w14:textId="5354D568" w:rsidR="00F572F5" w:rsidRDefault="00A94648">
      <w:pPr>
        <w:pStyle w:val="TOC2"/>
        <w:rPr>
          <w:rFonts w:asciiTheme="minorHAnsi" w:eastAsiaTheme="minorEastAsia" w:hAnsiTheme="minorHAnsi" w:cstheme="minorBidi"/>
          <w:iCs w:val="0"/>
          <w:lang w:eastAsia="lv-LV"/>
        </w:rPr>
      </w:pPr>
      <w:hyperlink w:anchor="_Toc106366796" w:history="1">
        <w:r w:rsidR="00F572F5" w:rsidRPr="008353D4">
          <w:rPr>
            <w:rStyle w:val="Hyperlink"/>
          </w:rPr>
          <w:t>2.3. Darba tirgus pieprasījuma un piedāvājuma atbilstība</w:t>
        </w:r>
        <w:r w:rsidR="00F572F5">
          <w:rPr>
            <w:webHidden/>
          </w:rPr>
          <w:tab/>
        </w:r>
        <w:r w:rsidR="00F572F5">
          <w:rPr>
            <w:webHidden/>
          </w:rPr>
          <w:fldChar w:fldCharType="begin"/>
        </w:r>
        <w:r w:rsidR="00F572F5">
          <w:rPr>
            <w:webHidden/>
          </w:rPr>
          <w:instrText xml:space="preserve"> PAGEREF _Toc106366796 \h </w:instrText>
        </w:r>
        <w:r w:rsidR="00F572F5">
          <w:rPr>
            <w:webHidden/>
          </w:rPr>
        </w:r>
        <w:r w:rsidR="00F572F5">
          <w:rPr>
            <w:webHidden/>
          </w:rPr>
          <w:fldChar w:fldCharType="separate"/>
        </w:r>
        <w:r w:rsidR="000738BC">
          <w:rPr>
            <w:webHidden/>
          </w:rPr>
          <w:t>35</w:t>
        </w:r>
        <w:r w:rsidR="00F572F5">
          <w:rPr>
            <w:webHidden/>
          </w:rPr>
          <w:fldChar w:fldCharType="end"/>
        </w:r>
      </w:hyperlink>
    </w:p>
    <w:p w14:paraId="66CBEFDD" w14:textId="267EB90E" w:rsidR="00F572F5" w:rsidRDefault="00A94648">
      <w:pPr>
        <w:pStyle w:val="TOC2"/>
        <w:rPr>
          <w:rFonts w:asciiTheme="minorHAnsi" w:eastAsiaTheme="minorEastAsia" w:hAnsiTheme="minorHAnsi" w:cstheme="minorBidi"/>
          <w:iCs w:val="0"/>
          <w:lang w:eastAsia="lv-LV"/>
        </w:rPr>
      </w:pPr>
      <w:hyperlink w:anchor="_Toc106366797" w:history="1">
        <w:r w:rsidR="00F572F5" w:rsidRPr="008353D4">
          <w:rPr>
            <w:rStyle w:val="Hyperlink"/>
          </w:rPr>
          <w:t>2.4. Izglītības piedāvājuma izmaiņas</w:t>
        </w:r>
        <w:r w:rsidR="00F572F5">
          <w:rPr>
            <w:webHidden/>
          </w:rPr>
          <w:tab/>
        </w:r>
        <w:r w:rsidR="00F572F5">
          <w:rPr>
            <w:webHidden/>
          </w:rPr>
          <w:fldChar w:fldCharType="begin"/>
        </w:r>
        <w:r w:rsidR="00F572F5">
          <w:rPr>
            <w:webHidden/>
          </w:rPr>
          <w:instrText xml:space="preserve"> PAGEREF _Toc106366797 \h </w:instrText>
        </w:r>
        <w:r w:rsidR="00F572F5">
          <w:rPr>
            <w:webHidden/>
          </w:rPr>
        </w:r>
        <w:r w:rsidR="00F572F5">
          <w:rPr>
            <w:webHidden/>
          </w:rPr>
          <w:fldChar w:fldCharType="separate"/>
        </w:r>
        <w:r w:rsidR="000738BC">
          <w:rPr>
            <w:webHidden/>
          </w:rPr>
          <w:t>39</w:t>
        </w:r>
        <w:r w:rsidR="00F572F5">
          <w:rPr>
            <w:webHidden/>
          </w:rPr>
          <w:fldChar w:fldCharType="end"/>
        </w:r>
      </w:hyperlink>
    </w:p>
    <w:p w14:paraId="38BDE2E1" w14:textId="769E80C4"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798" w:history="1">
        <w:r w:rsidR="00F572F5" w:rsidRPr="008353D4">
          <w:rPr>
            <w:rStyle w:val="Hyperlink"/>
          </w:rPr>
          <w:t>3. DARBA TIRGUS VIDĒJĀ UN ILGTERMIŅA PROGNOZES</w:t>
        </w:r>
        <w:r w:rsidR="00F572F5">
          <w:rPr>
            <w:webHidden/>
          </w:rPr>
          <w:tab/>
        </w:r>
        <w:r w:rsidR="00F572F5">
          <w:rPr>
            <w:webHidden/>
          </w:rPr>
          <w:fldChar w:fldCharType="begin"/>
        </w:r>
        <w:r w:rsidR="00F572F5">
          <w:rPr>
            <w:webHidden/>
          </w:rPr>
          <w:instrText xml:space="preserve"> PAGEREF _Toc106366798 \h </w:instrText>
        </w:r>
        <w:r w:rsidR="00F572F5">
          <w:rPr>
            <w:webHidden/>
          </w:rPr>
        </w:r>
        <w:r w:rsidR="00F572F5">
          <w:rPr>
            <w:webHidden/>
          </w:rPr>
          <w:fldChar w:fldCharType="separate"/>
        </w:r>
        <w:r w:rsidR="000738BC">
          <w:rPr>
            <w:webHidden/>
          </w:rPr>
          <w:t>46</w:t>
        </w:r>
        <w:r w:rsidR="00F572F5">
          <w:rPr>
            <w:webHidden/>
          </w:rPr>
          <w:fldChar w:fldCharType="end"/>
        </w:r>
      </w:hyperlink>
    </w:p>
    <w:p w14:paraId="67B5934C" w14:textId="6A7C2B4D" w:rsidR="00F572F5" w:rsidRDefault="00A94648">
      <w:pPr>
        <w:pStyle w:val="TOC2"/>
        <w:rPr>
          <w:rFonts w:asciiTheme="minorHAnsi" w:eastAsiaTheme="minorEastAsia" w:hAnsiTheme="minorHAnsi" w:cstheme="minorBidi"/>
          <w:iCs w:val="0"/>
          <w:lang w:eastAsia="lv-LV"/>
        </w:rPr>
      </w:pPr>
      <w:hyperlink w:anchor="_Toc106366799" w:history="1">
        <w:r w:rsidR="00F572F5" w:rsidRPr="008353D4">
          <w:rPr>
            <w:rStyle w:val="Hyperlink"/>
          </w:rPr>
          <w:t>3.1. Ekonomikas ministrijas darba tirgus prognožu izstrādes metodoloģija</w:t>
        </w:r>
        <w:r w:rsidR="00F572F5">
          <w:rPr>
            <w:webHidden/>
          </w:rPr>
          <w:tab/>
        </w:r>
        <w:r w:rsidR="00F572F5">
          <w:rPr>
            <w:webHidden/>
          </w:rPr>
          <w:fldChar w:fldCharType="begin"/>
        </w:r>
        <w:r w:rsidR="00F572F5">
          <w:rPr>
            <w:webHidden/>
          </w:rPr>
          <w:instrText xml:space="preserve"> PAGEREF _Toc106366799 \h </w:instrText>
        </w:r>
        <w:r w:rsidR="00F572F5">
          <w:rPr>
            <w:webHidden/>
          </w:rPr>
        </w:r>
        <w:r w:rsidR="00F572F5">
          <w:rPr>
            <w:webHidden/>
          </w:rPr>
          <w:fldChar w:fldCharType="separate"/>
        </w:r>
        <w:r w:rsidR="000738BC">
          <w:rPr>
            <w:webHidden/>
          </w:rPr>
          <w:t>46</w:t>
        </w:r>
        <w:r w:rsidR="00F572F5">
          <w:rPr>
            <w:webHidden/>
          </w:rPr>
          <w:fldChar w:fldCharType="end"/>
        </w:r>
      </w:hyperlink>
    </w:p>
    <w:p w14:paraId="3BE0C857" w14:textId="72A5614D" w:rsidR="00F572F5" w:rsidRDefault="00A94648">
      <w:pPr>
        <w:pStyle w:val="TOC2"/>
        <w:rPr>
          <w:rFonts w:asciiTheme="minorHAnsi" w:eastAsiaTheme="minorEastAsia" w:hAnsiTheme="minorHAnsi" w:cstheme="minorBidi"/>
          <w:iCs w:val="0"/>
          <w:lang w:eastAsia="lv-LV"/>
        </w:rPr>
      </w:pPr>
      <w:hyperlink w:anchor="_Toc106366800" w:history="1">
        <w:r w:rsidR="00F572F5" w:rsidRPr="008353D4">
          <w:rPr>
            <w:rStyle w:val="Hyperlink"/>
          </w:rPr>
          <w:t>3.2. Ekonomikas izaugsmes pieņēmumi un demogrāfijas prognozes</w:t>
        </w:r>
        <w:r w:rsidR="00F572F5">
          <w:rPr>
            <w:webHidden/>
          </w:rPr>
          <w:tab/>
        </w:r>
        <w:r w:rsidR="00F572F5">
          <w:rPr>
            <w:webHidden/>
          </w:rPr>
          <w:fldChar w:fldCharType="begin"/>
        </w:r>
        <w:r w:rsidR="00F572F5">
          <w:rPr>
            <w:webHidden/>
          </w:rPr>
          <w:instrText xml:space="preserve"> PAGEREF _Toc106366800 \h </w:instrText>
        </w:r>
        <w:r w:rsidR="00F572F5">
          <w:rPr>
            <w:webHidden/>
          </w:rPr>
        </w:r>
        <w:r w:rsidR="00F572F5">
          <w:rPr>
            <w:webHidden/>
          </w:rPr>
          <w:fldChar w:fldCharType="separate"/>
        </w:r>
        <w:r w:rsidR="000738BC">
          <w:rPr>
            <w:webHidden/>
          </w:rPr>
          <w:t>49</w:t>
        </w:r>
        <w:r w:rsidR="00F572F5">
          <w:rPr>
            <w:webHidden/>
          </w:rPr>
          <w:fldChar w:fldCharType="end"/>
        </w:r>
      </w:hyperlink>
    </w:p>
    <w:p w14:paraId="39728381" w14:textId="140C6E5E" w:rsidR="00F572F5" w:rsidRDefault="00A94648">
      <w:pPr>
        <w:pStyle w:val="TOC3"/>
        <w:rPr>
          <w:rFonts w:asciiTheme="minorHAnsi" w:eastAsiaTheme="minorEastAsia" w:hAnsiTheme="minorHAnsi" w:cstheme="minorBidi"/>
          <w:bCs w:val="0"/>
          <w:sz w:val="22"/>
          <w:lang w:eastAsia="lv-LV"/>
        </w:rPr>
      </w:pPr>
      <w:hyperlink w:anchor="_Toc106366801" w:history="1">
        <w:r w:rsidR="00F572F5" w:rsidRPr="008353D4">
          <w:rPr>
            <w:rStyle w:val="Hyperlink"/>
          </w:rPr>
          <w:t>3.2.1. Ekonomikas izaugsmes mērķa scenārijs</w:t>
        </w:r>
        <w:r w:rsidR="00F572F5">
          <w:rPr>
            <w:webHidden/>
          </w:rPr>
          <w:tab/>
        </w:r>
        <w:r w:rsidR="00F572F5">
          <w:rPr>
            <w:webHidden/>
          </w:rPr>
          <w:fldChar w:fldCharType="begin"/>
        </w:r>
        <w:r w:rsidR="00F572F5">
          <w:rPr>
            <w:webHidden/>
          </w:rPr>
          <w:instrText xml:space="preserve"> PAGEREF _Toc106366801 \h </w:instrText>
        </w:r>
        <w:r w:rsidR="00F572F5">
          <w:rPr>
            <w:webHidden/>
          </w:rPr>
        </w:r>
        <w:r w:rsidR="00F572F5">
          <w:rPr>
            <w:webHidden/>
          </w:rPr>
          <w:fldChar w:fldCharType="separate"/>
        </w:r>
        <w:r w:rsidR="000738BC">
          <w:rPr>
            <w:webHidden/>
          </w:rPr>
          <w:t>49</w:t>
        </w:r>
        <w:r w:rsidR="00F572F5">
          <w:rPr>
            <w:webHidden/>
          </w:rPr>
          <w:fldChar w:fldCharType="end"/>
        </w:r>
      </w:hyperlink>
    </w:p>
    <w:p w14:paraId="792BB3CB" w14:textId="6ECD1F55" w:rsidR="00F572F5" w:rsidRDefault="00A94648">
      <w:pPr>
        <w:pStyle w:val="TOC3"/>
        <w:rPr>
          <w:rFonts w:asciiTheme="minorHAnsi" w:eastAsiaTheme="minorEastAsia" w:hAnsiTheme="minorHAnsi" w:cstheme="minorBidi"/>
          <w:bCs w:val="0"/>
          <w:sz w:val="22"/>
          <w:lang w:eastAsia="lv-LV"/>
        </w:rPr>
      </w:pPr>
      <w:hyperlink w:anchor="_Toc106366802" w:history="1">
        <w:r w:rsidR="00F572F5" w:rsidRPr="008353D4">
          <w:rPr>
            <w:rStyle w:val="Hyperlink"/>
          </w:rPr>
          <w:t>3.2.2. Demogrāfijas prognozes</w:t>
        </w:r>
        <w:r w:rsidR="00F572F5">
          <w:rPr>
            <w:webHidden/>
          </w:rPr>
          <w:tab/>
        </w:r>
        <w:r w:rsidR="00F572F5">
          <w:rPr>
            <w:webHidden/>
          </w:rPr>
          <w:fldChar w:fldCharType="begin"/>
        </w:r>
        <w:r w:rsidR="00F572F5">
          <w:rPr>
            <w:webHidden/>
          </w:rPr>
          <w:instrText xml:space="preserve"> PAGEREF _Toc106366802 \h </w:instrText>
        </w:r>
        <w:r w:rsidR="00F572F5">
          <w:rPr>
            <w:webHidden/>
          </w:rPr>
        </w:r>
        <w:r w:rsidR="00F572F5">
          <w:rPr>
            <w:webHidden/>
          </w:rPr>
          <w:fldChar w:fldCharType="separate"/>
        </w:r>
        <w:r w:rsidR="000738BC">
          <w:rPr>
            <w:webHidden/>
          </w:rPr>
          <w:t>54</w:t>
        </w:r>
        <w:r w:rsidR="00F572F5">
          <w:rPr>
            <w:webHidden/>
          </w:rPr>
          <w:fldChar w:fldCharType="end"/>
        </w:r>
      </w:hyperlink>
    </w:p>
    <w:p w14:paraId="1C9D5AF9" w14:textId="52E6F424" w:rsidR="00F572F5" w:rsidRDefault="00A94648">
      <w:pPr>
        <w:pStyle w:val="TOC2"/>
        <w:rPr>
          <w:rFonts w:asciiTheme="minorHAnsi" w:eastAsiaTheme="minorEastAsia" w:hAnsiTheme="minorHAnsi" w:cstheme="minorBidi"/>
          <w:iCs w:val="0"/>
          <w:lang w:eastAsia="lv-LV"/>
        </w:rPr>
      </w:pPr>
      <w:hyperlink w:anchor="_Toc106366803" w:history="1">
        <w:r w:rsidR="00F572F5" w:rsidRPr="008353D4">
          <w:rPr>
            <w:rStyle w:val="Hyperlink"/>
          </w:rPr>
          <w:t>3.3. Darbaspēka pieprasījums un piedāvājums</w:t>
        </w:r>
        <w:r w:rsidR="00F572F5">
          <w:rPr>
            <w:webHidden/>
          </w:rPr>
          <w:tab/>
        </w:r>
        <w:r w:rsidR="00F572F5">
          <w:rPr>
            <w:webHidden/>
          </w:rPr>
          <w:fldChar w:fldCharType="begin"/>
        </w:r>
        <w:r w:rsidR="00F572F5">
          <w:rPr>
            <w:webHidden/>
          </w:rPr>
          <w:instrText xml:space="preserve"> PAGEREF _Toc106366803 \h </w:instrText>
        </w:r>
        <w:r w:rsidR="00F572F5">
          <w:rPr>
            <w:webHidden/>
          </w:rPr>
        </w:r>
        <w:r w:rsidR="00F572F5">
          <w:rPr>
            <w:webHidden/>
          </w:rPr>
          <w:fldChar w:fldCharType="separate"/>
        </w:r>
        <w:r w:rsidR="000738BC">
          <w:rPr>
            <w:webHidden/>
          </w:rPr>
          <w:t>59</w:t>
        </w:r>
        <w:r w:rsidR="00F572F5">
          <w:rPr>
            <w:webHidden/>
          </w:rPr>
          <w:fldChar w:fldCharType="end"/>
        </w:r>
      </w:hyperlink>
    </w:p>
    <w:p w14:paraId="5BB7CF68" w14:textId="4B2AC6CB" w:rsidR="00F572F5" w:rsidRDefault="00A94648">
      <w:pPr>
        <w:pStyle w:val="TOC3"/>
        <w:rPr>
          <w:rFonts w:asciiTheme="minorHAnsi" w:eastAsiaTheme="minorEastAsia" w:hAnsiTheme="minorHAnsi" w:cstheme="minorBidi"/>
          <w:bCs w:val="0"/>
          <w:sz w:val="22"/>
          <w:lang w:eastAsia="lv-LV"/>
        </w:rPr>
      </w:pPr>
      <w:hyperlink w:anchor="_Toc106366804" w:history="1">
        <w:r w:rsidR="00F572F5" w:rsidRPr="008353D4">
          <w:rPr>
            <w:rStyle w:val="Hyperlink"/>
          </w:rPr>
          <w:t>3.3.1. Darbaspēka pieprasījuma prognozes</w:t>
        </w:r>
        <w:r w:rsidR="00F572F5">
          <w:rPr>
            <w:webHidden/>
          </w:rPr>
          <w:tab/>
        </w:r>
        <w:r w:rsidR="00F572F5">
          <w:rPr>
            <w:webHidden/>
          </w:rPr>
          <w:fldChar w:fldCharType="begin"/>
        </w:r>
        <w:r w:rsidR="00F572F5">
          <w:rPr>
            <w:webHidden/>
          </w:rPr>
          <w:instrText xml:space="preserve"> PAGEREF _Toc106366804 \h </w:instrText>
        </w:r>
        <w:r w:rsidR="00F572F5">
          <w:rPr>
            <w:webHidden/>
          </w:rPr>
        </w:r>
        <w:r w:rsidR="00F572F5">
          <w:rPr>
            <w:webHidden/>
          </w:rPr>
          <w:fldChar w:fldCharType="separate"/>
        </w:r>
        <w:r w:rsidR="000738BC">
          <w:rPr>
            <w:webHidden/>
          </w:rPr>
          <w:t>59</w:t>
        </w:r>
        <w:r w:rsidR="00F572F5">
          <w:rPr>
            <w:webHidden/>
          </w:rPr>
          <w:fldChar w:fldCharType="end"/>
        </w:r>
      </w:hyperlink>
    </w:p>
    <w:p w14:paraId="359CB787" w14:textId="397537C6" w:rsidR="00F572F5" w:rsidRDefault="00A94648">
      <w:pPr>
        <w:pStyle w:val="TOC3"/>
        <w:rPr>
          <w:rFonts w:asciiTheme="minorHAnsi" w:eastAsiaTheme="minorEastAsia" w:hAnsiTheme="minorHAnsi" w:cstheme="minorBidi"/>
          <w:bCs w:val="0"/>
          <w:sz w:val="22"/>
          <w:lang w:eastAsia="lv-LV"/>
        </w:rPr>
      </w:pPr>
      <w:hyperlink w:anchor="_Toc106366805" w:history="1">
        <w:r w:rsidR="00F572F5" w:rsidRPr="008353D4">
          <w:rPr>
            <w:rStyle w:val="Hyperlink"/>
          </w:rPr>
          <w:t>3.3.2. Darbaspēka piedāvājuma prognozes</w:t>
        </w:r>
        <w:r w:rsidR="00F572F5">
          <w:rPr>
            <w:webHidden/>
          </w:rPr>
          <w:tab/>
        </w:r>
        <w:r w:rsidR="00F572F5">
          <w:rPr>
            <w:webHidden/>
          </w:rPr>
          <w:fldChar w:fldCharType="begin"/>
        </w:r>
        <w:r w:rsidR="00F572F5">
          <w:rPr>
            <w:webHidden/>
          </w:rPr>
          <w:instrText xml:space="preserve"> PAGEREF _Toc106366805 \h </w:instrText>
        </w:r>
        <w:r w:rsidR="00F572F5">
          <w:rPr>
            <w:webHidden/>
          </w:rPr>
        </w:r>
        <w:r w:rsidR="00F572F5">
          <w:rPr>
            <w:webHidden/>
          </w:rPr>
          <w:fldChar w:fldCharType="separate"/>
        </w:r>
        <w:r w:rsidR="000738BC">
          <w:rPr>
            <w:webHidden/>
          </w:rPr>
          <w:t>67</w:t>
        </w:r>
        <w:r w:rsidR="00F572F5">
          <w:rPr>
            <w:webHidden/>
          </w:rPr>
          <w:fldChar w:fldCharType="end"/>
        </w:r>
      </w:hyperlink>
    </w:p>
    <w:p w14:paraId="58397B5A" w14:textId="797C518B" w:rsidR="00F572F5" w:rsidRDefault="00A94648">
      <w:pPr>
        <w:pStyle w:val="TOC3"/>
        <w:rPr>
          <w:rFonts w:asciiTheme="minorHAnsi" w:eastAsiaTheme="minorEastAsia" w:hAnsiTheme="minorHAnsi" w:cstheme="minorBidi"/>
          <w:bCs w:val="0"/>
          <w:sz w:val="22"/>
          <w:lang w:eastAsia="lv-LV"/>
        </w:rPr>
      </w:pPr>
      <w:hyperlink w:anchor="_Toc106366806" w:history="1">
        <w:r w:rsidR="00F572F5" w:rsidRPr="008353D4">
          <w:rPr>
            <w:rStyle w:val="Hyperlink"/>
          </w:rPr>
          <w:t>3.3.3. Darbaspēka pieprasījuma un piedāvājuma atbilstība</w:t>
        </w:r>
        <w:r w:rsidR="00F572F5">
          <w:rPr>
            <w:webHidden/>
          </w:rPr>
          <w:tab/>
        </w:r>
        <w:r w:rsidR="00F572F5">
          <w:rPr>
            <w:webHidden/>
          </w:rPr>
          <w:fldChar w:fldCharType="begin"/>
        </w:r>
        <w:r w:rsidR="00F572F5">
          <w:rPr>
            <w:webHidden/>
          </w:rPr>
          <w:instrText xml:space="preserve"> PAGEREF _Toc106366806 \h </w:instrText>
        </w:r>
        <w:r w:rsidR="00F572F5">
          <w:rPr>
            <w:webHidden/>
          </w:rPr>
        </w:r>
        <w:r w:rsidR="00F572F5">
          <w:rPr>
            <w:webHidden/>
          </w:rPr>
          <w:fldChar w:fldCharType="separate"/>
        </w:r>
        <w:r w:rsidR="000738BC">
          <w:rPr>
            <w:webHidden/>
          </w:rPr>
          <w:t>72</w:t>
        </w:r>
        <w:r w:rsidR="00F572F5">
          <w:rPr>
            <w:webHidden/>
          </w:rPr>
          <w:fldChar w:fldCharType="end"/>
        </w:r>
      </w:hyperlink>
    </w:p>
    <w:p w14:paraId="303E0636" w14:textId="16D37073"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807" w:history="1">
        <w:r w:rsidR="00F572F5" w:rsidRPr="008353D4">
          <w:rPr>
            <w:rStyle w:val="Hyperlink"/>
          </w:rPr>
          <w:t>4. PĀRSKATS PAR ĪSTENOTAJIEM UN PLĀNOTAJIEM IZGLĪTĪBAS UN NODARBINĀTĪBAS PASĀKUMIEM</w:t>
        </w:r>
        <w:r w:rsidR="00F572F5">
          <w:rPr>
            <w:webHidden/>
          </w:rPr>
          <w:tab/>
        </w:r>
        <w:r w:rsidR="00F572F5">
          <w:rPr>
            <w:webHidden/>
          </w:rPr>
          <w:fldChar w:fldCharType="begin"/>
        </w:r>
        <w:r w:rsidR="00F572F5">
          <w:rPr>
            <w:webHidden/>
          </w:rPr>
          <w:instrText xml:space="preserve"> PAGEREF _Toc106366807 \h </w:instrText>
        </w:r>
        <w:r w:rsidR="00F572F5">
          <w:rPr>
            <w:webHidden/>
          </w:rPr>
        </w:r>
        <w:r w:rsidR="00F572F5">
          <w:rPr>
            <w:webHidden/>
          </w:rPr>
          <w:fldChar w:fldCharType="separate"/>
        </w:r>
        <w:r w:rsidR="000738BC">
          <w:rPr>
            <w:webHidden/>
          </w:rPr>
          <w:t>87</w:t>
        </w:r>
        <w:r w:rsidR="00F572F5">
          <w:rPr>
            <w:webHidden/>
          </w:rPr>
          <w:fldChar w:fldCharType="end"/>
        </w:r>
      </w:hyperlink>
    </w:p>
    <w:p w14:paraId="56810947" w14:textId="7AD8C128" w:rsidR="00F572F5" w:rsidRDefault="00A94648">
      <w:pPr>
        <w:pStyle w:val="TOC2"/>
        <w:rPr>
          <w:rFonts w:asciiTheme="minorHAnsi" w:eastAsiaTheme="minorEastAsia" w:hAnsiTheme="minorHAnsi" w:cstheme="minorBidi"/>
          <w:iCs w:val="0"/>
          <w:lang w:eastAsia="lv-LV"/>
        </w:rPr>
      </w:pPr>
      <w:hyperlink w:anchor="_Toc106366808" w:history="1">
        <w:r w:rsidR="00F572F5" w:rsidRPr="008353D4">
          <w:rPr>
            <w:rStyle w:val="Hyperlink"/>
          </w:rPr>
          <w:t>4.1. Aktuālie pasākumi vispārējā izglītībā</w:t>
        </w:r>
        <w:r w:rsidR="00F572F5">
          <w:rPr>
            <w:webHidden/>
          </w:rPr>
          <w:tab/>
        </w:r>
        <w:r w:rsidR="00F572F5">
          <w:rPr>
            <w:webHidden/>
          </w:rPr>
          <w:fldChar w:fldCharType="begin"/>
        </w:r>
        <w:r w:rsidR="00F572F5">
          <w:rPr>
            <w:webHidden/>
          </w:rPr>
          <w:instrText xml:space="preserve"> PAGEREF _Toc106366808 \h </w:instrText>
        </w:r>
        <w:r w:rsidR="00F572F5">
          <w:rPr>
            <w:webHidden/>
          </w:rPr>
        </w:r>
        <w:r w:rsidR="00F572F5">
          <w:rPr>
            <w:webHidden/>
          </w:rPr>
          <w:fldChar w:fldCharType="separate"/>
        </w:r>
        <w:r w:rsidR="000738BC">
          <w:rPr>
            <w:webHidden/>
          </w:rPr>
          <w:t>89</w:t>
        </w:r>
        <w:r w:rsidR="00F572F5">
          <w:rPr>
            <w:webHidden/>
          </w:rPr>
          <w:fldChar w:fldCharType="end"/>
        </w:r>
      </w:hyperlink>
    </w:p>
    <w:p w14:paraId="2F4DC375" w14:textId="38A718B4" w:rsidR="00F572F5" w:rsidRDefault="00A94648">
      <w:pPr>
        <w:pStyle w:val="TOC2"/>
        <w:rPr>
          <w:rFonts w:asciiTheme="minorHAnsi" w:eastAsiaTheme="minorEastAsia" w:hAnsiTheme="minorHAnsi" w:cstheme="minorBidi"/>
          <w:iCs w:val="0"/>
          <w:lang w:eastAsia="lv-LV"/>
        </w:rPr>
      </w:pPr>
      <w:hyperlink w:anchor="_Toc106366809" w:history="1">
        <w:r w:rsidR="00F572F5" w:rsidRPr="008353D4">
          <w:rPr>
            <w:rStyle w:val="Hyperlink"/>
          </w:rPr>
          <w:t>4.2. Aktuālie pasākumi profesionālajā vidējā izglītībā</w:t>
        </w:r>
        <w:r w:rsidR="00F572F5">
          <w:rPr>
            <w:webHidden/>
          </w:rPr>
          <w:tab/>
        </w:r>
        <w:r w:rsidR="00F572F5">
          <w:rPr>
            <w:webHidden/>
          </w:rPr>
          <w:fldChar w:fldCharType="begin"/>
        </w:r>
        <w:r w:rsidR="00F572F5">
          <w:rPr>
            <w:webHidden/>
          </w:rPr>
          <w:instrText xml:space="preserve"> PAGEREF _Toc106366809 \h </w:instrText>
        </w:r>
        <w:r w:rsidR="00F572F5">
          <w:rPr>
            <w:webHidden/>
          </w:rPr>
        </w:r>
        <w:r w:rsidR="00F572F5">
          <w:rPr>
            <w:webHidden/>
          </w:rPr>
          <w:fldChar w:fldCharType="separate"/>
        </w:r>
        <w:r w:rsidR="000738BC">
          <w:rPr>
            <w:webHidden/>
          </w:rPr>
          <w:t>91</w:t>
        </w:r>
        <w:r w:rsidR="00F572F5">
          <w:rPr>
            <w:webHidden/>
          </w:rPr>
          <w:fldChar w:fldCharType="end"/>
        </w:r>
      </w:hyperlink>
    </w:p>
    <w:p w14:paraId="5550311A" w14:textId="1F36E5B9" w:rsidR="00F572F5" w:rsidRDefault="00A94648">
      <w:pPr>
        <w:pStyle w:val="TOC2"/>
        <w:rPr>
          <w:rFonts w:asciiTheme="minorHAnsi" w:eastAsiaTheme="minorEastAsia" w:hAnsiTheme="minorHAnsi" w:cstheme="minorBidi"/>
          <w:iCs w:val="0"/>
          <w:lang w:eastAsia="lv-LV"/>
        </w:rPr>
      </w:pPr>
      <w:hyperlink w:anchor="_Toc106366810" w:history="1">
        <w:r w:rsidR="00F572F5" w:rsidRPr="008353D4">
          <w:rPr>
            <w:rStyle w:val="Hyperlink"/>
          </w:rPr>
          <w:t>4.3. Aktuālie pasākumi augstākajā izglītībā</w:t>
        </w:r>
        <w:r w:rsidR="00F572F5">
          <w:rPr>
            <w:webHidden/>
          </w:rPr>
          <w:tab/>
        </w:r>
        <w:r w:rsidR="00F572F5">
          <w:rPr>
            <w:webHidden/>
          </w:rPr>
          <w:fldChar w:fldCharType="begin"/>
        </w:r>
        <w:r w:rsidR="00F572F5">
          <w:rPr>
            <w:webHidden/>
          </w:rPr>
          <w:instrText xml:space="preserve"> PAGEREF _Toc106366810 \h </w:instrText>
        </w:r>
        <w:r w:rsidR="00F572F5">
          <w:rPr>
            <w:webHidden/>
          </w:rPr>
        </w:r>
        <w:r w:rsidR="00F572F5">
          <w:rPr>
            <w:webHidden/>
          </w:rPr>
          <w:fldChar w:fldCharType="separate"/>
        </w:r>
        <w:r w:rsidR="000738BC">
          <w:rPr>
            <w:webHidden/>
          </w:rPr>
          <w:t>92</w:t>
        </w:r>
        <w:r w:rsidR="00F572F5">
          <w:rPr>
            <w:webHidden/>
          </w:rPr>
          <w:fldChar w:fldCharType="end"/>
        </w:r>
      </w:hyperlink>
    </w:p>
    <w:p w14:paraId="007884DF" w14:textId="606D2D30" w:rsidR="00F572F5" w:rsidRDefault="00A94648">
      <w:pPr>
        <w:pStyle w:val="TOC2"/>
        <w:rPr>
          <w:rFonts w:asciiTheme="minorHAnsi" w:eastAsiaTheme="minorEastAsia" w:hAnsiTheme="minorHAnsi" w:cstheme="minorBidi"/>
          <w:iCs w:val="0"/>
          <w:lang w:eastAsia="lv-LV"/>
        </w:rPr>
      </w:pPr>
      <w:hyperlink w:anchor="_Toc106366811" w:history="1">
        <w:r w:rsidR="00F572F5" w:rsidRPr="008353D4">
          <w:rPr>
            <w:rStyle w:val="Hyperlink"/>
          </w:rPr>
          <w:t>4.4. Aktuālie pasākumi pieaugušo izglītībā</w:t>
        </w:r>
        <w:r w:rsidR="00F572F5">
          <w:rPr>
            <w:webHidden/>
          </w:rPr>
          <w:tab/>
        </w:r>
        <w:r w:rsidR="00F572F5">
          <w:rPr>
            <w:webHidden/>
          </w:rPr>
          <w:fldChar w:fldCharType="begin"/>
        </w:r>
        <w:r w:rsidR="00F572F5">
          <w:rPr>
            <w:webHidden/>
          </w:rPr>
          <w:instrText xml:space="preserve"> PAGEREF _Toc106366811 \h </w:instrText>
        </w:r>
        <w:r w:rsidR="00F572F5">
          <w:rPr>
            <w:webHidden/>
          </w:rPr>
        </w:r>
        <w:r w:rsidR="00F572F5">
          <w:rPr>
            <w:webHidden/>
          </w:rPr>
          <w:fldChar w:fldCharType="separate"/>
        </w:r>
        <w:r w:rsidR="000738BC">
          <w:rPr>
            <w:webHidden/>
          </w:rPr>
          <w:t>94</w:t>
        </w:r>
        <w:r w:rsidR="00F572F5">
          <w:rPr>
            <w:webHidden/>
          </w:rPr>
          <w:fldChar w:fldCharType="end"/>
        </w:r>
      </w:hyperlink>
    </w:p>
    <w:p w14:paraId="2A8E0AFF" w14:textId="5117A541" w:rsidR="00F572F5" w:rsidRDefault="00A94648">
      <w:pPr>
        <w:pStyle w:val="TOC2"/>
        <w:rPr>
          <w:rFonts w:asciiTheme="minorHAnsi" w:eastAsiaTheme="minorEastAsia" w:hAnsiTheme="minorHAnsi" w:cstheme="minorBidi"/>
          <w:iCs w:val="0"/>
          <w:lang w:eastAsia="lv-LV"/>
        </w:rPr>
      </w:pPr>
      <w:hyperlink w:anchor="_Toc106366812" w:history="1">
        <w:r w:rsidR="00F572F5" w:rsidRPr="008353D4">
          <w:rPr>
            <w:rStyle w:val="Hyperlink"/>
          </w:rPr>
          <w:t>4.5. Pasākumi iedzīvotāju digitālo prasmju attīstībai</w:t>
        </w:r>
        <w:r w:rsidR="00F572F5">
          <w:rPr>
            <w:webHidden/>
          </w:rPr>
          <w:tab/>
        </w:r>
        <w:r w:rsidR="00F572F5">
          <w:rPr>
            <w:webHidden/>
          </w:rPr>
          <w:fldChar w:fldCharType="begin"/>
        </w:r>
        <w:r w:rsidR="00F572F5">
          <w:rPr>
            <w:webHidden/>
          </w:rPr>
          <w:instrText xml:space="preserve"> PAGEREF _Toc106366812 \h </w:instrText>
        </w:r>
        <w:r w:rsidR="00F572F5">
          <w:rPr>
            <w:webHidden/>
          </w:rPr>
        </w:r>
        <w:r w:rsidR="00F572F5">
          <w:rPr>
            <w:webHidden/>
          </w:rPr>
          <w:fldChar w:fldCharType="separate"/>
        </w:r>
        <w:r w:rsidR="000738BC">
          <w:rPr>
            <w:webHidden/>
          </w:rPr>
          <w:t>97</w:t>
        </w:r>
        <w:r w:rsidR="00F572F5">
          <w:rPr>
            <w:webHidden/>
          </w:rPr>
          <w:fldChar w:fldCharType="end"/>
        </w:r>
      </w:hyperlink>
    </w:p>
    <w:p w14:paraId="2648A405" w14:textId="079A61C4" w:rsidR="00F572F5" w:rsidRDefault="00A94648">
      <w:pPr>
        <w:pStyle w:val="TOC2"/>
        <w:rPr>
          <w:rFonts w:asciiTheme="minorHAnsi" w:eastAsiaTheme="minorEastAsia" w:hAnsiTheme="minorHAnsi" w:cstheme="minorBidi"/>
          <w:iCs w:val="0"/>
          <w:lang w:eastAsia="lv-LV"/>
        </w:rPr>
      </w:pPr>
      <w:hyperlink w:anchor="_Toc106366813" w:history="1">
        <w:r w:rsidR="00F572F5" w:rsidRPr="008353D4">
          <w:rPr>
            <w:rStyle w:val="Hyperlink"/>
          </w:rPr>
          <w:t>4.6. Pasākumi prasmju pieprasījuma un piedāvājuma atbilstības monitoringam</w:t>
        </w:r>
        <w:r w:rsidR="00F572F5">
          <w:rPr>
            <w:webHidden/>
          </w:rPr>
          <w:tab/>
        </w:r>
        <w:r w:rsidR="00F572F5">
          <w:rPr>
            <w:webHidden/>
          </w:rPr>
          <w:fldChar w:fldCharType="begin"/>
        </w:r>
        <w:r w:rsidR="00F572F5">
          <w:rPr>
            <w:webHidden/>
          </w:rPr>
          <w:instrText xml:space="preserve"> PAGEREF _Toc106366813 \h </w:instrText>
        </w:r>
        <w:r w:rsidR="00F572F5">
          <w:rPr>
            <w:webHidden/>
          </w:rPr>
        </w:r>
        <w:r w:rsidR="00F572F5">
          <w:rPr>
            <w:webHidden/>
          </w:rPr>
          <w:fldChar w:fldCharType="separate"/>
        </w:r>
        <w:r w:rsidR="000738BC">
          <w:rPr>
            <w:webHidden/>
          </w:rPr>
          <w:t>99</w:t>
        </w:r>
        <w:r w:rsidR="00F572F5">
          <w:rPr>
            <w:webHidden/>
          </w:rPr>
          <w:fldChar w:fldCharType="end"/>
        </w:r>
      </w:hyperlink>
    </w:p>
    <w:p w14:paraId="4BC90874" w14:textId="08871C8B" w:rsidR="00F572F5" w:rsidRDefault="00A94648">
      <w:pPr>
        <w:pStyle w:val="TOC1"/>
        <w:rPr>
          <w:rFonts w:asciiTheme="minorHAnsi" w:eastAsiaTheme="minorEastAsia" w:hAnsiTheme="minorHAnsi" w:cstheme="minorBidi"/>
          <w:b w:val="0"/>
          <w:bCs w:val="0"/>
          <w:caps w:val="0"/>
          <w:color w:val="auto"/>
          <w:sz w:val="22"/>
          <w:szCs w:val="22"/>
          <w:lang w:eastAsia="lv-LV"/>
        </w:rPr>
      </w:pPr>
      <w:hyperlink w:anchor="_Toc106366814" w:history="1">
        <w:r w:rsidR="00F572F5" w:rsidRPr="008353D4">
          <w:rPr>
            <w:rStyle w:val="Hyperlink"/>
          </w:rPr>
          <w:t>5. KOPSAVILKUMS UN PRIEKŠLIKUMI</w:t>
        </w:r>
        <w:r w:rsidR="00F572F5">
          <w:rPr>
            <w:webHidden/>
          </w:rPr>
          <w:tab/>
        </w:r>
        <w:r w:rsidR="00F572F5">
          <w:rPr>
            <w:webHidden/>
          </w:rPr>
          <w:fldChar w:fldCharType="begin"/>
        </w:r>
        <w:r w:rsidR="00F572F5">
          <w:rPr>
            <w:webHidden/>
          </w:rPr>
          <w:instrText xml:space="preserve"> PAGEREF _Toc106366814 \h </w:instrText>
        </w:r>
        <w:r w:rsidR="00F572F5">
          <w:rPr>
            <w:webHidden/>
          </w:rPr>
        </w:r>
        <w:r w:rsidR="00F572F5">
          <w:rPr>
            <w:webHidden/>
          </w:rPr>
          <w:fldChar w:fldCharType="separate"/>
        </w:r>
        <w:r w:rsidR="000738BC">
          <w:rPr>
            <w:webHidden/>
          </w:rPr>
          <w:t>101</w:t>
        </w:r>
        <w:r w:rsidR="00F572F5">
          <w:rPr>
            <w:webHidden/>
          </w:rPr>
          <w:fldChar w:fldCharType="end"/>
        </w:r>
      </w:hyperlink>
    </w:p>
    <w:p w14:paraId="273BF0EB" w14:textId="7A5627E9" w:rsidR="007818B0" w:rsidRPr="009C3742" w:rsidRDefault="007818B0" w:rsidP="003E0AA3">
      <w:pPr>
        <w:spacing w:before="240" w:after="0" w:line="228" w:lineRule="auto"/>
        <w:rPr>
          <w:color w:val="000000" w:themeColor="text1"/>
          <w:sz w:val="24"/>
          <w:szCs w:val="20"/>
        </w:rPr>
      </w:pPr>
      <w:r w:rsidRPr="009C3742">
        <w:rPr>
          <w:rFonts w:ascii="Cambria" w:hAnsi="Cambria"/>
        </w:rPr>
        <w:fldChar w:fldCharType="end"/>
      </w:r>
      <w:r w:rsidRPr="009C3742">
        <w:rPr>
          <w:b/>
          <w:color w:val="000000" w:themeColor="text1"/>
          <w:sz w:val="24"/>
          <w:szCs w:val="20"/>
        </w:rPr>
        <w:t>PIELIKUMS. DETALIZĒTAS DARBA TIRGUS VIDĒJA UN ILGTERMIŅA PROGNOZES</w:t>
      </w:r>
    </w:p>
    <w:p w14:paraId="419625F0" w14:textId="77777777" w:rsidR="007818B0" w:rsidRPr="003E0AA3" w:rsidRDefault="007818B0" w:rsidP="007818B0">
      <w:pPr>
        <w:spacing w:after="0"/>
        <w:rPr>
          <w:b/>
          <w:caps/>
          <w:color w:val="000000" w:themeColor="text1"/>
          <w:sz w:val="6"/>
          <w:szCs w:val="6"/>
          <w:highlight w:val="yellow"/>
        </w:rPr>
      </w:pPr>
      <w:r w:rsidRPr="003E0AA3">
        <w:rPr>
          <w:color w:val="000000" w:themeColor="text1"/>
          <w:sz w:val="6"/>
          <w:szCs w:val="6"/>
          <w:highlight w:val="yellow"/>
        </w:rPr>
        <w:br w:type="page"/>
      </w:r>
    </w:p>
    <w:p w14:paraId="3E543212" w14:textId="01B7A50D" w:rsidR="0053017C" w:rsidRPr="00CE325A" w:rsidRDefault="005D7337" w:rsidP="00DD35D6">
      <w:pPr>
        <w:pStyle w:val="Heading1"/>
        <w:rPr>
          <w:color w:val="000000" w:themeColor="text1"/>
        </w:rPr>
      </w:pPr>
      <w:bookmarkStart w:id="7" w:name="_Toc106366787"/>
      <w:r w:rsidRPr="00CE325A">
        <w:rPr>
          <w:color w:val="000000" w:themeColor="text1"/>
        </w:rPr>
        <w:lastRenderedPageBreak/>
        <w:t xml:space="preserve">1. </w:t>
      </w:r>
      <w:r w:rsidR="00A42DA9" w:rsidRPr="00CE325A">
        <w:rPr>
          <w:caps w:val="0"/>
          <w:color w:val="000000" w:themeColor="text1"/>
        </w:rPr>
        <w:t>TAUTSAIMNIECĪBAS UN DARBA TIRGUS ATTĪSTĪBA</w:t>
      </w:r>
      <w:bookmarkEnd w:id="1"/>
      <w:bookmarkEnd w:id="2"/>
      <w:bookmarkEnd w:id="3"/>
      <w:bookmarkEnd w:id="7"/>
    </w:p>
    <w:p w14:paraId="3F11A96A" w14:textId="20593978" w:rsidR="0053017C" w:rsidRPr="00CE325A" w:rsidRDefault="005D423A" w:rsidP="00620421">
      <w:pPr>
        <w:pStyle w:val="Heading2"/>
        <w:rPr>
          <w:color w:val="000000" w:themeColor="text1"/>
        </w:rPr>
      </w:pPr>
      <w:bookmarkStart w:id="8" w:name="_Toc293074217"/>
      <w:bookmarkStart w:id="9" w:name="_Toc357503110"/>
      <w:bookmarkStart w:id="10" w:name="_Toc388618380"/>
      <w:bookmarkStart w:id="11" w:name="_Toc390350657"/>
      <w:bookmarkStart w:id="12" w:name="_Toc106366788"/>
      <w:bookmarkStart w:id="13" w:name="_Toc293074218"/>
      <w:bookmarkStart w:id="14" w:name="_Toc357503111"/>
      <w:r w:rsidRPr="00CE325A">
        <w:rPr>
          <w:color w:val="000000" w:themeColor="text1"/>
        </w:rPr>
        <w:t>1.1. Makroekonomiskā situācija</w:t>
      </w:r>
      <w:bookmarkEnd w:id="8"/>
      <w:bookmarkEnd w:id="9"/>
      <w:bookmarkEnd w:id="10"/>
      <w:bookmarkEnd w:id="11"/>
      <w:r w:rsidR="00D6511B" w:rsidRPr="00CE325A">
        <w:rPr>
          <w:color w:val="000000" w:themeColor="text1"/>
        </w:rPr>
        <w:t xml:space="preserve"> </w:t>
      </w:r>
      <w:r w:rsidR="007818B0" w:rsidRPr="00CE325A">
        <w:rPr>
          <w:color w:val="000000" w:themeColor="text1"/>
        </w:rPr>
        <w:t>un nozaru attīstība</w:t>
      </w:r>
      <w:bookmarkEnd w:id="12"/>
    </w:p>
    <w:bookmarkEnd w:id="4"/>
    <w:bookmarkEnd w:id="13"/>
    <w:bookmarkEnd w:id="14"/>
    <w:p w14:paraId="6713FF1B" w14:textId="3BE84EE8" w:rsidR="00CE325A" w:rsidRPr="003B4CDA" w:rsidRDefault="357CF0D3" w:rsidP="00CE325A">
      <w:pPr>
        <w:pStyle w:val="BodyTextIndent2"/>
        <w:spacing w:after="240" w:line="240" w:lineRule="auto"/>
        <w:ind w:left="0"/>
        <w:jc w:val="both"/>
        <w:rPr>
          <w:sz w:val="20"/>
          <w:szCs w:val="20"/>
        </w:rPr>
      </w:pPr>
      <w:r w:rsidRPr="4398C881">
        <w:rPr>
          <w:sz w:val="20"/>
          <w:szCs w:val="20"/>
        </w:rPr>
        <w:t>Latvijā periodā no 2011. gada līdz 2019.</w:t>
      </w:r>
      <w:r w:rsidR="1CCEC2A8" w:rsidRPr="4398C881">
        <w:rPr>
          <w:sz w:val="20"/>
          <w:szCs w:val="20"/>
        </w:rPr>
        <w:t> </w:t>
      </w:r>
      <w:r w:rsidRPr="4398C881">
        <w:rPr>
          <w:sz w:val="20"/>
          <w:szCs w:val="20"/>
        </w:rPr>
        <w:t>gadam turpinājās stabila ekonomiskā izaugsme, kuras tempi pārsniedza ES vidējos rādītājus un IKP vidēji pieauga par 3,3% ik gadu. Covid-19 pandēmija ir būtiski ietekmējusi ekonomikas attīstību globālā mērogā un tai skaitā Latvijā. Pandēmijas ietekmē IKP 2020.</w:t>
      </w:r>
      <w:r w:rsidR="1CCEC2A8" w:rsidRPr="4398C881">
        <w:rPr>
          <w:sz w:val="20"/>
          <w:szCs w:val="20"/>
        </w:rPr>
        <w:t> </w:t>
      </w:r>
      <w:r w:rsidRPr="4398C881">
        <w:rPr>
          <w:sz w:val="20"/>
          <w:szCs w:val="20"/>
        </w:rPr>
        <w:t>gadā Latvijā saruka par 3,8 procentiem.</w:t>
      </w:r>
    </w:p>
    <w:p w14:paraId="052E8E0C" w14:textId="09A682DE" w:rsidR="00CE325A" w:rsidRPr="003B4CDA" w:rsidRDefault="357CF0D3" w:rsidP="00CE325A">
      <w:pPr>
        <w:pStyle w:val="BodyTextIndent2"/>
        <w:spacing w:after="240" w:line="240" w:lineRule="auto"/>
        <w:ind w:left="0"/>
        <w:jc w:val="both"/>
        <w:rPr>
          <w:sz w:val="20"/>
          <w:szCs w:val="20"/>
        </w:rPr>
      </w:pPr>
      <w:r w:rsidRPr="4398C881">
        <w:rPr>
          <w:sz w:val="20"/>
          <w:szCs w:val="20"/>
        </w:rPr>
        <w:t>Ekonomikas attīstību 2021.</w:t>
      </w:r>
      <w:r w:rsidR="1CCEC2A8" w:rsidRPr="4398C881">
        <w:rPr>
          <w:sz w:val="20"/>
          <w:szCs w:val="20"/>
        </w:rPr>
        <w:t> </w:t>
      </w:r>
      <w:r w:rsidRPr="4398C881">
        <w:rPr>
          <w:sz w:val="20"/>
          <w:szCs w:val="20"/>
        </w:rPr>
        <w:t>gadā turpināja ietekmēt Covid-19 pandēmija un pasākumi tās ierobežošanai, tomēr gada vidū, lielā mērā pateicoties bāzes efektam, ekonomikā bija vērojama strauja izaugsme. IKP kopumā pieauga par 4,</w:t>
      </w:r>
      <w:r w:rsidR="220210BC" w:rsidRPr="4398C881">
        <w:rPr>
          <w:sz w:val="20"/>
          <w:szCs w:val="20"/>
        </w:rPr>
        <w:t>5</w:t>
      </w:r>
      <w:r w:rsidRPr="4398C881">
        <w:rPr>
          <w:sz w:val="20"/>
          <w:szCs w:val="20"/>
        </w:rPr>
        <w:t>%. Lielākā ietekme bija eksporta kāpumam pateicoties labvēlīgai konjunktūrai Latvijas lielākajos eksporta tirgos.</w:t>
      </w:r>
      <w:r>
        <w:t xml:space="preserve"> </w:t>
      </w:r>
      <w:r w:rsidRPr="4398C881">
        <w:rPr>
          <w:sz w:val="20"/>
          <w:szCs w:val="20"/>
        </w:rPr>
        <w:t xml:space="preserve">Tendences eksportā bija ļoti atšķirīgas – preču eksporta apjomi pieauga ļoti strauji, sasniedzot līdz šim augstāko eksporta vērtību, tajā pašā laikā pakalpojumu eksports būtiski atpaliek no </w:t>
      </w:r>
      <w:proofErr w:type="spellStart"/>
      <w:r w:rsidRPr="4398C881">
        <w:rPr>
          <w:sz w:val="20"/>
          <w:szCs w:val="20"/>
        </w:rPr>
        <w:t>pirmskrīzes</w:t>
      </w:r>
      <w:proofErr w:type="spellEnd"/>
      <w:r w:rsidRPr="4398C881">
        <w:rPr>
          <w:sz w:val="20"/>
          <w:szCs w:val="20"/>
        </w:rPr>
        <w:t xml:space="preserve"> līmeņa. Būtisks devums IKP kāpumā bija mājsaimniecību patēriņam. Investīciju apjomi 2020.</w:t>
      </w:r>
      <w:r w:rsidR="1CCEC2A8" w:rsidRPr="4398C881">
        <w:rPr>
          <w:sz w:val="20"/>
          <w:szCs w:val="20"/>
        </w:rPr>
        <w:t> </w:t>
      </w:r>
      <w:r w:rsidRPr="4398C881">
        <w:rPr>
          <w:sz w:val="20"/>
          <w:szCs w:val="20"/>
        </w:rPr>
        <w:t>gadā Covid-19 apstākļos bija salīdzinoši noturīgi un pozitīvas tendences turpinājās arī 2021.</w:t>
      </w:r>
      <w:r w:rsidR="1CCEC2A8" w:rsidRPr="4398C881">
        <w:rPr>
          <w:sz w:val="20"/>
          <w:szCs w:val="20"/>
        </w:rPr>
        <w:t> </w:t>
      </w:r>
      <w:r w:rsidRPr="4398C881">
        <w:rPr>
          <w:sz w:val="20"/>
          <w:szCs w:val="20"/>
        </w:rPr>
        <w:t>gadā. Arī valdības patēriņš turpināja pieaugt, ko pamatā noteica valdības īstenoto atbalsta pasākumu turpināšana saistībā ar Covid-19 seku mazināšanu.</w:t>
      </w:r>
    </w:p>
    <w:p w14:paraId="660C10AA" w14:textId="77777777" w:rsidR="00CE325A" w:rsidRPr="003B4CDA" w:rsidRDefault="00CE325A" w:rsidP="00CE325A">
      <w:pPr>
        <w:pStyle w:val="BodyTextIndent2"/>
        <w:spacing w:after="240" w:line="240" w:lineRule="auto"/>
        <w:ind w:left="0"/>
        <w:jc w:val="right"/>
        <w:rPr>
          <w:rStyle w:val="Strong"/>
          <w:b w:val="0"/>
          <w:color w:val="000000"/>
          <w:sz w:val="20"/>
        </w:rPr>
      </w:pPr>
      <w:r w:rsidRPr="003B4CDA">
        <w:rPr>
          <w:rStyle w:val="Strong"/>
          <w:b w:val="0"/>
          <w:color w:val="000000"/>
          <w:sz w:val="20"/>
        </w:rPr>
        <w:t>1.1. attēls</w:t>
      </w:r>
    </w:p>
    <w:p w14:paraId="77E82D56" w14:textId="77777777" w:rsidR="00CE325A" w:rsidRPr="003B4CDA" w:rsidRDefault="00CE325A" w:rsidP="00CE325A">
      <w:pPr>
        <w:tabs>
          <w:tab w:val="center" w:pos="1134"/>
          <w:tab w:val="center" w:pos="3402"/>
          <w:tab w:val="center" w:pos="5670"/>
          <w:tab w:val="center" w:pos="7938"/>
        </w:tabs>
        <w:spacing w:before="120" w:after="120"/>
        <w:rPr>
          <w:rStyle w:val="Strong"/>
          <w:b w:val="0"/>
          <w:color w:val="000000"/>
          <w:sz w:val="22"/>
        </w:rPr>
      </w:pPr>
      <w:r w:rsidRPr="003B4CDA">
        <w:rPr>
          <w:rFonts w:ascii="Segoe UI Light" w:hAnsi="Segoe UI Light"/>
          <w:b/>
          <w:sz w:val="18"/>
          <w:szCs w:val="24"/>
        </w:rPr>
        <w:tab/>
        <w:t>Iekšzemes</w:t>
      </w:r>
      <w:r w:rsidRPr="003B4CDA">
        <w:rPr>
          <w:rFonts w:ascii="Segoe UI Light" w:hAnsi="Segoe UI Light"/>
          <w:b/>
          <w:sz w:val="18"/>
          <w:szCs w:val="24"/>
        </w:rPr>
        <w:tab/>
        <w:t>Preču un pakalpojumu</w:t>
      </w:r>
      <w:r w:rsidRPr="003B4CDA">
        <w:rPr>
          <w:rFonts w:ascii="Segoe UI Light" w:hAnsi="Segoe UI Light"/>
          <w:b/>
          <w:sz w:val="18"/>
          <w:szCs w:val="24"/>
        </w:rPr>
        <w:tab/>
        <w:t>Bruto pamatkapitāla</w:t>
      </w:r>
      <w:r w:rsidRPr="003B4CDA">
        <w:rPr>
          <w:rFonts w:ascii="Segoe UI Light" w:hAnsi="Segoe UI Light"/>
          <w:b/>
          <w:sz w:val="18"/>
          <w:szCs w:val="24"/>
        </w:rPr>
        <w:tab/>
        <w:t>Privātā patēriņa</w:t>
      </w:r>
      <w:r w:rsidRPr="003B4CDA">
        <w:rPr>
          <w:rFonts w:ascii="Segoe UI Light" w:hAnsi="Segoe UI Light"/>
          <w:b/>
          <w:sz w:val="18"/>
          <w:szCs w:val="24"/>
        </w:rPr>
        <w:tab/>
      </w:r>
      <w:r w:rsidRPr="003B4CDA">
        <w:rPr>
          <w:rFonts w:ascii="Segoe UI Light" w:hAnsi="Segoe UI Light"/>
          <w:b/>
          <w:sz w:val="18"/>
          <w:szCs w:val="24"/>
        </w:rPr>
        <w:br/>
      </w:r>
      <w:r w:rsidRPr="003B4CDA">
        <w:rPr>
          <w:rFonts w:ascii="Segoe UI Light" w:hAnsi="Segoe UI Light"/>
          <w:b/>
          <w:sz w:val="18"/>
          <w:szCs w:val="24"/>
        </w:rPr>
        <w:tab/>
        <w:t>kopprodukta dinamika</w:t>
      </w:r>
      <w:r w:rsidRPr="003B4CDA">
        <w:rPr>
          <w:rFonts w:ascii="Segoe UI Light" w:hAnsi="Segoe UI Light"/>
          <w:b/>
          <w:sz w:val="18"/>
          <w:szCs w:val="24"/>
        </w:rPr>
        <w:tab/>
        <w:t>eksporta izmaiņas</w:t>
      </w:r>
      <w:r w:rsidRPr="003B4CDA">
        <w:rPr>
          <w:rFonts w:ascii="Segoe UI Light" w:hAnsi="Segoe UI Light"/>
          <w:b/>
          <w:sz w:val="18"/>
          <w:szCs w:val="24"/>
        </w:rPr>
        <w:tab/>
        <w:t>veidošanas dinamika</w:t>
      </w:r>
      <w:r w:rsidRPr="003B4CDA">
        <w:rPr>
          <w:rFonts w:ascii="Segoe UI Light" w:hAnsi="Segoe UI Light"/>
          <w:b/>
          <w:sz w:val="18"/>
          <w:szCs w:val="24"/>
        </w:rPr>
        <w:tab/>
        <w:t>izmaiņas</w:t>
      </w:r>
      <w:r w:rsidRPr="003B4CDA">
        <w:rPr>
          <w:rFonts w:ascii="Segoe UI Light" w:hAnsi="Segoe UI Light"/>
          <w:b/>
          <w:sz w:val="18"/>
          <w:szCs w:val="24"/>
        </w:rPr>
        <w:br/>
      </w:r>
      <w:r w:rsidRPr="003B4CDA">
        <w:rPr>
          <w:rFonts w:ascii="Segoe UI Light" w:hAnsi="Segoe UI Light"/>
          <w:i/>
          <w:sz w:val="16"/>
          <w:szCs w:val="24"/>
        </w:rPr>
        <w:tab/>
        <w:t>procentos</w:t>
      </w:r>
      <w:r w:rsidRPr="003B4CDA">
        <w:rPr>
          <w:rFonts w:ascii="Segoe UI Light" w:hAnsi="Segoe UI Light"/>
          <w:i/>
          <w:sz w:val="16"/>
          <w:szCs w:val="24"/>
        </w:rPr>
        <w:tab/>
      </w:r>
      <w:proofErr w:type="spellStart"/>
      <w:r w:rsidRPr="003B4CDA">
        <w:rPr>
          <w:rFonts w:ascii="Segoe UI Light" w:hAnsi="Segoe UI Light"/>
          <w:i/>
          <w:sz w:val="16"/>
          <w:szCs w:val="24"/>
        </w:rPr>
        <w:t>procentos</w:t>
      </w:r>
      <w:proofErr w:type="spellEnd"/>
      <w:r w:rsidRPr="003B4CDA">
        <w:rPr>
          <w:rStyle w:val="Strong"/>
          <w:b w:val="0"/>
          <w:color w:val="000000"/>
          <w:sz w:val="22"/>
        </w:rPr>
        <w:tab/>
      </w:r>
      <w:proofErr w:type="spellStart"/>
      <w:r w:rsidRPr="003B4CDA">
        <w:rPr>
          <w:rFonts w:ascii="Segoe UI Light" w:hAnsi="Segoe UI Light"/>
          <w:i/>
          <w:sz w:val="16"/>
          <w:szCs w:val="24"/>
        </w:rPr>
        <w:t>procentos</w:t>
      </w:r>
      <w:proofErr w:type="spellEnd"/>
      <w:r w:rsidRPr="003B4CDA">
        <w:rPr>
          <w:rStyle w:val="Strong"/>
          <w:b w:val="0"/>
          <w:color w:val="000000"/>
          <w:sz w:val="22"/>
        </w:rPr>
        <w:tab/>
      </w:r>
      <w:proofErr w:type="spellStart"/>
      <w:r w:rsidRPr="003B4CDA">
        <w:rPr>
          <w:rFonts w:ascii="Segoe UI Light" w:hAnsi="Segoe UI Light"/>
          <w:i/>
          <w:sz w:val="16"/>
          <w:szCs w:val="24"/>
        </w:rPr>
        <w:t>procentos</w:t>
      </w:r>
      <w:proofErr w:type="spellEnd"/>
    </w:p>
    <w:p w14:paraId="21202572" w14:textId="77777777" w:rsidR="00CE325A" w:rsidRPr="003B4CDA" w:rsidRDefault="00CE325A" w:rsidP="00CE325A">
      <w:pPr>
        <w:tabs>
          <w:tab w:val="left" w:pos="2786"/>
          <w:tab w:val="left" w:pos="5227"/>
          <w:tab w:val="left" w:pos="7495"/>
        </w:tabs>
        <w:spacing w:after="120"/>
        <w:ind w:right="-164"/>
        <w:rPr>
          <w:szCs w:val="20"/>
        </w:rPr>
      </w:pPr>
      <w:r w:rsidRPr="003B4CDA">
        <w:rPr>
          <w:noProof/>
          <w:szCs w:val="20"/>
          <w:lang w:eastAsia="lv-LV"/>
        </w:rPr>
        <w:drawing>
          <wp:inline distT="0" distB="0" distL="0" distR="0" wp14:anchorId="3E779F59" wp14:editId="64737F54">
            <wp:extent cx="1440000" cy="1800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3B4CDA">
        <w:rPr>
          <w:noProof/>
          <w:szCs w:val="20"/>
          <w:lang w:eastAsia="lv-LV"/>
        </w:rPr>
        <w:drawing>
          <wp:inline distT="0" distB="0" distL="0" distR="0" wp14:anchorId="533C79B5" wp14:editId="1077F42E">
            <wp:extent cx="1440000" cy="1800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B4CDA">
        <w:rPr>
          <w:noProof/>
          <w:szCs w:val="20"/>
          <w:lang w:eastAsia="lv-LV"/>
        </w:rPr>
        <w:drawing>
          <wp:inline distT="0" distB="0" distL="0" distR="0" wp14:anchorId="315A6D44" wp14:editId="6A66E9F6">
            <wp:extent cx="1440000" cy="1800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B4CDA">
        <w:rPr>
          <w:noProof/>
          <w:szCs w:val="20"/>
          <w:lang w:eastAsia="lv-LV"/>
        </w:rPr>
        <w:drawing>
          <wp:inline distT="0" distB="0" distL="0" distR="0" wp14:anchorId="33CB194A" wp14:editId="114B55F7">
            <wp:extent cx="1440000" cy="18000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493AC9" w14:textId="77777777" w:rsidR="00CE325A" w:rsidRPr="004A62C0" w:rsidRDefault="00CE325A" w:rsidP="000C591A">
      <w:pPr>
        <w:jc w:val="both"/>
        <w:rPr>
          <w:rFonts w:eastAsia="Times New Roman"/>
          <w:color w:val="000000"/>
          <w:sz w:val="16"/>
          <w:szCs w:val="20"/>
          <w:lang w:eastAsia="lv-LV"/>
        </w:rPr>
      </w:pPr>
      <w:r w:rsidRPr="004A62C0">
        <w:rPr>
          <w:sz w:val="12"/>
          <w:szCs w:val="12"/>
        </w:rPr>
        <w:t>Avots: CSP</w:t>
      </w:r>
    </w:p>
    <w:p w14:paraId="39612FF3" w14:textId="553E8DD6" w:rsidR="00CE325A" w:rsidRPr="003B4CDA" w:rsidRDefault="000C591A" w:rsidP="00CE325A">
      <w:pPr>
        <w:pStyle w:val="BodyTextIndent2"/>
        <w:spacing w:after="240" w:line="240" w:lineRule="auto"/>
        <w:ind w:left="0"/>
        <w:jc w:val="both"/>
        <w:rPr>
          <w:rFonts w:eastAsia="Times New Roman"/>
          <w:color w:val="000000"/>
          <w:sz w:val="20"/>
          <w:lang w:eastAsia="lv-LV"/>
        </w:rPr>
      </w:pPr>
      <w:r>
        <w:rPr>
          <w:rFonts w:eastAsia="Times New Roman"/>
          <w:color w:val="000000"/>
          <w:sz w:val="20"/>
          <w:lang w:eastAsia="lv-LV"/>
        </w:rPr>
        <w:br/>
      </w:r>
      <w:r w:rsidR="00CE325A" w:rsidRPr="00EF4413">
        <w:rPr>
          <w:rFonts w:eastAsia="Times New Roman"/>
          <w:color w:val="000000"/>
          <w:sz w:val="20"/>
          <w:lang w:eastAsia="lv-LV"/>
        </w:rPr>
        <w:t>Covid-19 pandēmija ir izraisījusi būtiskas izmaiņas līdz šim īstenotajā politikā</w:t>
      </w:r>
      <w:r w:rsidR="00CE325A">
        <w:rPr>
          <w:rFonts w:eastAsia="Times New Roman"/>
          <w:color w:val="000000"/>
          <w:sz w:val="20"/>
          <w:lang w:eastAsia="lv-LV"/>
        </w:rPr>
        <w:t xml:space="preserve"> </w:t>
      </w:r>
      <w:r w:rsidR="00CE325A" w:rsidRPr="003B4CDA">
        <w:rPr>
          <w:rFonts w:eastAsia="Times New Roman"/>
          <w:color w:val="000000"/>
          <w:sz w:val="20"/>
          <w:lang w:eastAsia="lv-LV"/>
        </w:rPr>
        <w:t>–</w:t>
      </w:r>
      <w:r w:rsidR="00CE325A">
        <w:rPr>
          <w:rFonts w:eastAsia="Times New Roman"/>
          <w:color w:val="000000"/>
          <w:sz w:val="20"/>
          <w:lang w:eastAsia="lv-LV"/>
        </w:rPr>
        <w:t xml:space="preserve"> ir pieaudzis</w:t>
      </w:r>
      <w:r w:rsidR="00CE325A" w:rsidRPr="003B4CDA">
        <w:rPr>
          <w:rFonts w:eastAsia="Times New Roman"/>
          <w:color w:val="000000"/>
          <w:sz w:val="20"/>
          <w:lang w:eastAsia="lv-LV"/>
        </w:rPr>
        <w:t xml:space="preserve"> valsts parāds, </w:t>
      </w:r>
      <w:r w:rsidR="00CE325A">
        <w:rPr>
          <w:rFonts w:eastAsia="Times New Roman"/>
          <w:color w:val="000000"/>
          <w:sz w:val="20"/>
          <w:lang w:eastAsia="lv-LV"/>
        </w:rPr>
        <w:t xml:space="preserve">strauji palielinās </w:t>
      </w:r>
      <w:r w:rsidR="00CE325A" w:rsidRPr="003B4CDA">
        <w:rPr>
          <w:rFonts w:eastAsia="Times New Roman"/>
          <w:color w:val="000000"/>
          <w:sz w:val="20"/>
          <w:lang w:eastAsia="lv-LV"/>
        </w:rPr>
        <w:t>budžet</w:t>
      </w:r>
      <w:r w:rsidR="00CE325A">
        <w:rPr>
          <w:rFonts w:eastAsia="Times New Roman"/>
          <w:color w:val="000000"/>
          <w:sz w:val="20"/>
          <w:lang w:eastAsia="lv-LV"/>
        </w:rPr>
        <w:t>a deficīts</w:t>
      </w:r>
      <w:r w:rsidR="00CE325A" w:rsidRPr="003B4CDA">
        <w:rPr>
          <w:rFonts w:eastAsia="Times New Roman"/>
          <w:color w:val="000000"/>
          <w:sz w:val="20"/>
          <w:lang w:eastAsia="lv-LV"/>
        </w:rPr>
        <w:t xml:space="preserve">, </w:t>
      </w:r>
      <w:r w:rsidR="00CE325A">
        <w:rPr>
          <w:rFonts w:eastAsia="Times New Roman"/>
          <w:color w:val="000000"/>
          <w:sz w:val="20"/>
          <w:lang w:eastAsia="lv-LV"/>
        </w:rPr>
        <w:t xml:space="preserve">pastāv risks </w:t>
      </w:r>
      <w:r w:rsidR="00CE325A" w:rsidRPr="000607C1">
        <w:rPr>
          <w:rFonts w:eastAsia="Times New Roman"/>
          <w:color w:val="000000"/>
          <w:sz w:val="20"/>
          <w:lang w:eastAsia="lv-LV"/>
        </w:rPr>
        <w:t>tekošā konta sabalansētībai</w:t>
      </w:r>
      <w:r w:rsidR="00CE325A" w:rsidRPr="003B4CDA">
        <w:rPr>
          <w:rFonts w:eastAsia="Times New Roman"/>
          <w:color w:val="000000"/>
          <w:sz w:val="20"/>
          <w:lang w:eastAsia="lv-LV"/>
        </w:rPr>
        <w:t xml:space="preserve">. </w:t>
      </w:r>
      <w:r w:rsidR="00CE325A">
        <w:rPr>
          <w:rFonts w:eastAsia="Times New Roman"/>
          <w:color w:val="000000"/>
          <w:sz w:val="20"/>
          <w:lang w:eastAsia="lv-LV"/>
        </w:rPr>
        <w:t>Strauji pieaug i</w:t>
      </w:r>
      <w:r w:rsidR="00CE325A" w:rsidRPr="003B4CDA">
        <w:rPr>
          <w:rFonts w:eastAsia="Times New Roman"/>
          <w:color w:val="000000"/>
          <w:sz w:val="20"/>
          <w:lang w:eastAsia="lv-LV"/>
        </w:rPr>
        <w:t xml:space="preserve">nflācija, </w:t>
      </w:r>
      <w:r w:rsidR="00CE325A">
        <w:rPr>
          <w:rFonts w:eastAsia="Times New Roman"/>
          <w:color w:val="000000"/>
          <w:sz w:val="20"/>
          <w:lang w:eastAsia="lv-LV"/>
        </w:rPr>
        <w:t>ko ietekmē pasaules cenu kāpums</w:t>
      </w:r>
      <w:r w:rsidR="00CE325A" w:rsidRPr="003B4CDA">
        <w:rPr>
          <w:rFonts w:eastAsia="Times New Roman"/>
          <w:color w:val="000000"/>
          <w:sz w:val="20"/>
          <w:lang w:eastAsia="lv-LV"/>
        </w:rPr>
        <w:t>.</w:t>
      </w:r>
    </w:p>
    <w:p w14:paraId="7B6FF15D" w14:textId="7ABC5DED" w:rsidR="00CE325A" w:rsidRDefault="00CE325A" w:rsidP="00CE325A">
      <w:pPr>
        <w:jc w:val="both"/>
        <w:rPr>
          <w:szCs w:val="26"/>
        </w:rPr>
      </w:pPr>
      <w:r w:rsidRPr="004D61D3">
        <w:rPr>
          <w:szCs w:val="26"/>
        </w:rPr>
        <w:t>2010.</w:t>
      </w:r>
      <w:r w:rsidR="00C84741">
        <w:rPr>
          <w:szCs w:val="26"/>
        </w:rPr>
        <w:t> </w:t>
      </w:r>
      <w:r w:rsidRPr="004D61D3">
        <w:rPr>
          <w:szCs w:val="26"/>
        </w:rPr>
        <w:t>gadā ražojošās nozares (lauksaimniecības, mežsaimniecības un zivsaimniecības, rūpniecības, kā arī būvniecības nozares) sastādīja 27,6%, bet 2021.</w:t>
      </w:r>
      <w:r w:rsidR="00C84741">
        <w:rPr>
          <w:szCs w:val="26"/>
        </w:rPr>
        <w:t> </w:t>
      </w:r>
      <w:r w:rsidRPr="004D61D3">
        <w:rPr>
          <w:szCs w:val="26"/>
        </w:rPr>
        <w:t>gadā – 27,</w:t>
      </w:r>
      <w:r>
        <w:rPr>
          <w:szCs w:val="26"/>
        </w:rPr>
        <w:t>2</w:t>
      </w:r>
      <w:r w:rsidRPr="004D61D3">
        <w:rPr>
          <w:szCs w:val="26"/>
        </w:rPr>
        <w:t>% no kopējās pievienotās vērtības. 2021.</w:t>
      </w:r>
      <w:r w:rsidR="00C84741">
        <w:rPr>
          <w:szCs w:val="26"/>
        </w:rPr>
        <w:t> </w:t>
      </w:r>
      <w:r w:rsidRPr="004D61D3">
        <w:rPr>
          <w:szCs w:val="26"/>
        </w:rPr>
        <w:t>gadā, salīdzinot ar 2010.</w:t>
      </w:r>
      <w:r w:rsidR="00C84741">
        <w:rPr>
          <w:szCs w:val="26"/>
        </w:rPr>
        <w:t> </w:t>
      </w:r>
      <w:r w:rsidRPr="004D61D3">
        <w:rPr>
          <w:szCs w:val="26"/>
        </w:rPr>
        <w:t>gadu, īpatsvars ir pieaudzis būvniecībā, komercpakalpojumu un sabiedrisko pakalpojumu nozarēs, bet samazinājies pārējā rūpniecībā, transportā, tirdzniecībā un izmitināšanā.</w:t>
      </w:r>
    </w:p>
    <w:p w14:paraId="7EDEABBC" w14:textId="77777777" w:rsidR="00E71857" w:rsidRDefault="00E71857" w:rsidP="00E71857">
      <w:pPr>
        <w:jc w:val="both"/>
        <w:rPr>
          <w:szCs w:val="26"/>
        </w:rPr>
      </w:pPr>
      <w:r w:rsidRPr="004D61D3">
        <w:rPr>
          <w:szCs w:val="26"/>
        </w:rPr>
        <w:t>2015.-2019.</w:t>
      </w:r>
      <w:r>
        <w:rPr>
          <w:szCs w:val="26"/>
        </w:rPr>
        <w:t> </w:t>
      </w:r>
      <w:r w:rsidRPr="004D61D3">
        <w:rPr>
          <w:szCs w:val="26"/>
        </w:rPr>
        <w:t>gados izaugsme bija visās nozarēs, izņemot elektroenerģijas, gāzes apgādes, siltumapgādes un gaisa kondicionēšanas nozari un finanšu darbībās</w:t>
      </w:r>
      <w:r>
        <w:rPr>
          <w:szCs w:val="26"/>
        </w:rPr>
        <w:t>.</w:t>
      </w:r>
      <w:r w:rsidRPr="004D61D3">
        <w:rPr>
          <w:szCs w:val="26"/>
        </w:rPr>
        <w:t xml:space="preserve"> </w:t>
      </w:r>
      <w:r>
        <w:rPr>
          <w:szCs w:val="26"/>
        </w:rPr>
        <w:t>T</w:t>
      </w:r>
      <w:r w:rsidRPr="004D61D3">
        <w:rPr>
          <w:szCs w:val="26"/>
        </w:rPr>
        <w:t>irdzniecības un apstrādes rūpniecības apjomu kāpumam bija lielākā ietekme izaugsmē. Savukārt 2020.</w:t>
      </w:r>
      <w:r>
        <w:rPr>
          <w:szCs w:val="26"/>
        </w:rPr>
        <w:t> </w:t>
      </w:r>
      <w:r w:rsidRPr="004D61D3">
        <w:rPr>
          <w:szCs w:val="26"/>
        </w:rPr>
        <w:t>gadā Covid-19 krīze bija negatīvi ietekmējusi praktiski visas nozares. Izaugsme turpinājās tikai lauksaimniecībā, mežsaimniecībā un zivsaimniecībā, būvniecībā un sabiedriskajos pakalpojumos, lielākā ietekme bija apjomu kritumam transporta, izmitināšanas un ēdināšanas un mākslas, izklaides un atpūtas nozarēs. Ekonomikai atlabstot, 2021.</w:t>
      </w:r>
      <w:r>
        <w:rPr>
          <w:szCs w:val="26"/>
        </w:rPr>
        <w:t> </w:t>
      </w:r>
      <w:r w:rsidRPr="004D61D3">
        <w:rPr>
          <w:szCs w:val="26"/>
        </w:rPr>
        <w:t>gadā izaugsme bija apstrādes un pārējā rūpniecībā, tirdzniecībā, transportā, finanšu darbībās, informācijas un komunikācijas, kā arī sabiedriskajos pakalpojumos, lielākā ietekme bija apjomu kāpumam tirdzniecībā, veselības aprūpes un apstrādes rūpniecības nozarēs.</w:t>
      </w:r>
    </w:p>
    <w:p w14:paraId="2D5C8BE7" w14:textId="77777777" w:rsidR="00E71857" w:rsidRPr="003B4CDA" w:rsidRDefault="00E71857" w:rsidP="00E71857">
      <w:pPr>
        <w:jc w:val="both"/>
        <w:rPr>
          <w:szCs w:val="20"/>
        </w:rPr>
      </w:pPr>
      <w:r w:rsidRPr="003B4CDA">
        <w:rPr>
          <w:b/>
          <w:szCs w:val="20"/>
        </w:rPr>
        <w:t>Lauksaimniecības, mežsaimniecības un zivsaimniecības</w:t>
      </w:r>
      <w:r w:rsidRPr="003B4CDA">
        <w:rPr>
          <w:szCs w:val="20"/>
        </w:rPr>
        <w:t xml:space="preserve"> nozarē kopumā vērojama nevienmērīga izaugsme, jo</w:t>
      </w:r>
      <w:r w:rsidRPr="003B4CDA">
        <w:t xml:space="preserve"> </w:t>
      </w:r>
      <w:r w:rsidRPr="003B4CDA">
        <w:rPr>
          <w:szCs w:val="20"/>
        </w:rPr>
        <w:t xml:space="preserve">nozares darbība ir cieši saistīta ar laika apstākļiem. </w:t>
      </w:r>
      <w:r w:rsidRPr="001D0DDE">
        <w:rPr>
          <w:szCs w:val="20"/>
        </w:rPr>
        <w:t>2020.</w:t>
      </w:r>
      <w:r>
        <w:rPr>
          <w:szCs w:val="20"/>
        </w:rPr>
        <w:t> </w:t>
      </w:r>
      <w:r w:rsidRPr="001D0DDE">
        <w:rPr>
          <w:szCs w:val="20"/>
        </w:rPr>
        <w:t xml:space="preserve">gadā nozaru apjomi nedaudz pieauga. Produkcijas apjomi pieauga gan augkopībā un lopkopībā, </w:t>
      </w:r>
      <w:r>
        <w:rPr>
          <w:szCs w:val="20"/>
        </w:rPr>
        <w:t xml:space="preserve">gan zivsaimniecībā, </w:t>
      </w:r>
      <w:r w:rsidRPr="001D0DDE">
        <w:rPr>
          <w:szCs w:val="20"/>
        </w:rPr>
        <w:t xml:space="preserve">bet mežsaimniecībā un mežistrādē produkcijas apjomi </w:t>
      </w:r>
      <w:r w:rsidRPr="001D0DDE">
        <w:rPr>
          <w:szCs w:val="20"/>
        </w:rPr>
        <w:lastRenderedPageBreak/>
        <w:t>kritās. 2021.</w:t>
      </w:r>
      <w:r>
        <w:rPr>
          <w:szCs w:val="20"/>
        </w:rPr>
        <w:t> </w:t>
      </w:r>
      <w:r w:rsidRPr="001D0DDE">
        <w:rPr>
          <w:szCs w:val="20"/>
        </w:rPr>
        <w:t xml:space="preserve">gadā kopumā nozaru apjomi strauji samazinājās. Produkcijas apjomi samazinājās visās trijās </w:t>
      </w:r>
      <w:proofErr w:type="spellStart"/>
      <w:r w:rsidRPr="001D0DDE">
        <w:rPr>
          <w:szCs w:val="20"/>
        </w:rPr>
        <w:t>apakšnozarēs</w:t>
      </w:r>
      <w:proofErr w:type="spellEnd"/>
      <w:r w:rsidRPr="001D0DDE">
        <w:rPr>
          <w:szCs w:val="20"/>
        </w:rPr>
        <w:t>. Būtisks samazinājums bija vērojams augkopības nozarē nelabvēlīgo laika apstākļu dēļ, kas ievērojami samazināja ražu visām graudaugu kultūrām.</w:t>
      </w:r>
    </w:p>
    <w:p w14:paraId="5944F752" w14:textId="470FBA7D" w:rsidR="00B77713" w:rsidRPr="003B4CDA" w:rsidRDefault="00B77713" w:rsidP="00B77713">
      <w:pPr>
        <w:jc w:val="right"/>
        <w:rPr>
          <w:szCs w:val="26"/>
        </w:rPr>
      </w:pPr>
      <w:r w:rsidRPr="003B4CDA">
        <w:rPr>
          <w:rFonts w:eastAsia="Times New Roman"/>
          <w:color w:val="000000"/>
          <w:lang w:eastAsia="lv-LV"/>
        </w:rPr>
        <w:t>1.</w:t>
      </w:r>
      <w:r w:rsidR="00E71857">
        <w:rPr>
          <w:rFonts w:eastAsia="Times New Roman"/>
          <w:color w:val="000000"/>
          <w:lang w:eastAsia="lv-LV"/>
        </w:rPr>
        <w:t>2</w:t>
      </w:r>
      <w:r w:rsidRPr="003B4CDA">
        <w:rPr>
          <w:rFonts w:eastAsia="Times New Roman"/>
          <w:color w:val="000000"/>
          <w:lang w:eastAsia="lv-LV"/>
        </w:rPr>
        <w:t>. attēls</w:t>
      </w:r>
    </w:p>
    <w:p w14:paraId="12A1456D" w14:textId="77777777" w:rsidR="00216C3F" w:rsidRPr="003B4CDA" w:rsidRDefault="00216C3F" w:rsidP="000C591A">
      <w:pPr>
        <w:spacing w:after="0"/>
        <w:jc w:val="center"/>
        <w:rPr>
          <w:rFonts w:ascii="Segoe UI Light" w:hAnsi="Segoe UI Light"/>
          <w:i/>
          <w:sz w:val="16"/>
          <w:szCs w:val="24"/>
        </w:rPr>
      </w:pPr>
      <w:r w:rsidRPr="003B4CDA">
        <w:rPr>
          <w:rFonts w:ascii="Segoe UI Light" w:hAnsi="Segoe UI Light"/>
          <w:b/>
          <w:sz w:val="18"/>
          <w:szCs w:val="24"/>
        </w:rPr>
        <w:t>Tautsaimniecības struktūra</w:t>
      </w:r>
      <w:r w:rsidRPr="003B4CDA">
        <w:rPr>
          <w:rFonts w:ascii="Segoe UI Light" w:hAnsi="Segoe UI Light"/>
          <w:b/>
          <w:sz w:val="18"/>
          <w:szCs w:val="24"/>
        </w:rPr>
        <w:br/>
      </w:r>
      <w:r w:rsidRPr="003B4CDA">
        <w:rPr>
          <w:rFonts w:ascii="Segoe UI Light" w:hAnsi="Segoe UI Light"/>
          <w:i/>
          <w:sz w:val="16"/>
          <w:szCs w:val="24"/>
        </w:rPr>
        <w:t>20</w:t>
      </w:r>
      <w:r>
        <w:rPr>
          <w:rFonts w:ascii="Segoe UI Light" w:hAnsi="Segoe UI Light"/>
          <w:i/>
          <w:sz w:val="16"/>
          <w:szCs w:val="24"/>
        </w:rPr>
        <w:t>21</w:t>
      </w:r>
      <w:r w:rsidRPr="003B4CDA">
        <w:rPr>
          <w:rFonts w:ascii="Segoe UI Light" w:hAnsi="Segoe UI Light"/>
          <w:i/>
          <w:sz w:val="16"/>
          <w:szCs w:val="24"/>
        </w:rPr>
        <w:t>. gadā, procentos</w:t>
      </w:r>
    </w:p>
    <w:p w14:paraId="4FF121F1" w14:textId="77777777" w:rsidR="00216C3F" w:rsidRDefault="00216C3F" w:rsidP="00B77713">
      <w:pPr>
        <w:jc w:val="center"/>
      </w:pPr>
      <w:r w:rsidRPr="003B4CDA">
        <w:rPr>
          <w:noProof/>
          <w:lang w:eastAsia="lv-LV"/>
        </w:rPr>
        <mc:AlternateContent>
          <mc:Choice Requires="cx1">
            <w:drawing>
              <wp:inline distT="0" distB="0" distL="0" distR="0" wp14:anchorId="70AFEEFE" wp14:editId="20737776">
                <wp:extent cx="5832000" cy="7560000"/>
                <wp:effectExtent l="0" t="0" r="0" b="0"/>
                <wp:docPr id="126" name="Chart 126"/>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drawing>
              <wp:inline distT="0" distB="0" distL="0" distR="0" wp14:anchorId="0F1C8B03" wp14:editId="20737776">
                <wp:extent cx="5832000" cy="7560000"/>
                <wp:effectExtent l="0" t="0" r="0" b="0"/>
                <wp:docPr id="561985467" name="Chart 126"/>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6" name="Chart 126"/>
                        <pic:cNvPicPr>
                          <a:picLocks noGrp="1" noRot="1" noChangeAspect="1" noMove="1" noResize="1" noEditPoints="1" noAdjustHandles="1" noChangeArrowheads="1" noChangeShapeType="1"/>
                        </pic:cNvPicPr>
                      </pic:nvPicPr>
                      <pic:blipFill>
                        <a:blip r:embed="rId14"/>
                        <a:stretch>
                          <a:fillRect/>
                        </a:stretch>
                      </pic:blipFill>
                      <pic:spPr>
                        <a:xfrm>
                          <a:off x="0" y="0"/>
                          <a:ext cx="5831840" cy="7559675"/>
                        </a:xfrm>
                        <a:prstGeom prst="rect">
                          <a:avLst/>
                        </a:prstGeom>
                      </pic:spPr>
                    </pic:pic>
                  </a:graphicData>
                </a:graphic>
              </wp:inline>
            </w:drawing>
          </mc:Fallback>
        </mc:AlternateContent>
      </w:r>
    </w:p>
    <w:p w14:paraId="18F01EFD" w14:textId="77777777" w:rsidR="000C591A" w:rsidRDefault="000C591A">
      <w:pPr>
        <w:spacing w:after="0"/>
        <w:rPr>
          <w:b/>
          <w:bCs/>
        </w:rPr>
      </w:pPr>
      <w:r>
        <w:rPr>
          <w:b/>
          <w:bCs/>
        </w:rPr>
        <w:br w:type="page"/>
      </w:r>
    </w:p>
    <w:p w14:paraId="74E2C3B7" w14:textId="2599D0E8" w:rsidR="00CE325A" w:rsidRPr="003B4CDA" w:rsidRDefault="357CF0D3" w:rsidP="00CE325A">
      <w:pPr>
        <w:jc w:val="both"/>
      </w:pPr>
      <w:r w:rsidRPr="4398C881">
        <w:rPr>
          <w:b/>
          <w:bCs/>
        </w:rPr>
        <w:lastRenderedPageBreak/>
        <w:t>Apstrādes rūpniecības</w:t>
      </w:r>
      <w:r>
        <w:t xml:space="preserve"> attīstību veicina Latvijas ražotāju konkurētspējas uzlabošanās, kā arī pieprasījuma dinamika lielākajos eksporta tirgos. 2020.</w:t>
      </w:r>
      <w:r w:rsidR="1CCEC2A8">
        <w:t> </w:t>
      </w:r>
      <w:r>
        <w:t>gadā apstrādes rūpniecības ražošanas apjomi bija par 0,9% mazāki nekā pirms gada. Straujāk saruka transportlīdzekļu, vieglā rūpniecība, metālapstrādes un pārtikas rūpniecības, bet pieauga kokapstrādes, elektrisko un optisko iekārtu un papīra ražošanas un poligrāfijas ražošanas apjomi. Savukārt 2021.</w:t>
      </w:r>
      <w:r w:rsidR="1CCEC2A8">
        <w:t> </w:t>
      </w:r>
      <w:r>
        <w:t>gadā apstrādes rūpniecībā bija vērojama strauja izaugsme. Nozares ražošanas apjomi par 7,</w:t>
      </w:r>
      <w:r w:rsidR="19FFCCD9">
        <w:t>4</w:t>
      </w:r>
      <w:r>
        <w:t>% pārsniedza pagājušā gada līmeni. Būtiski nozares izaugsmi ietekmēja ķīmiskās rūpniecības, kokapstrādes, elektrisko un mašīnu un iekārtu ražošanas apjomu pieaugumi. 2021.</w:t>
      </w:r>
      <w:r w:rsidR="1CCEC2A8">
        <w:t> </w:t>
      </w:r>
      <w:r>
        <w:t>gadā par 21,4% pieauga arī apstrādes rūpniecības apgrozījums faktiskajās cenās. Mērenāk auga vietējā tirgū realizētās produkcijas apjomi, bet straujāk – eksportētās produkcijas apjomi.</w:t>
      </w:r>
    </w:p>
    <w:p w14:paraId="3A7B3BD1" w14:textId="1781FA33" w:rsidR="00CE325A" w:rsidRPr="003B4CDA" w:rsidRDefault="00CE325A" w:rsidP="00CE325A">
      <w:pPr>
        <w:jc w:val="both"/>
        <w:rPr>
          <w:szCs w:val="20"/>
        </w:rPr>
      </w:pPr>
      <w:r w:rsidRPr="003B4CDA">
        <w:rPr>
          <w:b/>
          <w:szCs w:val="20"/>
        </w:rPr>
        <w:t>Pārējās rūpniecības</w:t>
      </w:r>
      <w:r w:rsidRPr="003B4CDA">
        <w:rPr>
          <w:szCs w:val="20"/>
        </w:rPr>
        <w:t xml:space="preserve"> (ieguves rūpniecība, elektroenerģija un gāzes apgāde) </w:t>
      </w:r>
      <w:r w:rsidRPr="001D0DDE">
        <w:rPr>
          <w:szCs w:val="20"/>
        </w:rPr>
        <w:t>nozaru apjomi 2017.-2020.</w:t>
      </w:r>
      <w:r w:rsidR="00C84741">
        <w:rPr>
          <w:szCs w:val="20"/>
        </w:rPr>
        <w:t> </w:t>
      </w:r>
      <w:r w:rsidRPr="001D0DDE">
        <w:rPr>
          <w:szCs w:val="20"/>
        </w:rPr>
        <w:t>gadā samazinājās, ko noteica kritums elektroenerģijas un gāzes apgādes nozarē silto laika apstākļu dēļ. 2021.</w:t>
      </w:r>
      <w:r w:rsidR="00C84741">
        <w:rPr>
          <w:szCs w:val="20"/>
        </w:rPr>
        <w:t> </w:t>
      </w:r>
      <w:r w:rsidRPr="001D0DDE">
        <w:rPr>
          <w:szCs w:val="20"/>
        </w:rPr>
        <w:t>gadā pārējās rūpniecības nozaru apjomi pieauga mēreni. Aukstie laika apstākļi gada sākumā un gada beigās palielināja dabasgāzes un elektroenerģijas padevi, savukārt labvēlīgie laika apstākļi pavasarī veicināja ieguves rūpniecības un karjeru izstrādes nozares attīstību.</w:t>
      </w:r>
    </w:p>
    <w:p w14:paraId="24B28FFA" w14:textId="78D2AE05" w:rsidR="00CE325A" w:rsidRPr="003B4CDA" w:rsidRDefault="00CE325A" w:rsidP="00CE325A">
      <w:pPr>
        <w:jc w:val="both"/>
        <w:rPr>
          <w:szCs w:val="20"/>
        </w:rPr>
      </w:pPr>
      <w:r w:rsidRPr="003B4CDA">
        <w:rPr>
          <w:b/>
          <w:szCs w:val="20"/>
        </w:rPr>
        <w:t>Būvniecības nozares</w:t>
      </w:r>
      <w:r w:rsidRPr="003B4CDA">
        <w:rPr>
          <w:szCs w:val="20"/>
        </w:rPr>
        <w:t xml:space="preserve"> attīstība ir ļoti cikliska un lielā mērā ir saistīta ar publiskajiem pasūtījumiem un ES fondu projektiem. 20</w:t>
      </w:r>
      <w:r>
        <w:rPr>
          <w:szCs w:val="20"/>
        </w:rPr>
        <w:t>20</w:t>
      </w:r>
      <w:r w:rsidRPr="003B4CDA">
        <w:rPr>
          <w:szCs w:val="20"/>
        </w:rPr>
        <w:t>. gadā būvniecības nozar</w:t>
      </w:r>
      <w:r>
        <w:rPr>
          <w:szCs w:val="20"/>
        </w:rPr>
        <w:t>es</w:t>
      </w:r>
      <w:r w:rsidRPr="003B4CDA">
        <w:rPr>
          <w:szCs w:val="20"/>
        </w:rPr>
        <w:t xml:space="preserve"> </w:t>
      </w:r>
      <w:r>
        <w:rPr>
          <w:szCs w:val="20"/>
        </w:rPr>
        <w:t>apjomi praktiski saglabājās nemainīgi, salīdzinot ar 2019.</w:t>
      </w:r>
      <w:r w:rsidR="00E029D7">
        <w:rPr>
          <w:szCs w:val="20"/>
        </w:rPr>
        <w:t> </w:t>
      </w:r>
      <w:r>
        <w:rPr>
          <w:szCs w:val="20"/>
        </w:rPr>
        <w:t>gadu, savukārt 2021.</w:t>
      </w:r>
      <w:r w:rsidR="00C84741">
        <w:rPr>
          <w:szCs w:val="20"/>
        </w:rPr>
        <w:t> </w:t>
      </w:r>
      <w:r>
        <w:rPr>
          <w:szCs w:val="20"/>
        </w:rPr>
        <w:t>gadā b</w:t>
      </w:r>
      <w:r w:rsidRPr="001D0DDE">
        <w:rPr>
          <w:szCs w:val="20"/>
        </w:rPr>
        <w:t>ūvniecības produkcijas apjomi kopumā samazinājās par 6,</w:t>
      </w:r>
      <w:r w:rsidR="00594E12">
        <w:rPr>
          <w:szCs w:val="20"/>
        </w:rPr>
        <w:t>1</w:t>
      </w:r>
      <w:r w:rsidRPr="001D0DDE">
        <w:rPr>
          <w:szCs w:val="20"/>
        </w:rPr>
        <w:t>%</w:t>
      </w:r>
      <w:r>
        <w:rPr>
          <w:szCs w:val="20"/>
        </w:rPr>
        <w:t>, ko ietekmēja s</w:t>
      </w:r>
      <w:r w:rsidRPr="00DF4F6D">
        <w:rPr>
          <w:szCs w:val="20"/>
        </w:rPr>
        <w:t>traujais būvmateriālu cenu kāpums (galvenokārt koka izstrādājumiem un metāliem)</w:t>
      </w:r>
      <w:r>
        <w:rPr>
          <w:szCs w:val="20"/>
        </w:rPr>
        <w:t xml:space="preserve">. </w:t>
      </w:r>
      <w:r w:rsidRPr="00DF4F6D">
        <w:rPr>
          <w:szCs w:val="20"/>
        </w:rPr>
        <w:t xml:space="preserve">Tādejādi sabremzējās gan aktivitātes esošo projektu īstenošanā, gan jaunu projektu uzsākšanā. Samazinājums </w:t>
      </w:r>
      <w:r>
        <w:rPr>
          <w:szCs w:val="20"/>
        </w:rPr>
        <w:t xml:space="preserve">bija </w:t>
      </w:r>
      <w:r w:rsidRPr="00DF4F6D">
        <w:rPr>
          <w:szCs w:val="20"/>
        </w:rPr>
        <w:t xml:space="preserve">vērojams visās būvniecības </w:t>
      </w:r>
      <w:proofErr w:type="spellStart"/>
      <w:r w:rsidRPr="00DF4F6D">
        <w:rPr>
          <w:szCs w:val="20"/>
        </w:rPr>
        <w:t>pamatgrupās</w:t>
      </w:r>
      <w:proofErr w:type="spellEnd"/>
      <w:r w:rsidRPr="00DF4F6D">
        <w:rPr>
          <w:szCs w:val="20"/>
        </w:rPr>
        <w:t>, visstraujāk sarūkot ēku būvniecības produkcijas apjomiem.</w:t>
      </w:r>
    </w:p>
    <w:p w14:paraId="714A357F" w14:textId="4666BBF0" w:rsidR="00CE325A" w:rsidRPr="003B4CDA" w:rsidRDefault="357CF0D3" w:rsidP="00CE325A">
      <w:pPr>
        <w:jc w:val="both"/>
      </w:pPr>
      <w:r w:rsidRPr="4398C881">
        <w:rPr>
          <w:b/>
          <w:bCs/>
        </w:rPr>
        <w:t>Tirdzniecības nozari</w:t>
      </w:r>
      <w:r>
        <w:t xml:space="preserve"> pozitīvi ietekmē privātā patēriņa kāpums, </w:t>
      </w:r>
      <w:r w:rsidR="007D07A9">
        <w:t>ņemot vērā pakāpenisku iedzīvotāju ienākumu pieaugumu</w:t>
      </w:r>
      <w:r>
        <w:t>. Līdz 2020. gadam tirdzniecības nozarē bija vērojami stabili pieauguma tempi. 2020.</w:t>
      </w:r>
      <w:r w:rsidR="1CCEC2A8">
        <w:t> </w:t>
      </w:r>
      <w:r>
        <w:t>gadā nozari negatīvi ietekmēja Covid-19 krīzes izraisīts privātā patēriņa kritums, bezdarba pieaugums un ienākumu samazinājums, un tās apjomi samazinājās par 3%. Savukārt 2021.</w:t>
      </w:r>
      <w:r w:rsidR="43B81E46">
        <w:t> </w:t>
      </w:r>
      <w:r>
        <w:t>gadā tirdzniecības nozari pozitīvi ietekmēja Covid-19 ierobežojumu mīkstināšana. 2021.</w:t>
      </w:r>
      <w:r w:rsidR="1CCEC2A8">
        <w:t> </w:t>
      </w:r>
      <w:r>
        <w:t>gadā tā pieauga par 8,9%. Mazumtirdzniecības apgrozījuma kāpums 2021.</w:t>
      </w:r>
      <w:r w:rsidR="1CCEC2A8">
        <w:t> </w:t>
      </w:r>
      <w:r>
        <w:t>gadā bija nedaudz straujāks nekā 2020.</w:t>
      </w:r>
      <w:r w:rsidR="1CCEC2A8">
        <w:t> </w:t>
      </w:r>
      <w:r>
        <w:t>gadā un pieauga par 2,5%. Pārtikas mazumtirdzniecības apgrozījums palika nemainīgs, bet, neskatoties uz tirdzniecības ierobežojumiem, nepārtikas un degvielas tirdzniecība, pieauga strauji. Vairumtirdzniecības nozares apgrozījums faktiskajās cenās pieauga par 28,4 procentiem.</w:t>
      </w:r>
    </w:p>
    <w:p w14:paraId="46F33482" w14:textId="4F066084" w:rsidR="00CE325A" w:rsidRPr="003B4CDA" w:rsidRDefault="00CE325A" w:rsidP="00CE325A">
      <w:pPr>
        <w:jc w:val="both"/>
        <w:rPr>
          <w:szCs w:val="20"/>
        </w:rPr>
      </w:pPr>
      <w:r w:rsidRPr="003B4CDA">
        <w:rPr>
          <w:b/>
          <w:szCs w:val="20"/>
        </w:rPr>
        <w:t>Transporta un uzglabāšanas nozare</w:t>
      </w:r>
      <w:r w:rsidRPr="003B4CDA">
        <w:rPr>
          <w:szCs w:val="20"/>
        </w:rPr>
        <w:t xml:space="preserve"> </w:t>
      </w:r>
      <w:r w:rsidRPr="00A96732">
        <w:rPr>
          <w:szCs w:val="20"/>
        </w:rPr>
        <w:t>ir cieši saistīta ar starptautiskajiem pārvadājumiem. 2020.</w:t>
      </w:r>
      <w:r w:rsidR="00C84741">
        <w:rPr>
          <w:szCs w:val="20"/>
        </w:rPr>
        <w:t> </w:t>
      </w:r>
      <w:r w:rsidRPr="00A96732">
        <w:rPr>
          <w:szCs w:val="20"/>
        </w:rPr>
        <w:t>gadā nozares apjomi strauji saruka Covid-19 ierobežojumu dēļ. Uzlabojoties epidemioloģiskajai situācijai un atceļot ieviestos ierobežojumus, 2021.</w:t>
      </w:r>
      <w:r w:rsidR="00C84741">
        <w:rPr>
          <w:szCs w:val="20"/>
        </w:rPr>
        <w:t> </w:t>
      </w:r>
      <w:r w:rsidRPr="00A96732">
        <w:rPr>
          <w:szCs w:val="20"/>
        </w:rPr>
        <w:t>gadā nozares apjomi pieauga. Pārvadāto kravu apjomu kritums bija vērojams dzelzceļā un ostās, savukārt autotransporta pārvadājumu kravu apjomi strauji pieauga, ko noteica gan iekšzemē, gan starptautiskajos pārvadājumos pārvadāto kravu apjomu kāpums. Pasažieru pārvadājumi Covid-19 ietekmē 2021.</w:t>
      </w:r>
      <w:r w:rsidR="00C84741">
        <w:rPr>
          <w:szCs w:val="20"/>
        </w:rPr>
        <w:t> </w:t>
      </w:r>
      <w:r w:rsidRPr="00A96732">
        <w:rPr>
          <w:szCs w:val="20"/>
        </w:rPr>
        <w:t>gadā turpināja samazināties ostās – par 46,5% un sauszemes pārvadājumos – par 1</w:t>
      </w:r>
      <w:r>
        <w:rPr>
          <w:szCs w:val="20"/>
        </w:rPr>
        <w:t>6,6%</w:t>
      </w:r>
      <w:r w:rsidRPr="00A96732">
        <w:rPr>
          <w:szCs w:val="20"/>
        </w:rPr>
        <w:t xml:space="preserve">. Savukārt pieaugums bija vērojams aviopārvadājumos – par 17%, tomēr pasažieru skaits ievērojami atpalika no </w:t>
      </w:r>
      <w:proofErr w:type="spellStart"/>
      <w:r w:rsidRPr="00A96732">
        <w:rPr>
          <w:szCs w:val="20"/>
        </w:rPr>
        <w:t>pirmskrīzes</w:t>
      </w:r>
      <w:proofErr w:type="spellEnd"/>
      <w:r w:rsidRPr="00A96732">
        <w:rPr>
          <w:szCs w:val="20"/>
        </w:rPr>
        <w:t xml:space="preserve"> apjoma 2019.</w:t>
      </w:r>
      <w:r w:rsidR="00C84741">
        <w:rPr>
          <w:szCs w:val="20"/>
        </w:rPr>
        <w:t> </w:t>
      </w:r>
      <w:r w:rsidRPr="00A96732">
        <w:rPr>
          <w:szCs w:val="20"/>
        </w:rPr>
        <w:t>gadā.</w:t>
      </w:r>
    </w:p>
    <w:p w14:paraId="7B32444D" w14:textId="693A1CFA" w:rsidR="00CE325A" w:rsidRPr="003B4CDA" w:rsidRDefault="00CE325A" w:rsidP="00CE325A">
      <w:pPr>
        <w:jc w:val="both"/>
        <w:rPr>
          <w:szCs w:val="20"/>
        </w:rPr>
      </w:pPr>
      <w:r w:rsidRPr="003B4CDA">
        <w:rPr>
          <w:b/>
          <w:szCs w:val="20"/>
        </w:rPr>
        <w:t>Komercpakalpojumu nozarēs</w:t>
      </w:r>
      <w:r w:rsidRPr="003B4CDA">
        <w:rPr>
          <w:szCs w:val="20"/>
        </w:rPr>
        <w:t xml:space="preserve"> </w:t>
      </w:r>
      <w:r w:rsidRPr="00A96732">
        <w:rPr>
          <w:szCs w:val="20"/>
        </w:rPr>
        <w:t>2020.</w:t>
      </w:r>
      <w:r w:rsidR="00C84741">
        <w:rPr>
          <w:szCs w:val="20"/>
        </w:rPr>
        <w:t> </w:t>
      </w:r>
      <w:r w:rsidRPr="00A96732">
        <w:rPr>
          <w:szCs w:val="20"/>
        </w:rPr>
        <w:t>gadā Covid-19 krīzes ietekmē apjomi strauji samazinājās</w:t>
      </w:r>
      <w:r>
        <w:rPr>
          <w:szCs w:val="20"/>
        </w:rPr>
        <w:t xml:space="preserve"> visās </w:t>
      </w:r>
      <w:proofErr w:type="spellStart"/>
      <w:r>
        <w:rPr>
          <w:szCs w:val="20"/>
        </w:rPr>
        <w:t>apakšnozarēs</w:t>
      </w:r>
      <w:proofErr w:type="spellEnd"/>
      <w:r w:rsidRPr="00A96732">
        <w:rPr>
          <w:szCs w:val="20"/>
        </w:rPr>
        <w:t>. Lielākā ietekme bija pakalpojumu apjomu kritumam mākslas, izklaides un atpūtas nozarēs, ko noteica ieviestie stingrie pasākumi Covid-19 pandēmijas ierobežošanai.</w:t>
      </w:r>
      <w:r>
        <w:rPr>
          <w:szCs w:val="20"/>
        </w:rPr>
        <w:t xml:space="preserve"> </w:t>
      </w:r>
      <w:r w:rsidRPr="00A96732">
        <w:rPr>
          <w:szCs w:val="20"/>
        </w:rPr>
        <w:t>Savukārt 2021.</w:t>
      </w:r>
      <w:r w:rsidR="00C84741">
        <w:rPr>
          <w:szCs w:val="20"/>
        </w:rPr>
        <w:t> </w:t>
      </w:r>
      <w:r w:rsidRPr="00A96732">
        <w:rPr>
          <w:szCs w:val="20"/>
        </w:rPr>
        <w:t xml:space="preserve">gadā </w:t>
      </w:r>
      <w:r w:rsidR="007D07A9" w:rsidRPr="007D07A9">
        <w:rPr>
          <w:szCs w:val="20"/>
        </w:rPr>
        <w:t>komercpakalpojumu nozares</w:t>
      </w:r>
      <w:r w:rsidRPr="00A96732">
        <w:rPr>
          <w:szCs w:val="20"/>
        </w:rPr>
        <w:t xml:space="preserve"> apjomi strauji pieauga. Lielākā ietekme bija pakalpojumu apjomu kāpumam finanšu un apdrošināšanas darbībās un informācijas un komunikācijas pakalpojumos. Savukārt apjomi turpināja samazināties mākslas, izklaides un atpūtas nozarēs un operācijās ar nekustamo īpašumu.</w:t>
      </w:r>
    </w:p>
    <w:p w14:paraId="52733F73" w14:textId="0798E8AE" w:rsidR="00CE325A" w:rsidRPr="003B4CDA" w:rsidRDefault="00CE325A" w:rsidP="00CE325A">
      <w:pPr>
        <w:jc w:val="both"/>
        <w:rPr>
          <w:szCs w:val="20"/>
        </w:rPr>
      </w:pPr>
      <w:r w:rsidRPr="003B4CDA">
        <w:rPr>
          <w:b/>
          <w:szCs w:val="20"/>
        </w:rPr>
        <w:t>Sabiedrisko pakalpojumu nozarēs</w:t>
      </w:r>
      <w:r w:rsidRPr="003B4CDA">
        <w:rPr>
          <w:szCs w:val="20"/>
        </w:rPr>
        <w:t xml:space="preserve"> sniegto pakalpojumu apjomi palielinās atbilstoši valsts kopbudžeta izdevumu kāpumam. Palielinoties valdības izdevumiem, kopš 201</w:t>
      </w:r>
      <w:r>
        <w:rPr>
          <w:szCs w:val="20"/>
        </w:rPr>
        <w:t>4</w:t>
      </w:r>
      <w:r w:rsidRPr="003B4CDA">
        <w:rPr>
          <w:szCs w:val="20"/>
        </w:rPr>
        <w:t xml:space="preserve">. gada sabiedrisko pakalpojumu nozarēs vērojams stabils pieaugums. </w:t>
      </w:r>
      <w:r w:rsidRPr="00052E1F">
        <w:rPr>
          <w:szCs w:val="20"/>
        </w:rPr>
        <w:t>2020.</w:t>
      </w:r>
      <w:r w:rsidR="00C84741">
        <w:rPr>
          <w:szCs w:val="20"/>
        </w:rPr>
        <w:t> </w:t>
      </w:r>
      <w:r w:rsidRPr="00052E1F">
        <w:rPr>
          <w:szCs w:val="20"/>
        </w:rPr>
        <w:t>gadā Covid-19 krīzes ietekmē sabiedrisko pakalpojumu nozaru apjomi pieauga mēreni, savukārt 2021.</w:t>
      </w:r>
      <w:r w:rsidR="00C84741">
        <w:rPr>
          <w:szCs w:val="20"/>
        </w:rPr>
        <w:t> </w:t>
      </w:r>
      <w:r w:rsidRPr="00052E1F">
        <w:rPr>
          <w:szCs w:val="20"/>
        </w:rPr>
        <w:t>gadā kopējiem pakalpojumu apjomiem bija vērojams straujš kāpums, ko noteica apjomu pieaugums veselībai un sociāl</w:t>
      </w:r>
      <w:r>
        <w:rPr>
          <w:szCs w:val="20"/>
        </w:rPr>
        <w:t>ai</w:t>
      </w:r>
      <w:r w:rsidRPr="00052E1F">
        <w:rPr>
          <w:szCs w:val="20"/>
        </w:rPr>
        <w:t xml:space="preserve"> aprūpei</w:t>
      </w:r>
      <w:r>
        <w:rPr>
          <w:szCs w:val="20"/>
        </w:rPr>
        <w:t>.</w:t>
      </w:r>
    </w:p>
    <w:p w14:paraId="2A55F3D3" w14:textId="7069E701" w:rsidR="00CE325A" w:rsidRPr="003B4CDA" w:rsidRDefault="00CE325A" w:rsidP="00CE325A">
      <w:pPr>
        <w:spacing w:after="480"/>
        <w:jc w:val="both"/>
        <w:rPr>
          <w:szCs w:val="20"/>
        </w:rPr>
      </w:pPr>
      <w:r w:rsidRPr="001426BA">
        <w:rPr>
          <w:szCs w:val="20"/>
        </w:rPr>
        <w:t>Tomēr, 2022.</w:t>
      </w:r>
      <w:r w:rsidR="00C84741">
        <w:rPr>
          <w:szCs w:val="20"/>
        </w:rPr>
        <w:t> </w:t>
      </w:r>
      <w:r w:rsidRPr="001426BA">
        <w:rPr>
          <w:szCs w:val="20"/>
        </w:rPr>
        <w:t>gada 24.</w:t>
      </w:r>
      <w:r w:rsidR="00C84741">
        <w:rPr>
          <w:szCs w:val="20"/>
        </w:rPr>
        <w:t> </w:t>
      </w:r>
      <w:r w:rsidRPr="001426BA">
        <w:rPr>
          <w:szCs w:val="20"/>
        </w:rPr>
        <w:t>februārī Krievijai iebrūkot Ukrainā, ir pasliktinājusies ģeopolitiskā situācija un pastāv liela nenoteiktība attiecībā uz to, kā karš un ar to saistītās sankcijas ietekmēs ekonomisko attīstību</w:t>
      </w:r>
      <w:r w:rsidRPr="003B4CDA">
        <w:rPr>
          <w:szCs w:val="20"/>
        </w:rPr>
        <w:t xml:space="preserve"> (skat. 3.2.1. nodaļu).</w:t>
      </w:r>
    </w:p>
    <w:p w14:paraId="7C490484" w14:textId="545C178D" w:rsidR="0053017C" w:rsidRPr="00CE325A" w:rsidRDefault="00BB6921" w:rsidP="00BB6921">
      <w:pPr>
        <w:pStyle w:val="Heading2"/>
        <w:rPr>
          <w:color w:val="000000" w:themeColor="text1"/>
        </w:rPr>
      </w:pPr>
      <w:bookmarkStart w:id="15" w:name="_Toc106366789"/>
      <w:r w:rsidRPr="00CE325A">
        <w:rPr>
          <w:color w:val="000000" w:themeColor="text1"/>
        </w:rPr>
        <w:lastRenderedPageBreak/>
        <w:t>1.</w:t>
      </w:r>
      <w:r w:rsidR="00D6511B" w:rsidRPr="00CE325A">
        <w:rPr>
          <w:color w:val="000000" w:themeColor="text1"/>
        </w:rPr>
        <w:t>2</w:t>
      </w:r>
      <w:r w:rsidRPr="00CE325A">
        <w:rPr>
          <w:color w:val="000000" w:themeColor="text1"/>
        </w:rPr>
        <w:t xml:space="preserve">. </w:t>
      </w:r>
      <w:r w:rsidR="007818B0" w:rsidRPr="00CE325A">
        <w:rPr>
          <w:color w:val="000000" w:themeColor="text1"/>
        </w:rPr>
        <w:t>Iedzīvotāju</w:t>
      </w:r>
      <w:r w:rsidR="00D6511B" w:rsidRPr="00CE325A">
        <w:rPr>
          <w:color w:val="000000" w:themeColor="text1"/>
        </w:rPr>
        <w:t xml:space="preserve"> </w:t>
      </w:r>
      <w:r w:rsidR="007818B0" w:rsidRPr="00CE325A">
        <w:rPr>
          <w:color w:val="000000" w:themeColor="text1"/>
        </w:rPr>
        <w:t>n</w:t>
      </w:r>
      <w:r w:rsidRPr="00CE325A">
        <w:rPr>
          <w:color w:val="000000" w:themeColor="text1"/>
        </w:rPr>
        <w:t>odarbinātība un bezdarb</w:t>
      </w:r>
      <w:r w:rsidR="007818B0" w:rsidRPr="00CE325A">
        <w:rPr>
          <w:color w:val="000000" w:themeColor="text1"/>
        </w:rPr>
        <w:t>s</w:t>
      </w:r>
      <w:bookmarkEnd w:id="15"/>
    </w:p>
    <w:p w14:paraId="39BAC154" w14:textId="1653C3F7" w:rsidR="00CE325A" w:rsidRPr="00CC7C9A" w:rsidRDefault="357CF0D3" w:rsidP="4398C881">
      <w:pPr>
        <w:jc w:val="both"/>
        <w:rPr>
          <w:highlight w:val="yellow"/>
        </w:rPr>
      </w:pPr>
      <w:r>
        <w:t>Līdz ar ekonomisko aktivitāšu palielināšanos, kopumā situācija darba tirgū pakāpeniski nostabilizējas. Vienlaikus Covid-19 krīze ir atstājusi arī redzam</w:t>
      </w:r>
      <w:r w:rsidR="00A43A95">
        <w:t xml:space="preserve">u ietekmi </w:t>
      </w:r>
      <w:r>
        <w:t>darba tirgū. Nodarbināto skaits un nodarbinātības līmenis joprojām ir būtiski zemāki nekā 2019.</w:t>
      </w:r>
      <w:r w:rsidR="1CCEC2A8">
        <w:t> </w:t>
      </w:r>
      <w:r>
        <w:t>gadā. Tāpat krīze ir ietekmējusi iedzīvotāju ekonomisko aktivitāti, kas līdztekus demogrāfiskiem procesiem sašaurina darbaspēka piedāvājumu darba tirgū un paaugstina darbaspēka nepietiekamības riskus. Krīzei ieilgstot ir pieaudzis ilgstošo darba meklētāju īpatsvars, kas kopā ar reģionālajām darba tirgus disproporcijām tuvākos gados var radīt strukturālā bezdarba riskus, kā arī saasināt darbaspēka pieejamības problēmu.</w:t>
      </w:r>
    </w:p>
    <w:p w14:paraId="4C979260" w14:textId="2BA3815E" w:rsidR="00CE325A" w:rsidRPr="003B4CDA" w:rsidRDefault="357CF0D3" w:rsidP="00CE325A">
      <w:pPr>
        <w:spacing w:before="120"/>
        <w:jc w:val="both"/>
      </w:pPr>
      <w:r>
        <w:t>Ekonomisko aktivitāšu kritums Covid-19 krīzes dēļ ietekmējis darbaspēka pieprasījuma samazināšanos. 2021. gadā kopumā nodarbināto iedzīvotāju skaits bija par 29 tūkst. jeb 3,2% mazāks nekā 2020.</w:t>
      </w:r>
      <w:r w:rsidR="1CCEC2A8">
        <w:t> </w:t>
      </w:r>
      <w:r>
        <w:t>gadā, kas ir bijis lielākais nodarbināto skaita samazinājums kopš 2010.</w:t>
      </w:r>
      <w:r w:rsidR="1CCEC2A8">
        <w:t> </w:t>
      </w:r>
      <w:r>
        <w:t>gada. Kopumā 2021. gadā bija nodarbināti 864 tūkst. iedzīvotāji vecumā no 15 līdz74 gadiem. Savukārt aizņemto darbavietu skaits palielinājās vien par 0,4 procentiem.</w:t>
      </w:r>
    </w:p>
    <w:p w14:paraId="6DD74510" w14:textId="271970E0" w:rsidR="00CE325A" w:rsidRPr="003B4CDA" w:rsidRDefault="00CE325A" w:rsidP="000C591A">
      <w:pPr>
        <w:jc w:val="right"/>
        <w:rPr>
          <w:szCs w:val="20"/>
        </w:rPr>
      </w:pPr>
      <w:r w:rsidRPr="003B4CDA">
        <w:rPr>
          <w:szCs w:val="20"/>
        </w:rPr>
        <w:t>1.</w:t>
      </w:r>
      <w:r w:rsidR="00E71857">
        <w:rPr>
          <w:szCs w:val="20"/>
        </w:rPr>
        <w:t>3</w:t>
      </w:r>
      <w:r w:rsidRPr="003B4CDA">
        <w:rPr>
          <w:szCs w:val="20"/>
        </w:rPr>
        <w:t>. attēls</w:t>
      </w:r>
    </w:p>
    <w:p w14:paraId="76816EFF" w14:textId="77777777" w:rsidR="00CE325A" w:rsidRPr="003B4CDA" w:rsidRDefault="00CE325A" w:rsidP="000C591A">
      <w:pPr>
        <w:tabs>
          <w:tab w:val="center" w:pos="2268"/>
          <w:tab w:val="center" w:pos="6804"/>
        </w:tabs>
        <w:spacing w:after="0"/>
        <w:rPr>
          <w:rFonts w:ascii="Segoe UI Light" w:eastAsia="Times New Roman" w:hAnsi="Segoe UI Light"/>
          <w:i/>
          <w:sz w:val="16"/>
          <w:szCs w:val="20"/>
          <w:lang w:eastAsia="lv-LV"/>
        </w:rPr>
      </w:pPr>
      <w:r w:rsidRPr="003B4CDA">
        <w:rPr>
          <w:rFonts w:ascii="Segoe UI Light" w:hAnsi="Segoe UI Light"/>
          <w:b/>
          <w:sz w:val="18"/>
          <w:szCs w:val="26"/>
        </w:rPr>
        <w:tab/>
        <w:t>Nodarbināto un ekonomiski aktīvo iedzīvotāju skaits</w:t>
      </w:r>
      <w:r w:rsidRPr="003B4CDA">
        <w:rPr>
          <w:rFonts w:ascii="Segoe UI Light" w:eastAsia="Times New Roman" w:hAnsi="Segoe UI Light"/>
          <w:sz w:val="16"/>
          <w:szCs w:val="20"/>
          <w:lang w:eastAsia="lv-LV"/>
        </w:rPr>
        <w:tab/>
      </w:r>
      <w:r w:rsidRPr="003B4CDA">
        <w:rPr>
          <w:rFonts w:ascii="Segoe UI Light" w:hAnsi="Segoe UI Light"/>
          <w:b/>
          <w:sz w:val="18"/>
          <w:szCs w:val="26"/>
        </w:rPr>
        <w:t xml:space="preserve">Nodarbinātības un ekonomiskās aktivitātes līmenis </w:t>
      </w:r>
      <w:r w:rsidRPr="003B4CDA">
        <w:rPr>
          <w:rFonts w:ascii="Segoe UI Light" w:hAnsi="Segoe UI Light"/>
          <w:b/>
          <w:sz w:val="18"/>
          <w:szCs w:val="26"/>
        </w:rPr>
        <w:br/>
      </w:r>
      <w:r w:rsidRPr="003B4CDA">
        <w:rPr>
          <w:rFonts w:ascii="Segoe UI Light" w:eastAsia="Times New Roman" w:hAnsi="Segoe UI Light"/>
          <w:bCs/>
          <w:i/>
          <w:color w:val="000000"/>
          <w:sz w:val="16"/>
        </w:rPr>
        <w:tab/>
        <w:t>15-74</w:t>
      </w:r>
      <w:r w:rsidRPr="003B4CDA">
        <w:rPr>
          <w:rFonts w:ascii="Segoe UI Light" w:eastAsia="Times New Roman" w:hAnsi="Segoe UI Light"/>
          <w:i/>
          <w:color w:val="000000"/>
          <w:sz w:val="16"/>
        </w:rPr>
        <w:t xml:space="preserve"> gadu vecuma grupā, tūkst.</w:t>
      </w:r>
      <w:r w:rsidRPr="003B4CDA">
        <w:rPr>
          <w:rFonts w:ascii="Segoe UI Light" w:eastAsia="Times New Roman" w:hAnsi="Segoe UI Light"/>
          <w:i/>
          <w:color w:val="000000"/>
          <w:sz w:val="16"/>
        </w:rPr>
        <w:tab/>
        <w:t>procentos</w:t>
      </w:r>
    </w:p>
    <w:p w14:paraId="5E8C13F6" w14:textId="77777777" w:rsidR="00CE325A" w:rsidRPr="003B4CDA" w:rsidRDefault="00CE325A" w:rsidP="00CE325A">
      <w:pPr>
        <w:tabs>
          <w:tab w:val="left" w:pos="4643"/>
        </w:tabs>
        <w:spacing w:after="120"/>
        <w:jc w:val="right"/>
        <w:rPr>
          <w:rFonts w:ascii="Segoe UI Light" w:hAnsi="Segoe UI Light" w:cs="Segoe UI"/>
          <w:sz w:val="18"/>
        </w:rPr>
      </w:pPr>
      <w:r w:rsidRPr="003B4CDA">
        <w:rPr>
          <w:rFonts w:ascii="Segoe UI Light" w:hAnsi="Segoe UI Light"/>
          <w:noProof/>
          <w:sz w:val="16"/>
          <w:lang w:eastAsia="lv-LV"/>
        </w:rPr>
        <w:drawing>
          <wp:inline distT="0" distB="0" distL="0" distR="0" wp14:anchorId="301F37C0" wp14:editId="38AA8742">
            <wp:extent cx="2879725" cy="2011680"/>
            <wp:effectExtent l="0" t="0" r="0" b="0"/>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3B4CDA">
        <w:rPr>
          <w:rFonts w:ascii="Segoe UI Light" w:hAnsi="Segoe UI Light"/>
          <w:noProof/>
          <w:sz w:val="16"/>
          <w:lang w:eastAsia="lv-LV"/>
        </w:rPr>
        <w:drawing>
          <wp:inline distT="0" distB="0" distL="0" distR="0" wp14:anchorId="0113C5E6" wp14:editId="6E9BB0A4">
            <wp:extent cx="2879725" cy="2033626"/>
            <wp:effectExtent l="0" t="0" r="0" b="0"/>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E6B0CA" w14:textId="77777777" w:rsidR="00CE325A" w:rsidRPr="004A62C0" w:rsidRDefault="00CE325A" w:rsidP="000C591A">
      <w:pPr>
        <w:jc w:val="both"/>
        <w:rPr>
          <w:sz w:val="12"/>
          <w:szCs w:val="12"/>
        </w:rPr>
      </w:pPr>
      <w:r w:rsidRPr="004A62C0">
        <w:rPr>
          <w:sz w:val="12"/>
          <w:szCs w:val="12"/>
        </w:rPr>
        <w:t>Avots: CSP</w:t>
      </w:r>
    </w:p>
    <w:p w14:paraId="331908DB" w14:textId="672348E0" w:rsidR="00CE325A" w:rsidRPr="00CC7C9A" w:rsidRDefault="000C591A" w:rsidP="00CE325A">
      <w:pPr>
        <w:jc w:val="both"/>
        <w:rPr>
          <w:szCs w:val="20"/>
          <w:highlight w:val="yellow"/>
        </w:rPr>
      </w:pPr>
      <w:r>
        <w:rPr>
          <w:szCs w:val="20"/>
        </w:rPr>
        <w:br/>
      </w:r>
      <w:r w:rsidR="00CE325A" w:rsidRPr="00EC60D7">
        <w:rPr>
          <w:szCs w:val="20"/>
        </w:rPr>
        <w:t>Lai gan kopumā Covid-19 negatīvo ietekmi uz iedzīvotāju nodarbinātību ir mīkstinājuši ieviestie valsts atbalsta pasākumi, kas ārkārtas periodā ir ļāvuši daļēji saglabāt gan darbavietas, gan ienākumus iedzīvotājiem, tomēr krīzei ieilgstot</w:t>
      </w:r>
      <w:r w:rsidR="00A43A95">
        <w:rPr>
          <w:szCs w:val="20"/>
        </w:rPr>
        <w:t>,</w:t>
      </w:r>
      <w:r w:rsidR="00CE325A" w:rsidRPr="00EC60D7">
        <w:rPr>
          <w:szCs w:val="20"/>
        </w:rPr>
        <w:t xml:space="preserve"> arī pandēmijas ietekme uz darba tirgu ir paplašinājusies.</w:t>
      </w:r>
    </w:p>
    <w:p w14:paraId="09336E7B" w14:textId="26E6D8E9" w:rsidR="00CE325A" w:rsidRPr="003B4CDA" w:rsidRDefault="00CE325A" w:rsidP="00CE325A">
      <w:pPr>
        <w:spacing w:before="120"/>
        <w:jc w:val="right"/>
        <w:rPr>
          <w:szCs w:val="20"/>
        </w:rPr>
      </w:pPr>
      <w:r w:rsidRPr="003B4CDA">
        <w:rPr>
          <w:szCs w:val="20"/>
        </w:rPr>
        <w:t>1.</w:t>
      </w:r>
      <w:r w:rsidR="00E71857">
        <w:rPr>
          <w:szCs w:val="20"/>
        </w:rPr>
        <w:t>4</w:t>
      </w:r>
      <w:r w:rsidRPr="003B4CDA">
        <w:rPr>
          <w:szCs w:val="20"/>
        </w:rPr>
        <w:t>. attēls</w:t>
      </w:r>
    </w:p>
    <w:p w14:paraId="152228DF" w14:textId="77777777" w:rsidR="00CE325A" w:rsidRPr="003B4CDA" w:rsidRDefault="00CE325A" w:rsidP="00CE325A">
      <w:pPr>
        <w:spacing w:before="120"/>
        <w:jc w:val="center"/>
        <w:rPr>
          <w:rFonts w:ascii="Cambria" w:hAnsi="Cambria"/>
          <w:i/>
          <w:sz w:val="18"/>
          <w:szCs w:val="24"/>
        </w:rPr>
      </w:pPr>
      <w:r w:rsidRPr="003B4CDA">
        <w:rPr>
          <w:rFonts w:ascii="Segoe UI Light" w:hAnsi="Segoe UI Light"/>
          <w:b/>
          <w:sz w:val="18"/>
          <w:szCs w:val="26"/>
        </w:rPr>
        <w:t xml:space="preserve">Līdzdalības līmenis ES valstīs </w:t>
      </w:r>
      <w:r w:rsidRPr="003B4CDA">
        <w:rPr>
          <w:rFonts w:ascii="Segoe UI Light" w:hAnsi="Segoe UI Light"/>
          <w:b/>
          <w:sz w:val="18"/>
          <w:szCs w:val="26"/>
        </w:rPr>
        <w:br/>
      </w:r>
      <w:r w:rsidRPr="003B4CDA">
        <w:rPr>
          <w:rFonts w:ascii="Segoe UI Light" w:hAnsi="Segoe UI Light"/>
          <w:i/>
          <w:sz w:val="16"/>
          <w:szCs w:val="26"/>
        </w:rPr>
        <w:t>15-74 gadu vecuma grupā, procentos</w:t>
      </w:r>
    </w:p>
    <w:p w14:paraId="5A86B1BA" w14:textId="77777777" w:rsidR="00CE325A" w:rsidRPr="003B4CDA" w:rsidRDefault="00CE325A" w:rsidP="00CE325A">
      <w:pPr>
        <w:spacing w:after="0"/>
        <w:jc w:val="right"/>
        <w:rPr>
          <w:szCs w:val="20"/>
        </w:rPr>
      </w:pPr>
      <w:r w:rsidRPr="003B4CDA">
        <w:rPr>
          <w:rFonts w:cs="Segoe UI"/>
          <w:noProof/>
          <w:szCs w:val="20"/>
          <w:lang w:eastAsia="lv-LV"/>
        </w:rPr>
        <w:drawing>
          <wp:inline distT="0" distB="0" distL="0" distR="0" wp14:anchorId="65D4643C" wp14:editId="5C401CF1">
            <wp:extent cx="5759450" cy="183611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5D07AE" w14:textId="77777777" w:rsidR="00CE325A" w:rsidRPr="004A62C0" w:rsidRDefault="00CE325A" w:rsidP="000C591A">
      <w:pPr>
        <w:jc w:val="both"/>
        <w:rPr>
          <w:sz w:val="12"/>
          <w:szCs w:val="12"/>
        </w:rPr>
      </w:pPr>
      <w:r w:rsidRPr="004A62C0">
        <w:rPr>
          <w:sz w:val="12"/>
          <w:szCs w:val="12"/>
        </w:rPr>
        <w:t xml:space="preserve">Avots: </w:t>
      </w:r>
      <w:proofErr w:type="spellStart"/>
      <w:r w:rsidRPr="004A62C0">
        <w:rPr>
          <w:i/>
          <w:sz w:val="12"/>
          <w:szCs w:val="12"/>
        </w:rPr>
        <w:t>Eurostat</w:t>
      </w:r>
      <w:proofErr w:type="spellEnd"/>
    </w:p>
    <w:p w14:paraId="0B09C051" w14:textId="6DA42D81" w:rsidR="00E71857" w:rsidRPr="00CC7C9A" w:rsidRDefault="00E71857" w:rsidP="00E71857">
      <w:pPr>
        <w:jc w:val="both"/>
        <w:rPr>
          <w:szCs w:val="20"/>
          <w:highlight w:val="yellow"/>
        </w:rPr>
      </w:pPr>
      <w:r w:rsidRPr="00EC60D7">
        <w:rPr>
          <w:szCs w:val="20"/>
        </w:rPr>
        <w:lastRenderedPageBreak/>
        <w:t xml:space="preserve">Tāpat arvien vairāk </w:t>
      </w:r>
      <w:r w:rsidR="00A43A95" w:rsidRPr="00A43A95">
        <w:rPr>
          <w:szCs w:val="20"/>
        </w:rPr>
        <w:t xml:space="preserve">vajadzību pēc darbaspēka aizstāj </w:t>
      </w:r>
      <w:r w:rsidRPr="00EC60D7">
        <w:rPr>
          <w:szCs w:val="20"/>
        </w:rPr>
        <w:t>produktivitātes pieaugums, līdz ar to noteiktu darbu veikšanai ir nepieciešams mazāks nodarbināto skaits.</w:t>
      </w:r>
    </w:p>
    <w:p w14:paraId="1023951B" w14:textId="3506F64A" w:rsidR="00E71857" w:rsidRDefault="00E71857" w:rsidP="00E71857">
      <w:pPr>
        <w:jc w:val="both"/>
      </w:pPr>
      <w:r>
        <w:t xml:space="preserve">Nodarbināto īpatsvars iedzīvotāju kopskaitā 2021. gadā bija 62,5%, kas bija par 1,7 procentpunktiem zemāks nekā 2020. gadā, bet no </w:t>
      </w:r>
      <w:proofErr w:type="spellStart"/>
      <w:r>
        <w:t>pirmskrīzes</w:t>
      </w:r>
      <w:proofErr w:type="spellEnd"/>
      <w:r>
        <w:t xml:space="preserve"> līmeņa (2019. gada) tas atpaliek par 2,5 procentpunktiem. Lai gan 2020. gadā </w:t>
      </w:r>
      <w:r w:rsidR="00A43A95">
        <w:t>kopumā</w:t>
      </w:r>
      <w:r>
        <w:t xml:space="preserve"> bija vērojams iedzīvotāju ekonomiskās aktivitātes pieaugums, tomēr sākot ar 2020. gada 4. ceturksni, arī iedzīvotāju līdzdalība darba tirgū pakāpeniski samazinās. 2021. gadā iedzīvotāju ekonomiskās aktivitātes līmenis vecuma grupā no 15 līdz 74 gadiem bija par 2,2 procentpunktiem mazāks nekā 2020. gadā.</w:t>
      </w:r>
    </w:p>
    <w:p w14:paraId="17FC999F" w14:textId="05660097" w:rsidR="00CE325A" w:rsidRPr="003B4CDA" w:rsidRDefault="00CE325A" w:rsidP="00CE325A">
      <w:pPr>
        <w:jc w:val="both"/>
        <w:rPr>
          <w:szCs w:val="20"/>
        </w:rPr>
      </w:pPr>
      <w:r w:rsidRPr="00952F7E">
        <w:rPr>
          <w:szCs w:val="20"/>
        </w:rPr>
        <w:t>Latvijā līdzdalības līmenis ir augstāk</w:t>
      </w:r>
      <w:r w:rsidR="00952F7E" w:rsidRPr="00952F7E">
        <w:rPr>
          <w:szCs w:val="20"/>
        </w:rPr>
        <w:t xml:space="preserve">s par vidējo rādītāju </w:t>
      </w:r>
      <w:r w:rsidRPr="00952F7E">
        <w:rPr>
          <w:szCs w:val="20"/>
        </w:rPr>
        <w:t>ES valstī</w:t>
      </w:r>
      <w:r w:rsidR="00952F7E" w:rsidRPr="00952F7E">
        <w:rPr>
          <w:szCs w:val="20"/>
        </w:rPr>
        <w:t>s</w:t>
      </w:r>
      <w:r w:rsidRPr="00952F7E">
        <w:rPr>
          <w:szCs w:val="20"/>
        </w:rPr>
        <w:t>. 202</w:t>
      </w:r>
      <w:r w:rsidR="00952F7E" w:rsidRPr="00952F7E">
        <w:rPr>
          <w:szCs w:val="20"/>
        </w:rPr>
        <w:t>1</w:t>
      </w:r>
      <w:r w:rsidRPr="00952F7E">
        <w:rPr>
          <w:szCs w:val="20"/>
        </w:rPr>
        <w:t xml:space="preserve">. gadā iedzīvotāju ekonomiskā aktivitāte bija par </w:t>
      </w:r>
      <w:r w:rsidR="00952F7E" w:rsidRPr="00952F7E">
        <w:rPr>
          <w:szCs w:val="20"/>
        </w:rPr>
        <w:t>3,6</w:t>
      </w:r>
      <w:r w:rsidRPr="00952F7E">
        <w:rPr>
          <w:szCs w:val="20"/>
        </w:rPr>
        <w:t xml:space="preserve"> procentpunktiem augstāka nekā vidēji ES (64%).</w:t>
      </w:r>
    </w:p>
    <w:p w14:paraId="509E2288" w14:textId="24C2E80D" w:rsidR="00CE325A" w:rsidRPr="003B4CDA" w:rsidRDefault="00CE325A" w:rsidP="000C591A">
      <w:pPr>
        <w:spacing w:before="120" w:after="120"/>
        <w:jc w:val="right"/>
        <w:rPr>
          <w:szCs w:val="20"/>
        </w:rPr>
      </w:pPr>
      <w:r w:rsidRPr="003B4CDA">
        <w:rPr>
          <w:szCs w:val="20"/>
        </w:rPr>
        <w:t>1.</w:t>
      </w:r>
      <w:r w:rsidR="00E71857">
        <w:rPr>
          <w:szCs w:val="20"/>
        </w:rPr>
        <w:t>5</w:t>
      </w:r>
      <w:r w:rsidRPr="003B4CDA">
        <w:rPr>
          <w:szCs w:val="20"/>
        </w:rPr>
        <w:t>. attēls</w:t>
      </w:r>
    </w:p>
    <w:p w14:paraId="5D9F96F8" w14:textId="4A5D3C08" w:rsidR="00CE325A" w:rsidRPr="00A81E28" w:rsidRDefault="00CE325A" w:rsidP="000C591A">
      <w:pPr>
        <w:spacing w:after="0"/>
        <w:jc w:val="center"/>
        <w:rPr>
          <w:rFonts w:ascii="Segoe UI Light" w:hAnsi="Segoe UI Light"/>
          <w:i/>
          <w:sz w:val="16"/>
          <w:szCs w:val="24"/>
        </w:rPr>
      </w:pPr>
      <w:r w:rsidRPr="003B4CDA">
        <w:rPr>
          <w:rFonts w:ascii="Segoe UI Light" w:hAnsi="Segoe UI Light"/>
          <w:b/>
          <w:sz w:val="18"/>
          <w:szCs w:val="26"/>
        </w:rPr>
        <w:t xml:space="preserve">Nodarbinātības līmenis ES valstīs </w:t>
      </w:r>
      <w:r w:rsidRPr="003B4CDA">
        <w:rPr>
          <w:rFonts w:ascii="Segoe UI Light" w:hAnsi="Segoe UI Light"/>
          <w:b/>
          <w:sz w:val="18"/>
          <w:szCs w:val="26"/>
        </w:rPr>
        <w:br/>
      </w:r>
      <w:r w:rsidR="00B644EF" w:rsidRPr="00B644EF">
        <w:rPr>
          <w:rFonts w:ascii="Segoe UI Light" w:hAnsi="Segoe UI Light"/>
          <w:i/>
          <w:sz w:val="16"/>
          <w:szCs w:val="24"/>
        </w:rPr>
        <w:t>15-74 gadu vecuma grupā, procentos</w:t>
      </w:r>
    </w:p>
    <w:p w14:paraId="4E6F8095" w14:textId="77777777" w:rsidR="00CE325A" w:rsidRPr="003B4CDA" w:rsidRDefault="00CE325A" w:rsidP="00CE325A">
      <w:pPr>
        <w:jc w:val="center"/>
        <w:rPr>
          <w:szCs w:val="20"/>
        </w:rPr>
      </w:pPr>
      <w:r w:rsidRPr="003B4CDA">
        <w:rPr>
          <w:rFonts w:cs="Segoe UI"/>
          <w:noProof/>
          <w:szCs w:val="20"/>
          <w:lang w:eastAsia="lv-LV"/>
        </w:rPr>
        <w:drawing>
          <wp:inline distT="0" distB="0" distL="0" distR="0" wp14:anchorId="11213506" wp14:editId="1C408687">
            <wp:extent cx="5760000" cy="21600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A4C1D3" w14:textId="77777777" w:rsidR="00CE325A" w:rsidRPr="004A62C0" w:rsidRDefault="00CE325A" w:rsidP="000C591A">
      <w:pPr>
        <w:jc w:val="both"/>
        <w:rPr>
          <w:sz w:val="12"/>
          <w:szCs w:val="12"/>
        </w:rPr>
      </w:pPr>
      <w:r w:rsidRPr="004A62C0">
        <w:rPr>
          <w:sz w:val="12"/>
          <w:szCs w:val="12"/>
        </w:rPr>
        <w:t xml:space="preserve">Avots: </w:t>
      </w:r>
      <w:proofErr w:type="spellStart"/>
      <w:r w:rsidRPr="004A62C0">
        <w:rPr>
          <w:i/>
          <w:sz w:val="12"/>
          <w:szCs w:val="12"/>
        </w:rPr>
        <w:t>Eurostat</w:t>
      </w:r>
      <w:proofErr w:type="spellEnd"/>
    </w:p>
    <w:p w14:paraId="19AC927F" w14:textId="213EADA9" w:rsidR="00CE325A" w:rsidRPr="003B4CDA" w:rsidRDefault="000C591A" w:rsidP="00CE325A">
      <w:pPr>
        <w:jc w:val="both"/>
      </w:pPr>
      <w:r>
        <w:br/>
      </w:r>
      <w:r w:rsidR="357CF0D3">
        <w:t>Arī nodarbinātības līmeņa ziņā Latvija apsteidz vairum</w:t>
      </w:r>
      <w:r w:rsidR="00A43A95">
        <w:t>u</w:t>
      </w:r>
      <w:r w:rsidR="357CF0D3">
        <w:t xml:space="preserve"> ES valstu un 202</w:t>
      </w:r>
      <w:r w:rsidR="15F03549">
        <w:t>1</w:t>
      </w:r>
      <w:r w:rsidR="357CF0D3">
        <w:t xml:space="preserve">. gadā nodarbinātības līmenis iedzīvotājiem vecumā no 15 līdz74 gadiem bija par </w:t>
      </w:r>
      <w:r w:rsidR="15F03549">
        <w:t>2,9</w:t>
      </w:r>
      <w:r w:rsidR="357CF0D3">
        <w:t xml:space="preserve"> procentpunktiem augstāks nekā vidēji ES. Kopš 2010.</w:t>
      </w:r>
      <w:r w:rsidR="1CCEC2A8">
        <w:t> </w:t>
      </w:r>
      <w:r w:rsidR="357CF0D3">
        <w:t>gada nodarbinātības līmeņa pieaugums Latvijā ir bijis viens no straujākiem ES</w:t>
      </w:r>
      <w:r w:rsidR="00E83037">
        <w:t>, tomēr jāņem vērā, ka 2010. gadā nodarbinātības līmenis Latvijā, līdzīgi kā citās valstīs, sasniedz savu zemāko punktu pēc 2008. gada finanšu krīzes, līdz ar to izmaiņas rādītājā daļēji ir saistītas ar nodarbinātības līmeņa zemās bāzes efektu 2010. gadā</w:t>
      </w:r>
    </w:p>
    <w:p w14:paraId="5E12CB2C" w14:textId="77777777" w:rsidR="00E71857" w:rsidRPr="003B4CDA" w:rsidRDefault="00E71857" w:rsidP="00E71857">
      <w:pPr>
        <w:jc w:val="both"/>
      </w:pPr>
      <w:bookmarkStart w:id="16" w:name="_Hlk99651730"/>
      <w:r>
        <w:t>Bezdarba līmenis, pēc kāpuma 2020. gadā Covid-19 krīzes ietekmē, 2021. gadā samazinājās līdz vidēji 7,6%, kas bija par 0,5 procentpunktiem mazāk nekā 2020. gadā un par 11,9 procentpunktiem mazāk nekā 2010. gadā. Kopumā 2021. gadā bezdarbnieku skaits samazinājās līdz 70,6 tūkst., kas ir par 8,1 tūkst. mazāk nekā gadu iepriekš. Bezdarba samazinājumu galvenokārt ietekmēja iedzīvotāju ekonomiskās aktivitātes mazināšanās, kā arī būtisku ietekmi joprojām turpina uzturēt demogrāfiskie procesi – darbspējīgo iedzīvotāju skaita absolūtais samazinājums un izmaiņas iedzīvotāju vecumstruktūrā.</w:t>
      </w:r>
    </w:p>
    <w:p w14:paraId="3E5BFB5F" w14:textId="35006F40" w:rsidR="00CE325A" w:rsidRPr="003B4CDA" w:rsidRDefault="00F2342D" w:rsidP="00CE325A">
      <w:pPr>
        <w:jc w:val="both"/>
        <w:rPr>
          <w:szCs w:val="20"/>
        </w:rPr>
      </w:pPr>
      <w:r>
        <w:rPr>
          <w:szCs w:val="20"/>
        </w:rPr>
        <w:t>R</w:t>
      </w:r>
      <w:r w:rsidR="00CE325A" w:rsidRPr="003B4CDA">
        <w:rPr>
          <w:szCs w:val="20"/>
        </w:rPr>
        <w:t xml:space="preserve">eģistrētais bezdarba līmenis </w:t>
      </w:r>
      <w:r w:rsidR="00CE325A">
        <w:rPr>
          <w:szCs w:val="20"/>
        </w:rPr>
        <w:t>no pirmā vīrusa viļņa maksimuma</w:t>
      </w:r>
      <w:r w:rsidR="00CE325A" w:rsidRPr="003B4CDA">
        <w:rPr>
          <w:szCs w:val="20"/>
        </w:rPr>
        <w:t xml:space="preserve"> </w:t>
      </w:r>
      <w:r w:rsidR="00CE325A">
        <w:rPr>
          <w:szCs w:val="20"/>
        </w:rPr>
        <w:t>2020.</w:t>
      </w:r>
      <w:r w:rsidR="00B77713">
        <w:rPr>
          <w:szCs w:val="20"/>
        </w:rPr>
        <w:t> </w:t>
      </w:r>
      <w:r w:rsidR="00CE325A">
        <w:rPr>
          <w:szCs w:val="20"/>
        </w:rPr>
        <w:t>gada jūnijā, kad tas</w:t>
      </w:r>
      <w:r w:rsidR="00CE325A" w:rsidRPr="003B4CDA">
        <w:rPr>
          <w:szCs w:val="20"/>
        </w:rPr>
        <w:t xml:space="preserve"> </w:t>
      </w:r>
      <w:r w:rsidR="00CE325A">
        <w:rPr>
          <w:szCs w:val="20"/>
        </w:rPr>
        <w:t>bija</w:t>
      </w:r>
      <w:r w:rsidR="00CE325A" w:rsidRPr="003B4CDA">
        <w:rPr>
          <w:szCs w:val="20"/>
        </w:rPr>
        <w:t xml:space="preserve"> pieaudzis</w:t>
      </w:r>
      <w:r w:rsidR="00CE325A">
        <w:rPr>
          <w:szCs w:val="20"/>
        </w:rPr>
        <w:t xml:space="preserve"> </w:t>
      </w:r>
      <w:r w:rsidR="00CE325A" w:rsidRPr="003B4CDA">
        <w:rPr>
          <w:szCs w:val="20"/>
        </w:rPr>
        <w:t>līdz 8</w:t>
      </w:r>
      <w:r w:rsidR="00CE325A">
        <w:rPr>
          <w:szCs w:val="20"/>
        </w:rPr>
        <w:t>,6</w:t>
      </w:r>
      <w:r w:rsidR="00CE325A" w:rsidRPr="003B4CDA">
        <w:rPr>
          <w:szCs w:val="20"/>
        </w:rPr>
        <w:t>%</w:t>
      </w:r>
      <w:r w:rsidR="00CE325A">
        <w:rPr>
          <w:szCs w:val="20"/>
        </w:rPr>
        <w:t>, 2022</w:t>
      </w:r>
      <w:r w:rsidR="00CE325A" w:rsidRPr="003B4CDA">
        <w:rPr>
          <w:szCs w:val="20"/>
        </w:rPr>
        <w:t>.</w:t>
      </w:r>
      <w:r w:rsidR="00C84741">
        <w:rPr>
          <w:szCs w:val="20"/>
        </w:rPr>
        <w:t> </w:t>
      </w:r>
      <w:r w:rsidR="00CE325A">
        <w:rPr>
          <w:szCs w:val="20"/>
        </w:rPr>
        <w:t>gada marta beigās bija samazinājies par gandrīz 2</w:t>
      </w:r>
      <w:r w:rsidR="00C84741">
        <w:rPr>
          <w:szCs w:val="20"/>
        </w:rPr>
        <w:t> </w:t>
      </w:r>
      <w:r w:rsidR="00CE325A">
        <w:rPr>
          <w:szCs w:val="20"/>
        </w:rPr>
        <w:t>procentpunktiem – līdz 6,7%.</w:t>
      </w:r>
      <w:r w:rsidR="00CE325A" w:rsidRPr="003B4CDA">
        <w:rPr>
          <w:szCs w:val="20"/>
        </w:rPr>
        <w:t xml:space="preserve"> </w:t>
      </w:r>
      <w:bookmarkEnd w:id="16"/>
      <w:r w:rsidR="00CE325A" w:rsidRPr="003B4CDA">
        <w:rPr>
          <w:szCs w:val="20"/>
        </w:rPr>
        <w:t xml:space="preserve">Kopumā reģistrēto bezdarbnieku skaits </w:t>
      </w:r>
      <w:r w:rsidR="00CE325A">
        <w:rPr>
          <w:szCs w:val="20"/>
        </w:rPr>
        <w:t>šajā</w:t>
      </w:r>
      <w:r w:rsidR="00CE325A" w:rsidRPr="003B4CDA">
        <w:rPr>
          <w:szCs w:val="20"/>
        </w:rPr>
        <w:t xml:space="preserve"> </w:t>
      </w:r>
      <w:r w:rsidR="00CE325A">
        <w:rPr>
          <w:szCs w:val="20"/>
        </w:rPr>
        <w:t>periodā</w:t>
      </w:r>
      <w:r w:rsidR="00CE325A" w:rsidRPr="003B4CDA">
        <w:rPr>
          <w:szCs w:val="20"/>
        </w:rPr>
        <w:t xml:space="preserve"> </w:t>
      </w:r>
      <w:r w:rsidR="00CE325A">
        <w:rPr>
          <w:szCs w:val="20"/>
        </w:rPr>
        <w:t>bija</w:t>
      </w:r>
      <w:r w:rsidR="00CE325A" w:rsidRPr="003B4CDA">
        <w:rPr>
          <w:szCs w:val="20"/>
        </w:rPr>
        <w:t xml:space="preserve"> </w:t>
      </w:r>
      <w:r w:rsidR="00CE325A">
        <w:rPr>
          <w:szCs w:val="20"/>
        </w:rPr>
        <w:t>samaz</w:t>
      </w:r>
      <w:r w:rsidR="00CE325A" w:rsidRPr="003B4CDA">
        <w:rPr>
          <w:szCs w:val="20"/>
        </w:rPr>
        <w:t>inājies par gandrīz 1</w:t>
      </w:r>
      <w:r w:rsidR="00CE325A">
        <w:rPr>
          <w:szCs w:val="20"/>
        </w:rPr>
        <w:t>8</w:t>
      </w:r>
      <w:r w:rsidR="00CE325A" w:rsidRPr="003B4CDA">
        <w:rPr>
          <w:szCs w:val="20"/>
        </w:rPr>
        <w:t xml:space="preserve"> tūkstošiem.</w:t>
      </w:r>
    </w:p>
    <w:p w14:paraId="54625EEF" w14:textId="77777777" w:rsidR="00700647" w:rsidRDefault="00700647">
      <w:pPr>
        <w:spacing w:after="0"/>
        <w:rPr>
          <w:szCs w:val="20"/>
        </w:rPr>
      </w:pPr>
      <w:r>
        <w:rPr>
          <w:szCs w:val="20"/>
        </w:rPr>
        <w:br w:type="page"/>
      </w:r>
    </w:p>
    <w:p w14:paraId="30528746" w14:textId="439208A4" w:rsidR="00700647" w:rsidRPr="003B4CDA" w:rsidRDefault="00700647" w:rsidP="000C591A">
      <w:pPr>
        <w:jc w:val="right"/>
        <w:rPr>
          <w:szCs w:val="20"/>
        </w:rPr>
      </w:pPr>
      <w:r w:rsidRPr="003B4CDA">
        <w:rPr>
          <w:szCs w:val="20"/>
        </w:rPr>
        <w:lastRenderedPageBreak/>
        <w:t>1.</w:t>
      </w:r>
      <w:r>
        <w:rPr>
          <w:szCs w:val="20"/>
        </w:rPr>
        <w:t>6</w:t>
      </w:r>
      <w:r w:rsidRPr="003B4CDA">
        <w:rPr>
          <w:szCs w:val="20"/>
        </w:rPr>
        <w:t>. attēls</w:t>
      </w:r>
    </w:p>
    <w:p w14:paraId="691C4A11" w14:textId="77777777" w:rsidR="00700647" w:rsidRPr="003B4CDA" w:rsidRDefault="00700647" w:rsidP="000C591A">
      <w:pPr>
        <w:tabs>
          <w:tab w:val="center" w:pos="2268"/>
          <w:tab w:val="center" w:pos="6804"/>
        </w:tabs>
        <w:spacing w:after="120"/>
        <w:rPr>
          <w:rFonts w:ascii="Segoe UI Light" w:eastAsia="Times New Roman" w:hAnsi="Segoe UI Light"/>
          <w:i/>
          <w:sz w:val="16"/>
          <w:szCs w:val="20"/>
          <w:lang w:eastAsia="lv-LV"/>
        </w:rPr>
      </w:pPr>
      <w:r w:rsidRPr="003B4CDA">
        <w:rPr>
          <w:rFonts w:ascii="Segoe UI Light" w:hAnsi="Segoe UI Light"/>
          <w:b/>
          <w:sz w:val="18"/>
          <w:szCs w:val="26"/>
        </w:rPr>
        <w:tab/>
        <w:t>Bezdarba līmenis</w:t>
      </w:r>
      <w:r w:rsidRPr="003B4CDA">
        <w:rPr>
          <w:rFonts w:ascii="Segoe UI Light" w:eastAsia="Times New Roman" w:hAnsi="Segoe UI Light"/>
          <w:sz w:val="16"/>
          <w:szCs w:val="20"/>
          <w:lang w:eastAsia="lv-LV"/>
        </w:rPr>
        <w:tab/>
      </w:r>
      <w:r w:rsidRPr="003B4CDA">
        <w:rPr>
          <w:rFonts w:ascii="Segoe UI Light" w:hAnsi="Segoe UI Light"/>
          <w:b/>
          <w:sz w:val="18"/>
          <w:szCs w:val="26"/>
        </w:rPr>
        <w:t>Bezdarbs un to ietekmējošiem faktori</w:t>
      </w:r>
      <w:r w:rsidRPr="003B4CDA">
        <w:rPr>
          <w:rFonts w:ascii="Segoe UI Light" w:hAnsi="Segoe UI Light"/>
          <w:b/>
          <w:sz w:val="18"/>
          <w:szCs w:val="26"/>
        </w:rPr>
        <w:br/>
      </w:r>
      <w:r w:rsidRPr="003B4CDA">
        <w:rPr>
          <w:rFonts w:ascii="Segoe UI Light" w:eastAsia="Times New Roman" w:hAnsi="Segoe UI Light"/>
          <w:bCs/>
          <w:i/>
          <w:color w:val="000000"/>
          <w:sz w:val="16"/>
        </w:rPr>
        <w:tab/>
        <w:t>procentos</w:t>
      </w:r>
      <w:r w:rsidRPr="003B4CDA">
        <w:rPr>
          <w:rFonts w:ascii="Segoe UI Light" w:eastAsia="Times New Roman" w:hAnsi="Segoe UI Light"/>
          <w:i/>
          <w:color w:val="000000"/>
          <w:sz w:val="16"/>
        </w:rPr>
        <w:tab/>
      </w:r>
      <w:r w:rsidRPr="003B4CDA">
        <w:rPr>
          <w:rFonts w:ascii="Segoe UI Light" w:eastAsia="Times New Roman" w:hAnsi="Segoe UI Light"/>
          <w:bCs/>
          <w:i/>
          <w:color w:val="000000"/>
          <w:sz w:val="16"/>
        </w:rPr>
        <w:t>izmaiņas tūkstošos pret iepriekšējo periodu</w:t>
      </w:r>
    </w:p>
    <w:p w14:paraId="7D524C82" w14:textId="77777777" w:rsidR="00700647" w:rsidRPr="003B4CDA" w:rsidRDefault="00700647" w:rsidP="000C591A">
      <w:pPr>
        <w:tabs>
          <w:tab w:val="left" w:pos="4128"/>
        </w:tabs>
        <w:ind w:left="113"/>
        <w:jc w:val="right"/>
        <w:rPr>
          <w:rFonts w:ascii="Segoe UI Light" w:hAnsi="Segoe UI Light" w:cs="Segoe UI"/>
          <w:sz w:val="18"/>
          <w:szCs w:val="18"/>
        </w:rPr>
      </w:pPr>
      <w:r w:rsidRPr="003B4CDA">
        <w:rPr>
          <w:rFonts w:ascii="Segoe UI Light" w:hAnsi="Segoe UI Light" w:cs="Segoe UI"/>
          <w:noProof/>
          <w:sz w:val="18"/>
          <w:szCs w:val="18"/>
          <w:lang w:eastAsia="lv-LV"/>
        </w:rPr>
        <w:drawing>
          <wp:inline distT="0" distB="0" distL="0" distR="0" wp14:anchorId="2216DD9B" wp14:editId="62404F95">
            <wp:extent cx="2828925" cy="2159635"/>
            <wp:effectExtent l="0" t="0" r="0" b="0"/>
            <wp:docPr id="44" name="Chart 44">
              <a:extLst xmlns:a="http://schemas.openxmlformats.org/drawingml/2006/main">
                <a:ext uri="{FF2B5EF4-FFF2-40B4-BE49-F238E27FC236}">
                  <a16:creationId xmlns:a16="http://schemas.microsoft.com/office/drawing/2014/main" id="{69DBB1EF-2109-4AAA-882A-581C1C108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3B4CDA">
        <w:rPr>
          <w:rFonts w:ascii="Segoe UI Light" w:hAnsi="Segoe UI Light" w:cs="Segoe UI"/>
          <w:noProof/>
          <w:sz w:val="16"/>
          <w:lang w:eastAsia="lv-LV"/>
        </w:rPr>
        <w:drawing>
          <wp:inline distT="0" distB="0" distL="0" distR="0" wp14:anchorId="583A03E2" wp14:editId="44B3DF80">
            <wp:extent cx="2819400" cy="2159635"/>
            <wp:effectExtent l="0" t="0" r="0" b="0"/>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4E0B5D" w14:textId="77777777" w:rsidR="00700647" w:rsidRPr="004A62C0" w:rsidRDefault="00700647" w:rsidP="000C591A">
      <w:pPr>
        <w:jc w:val="both"/>
        <w:rPr>
          <w:sz w:val="12"/>
          <w:szCs w:val="12"/>
        </w:rPr>
      </w:pPr>
      <w:r w:rsidRPr="004A62C0">
        <w:rPr>
          <w:sz w:val="12"/>
          <w:szCs w:val="12"/>
        </w:rPr>
        <w:t>Avots: CSP</w:t>
      </w:r>
    </w:p>
    <w:p w14:paraId="52ECBED2" w14:textId="4446CCEA" w:rsidR="00700647" w:rsidRPr="003B4CDA" w:rsidRDefault="000C591A" w:rsidP="00700647">
      <w:pPr>
        <w:jc w:val="both"/>
      </w:pPr>
      <w:r>
        <w:br/>
      </w:r>
      <w:r w:rsidR="00700647">
        <w:t xml:space="preserve">2021. gadā vidējais bezdarba līmenis ES dalībvalstīs bija 7%. Salīdzinot ar 2010. gadu, bezdarba līmenis </w:t>
      </w:r>
      <w:r w:rsidR="008E3C98">
        <w:t xml:space="preserve">strauji </w:t>
      </w:r>
      <w:r w:rsidR="00700647">
        <w:t>samazinājās visās trīs Baltijas valstīs, bet 2021. gadā Latvijā un Lietuvā bija augstāks nekā vidēji ES, savukārt Igaunijā zemāks par ES vidējo rādītāju.</w:t>
      </w:r>
    </w:p>
    <w:p w14:paraId="69C74DD1" w14:textId="68E377F1" w:rsidR="00CE325A" w:rsidRPr="003B4CDA" w:rsidRDefault="00CE325A" w:rsidP="000C591A">
      <w:pPr>
        <w:jc w:val="right"/>
        <w:rPr>
          <w:szCs w:val="20"/>
        </w:rPr>
      </w:pPr>
      <w:r w:rsidRPr="003B4CDA">
        <w:rPr>
          <w:szCs w:val="20"/>
        </w:rPr>
        <w:t>1.</w:t>
      </w:r>
      <w:r w:rsidR="00700647">
        <w:rPr>
          <w:szCs w:val="20"/>
        </w:rPr>
        <w:t>7</w:t>
      </w:r>
      <w:r w:rsidRPr="003B4CDA">
        <w:rPr>
          <w:szCs w:val="20"/>
        </w:rPr>
        <w:t>. attēls</w:t>
      </w:r>
    </w:p>
    <w:p w14:paraId="1E0130C1" w14:textId="4DAC7E23" w:rsidR="00CE325A" w:rsidRPr="003B4CDA" w:rsidRDefault="00CE325A" w:rsidP="000C591A">
      <w:pPr>
        <w:tabs>
          <w:tab w:val="center" w:pos="2268"/>
          <w:tab w:val="center" w:pos="6804"/>
        </w:tabs>
        <w:spacing w:after="0"/>
        <w:rPr>
          <w:rFonts w:ascii="Segoe UI Light" w:eastAsia="Times New Roman" w:hAnsi="Segoe UI Light"/>
          <w:i/>
          <w:sz w:val="16"/>
          <w:szCs w:val="20"/>
          <w:lang w:eastAsia="lv-LV"/>
        </w:rPr>
      </w:pPr>
      <w:r w:rsidRPr="003B4CDA">
        <w:rPr>
          <w:rFonts w:ascii="Segoe UI Light" w:hAnsi="Segoe UI Light"/>
          <w:b/>
          <w:sz w:val="18"/>
          <w:szCs w:val="26"/>
        </w:rPr>
        <w:tab/>
        <w:t xml:space="preserve">Reģistrētie bezdarbnieki </w:t>
      </w:r>
      <w:r w:rsidRPr="003B4CDA">
        <w:rPr>
          <w:rFonts w:ascii="Segoe UI Light" w:hAnsi="Segoe UI Light"/>
          <w:b/>
          <w:sz w:val="18"/>
          <w:szCs w:val="26"/>
        </w:rPr>
        <w:tab/>
        <w:t>Reģistrētais bezdarbs pa reģioniem</w:t>
      </w:r>
      <w:r w:rsidRPr="003B4CDA">
        <w:rPr>
          <w:rFonts w:ascii="Segoe UI Light" w:hAnsi="Segoe UI Light"/>
          <w:b/>
          <w:szCs w:val="26"/>
        </w:rPr>
        <w:br/>
      </w:r>
      <w:r w:rsidRPr="003B4CDA">
        <w:rPr>
          <w:rFonts w:ascii="Segoe UI Light" w:eastAsia="Times New Roman" w:hAnsi="Segoe UI Light"/>
          <w:bCs/>
          <w:i/>
          <w:color w:val="000000"/>
          <w:sz w:val="16"/>
        </w:rPr>
        <w:tab/>
        <w:t>tūkstošos</w:t>
      </w:r>
      <w:r w:rsidRPr="003B4CDA">
        <w:rPr>
          <w:rFonts w:ascii="Segoe UI Light" w:eastAsia="Times New Roman" w:hAnsi="Segoe UI Light"/>
          <w:i/>
          <w:sz w:val="16"/>
          <w:szCs w:val="20"/>
          <w:lang w:eastAsia="lv-LV"/>
        </w:rPr>
        <w:tab/>
      </w:r>
      <w:r w:rsidRPr="003B4CDA">
        <w:rPr>
          <w:rFonts w:ascii="Segoe UI Light" w:eastAsia="Times New Roman" w:hAnsi="Segoe UI Light"/>
          <w:i/>
          <w:color w:val="000000"/>
          <w:sz w:val="16"/>
        </w:rPr>
        <w:t>202</w:t>
      </w:r>
      <w:r>
        <w:rPr>
          <w:rFonts w:ascii="Segoe UI Light" w:eastAsia="Times New Roman" w:hAnsi="Segoe UI Light"/>
          <w:i/>
          <w:color w:val="000000"/>
          <w:sz w:val="16"/>
        </w:rPr>
        <w:t>2</w:t>
      </w:r>
      <w:r w:rsidRPr="003B4CDA">
        <w:rPr>
          <w:rFonts w:ascii="Segoe UI Light" w:eastAsia="Times New Roman" w:hAnsi="Segoe UI Light"/>
          <w:i/>
          <w:color w:val="000000"/>
          <w:sz w:val="16"/>
        </w:rPr>
        <w:t xml:space="preserve">. gada </w:t>
      </w:r>
      <w:r w:rsidR="00B8124D">
        <w:rPr>
          <w:rFonts w:ascii="Segoe UI Light" w:eastAsia="Times New Roman" w:hAnsi="Segoe UI Light"/>
          <w:i/>
          <w:color w:val="000000"/>
          <w:sz w:val="16"/>
        </w:rPr>
        <w:t>maija sākumā</w:t>
      </w:r>
      <w:r w:rsidRPr="003B4CDA">
        <w:rPr>
          <w:rFonts w:ascii="Segoe UI Light" w:eastAsia="Times New Roman" w:hAnsi="Segoe UI Light"/>
          <w:i/>
          <w:color w:val="000000"/>
          <w:sz w:val="16"/>
        </w:rPr>
        <w:t>, procentos</w:t>
      </w:r>
    </w:p>
    <w:p w14:paraId="2EB8302F" w14:textId="77777777" w:rsidR="00CE325A" w:rsidRPr="003B4CDA" w:rsidRDefault="00CE325A" w:rsidP="00CE325A">
      <w:pPr>
        <w:tabs>
          <w:tab w:val="left" w:pos="4536"/>
        </w:tabs>
        <w:ind w:left="113"/>
        <w:rPr>
          <w:rFonts w:eastAsiaTheme="minorHAnsi" w:cs="Segoe UI"/>
          <w:szCs w:val="20"/>
        </w:rPr>
      </w:pPr>
      <w:r w:rsidRPr="003B4CDA">
        <w:rPr>
          <w:noProof/>
          <w:szCs w:val="20"/>
          <w:lang w:eastAsia="lv-LV"/>
        </w:rPr>
        <w:drawing>
          <wp:inline distT="0" distB="0" distL="0" distR="0" wp14:anchorId="555BCC3D" wp14:editId="4B4016BC">
            <wp:extent cx="2828925" cy="2159635"/>
            <wp:effectExtent l="0" t="0" r="0" b="0"/>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93FE5">
        <w:rPr>
          <w:noProof/>
          <w:lang w:eastAsia="lv-LV"/>
        </w:rPr>
        <w:drawing>
          <wp:inline distT="0" distB="0" distL="0" distR="0" wp14:anchorId="3558F911" wp14:editId="47E0A608">
            <wp:extent cx="2807970" cy="2160000"/>
            <wp:effectExtent l="0" t="0" r="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1D4D45" w14:textId="253245DC" w:rsidR="00CE325A" w:rsidRPr="004A62C0" w:rsidRDefault="00CE325A" w:rsidP="000C591A">
      <w:pPr>
        <w:jc w:val="both"/>
        <w:rPr>
          <w:sz w:val="12"/>
          <w:szCs w:val="12"/>
        </w:rPr>
      </w:pPr>
      <w:r w:rsidRPr="004A62C0">
        <w:rPr>
          <w:sz w:val="12"/>
          <w:szCs w:val="12"/>
        </w:rPr>
        <w:t xml:space="preserve">Avots: </w:t>
      </w:r>
      <w:r w:rsidR="00E742FC" w:rsidRPr="004A62C0">
        <w:rPr>
          <w:sz w:val="12"/>
          <w:szCs w:val="12"/>
        </w:rPr>
        <w:t>NVA</w:t>
      </w:r>
    </w:p>
    <w:p w14:paraId="7C8CBF7C" w14:textId="43123C9B" w:rsidR="00A72564" w:rsidRDefault="00A72564">
      <w:pPr>
        <w:spacing w:after="0"/>
        <w:rPr>
          <w:szCs w:val="20"/>
        </w:rPr>
      </w:pPr>
      <w:r>
        <w:rPr>
          <w:szCs w:val="20"/>
        </w:rPr>
        <w:br w:type="page"/>
      </w:r>
    </w:p>
    <w:p w14:paraId="127730D1" w14:textId="42C0C69F" w:rsidR="00CE325A" w:rsidRPr="003B4CDA" w:rsidRDefault="00CE325A" w:rsidP="000C591A">
      <w:pPr>
        <w:jc w:val="right"/>
        <w:rPr>
          <w:szCs w:val="20"/>
        </w:rPr>
      </w:pPr>
      <w:r w:rsidRPr="003B4CDA">
        <w:rPr>
          <w:szCs w:val="20"/>
        </w:rPr>
        <w:lastRenderedPageBreak/>
        <w:t>1.</w:t>
      </w:r>
      <w:r w:rsidR="00700647">
        <w:rPr>
          <w:szCs w:val="20"/>
        </w:rPr>
        <w:t>8</w:t>
      </w:r>
      <w:r w:rsidRPr="003B4CDA">
        <w:rPr>
          <w:szCs w:val="20"/>
        </w:rPr>
        <w:t>. attēls</w:t>
      </w:r>
    </w:p>
    <w:p w14:paraId="01988165" w14:textId="77777777" w:rsidR="00CE325A" w:rsidRPr="00A81E28" w:rsidRDefault="00CE325A" w:rsidP="000C591A">
      <w:pPr>
        <w:spacing w:after="0"/>
        <w:jc w:val="center"/>
        <w:rPr>
          <w:rFonts w:ascii="Segoe UI Light" w:hAnsi="Segoe UI Light"/>
          <w:i/>
          <w:sz w:val="16"/>
          <w:szCs w:val="24"/>
        </w:rPr>
      </w:pPr>
      <w:r w:rsidRPr="003B4CDA">
        <w:rPr>
          <w:rFonts w:ascii="Segoe UI Light" w:hAnsi="Segoe UI Light"/>
          <w:b/>
          <w:sz w:val="18"/>
          <w:szCs w:val="26"/>
        </w:rPr>
        <w:t xml:space="preserve">Bezdarba līmenis ES valstīs </w:t>
      </w:r>
      <w:r w:rsidRPr="003B4CDA">
        <w:rPr>
          <w:rFonts w:ascii="Segoe UI Light" w:hAnsi="Segoe UI Light"/>
          <w:b/>
          <w:sz w:val="18"/>
          <w:szCs w:val="26"/>
        </w:rPr>
        <w:br/>
      </w:r>
      <w:r w:rsidRPr="00A81E28">
        <w:rPr>
          <w:rFonts w:ascii="Segoe UI Light" w:hAnsi="Segoe UI Light"/>
          <w:i/>
          <w:sz w:val="16"/>
          <w:szCs w:val="24"/>
        </w:rPr>
        <w:t>procentos</w:t>
      </w:r>
    </w:p>
    <w:p w14:paraId="52A8AD66" w14:textId="77777777" w:rsidR="00CE325A" w:rsidRPr="003B4CDA" w:rsidRDefault="00CE325A" w:rsidP="000C591A">
      <w:pPr>
        <w:jc w:val="center"/>
        <w:rPr>
          <w:szCs w:val="20"/>
        </w:rPr>
      </w:pPr>
      <w:r w:rsidRPr="003B4CDA">
        <w:rPr>
          <w:rFonts w:cs="Segoe UI"/>
          <w:noProof/>
          <w:szCs w:val="20"/>
          <w:lang w:eastAsia="lv-LV"/>
        </w:rPr>
        <w:drawing>
          <wp:inline distT="0" distB="0" distL="0" distR="0" wp14:anchorId="13826E3B" wp14:editId="71EDF09A">
            <wp:extent cx="5760000" cy="21600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10F441" w14:textId="77777777" w:rsidR="00CE325A" w:rsidRPr="004A62C0" w:rsidRDefault="00CE325A" w:rsidP="000C591A">
      <w:pPr>
        <w:jc w:val="both"/>
        <w:rPr>
          <w:sz w:val="12"/>
          <w:szCs w:val="12"/>
        </w:rPr>
      </w:pPr>
      <w:r w:rsidRPr="004A62C0">
        <w:rPr>
          <w:sz w:val="12"/>
          <w:szCs w:val="12"/>
        </w:rPr>
        <w:t xml:space="preserve">Avots: </w:t>
      </w:r>
      <w:proofErr w:type="spellStart"/>
      <w:r w:rsidRPr="004A62C0">
        <w:rPr>
          <w:i/>
          <w:sz w:val="12"/>
          <w:szCs w:val="12"/>
        </w:rPr>
        <w:t>Eurostat</w:t>
      </w:r>
      <w:proofErr w:type="spellEnd"/>
    </w:p>
    <w:p w14:paraId="21772A85" w14:textId="7E7F9AF8" w:rsidR="00CE325A" w:rsidRPr="003B4CDA" w:rsidRDefault="000C591A" w:rsidP="00CE325A">
      <w:pPr>
        <w:jc w:val="both"/>
      </w:pPr>
      <w:r>
        <w:br/>
      </w:r>
      <w:r w:rsidR="357CF0D3">
        <w:t>Lai arī darba</w:t>
      </w:r>
      <w:r w:rsidR="00C63390">
        <w:t>spēka</w:t>
      </w:r>
      <w:r w:rsidR="357CF0D3">
        <w:t xml:space="preserve"> resursu un vakanču nevienmērīgais reģionālais sadalījums pašlaik ir viens no redzamākajiem darba tirgus strukturāliem riskiem, tomēr tas nav vienīgais. Riskus rada arī salīdzinoši augstais ilgstošo bezdarbnieku īpatsvars – aptuveni 1/4 no reģistrētajiem daba meklētājiem ir bez darba ilgāk par gadu.</w:t>
      </w:r>
      <w:r w:rsidR="17F6F9D0">
        <w:t xml:space="preserve"> Ilgstošo bezdarbnieku kopskaitā gandrīz 60% bija bezdarbnieki vecumā 50 gadi un vairāk, 25,7% – bezdarbnieki ar invaliditāti.  </w:t>
      </w:r>
      <w:r w:rsidR="357CF0D3">
        <w:t xml:space="preserve"> Jāņem vērā, ka liels ilgstošais bezdarbs</w:t>
      </w:r>
      <w:r w:rsidR="7DC8C7D9">
        <w:t xml:space="preserve">, kuram arī ir izteiktais reģionālais raksturs, </w:t>
      </w:r>
      <w:r w:rsidR="357CF0D3">
        <w:t xml:space="preserve"> var radīt strukturālā bezdarba pieaugumu, proti, jo ilgāk šie cilvēki ir bez darba, jo lielāks risks zaudēt darba iemaņas un prasmes. Turklāt pastāv risks, ka daļai no esošajiem bezdarbniekiem nākotnē varētu būt problēmas atrast savām prasmēm atbilstošu darbu, jo tās var neatbilst tām, ko pieprasa tirgus. Dažus pierādījumus par strukturālā bezdarba veidošanos iespējams iegūt izmantojot </w:t>
      </w:r>
      <w:proofErr w:type="spellStart"/>
      <w:r w:rsidR="357CF0D3">
        <w:t>Beveridža</w:t>
      </w:r>
      <w:proofErr w:type="spellEnd"/>
      <w:r w:rsidR="357CF0D3">
        <w:t xml:space="preserve"> līkni, kas grafiski parāda bezdarba un brīvo darba vietu savstarpējo dinamiku.</w:t>
      </w:r>
    </w:p>
    <w:p w14:paraId="73A7000A" w14:textId="4E049FE5" w:rsidR="00CE325A" w:rsidRPr="003B4CDA" w:rsidRDefault="00CE325A" w:rsidP="000C591A">
      <w:pPr>
        <w:jc w:val="right"/>
        <w:rPr>
          <w:szCs w:val="20"/>
        </w:rPr>
      </w:pPr>
      <w:r w:rsidRPr="003B4CDA">
        <w:rPr>
          <w:szCs w:val="20"/>
        </w:rPr>
        <w:t>1.</w:t>
      </w:r>
      <w:r w:rsidR="00700647">
        <w:rPr>
          <w:szCs w:val="20"/>
        </w:rPr>
        <w:t>9</w:t>
      </w:r>
      <w:r w:rsidRPr="003B4CDA">
        <w:rPr>
          <w:szCs w:val="20"/>
        </w:rPr>
        <w:t>. attēls</w:t>
      </w:r>
    </w:p>
    <w:p w14:paraId="68B963A9" w14:textId="77777777" w:rsidR="00CE325A" w:rsidRPr="003B4CDA" w:rsidRDefault="00CE325A" w:rsidP="000C591A">
      <w:pPr>
        <w:spacing w:after="120"/>
        <w:ind w:left="170" w:right="170"/>
        <w:jc w:val="center"/>
        <w:rPr>
          <w:rFonts w:ascii="Segoe UI Light" w:eastAsia="Times New Roman" w:hAnsi="Segoe UI Light"/>
          <w:i/>
          <w:sz w:val="16"/>
          <w:szCs w:val="20"/>
          <w:lang w:eastAsia="lv-LV"/>
        </w:rPr>
      </w:pPr>
      <w:proofErr w:type="spellStart"/>
      <w:r w:rsidRPr="003B4CDA">
        <w:rPr>
          <w:rFonts w:ascii="Segoe UI Light" w:hAnsi="Segoe UI Light"/>
          <w:b/>
          <w:sz w:val="18"/>
          <w:szCs w:val="26"/>
        </w:rPr>
        <w:t>Beveridža</w:t>
      </w:r>
      <w:proofErr w:type="spellEnd"/>
      <w:r w:rsidRPr="003B4CDA">
        <w:rPr>
          <w:rFonts w:ascii="Segoe UI Light" w:hAnsi="Segoe UI Light"/>
          <w:b/>
          <w:sz w:val="18"/>
          <w:szCs w:val="26"/>
        </w:rPr>
        <w:t xml:space="preserve"> līkne Latvijā</w:t>
      </w:r>
      <w:r w:rsidRPr="003B4CDA">
        <w:rPr>
          <w:rFonts w:ascii="Segoe UI Light" w:hAnsi="Segoe UI Light"/>
          <w:b/>
          <w:sz w:val="18"/>
          <w:szCs w:val="26"/>
        </w:rPr>
        <w:br/>
      </w:r>
      <w:r w:rsidRPr="003B4CDA">
        <w:rPr>
          <w:rFonts w:ascii="Segoe UI Light" w:hAnsi="Segoe UI Light"/>
          <w:i/>
          <w:sz w:val="16"/>
          <w:szCs w:val="20"/>
        </w:rPr>
        <w:t>20</w:t>
      </w:r>
      <w:r>
        <w:rPr>
          <w:rFonts w:ascii="Segoe UI Light" w:hAnsi="Segoe UI Light"/>
          <w:i/>
          <w:sz w:val="16"/>
          <w:szCs w:val="20"/>
        </w:rPr>
        <w:t>10.</w:t>
      </w:r>
      <w:r w:rsidRPr="003B4CDA">
        <w:rPr>
          <w:rFonts w:ascii="Segoe UI Light" w:hAnsi="Segoe UI Light"/>
          <w:i/>
          <w:sz w:val="16"/>
          <w:szCs w:val="20"/>
        </w:rPr>
        <w:t>-20</w:t>
      </w:r>
      <w:r>
        <w:rPr>
          <w:rFonts w:ascii="Segoe UI Light" w:hAnsi="Segoe UI Light"/>
          <w:i/>
          <w:sz w:val="16"/>
          <w:szCs w:val="20"/>
        </w:rPr>
        <w:t>22</w:t>
      </w:r>
      <w:r w:rsidRPr="003B4CDA">
        <w:rPr>
          <w:rFonts w:ascii="Segoe UI Light" w:hAnsi="Segoe UI Light"/>
          <w:i/>
          <w:sz w:val="16"/>
          <w:szCs w:val="20"/>
        </w:rPr>
        <w:t>. gads, vertikālā ass – vakanču skaits pret ekonomiski aktīvajiem iedzīvotājiem; horizontālā ass – bezdarba līmenis</w:t>
      </w:r>
    </w:p>
    <w:p w14:paraId="2B31371E" w14:textId="77777777" w:rsidR="00CE325A" w:rsidRPr="003B4CDA" w:rsidRDefault="00CE325A" w:rsidP="00CE325A">
      <w:pPr>
        <w:tabs>
          <w:tab w:val="left" w:pos="4535"/>
        </w:tabs>
        <w:ind w:right="-113"/>
        <w:jc w:val="center"/>
        <w:rPr>
          <w:rFonts w:eastAsia="Times New Roman"/>
          <w:szCs w:val="20"/>
        </w:rPr>
      </w:pPr>
      <w:r w:rsidRPr="00293FE5">
        <w:rPr>
          <w:rFonts w:cs="Segoe UI"/>
          <w:noProof/>
          <w:lang w:eastAsia="lv-LV"/>
        </w:rPr>
        <w:drawing>
          <wp:inline distT="0" distB="0" distL="0" distR="0" wp14:anchorId="53B87555" wp14:editId="52658C5E">
            <wp:extent cx="5760000" cy="2159635"/>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1C42E2" w14:textId="77777777" w:rsidR="00CE325A" w:rsidRPr="004A62C0" w:rsidRDefault="00CE325A" w:rsidP="000C591A">
      <w:pPr>
        <w:jc w:val="both"/>
        <w:rPr>
          <w:sz w:val="12"/>
          <w:szCs w:val="12"/>
        </w:rPr>
      </w:pPr>
      <w:r w:rsidRPr="004A62C0">
        <w:rPr>
          <w:sz w:val="12"/>
          <w:szCs w:val="12"/>
        </w:rPr>
        <w:t>Avots: CSP, NVA</w:t>
      </w:r>
    </w:p>
    <w:p w14:paraId="493E886E" w14:textId="6CF6A09A" w:rsidR="00CE325A" w:rsidRPr="003B4CDA" w:rsidRDefault="000C591A" w:rsidP="00CE325A">
      <w:pPr>
        <w:jc w:val="both"/>
        <w:rPr>
          <w:szCs w:val="20"/>
        </w:rPr>
      </w:pPr>
      <w:r>
        <w:rPr>
          <w:szCs w:val="20"/>
        </w:rPr>
        <w:br/>
      </w:r>
      <w:r w:rsidR="00CE325A">
        <w:rPr>
          <w:szCs w:val="20"/>
        </w:rPr>
        <w:t>Finanšu</w:t>
      </w:r>
      <w:r w:rsidR="00CE325A" w:rsidRPr="003B4CDA">
        <w:rPr>
          <w:szCs w:val="20"/>
        </w:rPr>
        <w:t xml:space="preserve"> krīzes laikā – 2009. un 2010. gada sākumā, bezdarbs pieauga, vakanču skaitam praktiski saglabājoties nemainīgam. Bezdarba augstākais punkts tika sasniegts 2010. gada 2. ceturksnī.</w:t>
      </w:r>
      <w:r w:rsidR="00CE325A">
        <w:rPr>
          <w:szCs w:val="20"/>
        </w:rPr>
        <w:t xml:space="preserve"> </w:t>
      </w:r>
      <w:r w:rsidR="00CE325A" w:rsidRPr="003B4CDA">
        <w:rPr>
          <w:szCs w:val="20"/>
        </w:rPr>
        <w:t xml:space="preserve">Kopš 2010. gada 3. ceturkšņa līdz 2016. gada beigām tika novērota </w:t>
      </w:r>
      <w:proofErr w:type="spellStart"/>
      <w:r w:rsidR="00CE325A" w:rsidRPr="003B4CDA">
        <w:rPr>
          <w:szCs w:val="20"/>
        </w:rPr>
        <w:t>augšupvērsta</w:t>
      </w:r>
      <w:proofErr w:type="spellEnd"/>
      <w:r w:rsidR="00CE325A" w:rsidRPr="003B4CDA">
        <w:rPr>
          <w:szCs w:val="20"/>
        </w:rPr>
        <w:t xml:space="preserve"> </w:t>
      </w:r>
      <w:proofErr w:type="spellStart"/>
      <w:r w:rsidR="00CE325A" w:rsidRPr="003B4CDA">
        <w:rPr>
          <w:szCs w:val="20"/>
        </w:rPr>
        <w:t>Beveridža</w:t>
      </w:r>
      <w:proofErr w:type="spellEnd"/>
      <w:r w:rsidR="00CE325A" w:rsidRPr="003B4CDA">
        <w:rPr>
          <w:szCs w:val="20"/>
        </w:rPr>
        <w:t xml:space="preserve"> līknes virzības maiņa, kas liecina par ekonomiskā cikla fāzes maiņu un situācijas uzlabošanos darba tirgū. Nodarbinātība pakāpeniski pieauga, mazinoties gan darba meklētāju, gan neaktīvo personu skaitam. Tātad bija atsākusies jaunu darba vietu radīšana. Pārbīde pa līkni ir tāda </w:t>
      </w:r>
      <w:r w:rsidR="00CE325A" w:rsidRPr="003B4CDA">
        <w:rPr>
          <w:szCs w:val="20"/>
        </w:rPr>
        <w:lastRenderedPageBreak/>
        <w:t>pati kā darba vietu samazinājums krīzes laikā, kas norāda uz cikliskā bezdarba samazināšanos. Bezdarba līmeņa samazinājums bija saistīts ar ekonomisko aktivitāšu pieaugumu. Tāpēc visi tie pasākumi, kas saistīti ar ekonomisko aktivitāšu un uzņēmējdarbības veicināšanu, stimulē pieprasījuma pieaugumu pēc darbaspēka un palielina nodarbinātību.</w:t>
      </w:r>
    </w:p>
    <w:p w14:paraId="7F04C3DE" w14:textId="17F8585A" w:rsidR="00CE325A" w:rsidRPr="003B4CDA" w:rsidRDefault="00CE325A" w:rsidP="00CE325A">
      <w:pPr>
        <w:jc w:val="both"/>
        <w:rPr>
          <w:szCs w:val="20"/>
        </w:rPr>
      </w:pPr>
      <w:r w:rsidRPr="003B4CDA">
        <w:rPr>
          <w:szCs w:val="20"/>
        </w:rPr>
        <w:t xml:space="preserve">No 2017. gada arvien izteiktākas kļūst darba tirgus strukturālās neatbilstības, kas kavē straujāku bezdarba samazinājumu. Vakanču skaits aug straujāk nekā samazinājies </w:t>
      </w:r>
      <w:r w:rsidR="00C63390">
        <w:rPr>
          <w:szCs w:val="20"/>
        </w:rPr>
        <w:t>bezdarba līmenis</w:t>
      </w:r>
      <w:r w:rsidRPr="003B4CDA">
        <w:rPr>
          <w:szCs w:val="20"/>
        </w:rPr>
        <w:t xml:space="preserve">, kas norāda uz strukturālā bezdarba pazīmēm. </w:t>
      </w:r>
      <w:r w:rsidRPr="00F569FE">
        <w:rPr>
          <w:szCs w:val="20"/>
        </w:rPr>
        <w:t xml:space="preserve">Jāatzīmē, ka Covid-19 pandēmijas krīze kopumā ir paātrinājusi darbaspēka pieprasījuma strukturālās pārmaiņas, paātrinot darbavietu automatizāciju darbaspēka intensīvajās nozarēs – galvenokārt samazinot </w:t>
      </w:r>
      <w:r w:rsidR="00C63390">
        <w:rPr>
          <w:szCs w:val="20"/>
        </w:rPr>
        <w:t xml:space="preserve">pieprasījumu pēc </w:t>
      </w:r>
      <w:r w:rsidRPr="00F569FE">
        <w:rPr>
          <w:szCs w:val="20"/>
        </w:rPr>
        <w:t xml:space="preserve">zemas un vidējas kvalifikācijas darbaspēka bez profesionālām prasmēm, savukārt palielinot augstākās kvalifikācijas darbavietu īpatsvaru, jo īpaši informācijas un komunikācijas pakalpojumos. </w:t>
      </w:r>
      <w:r w:rsidR="00C63390">
        <w:rPr>
          <w:szCs w:val="20"/>
        </w:rPr>
        <w:t>B</w:t>
      </w:r>
      <w:r w:rsidRPr="00F569FE">
        <w:rPr>
          <w:szCs w:val="20"/>
        </w:rPr>
        <w:t xml:space="preserve">ūtisks atbalsts strukturālo pārmaiņu pārvarēšanai darba tirgū ir darbaspēka kvalifikācijas paaugstināšanas un </w:t>
      </w:r>
      <w:proofErr w:type="spellStart"/>
      <w:r w:rsidRPr="00F569FE">
        <w:rPr>
          <w:szCs w:val="20"/>
        </w:rPr>
        <w:t>pārkvalifikācijas</w:t>
      </w:r>
      <w:proofErr w:type="spellEnd"/>
      <w:r w:rsidRPr="00F569FE">
        <w:rPr>
          <w:szCs w:val="20"/>
        </w:rPr>
        <w:t xml:space="preserve"> pasākumiem.</w:t>
      </w:r>
    </w:p>
    <w:p w14:paraId="54F81A45" w14:textId="3963E8BC" w:rsidR="00207386" w:rsidRPr="00997F11" w:rsidRDefault="63DEA4C0" w:rsidP="00700647">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jc w:val="right"/>
        <w:rPr>
          <w:rFonts w:ascii="Segoe UI Light" w:hAnsi="Segoe UI Light"/>
          <w:b/>
          <w:bCs/>
          <w:sz w:val="16"/>
          <w:szCs w:val="16"/>
        </w:rPr>
      </w:pPr>
      <w:r w:rsidRPr="00997F11">
        <w:rPr>
          <w:rFonts w:ascii="Segoe UI Light" w:hAnsi="Segoe UI Light"/>
          <w:b/>
          <w:bCs/>
          <w:sz w:val="16"/>
          <w:szCs w:val="16"/>
        </w:rPr>
        <w:t>Covid-19 ietekme uz Latvijas darba tirgu</w:t>
      </w:r>
    </w:p>
    <w:p w14:paraId="2B4D34DE" w14:textId="135F7BD7" w:rsidR="00207386" w:rsidRDefault="63DEA4C0"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Līdz ar  Covid-19 straujo izplatību pasaulē un ekonomisko aktivitāšu sarukumu, sākot ar 2020. gada marta sākumu, vērojams straujš aktivitātes kritums arī Latvijas darba tirgū. Saistībā ar Covid-19 straujo izplatību reģistrētais bezdarba līmenis kopš 2020.</w:t>
      </w:r>
      <w:r w:rsidR="43B81E46" w:rsidRPr="4398C881">
        <w:rPr>
          <w:rFonts w:ascii="Segoe UI Light" w:hAnsi="Segoe UI Light"/>
          <w:sz w:val="16"/>
          <w:szCs w:val="16"/>
        </w:rPr>
        <w:t> </w:t>
      </w:r>
      <w:r w:rsidRPr="4398C881">
        <w:rPr>
          <w:rFonts w:ascii="Segoe UI Light" w:hAnsi="Segoe UI Light"/>
          <w:sz w:val="16"/>
          <w:szCs w:val="16"/>
        </w:rPr>
        <w:t xml:space="preserve">gada marta sākuma līdz pirmā vīrusa viļņa maksimumam </w:t>
      </w:r>
      <w:r w:rsidR="00A55D07" w:rsidRPr="00A55D07">
        <w:rPr>
          <w:rFonts w:ascii="Segoe UI Light" w:hAnsi="Segoe UI Light"/>
          <w:sz w:val="16"/>
          <w:szCs w:val="16"/>
        </w:rPr>
        <w:t xml:space="preserve">2020. gada  jūlija sākumā </w:t>
      </w:r>
      <w:r w:rsidRPr="4398C881">
        <w:rPr>
          <w:rFonts w:ascii="Segoe UI Light" w:hAnsi="Segoe UI Light"/>
          <w:sz w:val="16"/>
          <w:szCs w:val="16"/>
        </w:rPr>
        <w:t>bija pieaudzis par vairāk nekā 2 procentpunktiem – līdz 8,7% 2020. gada jūlija sākumā. Arī vīrusa otrajā vilnī bija vērojams augsts reģistrētā bezdarba līmenis, sasniedzot 8,2% 2021.</w:t>
      </w:r>
      <w:r w:rsidR="43B81E46" w:rsidRPr="4398C881">
        <w:rPr>
          <w:rFonts w:ascii="Segoe UI Light" w:hAnsi="Segoe UI Light"/>
          <w:sz w:val="16"/>
          <w:szCs w:val="16"/>
        </w:rPr>
        <w:t> </w:t>
      </w:r>
      <w:r w:rsidRPr="4398C881">
        <w:rPr>
          <w:rFonts w:ascii="Segoe UI Light" w:hAnsi="Segoe UI Light"/>
          <w:sz w:val="16"/>
          <w:szCs w:val="16"/>
        </w:rPr>
        <w:t>gada marta vidū, bet trešā viļņa maksimums – 6,8% tika sasniegts 2022.</w:t>
      </w:r>
      <w:r w:rsidR="43B81E46" w:rsidRPr="4398C881">
        <w:rPr>
          <w:rFonts w:ascii="Segoe UI Light" w:hAnsi="Segoe UI Light"/>
          <w:sz w:val="16"/>
          <w:szCs w:val="16"/>
        </w:rPr>
        <w:t> </w:t>
      </w:r>
      <w:r w:rsidRPr="4398C881">
        <w:rPr>
          <w:rFonts w:ascii="Segoe UI Light" w:hAnsi="Segoe UI Light"/>
          <w:sz w:val="16"/>
          <w:szCs w:val="16"/>
        </w:rPr>
        <w:t>gada februāra beigās. Vienlaikus strauji saruka arī reģistrēto vakanču skaits – par vairāk nekā 17 tūkst.. Covid-19 ietekme bija vērojama gandrīz visās tautsaimniecības nozarēs. Vissmagāk cieta krīzes tiešā veidā skartās nozares</w:t>
      </w:r>
      <w:r w:rsidR="00997F11">
        <w:rPr>
          <w:rFonts w:ascii="Segoe UI Light" w:hAnsi="Segoe UI Light"/>
          <w:sz w:val="16"/>
          <w:szCs w:val="16"/>
        </w:rPr>
        <w:t xml:space="preserve"> </w:t>
      </w:r>
      <w:r w:rsidRPr="4398C881">
        <w:rPr>
          <w:rFonts w:ascii="Segoe UI Light" w:hAnsi="Segoe UI Light"/>
          <w:sz w:val="16"/>
          <w:szCs w:val="16"/>
        </w:rPr>
        <w:t xml:space="preserve">– aviācija, restorāni, bāri, sabiedriskā ēdināšana, starptautiskais pasažieru transports, māksla, kultūra un izklaide, viesnīcas un tūrisma mītnes, konferenču un izstāžu organizēšana, auto noma, iekārtu un materiālo līdzekļu iznomāšana, ceļojumu biroju un tūrisma operatoru pakalpojumi, sporta objekti, klubi, </w:t>
      </w:r>
      <w:proofErr w:type="spellStart"/>
      <w:r w:rsidRPr="4398C881">
        <w:rPr>
          <w:rFonts w:ascii="Segoe UI Light" w:hAnsi="Segoe UI Light"/>
          <w:sz w:val="16"/>
          <w:szCs w:val="16"/>
        </w:rPr>
        <w:t>fitnesa</w:t>
      </w:r>
      <w:proofErr w:type="spellEnd"/>
      <w:r w:rsidRPr="4398C881">
        <w:rPr>
          <w:rFonts w:ascii="Segoe UI Light" w:hAnsi="Segoe UI Light"/>
          <w:sz w:val="16"/>
          <w:szCs w:val="16"/>
        </w:rPr>
        <w:t xml:space="preserve"> centri.</w:t>
      </w:r>
    </w:p>
    <w:p w14:paraId="4BF2052F" w14:textId="5F6A8A2D" w:rsidR="00207386" w:rsidRPr="00E029D7"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
          <w:sz w:val="16"/>
          <w:szCs w:val="18"/>
        </w:rPr>
      </w:pPr>
      <w:r w:rsidRPr="00E029D7">
        <w:rPr>
          <w:rFonts w:ascii="Segoe UI Light" w:hAnsi="Segoe UI Light"/>
          <w:b/>
          <w:sz w:val="16"/>
          <w:szCs w:val="18"/>
        </w:rPr>
        <w:t>Kopš 2022.</w:t>
      </w:r>
      <w:r w:rsidR="00E029D7" w:rsidRPr="00E029D7">
        <w:rPr>
          <w:rFonts w:ascii="Segoe UI Light" w:hAnsi="Segoe UI Light"/>
          <w:b/>
          <w:sz w:val="16"/>
          <w:szCs w:val="18"/>
        </w:rPr>
        <w:t> </w:t>
      </w:r>
      <w:r w:rsidRPr="00E029D7">
        <w:rPr>
          <w:rFonts w:ascii="Segoe UI Light" w:hAnsi="Segoe UI Light"/>
          <w:b/>
          <w:sz w:val="16"/>
          <w:szCs w:val="18"/>
        </w:rPr>
        <w:t>gada marta sākuma kopumā situācija darba tirgū uzlabojas, bezdarbs samazinās, strauji pieaudzis arī vakanču skaits.</w:t>
      </w:r>
    </w:p>
    <w:p w14:paraId="1EBDC26E" w14:textId="6DCFA20D" w:rsidR="00207386" w:rsidRDefault="00207386" w:rsidP="00700647">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bCs/>
          <w:sz w:val="16"/>
          <w:szCs w:val="18"/>
        </w:rPr>
      </w:pPr>
      <w:r>
        <w:rPr>
          <w:rFonts w:ascii="Segoe UI Light" w:hAnsi="Segoe UI Light"/>
          <w:bCs/>
          <w:sz w:val="16"/>
          <w:szCs w:val="18"/>
        </w:rPr>
        <w:t>Covid-19 saslimstībai samazinoties, no 1.aprīļa tika atcelti līdzšinējie epidemioloģiskās drošības pasākumi. Daži no tiem tika saglabāti tikai vidēs, kur ir īpaši augsts inficēšanās risks. Vienlaikus jāatzīmē, ka turpmākā ietekme lielā mērā atkarīga no tā, vai radīsies jauni vīrusa paveidi un tiks noteikti jauni ierobežojumi, kas saistīti ar Covid-19 izplatību.</w:t>
      </w:r>
    </w:p>
    <w:p w14:paraId="439B3757" w14:textId="0D7A8398" w:rsidR="00207386"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center"/>
        <w:rPr>
          <w:rFonts w:ascii="Segoe UI Light" w:hAnsi="Segoe UI Light"/>
          <w:bCs/>
          <w:sz w:val="16"/>
          <w:szCs w:val="18"/>
        </w:rPr>
      </w:pPr>
      <w:r>
        <w:rPr>
          <w:b/>
          <w:noProof/>
        </w:rPr>
        <w:drawing>
          <wp:inline distT="0" distB="0" distL="0" distR="0" wp14:anchorId="425DF6BD" wp14:editId="156791B8">
            <wp:extent cx="2774950" cy="1911350"/>
            <wp:effectExtent l="0" t="0" r="0" b="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Segoe UI Light" w:hAnsi="Segoe UI Light"/>
          <w:bCs/>
          <w:sz w:val="16"/>
          <w:szCs w:val="18"/>
        </w:rPr>
        <w:t xml:space="preserve">    </w:t>
      </w:r>
      <w:r>
        <w:rPr>
          <w:b/>
          <w:noProof/>
        </w:rPr>
        <w:drawing>
          <wp:inline distT="0" distB="0" distL="0" distR="0" wp14:anchorId="29CF779E" wp14:editId="663C4AF0">
            <wp:extent cx="2774950" cy="1911350"/>
            <wp:effectExtent l="0" t="0" r="0" b="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4A6EB09" w14:textId="063FE96D" w:rsidR="00207386"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center"/>
        <w:rPr>
          <w:rFonts w:ascii="Segoe UI Light" w:hAnsi="Segoe UI Light"/>
          <w:bCs/>
          <w:sz w:val="16"/>
          <w:szCs w:val="18"/>
        </w:rPr>
      </w:pPr>
      <w:r>
        <w:rPr>
          <w:b/>
          <w:noProof/>
        </w:rPr>
        <w:drawing>
          <wp:inline distT="0" distB="0" distL="0" distR="0" wp14:anchorId="172CC2C4" wp14:editId="6D76E18A">
            <wp:extent cx="2774950" cy="1911350"/>
            <wp:effectExtent l="0" t="0" r="6350" b="0"/>
            <wp:docPr id="99" name="Chart 99">
              <a:extLst xmlns:a="http://schemas.openxmlformats.org/drawingml/2006/main">
                <a:ext uri="{FF2B5EF4-FFF2-40B4-BE49-F238E27FC236}">
                  <a16:creationId xmlns:a16="http://schemas.microsoft.com/office/drawing/2014/main" id="{4C21EED2-3BF8-4C44-8367-E9A450DE8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Segoe UI Light" w:hAnsi="Segoe UI Light"/>
          <w:bCs/>
          <w:sz w:val="16"/>
          <w:szCs w:val="18"/>
        </w:rPr>
        <w:t xml:space="preserve">    </w:t>
      </w:r>
      <w:r>
        <w:rPr>
          <w:noProof/>
        </w:rPr>
        <mc:AlternateContent>
          <mc:Choice Requires="wps">
            <w:drawing>
              <wp:inline distT="0" distB="0" distL="0" distR="0" wp14:anchorId="7A4BA09F" wp14:editId="0F583154">
                <wp:extent cx="2771775" cy="1908175"/>
                <wp:effectExtent l="0" t="0" r="0" b="0"/>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908175"/>
                        </a:xfrm>
                        <a:prstGeom prst="rect">
                          <a:avLst/>
                        </a:prstGeom>
                        <a:noFill/>
                        <a:ln>
                          <a:noFill/>
                        </a:ln>
                      </wps:spPr>
                      <wps:txbx>
                        <w:txbxContent>
                          <w:p w14:paraId="2DB267D3" w14:textId="77777777" w:rsidR="005A28CF" w:rsidRDefault="005A28CF" w:rsidP="00207386">
                            <w:pPr>
                              <w:spacing w:after="0"/>
                              <w:jc w:val="center"/>
                              <w:rPr>
                                <w:rFonts w:ascii="Segoe UI Light" w:hAnsi="Segoe UI Light" w:cs="Segoe UI Light"/>
                                <w:b/>
                                <w:bCs/>
                                <w:color w:val="000000" w:themeColor="text1"/>
                                <w:sz w:val="16"/>
                                <w:szCs w:val="16"/>
                              </w:rPr>
                            </w:pPr>
                            <w:r>
                              <w:rPr>
                                <w:rFonts w:ascii="Segoe UI Light" w:hAnsi="Segoe UI Light" w:cs="Segoe UI Light"/>
                                <w:b/>
                                <w:bCs/>
                                <w:color w:val="000000" w:themeColor="text1"/>
                                <w:sz w:val="16"/>
                                <w:szCs w:val="16"/>
                              </w:rPr>
                              <w:t>TOP ietekmētās nozares</w:t>
                            </w:r>
                          </w:p>
                          <w:p w14:paraId="68CC0DFC" w14:textId="77777777" w:rsidR="005A28CF" w:rsidRDefault="005A28CF" w:rsidP="00207386">
                            <w:pPr>
                              <w:spacing w:after="0"/>
                              <w:rPr>
                                <w:rFonts w:ascii="Segoe UI Light" w:hAnsi="Segoe UI Light" w:cs="Segoe UI Light"/>
                                <w:color w:val="000000" w:themeColor="text1"/>
                                <w:sz w:val="14"/>
                                <w:szCs w:val="14"/>
                              </w:rPr>
                            </w:pPr>
                          </w:p>
                          <w:p w14:paraId="3045D149" w14:textId="1CE06D41"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Transports un uzglabāšana</w:t>
                            </w:r>
                          </w:p>
                          <w:p w14:paraId="017AA9E0"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Administratīvo un apkalpojošo dienestu darbība</w:t>
                            </w:r>
                          </w:p>
                          <w:p w14:paraId="59D3AD5F"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Izmitināšana un ēdināšanas pakalpojumi</w:t>
                            </w:r>
                          </w:p>
                          <w:p w14:paraId="28AEFBCB"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Vairumtirdzniecība un mazumtirdzniecība</w:t>
                            </w:r>
                          </w:p>
                          <w:p w14:paraId="5BFE575D"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Atkritumu apsaimniekošana un sanācija</w:t>
                            </w:r>
                          </w:p>
                          <w:p w14:paraId="476A629A"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Apstrādes rūpniecība</w:t>
                            </w:r>
                          </w:p>
                          <w:p w14:paraId="5755834A"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Operācijas ar nekustamo īpašumu</w:t>
                            </w:r>
                          </w:p>
                          <w:p w14:paraId="069A8374"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Māksla, izklaide un atpūta</w:t>
                            </w:r>
                          </w:p>
                          <w:p w14:paraId="70B1BD3F"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Profesionālie, zinātniskie un tehniskie pakalpojumi</w:t>
                            </w:r>
                          </w:p>
                          <w:p w14:paraId="6DB61E5C"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Mežsaimniecība</w:t>
                            </w:r>
                          </w:p>
                          <w:p w14:paraId="7EB78EA7"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Finanšu un apdrošināšanas darbības</w:t>
                            </w:r>
                          </w:p>
                          <w:p w14:paraId="62E897C6"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Informācijas un komunikācijas pakalpojumi</w:t>
                            </w:r>
                          </w:p>
                        </w:txbxContent>
                      </wps:txbx>
                      <wps:bodyPr rot="0" vert="horz" wrap="square" lIns="91440" tIns="45720" rIns="91440" bIns="45720" anchor="t" anchorCtr="0" upright="1">
                        <a:noAutofit/>
                      </wps:bodyPr>
                    </wps:wsp>
                  </a:graphicData>
                </a:graphic>
              </wp:inline>
            </w:drawing>
          </mc:Choice>
          <mc:Fallback>
            <w:pict>
              <v:shapetype w14:anchorId="7A4BA09F" id="_x0000_t202" coordsize="21600,21600" o:spt="202" path="m,l,21600r21600,l21600,xe">
                <v:stroke joinstyle="miter"/>
                <v:path gradientshapeok="t" o:connecttype="rect"/>
              </v:shapetype>
              <v:shape id="Text Box 104" o:spid="_x0000_s1026" type="#_x0000_t202" style="width:218.25pt;height:1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R08wEAAMsDAAAOAAAAZHJzL2Uyb0RvYy54bWysU9tu2zAMfR+wfxD0vtgO0qU14hRdiw4D&#10;unVAuw9gZDkWZosapcTOvn6UnKbZ9jbsRRAvOjw8pFbXY9+JvSZv0FaymOVSaKuwNnZbyW/P9+8u&#10;pfABbA0dWl3Jg/byev32zWpwpZ5ji12tSTCI9eXgKtmG4Mos86rVPfgZOm052CD1ENikbVYTDIze&#10;d9k8z99nA1LtCJX2nr13U1CuE37TaBUem8brILpKMreQTkrnJp7ZegXllsC1Rh1pwD+w6MFYLnqC&#10;uoMAYkfmL6jeKEKPTZgp7DNsGqN06oG7KfI/unlqwenUC4vj3Ukm//9g1Zf9VxKm5tnlCyks9Dyk&#10;Zz0G8QFHEX2s0OB8yYlPjlPDyAHOTt1694DquxcWb1uwW31DhEOroWaGRXyZnT2dcHwE2QyfseZC&#10;sAuYgMaG+igfCyIYnSd1OE0nklHsnC+XxXJ5IYXiWHGVXxZsxBpQvjx35MNHjb2Il0oSjz/Bw/7B&#10;hyn1JSVWs3hvuo79UHb2NwdjRk+iHxlP3MO4GTk79rTB+sCNEE4bxT+ALy3STykG3qZK+h87IC1F&#10;98myGFfFYhHXLxmLi+WcDTqPbM4jYBVDVTJIMV1vw7SyO0dm23KlSX6LNyxgY1Jrr6yOvHljkjjH&#10;7Y4reW6nrNc/uP4FAAD//wMAUEsDBBQABgAIAAAAIQDlmexi2gAAAAUBAAAPAAAAZHJzL2Rvd25y&#10;ZXYueG1sTI9BS8NAEIXvgv9hGcGbndU2pcZMiiheFasWvG2z0ySYnQ3ZbRP/vauXehl4vMd73xTr&#10;yXXqyENovRBczzQolsrbVmqC97enqxWoEI1Y03lhgm8OsC7PzwqTWz/KKx83sVapREJuCJoY+xwx&#10;VA07E2a+Z0ne3g/OxCSHGu1gxlTuOrzReonOtJIWGtPzQ8PV1+bgCD6e95/bhX6pH13Wj37SKO4W&#10;iS4vpvs7UJGneArDL35ChzIx7fxBbFAdQXok/t3kLebLDNSOYK51BlgW+J++/AEAAP//AwBQSwEC&#10;LQAUAAYACAAAACEAtoM4kv4AAADhAQAAEwAAAAAAAAAAAAAAAAAAAAAAW0NvbnRlbnRfVHlwZXNd&#10;LnhtbFBLAQItABQABgAIAAAAIQA4/SH/1gAAAJQBAAALAAAAAAAAAAAAAAAAAC8BAABfcmVscy8u&#10;cmVsc1BLAQItABQABgAIAAAAIQCDKER08wEAAMsDAAAOAAAAAAAAAAAAAAAAAC4CAABkcnMvZTJv&#10;RG9jLnhtbFBLAQItABQABgAIAAAAIQDlmexi2gAAAAUBAAAPAAAAAAAAAAAAAAAAAE0EAABkcnMv&#10;ZG93bnJldi54bWxQSwUGAAAAAAQABADzAAAAVAUAAAAA&#10;" filled="f" stroked="f">
                <v:textbox>
                  <w:txbxContent>
                    <w:p w14:paraId="2DB267D3" w14:textId="77777777" w:rsidR="005A28CF" w:rsidRDefault="005A28CF" w:rsidP="00207386">
                      <w:pPr>
                        <w:spacing w:after="0"/>
                        <w:jc w:val="center"/>
                        <w:rPr>
                          <w:rFonts w:ascii="Segoe UI Light" w:hAnsi="Segoe UI Light" w:cs="Segoe UI Light"/>
                          <w:b/>
                          <w:bCs/>
                          <w:color w:val="000000" w:themeColor="text1"/>
                          <w:sz w:val="16"/>
                          <w:szCs w:val="16"/>
                        </w:rPr>
                      </w:pPr>
                      <w:r>
                        <w:rPr>
                          <w:rFonts w:ascii="Segoe UI Light" w:hAnsi="Segoe UI Light" w:cs="Segoe UI Light"/>
                          <w:b/>
                          <w:bCs/>
                          <w:color w:val="000000" w:themeColor="text1"/>
                          <w:sz w:val="16"/>
                          <w:szCs w:val="16"/>
                        </w:rPr>
                        <w:t>TOP ietekmētās nozares</w:t>
                      </w:r>
                    </w:p>
                    <w:p w14:paraId="68CC0DFC" w14:textId="77777777" w:rsidR="005A28CF" w:rsidRDefault="005A28CF" w:rsidP="00207386">
                      <w:pPr>
                        <w:spacing w:after="0"/>
                        <w:rPr>
                          <w:rFonts w:ascii="Segoe UI Light" w:hAnsi="Segoe UI Light" w:cs="Segoe UI Light"/>
                          <w:color w:val="000000" w:themeColor="text1"/>
                          <w:sz w:val="14"/>
                          <w:szCs w:val="14"/>
                        </w:rPr>
                      </w:pPr>
                    </w:p>
                    <w:p w14:paraId="3045D149" w14:textId="1CE06D41"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Transports un uzglabāšana</w:t>
                      </w:r>
                    </w:p>
                    <w:p w14:paraId="017AA9E0"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Administratīvo un apkalpojošo dienestu darbība</w:t>
                      </w:r>
                    </w:p>
                    <w:p w14:paraId="59D3AD5F"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Izmitināšana un ēdināšanas pakalpojumi</w:t>
                      </w:r>
                    </w:p>
                    <w:p w14:paraId="28AEFBCB"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Vairumtirdzniecība un mazumtirdzniecība</w:t>
                      </w:r>
                    </w:p>
                    <w:p w14:paraId="5BFE575D"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Atkritumu apsaimniekošana un sanācija</w:t>
                      </w:r>
                    </w:p>
                    <w:p w14:paraId="476A629A"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Apstrādes rūpniecība</w:t>
                      </w:r>
                    </w:p>
                    <w:p w14:paraId="5755834A"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Operācijas ar nekustamo īpašumu</w:t>
                      </w:r>
                    </w:p>
                    <w:p w14:paraId="069A8374"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Māksla, izklaide un atpūta</w:t>
                      </w:r>
                    </w:p>
                    <w:p w14:paraId="70B1BD3F"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Profesionālie, zinātniskie un tehniskie pakalpojumi</w:t>
                      </w:r>
                    </w:p>
                    <w:p w14:paraId="6DB61E5C"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Mežsaimniecība</w:t>
                      </w:r>
                    </w:p>
                    <w:p w14:paraId="7EB78EA7"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Finanšu un apdrošināšanas darbības</w:t>
                      </w:r>
                    </w:p>
                    <w:p w14:paraId="62E897C6" w14:textId="77777777" w:rsidR="005A28CF" w:rsidRPr="00F807A4" w:rsidRDefault="005A28CF" w:rsidP="00207386">
                      <w:pPr>
                        <w:spacing w:after="0"/>
                        <w:rPr>
                          <w:rFonts w:ascii="Segoe UI Light" w:hAnsi="Segoe UI Light" w:cs="Segoe UI Light"/>
                          <w:color w:val="000000" w:themeColor="text1"/>
                          <w:sz w:val="14"/>
                          <w:szCs w:val="14"/>
                        </w:rPr>
                      </w:pPr>
                      <w:r w:rsidRPr="00F807A4">
                        <w:rPr>
                          <w:rFonts w:ascii="Segoe UI Light" w:hAnsi="Segoe UI Light" w:cs="Segoe UI Light"/>
                          <w:color w:val="000000" w:themeColor="text1"/>
                          <w:sz w:val="14"/>
                          <w:szCs w:val="14"/>
                        </w:rPr>
                        <w:t>▪ Informācijas un komunikācijas pakalpojumi</w:t>
                      </w:r>
                    </w:p>
                  </w:txbxContent>
                </v:textbox>
                <w10:anchorlock/>
              </v:shape>
            </w:pict>
          </mc:Fallback>
        </mc:AlternateContent>
      </w:r>
    </w:p>
    <w:p w14:paraId="0293775D" w14:textId="77777777" w:rsidR="00207386" w:rsidRPr="004A62C0"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cs="Calibri Light"/>
          <w:bCs/>
          <w:sz w:val="12"/>
          <w:szCs w:val="12"/>
        </w:rPr>
      </w:pPr>
      <w:r w:rsidRPr="004A62C0">
        <w:rPr>
          <w:rFonts w:cs="Calibri Light"/>
          <w:bCs/>
          <w:sz w:val="12"/>
          <w:szCs w:val="12"/>
        </w:rPr>
        <w:t>Avots: NVA, EM aprēķini</w:t>
      </w:r>
    </w:p>
    <w:p w14:paraId="6E56DC03" w14:textId="77777777" w:rsidR="00207386" w:rsidRPr="00F807A4"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rPr>
          <w:rFonts w:ascii="Segoe UI Light" w:hAnsi="Segoe UI Light"/>
          <w:bCs/>
          <w:sz w:val="4"/>
          <w:szCs w:val="4"/>
        </w:rPr>
      </w:pPr>
    </w:p>
    <w:p w14:paraId="154345E6" w14:textId="77777777" w:rsidR="00207386" w:rsidRDefault="00207386" w:rsidP="00207386">
      <w:pPr>
        <w:spacing w:after="0"/>
        <w:rPr>
          <w:szCs w:val="20"/>
        </w:rPr>
      </w:pPr>
      <w:r>
        <w:rPr>
          <w:szCs w:val="20"/>
        </w:rPr>
        <w:br w:type="page"/>
      </w:r>
    </w:p>
    <w:p w14:paraId="50DD34D6" w14:textId="77777777" w:rsidR="00207386" w:rsidRPr="00997F11"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sz w:val="16"/>
          <w:szCs w:val="16"/>
        </w:rPr>
      </w:pPr>
      <w:r w:rsidRPr="00997F11">
        <w:rPr>
          <w:rFonts w:ascii="Segoe UI Light" w:hAnsi="Segoe UI Light"/>
          <w:b/>
          <w:sz w:val="16"/>
          <w:szCs w:val="16"/>
        </w:rPr>
        <w:lastRenderedPageBreak/>
        <w:t>Ielikuma turpinājums</w:t>
      </w:r>
    </w:p>
    <w:p w14:paraId="5140DCFE" w14:textId="188DE2A5" w:rsidR="00207386"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center"/>
        <w:rPr>
          <w:rFonts w:ascii="Segoe UI Light" w:hAnsi="Segoe UI Light"/>
          <w:bCs/>
          <w:sz w:val="16"/>
          <w:szCs w:val="18"/>
        </w:rPr>
      </w:pPr>
      <w:r>
        <w:rPr>
          <w:b/>
          <w:noProof/>
        </w:rPr>
        <w:drawing>
          <wp:inline distT="0" distB="0" distL="0" distR="0" wp14:anchorId="33CFFD01" wp14:editId="2B595739">
            <wp:extent cx="5759450" cy="2635250"/>
            <wp:effectExtent l="0" t="0" r="0"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06AE1A7" w14:textId="6F7FC9AD" w:rsidR="00207386"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Pr>
          <w:b/>
          <w:noProof/>
        </w:rPr>
        <w:drawing>
          <wp:inline distT="0" distB="0" distL="0" distR="0" wp14:anchorId="4D29E036" wp14:editId="26825CB2">
            <wp:extent cx="3467100" cy="27178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ascii="Segoe UI Light" w:hAnsi="Segoe UI Light"/>
          <w:bCs/>
          <w:sz w:val="16"/>
          <w:szCs w:val="18"/>
        </w:rPr>
        <w:t xml:space="preserve">   </w:t>
      </w:r>
      <w:r>
        <w:rPr>
          <w:b/>
          <w:noProof/>
        </w:rPr>
        <w:drawing>
          <wp:inline distT="0" distB="0" distL="0" distR="0" wp14:anchorId="5A8B5115" wp14:editId="147A5C1B">
            <wp:extent cx="2203450" cy="2724150"/>
            <wp:effectExtent l="0" t="0" r="635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5F944A" w14:textId="77777777" w:rsidR="00207386" w:rsidRPr="004A62C0"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cs="Calibri Light"/>
          <w:bCs/>
          <w:sz w:val="12"/>
          <w:szCs w:val="14"/>
        </w:rPr>
      </w:pPr>
      <w:r w:rsidRPr="004A62C0">
        <w:rPr>
          <w:rFonts w:cs="Calibri Light"/>
          <w:bCs/>
          <w:sz w:val="12"/>
          <w:szCs w:val="12"/>
        </w:rPr>
        <w:t>Avots: NVA, EM aprēķini</w:t>
      </w:r>
    </w:p>
    <w:p w14:paraId="70C8C5CE" w14:textId="77777777" w:rsidR="00207386" w:rsidRPr="008F4340" w:rsidRDefault="00207386" w:rsidP="0020738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4"/>
          <w:szCs w:val="4"/>
        </w:rPr>
      </w:pPr>
    </w:p>
    <w:p w14:paraId="61595164" w14:textId="77777777" w:rsidR="00207386" w:rsidRDefault="00207386" w:rsidP="00207386">
      <w:pPr>
        <w:jc w:val="both"/>
        <w:rPr>
          <w:szCs w:val="20"/>
        </w:rPr>
      </w:pPr>
    </w:p>
    <w:p w14:paraId="1A8D4101" w14:textId="77777777" w:rsidR="00266252" w:rsidRPr="001231A9" w:rsidRDefault="00266252" w:rsidP="002A7264">
      <w:pPr>
        <w:jc w:val="both"/>
        <w:rPr>
          <w:szCs w:val="20"/>
          <w:highlight w:val="yellow"/>
        </w:rPr>
      </w:pPr>
    </w:p>
    <w:p w14:paraId="58CB00B3" w14:textId="18A6CA81" w:rsidR="0019532E" w:rsidRPr="00CE325A" w:rsidRDefault="0019532E" w:rsidP="00DA4ED1">
      <w:pPr>
        <w:pStyle w:val="Heading2"/>
        <w:rPr>
          <w:color w:val="000000" w:themeColor="text1"/>
        </w:rPr>
      </w:pPr>
      <w:bookmarkStart w:id="17" w:name="_Toc517876428"/>
      <w:bookmarkStart w:id="18" w:name="_Toc106366790"/>
      <w:r w:rsidRPr="00CE325A">
        <w:rPr>
          <w:color w:val="000000" w:themeColor="text1"/>
        </w:rPr>
        <w:t>1.3. Darba algas un produktivitāte</w:t>
      </w:r>
      <w:bookmarkEnd w:id="17"/>
      <w:bookmarkEnd w:id="18"/>
    </w:p>
    <w:p w14:paraId="2BC5A848" w14:textId="586C63CA" w:rsidR="00CE325A" w:rsidRPr="003B4CDA" w:rsidRDefault="357CF0D3" w:rsidP="00C84741">
      <w:pPr>
        <w:jc w:val="both"/>
      </w:pPr>
      <w:r>
        <w:t>Ņemot vērā uzlabojumus darba tirgū, kā arī pieaugošo darbaspēka nepietiekamību, kopš 2013. gada bruto darba algas pieaugums saglabājies stabili virs 4,5% gadā un 2021. gadā sasniedz</w:t>
      </w:r>
      <w:r w:rsidR="00D01379">
        <w:t>a</w:t>
      </w:r>
      <w:r>
        <w:t xml:space="preserve"> straujāko pieaugumu pēdējos gados – bruto algai palielinoties par 11,7%. 2021. gadā vidējā bruto darba samaksa sasniedza 1</w:t>
      </w:r>
      <w:r w:rsidR="00DE5367">
        <w:t> </w:t>
      </w:r>
      <w:r>
        <w:t xml:space="preserve">277 </w:t>
      </w:r>
      <w:proofErr w:type="spellStart"/>
      <w:r>
        <w:t>euro</w:t>
      </w:r>
      <w:proofErr w:type="spellEnd"/>
      <w:r>
        <w:t xml:space="preserve">. Tās pieaugumu lielā mērā ietekmēja darbaspēka pieprasījuma pieaugums un tajā pašā laikā darbspējīgo iedzīvotāju skaita samazinājums, kas radīja spiedienu uz darba algām. Salīdzinot ar </w:t>
      </w:r>
      <w:proofErr w:type="spellStart"/>
      <w:r>
        <w:t>pirmspandēmijas</w:t>
      </w:r>
      <w:proofErr w:type="spellEnd"/>
      <w:r>
        <w:t xml:space="preserve"> līmeni 2019. gadā, bruto darba samaksa ir pieaugusi par 18,7 procentiem.</w:t>
      </w:r>
    </w:p>
    <w:p w14:paraId="58D5A2B4" w14:textId="4F933F14" w:rsidR="00CE325A" w:rsidRPr="003B4CDA" w:rsidRDefault="357CF0D3" w:rsidP="00C84741">
      <w:pPr>
        <w:jc w:val="both"/>
      </w:pPr>
      <w:r>
        <w:t xml:space="preserve">Kopš 2011. gada atalgojums pieaug gan privātajā, gan sabiedriskajā sektorā. </w:t>
      </w:r>
      <w:r w:rsidR="00D01379" w:rsidRPr="00D01379">
        <w:t xml:space="preserve">Galvenokārt saistībā ar atalgojuma palielinājumu veselības aprūpes darbiniekiem </w:t>
      </w:r>
      <w:r>
        <w:t xml:space="preserve">2021. gadā darba samaksa pieauga vienlīdz strauji gan privātajā sektorā, gan sabiedriskajā sektorā – par 11,9%. Pēdējos gados strauji mazinās darba samaksas starpība starp atalgojumu privātajā un sabiedriskajā sektorā. Ja 2008. gadā darba samaksa privātajā sektorā (623 </w:t>
      </w:r>
      <w:proofErr w:type="spellStart"/>
      <w:r>
        <w:t>euro</w:t>
      </w:r>
      <w:proofErr w:type="spellEnd"/>
      <w:r>
        <w:t xml:space="preserve">) bija par 183 </w:t>
      </w:r>
      <w:proofErr w:type="spellStart"/>
      <w:r>
        <w:t>euro</w:t>
      </w:r>
      <w:proofErr w:type="spellEnd"/>
      <w:r>
        <w:t xml:space="preserve"> mazāka nekā sabiedriskajā sektorā (806 </w:t>
      </w:r>
      <w:proofErr w:type="spellStart"/>
      <w:r>
        <w:t>euro</w:t>
      </w:r>
      <w:proofErr w:type="spellEnd"/>
      <w:r>
        <w:t xml:space="preserve">), tad 2021. gadā šī starpība ir samazinājusies līdz 20 </w:t>
      </w:r>
      <w:proofErr w:type="spellStart"/>
      <w:r>
        <w:t>euro</w:t>
      </w:r>
      <w:proofErr w:type="spellEnd"/>
      <w:r>
        <w:t xml:space="preserve"> (sabiedriskajā sektorā – 1</w:t>
      </w:r>
      <w:r w:rsidR="00DE5367">
        <w:t> </w:t>
      </w:r>
      <w:r>
        <w:t xml:space="preserve">293 </w:t>
      </w:r>
      <w:proofErr w:type="spellStart"/>
      <w:r>
        <w:t>euro</w:t>
      </w:r>
      <w:proofErr w:type="spellEnd"/>
      <w:r>
        <w:t>; privātajā sektorā – 1</w:t>
      </w:r>
      <w:r w:rsidR="00DE5367">
        <w:t> </w:t>
      </w:r>
      <w:r>
        <w:t xml:space="preserve">273 </w:t>
      </w:r>
      <w:proofErr w:type="spellStart"/>
      <w:r>
        <w:t>euro</w:t>
      </w:r>
      <w:proofErr w:type="spellEnd"/>
      <w:r>
        <w:t>).</w:t>
      </w:r>
    </w:p>
    <w:p w14:paraId="740F166F" w14:textId="77777777" w:rsidR="00DE5367" w:rsidRDefault="00DE5367" w:rsidP="00C84741">
      <w:pPr>
        <w:spacing w:before="120"/>
        <w:jc w:val="right"/>
        <w:rPr>
          <w:szCs w:val="20"/>
        </w:rPr>
      </w:pPr>
    </w:p>
    <w:p w14:paraId="16CFB759" w14:textId="08ED2273" w:rsidR="00CE325A" w:rsidRPr="003B4CDA" w:rsidRDefault="00CE325A" w:rsidP="000C591A">
      <w:pPr>
        <w:jc w:val="right"/>
        <w:rPr>
          <w:szCs w:val="20"/>
        </w:rPr>
      </w:pPr>
      <w:r w:rsidRPr="003B4CDA">
        <w:rPr>
          <w:szCs w:val="20"/>
        </w:rPr>
        <w:t>1.1</w:t>
      </w:r>
      <w:r w:rsidR="00DE5367">
        <w:rPr>
          <w:szCs w:val="20"/>
        </w:rPr>
        <w:t>0</w:t>
      </w:r>
      <w:r w:rsidRPr="003B4CDA">
        <w:rPr>
          <w:szCs w:val="20"/>
        </w:rPr>
        <w:t>. attēls</w:t>
      </w:r>
    </w:p>
    <w:p w14:paraId="39B990A6" w14:textId="0C4F3900" w:rsidR="00CE325A" w:rsidRPr="004A62C0" w:rsidRDefault="00CE325A" w:rsidP="000C591A">
      <w:pPr>
        <w:tabs>
          <w:tab w:val="center" w:pos="2268"/>
          <w:tab w:val="center" w:pos="6804"/>
        </w:tabs>
        <w:spacing w:after="120"/>
        <w:ind w:right="-766"/>
        <w:rPr>
          <w:rFonts w:ascii="Segoe UI Light" w:hAnsi="Segoe UI Light" w:cs="Segoe UI Light"/>
          <w:b/>
          <w:bCs/>
          <w:sz w:val="16"/>
          <w:szCs w:val="16"/>
        </w:rPr>
      </w:pPr>
      <w:r w:rsidRPr="004A62C0">
        <w:rPr>
          <w:rFonts w:ascii="Segoe UI Light" w:hAnsi="Segoe UI Light" w:cs="Segoe UI Light"/>
          <w:b/>
          <w:sz w:val="18"/>
          <w:szCs w:val="20"/>
        </w:rPr>
        <w:tab/>
      </w:r>
      <w:r w:rsidR="357CF0D3" w:rsidRPr="004A62C0">
        <w:rPr>
          <w:rFonts w:ascii="Segoe UI Light" w:hAnsi="Segoe UI Light" w:cs="Segoe UI Light"/>
          <w:b/>
          <w:bCs/>
          <w:sz w:val="18"/>
          <w:szCs w:val="18"/>
        </w:rPr>
        <w:t>Strādājošo mēneša vidējā bruto darba samaksa</w:t>
      </w:r>
      <w:r w:rsidRPr="004A62C0">
        <w:rPr>
          <w:rFonts w:ascii="Segoe UI Light" w:hAnsi="Segoe UI Light" w:cs="Segoe UI Light"/>
          <w:b/>
          <w:sz w:val="18"/>
          <w:szCs w:val="20"/>
        </w:rPr>
        <w:tab/>
      </w:r>
      <w:r w:rsidR="357CF0D3" w:rsidRPr="004A62C0">
        <w:rPr>
          <w:rFonts w:ascii="Segoe UI Light" w:hAnsi="Segoe UI Light" w:cs="Segoe UI Light"/>
          <w:b/>
          <w:bCs/>
          <w:sz w:val="18"/>
          <w:szCs w:val="18"/>
        </w:rPr>
        <w:t>Strādājošo mēneša vidējā bruto darba samaksa</w:t>
      </w:r>
      <w:r w:rsidRPr="004A62C0">
        <w:rPr>
          <w:rFonts w:ascii="Segoe UI Light" w:hAnsi="Segoe UI Light" w:cs="Segoe UI Light"/>
          <w:b/>
          <w:sz w:val="18"/>
          <w:szCs w:val="20"/>
        </w:rPr>
        <w:br/>
      </w:r>
      <w:r w:rsidRPr="004A62C0">
        <w:rPr>
          <w:rFonts w:ascii="Segoe UI Light" w:hAnsi="Segoe UI Light" w:cs="Segoe UI Light"/>
          <w:i/>
          <w:sz w:val="16"/>
          <w:szCs w:val="20"/>
        </w:rPr>
        <w:tab/>
      </w:r>
      <w:proofErr w:type="spellStart"/>
      <w:r w:rsidR="357CF0D3" w:rsidRPr="004A62C0">
        <w:rPr>
          <w:rFonts w:ascii="Segoe UI Light" w:hAnsi="Segoe UI Light" w:cs="Segoe UI Light"/>
          <w:i/>
          <w:iCs/>
          <w:sz w:val="16"/>
          <w:szCs w:val="16"/>
        </w:rPr>
        <w:t>euro</w:t>
      </w:r>
      <w:proofErr w:type="spellEnd"/>
      <w:r w:rsidRPr="004A62C0">
        <w:rPr>
          <w:rFonts w:ascii="Segoe UI Light" w:hAnsi="Segoe UI Light" w:cs="Segoe UI Light"/>
          <w:i/>
          <w:sz w:val="16"/>
          <w:szCs w:val="20"/>
        </w:rPr>
        <w:tab/>
      </w:r>
      <w:r w:rsidR="357CF0D3" w:rsidRPr="004A62C0">
        <w:rPr>
          <w:rFonts w:ascii="Segoe UI Light" w:hAnsi="Segoe UI Light" w:cs="Segoe UI Light"/>
          <w:i/>
          <w:iCs/>
          <w:sz w:val="16"/>
          <w:szCs w:val="16"/>
        </w:rPr>
        <w:t>izmaiņas procentos</w:t>
      </w:r>
    </w:p>
    <w:p w14:paraId="1EEEF671" w14:textId="77777777" w:rsidR="00CE325A" w:rsidRPr="003B4CDA" w:rsidRDefault="00CE325A" w:rsidP="00CE325A">
      <w:pPr>
        <w:spacing w:after="0"/>
        <w:ind w:right="-766"/>
        <w:rPr>
          <w:rFonts w:cs="Segoe UI"/>
          <w:szCs w:val="20"/>
        </w:rPr>
      </w:pPr>
      <w:r w:rsidRPr="003B4CDA">
        <w:rPr>
          <w:rFonts w:cs="Segoe UI"/>
          <w:noProof/>
          <w:szCs w:val="20"/>
          <w:lang w:eastAsia="lv-LV"/>
        </w:rPr>
        <w:drawing>
          <wp:inline distT="0" distB="0" distL="0" distR="0" wp14:anchorId="6508ADB7" wp14:editId="5190B7DC">
            <wp:extent cx="2879725" cy="1916583"/>
            <wp:effectExtent l="0" t="0" r="0" b="7620"/>
            <wp:docPr id="12" name="Chart 12">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3B4CDA">
        <w:rPr>
          <w:rFonts w:cs="Segoe UI"/>
          <w:noProof/>
          <w:szCs w:val="20"/>
          <w:lang w:eastAsia="lv-LV"/>
        </w:rPr>
        <w:drawing>
          <wp:inline distT="0" distB="0" distL="0" distR="0" wp14:anchorId="455BF3C9" wp14:editId="08E7A3F4">
            <wp:extent cx="2879725" cy="1960474"/>
            <wp:effectExtent l="0" t="0" r="0" b="0"/>
            <wp:docPr id="18" name="Chart 18">
              <a:extLst xmlns:a="http://schemas.openxmlformats.org/drawingml/2006/main">
                <a:ext uri="{FF2B5EF4-FFF2-40B4-BE49-F238E27FC236}">
                  <a16:creationId xmlns:a16="http://schemas.microsoft.com/office/drawing/2014/main" id="{730E20CD-6D72-4955-B338-3AD88C465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0710120" w14:textId="77777777" w:rsidR="00CE325A" w:rsidRPr="004A62C0" w:rsidRDefault="00CE325A" w:rsidP="000C591A">
      <w:pPr>
        <w:ind w:right="-766"/>
        <w:jc w:val="both"/>
        <w:rPr>
          <w:sz w:val="12"/>
          <w:szCs w:val="12"/>
        </w:rPr>
      </w:pPr>
      <w:r w:rsidRPr="004A62C0">
        <w:rPr>
          <w:sz w:val="12"/>
          <w:szCs w:val="12"/>
        </w:rPr>
        <w:t>Avots: CSP</w:t>
      </w:r>
    </w:p>
    <w:p w14:paraId="1A450BAF" w14:textId="4EAF1134" w:rsidR="00CE325A" w:rsidRPr="003B4CDA" w:rsidRDefault="000C591A" w:rsidP="00C84741">
      <w:pPr>
        <w:jc w:val="both"/>
      </w:pPr>
      <w:r>
        <w:br/>
      </w:r>
      <w:r w:rsidR="357CF0D3">
        <w:t xml:space="preserve">Līdz ar nominālā atalgojuma pieaugumu pakāpeniski palielinājās reālā darba alga. 2013.-2016. gadā reālās algas pieaugums kļuva straujāks. To pamatā noteica straujš nominālās algas kāpums, kā arī mērenās patēriņa cenu izmaiņas. 2020. gadā reālā </w:t>
      </w:r>
      <w:r w:rsidR="00D01379">
        <w:t xml:space="preserve">darba </w:t>
      </w:r>
      <w:r w:rsidR="357CF0D3">
        <w:t>alga pieauga par 5,9%, savukārt 2021.</w:t>
      </w:r>
      <w:r w:rsidR="2CFD6076">
        <w:t> </w:t>
      </w:r>
      <w:r w:rsidR="357CF0D3">
        <w:t>gadā bija novērojams vēl straujāks reālās darba samaksas pieaugums – par 8,1 procentu.</w:t>
      </w:r>
    </w:p>
    <w:p w14:paraId="65DDF0FE" w14:textId="6756E945" w:rsidR="00CE325A" w:rsidRPr="003B4CDA" w:rsidRDefault="357CF0D3" w:rsidP="00C84741">
      <w:pPr>
        <w:jc w:val="both"/>
      </w:pPr>
      <w:r>
        <w:t xml:space="preserve">Pēdējos gados pakāpeniski samazinās minimālās darba algas saņēmēju īpatsvars un pieaug nodarbināto skaits, kas saņem darba algu lielāku par 1 000 </w:t>
      </w:r>
      <w:proofErr w:type="spellStart"/>
      <w:r>
        <w:t>euro</w:t>
      </w:r>
      <w:proofErr w:type="spellEnd"/>
      <w:r>
        <w:t xml:space="preserve"> mēnesī. 1 000 </w:t>
      </w:r>
      <w:proofErr w:type="spellStart"/>
      <w:r>
        <w:t>euro</w:t>
      </w:r>
      <w:proofErr w:type="spellEnd"/>
      <w:r>
        <w:t xml:space="preserve"> un vairāk algu grupas saņēmēju īpatsvars 2021. gadā sasniedza jau 47% no kopējā nodarbināto skaita.</w:t>
      </w:r>
    </w:p>
    <w:p w14:paraId="0E7337DD" w14:textId="03681A39" w:rsidR="00CE325A" w:rsidRPr="003B4CDA" w:rsidRDefault="00CE325A" w:rsidP="00C84741">
      <w:pPr>
        <w:jc w:val="right"/>
        <w:rPr>
          <w:szCs w:val="20"/>
        </w:rPr>
      </w:pPr>
      <w:r w:rsidRPr="003B4CDA">
        <w:rPr>
          <w:szCs w:val="20"/>
        </w:rPr>
        <w:t>1.</w:t>
      </w:r>
      <w:r w:rsidR="00DE5367">
        <w:rPr>
          <w:szCs w:val="20"/>
        </w:rPr>
        <w:t>1</w:t>
      </w:r>
      <w:r w:rsidRPr="003B4CDA">
        <w:rPr>
          <w:szCs w:val="20"/>
        </w:rPr>
        <w:t>1. attēls</w:t>
      </w:r>
    </w:p>
    <w:p w14:paraId="7532C8DD" w14:textId="77777777" w:rsidR="00CE325A" w:rsidRPr="004A62C0" w:rsidRDefault="00CE325A" w:rsidP="000C591A">
      <w:pPr>
        <w:spacing w:after="0"/>
        <w:ind w:right="-766"/>
        <w:jc w:val="center"/>
        <w:rPr>
          <w:rFonts w:ascii="Segoe UI Light" w:hAnsi="Segoe UI Light" w:cs="Segoe UI Light"/>
          <w:i/>
          <w:sz w:val="16"/>
          <w:szCs w:val="20"/>
        </w:rPr>
      </w:pPr>
      <w:r w:rsidRPr="004A62C0">
        <w:rPr>
          <w:rFonts w:ascii="Segoe UI Light" w:hAnsi="Segoe UI Light" w:cs="Segoe UI Light"/>
          <w:b/>
          <w:sz w:val="18"/>
          <w:szCs w:val="20"/>
        </w:rPr>
        <w:t>Nodarbināto sadalījums pa bruto algu grupām</w:t>
      </w:r>
      <w:r w:rsidRPr="004A62C0">
        <w:rPr>
          <w:rFonts w:ascii="Segoe UI Light" w:hAnsi="Segoe UI Light" w:cs="Segoe UI Light"/>
          <w:b/>
          <w:sz w:val="18"/>
          <w:szCs w:val="20"/>
        </w:rPr>
        <w:br/>
      </w:r>
      <w:r w:rsidRPr="004A62C0">
        <w:rPr>
          <w:rFonts w:ascii="Segoe UI Light" w:hAnsi="Segoe UI Light" w:cs="Segoe UI Light"/>
          <w:i/>
          <w:sz w:val="16"/>
          <w:szCs w:val="20"/>
        </w:rPr>
        <w:t>īpatsvars procentos no kopējā nodarbināto skaita</w:t>
      </w:r>
    </w:p>
    <w:p w14:paraId="3850AD3D" w14:textId="77777777" w:rsidR="00CE325A" w:rsidRPr="003B4CDA" w:rsidRDefault="00CE325A" w:rsidP="00C84741">
      <w:pPr>
        <w:spacing w:after="0"/>
        <w:jc w:val="center"/>
        <w:rPr>
          <w:rFonts w:cs="Segoe UI"/>
          <w:color w:val="244061"/>
          <w:szCs w:val="20"/>
        </w:rPr>
      </w:pPr>
      <w:r w:rsidRPr="003B4CDA">
        <w:rPr>
          <w:rFonts w:cs="Arial"/>
          <w:noProof/>
          <w:szCs w:val="20"/>
          <w:lang w:eastAsia="lv-LV"/>
        </w:rPr>
        <w:drawing>
          <wp:inline distT="0" distB="0" distL="0" distR="0" wp14:anchorId="7C8C4B1C" wp14:editId="157AAF8F">
            <wp:extent cx="5040000" cy="2160000"/>
            <wp:effectExtent l="0" t="0" r="0" b="0"/>
            <wp:docPr id="383" name="Chart 383">
              <a:extLst xmlns:a="http://schemas.openxmlformats.org/drawingml/2006/main">
                <a:ext uri="{FF2B5EF4-FFF2-40B4-BE49-F238E27FC236}">
                  <a16:creationId xmlns:a16="http://schemas.microsoft.com/office/drawing/2014/main" id="{F06C296D-0B15-4E9B-BB2C-F92E81CA2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12C6D1" w14:textId="77777777" w:rsidR="00CE325A" w:rsidRPr="004A62C0" w:rsidRDefault="00CE325A" w:rsidP="000C591A">
      <w:pPr>
        <w:ind w:right="-1"/>
        <w:jc w:val="both"/>
        <w:rPr>
          <w:sz w:val="12"/>
          <w:szCs w:val="12"/>
        </w:rPr>
      </w:pPr>
      <w:r w:rsidRPr="004A62C0">
        <w:rPr>
          <w:sz w:val="12"/>
          <w:szCs w:val="12"/>
        </w:rPr>
        <w:t>Avots: CSP</w:t>
      </w:r>
    </w:p>
    <w:p w14:paraId="0D62089C" w14:textId="5001148E" w:rsidR="00CE325A" w:rsidRPr="003B4CDA" w:rsidRDefault="000C591A" w:rsidP="000C591A">
      <w:pPr>
        <w:ind w:right="-1"/>
        <w:jc w:val="both"/>
      </w:pPr>
      <w:r>
        <w:br/>
      </w:r>
      <w:r w:rsidR="357CF0D3">
        <w:t>Kopš 2013. gada darba samaksa būtībā pieaug visās tautsaimniecības nozarēs, tomēr to dinamika ir atšķirīga. 2021. gadā straujākais atalgojuma pieaugums bija vērojams veselības aprūpē – par 28,2%. Tāpat 2021. gadā salīdzinoši straujš bruto darba samaksas pieaugums bija vērojams profesionālo, zinātnisko un tehnisko pakalpojumu jomā (18,1%), mākslā, izklaidē un atpūtā (13,9%), kā arī citos pakalpojumos (13,4%).</w:t>
      </w:r>
    </w:p>
    <w:p w14:paraId="04F1037F" w14:textId="2A6098B6" w:rsidR="000C591A" w:rsidRDefault="357CF0D3" w:rsidP="000C591A">
      <w:pPr>
        <w:ind w:right="-1"/>
        <w:jc w:val="both"/>
      </w:pPr>
      <w:r>
        <w:t xml:space="preserve">Vislielākā bruto darba samaksa joprojām ir finanšu un apdrošināšanas darbību jomā – 2282 </w:t>
      </w:r>
      <w:proofErr w:type="spellStart"/>
      <w:r>
        <w:t>euro</w:t>
      </w:r>
      <w:proofErr w:type="spellEnd"/>
      <w:r>
        <w:t xml:space="preserve">, kas ir gandrīz divas reizes lielāka nekā vidēji tautsaimniecībā. Tajā pašā laikā mazākā darba samaksa 2021. gadā bija izmitināšanas un ēdināšanas pakalpojumu jomā – 795 </w:t>
      </w:r>
      <w:proofErr w:type="spellStart"/>
      <w:r>
        <w:t>euro</w:t>
      </w:r>
      <w:proofErr w:type="spellEnd"/>
      <w:r>
        <w:t>.</w:t>
      </w:r>
      <w:bookmarkStart w:id="19" w:name="_Hlk36108546"/>
    </w:p>
    <w:p w14:paraId="2D1FC2CE" w14:textId="2801906E" w:rsidR="00CE325A" w:rsidRPr="003B4CDA" w:rsidRDefault="000C591A" w:rsidP="006D2655">
      <w:pPr>
        <w:spacing w:after="0"/>
        <w:jc w:val="right"/>
        <w:rPr>
          <w:szCs w:val="20"/>
        </w:rPr>
      </w:pPr>
      <w:r>
        <w:br w:type="page"/>
      </w:r>
      <w:r w:rsidR="00CE325A" w:rsidRPr="003B4CDA">
        <w:rPr>
          <w:szCs w:val="20"/>
        </w:rPr>
        <w:lastRenderedPageBreak/>
        <w:t>1.1</w:t>
      </w:r>
      <w:r w:rsidR="00DE5367">
        <w:rPr>
          <w:szCs w:val="20"/>
        </w:rPr>
        <w:t>2</w:t>
      </w:r>
      <w:r w:rsidR="00CE325A" w:rsidRPr="003B4CDA">
        <w:rPr>
          <w:szCs w:val="20"/>
        </w:rPr>
        <w:t>. attēls</w:t>
      </w:r>
    </w:p>
    <w:p w14:paraId="36811DFF" w14:textId="77777777" w:rsidR="00CE325A" w:rsidRPr="004A62C0" w:rsidRDefault="00CE325A" w:rsidP="00CE325A">
      <w:pPr>
        <w:spacing w:after="120"/>
        <w:ind w:right="-766"/>
        <w:jc w:val="center"/>
        <w:rPr>
          <w:rFonts w:ascii="Segoe UI Light" w:hAnsi="Segoe UI Light" w:cs="Segoe UI Light"/>
          <w:i/>
          <w:sz w:val="16"/>
          <w:szCs w:val="20"/>
        </w:rPr>
      </w:pPr>
      <w:r w:rsidRPr="004A62C0">
        <w:rPr>
          <w:rFonts w:ascii="Segoe UI Light" w:hAnsi="Segoe UI Light" w:cs="Segoe UI Light"/>
          <w:b/>
          <w:sz w:val="18"/>
          <w:szCs w:val="20"/>
        </w:rPr>
        <w:t>Bruto darba samaksas izmaiņas pa nozarēm</w:t>
      </w:r>
      <w:r w:rsidRPr="004A62C0">
        <w:rPr>
          <w:rFonts w:ascii="Segoe UI Light" w:hAnsi="Segoe UI Light" w:cs="Segoe UI Light"/>
          <w:b/>
          <w:sz w:val="18"/>
          <w:szCs w:val="20"/>
        </w:rPr>
        <w:br/>
      </w:r>
      <w:r w:rsidRPr="004A62C0">
        <w:rPr>
          <w:rFonts w:ascii="Segoe UI Light" w:hAnsi="Segoe UI Light" w:cs="Segoe UI Light"/>
          <w:i/>
          <w:sz w:val="16"/>
          <w:szCs w:val="20"/>
        </w:rPr>
        <w:t>2021. gads pret 2020. gadu, procentos</w:t>
      </w:r>
    </w:p>
    <w:tbl>
      <w:tblPr>
        <w:tblStyle w:val="TableGrid"/>
        <w:tblW w:w="9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490"/>
      </w:tblGrid>
      <w:tr w:rsidR="003505A6" w:rsidRPr="003B4CDA" w14:paraId="289AE904" w14:textId="77777777" w:rsidTr="00D209BD">
        <w:trPr>
          <w:trHeight w:val="3855"/>
        </w:trPr>
        <w:tc>
          <w:tcPr>
            <w:tcW w:w="5102" w:type="dxa"/>
          </w:tcPr>
          <w:p w14:paraId="12688C37" w14:textId="77777777" w:rsidR="00CE325A" w:rsidRPr="003B4CDA" w:rsidRDefault="00CE325A" w:rsidP="00D209BD">
            <w:pPr>
              <w:spacing w:before="64" w:after="0"/>
              <w:ind w:right="-766"/>
              <w:jc w:val="right"/>
              <w:rPr>
                <w:noProof/>
                <w:lang w:eastAsia="lv-LV"/>
              </w:rPr>
            </w:pPr>
          </w:p>
        </w:tc>
        <w:tc>
          <w:tcPr>
            <w:tcW w:w="4082" w:type="dxa"/>
          </w:tcPr>
          <w:p w14:paraId="4FD7E5E2" w14:textId="77777777" w:rsidR="00CE325A" w:rsidRPr="003B4CDA" w:rsidRDefault="00CE325A" w:rsidP="00D209BD">
            <w:pPr>
              <w:ind w:left="-113" w:right="-766"/>
              <w:rPr>
                <w:rFonts w:ascii="Candara" w:hAnsi="Candara" w:cs="Segoe UI"/>
                <w:i/>
                <w:szCs w:val="16"/>
              </w:rPr>
            </w:pPr>
            <w:r w:rsidRPr="003B4CDA">
              <w:rPr>
                <w:noProof/>
                <w:lang w:eastAsia="lv-LV"/>
              </w:rPr>
              <w:drawing>
                <wp:inline distT="0" distB="0" distL="0" distR="0" wp14:anchorId="52462ADC" wp14:editId="7DCC42E0">
                  <wp:extent cx="5961026" cy="3599815"/>
                  <wp:effectExtent l="0" t="0" r="0" b="635"/>
                  <wp:docPr id="386" name="Chart 3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bookmarkEnd w:id="19"/>
    <w:p w14:paraId="59EA1718" w14:textId="77777777" w:rsidR="00CE325A" w:rsidRPr="004A62C0" w:rsidRDefault="00CE325A" w:rsidP="006C446C">
      <w:pPr>
        <w:jc w:val="both"/>
        <w:rPr>
          <w:sz w:val="12"/>
          <w:szCs w:val="12"/>
        </w:rPr>
      </w:pPr>
      <w:r w:rsidRPr="004A62C0">
        <w:rPr>
          <w:sz w:val="12"/>
          <w:szCs w:val="12"/>
        </w:rPr>
        <w:t>Avots: CSP</w:t>
      </w:r>
    </w:p>
    <w:p w14:paraId="751F6082" w14:textId="740E8267" w:rsidR="00CE325A" w:rsidRPr="003B4CDA" w:rsidRDefault="006C446C" w:rsidP="00C84741">
      <w:pPr>
        <w:jc w:val="both"/>
      </w:pPr>
      <w:r>
        <w:br/>
      </w:r>
      <w:r w:rsidR="357CF0D3">
        <w:t>2021.</w:t>
      </w:r>
      <w:r w:rsidR="1CCEC2A8">
        <w:t> </w:t>
      </w:r>
      <w:r w:rsidR="357CF0D3">
        <w:t>gadā, salīdzinot ar 2020. gadu, vidējā bruto darba samaksa apstrādes rūpniecībā pieauga par 8,3%, kas</w:t>
      </w:r>
      <w:r w:rsidR="00966319">
        <w:t>,</w:t>
      </w:r>
      <w:r w:rsidR="357CF0D3">
        <w:t xml:space="preserve"> ņemot vērā straujo darba samaksas pieaugumu citās nozarēs, ir zem vidējā algas pieauguma valstī. Salīdzinot ar 2012. gadu, vidējā bruto darba samaksa apstrādes rūpniecībā ir pieaugusi par 89%, pretēji vidējai tautsaimniecībā, kas pieauga par aptuveni 86 procentiem.</w:t>
      </w:r>
    </w:p>
    <w:p w14:paraId="4FC649D2" w14:textId="50087AC6" w:rsidR="00CE325A" w:rsidRPr="003B4CDA" w:rsidRDefault="00CE325A" w:rsidP="00C84741">
      <w:pPr>
        <w:spacing w:before="120"/>
        <w:jc w:val="right"/>
        <w:rPr>
          <w:szCs w:val="20"/>
        </w:rPr>
      </w:pPr>
      <w:r w:rsidRPr="003B4CDA">
        <w:rPr>
          <w:szCs w:val="20"/>
        </w:rPr>
        <w:t>1.1</w:t>
      </w:r>
      <w:r w:rsidR="00DE5367">
        <w:rPr>
          <w:szCs w:val="20"/>
        </w:rPr>
        <w:t>3</w:t>
      </w:r>
      <w:r w:rsidRPr="003B4CDA">
        <w:rPr>
          <w:szCs w:val="20"/>
        </w:rPr>
        <w:t>. attēls</w:t>
      </w:r>
    </w:p>
    <w:p w14:paraId="050ADB07" w14:textId="5BEFFB8C" w:rsidR="00CE325A" w:rsidRPr="004A62C0" w:rsidRDefault="00CE325A" w:rsidP="00CE325A">
      <w:pPr>
        <w:spacing w:after="120"/>
        <w:ind w:right="-766"/>
        <w:jc w:val="center"/>
      </w:pPr>
      <w:r w:rsidRPr="69EB23FD">
        <w:rPr>
          <w:rFonts w:ascii="Segoe UI Light" w:hAnsi="Segoe UI Light" w:cs="Segoe UI Light"/>
          <w:b/>
          <w:bCs/>
          <w:sz w:val="18"/>
          <w:szCs w:val="18"/>
        </w:rPr>
        <w:t>Vidējā bruto darba samaksa un tās izmaiņas pa profesijām</w:t>
      </w:r>
      <w:r w:rsidRPr="69EB23FD">
        <w:rPr>
          <w:rFonts w:ascii="Segoe UI Light" w:hAnsi="Segoe UI Light" w:cs="Segoe UI Light"/>
          <w:b/>
          <w:bCs/>
          <w:sz w:val="14"/>
          <w:szCs w:val="14"/>
        </w:rPr>
        <w:t>*</w:t>
      </w:r>
    </w:p>
    <w:p w14:paraId="0527DA2F" w14:textId="77777777" w:rsidR="00537397" w:rsidRDefault="004B6A29" w:rsidP="00537397">
      <w:pPr>
        <w:ind w:right="-1"/>
      </w:pPr>
      <w:r>
        <w:rPr>
          <w:i/>
          <w:noProof/>
          <w:szCs w:val="20"/>
        </w:rPr>
        <w:drawing>
          <wp:inline distT="0" distB="0" distL="0" distR="0" wp14:anchorId="21F2CEA5" wp14:editId="19B1B70A">
            <wp:extent cx="5962015" cy="2762250"/>
            <wp:effectExtent l="0" t="0" r="6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4D41C95" w14:textId="772C9A49" w:rsidR="69EB23FD" w:rsidRDefault="00CE325A" w:rsidP="00537397">
      <w:pPr>
        <w:ind w:right="-1"/>
        <w:rPr>
          <w:rFonts w:eastAsia="Calibri Light" w:cs="Calibri Light"/>
          <w:sz w:val="12"/>
          <w:szCs w:val="12"/>
        </w:rPr>
      </w:pPr>
      <w:r w:rsidRPr="69EB23FD">
        <w:rPr>
          <w:sz w:val="12"/>
          <w:szCs w:val="12"/>
        </w:rPr>
        <w:t>Avots: Valsts ieņēmumu dienests</w:t>
      </w:r>
      <w:r w:rsidR="00537397">
        <w:rPr>
          <w:sz w:val="12"/>
          <w:szCs w:val="12"/>
        </w:rPr>
        <w:br/>
      </w:r>
      <w:r w:rsidR="69EB23FD" w:rsidRPr="69EB23FD">
        <w:rPr>
          <w:rFonts w:eastAsia="Calibri Light" w:cs="Calibri Light"/>
          <w:sz w:val="12"/>
          <w:szCs w:val="12"/>
        </w:rPr>
        <w:t>* Vidējā bruto darba samaksa aprēķināta pēc pilnas slodzes ekvivalenta (160 stundu noslodze mēnesī)</w:t>
      </w:r>
    </w:p>
    <w:p w14:paraId="0007F6D5" w14:textId="3C8027D3" w:rsidR="00CE325A" w:rsidRPr="003B4CDA" w:rsidRDefault="357CF0D3" w:rsidP="69EB23FD">
      <w:pPr>
        <w:ind w:right="-1"/>
        <w:jc w:val="both"/>
        <w:rPr>
          <w:highlight w:val="yellow"/>
        </w:rPr>
      </w:pPr>
      <w:r>
        <w:lastRenderedPageBreak/>
        <w:t>2021. gadā, salīdzinot ar 2020.</w:t>
      </w:r>
      <w:r w:rsidR="03DBAF0C">
        <w:t> </w:t>
      </w:r>
      <w:r>
        <w:t xml:space="preserve">gadu, darba samaksa strauji auga arī profesiju griezumā. </w:t>
      </w:r>
      <w:r w:rsidR="00F5609C">
        <w:t>D</w:t>
      </w:r>
      <w:r>
        <w:t xml:space="preserve">arba samaksa </w:t>
      </w:r>
      <w:r w:rsidR="00C945E1">
        <w:t>ir augusi visās</w:t>
      </w:r>
      <w:r w:rsidR="00C37417">
        <w:t xml:space="preserve"> </w:t>
      </w:r>
      <w:r>
        <w:t xml:space="preserve">profesiju </w:t>
      </w:r>
      <w:proofErr w:type="spellStart"/>
      <w:r w:rsidR="000A0CD7">
        <w:t>pamat</w:t>
      </w:r>
      <w:r>
        <w:t>grupā</w:t>
      </w:r>
      <w:r w:rsidR="00BA6DB4">
        <w:t>s</w:t>
      </w:r>
      <w:proofErr w:type="spellEnd"/>
      <w:r w:rsidR="00BA6DB4">
        <w:t xml:space="preserve">. </w:t>
      </w:r>
      <w:r w:rsidR="00AD0EA2">
        <w:t xml:space="preserve">Visstraujākais darba samaksas pieaugums vērojams pakalpojumu un tirdzniecības darbinieku profesiju </w:t>
      </w:r>
      <w:proofErr w:type="spellStart"/>
      <w:r w:rsidR="00AD0EA2">
        <w:t>pamatgrupā</w:t>
      </w:r>
      <w:proofErr w:type="spellEnd"/>
      <w:r w:rsidR="00AD0EA2">
        <w:t xml:space="preserve"> </w:t>
      </w:r>
      <w:r>
        <w:t>– par</w:t>
      </w:r>
      <w:r w:rsidR="1CCEC2A8">
        <w:t xml:space="preserve"> 1</w:t>
      </w:r>
      <w:r>
        <w:t>0%</w:t>
      </w:r>
      <w:r w:rsidR="00AD0EA2">
        <w:t xml:space="preserve">, tomēr jāņem vērā, ka šajā grupā joprojām saglabājās viens no zemākiem atalgojuma līmeņiem starp profesiju </w:t>
      </w:r>
      <w:proofErr w:type="spellStart"/>
      <w:r w:rsidR="00AD0EA2">
        <w:t>pamatgrupām</w:t>
      </w:r>
      <w:proofErr w:type="spellEnd"/>
      <w:r w:rsidR="00AD0EA2">
        <w:t xml:space="preserve">. </w:t>
      </w:r>
      <w:r>
        <w:t>Strauji darba samaksa pieauga arī iekārtu un mašīnu operator</w:t>
      </w:r>
      <w:r w:rsidR="00AD0EA2">
        <w:t>u</w:t>
      </w:r>
      <w:r>
        <w:t>, vecāk</w:t>
      </w:r>
      <w:r w:rsidR="00AD0EA2">
        <w:t>o</w:t>
      </w:r>
      <w:r>
        <w:t xml:space="preserve"> speciālist</w:t>
      </w:r>
      <w:r w:rsidR="00AD0EA2">
        <w:t>u</w:t>
      </w:r>
      <w:r>
        <w:t xml:space="preserve"> un speciālist</w:t>
      </w:r>
      <w:r w:rsidR="00AD0EA2">
        <w:t xml:space="preserve">u profesiju </w:t>
      </w:r>
      <w:proofErr w:type="spellStart"/>
      <w:r w:rsidR="00AD0EA2">
        <w:t>pamatgrupās</w:t>
      </w:r>
      <w:proofErr w:type="spellEnd"/>
      <w:r w:rsidR="00AD0EA2">
        <w:t xml:space="preserve">. </w:t>
      </w:r>
      <w:r>
        <w:t>Savukārt mazāks pieaugums bija vērojams Nacionālo bruņoto spēku profesijās (+1,2%).</w:t>
      </w:r>
    </w:p>
    <w:p w14:paraId="4C94F1C4" w14:textId="77777777" w:rsidR="00CE325A" w:rsidRDefault="00CE325A" w:rsidP="006D2655">
      <w:pPr>
        <w:ind w:right="-1"/>
        <w:jc w:val="both"/>
        <w:rPr>
          <w:szCs w:val="20"/>
        </w:rPr>
      </w:pPr>
      <w:r w:rsidRPr="003B4CDA">
        <w:rPr>
          <w:szCs w:val="20"/>
        </w:rPr>
        <w:t>Darba samaksa ir nozīmīgs izmaksu konkurētspējas faktors, tāpēc darba samaksas pieaugumam jābūt līdzsvarotam ar produktivitātes kāpumu. Pretējā gadījumā tiek zaudēta konkurētspēja tirgojamās nozarēs, kas gala rezultātā nenodrošina noturīgu kopējo ienākumu (labklājības) pieaugumu.</w:t>
      </w:r>
    </w:p>
    <w:p w14:paraId="090BC260" w14:textId="77777777" w:rsidR="00CE325A" w:rsidRPr="00D47AAD" w:rsidRDefault="00CE325A" w:rsidP="00C84741">
      <w:pPr>
        <w:ind w:right="-1"/>
        <w:jc w:val="both"/>
        <w:rPr>
          <w:szCs w:val="20"/>
        </w:rPr>
      </w:pPr>
      <w:r w:rsidRPr="00D47AAD">
        <w:rPr>
          <w:szCs w:val="20"/>
        </w:rPr>
        <w:t>Darbaspēka izmaksas ir nozīmīgs konkurētspējas faktors, tāpēc darba samaksas pieaugumam ir jābūt sabalansētam ar produktivitātes kāpumu. Pretējā gadījumā tiek zaudēta konkurētspēja tirgojamās nozarēs, kas gala rezultātā nenodrošina noturīgu kopējo ienākumu (labklājības) pieaugumu un konverģenci ES vidējām līmenim.</w:t>
      </w:r>
    </w:p>
    <w:p w14:paraId="232C99A5" w14:textId="5B05AB04" w:rsidR="00CE325A" w:rsidRPr="00D47AAD" w:rsidRDefault="00CE325A" w:rsidP="00C84741">
      <w:pPr>
        <w:ind w:right="-1"/>
        <w:jc w:val="both"/>
        <w:rPr>
          <w:szCs w:val="20"/>
        </w:rPr>
      </w:pPr>
      <w:r w:rsidRPr="00D47AAD">
        <w:rPr>
          <w:szCs w:val="20"/>
        </w:rPr>
        <w:t xml:space="preserve">Latvijas ekonomikas izaugsmi balsta produktivitātes kāpums. </w:t>
      </w:r>
      <w:r>
        <w:rPr>
          <w:szCs w:val="20"/>
        </w:rPr>
        <w:t>Tomēr i</w:t>
      </w:r>
      <w:r w:rsidRPr="00D47AAD">
        <w:rPr>
          <w:szCs w:val="20"/>
        </w:rPr>
        <w:t>lgtermiņa skatījumā produktivitātes pieauguma tempiem ir tendence sarukt, kamēr darbaspēka izmaksu pieauguma tempi saglabājās noturīgi augsti. Straujāks produktivitātes pieaugums bija vērojams līdz 2008.</w:t>
      </w:r>
      <w:r w:rsidR="00C84741">
        <w:rPr>
          <w:szCs w:val="20"/>
        </w:rPr>
        <w:t> </w:t>
      </w:r>
      <w:r w:rsidRPr="00D47AAD">
        <w:rPr>
          <w:szCs w:val="20"/>
        </w:rPr>
        <w:t>gadam, it īpaši pēc Latvijas pievienošanās ES, kas kļuva par nozīmīgu stimulu ārvalstu investīciju ieplūdei.</w:t>
      </w:r>
    </w:p>
    <w:p w14:paraId="010F0E56" w14:textId="6BAD9949" w:rsidR="00CE325A" w:rsidRDefault="357CF0D3" w:rsidP="4398C881">
      <w:pPr>
        <w:ind w:right="-1"/>
        <w:jc w:val="both"/>
      </w:pPr>
      <w:r>
        <w:t>Periodā no 2004. līdz 2007.</w:t>
      </w:r>
      <w:r w:rsidR="00966319">
        <w:t xml:space="preserve"> </w:t>
      </w:r>
      <w:r>
        <w:t>gadam produktivitāte ik gadu pieauga par 7,4%, (ES vidēji – par 1,4%). Globālā finanšu krīze negatīvi ietekmēja produktivitāti. Ekonomikas recesijas pirmajā gadā produktivitāte samazinājās par 2,4%, kas, salīdzinājumā ar IKP apjoma kritumu (par 14,2%), bija visai nenozīmīgi, galvenokārt dēļ spēcīgas korekcijas darba tirgū. Lai gan krīzes ietekme nav bijusi ilgstoša un kopš 2010.</w:t>
      </w:r>
      <w:r w:rsidR="1CCEC2A8">
        <w:t> </w:t>
      </w:r>
      <w:r>
        <w:t>gada ir atsākusies produktivitātes pozitīva dinamika, tomēr tā ir gandrīz uz pusi lēnāka nekā vidēji 1996.-2007.</w:t>
      </w:r>
      <w:r w:rsidR="1CCEC2A8">
        <w:t> </w:t>
      </w:r>
      <w:r>
        <w:t>gadā.</w:t>
      </w:r>
    </w:p>
    <w:p w14:paraId="39A59FFB" w14:textId="0A6AA8A7" w:rsidR="00CE325A" w:rsidRDefault="00CE325A" w:rsidP="00C84741">
      <w:pPr>
        <w:ind w:right="-1"/>
        <w:jc w:val="both"/>
        <w:rPr>
          <w:szCs w:val="20"/>
        </w:rPr>
      </w:pPr>
      <w:r w:rsidRPr="00D47AAD">
        <w:rPr>
          <w:szCs w:val="20"/>
        </w:rPr>
        <w:t xml:space="preserve">Produktivitāte pēdējos piecos gados (2015.-2019.) pieauga par 14,3%, t.i., gandrīz 3 reizes straujāk nekā vidēji ES. </w:t>
      </w:r>
      <w:r w:rsidRPr="00F647E7">
        <w:rPr>
          <w:szCs w:val="20"/>
        </w:rPr>
        <w:t>Lielākais devums tautsaimniecības kopējās produktivitātes palielināšanā pēdējos piecos gados pirms Covid-19 pandēmijas izraisītās krīzes bija transporta un uzglabāšanas nozarei, apstrādes rūpniecībai un tirdzniecībai. Arī citās nozarēs dinamika bija pozitīva, izņemot finanšu starpniecību, kurā darba ražīgums 2019. gadā bija par gandrīz 18% zemākā līmenī nekā 2014.</w:t>
      </w:r>
      <w:r w:rsidR="00C84741">
        <w:rPr>
          <w:szCs w:val="20"/>
        </w:rPr>
        <w:t> </w:t>
      </w:r>
      <w:r w:rsidRPr="00F647E7">
        <w:rPr>
          <w:szCs w:val="20"/>
        </w:rPr>
        <w:t>gadā.</w:t>
      </w:r>
    </w:p>
    <w:p w14:paraId="21F73681" w14:textId="0FE35911" w:rsidR="00CE325A" w:rsidRPr="00A72564" w:rsidRDefault="00CE325A" w:rsidP="00C84741">
      <w:pPr>
        <w:ind w:right="-1"/>
        <w:jc w:val="both"/>
        <w:rPr>
          <w:rFonts w:cs="Calibri Light"/>
          <w:szCs w:val="20"/>
        </w:rPr>
      </w:pPr>
      <w:r w:rsidRPr="00D47AAD">
        <w:rPr>
          <w:szCs w:val="20"/>
        </w:rPr>
        <w:t>Kopš 2020.</w:t>
      </w:r>
      <w:r w:rsidR="00C84741">
        <w:rPr>
          <w:szCs w:val="20"/>
        </w:rPr>
        <w:t> </w:t>
      </w:r>
      <w:r w:rsidRPr="00D47AAD">
        <w:rPr>
          <w:szCs w:val="20"/>
        </w:rPr>
        <w:t>gada produktivitātes dinamiku noteica korekcijas produktu un darba tirgos, reaģējot uz Covid-19 pandēmijas ierobežošanas pasākumiem. 2020.</w:t>
      </w:r>
      <w:r w:rsidR="00C84741">
        <w:rPr>
          <w:szCs w:val="20"/>
        </w:rPr>
        <w:t> </w:t>
      </w:r>
      <w:r w:rsidRPr="00D47AAD">
        <w:rPr>
          <w:szCs w:val="20"/>
        </w:rPr>
        <w:t>gadā, produktivitāte samazinājās par 1,5%, savukārt 2021.</w:t>
      </w:r>
      <w:r w:rsidR="00C84741">
        <w:rPr>
          <w:szCs w:val="20"/>
        </w:rPr>
        <w:t> </w:t>
      </w:r>
      <w:r w:rsidRPr="00D47AAD">
        <w:rPr>
          <w:szCs w:val="20"/>
        </w:rPr>
        <w:t xml:space="preserve">gadā, mazinoties ierobežojumiem un atjaunojoties ekonomiskām aktivitātēm, produktivitāte bija par 7,4% augstākā līmenī nekā pirms gada un IKP uz vienu nodarbināto Latvijas tautsaimniecībā kopumā sasniedza 55,7% (73,5% pēc PPS) no vidējā ES līmeņa. </w:t>
      </w:r>
      <w:r w:rsidR="00C45C33">
        <w:rPr>
          <w:szCs w:val="20"/>
        </w:rPr>
        <w:t>K</w:t>
      </w:r>
      <w:r w:rsidR="00C45C33" w:rsidRPr="00D47AAD">
        <w:rPr>
          <w:szCs w:val="20"/>
        </w:rPr>
        <w:t>opš 2010.</w:t>
      </w:r>
      <w:r w:rsidR="00C45C33">
        <w:rPr>
          <w:szCs w:val="20"/>
        </w:rPr>
        <w:t> </w:t>
      </w:r>
      <w:r w:rsidR="00C45C33" w:rsidRPr="00D47AAD">
        <w:rPr>
          <w:szCs w:val="20"/>
        </w:rPr>
        <w:t xml:space="preserve">gada </w:t>
      </w:r>
      <w:r w:rsidR="00C45C33">
        <w:rPr>
          <w:szCs w:val="20"/>
        </w:rPr>
        <w:t>p</w:t>
      </w:r>
      <w:r w:rsidRPr="00D47AAD">
        <w:rPr>
          <w:szCs w:val="20"/>
        </w:rPr>
        <w:t xml:space="preserve">roduktivitātes plaisa ar ES vidējo līmeni ir samazinājusies par gandrīz 14 </w:t>
      </w:r>
      <w:r w:rsidRPr="00A72564">
        <w:rPr>
          <w:rFonts w:cs="Calibri Light"/>
          <w:szCs w:val="20"/>
        </w:rPr>
        <w:t>procentpunktiem.</w:t>
      </w:r>
    </w:p>
    <w:p w14:paraId="23F2BB65" w14:textId="67555A9F" w:rsidR="00CE325A" w:rsidRPr="00A72564" w:rsidRDefault="00CE325A" w:rsidP="00C84741">
      <w:pPr>
        <w:ind w:right="-1"/>
        <w:jc w:val="right"/>
        <w:rPr>
          <w:rFonts w:cs="Calibri Light"/>
          <w:szCs w:val="20"/>
        </w:rPr>
      </w:pPr>
      <w:r w:rsidRPr="00A72564">
        <w:rPr>
          <w:rFonts w:cs="Calibri Light"/>
          <w:szCs w:val="20"/>
        </w:rPr>
        <w:t>1.1</w:t>
      </w:r>
      <w:r w:rsidR="00195E20">
        <w:rPr>
          <w:rFonts w:cs="Calibri Light"/>
          <w:szCs w:val="20"/>
        </w:rPr>
        <w:t>4</w:t>
      </w:r>
      <w:r w:rsidRPr="00A72564">
        <w:rPr>
          <w:rFonts w:cs="Calibri Light"/>
          <w:szCs w:val="20"/>
        </w:rPr>
        <w:t>. attēls</w:t>
      </w:r>
    </w:p>
    <w:tbl>
      <w:tblPr>
        <w:tblW w:w="9292" w:type="dxa"/>
        <w:jc w:val="center"/>
        <w:shd w:val="clear" w:color="auto" w:fill="FFFFFF"/>
        <w:tblLook w:val="0420" w:firstRow="1" w:lastRow="0" w:firstColumn="0" w:lastColumn="0" w:noHBand="0" w:noVBand="1"/>
      </w:tblPr>
      <w:tblGrid>
        <w:gridCol w:w="5519"/>
        <w:gridCol w:w="3773"/>
      </w:tblGrid>
      <w:tr w:rsidR="00CE325A" w:rsidRPr="004A62C0" w14:paraId="68577C46" w14:textId="77777777" w:rsidTr="00D209BD">
        <w:trPr>
          <w:trHeight w:val="17"/>
          <w:jc w:val="center"/>
        </w:trPr>
        <w:tc>
          <w:tcPr>
            <w:tcW w:w="5519" w:type="dxa"/>
            <w:shd w:val="clear" w:color="auto" w:fill="FFFFFF"/>
            <w:vAlign w:val="center"/>
            <w:hideMark/>
          </w:tcPr>
          <w:p w14:paraId="320BE4F0" w14:textId="77777777" w:rsidR="00CE325A" w:rsidRPr="004A62C0" w:rsidRDefault="00CE325A" w:rsidP="00537397">
            <w:pPr>
              <w:spacing w:after="0"/>
              <w:jc w:val="center"/>
              <w:rPr>
                <w:rFonts w:ascii="Segoe UI Light" w:hAnsi="Segoe UI Light" w:cs="Segoe UI Light"/>
                <w:b/>
                <w:bCs/>
                <w:sz w:val="16"/>
                <w:szCs w:val="18"/>
              </w:rPr>
            </w:pPr>
            <w:r w:rsidRPr="004A62C0">
              <w:rPr>
                <w:rFonts w:ascii="Segoe UI Light" w:hAnsi="Segoe UI Light" w:cs="Segoe UI Light"/>
                <w:b/>
                <w:bCs/>
                <w:sz w:val="18"/>
                <w:szCs w:val="18"/>
              </w:rPr>
              <w:t>Produktivitāte Latvijā un ES</w:t>
            </w:r>
          </w:p>
        </w:tc>
        <w:tc>
          <w:tcPr>
            <w:tcW w:w="3773" w:type="dxa"/>
            <w:shd w:val="clear" w:color="auto" w:fill="FFFFFF"/>
            <w:vAlign w:val="center"/>
            <w:hideMark/>
          </w:tcPr>
          <w:p w14:paraId="0D5A9D76" w14:textId="77777777" w:rsidR="00CE325A" w:rsidRPr="004A62C0" w:rsidRDefault="00CE325A" w:rsidP="00537397">
            <w:pPr>
              <w:spacing w:after="120"/>
              <w:jc w:val="center"/>
              <w:rPr>
                <w:rFonts w:ascii="Segoe UI Light" w:hAnsi="Segoe UI Light" w:cs="Segoe UI Light"/>
                <w:b/>
                <w:bCs/>
                <w:i/>
                <w:sz w:val="16"/>
                <w:szCs w:val="18"/>
              </w:rPr>
            </w:pPr>
            <w:r w:rsidRPr="004A62C0">
              <w:rPr>
                <w:rFonts w:ascii="Segoe UI Light" w:hAnsi="Segoe UI Light" w:cs="Segoe UI Light"/>
                <w:b/>
                <w:bCs/>
                <w:sz w:val="18"/>
                <w:szCs w:val="18"/>
              </w:rPr>
              <w:t>Produktivitātes dinamika Latvijā</w:t>
            </w:r>
            <w:r w:rsidRPr="004A62C0">
              <w:rPr>
                <w:rFonts w:ascii="Segoe UI Light" w:hAnsi="Segoe UI Light" w:cs="Segoe UI Light"/>
                <w:b/>
                <w:bCs/>
                <w:sz w:val="18"/>
                <w:szCs w:val="18"/>
              </w:rPr>
              <w:br/>
            </w:r>
            <w:r w:rsidRPr="004A62C0">
              <w:rPr>
                <w:rFonts w:ascii="Segoe UI Light" w:hAnsi="Segoe UI Light" w:cs="Segoe UI Light"/>
                <w:i/>
                <w:sz w:val="16"/>
                <w:szCs w:val="18"/>
              </w:rPr>
              <w:t>gada vidējie pieauguma tempi, procentos</w:t>
            </w:r>
          </w:p>
        </w:tc>
      </w:tr>
    </w:tbl>
    <w:p w14:paraId="742A2512" w14:textId="77777777" w:rsidR="00D77E3B" w:rsidRDefault="00D77E3B" w:rsidP="00537397">
      <w:pPr>
        <w:spacing w:after="120"/>
        <w:jc w:val="center"/>
        <w:rPr>
          <w:rFonts w:cs="Calibri Light"/>
          <w:sz w:val="18"/>
          <w:szCs w:val="18"/>
        </w:rPr>
      </w:pPr>
      <w:r w:rsidRPr="00A72564">
        <w:rPr>
          <w:rFonts w:cs="Calibri Light"/>
          <w:noProof/>
          <w:sz w:val="18"/>
          <w:szCs w:val="18"/>
          <w:lang w:eastAsia="lv-LV"/>
        </w:rPr>
        <w:drawing>
          <wp:inline distT="0" distB="0" distL="0" distR="0" wp14:anchorId="5380D59A" wp14:editId="2D891BAF">
            <wp:extent cx="2880000" cy="2160000"/>
            <wp:effectExtent l="0" t="0" r="0" b="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A72564">
        <w:rPr>
          <w:rFonts w:cs="Calibri Light"/>
          <w:noProof/>
        </w:rPr>
        <w:drawing>
          <wp:inline distT="0" distB="0" distL="0" distR="0" wp14:anchorId="65FEF8FB" wp14:editId="2418AC73">
            <wp:extent cx="2880000" cy="216000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DD1176" w14:textId="77777777" w:rsidR="00D77E3B" w:rsidRPr="004A62C0" w:rsidRDefault="00D77E3B" w:rsidP="00537397">
      <w:pPr>
        <w:ind w:right="-1" w:firstLine="179"/>
        <w:rPr>
          <w:iCs/>
          <w:sz w:val="12"/>
          <w:szCs w:val="12"/>
        </w:rPr>
      </w:pPr>
      <w:r w:rsidRPr="004A62C0">
        <w:rPr>
          <w:iCs/>
          <w:sz w:val="12"/>
          <w:szCs w:val="12"/>
        </w:rPr>
        <w:t xml:space="preserve">Avots: </w:t>
      </w:r>
      <w:proofErr w:type="spellStart"/>
      <w:r w:rsidRPr="004A62C0">
        <w:rPr>
          <w:iCs/>
          <w:sz w:val="12"/>
          <w:szCs w:val="12"/>
        </w:rPr>
        <w:t>Eurostat</w:t>
      </w:r>
      <w:proofErr w:type="spellEnd"/>
    </w:p>
    <w:p w14:paraId="2EA5E238" w14:textId="1C0AC28D" w:rsidR="00CE325A" w:rsidRPr="00D47AAD" w:rsidRDefault="357CF0D3" w:rsidP="00227230">
      <w:pPr>
        <w:jc w:val="both"/>
      </w:pPr>
      <w:r w:rsidRPr="4398C881">
        <w:rPr>
          <w:rFonts w:cs="Calibri Light"/>
        </w:rPr>
        <w:lastRenderedPageBreak/>
        <w:t>2020.</w:t>
      </w:r>
      <w:r w:rsidR="1CCEC2A8" w:rsidRPr="4398C881">
        <w:rPr>
          <w:rFonts w:cs="Calibri Light"/>
        </w:rPr>
        <w:t> </w:t>
      </w:r>
      <w:r w:rsidRPr="4398C881">
        <w:rPr>
          <w:rFonts w:cs="Calibri Light"/>
        </w:rPr>
        <w:t>gadā Covid-19 pandēmija ir globālā mērogā spēcīgi un paliekoši ietekmējusi ekonomisko situāciju. Tāpat kā gandrīz visās pasaules valstīs, arī Latvijā Covid-19 pandēmijas dēļ ekonomika 2020.</w:t>
      </w:r>
      <w:r w:rsidR="1CCEC2A8" w:rsidRPr="4398C881">
        <w:rPr>
          <w:rFonts w:cs="Calibri Light"/>
        </w:rPr>
        <w:t> </w:t>
      </w:r>
      <w:r w:rsidRPr="4398C881">
        <w:rPr>
          <w:rFonts w:cs="Calibri Light"/>
        </w:rPr>
        <w:t>gadā bija nonākusi</w:t>
      </w:r>
      <w:r>
        <w:t xml:space="preserve"> recesijā. Tomēr tās ietekme uz produktivitāti ir neskaidra. Rēķinot pēc nodarbināto skaita, tā ir samazinājusies par 1,3%. Savukārt, rēķinot pēc nostrādāto stundu skaita, produktivitāte ir augusi par 2,1%, kas ir nedaudz zemāks rādītājs par pēdējās desmitgades tendenci. Savukārt 2021.</w:t>
      </w:r>
      <w:r w:rsidR="1CCEC2A8">
        <w:t> </w:t>
      </w:r>
      <w:r>
        <w:t xml:space="preserve">gadā Latvijas tautsaimniecībā kopumā produktivitāte (uz vienu nodarbināto) bija par 7,4%, bet stundas produktivitāte – par 5,8% augstākā līmenī nekā pirms gada. Produktivitātes rādītāju izteikti atšķirīgās svārstības Covid-19 pandēmijas pirmajā gadā lielā mērā ietekmēja valsts atbalsts darba vietu saglabāšanai, galvenokārt </w:t>
      </w:r>
      <w:r w:rsidR="00C45C33">
        <w:t xml:space="preserve">subsidēto </w:t>
      </w:r>
      <w:r>
        <w:t xml:space="preserve">darba </w:t>
      </w:r>
      <w:r w:rsidR="00C45C33">
        <w:t>algu</w:t>
      </w:r>
      <w:r>
        <w:t xml:space="preserve"> shēmu veidā, kas sekmēja </w:t>
      </w:r>
      <w:r w:rsidR="00C45C33">
        <w:rPr>
          <w:szCs w:val="20"/>
        </w:rPr>
        <w:t>darba vietu saglabāšanu, samazinoties nostrādātajām stundām.</w:t>
      </w:r>
    </w:p>
    <w:p w14:paraId="2CE45AE2" w14:textId="63D65DE8" w:rsidR="00CE325A" w:rsidRDefault="00CE325A" w:rsidP="00541BE4">
      <w:pPr>
        <w:ind w:right="-1"/>
        <w:jc w:val="both"/>
        <w:rPr>
          <w:szCs w:val="20"/>
        </w:rPr>
      </w:pPr>
      <w:r w:rsidRPr="00D47AAD">
        <w:rPr>
          <w:szCs w:val="20"/>
        </w:rPr>
        <w:t>Augstas nenoteiktības apstākļos ir grūti pilnībā novērtēt Covid-19 pandēmijas ietekmi uz produktivitātes turpmāko dinamiku. Īstermiņā produktivitātes svārstības nosaka korekcijas produktu, darba un kapitāla tirgos, uzņēmējiem reaģējot uz pandēmijas</w:t>
      </w:r>
      <w:r w:rsidR="00FB6BD6">
        <w:rPr>
          <w:szCs w:val="20"/>
        </w:rPr>
        <w:t xml:space="preserve"> ierobežošanas</w:t>
      </w:r>
      <w:r w:rsidRPr="00D47AAD">
        <w:rPr>
          <w:szCs w:val="20"/>
        </w:rPr>
        <w:t xml:space="preserve"> un ekonomikas stabilizācijas pasākumiem. Savukārt pandēmijas ietekme uz produktivitātes ilgtermiņa tendencēm lielā mērā noteiks biznesa modeļu un patērētāju uzvedības maiņu. Ir skaidrs, ka izmaiņas notiek, piemēram, būtiski palielinās </w:t>
      </w:r>
      <w:proofErr w:type="spellStart"/>
      <w:r w:rsidRPr="00D47AAD">
        <w:rPr>
          <w:szCs w:val="20"/>
        </w:rPr>
        <w:t>digitalizācijas</w:t>
      </w:r>
      <w:proofErr w:type="spellEnd"/>
      <w:r w:rsidRPr="00D47AAD">
        <w:rPr>
          <w:szCs w:val="20"/>
        </w:rPr>
        <w:t xml:space="preserve"> pakāpe (e-pakalpojumi, attālinātais darbs u.c.), bet vēl joprojām ir liela nenoteiktība par šo izmaiņu noturību un ietekmi uz produktivitātes ilgtermiņa tendencēm</w:t>
      </w:r>
      <w:r w:rsidR="00FB6BD6">
        <w:rPr>
          <w:szCs w:val="20"/>
        </w:rPr>
        <w:t xml:space="preserve"> dažādās nozarēs</w:t>
      </w:r>
      <w:r w:rsidRPr="00D47AAD">
        <w:rPr>
          <w:szCs w:val="20"/>
        </w:rPr>
        <w:t>. Produktivitātes noturīgi pozitīvo dinamiku lielā mērā noteiks arī strukturālās izmaiņas Latvijas tautsaimniecībā virzībā uz augstākas pievienotās vērtības aktivitātēm un zināšanu ietilpīgām nozarēm.</w:t>
      </w:r>
    </w:p>
    <w:p w14:paraId="2DA87F60" w14:textId="45B9CFE3" w:rsidR="009C5883" w:rsidRPr="00B14085" w:rsidRDefault="00527B61" w:rsidP="00B140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jc w:val="right"/>
        <w:rPr>
          <w:rFonts w:ascii="Segoe UI Light" w:hAnsi="Segoe UI Light"/>
          <w:b/>
          <w:sz w:val="16"/>
          <w:szCs w:val="16"/>
        </w:rPr>
      </w:pPr>
      <w:r w:rsidRPr="00B14085">
        <w:rPr>
          <w:rFonts w:ascii="Segoe UI Light" w:hAnsi="Segoe UI Light"/>
          <w:b/>
          <w:sz w:val="16"/>
          <w:szCs w:val="16"/>
        </w:rPr>
        <w:t>Attālinātā darba ietekme uz produktivitāti</w:t>
      </w:r>
    </w:p>
    <w:p w14:paraId="7BC20CFE" w14:textId="7DB7EBC7" w:rsidR="00FB6E0D" w:rsidRDefault="00FB6E0D"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Pr>
          <w:rFonts w:ascii="Segoe UI Light" w:hAnsi="Segoe UI Light"/>
          <w:bCs/>
          <w:sz w:val="16"/>
          <w:szCs w:val="18"/>
        </w:rPr>
        <w:t xml:space="preserve">Covid-19 </w:t>
      </w:r>
      <w:r w:rsidR="003E0AA3">
        <w:rPr>
          <w:rFonts w:ascii="Segoe UI Light" w:hAnsi="Segoe UI Light"/>
          <w:bCs/>
          <w:sz w:val="16"/>
          <w:szCs w:val="18"/>
        </w:rPr>
        <w:t>k</w:t>
      </w:r>
      <w:r w:rsidRPr="00FB6E0D">
        <w:rPr>
          <w:rFonts w:ascii="Segoe UI Light" w:hAnsi="Segoe UI Light"/>
          <w:bCs/>
          <w:sz w:val="16"/>
          <w:szCs w:val="18"/>
        </w:rPr>
        <w:t>rīzes laikā ir pavērušās daudz plašākas attālinātā darba iespējas – 2021.</w:t>
      </w:r>
      <w:r w:rsidR="003B0306">
        <w:rPr>
          <w:rFonts w:ascii="Segoe UI Light" w:hAnsi="Segoe UI Light"/>
          <w:bCs/>
          <w:sz w:val="16"/>
          <w:szCs w:val="18"/>
        </w:rPr>
        <w:t> </w:t>
      </w:r>
      <w:r w:rsidRPr="00FB6E0D">
        <w:rPr>
          <w:rFonts w:ascii="Segoe UI Light" w:hAnsi="Segoe UI Light"/>
          <w:bCs/>
          <w:sz w:val="16"/>
          <w:szCs w:val="18"/>
        </w:rPr>
        <w:t>gadā aptuveni 1/5 no darbiniekiem strādāja attālināti. Savukārt atsevišķi pētījumi liecina, ka attālināts darbs kopumā var pozitīvi ietekmēt darba ņēmēju produktivitāti, kā arī samazina izmaksas, piemēram, transporta izmaksas. Tāpat nozares ar augstām iespējām strādāt attālināti kopumā ir uzrādījušas labāku noturību krīzes laikā. uzrāda labāku sniegumu.</w:t>
      </w:r>
    </w:p>
    <w:p w14:paraId="715714EC" w14:textId="774C39A9" w:rsidR="009C5883" w:rsidRPr="009C5883" w:rsidRDefault="00FB6E0D"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Pr>
          <w:rFonts w:ascii="Segoe UI Light" w:hAnsi="Segoe UI Light"/>
          <w:bCs/>
          <w:sz w:val="16"/>
          <w:szCs w:val="18"/>
        </w:rPr>
        <w:t xml:space="preserve">Kā rāda </w:t>
      </w:r>
      <w:r w:rsidR="009C5883" w:rsidRPr="009C5883">
        <w:rPr>
          <w:rFonts w:ascii="Segoe UI Light" w:hAnsi="Segoe UI Light"/>
          <w:bCs/>
          <w:sz w:val="16"/>
          <w:szCs w:val="18"/>
        </w:rPr>
        <w:t xml:space="preserve">Latvijas Universitātes </w:t>
      </w:r>
      <w:proofErr w:type="spellStart"/>
      <w:r w:rsidR="009C5883" w:rsidRPr="009C5883">
        <w:rPr>
          <w:rFonts w:ascii="Segoe UI Light" w:hAnsi="Segoe UI Light"/>
          <w:bCs/>
          <w:sz w:val="16"/>
          <w:szCs w:val="18"/>
        </w:rPr>
        <w:t>domnīcas</w:t>
      </w:r>
      <w:proofErr w:type="spellEnd"/>
      <w:r w:rsidR="009C5883" w:rsidRPr="009C5883">
        <w:rPr>
          <w:rFonts w:ascii="Segoe UI Light" w:hAnsi="Segoe UI Light"/>
          <w:bCs/>
          <w:sz w:val="16"/>
          <w:szCs w:val="18"/>
        </w:rPr>
        <w:t xml:space="preserve"> LV PEAK aprēķin</w:t>
      </w:r>
      <w:r>
        <w:rPr>
          <w:rFonts w:ascii="Segoe UI Light" w:hAnsi="Segoe UI Light"/>
          <w:bCs/>
          <w:sz w:val="16"/>
          <w:szCs w:val="18"/>
        </w:rPr>
        <w:t>i</w:t>
      </w:r>
      <w:r w:rsidR="009C5883" w:rsidRPr="009C5883">
        <w:rPr>
          <w:rFonts w:ascii="Segoe UI Light" w:hAnsi="Segoe UI Light"/>
          <w:bCs/>
          <w:sz w:val="16"/>
          <w:szCs w:val="18"/>
        </w:rPr>
        <w:t xml:space="preserve">, </w:t>
      </w:r>
      <w:r>
        <w:rPr>
          <w:rFonts w:ascii="Segoe UI Light" w:hAnsi="Segoe UI Light"/>
          <w:bCs/>
          <w:sz w:val="16"/>
          <w:szCs w:val="18"/>
        </w:rPr>
        <w:t>tad</w:t>
      </w:r>
      <w:r w:rsidR="009C5883" w:rsidRPr="009C5883">
        <w:rPr>
          <w:rFonts w:ascii="Segoe UI Light" w:hAnsi="Segoe UI Light"/>
          <w:bCs/>
          <w:sz w:val="16"/>
          <w:szCs w:val="18"/>
        </w:rPr>
        <w:t xml:space="preserve"> Covid-19 pandēmijas laikā nozares ar augstām iespējām strādāt attālināti </w:t>
      </w:r>
      <w:r>
        <w:rPr>
          <w:rFonts w:ascii="Segoe UI Light" w:hAnsi="Segoe UI Light"/>
          <w:bCs/>
          <w:sz w:val="16"/>
          <w:szCs w:val="18"/>
        </w:rPr>
        <w:t>kopumā ir uzrādījušas labāku noturību pret krīzi</w:t>
      </w:r>
      <w:r w:rsidR="009C5883" w:rsidRPr="009C5883">
        <w:rPr>
          <w:rFonts w:ascii="Segoe UI Light" w:hAnsi="Segoe UI Light"/>
          <w:bCs/>
          <w:sz w:val="16"/>
          <w:szCs w:val="18"/>
        </w:rPr>
        <w:t>. Covid-19 pandēmijas ierobežošanas pasākumu ieviešanas ietekmē tajās nozarēs, kurās attālinātā darba iespējas ir lielākas, nodarbināto skaits un pievienotā vērtība samazinājās mazākā mērā nekā nozarēs ar ierobežotāku attālināta darba piemērošanas potenciālu. Līdzīgus secinājumus var izdarīt par produktivitātes izmaiņām.</w:t>
      </w:r>
    </w:p>
    <w:p w14:paraId="7451B231" w14:textId="553DA950" w:rsidR="009C5883" w:rsidRDefault="009C5883"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sz w:val="16"/>
          <w:szCs w:val="18"/>
        </w:rPr>
      </w:pPr>
    </w:p>
    <w:p w14:paraId="54047F80" w14:textId="1F92FDD5" w:rsidR="00953D6A" w:rsidRDefault="00953D6A"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sidRPr="00CF0655">
        <w:rPr>
          <w:rFonts w:ascii="Segoe UI Light" w:hAnsi="Segoe UI Light"/>
          <w:b/>
          <w:bCs/>
          <w:noProof/>
          <w:sz w:val="16"/>
          <w:szCs w:val="18"/>
        </w:rPr>
        <mc:AlternateContent>
          <mc:Choice Requires="wps">
            <w:drawing>
              <wp:inline distT="0" distB="0" distL="0" distR="0" wp14:anchorId="129FADD0" wp14:editId="53880BEA">
                <wp:extent cx="5889308" cy="2341498"/>
                <wp:effectExtent l="0" t="0" r="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9308" cy="2341498"/>
                        </a:xfrm>
                        <a:prstGeom prst="rect">
                          <a:avLst/>
                        </a:prstGeom>
                        <a:noFill/>
                        <a:ln w="9525">
                          <a:noFill/>
                          <a:miter lim="800000"/>
                          <a:headEnd/>
                          <a:tailEnd/>
                        </a:ln>
                      </wps:spPr>
                      <wps:txbx>
                        <w:txbxContent>
                          <w:p w14:paraId="47D8B9A3" w14:textId="77777777" w:rsidR="005A28CF" w:rsidRDefault="005A28CF" w:rsidP="005A43F8">
                            <w:pPr>
                              <w:tabs>
                                <w:tab w:val="left" w:pos="0"/>
                              </w:tabs>
                              <w:spacing w:after="60"/>
                              <w:jc w:val="center"/>
                              <w:rPr>
                                <w:rFonts w:ascii="Segoe UI Light" w:hAnsi="Segoe UI Light"/>
                                <w:b/>
                                <w:bCs/>
                                <w:sz w:val="16"/>
                                <w:szCs w:val="18"/>
                              </w:rPr>
                            </w:pPr>
                            <w:r w:rsidRPr="009C5883">
                              <w:rPr>
                                <w:rFonts w:ascii="Segoe UI Light" w:hAnsi="Segoe UI Light"/>
                                <w:b/>
                                <w:bCs/>
                                <w:sz w:val="16"/>
                                <w:szCs w:val="18"/>
                              </w:rPr>
                              <w:t>Pievienotās vērtības, nodarbināto skaita, nostrādāto stundu un produktivitātes izmaiņas nozaru griezumā Latvijā</w:t>
                            </w:r>
                          </w:p>
                          <w:p w14:paraId="605684BE" w14:textId="0FCBF2F6" w:rsidR="005A28CF" w:rsidRDefault="005A28CF" w:rsidP="005A43F8">
                            <w:pPr>
                              <w:tabs>
                                <w:tab w:val="left" w:pos="0"/>
                              </w:tabs>
                              <w:spacing w:after="60"/>
                              <w:jc w:val="center"/>
                              <w:rPr>
                                <w:rFonts w:ascii="Segoe UI Light" w:hAnsi="Segoe UI Light"/>
                                <w:i/>
                                <w:iCs/>
                                <w:sz w:val="16"/>
                                <w:szCs w:val="18"/>
                              </w:rPr>
                            </w:pPr>
                            <w:r w:rsidRPr="00A81E28">
                              <w:rPr>
                                <w:rFonts w:ascii="Segoe UI Light" w:hAnsi="Segoe UI Light"/>
                                <w:i/>
                                <w:iCs/>
                                <w:sz w:val="16"/>
                                <w:szCs w:val="18"/>
                              </w:rPr>
                              <w:t>izmaiņas 2020. gada 2. cet. – 2021. gada 2. cet. pret 2019. gadu, vidēji ceturksnī, procentos</w:t>
                            </w:r>
                          </w:p>
                          <w:p w14:paraId="1E3475FA" w14:textId="77777777" w:rsidR="005A28CF" w:rsidRPr="005A43F8" w:rsidRDefault="005A28CF" w:rsidP="005A43F8">
                            <w:pPr>
                              <w:tabs>
                                <w:tab w:val="left" w:pos="0"/>
                              </w:tabs>
                              <w:spacing w:after="60"/>
                              <w:jc w:val="center"/>
                              <w:rPr>
                                <w:rFonts w:ascii="Segoe UI Light" w:hAnsi="Segoe UI Light"/>
                                <w:i/>
                                <w:iCs/>
                                <w:sz w:val="10"/>
                                <w:szCs w:val="12"/>
                              </w:rPr>
                            </w:pPr>
                          </w:p>
                          <w:p w14:paraId="365904E4" w14:textId="40F79143" w:rsidR="005A28CF" w:rsidRDefault="005A28CF" w:rsidP="00B14085">
                            <w:pPr>
                              <w:tabs>
                                <w:tab w:val="left" w:pos="0"/>
                                <w:tab w:val="left" w:pos="426"/>
                                <w:tab w:val="left" w:pos="2552"/>
                                <w:tab w:val="left" w:pos="6804"/>
                              </w:tabs>
                              <w:spacing w:after="60"/>
                              <w:rPr>
                                <w:rFonts w:ascii="Segoe UI Light" w:hAnsi="Segoe UI Light"/>
                                <w:b/>
                                <w:bCs/>
                                <w:sz w:val="16"/>
                                <w:szCs w:val="18"/>
                              </w:rPr>
                            </w:pPr>
                            <w:r>
                              <w:rPr>
                                <w:rFonts w:ascii="Segoe UI Light" w:hAnsi="Segoe UI Light"/>
                                <w:b/>
                                <w:bCs/>
                                <w:sz w:val="16"/>
                                <w:szCs w:val="18"/>
                              </w:rPr>
                              <w:tab/>
                            </w:r>
                            <w:r w:rsidRPr="009C5883">
                              <w:rPr>
                                <w:rFonts w:ascii="Segoe UI Light" w:hAnsi="Segoe UI Light"/>
                                <w:b/>
                                <w:bCs/>
                                <w:sz w:val="16"/>
                                <w:szCs w:val="18"/>
                              </w:rPr>
                              <w:t>KOPĀ TAUTSAIMNIECĪBĀ</w:t>
                            </w:r>
                            <w:r w:rsidRPr="009C5883">
                              <w:rPr>
                                <w:rFonts w:ascii="Segoe UI Light" w:hAnsi="Segoe UI Light"/>
                                <w:b/>
                                <w:bCs/>
                                <w:sz w:val="16"/>
                                <w:szCs w:val="18"/>
                              </w:rPr>
                              <w:tab/>
                              <w:t>Nozares ar augstām iespējām strādāt attālināti</w:t>
                            </w:r>
                            <w:r>
                              <w:rPr>
                                <w:rFonts w:ascii="Segoe UI Light" w:hAnsi="Segoe UI Light"/>
                                <w:b/>
                                <w:bCs/>
                                <w:sz w:val="16"/>
                                <w:szCs w:val="18"/>
                              </w:rPr>
                              <w:tab/>
                            </w:r>
                            <w:r w:rsidRPr="009C5883">
                              <w:rPr>
                                <w:rFonts w:ascii="Segoe UI Light" w:hAnsi="Segoe UI Light"/>
                                <w:b/>
                                <w:bCs/>
                                <w:sz w:val="16"/>
                                <w:szCs w:val="18"/>
                              </w:rPr>
                              <w:t>Pārējās nozares</w:t>
                            </w:r>
                          </w:p>
                          <w:p w14:paraId="20F15175" w14:textId="77777777" w:rsidR="005A28CF" w:rsidRDefault="005A28CF" w:rsidP="005A43F8">
                            <w:pPr>
                              <w:tabs>
                                <w:tab w:val="left" w:pos="0"/>
                              </w:tabs>
                              <w:spacing w:after="60"/>
                              <w:jc w:val="center"/>
                              <w:rPr>
                                <w:rFonts w:ascii="Segoe UI Light" w:hAnsi="Segoe UI Light"/>
                                <w:b/>
                                <w:bCs/>
                                <w:sz w:val="16"/>
                                <w:szCs w:val="18"/>
                              </w:rPr>
                            </w:pPr>
                          </w:p>
                          <w:p w14:paraId="51F67C55" w14:textId="62719F6D" w:rsidR="005A28CF" w:rsidRPr="009C5883" w:rsidRDefault="005A28CF" w:rsidP="005A43F8">
                            <w:pPr>
                              <w:tabs>
                                <w:tab w:val="left" w:pos="0"/>
                              </w:tabs>
                              <w:spacing w:after="60"/>
                              <w:jc w:val="center"/>
                              <w:rPr>
                                <w:rFonts w:ascii="Segoe UI Light" w:hAnsi="Segoe UI Light"/>
                                <w:b/>
                                <w:bCs/>
                                <w:sz w:val="16"/>
                                <w:szCs w:val="18"/>
                              </w:rPr>
                            </w:pPr>
                            <w:r w:rsidRPr="009C5883">
                              <w:rPr>
                                <w:rFonts w:ascii="Segoe UI Light" w:hAnsi="Segoe UI Light"/>
                                <w:b/>
                                <w:bCs/>
                                <w:noProof/>
                                <w:sz w:val="16"/>
                                <w:szCs w:val="18"/>
                              </w:rPr>
                              <w:drawing>
                                <wp:inline distT="0" distB="0" distL="0" distR="0" wp14:anchorId="20ABCEB8" wp14:editId="439B0138">
                                  <wp:extent cx="2448000" cy="1440000"/>
                                  <wp:effectExtent l="0" t="0" r="0" b="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7551A9">
                              <w:rPr>
                                <w:rFonts w:ascii="Segoe UI Light" w:hAnsi="Segoe UI Light"/>
                                <w:b/>
                                <w:bCs/>
                                <w:sz w:val="16"/>
                                <w:szCs w:val="18"/>
                              </w:rPr>
                              <w:t xml:space="preserve">     </w:t>
                            </w:r>
                            <w:r w:rsidRPr="009C5883">
                              <w:rPr>
                                <w:rFonts w:ascii="Segoe UI Light" w:hAnsi="Segoe UI Light"/>
                                <w:b/>
                                <w:bCs/>
                                <w:noProof/>
                                <w:sz w:val="16"/>
                                <w:szCs w:val="18"/>
                              </w:rPr>
                              <w:drawing>
                                <wp:inline distT="0" distB="0" distL="0" distR="0" wp14:anchorId="47D78549" wp14:editId="0317754D">
                                  <wp:extent cx="1440000" cy="1440000"/>
                                  <wp:effectExtent l="0" t="0" r="0"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9C5883">
                              <w:rPr>
                                <w:rFonts w:ascii="Segoe UI Light" w:hAnsi="Segoe UI Light"/>
                                <w:b/>
                                <w:bCs/>
                                <w:noProof/>
                                <w:sz w:val="16"/>
                                <w:szCs w:val="18"/>
                              </w:rPr>
                              <w:drawing>
                                <wp:inline distT="0" distB="0" distL="0" distR="0" wp14:anchorId="274E209B" wp14:editId="0FD5ED1F">
                                  <wp:extent cx="1620000" cy="1440000"/>
                                  <wp:effectExtent l="0" t="0" r="0" b="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xbxContent>
                      </wps:txbx>
                      <wps:bodyPr rot="0" vert="horz" wrap="square" lIns="91440" tIns="45720" rIns="91440" bIns="45720" anchor="t" anchorCtr="0">
                        <a:noAutofit/>
                      </wps:bodyPr>
                    </wps:wsp>
                  </a:graphicData>
                </a:graphic>
              </wp:inline>
            </w:drawing>
          </mc:Choice>
          <mc:Fallback>
            <w:pict>
              <v:shape w14:anchorId="129FADD0" id="Text Box 2" o:spid="_x0000_s1027" type="#_x0000_t202" style="width:463.75pt;height:18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mpDwIAAPwDAAAOAAAAZHJzL2Uyb0RvYy54bWysU9tuGyEQfa/Uf0C813uJ3dgr4yhNmqpS&#10;epGSfgBmWS8qMBSwd9Ovz8A6jtW+Vd2HFTDMmTlnDuur0WhykD4osIxWs5ISaQW0yu4Y/fF4925J&#10;SYjctlyDlYw+yUCvNm/frAfXyBp60K30BEFsaAbHaB+ja4oiiF4aHmbgpMVgB97wiFu/K1rPB0Q3&#10;uqjL8n0xgG+dByFDwNPbKUg3Gb/rpIjfui7ISDSj2FvMf5//2/QvNmve7Dx3vRLHNvg/dGG4slj0&#10;BHXLIyd7r/6CMkp4CNDFmQBTQNcpITMHZFOVf7B56LmTmQuKE9xJpvD/YMXXw3dPVMtoXV1SYrnB&#10;IT3KMZIPMJI66TO40OC1B4cX44jHOOfMNbh7ED8DsXDTc7uT197D0EveYn9VyizOUieckEC2wxdo&#10;sQzfR8hAY+dNEg/lIIiOc3o6zSa1IvBwsVyuLkp0k8BYfTGv5qtlrsGbl3TnQ/wkwZC0YNTj8DM8&#10;P9yHmNrhzcuVVM3CndI6G0BbMjC6WtSLnHAWMSqiP7UyjC7L9E2OSSw/2jYnR670tMYC2h5pJ6YT&#10;5zhux6xw1iRJsoX2CXXwMNkRnw8uevC/KRnQioyGX3vuJSX6s0UtV9V8nrybN/PFZY0bfx7Znke4&#10;FQjFaKRkWt7E7PeJ8jVq3qmsxmsnx5bRYlmk43NIHj7f51uvj3bzDAAA//8DAFBLAwQUAAYACAAA&#10;ACEAUXueYNsAAAAFAQAADwAAAGRycy9kb3ducmV2LnhtbEyPzU7DMBCE70i8g7VI3OiaQv9CNhUC&#10;cQVRoFJvbrxNIuJ1FLtNeHsMF7isNJrRzLf5enStOnEfGi8E1xMNiqX0tpGK4P3t6WoJKkQj1rRe&#10;mOCLA6yL87PcZNYP8sqnTaxUKpGQGYI6xi5DDGXNzoSJ71iSd/C9MzHJvkLbmyGVuxanWs/RmUbS&#10;Qm06fqi5/NwcHcHH82G3vdUv1aObdYMfNYpbIdHlxXh/ByryGP/C8IOf0KFITHt/FBtUS5Aeib83&#10;eavpYgZqT3AzXy4Aixz/0xffAAAA//8DAFBLAQItABQABgAIAAAAIQC2gziS/gAAAOEBAAATAAAA&#10;AAAAAAAAAAAAAAAAAABbQ29udGVudF9UeXBlc10ueG1sUEsBAi0AFAAGAAgAAAAhADj9If/WAAAA&#10;lAEAAAsAAAAAAAAAAAAAAAAALwEAAF9yZWxzLy5yZWxzUEsBAi0AFAAGAAgAAAAhAPE1iakPAgAA&#10;/AMAAA4AAAAAAAAAAAAAAAAALgIAAGRycy9lMm9Eb2MueG1sUEsBAi0AFAAGAAgAAAAhAFF7nmDb&#10;AAAABQEAAA8AAAAAAAAAAAAAAAAAaQQAAGRycy9kb3ducmV2LnhtbFBLBQYAAAAABAAEAPMAAABx&#10;BQAAAAA=&#10;" filled="f" stroked="f">
                <v:textbox>
                  <w:txbxContent>
                    <w:p w14:paraId="47D8B9A3" w14:textId="77777777" w:rsidR="005A28CF" w:rsidRDefault="005A28CF" w:rsidP="005A43F8">
                      <w:pPr>
                        <w:tabs>
                          <w:tab w:val="left" w:pos="0"/>
                        </w:tabs>
                        <w:spacing w:after="60"/>
                        <w:jc w:val="center"/>
                        <w:rPr>
                          <w:rFonts w:ascii="Segoe UI Light" w:hAnsi="Segoe UI Light"/>
                          <w:b/>
                          <w:bCs/>
                          <w:sz w:val="16"/>
                          <w:szCs w:val="18"/>
                        </w:rPr>
                      </w:pPr>
                      <w:r w:rsidRPr="009C5883">
                        <w:rPr>
                          <w:rFonts w:ascii="Segoe UI Light" w:hAnsi="Segoe UI Light"/>
                          <w:b/>
                          <w:bCs/>
                          <w:sz w:val="16"/>
                          <w:szCs w:val="18"/>
                        </w:rPr>
                        <w:t>Pievienotās vērtības, nodarbināto skaita, nostrādāto stundu un produktivitātes izmaiņas nozaru griezumā Latvijā</w:t>
                      </w:r>
                    </w:p>
                    <w:p w14:paraId="605684BE" w14:textId="0FCBF2F6" w:rsidR="005A28CF" w:rsidRDefault="005A28CF" w:rsidP="005A43F8">
                      <w:pPr>
                        <w:tabs>
                          <w:tab w:val="left" w:pos="0"/>
                        </w:tabs>
                        <w:spacing w:after="60"/>
                        <w:jc w:val="center"/>
                        <w:rPr>
                          <w:rFonts w:ascii="Segoe UI Light" w:hAnsi="Segoe UI Light"/>
                          <w:i/>
                          <w:iCs/>
                          <w:sz w:val="16"/>
                          <w:szCs w:val="18"/>
                        </w:rPr>
                      </w:pPr>
                      <w:r w:rsidRPr="00A81E28">
                        <w:rPr>
                          <w:rFonts w:ascii="Segoe UI Light" w:hAnsi="Segoe UI Light"/>
                          <w:i/>
                          <w:iCs/>
                          <w:sz w:val="16"/>
                          <w:szCs w:val="18"/>
                        </w:rPr>
                        <w:t>izmaiņas 2020. gada 2. cet. – 2021. gada 2. cet. pret 2019. gadu, vidēji ceturksnī, procentos</w:t>
                      </w:r>
                    </w:p>
                    <w:p w14:paraId="1E3475FA" w14:textId="77777777" w:rsidR="005A28CF" w:rsidRPr="005A43F8" w:rsidRDefault="005A28CF" w:rsidP="005A43F8">
                      <w:pPr>
                        <w:tabs>
                          <w:tab w:val="left" w:pos="0"/>
                        </w:tabs>
                        <w:spacing w:after="60"/>
                        <w:jc w:val="center"/>
                        <w:rPr>
                          <w:rFonts w:ascii="Segoe UI Light" w:hAnsi="Segoe UI Light"/>
                          <w:i/>
                          <w:iCs/>
                          <w:sz w:val="10"/>
                          <w:szCs w:val="12"/>
                        </w:rPr>
                      </w:pPr>
                    </w:p>
                    <w:p w14:paraId="365904E4" w14:textId="40F79143" w:rsidR="005A28CF" w:rsidRDefault="005A28CF" w:rsidP="00B14085">
                      <w:pPr>
                        <w:tabs>
                          <w:tab w:val="left" w:pos="0"/>
                          <w:tab w:val="left" w:pos="426"/>
                          <w:tab w:val="left" w:pos="2552"/>
                          <w:tab w:val="left" w:pos="6804"/>
                        </w:tabs>
                        <w:spacing w:after="60"/>
                        <w:rPr>
                          <w:rFonts w:ascii="Segoe UI Light" w:hAnsi="Segoe UI Light"/>
                          <w:b/>
                          <w:bCs/>
                          <w:sz w:val="16"/>
                          <w:szCs w:val="18"/>
                        </w:rPr>
                      </w:pPr>
                      <w:r>
                        <w:rPr>
                          <w:rFonts w:ascii="Segoe UI Light" w:hAnsi="Segoe UI Light"/>
                          <w:b/>
                          <w:bCs/>
                          <w:sz w:val="16"/>
                          <w:szCs w:val="18"/>
                        </w:rPr>
                        <w:tab/>
                      </w:r>
                      <w:r w:rsidRPr="009C5883">
                        <w:rPr>
                          <w:rFonts w:ascii="Segoe UI Light" w:hAnsi="Segoe UI Light"/>
                          <w:b/>
                          <w:bCs/>
                          <w:sz w:val="16"/>
                          <w:szCs w:val="18"/>
                        </w:rPr>
                        <w:t>KOPĀ TAUTSAIMNIECĪBĀ</w:t>
                      </w:r>
                      <w:r w:rsidRPr="009C5883">
                        <w:rPr>
                          <w:rFonts w:ascii="Segoe UI Light" w:hAnsi="Segoe UI Light"/>
                          <w:b/>
                          <w:bCs/>
                          <w:sz w:val="16"/>
                          <w:szCs w:val="18"/>
                        </w:rPr>
                        <w:tab/>
                        <w:t>Nozares ar augstām iespējām strādāt attālināti</w:t>
                      </w:r>
                      <w:r>
                        <w:rPr>
                          <w:rFonts w:ascii="Segoe UI Light" w:hAnsi="Segoe UI Light"/>
                          <w:b/>
                          <w:bCs/>
                          <w:sz w:val="16"/>
                          <w:szCs w:val="18"/>
                        </w:rPr>
                        <w:tab/>
                      </w:r>
                      <w:r w:rsidRPr="009C5883">
                        <w:rPr>
                          <w:rFonts w:ascii="Segoe UI Light" w:hAnsi="Segoe UI Light"/>
                          <w:b/>
                          <w:bCs/>
                          <w:sz w:val="16"/>
                          <w:szCs w:val="18"/>
                        </w:rPr>
                        <w:t>Pārējās nozares</w:t>
                      </w:r>
                    </w:p>
                    <w:p w14:paraId="20F15175" w14:textId="77777777" w:rsidR="005A28CF" w:rsidRDefault="005A28CF" w:rsidP="005A43F8">
                      <w:pPr>
                        <w:tabs>
                          <w:tab w:val="left" w:pos="0"/>
                        </w:tabs>
                        <w:spacing w:after="60"/>
                        <w:jc w:val="center"/>
                        <w:rPr>
                          <w:rFonts w:ascii="Segoe UI Light" w:hAnsi="Segoe UI Light"/>
                          <w:b/>
                          <w:bCs/>
                          <w:sz w:val="16"/>
                          <w:szCs w:val="18"/>
                        </w:rPr>
                      </w:pPr>
                    </w:p>
                    <w:p w14:paraId="51F67C55" w14:textId="62719F6D" w:rsidR="005A28CF" w:rsidRPr="009C5883" w:rsidRDefault="005A28CF" w:rsidP="005A43F8">
                      <w:pPr>
                        <w:tabs>
                          <w:tab w:val="left" w:pos="0"/>
                        </w:tabs>
                        <w:spacing w:after="60"/>
                        <w:jc w:val="center"/>
                        <w:rPr>
                          <w:rFonts w:ascii="Segoe UI Light" w:hAnsi="Segoe UI Light"/>
                          <w:b/>
                          <w:bCs/>
                          <w:sz w:val="16"/>
                          <w:szCs w:val="18"/>
                        </w:rPr>
                      </w:pPr>
                      <w:r w:rsidRPr="009C5883">
                        <w:rPr>
                          <w:rFonts w:ascii="Segoe UI Light" w:hAnsi="Segoe UI Light"/>
                          <w:b/>
                          <w:bCs/>
                          <w:noProof/>
                          <w:sz w:val="16"/>
                          <w:szCs w:val="18"/>
                        </w:rPr>
                        <w:drawing>
                          <wp:inline distT="0" distB="0" distL="0" distR="0" wp14:anchorId="20ABCEB8" wp14:editId="439B0138">
                            <wp:extent cx="2448000" cy="1440000"/>
                            <wp:effectExtent l="0" t="0" r="0" b="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551A9">
                        <w:rPr>
                          <w:rFonts w:ascii="Segoe UI Light" w:hAnsi="Segoe UI Light"/>
                          <w:b/>
                          <w:bCs/>
                          <w:sz w:val="16"/>
                          <w:szCs w:val="18"/>
                        </w:rPr>
                        <w:t xml:space="preserve">     </w:t>
                      </w:r>
                      <w:r w:rsidRPr="009C5883">
                        <w:rPr>
                          <w:rFonts w:ascii="Segoe UI Light" w:hAnsi="Segoe UI Light"/>
                          <w:b/>
                          <w:bCs/>
                          <w:noProof/>
                          <w:sz w:val="16"/>
                          <w:szCs w:val="18"/>
                        </w:rPr>
                        <w:drawing>
                          <wp:inline distT="0" distB="0" distL="0" distR="0" wp14:anchorId="47D78549" wp14:editId="0317754D">
                            <wp:extent cx="1440000" cy="1440000"/>
                            <wp:effectExtent l="0" t="0" r="0"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9C5883">
                        <w:rPr>
                          <w:rFonts w:ascii="Segoe UI Light" w:hAnsi="Segoe UI Light"/>
                          <w:b/>
                          <w:bCs/>
                          <w:noProof/>
                          <w:sz w:val="16"/>
                          <w:szCs w:val="18"/>
                        </w:rPr>
                        <w:drawing>
                          <wp:inline distT="0" distB="0" distL="0" distR="0" wp14:anchorId="274E209B" wp14:editId="0FD5ED1F">
                            <wp:extent cx="1620000" cy="1440000"/>
                            <wp:effectExtent l="0" t="0" r="0" b="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xbxContent>
                </v:textbox>
                <w10:anchorlock/>
              </v:shape>
            </w:pict>
          </mc:Fallback>
        </mc:AlternateContent>
      </w:r>
    </w:p>
    <w:p w14:paraId="2160F0FB" w14:textId="1C745C4A" w:rsidR="009C5883" w:rsidRPr="004A62C0" w:rsidRDefault="009C5883"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cs="Calibri Light"/>
          <w:bCs/>
          <w:sz w:val="12"/>
          <w:szCs w:val="12"/>
        </w:rPr>
      </w:pPr>
      <w:r w:rsidRPr="004A62C0">
        <w:rPr>
          <w:rFonts w:cs="Calibri Light"/>
          <w:bCs/>
          <w:sz w:val="12"/>
          <w:szCs w:val="12"/>
        </w:rPr>
        <w:t>Avots:</w:t>
      </w:r>
      <w:r w:rsidRPr="004A62C0">
        <w:rPr>
          <w:rFonts w:cs="Calibri Light"/>
          <w:sz w:val="12"/>
          <w:szCs w:val="12"/>
        </w:rPr>
        <w:t xml:space="preserve"> </w:t>
      </w:r>
      <w:r w:rsidRPr="004A62C0">
        <w:rPr>
          <w:rFonts w:cs="Calibri Light"/>
          <w:bCs/>
          <w:i/>
          <w:iCs/>
          <w:sz w:val="12"/>
          <w:szCs w:val="12"/>
        </w:rPr>
        <w:t xml:space="preserve">Latvijas produktivitātes ziņojums 2021 </w:t>
      </w:r>
      <w:hyperlink r:id="rId44" w:history="1">
        <w:r w:rsidRPr="004A62C0">
          <w:rPr>
            <w:rStyle w:val="Hyperlink"/>
            <w:rFonts w:cs="Calibri Light"/>
            <w:bCs/>
            <w:i/>
            <w:iCs/>
            <w:sz w:val="12"/>
            <w:szCs w:val="12"/>
          </w:rPr>
          <w:t>https://www.lvpeak.lu.lv/latvijas-produktivitates-padome/latvijas-produktivitates-zinojums/</w:t>
        </w:r>
      </w:hyperlink>
    </w:p>
    <w:p w14:paraId="772A4E6D" w14:textId="77777777" w:rsidR="009C5883" w:rsidRPr="009C5883" w:rsidRDefault="009C5883"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p>
    <w:p w14:paraId="3693F199" w14:textId="3DDE7F4E" w:rsidR="005D2D6F" w:rsidRDefault="005D2D6F" w:rsidP="005D2D6F">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sidRPr="009C5883">
        <w:rPr>
          <w:rFonts w:ascii="Segoe UI Light" w:hAnsi="Segoe UI Light"/>
          <w:bCs/>
          <w:sz w:val="16"/>
          <w:szCs w:val="18"/>
        </w:rPr>
        <w:t>LV PEAK pētījumā  veiktie aprēķinu rezultāti rāda, ka aptuveni 38% no nodarbinātajiem Latvijas tautsaimniecībā potenciāli var strādāt attālinātā režīmā</w:t>
      </w:r>
      <w:r w:rsidR="00D43923">
        <w:rPr>
          <w:rFonts w:ascii="Segoe UI Light" w:hAnsi="Segoe UI Light"/>
          <w:bCs/>
          <w:sz w:val="16"/>
          <w:szCs w:val="18"/>
        </w:rPr>
        <w:t>, tomēr v</w:t>
      </w:r>
      <w:r w:rsidRPr="009C5883">
        <w:rPr>
          <w:rFonts w:ascii="Segoe UI Light" w:hAnsi="Segoe UI Light"/>
          <w:bCs/>
          <w:sz w:val="16"/>
          <w:szCs w:val="18"/>
        </w:rPr>
        <w:t>isās nozarēs ir vērojama relatīvi liela plaisa starp attālināti strādājošo un potenciāli iespējamo attālinātā darbā nodarbināto skaitu. 2020.-2021.</w:t>
      </w:r>
      <w:r w:rsidR="00953D6A">
        <w:rPr>
          <w:rFonts w:ascii="Segoe UI Light" w:hAnsi="Segoe UI Light"/>
          <w:bCs/>
          <w:sz w:val="16"/>
          <w:szCs w:val="18"/>
        </w:rPr>
        <w:t> </w:t>
      </w:r>
      <w:r w:rsidRPr="009C5883">
        <w:rPr>
          <w:rFonts w:ascii="Segoe UI Light" w:hAnsi="Segoe UI Light"/>
          <w:bCs/>
          <w:sz w:val="16"/>
          <w:szCs w:val="18"/>
        </w:rPr>
        <w:t>gadā vidēji ceturksnī Covid-19 pandēmijas laikā Latvijā attālināti strādājošo daļa bija gandrīz uz pusi zemākā līmenī nekā potenciāli iespējams.</w:t>
      </w:r>
    </w:p>
    <w:p w14:paraId="68074D6A" w14:textId="77777777" w:rsidR="00953D6A" w:rsidRPr="00953D6A" w:rsidRDefault="00953D6A" w:rsidP="005D2D6F">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8"/>
          <w:szCs w:val="8"/>
        </w:rPr>
      </w:pPr>
    </w:p>
    <w:p w14:paraId="69023CE2" w14:textId="15E6A284" w:rsidR="005F0D4B" w:rsidRDefault="005F0D4B">
      <w:pPr>
        <w:spacing w:after="0"/>
        <w:rPr>
          <w:szCs w:val="20"/>
        </w:rPr>
      </w:pPr>
      <w:r>
        <w:rPr>
          <w:szCs w:val="20"/>
        </w:rPr>
        <w:br w:type="page"/>
      </w:r>
    </w:p>
    <w:p w14:paraId="4BF55175" w14:textId="77777777" w:rsidR="005F0D4B" w:rsidRPr="005F0D4B" w:rsidRDefault="005F0D4B" w:rsidP="005F0D4B">
      <w:pPr>
        <w:spacing w:after="0"/>
        <w:jc w:val="both"/>
        <w:rPr>
          <w:sz w:val="2"/>
          <w:szCs w:val="2"/>
        </w:rPr>
      </w:pPr>
    </w:p>
    <w:p w14:paraId="279A9683" w14:textId="65F3C93A" w:rsidR="005F0D4B" w:rsidRPr="00B14085" w:rsidRDefault="005F0D4B" w:rsidP="00541B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jc w:val="right"/>
        <w:rPr>
          <w:rFonts w:ascii="Segoe UI Light" w:hAnsi="Segoe UI Light"/>
          <w:b/>
          <w:sz w:val="16"/>
          <w:szCs w:val="16"/>
        </w:rPr>
      </w:pPr>
      <w:r w:rsidRPr="00B14085">
        <w:rPr>
          <w:rFonts w:ascii="Segoe UI Light" w:hAnsi="Segoe UI Light"/>
          <w:b/>
          <w:sz w:val="16"/>
          <w:szCs w:val="16"/>
        </w:rPr>
        <w:t>Ielikuma turpinājums</w:t>
      </w:r>
    </w:p>
    <w:p w14:paraId="2B0DDE75" w14:textId="2AB63E93" w:rsidR="005D2D6F" w:rsidRPr="00A81E28" w:rsidRDefault="005D2D6F" w:rsidP="00541B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center"/>
        <w:rPr>
          <w:rFonts w:ascii="Segoe UI Light" w:hAnsi="Segoe UI Light"/>
          <w:i/>
          <w:iCs/>
          <w:sz w:val="16"/>
          <w:szCs w:val="18"/>
        </w:rPr>
      </w:pPr>
      <w:r w:rsidRPr="009C5883">
        <w:rPr>
          <w:rFonts w:ascii="Segoe UI Light" w:hAnsi="Segoe UI Light"/>
          <w:b/>
          <w:bCs/>
          <w:sz w:val="16"/>
          <w:szCs w:val="18"/>
        </w:rPr>
        <w:t>Attālināta darba potenciāls un attālināti strādājošo daļa 2020.-2021. gadā vidēji ceturksnī Covid-19 pandēmijas laikā Latvijā</w:t>
      </w:r>
      <w:r w:rsidR="00541BE4">
        <w:rPr>
          <w:rFonts w:ascii="Segoe UI Light" w:hAnsi="Segoe UI Light"/>
          <w:b/>
          <w:bCs/>
          <w:sz w:val="16"/>
          <w:szCs w:val="18"/>
        </w:rPr>
        <w:br/>
      </w:r>
      <w:r w:rsidR="00195E20">
        <w:rPr>
          <w:rFonts w:ascii="Segoe UI Light" w:hAnsi="Segoe UI Light"/>
          <w:i/>
          <w:iCs/>
          <w:sz w:val="16"/>
          <w:szCs w:val="18"/>
        </w:rPr>
        <w:t>procentos</w:t>
      </w:r>
      <w:r w:rsidRPr="00A81E28">
        <w:rPr>
          <w:rFonts w:ascii="Segoe UI Light" w:hAnsi="Segoe UI Light"/>
          <w:i/>
          <w:iCs/>
          <w:sz w:val="16"/>
          <w:szCs w:val="18"/>
        </w:rPr>
        <w:t xml:space="preserve"> no nozarē strādājošo kopskaita</w:t>
      </w:r>
    </w:p>
    <w:p w14:paraId="4E1BEF17" w14:textId="68D2DA5F" w:rsidR="005D2D6F" w:rsidRDefault="005D2D6F" w:rsidP="005D2D6F">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
          <w:bCs/>
          <w:sz w:val="16"/>
          <w:szCs w:val="18"/>
        </w:rPr>
      </w:pPr>
      <w:r w:rsidRPr="009C5883">
        <w:rPr>
          <w:rFonts w:ascii="Segoe UI Light" w:hAnsi="Segoe UI Light"/>
          <w:b/>
          <w:bCs/>
          <w:noProof/>
          <w:sz w:val="16"/>
          <w:szCs w:val="18"/>
        </w:rPr>
        <w:drawing>
          <wp:inline distT="0" distB="0" distL="0" distR="0" wp14:anchorId="22F6ACD1" wp14:editId="5CE51107">
            <wp:extent cx="5689600" cy="1923691"/>
            <wp:effectExtent l="0" t="0" r="0" b="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9C5883">
        <w:rPr>
          <w:rFonts w:ascii="Segoe UI Light" w:hAnsi="Segoe UI Light"/>
          <w:b/>
          <w:bCs/>
          <w:sz w:val="16"/>
          <w:szCs w:val="18"/>
        </w:rPr>
        <w:t xml:space="preserve"> </w:t>
      </w:r>
    </w:p>
    <w:p w14:paraId="20B0353A" w14:textId="2C8B686A" w:rsidR="005D2D6F" w:rsidRPr="004A62C0" w:rsidRDefault="005D2D6F" w:rsidP="005D2D6F">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cs="Calibri Light"/>
          <w:bCs/>
          <w:sz w:val="12"/>
          <w:szCs w:val="12"/>
        </w:rPr>
      </w:pPr>
      <w:r w:rsidRPr="004A62C0">
        <w:rPr>
          <w:rFonts w:cs="Calibri Light"/>
          <w:bCs/>
          <w:sz w:val="12"/>
          <w:szCs w:val="12"/>
        </w:rPr>
        <w:t>Avots:</w:t>
      </w:r>
      <w:r w:rsidRPr="004A62C0">
        <w:rPr>
          <w:rFonts w:cs="Calibri Light"/>
          <w:sz w:val="12"/>
          <w:szCs w:val="12"/>
        </w:rPr>
        <w:t xml:space="preserve"> </w:t>
      </w:r>
      <w:r w:rsidRPr="004A62C0">
        <w:rPr>
          <w:rFonts w:cs="Calibri Light"/>
          <w:bCs/>
          <w:i/>
          <w:iCs/>
          <w:sz w:val="12"/>
          <w:szCs w:val="12"/>
        </w:rPr>
        <w:t xml:space="preserve">Latvijas produktivitātes ziņojums 2021 </w:t>
      </w:r>
      <w:hyperlink r:id="rId46" w:history="1">
        <w:r w:rsidRPr="004A62C0">
          <w:rPr>
            <w:rStyle w:val="Hyperlink"/>
            <w:rFonts w:cs="Calibri Light"/>
            <w:bCs/>
            <w:i/>
            <w:iCs/>
            <w:sz w:val="12"/>
            <w:szCs w:val="12"/>
          </w:rPr>
          <w:t>https://www.lvpeak.lu.lv/latvijas-produktivitates-padome/latvijas-produktivitates-zinojums/</w:t>
        </w:r>
      </w:hyperlink>
    </w:p>
    <w:p w14:paraId="33817269" w14:textId="11B026B4" w:rsidR="009C5883" w:rsidRDefault="009C5883"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p>
    <w:p w14:paraId="4252B67C" w14:textId="143897E8" w:rsidR="00527B61" w:rsidRPr="00527B61" w:rsidRDefault="00527B61" w:rsidP="00527B6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sidRPr="00527B61">
        <w:rPr>
          <w:rFonts w:ascii="Segoe UI Light" w:hAnsi="Segoe UI Light"/>
          <w:bCs/>
          <w:sz w:val="16"/>
          <w:szCs w:val="18"/>
        </w:rPr>
        <w:t>Attālināta darba piemērošanas palielināšana var izraisīt tautsaimniecībai nozīmīgus strukturālās transformācijas procesus, kam var būt pozitīva</w:t>
      </w:r>
      <w:r>
        <w:rPr>
          <w:rFonts w:ascii="Segoe UI Light" w:hAnsi="Segoe UI Light"/>
          <w:bCs/>
          <w:sz w:val="16"/>
          <w:szCs w:val="18"/>
        </w:rPr>
        <w:t xml:space="preserve"> ietekme uz darba efektivitāti</w:t>
      </w:r>
      <w:r w:rsidR="005E31F3">
        <w:rPr>
          <w:rFonts w:ascii="Segoe UI Light" w:hAnsi="Segoe UI Light"/>
          <w:bCs/>
          <w:sz w:val="16"/>
          <w:szCs w:val="18"/>
        </w:rPr>
        <w:t>.</w:t>
      </w:r>
      <w:r>
        <w:rPr>
          <w:rFonts w:ascii="Segoe UI Light" w:hAnsi="Segoe UI Light"/>
          <w:bCs/>
          <w:sz w:val="16"/>
          <w:szCs w:val="18"/>
        </w:rPr>
        <w:t xml:space="preserve"> </w:t>
      </w:r>
      <w:r w:rsidR="005E31F3">
        <w:rPr>
          <w:rFonts w:ascii="Segoe UI Light" w:hAnsi="Segoe UI Light"/>
          <w:bCs/>
          <w:sz w:val="16"/>
          <w:szCs w:val="18"/>
        </w:rPr>
        <w:t>T</w:t>
      </w:r>
      <w:r w:rsidRPr="00527B61">
        <w:rPr>
          <w:rFonts w:ascii="Segoe UI Light" w:hAnsi="Segoe UI Light"/>
          <w:bCs/>
          <w:sz w:val="16"/>
          <w:szCs w:val="18"/>
        </w:rPr>
        <w:t>omēr</w:t>
      </w:r>
      <w:r w:rsidR="005E31F3">
        <w:rPr>
          <w:rFonts w:ascii="Segoe UI Light" w:hAnsi="Segoe UI Light"/>
          <w:bCs/>
          <w:sz w:val="16"/>
          <w:szCs w:val="18"/>
        </w:rPr>
        <w:t xml:space="preserve"> jāņem vērā, ka visus aspektus, ko attālinātais darbs var sniegt būs iespējams izvērtēt tikai ilgākā laikā, ņemot vērā joprojām nepietiekamo uzkrāto datu apjomu, lai pilnībā izvērtētu attālinātā darba ietekmi. Tāpat jāņem vērā, ka </w:t>
      </w:r>
      <w:r w:rsidRPr="00527B61">
        <w:rPr>
          <w:rFonts w:ascii="Segoe UI Light" w:hAnsi="Segoe UI Light"/>
          <w:bCs/>
          <w:sz w:val="16"/>
          <w:szCs w:val="18"/>
        </w:rPr>
        <w:t>produktivitāti attālinātā darba apstākļos Covid-19 pandēmijas laikā ietekmē daudzi citi papildus faktori, tādi kā darbinieku psiholoģiskais stāvoklis, skolu slēgšana, utt.</w:t>
      </w:r>
      <w:r w:rsidR="005E31F3">
        <w:rPr>
          <w:rFonts w:ascii="Segoe UI Light" w:hAnsi="Segoe UI Light"/>
          <w:bCs/>
          <w:sz w:val="16"/>
          <w:szCs w:val="18"/>
        </w:rPr>
        <w:t>, ko pilnībā izvērtēt ir ierobežotas iespējas.</w:t>
      </w:r>
    </w:p>
    <w:p w14:paraId="11071954" w14:textId="77777777" w:rsidR="009C5883" w:rsidRPr="003B4CDA" w:rsidRDefault="009C5883" w:rsidP="009C5883">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8"/>
          <w:szCs w:val="8"/>
        </w:rPr>
      </w:pPr>
    </w:p>
    <w:p w14:paraId="4F7F5017" w14:textId="765EBAF6" w:rsidR="00CE325A" w:rsidRPr="00D47AAD" w:rsidRDefault="00227230" w:rsidP="00227230">
      <w:pPr>
        <w:ind w:right="-1"/>
        <w:jc w:val="both"/>
        <w:rPr>
          <w:szCs w:val="20"/>
        </w:rPr>
      </w:pPr>
      <w:r>
        <w:rPr>
          <w:szCs w:val="20"/>
        </w:rPr>
        <w:br/>
      </w:r>
      <w:r w:rsidR="00CE325A" w:rsidRPr="00D47AAD">
        <w:rPr>
          <w:szCs w:val="20"/>
        </w:rPr>
        <w:t>Pēc produktivitātes pieauguma tempiem Latvija ieņem vienu no līderpozīcijām ES dalībvalstīs, tomēr darbaspēka izmaksas ir augušas straujāk nekā produktivitāte, vājinot Latvijas uzņēmēju konkurētspēju izmaksu jomā. Par izmaksu konkurētspējas mazināšanās pieaugušajiem riskiem liecina arī nominālās darbaspēka vienības izmaksu (ULC) pieaugums.</w:t>
      </w:r>
    </w:p>
    <w:p w14:paraId="623060D7" w14:textId="3546E0DC" w:rsidR="00CE325A" w:rsidRPr="00D47AAD" w:rsidRDefault="00C84741" w:rsidP="00CE325A">
      <w:pPr>
        <w:jc w:val="right"/>
        <w:rPr>
          <w:szCs w:val="20"/>
        </w:rPr>
      </w:pPr>
      <w:r>
        <w:rPr>
          <w:szCs w:val="20"/>
        </w:rPr>
        <w:t>1.1</w:t>
      </w:r>
      <w:r w:rsidR="00195E20">
        <w:rPr>
          <w:szCs w:val="20"/>
        </w:rPr>
        <w:t>5</w:t>
      </w:r>
      <w:r w:rsidR="00CE325A" w:rsidRPr="00D47AAD">
        <w:rPr>
          <w:szCs w:val="20"/>
        </w:rPr>
        <w:t> attēls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806"/>
      </w:tblGrid>
      <w:tr w:rsidR="00CE325A" w:rsidRPr="004A62C0" w14:paraId="2AD7853A" w14:textId="77777777" w:rsidTr="00D209BD">
        <w:tc>
          <w:tcPr>
            <w:tcW w:w="4552" w:type="dxa"/>
          </w:tcPr>
          <w:p w14:paraId="74FFF3D1" w14:textId="2DC76FC3" w:rsidR="00CE325A" w:rsidRPr="004A62C0" w:rsidRDefault="00CE325A" w:rsidP="00195E20">
            <w:pPr>
              <w:spacing w:after="120"/>
              <w:jc w:val="center"/>
              <w:rPr>
                <w:rFonts w:ascii="Segoe UI Light" w:hAnsi="Segoe UI Light" w:cs="Segoe UI Light"/>
                <w:i/>
                <w:sz w:val="16"/>
                <w:szCs w:val="20"/>
              </w:rPr>
            </w:pPr>
            <w:r w:rsidRPr="004A62C0">
              <w:rPr>
                <w:rFonts w:ascii="Segoe UI Light" w:hAnsi="Segoe UI Light" w:cs="Segoe UI Light"/>
                <w:b/>
                <w:sz w:val="18"/>
                <w:szCs w:val="20"/>
              </w:rPr>
              <w:t xml:space="preserve">Produktivitātes, darbaspēka izmaksu un </w:t>
            </w:r>
            <w:r w:rsidR="004A62C0">
              <w:rPr>
                <w:rFonts w:ascii="Segoe UI Light" w:hAnsi="Segoe UI Light" w:cs="Segoe UI Light"/>
                <w:b/>
                <w:sz w:val="18"/>
                <w:szCs w:val="20"/>
              </w:rPr>
              <w:br/>
            </w:r>
            <w:r w:rsidRPr="004A62C0">
              <w:rPr>
                <w:rFonts w:ascii="Segoe UI Light" w:hAnsi="Segoe UI Light" w:cs="Segoe UI Light"/>
                <w:b/>
                <w:sz w:val="18"/>
                <w:szCs w:val="20"/>
              </w:rPr>
              <w:t>ULC izmaiņas Baltijas valstīs un ES</w:t>
            </w:r>
            <w:r w:rsidRPr="004A62C0">
              <w:rPr>
                <w:rFonts w:ascii="Segoe UI Light" w:hAnsi="Segoe UI Light" w:cs="Segoe UI Light"/>
                <w:b/>
                <w:sz w:val="18"/>
                <w:szCs w:val="20"/>
              </w:rPr>
              <w:br/>
            </w:r>
            <w:r w:rsidRPr="004A62C0">
              <w:rPr>
                <w:rFonts w:ascii="Segoe UI Light" w:hAnsi="Segoe UI Light" w:cs="Segoe UI Light"/>
                <w:i/>
                <w:sz w:val="16"/>
                <w:szCs w:val="20"/>
              </w:rPr>
              <w:t>2021</w:t>
            </w:r>
            <w:r w:rsidR="00195E20" w:rsidRPr="004A62C0">
              <w:rPr>
                <w:rFonts w:ascii="Segoe UI Light" w:hAnsi="Segoe UI Light" w:cs="Segoe UI Light"/>
                <w:i/>
                <w:sz w:val="16"/>
                <w:szCs w:val="20"/>
              </w:rPr>
              <w:t xml:space="preserve">.gads pret </w:t>
            </w:r>
            <w:r w:rsidRPr="004A62C0">
              <w:rPr>
                <w:rFonts w:ascii="Segoe UI Light" w:hAnsi="Segoe UI Light" w:cs="Segoe UI Light"/>
                <w:i/>
                <w:sz w:val="16"/>
                <w:szCs w:val="20"/>
              </w:rPr>
              <w:t>2018</w:t>
            </w:r>
            <w:r w:rsidR="00195E20" w:rsidRPr="004A62C0">
              <w:rPr>
                <w:rFonts w:ascii="Segoe UI Light" w:hAnsi="Segoe UI Light" w:cs="Segoe UI Light"/>
                <w:i/>
                <w:sz w:val="16"/>
                <w:szCs w:val="20"/>
              </w:rPr>
              <w:t xml:space="preserve">.gadu, </w:t>
            </w:r>
            <w:r w:rsidRPr="004A62C0">
              <w:rPr>
                <w:rFonts w:ascii="Segoe UI Light" w:hAnsi="Segoe UI Light" w:cs="Segoe UI Light"/>
                <w:i/>
                <w:sz w:val="16"/>
                <w:szCs w:val="20"/>
              </w:rPr>
              <w:t>procentos</w:t>
            </w:r>
          </w:p>
        </w:tc>
        <w:tc>
          <w:tcPr>
            <w:tcW w:w="4553" w:type="dxa"/>
          </w:tcPr>
          <w:p w14:paraId="1A397F5B" w14:textId="77777777" w:rsidR="00CE325A" w:rsidRPr="004A62C0" w:rsidRDefault="00CE325A" w:rsidP="00195E20">
            <w:pPr>
              <w:tabs>
                <w:tab w:val="center" w:pos="2268"/>
                <w:tab w:val="center" w:pos="6804"/>
              </w:tabs>
              <w:spacing w:after="120"/>
              <w:jc w:val="center"/>
              <w:rPr>
                <w:rFonts w:ascii="Segoe UI Light" w:hAnsi="Segoe UI Light" w:cs="Segoe UI Light"/>
                <w:b/>
                <w:sz w:val="18"/>
                <w:szCs w:val="20"/>
              </w:rPr>
            </w:pPr>
            <w:r w:rsidRPr="004A62C0">
              <w:rPr>
                <w:rFonts w:ascii="Segoe UI Light" w:hAnsi="Segoe UI Light" w:cs="Segoe UI Light"/>
                <w:b/>
                <w:sz w:val="18"/>
                <w:szCs w:val="20"/>
              </w:rPr>
              <w:t>Darbaspēka izmaksu un produktivitātes dinamika</w:t>
            </w:r>
          </w:p>
        </w:tc>
      </w:tr>
      <w:tr w:rsidR="00CE325A" w:rsidRPr="00D47AAD" w14:paraId="1DC182E9" w14:textId="77777777" w:rsidTr="00D209BD">
        <w:tc>
          <w:tcPr>
            <w:tcW w:w="4552" w:type="dxa"/>
          </w:tcPr>
          <w:p w14:paraId="291EBA45" w14:textId="77777777" w:rsidR="00CE325A" w:rsidRPr="00D47AAD" w:rsidRDefault="00CE325A" w:rsidP="00D209BD">
            <w:pPr>
              <w:tabs>
                <w:tab w:val="center" w:pos="2268"/>
                <w:tab w:val="center" w:pos="6804"/>
              </w:tabs>
              <w:spacing w:after="120"/>
              <w:rPr>
                <w:b/>
                <w:sz w:val="18"/>
                <w:szCs w:val="20"/>
              </w:rPr>
            </w:pPr>
            <w:r w:rsidRPr="00D47AAD">
              <w:rPr>
                <w:noProof/>
                <w:szCs w:val="20"/>
                <w:lang w:eastAsia="lv-LV"/>
              </w:rPr>
              <w:drawing>
                <wp:inline distT="0" distB="0" distL="0" distR="0" wp14:anchorId="14FC182D" wp14:editId="092A6AD2">
                  <wp:extent cx="2700000" cy="2160000"/>
                  <wp:effectExtent l="0" t="0" r="5715"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553" w:type="dxa"/>
          </w:tcPr>
          <w:p w14:paraId="1ADCA563" w14:textId="77777777" w:rsidR="00CE325A" w:rsidRPr="00D47AAD" w:rsidRDefault="00CE325A" w:rsidP="00D209BD">
            <w:pPr>
              <w:tabs>
                <w:tab w:val="center" w:pos="2268"/>
                <w:tab w:val="center" w:pos="6804"/>
              </w:tabs>
              <w:spacing w:after="120"/>
              <w:rPr>
                <w:b/>
                <w:sz w:val="18"/>
                <w:szCs w:val="20"/>
              </w:rPr>
            </w:pPr>
            <w:r w:rsidRPr="00D47AAD">
              <w:rPr>
                <w:noProof/>
                <w:szCs w:val="20"/>
                <w:lang w:eastAsia="lv-LV"/>
              </w:rPr>
              <w:drawing>
                <wp:inline distT="0" distB="0" distL="0" distR="0" wp14:anchorId="554FE250" wp14:editId="52B90A86">
                  <wp:extent cx="3060000" cy="2160000"/>
                  <wp:effectExtent l="0" t="0" r="7620" b="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23C7E41C" w14:textId="77777777" w:rsidR="00CE325A" w:rsidRPr="004A62C0" w:rsidRDefault="00CE325A" w:rsidP="00227230">
      <w:pPr>
        <w:jc w:val="both"/>
        <w:rPr>
          <w:sz w:val="12"/>
          <w:szCs w:val="12"/>
        </w:rPr>
      </w:pPr>
      <w:r w:rsidRPr="004A62C0">
        <w:rPr>
          <w:sz w:val="12"/>
          <w:szCs w:val="12"/>
        </w:rPr>
        <w:t xml:space="preserve">Avots: </w:t>
      </w:r>
      <w:proofErr w:type="spellStart"/>
      <w:r w:rsidRPr="004A62C0">
        <w:rPr>
          <w:i/>
          <w:sz w:val="12"/>
          <w:szCs w:val="12"/>
        </w:rPr>
        <w:t>Eurostat</w:t>
      </w:r>
      <w:proofErr w:type="spellEnd"/>
    </w:p>
    <w:p w14:paraId="4686DA3E" w14:textId="2B3766BB" w:rsidR="00CE325A" w:rsidRPr="00A72564" w:rsidRDefault="00227230" w:rsidP="00227230">
      <w:pPr>
        <w:jc w:val="both"/>
        <w:rPr>
          <w:rFonts w:cs="Calibri Light"/>
          <w:bCs/>
          <w:szCs w:val="20"/>
        </w:rPr>
      </w:pPr>
      <w:r>
        <w:rPr>
          <w:rFonts w:cs="Calibri Light"/>
          <w:bCs/>
          <w:szCs w:val="20"/>
        </w:rPr>
        <w:br/>
      </w:r>
      <w:r w:rsidR="00CE325A" w:rsidRPr="00A72564">
        <w:rPr>
          <w:rFonts w:cs="Calibri Light"/>
          <w:bCs/>
          <w:szCs w:val="20"/>
        </w:rPr>
        <w:t>Statistikas dati liecina, ka ekonomikas izaugsmes gados produktivitātes un darbaspēka izmaksu plaisa palielinās, kamēr recesijā tā kļūst mazāka. Strādājošo darba samaksas pieauguma tempi 2004.-2007. gadā gandrīz piecas reizes pārsniedza produktivitātes dinamikas rādītājus, kas atspoguļojās arī produkcijas vienības darbaspēka izmaksu (ULC)</w:t>
      </w:r>
      <w:r w:rsidR="00CE325A" w:rsidRPr="00A72564">
        <w:rPr>
          <w:rFonts w:cs="Calibri Light"/>
          <w:bCs/>
          <w:szCs w:val="20"/>
          <w:vertAlign w:val="superscript"/>
        </w:rPr>
        <w:t xml:space="preserve"> </w:t>
      </w:r>
      <w:r w:rsidR="00CE325A" w:rsidRPr="00A72564">
        <w:rPr>
          <w:rFonts w:cs="Calibri Light"/>
          <w:bCs/>
          <w:szCs w:val="20"/>
          <w:vertAlign w:val="superscript"/>
        </w:rPr>
        <w:footnoteReference w:id="2"/>
      </w:r>
      <w:r w:rsidR="00CE325A" w:rsidRPr="00A72564">
        <w:rPr>
          <w:rFonts w:cs="Calibri Light"/>
          <w:bCs/>
          <w:szCs w:val="20"/>
        </w:rPr>
        <w:t xml:space="preserve"> straujā kāpumā. Lai arī globālās finanšu krīzes radītās spēcīgās korekcijas preču un darba tirgos </w:t>
      </w:r>
      <w:r w:rsidR="00CE325A" w:rsidRPr="00A72564">
        <w:rPr>
          <w:rFonts w:cs="Calibri Light"/>
          <w:bCs/>
          <w:szCs w:val="20"/>
        </w:rPr>
        <w:lastRenderedPageBreak/>
        <w:t>2009.-2011. gadā mazināja plaisu starp produktivitātes un darbaspēka izmaksu pieaugumu, pēc ekonomikas atveseļošanās atjaunojās arī ULC pieaugums.</w:t>
      </w:r>
    </w:p>
    <w:p w14:paraId="3E6F4EB8" w14:textId="295EAF89" w:rsidR="00CE325A" w:rsidRPr="00A72564" w:rsidRDefault="357CF0D3" w:rsidP="00227230">
      <w:pPr>
        <w:jc w:val="both"/>
        <w:rPr>
          <w:rFonts w:cs="Calibri Light"/>
        </w:rPr>
      </w:pPr>
      <w:r w:rsidRPr="4398C881">
        <w:rPr>
          <w:rFonts w:cs="Calibri Light"/>
        </w:rPr>
        <w:t>Pēdējos gados pirms Covid-19 pandēmijas bija vērojama īpaši</w:t>
      </w:r>
      <w:r w:rsidR="4398C881" w:rsidRPr="4398C881">
        <w:rPr>
          <w:rFonts w:cs="Calibri Light"/>
        </w:rPr>
        <w:t xml:space="preserve"> </w:t>
      </w:r>
      <w:r w:rsidRPr="4398C881">
        <w:rPr>
          <w:rFonts w:cs="Calibri Light"/>
        </w:rPr>
        <w:t>spēcīga</w:t>
      </w:r>
      <w:r w:rsidR="4398C881" w:rsidRPr="4398C881">
        <w:rPr>
          <w:rFonts w:cs="Calibri Light"/>
        </w:rPr>
        <w:t xml:space="preserve"> </w:t>
      </w:r>
      <w:r w:rsidRPr="4398C881">
        <w:rPr>
          <w:rFonts w:cs="Calibri Light"/>
        </w:rPr>
        <w:t>nominālā ULC dinamika. 2019. gadā, salīdzinot ar 2015. gadu, ULC palielinājās par 15,4%, ko noteica gandrīz 3 reizes straujāks darbaspēka izmaksu kāpums nekā produktivitātes pieaugums. Darbaspēka izmaksu kāpumu līdz 2019. gadam ietekmēja gan algu konverģences procesi</w:t>
      </w:r>
      <w:r w:rsidR="00B749D8">
        <w:rPr>
          <w:rFonts w:cs="Calibri Light"/>
        </w:rPr>
        <w:t xml:space="preserve"> </w:t>
      </w:r>
      <w:r w:rsidRPr="4398C881">
        <w:rPr>
          <w:rFonts w:cs="Calibri Light"/>
        </w:rPr>
        <w:t>ES darba tirgū, gan arī</w:t>
      </w:r>
      <w:r w:rsidR="00B749D8">
        <w:rPr>
          <w:rFonts w:cs="Calibri Light"/>
        </w:rPr>
        <w:t xml:space="preserve"> kopumā</w:t>
      </w:r>
      <w:r w:rsidRPr="4398C881">
        <w:rPr>
          <w:rFonts w:cs="Calibri Light"/>
        </w:rPr>
        <w:t xml:space="preserve"> saspīlētāka situācija </w:t>
      </w:r>
      <w:r w:rsidR="00876F50">
        <w:rPr>
          <w:rFonts w:cs="Calibri Light"/>
        </w:rPr>
        <w:t xml:space="preserve">Latvijas </w:t>
      </w:r>
      <w:r w:rsidRPr="4398C881">
        <w:rPr>
          <w:rFonts w:cs="Calibri Light"/>
        </w:rPr>
        <w:t>darba tirgū</w:t>
      </w:r>
      <w:r w:rsidR="00B749D8">
        <w:rPr>
          <w:rFonts w:cs="Calibri Light"/>
        </w:rPr>
        <w:t xml:space="preserve"> dēļ darbaspēka nepietiekamības </w:t>
      </w:r>
      <w:r w:rsidR="00876F50">
        <w:rPr>
          <w:rFonts w:cs="Calibri Light"/>
        </w:rPr>
        <w:t>pieauguma</w:t>
      </w:r>
      <w:r w:rsidRPr="4398C881">
        <w:rPr>
          <w:rFonts w:cs="Calibri Light"/>
        </w:rPr>
        <w:t xml:space="preserve">. </w:t>
      </w:r>
    </w:p>
    <w:p w14:paraId="4F2BCCA6" w14:textId="427381A5" w:rsidR="00CE325A" w:rsidRPr="00A72564" w:rsidRDefault="357CF0D3" w:rsidP="00227230">
      <w:pPr>
        <w:jc w:val="both"/>
        <w:rPr>
          <w:rFonts w:cs="Calibri Light"/>
        </w:rPr>
      </w:pPr>
      <w:r w:rsidRPr="4398C881">
        <w:rPr>
          <w:rFonts w:cs="Calibri Light"/>
        </w:rPr>
        <w:t>ULC turpina pieaugt arī Covid-19 pandēmijas gados. Ekonomisko aktivitāšu samazināšanās ietekmē darbaspēka izmaksas 2020. gadā pieauga lēnāk nekā pirms gada – par 5,5% (2019. gadā – par 7,8%). Neskatoties uz mērenāku darbaspēka izmaksu kāpumu, tas nekompensēja produktivitātes kritumu (par 1,5%) un ULC palielinājās par 7%. 2021. gadā darbaspēka izmaksas turpināja pieaugt un bija par 11% augstākā līmenī nekā pirms gada. Tomēr spiediens uz produkcijas vienības darbaspēka izmaksām bija mērenāks nekā pirms gada (pieauga par 3,3%), pateicoties produktivitātes pieaugumam par 7,4 procentiem.</w:t>
      </w:r>
    </w:p>
    <w:p w14:paraId="5E56D40B" w14:textId="5C54CBF1" w:rsidR="00CE325A" w:rsidRPr="00A72564" w:rsidRDefault="00CE325A" w:rsidP="00227230">
      <w:pPr>
        <w:jc w:val="both"/>
        <w:rPr>
          <w:rFonts w:cs="Calibri Light"/>
          <w:bCs/>
          <w:szCs w:val="20"/>
        </w:rPr>
      </w:pPr>
      <w:bookmarkStart w:id="20" w:name="_Hlk40640995"/>
      <w:r w:rsidRPr="00A72564">
        <w:rPr>
          <w:rFonts w:cs="Calibri Light"/>
          <w:bCs/>
          <w:szCs w:val="20"/>
        </w:rPr>
        <w:t>Izmaksu konkurētspējas mazināšan</w:t>
      </w:r>
      <w:r w:rsidR="00BF38EF">
        <w:rPr>
          <w:rFonts w:cs="Calibri Light"/>
          <w:bCs/>
          <w:szCs w:val="20"/>
        </w:rPr>
        <w:t>ā</w:t>
      </w:r>
      <w:r w:rsidRPr="00A72564">
        <w:rPr>
          <w:rFonts w:cs="Calibri Light"/>
          <w:bCs/>
          <w:szCs w:val="20"/>
        </w:rPr>
        <w:t>s riski vērojami gan ražošanas, gan pakalpojumu nozarēs. Darbaspēka izmaksu dinamika pēdējos piecos gados (2015.-2019.) pirms Covid-19 pandēmijas abās minētajās nozaru grupās bija ļoti līdzīga –</w:t>
      </w:r>
      <w:r w:rsidR="00BF38EF">
        <w:rPr>
          <w:rFonts w:cs="Calibri Light"/>
          <w:bCs/>
          <w:szCs w:val="20"/>
        </w:rPr>
        <w:t xml:space="preserve"> pieaugums</w:t>
      </w:r>
      <w:r w:rsidRPr="00A72564">
        <w:rPr>
          <w:rFonts w:cs="Calibri Light"/>
          <w:bCs/>
          <w:szCs w:val="20"/>
        </w:rPr>
        <w:t xml:space="preserve"> ik gadu vidēji par gandrīz 7,2% un 7,9%, tomēr produktivitāte ražošanas nozarēs pieauga gandrīz pusotras reizes straujāk nekā pakalpojumu nozarēs – attiecīgi par 3,1% un 2,3%. Tāpēc arī nominālais ULC pieaugums ražošanas nozarēs bija mērenāks.</w:t>
      </w:r>
    </w:p>
    <w:p w14:paraId="44119EBC" w14:textId="402894EE" w:rsidR="00CE325A" w:rsidRPr="00D47AAD" w:rsidRDefault="00C84741" w:rsidP="00C84741">
      <w:pPr>
        <w:jc w:val="right"/>
        <w:rPr>
          <w:szCs w:val="20"/>
        </w:rPr>
      </w:pPr>
      <w:r>
        <w:rPr>
          <w:szCs w:val="20"/>
        </w:rPr>
        <w:t>1.1</w:t>
      </w:r>
      <w:r w:rsidR="00195E20">
        <w:rPr>
          <w:szCs w:val="20"/>
        </w:rPr>
        <w:t>6</w:t>
      </w:r>
      <w:r>
        <w:rPr>
          <w:szCs w:val="20"/>
        </w:rPr>
        <w:t>.</w:t>
      </w:r>
      <w:r w:rsidR="00CE325A" w:rsidRPr="00D47AAD">
        <w:rPr>
          <w:szCs w:val="20"/>
        </w:rPr>
        <w:t> attēls</w:t>
      </w:r>
    </w:p>
    <w:tbl>
      <w:tblPr>
        <w:tblW w:w="9388" w:type="dxa"/>
        <w:jc w:val="center"/>
        <w:shd w:val="clear" w:color="auto" w:fill="FFFFFF"/>
        <w:tblLook w:val="0420" w:firstRow="1" w:lastRow="0" w:firstColumn="0" w:lastColumn="0" w:noHBand="0" w:noVBand="1"/>
      </w:tblPr>
      <w:tblGrid>
        <w:gridCol w:w="4751"/>
        <w:gridCol w:w="4751"/>
      </w:tblGrid>
      <w:tr w:rsidR="00CE325A" w:rsidRPr="004A62C0" w14:paraId="65528CA5" w14:textId="77777777" w:rsidTr="00D209BD">
        <w:trPr>
          <w:trHeight w:val="22"/>
          <w:jc w:val="center"/>
        </w:trPr>
        <w:tc>
          <w:tcPr>
            <w:tcW w:w="9388" w:type="dxa"/>
            <w:gridSpan w:val="2"/>
            <w:shd w:val="clear" w:color="auto" w:fill="FFFFFF"/>
            <w:hideMark/>
          </w:tcPr>
          <w:p w14:paraId="73036BFC" w14:textId="77777777" w:rsidR="00CE325A" w:rsidRPr="004A62C0" w:rsidRDefault="00CE325A" w:rsidP="00227230">
            <w:pPr>
              <w:spacing w:after="60"/>
              <w:jc w:val="center"/>
              <w:rPr>
                <w:rFonts w:ascii="Segoe UI Light" w:hAnsi="Segoe UI Light" w:cs="Segoe UI Light"/>
                <w:b/>
                <w:bCs/>
                <w:sz w:val="18"/>
                <w:szCs w:val="18"/>
              </w:rPr>
            </w:pPr>
            <w:r w:rsidRPr="004A62C0">
              <w:rPr>
                <w:rFonts w:ascii="Segoe UI Light" w:hAnsi="Segoe UI Light" w:cs="Segoe UI Light"/>
                <w:b/>
                <w:bCs/>
                <w:sz w:val="18"/>
                <w:szCs w:val="18"/>
              </w:rPr>
              <w:t>ULC, darbaspēka izmaksas un produktivitāte</w:t>
            </w:r>
          </w:p>
        </w:tc>
      </w:tr>
      <w:tr w:rsidR="00CE325A" w:rsidRPr="004A62C0" w14:paraId="2CEE3FAC" w14:textId="77777777" w:rsidTr="00D209BD">
        <w:trPr>
          <w:trHeight w:val="22"/>
          <w:jc w:val="center"/>
        </w:trPr>
        <w:tc>
          <w:tcPr>
            <w:tcW w:w="4694" w:type="dxa"/>
            <w:shd w:val="clear" w:color="auto" w:fill="FFFFFF"/>
            <w:vAlign w:val="center"/>
            <w:hideMark/>
          </w:tcPr>
          <w:p w14:paraId="7FFA0FE0" w14:textId="21AE9341" w:rsidR="00CE325A" w:rsidRPr="004A62C0" w:rsidRDefault="00CE325A" w:rsidP="00227230">
            <w:pPr>
              <w:spacing w:after="120"/>
              <w:jc w:val="center"/>
              <w:rPr>
                <w:rFonts w:ascii="Segoe UI Light" w:hAnsi="Segoe UI Light" w:cs="Segoe UI Light"/>
                <w:sz w:val="16"/>
                <w:szCs w:val="16"/>
              </w:rPr>
            </w:pPr>
            <w:r w:rsidRPr="004A62C0">
              <w:rPr>
                <w:rFonts w:ascii="Segoe UI Light" w:hAnsi="Segoe UI Light" w:cs="Segoe UI Light"/>
                <w:b/>
                <w:bCs/>
                <w:sz w:val="18"/>
                <w:szCs w:val="18"/>
              </w:rPr>
              <w:t>Tautsaimniecības nozarēs</w:t>
            </w:r>
            <w:r w:rsidR="00227230">
              <w:rPr>
                <w:rFonts w:ascii="Segoe UI Light" w:hAnsi="Segoe UI Light" w:cs="Segoe UI Light"/>
                <w:b/>
                <w:bCs/>
                <w:sz w:val="18"/>
                <w:szCs w:val="18"/>
              </w:rPr>
              <w:br/>
            </w:r>
            <w:r w:rsidRPr="004A62C0">
              <w:rPr>
                <w:rFonts w:ascii="Segoe UI Light" w:hAnsi="Segoe UI Light" w:cs="Segoe UI Light"/>
                <w:i/>
                <w:sz w:val="16"/>
                <w:szCs w:val="16"/>
              </w:rPr>
              <w:t>procentos</w:t>
            </w:r>
          </w:p>
        </w:tc>
        <w:tc>
          <w:tcPr>
            <w:tcW w:w="4694" w:type="dxa"/>
            <w:shd w:val="clear" w:color="auto" w:fill="FFFFFF"/>
            <w:vAlign w:val="center"/>
            <w:hideMark/>
          </w:tcPr>
          <w:p w14:paraId="373FFD89" w14:textId="77777777" w:rsidR="00CE325A" w:rsidRPr="004A62C0" w:rsidRDefault="00CE325A" w:rsidP="00D209BD">
            <w:pPr>
              <w:spacing w:before="40" w:after="40"/>
              <w:jc w:val="center"/>
              <w:rPr>
                <w:rFonts w:ascii="Segoe UI Light" w:hAnsi="Segoe UI Light" w:cs="Segoe UI Light"/>
                <w:b/>
                <w:bCs/>
                <w:sz w:val="18"/>
                <w:szCs w:val="18"/>
              </w:rPr>
            </w:pPr>
            <w:r w:rsidRPr="004A62C0">
              <w:rPr>
                <w:rFonts w:ascii="Segoe UI Light" w:hAnsi="Segoe UI Light" w:cs="Segoe UI Light"/>
                <w:b/>
                <w:bCs/>
                <w:sz w:val="18"/>
                <w:szCs w:val="18"/>
              </w:rPr>
              <w:t>Apstrādes rūpniecībā</w:t>
            </w:r>
          </w:p>
        </w:tc>
      </w:tr>
      <w:tr w:rsidR="00CE325A" w:rsidRPr="004A62C0" w14:paraId="4E2CD30B" w14:textId="77777777" w:rsidTr="00D209BD">
        <w:trPr>
          <w:trHeight w:val="22"/>
          <w:jc w:val="center"/>
        </w:trPr>
        <w:tc>
          <w:tcPr>
            <w:tcW w:w="4694" w:type="dxa"/>
            <w:shd w:val="clear" w:color="auto" w:fill="FFFFFF"/>
            <w:hideMark/>
          </w:tcPr>
          <w:p w14:paraId="4B0D673A" w14:textId="77777777" w:rsidR="00CE325A" w:rsidRPr="004A62C0" w:rsidRDefault="00CE325A" w:rsidP="004A62C0">
            <w:pPr>
              <w:tabs>
                <w:tab w:val="center" w:pos="1311"/>
                <w:tab w:val="center" w:pos="3434"/>
              </w:tabs>
              <w:spacing w:before="40" w:after="40"/>
              <w:rPr>
                <w:rFonts w:ascii="Segoe UI Light" w:hAnsi="Segoe UI Light" w:cs="Segoe UI Light"/>
                <w:sz w:val="16"/>
                <w:szCs w:val="16"/>
              </w:rPr>
            </w:pPr>
            <w:r w:rsidRPr="004A62C0">
              <w:rPr>
                <w:rFonts w:ascii="Segoe UI Light" w:hAnsi="Segoe UI Light" w:cs="Segoe UI Light"/>
                <w:noProof/>
                <w:sz w:val="16"/>
                <w:szCs w:val="16"/>
                <w:lang w:eastAsia="lv-LV"/>
              </w:rPr>
              <w:drawing>
                <wp:inline distT="0" distB="0" distL="0" distR="0" wp14:anchorId="37ADF287" wp14:editId="4A309332">
                  <wp:extent cx="2880000" cy="2160000"/>
                  <wp:effectExtent l="0" t="0" r="0" b="0"/>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4A62C0">
              <w:rPr>
                <w:rFonts w:ascii="Segoe UI Light" w:hAnsi="Segoe UI Light" w:cs="Segoe UI Light"/>
                <w:sz w:val="16"/>
                <w:szCs w:val="16"/>
              </w:rPr>
              <w:br/>
            </w:r>
            <w:r w:rsidRPr="004A62C0">
              <w:rPr>
                <w:rFonts w:ascii="Segoe UI Light" w:hAnsi="Segoe UI Light" w:cs="Segoe UI Light"/>
                <w:sz w:val="16"/>
                <w:szCs w:val="16"/>
              </w:rPr>
              <w:tab/>
              <w:t>Ražošanas nozares</w:t>
            </w:r>
            <w:r w:rsidRPr="004A62C0">
              <w:rPr>
                <w:rFonts w:ascii="Segoe UI Light" w:hAnsi="Segoe UI Light" w:cs="Segoe UI Light"/>
                <w:sz w:val="16"/>
                <w:szCs w:val="16"/>
              </w:rPr>
              <w:tab/>
              <w:t>Pakalpojumu nozares</w:t>
            </w:r>
          </w:p>
        </w:tc>
        <w:tc>
          <w:tcPr>
            <w:tcW w:w="4694" w:type="dxa"/>
            <w:shd w:val="clear" w:color="auto" w:fill="FFFFFF"/>
          </w:tcPr>
          <w:p w14:paraId="5C3DE952" w14:textId="77777777" w:rsidR="00CE325A" w:rsidRPr="004A62C0" w:rsidRDefault="00CE325A" w:rsidP="00D209BD">
            <w:pPr>
              <w:spacing w:before="40" w:after="40"/>
              <w:jc w:val="center"/>
              <w:rPr>
                <w:rFonts w:ascii="Segoe UI Light" w:hAnsi="Segoe UI Light" w:cs="Segoe UI Light"/>
                <w:sz w:val="16"/>
                <w:szCs w:val="16"/>
              </w:rPr>
            </w:pPr>
            <w:r w:rsidRPr="004A62C0">
              <w:rPr>
                <w:rFonts w:ascii="Segoe UI Light" w:hAnsi="Segoe UI Light" w:cs="Segoe UI Light"/>
                <w:b/>
                <w:noProof/>
                <w:sz w:val="16"/>
                <w:szCs w:val="16"/>
                <w:lang w:eastAsia="lv-LV"/>
              </w:rPr>
              <w:drawing>
                <wp:inline distT="0" distB="0" distL="0" distR="0" wp14:anchorId="1136EC77" wp14:editId="5E7A332E">
                  <wp:extent cx="2880000" cy="2160000"/>
                  <wp:effectExtent l="0" t="0" r="0" b="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28A92830" w14:textId="419144D2" w:rsidR="00CE325A" w:rsidRPr="004A62C0" w:rsidRDefault="00E742FC" w:rsidP="00227230">
      <w:pPr>
        <w:spacing w:before="120"/>
        <w:jc w:val="both"/>
        <w:rPr>
          <w:rFonts w:cs="Calibri Light"/>
          <w:bCs/>
          <w:sz w:val="12"/>
          <w:szCs w:val="12"/>
        </w:rPr>
      </w:pPr>
      <w:r w:rsidRPr="004A62C0">
        <w:rPr>
          <w:rFonts w:cs="Calibri Light"/>
          <w:bCs/>
          <w:sz w:val="12"/>
          <w:szCs w:val="12"/>
        </w:rPr>
        <w:t xml:space="preserve">Avots: </w:t>
      </w:r>
      <w:proofErr w:type="spellStart"/>
      <w:r w:rsidRPr="004A62C0">
        <w:rPr>
          <w:rFonts w:cs="Calibri Light"/>
          <w:bCs/>
          <w:sz w:val="12"/>
          <w:szCs w:val="12"/>
        </w:rPr>
        <w:t>Eurostat</w:t>
      </w:r>
      <w:proofErr w:type="spellEnd"/>
    </w:p>
    <w:p w14:paraId="7C776F15" w14:textId="4153D7DD" w:rsidR="00CE325A" w:rsidRPr="00A72564" w:rsidRDefault="00227230" w:rsidP="00227230">
      <w:pPr>
        <w:jc w:val="both"/>
        <w:rPr>
          <w:rFonts w:cs="Calibri Light"/>
        </w:rPr>
      </w:pPr>
      <w:r>
        <w:rPr>
          <w:rFonts w:cs="Calibri Light"/>
        </w:rPr>
        <w:br/>
      </w:r>
      <w:r w:rsidR="357CF0D3" w:rsidRPr="4398C881">
        <w:rPr>
          <w:rFonts w:cs="Calibri Light"/>
        </w:rPr>
        <w:t>Ar Covid-19 pandēmiju saistītais šoks spēcīgāk ietekmē korekcijas produktu tirgū nekā darba tirgū. Pēdējo divu gadu laikā (2020.-2021.) darbaspēka izmaksas gan ražošanas, gan pakalpojumu nozarēs pieauga, – attiecīgi par 14,7% un 18,2%. Neskatoties uz to, ka produktivitāte preču ražošanas nozarēs 2020. un 2021.</w:t>
      </w:r>
      <w:r w:rsidR="1CCEC2A8" w:rsidRPr="4398C881">
        <w:rPr>
          <w:rFonts w:cs="Calibri Light"/>
        </w:rPr>
        <w:t> </w:t>
      </w:r>
      <w:r w:rsidR="357CF0D3" w:rsidRPr="4398C881">
        <w:rPr>
          <w:rFonts w:cs="Calibri Light"/>
        </w:rPr>
        <w:t>gadā pieauga, tas nespēja nosegt darbaspēka izmaksu kāpumu, un ULC palielinājās par 11,2%. Pakalpojumu nozarēs produktivitāte 2020.</w:t>
      </w:r>
      <w:r w:rsidR="1CCEC2A8" w:rsidRPr="4398C881">
        <w:rPr>
          <w:rFonts w:cs="Calibri Light"/>
        </w:rPr>
        <w:t> </w:t>
      </w:r>
      <w:r w:rsidR="357CF0D3" w:rsidRPr="4398C881">
        <w:rPr>
          <w:rFonts w:cs="Calibri Light"/>
        </w:rPr>
        <w:t>gadā samazinājās par 2,8%, bet 2021.</w:t>
      </w:r>
      <w:r w:rsidR="1CCEC2A8" w:rsidRPr="4398C881">
        <w:rPr>
          <w:rFonts w:cs="Calibri Light"/>
        </w:rPr>
        <w:t> </w:t>
      </w:r>
      <w:r w:rsidR="357CF0D3" w:rsidRPr="4398C881">
        <w:rPr>
          <w:rFonts w:cs="Calibri Light"/>
        </w:rPr>
        <w:t>gadā par 10,4% pārsniedza iepriekšējā gada līmenī. Pandēmijas divos gados produktivitāte pakalpojumu nozarēs kopumā palielinājās par 7,1%, kas ir mazāk nekā darbaspēka izmaksu kāpums. Lielākais nominālā ULC kāpums divos gados bija informācijas un komunikācijas pakalpojumu nozarē, kā arī būvniecības nozarē. Savukārt finanšu pakalpojumos produkcijas vienības darbaspēka izmaksas bija zemākā līmenī nekā 2019.</w:t>
      </w:r>
      <w:r w:rsidR="1CCEC2A8" w:rsidRPr="4398C881">
        <w:rPr>
          <w:rFonts w:cs="Calibri Light"/>
        </w:rPr>
        <w:t> </w:t>
      </w:r>
      <w:r w:rsidR="357CF0D3" w:rsidRPr="4398C881">
        <w:rPr>
          <w:rFonts w:cs="Calibri Light"/>
        </w:rPr>
        <w:t>gadā, galvenokārt dēļ nodarbināto skaita samazinājuma.</w:t>
      </w:r>
    </w:p>
    <w:p w14:paraId="0CED7AEF" w14:textId="6A7B13E8" w:rsidR="00CE325A" w:rsidRPr="00A72564" w:rsidRDefault="357CF0D3" w:rsidP="00227230">
      <w:pPr>
        <w:jc w:val="both"/>
        <w:rPr>
          <w:rFonts w:cs="Calibri Light"/>
        </w:rPr>
      </w:pPr>
      <w:r w:rsidRPr="4398C881">
        <w:rPr>
          <w:rFonts w:cs="Calibri Light"/>
        </w:rPr>
        <w:t xml:space="preserve">Apstrādes rūpniecībā produktivitātes un darbaspēka izmaksu pieauguma tempu plaisa ir nedaudz mērenāka nekā vidēji tautsaimniecībā. Tomēr nominālā ULC ikgadējās izmaiņas ir visai svārstīgas, ko lielā mērā ietekmē preču tirgus konjunktūras faktori, kamēr darbaspēka izmaksām ir noturīga augšup vērsta dinamika. Pēdējo piecu gadu </w:t>
      </w:r>
      <w:r w:rsidRPr="4398C881">
        <w:rPr>
          <w:rFonts w:cs="Calibri Light"/>
        </w:rPr>
        <w:lastRenderedPageBreak/>
        <w:t>laikā pirms Covid-19 pandēmijas (2015.-2019.) darbaspēka izmaksas apstrādes rūpniecībā auga divreiz straujāk nekā produktivitāte.</w:t>
      </w:r>
    </w:p>
    <w:p w14:paraId="0D91D182" w14:textId="110A555D" w:rsidR="00CE325A" w:rsidRPr="00A72564" w:rsidRDefault="357CF0D3" w:rsidP="00227230">
      <w:pPr>
        <w:jc w:val="both"/>
        <w:rPr>
          <w:rFonts w:cs="Calibri Light"/>
        </w:rPr>
      </w:pPr>
      <w:r w:rsidRPr="4398C881">
        <w:rPr>
          <w:rFonts w:cs="Calibri Light"/>
        </w:rPr>
        <w:t>2020. gadā gan produktivitāte, gan darbaspēka izmaksas pieauga – attiecīgi par 2,6% un 5,4%, palielinot produkcijas vienības nominālās darbaspēka izmaksas par 2,8%. Tas liecina, ka Covid-19 pandēmijas ierobežojošo pasākumu ietekmē nodarbināto skaita izmaiņas bija spēcīgākas nekā ražošanas apjomu samazinājums, bet darbaspēka izmaksas apstrādes rūpniecības nozares uzņēmumos turpināja pieaugt. Arī 2021. gadā produktivitātes un darbaspēka izmaksām apstrādes rūpniecībā saglabājās pozitīva dinamika. Salīdzinājumā ar iepriekšējo gadu, produktivitāte nozarē pieauga par 2,7%, bet darbaspēka izmaksas palielinājās daudz straujāk– par 7,5 procentiem. Palielinoties produktivitātes un darbaspēka izmaksu pieauguma tempu plaisai, straujāk pieaug arī nominālais ULC</w:t>
      </w:r>
      <w:r w:rsidR="6DE0C5AC" w:rsidRPr="4398C881">
        <w:rPr>
          <w:rFonts w:cs="Calibri Light"/>
        </w:rPr>
        <w:t> </w:t>
      </w:r>
      <w:r w:rsidRPr="4398C881">
        <w:rPr>
          <w:rFonts w:cs="Calibri Light"/>
        </w:rPr>
        <w:t>– par 4,7%, tuvinoties tendencēm pirms pandēmijas izraisītās krīzes.</w:t>
      </w:r>
    </w:p>
    <w:p w14:paraId="7B652F53" w14:textId="526454AB" w:rsidR="00CE325A" w:rsidRPr="00D47AAD" w:rsidRDefault="00C84741" w:rsidP="004A62C0">
      <w:pPr>
        <w:jc w:val="right"/>
        <w:rPr>
          <w:rFonts w:ascii="Verdana Pro Cond Light" w:hAnsi="Verdana Pro Cond Light"/>
          <w:sz w:val="18"/>
          <w:szCs w:val="18"/>
        </w:rPr>
      </w:pPr>
      <w:r>
        <w:rPr>
          <w:rFonts w:ascii="Verdana Pro Cond Light" w:hAnsi="Verdana Pro Cond Light"/>
          <w:sz w:val="18"/>
          <w:szCs w:val="18"/>
        </w:rPr>
        <w:t>1.1</w:t>
      </w:r>
      <w:r w:rsidR="00195E20">
        <w:rPr>
          <w:rFonts w:ascii="Verdana Pro Cond Light" w:hAnsi="Verdana Pro Cond Light"/>
          <w:sz w:val="18"/>
          <w:szCs w:val="18"/>
        </w:rPr>
        <w:t>7</w:t>
      </w:r>
      <w:r>
        <w:rPr>
          <w:rFonts w:ascii="Verdana Pro Cond Light" w:hAnsi="Verdana Pro Cond Light"/>
          <w:sz w:val="18"/>
          <w:szCs w:val="18"/>
        </w:rPr>
        <w:t>.</w:t>
      </w:r>
      <w:r w:rsidR="00CE325A" w:rsidRPr="00D47AAD">
        <w:rPr>
          <w:rFonts w:ascii="Verdana Pro Cond Light" w:hAnsi="Verdana Pro Cond Light"/>
          <w:sz w:val="18"/>
          <w:szCs w:val="18"/>
        </w:rPr>
        <w:t xml:space="preserve"> attēls</w:t>
      </w:r>
    </w:p>
    <w:tbl>
      <w:tblPr>
        <w:tblW w:w="9304" w:type="dxa"/>
        <w:jc w:val="center"/>
        <w:shd w:val="clear" w:color="auto" w:fill="FFFFFF"/>
        <w:tblLook w:val="0420" w:firstRow="1" w:lastRow="0" w:firstColumn="0" w:lastColumn="0" w:noHBand="0" w:noVBand="1"/>
      </w:tblPr>
      <w:tblGrid>
        <w:gridCol w:w="4651"/>
        <w:gridCol w:w="4653"/>
      </w:tblGrid>
      <w:tr w:rsidR="00CE325A" w:rsidRPr="004A62C0" w14:paraId="618766F2" w14:textId="77777777" w:rsidTr="00D209BD">
        <w:trPr>
          <w:trHeight w:val="473"/>
          <w:jc w:val="center"/>
        </w:trPr>
        <w:tc>
          <w:tcPr>
            <w:tcW w:w="9304" w:type="dxa"/>
            <w:gridSpan w:val="2"/>
            <w:shd w:val="clear" w:color="auto" w:fill="FFFFFF"/>
            <w:hideMark/>
          </w:tcPr>
          <w:p w14:paraId="73D58620" w14:textId="77777777" w:rsidR="00CE325A" w:rsidRPr="004A62C0" w:rsidRDefault="00CE325A" w:rsidP="00227230">
            <w:pPr>
              <w:spacing w:after="120"/>
              <w:jc w:val="center"/>
              <w:rPr>
                <w:rFonts w:ascii="Segoe UI Light" w:hAnsi="Segoe UI Light" w:cs="Segoe UI Light"/>
                <w:b/>
                <w:bCs/>
                <w:sz w:val="18"/>
                <w:szCs w:val="18"/>
              </w:rPr>
            </w:pPr>
            <w:r w:rsidRPr="004A62C0">
              <w:rPr>
                <w:rFonts w:ascii="Segoe UI Light" w:hAnsi="Segoe UI Light" w:cs="Segoe UI Light"/>
                <w:b/>
                <w:bCs/>
                <w:sz w:val="18"/>
                <w:szCs w:val="18"/>
              </w:rPr>
              <w:t>Produktivitātes un darbaspēka izmaksu konverģence ar ES vidējo līmeni</w:t>
            </w:r>
            <w:r w:rsidRPr="004A62C0">
              <w:rPr>
                <w:rFonts w:ascii="Segoe UI Light" w:hAnsi="Segoe UI Light" w:cs="Segoe UI Light"/>
                <w:b/>
                <w:bCs/>
                <w:sz w:val="18"/>
                <w:szCs w:val="18"/>
              </w:rPr>
              <w:br/>
            </w:r>
            <w:r w:rsidRPr="004A62C0">
              <w:rPr>
                <w:rFonts w:ascii="Segoe UI Light" w:hAnsi="Segoe UI Light" w:cs="Segoe UI Light"/>
                <w:i/>
                <w:sz w:val="16"/>
                <w:szCs w:val="18"/>
              </w:rPr>
              <w:t>procentos no ES-28 vidējā līmeņa</w:t>
            </w:r>
          </w:p>
        </w:tc>
      </w:tr>
      <w:tr w:rsidR="00CE325A" w:rsidRPr="004A62C0" w14:paraId="1DE3B389" w14:textId="77777777" w:rsidTr="00B644EF">
        <w:trPr>
          <w:trHeight w:val="257"/>
          <w:jc w:val="center"/>
        </w:trPr>
        <w:tc>
          <w:tcPr>
            <w:tcW w:w="4651" w:type="dxa"/>
            <w:shd w:val="clear" w:color="auto" w:fill="FFFFFF"/>
            <w:vAlign w:val="center"/>
            <w:hideMark/>
          </w:tcPr>
          <w:p w14:paraId="22852C5B" w14:textId="77777777" w:rsidR="00CE325A" w:rsidRPr="004A62C0" w:rsidRDefault="00CE325A" w:rsidP="00227230">
            <w:pPr>
              <w:spacing w:after="120"/>
              <w:jc w:val="center"/>
              <w:rPr>
                <w:rFonts w:ascii="Segoe UI Light" w:hAnsi="Segoe UI Light" w:cs="Segoe UI Light"/>
                <w:sz w:val="16"/>
                <w:szCs w:val="16"/>
              </w:rPr>
            </w:pPr>
            <w:r w:rsidRPr="004A62C0">
              <w:rPr>
                <w:rFonts w:ascii="Segoe UI Light" w:hAnsi="Segoe UI Light" w:cs="Segoe UI Light"/>
                <w:sz w:val="16"/>
                <w:szCs w:val="16"/>
              </w:rPr>
              <w:t>Produktivitāte</w:t>
            </w:r>
          </w:p>
        </w:tc>
        <w:tc>
          <w:tcPr>
            <w:tcW w:w="4653" w:type="dxa"/>
            <w:shd w:val="clear" w:color="auto" w:fill="FFFFFF"/>
            <w:vAlign w:val="center"/>
            <w:hideMark/>
          </w:tcPr>
          <w:p w14:paraId="6A035BC0" w14:textId="77777777" w:rsidR="00CE325A" w:rsidRPr="004A62C0" w:rsidRDefault="00CE325A" w:rsidP="00227230">
            <w:pPr>
              <w:spacing w:after="40"/>
              <w:jc w:val="center"/>
              <w:rPr>
                <w:rFonts w:ascii="Segoe UI Light" w:hAnsi="Segoe UI Light" w:cs="Segoe UI Light"/>
                <w:sz w:val="16"/>
                <w:szCs w:val="16"/>
              </w:rPr>
            </w:pPr>
            <w:r w:rsidRPr="004A62C0">
              <w:rPr>
                <w:rFonts w:ascii="Segoe UI Light" w:hAnsi="Segoe UI Light" w:cs="Segoe UI Light"/>
                <w:sz w:val="16"/>
                <w:szCs w:val="16"/>
              </w:rPr>
              <w:t>Darbaspēka izmaksas</w:t>
            </w:r>
          </w:p>
        </w:tc>
      </w:tr>
      <w:tr w:rsidR="00CE325A" w:rsidRPr="00D47AAD" w14:paraId="094E6938" w14:textId="77777777" w:rsidTr="00D209BD">
        <w:trPr>
          <w:trHeight w:val="3159"/>
          <w:jc w:val="center"/>
        </w:trPr>
        <w:tc>
          <w:tcPr>
            <w:tcW w:w="9304" w:type="dxa"/>
            <w:gridSpan w:val="2"/>
            <w:shd w:val="clear" w:color="auto" w:fill="FFFFFF"/>
            <w:hideMark/>
          </w:tcPr>
          <w:p w14:paraId="436B5FFE" w14:textId="77777777" w:rsidR="00CE325A" w:rsidRPr="00957F8F" w:rsidRDefault="00CE325A" w:rsidP="00D209BD">
            <w:pPr>
              <w:spacing w:before="40" w:after="40"/>
              <w:jc w:val="center"/>
              <w:rPr>
                <w:rFonts w:cs="Calibri Light"/>
                <w:sz w:val="18"/>
                <w:szCs w:val="18"/>
              </w:rPr>
            </w:pPr>
            <w:r w:rsidRPr="00957F8F">
              <w:rPr>
                <w:rFonts w:cs="Calibri Light"/>
                <w:b/>
                <w:noProof/>
                <w:sz w:val="18"/>
                <w:szCs w:val="18"/>
                <w:lang w:eastAsia="lv-LV"/>
              </w:rPr>
              <w:drawing>
                <wp:inline distT="0" distB="0" distL="0" distR="0" wp14:anchorId="2340549E" wp14:editId="7CCEA382">
                  <wp:extent cx="2880000" cy="2160000"/>
                  <wp:effectExtent l="0" t="0" r="0" b="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957F8F">
              <w:rPr>
                <w:rFonts w:cs="Calibri Light"/>
                <w:b/>
                <w:noProof/>
                <w:sz w:val="18"/>
                <w:szCs w:val="18"/>
                <w:lang w:eastAsia="lv-LV"/>
              </w:rPr>
              <w:drawing>
                <wp:inline distT="0" distB="0" distL="0" distR="0" wp14:anchorId="354DCC80" wp14:editId="63CD8B4B">
                  <wp:extent cx="2880000" cy="2160000"/>
                  <wp:effectExtent l="0" t="0" r="0" b="0"/>
                  <wp:docPr id="86" name="Chart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202749EF" w14:textId="77525830" w:rsidR="00CE325A" w:rsidRPr="004A62C0" w:rsidRDefault="00B644EF" w:rsidP="00227230">
      <w:pPr>
        <w:jc w:val="both"/>
        <w:rPr>
          <w:rFonts w:cs="Calibri Light"/>
          <w:bCs/>
          <w:sz w:val="12"/>
          <w:szCs w:val="12"/>
        </w:rPr>
      </w:pPr>
      <w:r w:rsidRPr="004A62C0">
        <w:rPr>
          <w:rFonts w:cs="Calibri Light"/>
          <w:bCs/>
          <w:sz w:val="12"/>
          <w:szCs w:val="12"/>
        </w:rPr>
        <w:t xml:space="preserve">Avots: </w:t>
      </w:r>
      <w:proofErr w:type="spellStart"/>
      <w:r w:rsidRPr="004A62C0">
        <w:rPr>
          <w:rFonts w:cs="Calibri Light"/>
          <w:bCs/>
          <w:sz w:val="12"/>
          <w:szCs w:val="12"/>
        </w:rPr>
        <w:t>Eurostat</w:t>
      </w:r>
      <w:proofErr w:type="spellEnd"/>
    </w:p>
    <w:p w14:paraId="79844326" w14:textId="488D1C6A" w:rsidR="00C84741" w:rsidRPr="00957F8F" w:rsidRDefault="00227230" w:rsidP="00227230">
      <w:pPr>
        <w:jc w:val="both"/>
        <w:rPr>
          <w:rFonts w:cs="Calibri Light"/>
          <w:bCs/>
          <w:szCs w:val="20"/>
        </w:rPr>
      </w:pPr>
      <w:r>
        <w:rPr>
          <w:rFonts w:cs="Calibri Light"/>
          <w:bCs/>
          <w:szCs w:val="20"/>
        </w:rPr>
        <w:br/>
      </w:r>
      <w:r w:rsidR="00C84741" w:rsidRPr="00957F8F">
        <w:rPr>
          <w:rFonts w:cs="Calibri Light"/>
          <w:bCs/>
          <w:szCs w:val="20"/>
        </w:rPr>
        <w:t>Darbaspēka izmaksu dinamika Latvijas apstrādes rūpniecībā būtiski pārsniedz ES vidējos darbaspēka izmaksu un nominālā ULC pieauguma tempus. Ņemot vērā to, ka ES valstis ir mūsu galvenie tirdzniecības partneri, šādas tendences mazina Latvijas ražotāju konkurētspēju izmaksu jomā.</w:t>
      </w:r>
    </w:p>
    <w:p w14:paraId="1E4C1F55" w14:textId="4E840C35" w:rsidR="00CE325A" w:rsidRPr="00957F8F" w:rsidRDefault="00CE325A" w:rsidP="00227230">
      <w:pPr>
        <w:ind w:right="-1"/>
        <w:jc w:val="both"/>
        <w:rPr>
          <w:rFonts w:cs="Calibri Light"/>
          <w:bCs/>
          <w:szCs w:val="20"/>
        </w:rPr>
      </w:pPr>
      <w:r w:rsidRPr="00957F8F">
        <w:rPr>
          <w:rFonts w:cs="Calibri Light"/>
          <w:bCs/>
          <w:szCs w:val="20"/>
        </w:rPr>
        <w:t xml:space="preserve">Ilgtermiņā darbaspēka izmaksu pieaugums, kas netiks kompensēts ar atbilstošu produktivitātes kāpumu, var negatīvi ietekmēt uzņēmumu </w:t>
      </w:r>
      <w:r w:rsidR="00BA0678">
        <w:rPr>
          <w:rFonts w:cs="Calibri Light"/>
          <w:bCs/>
          <w:szCs w:val="20"/>
        </w:rPr>
        <w:t xml:space="preserve">konkurētspēju un samazināt </w:t>
      </w:r>
      <w:r w:rsidRPr="00957F8F">
        <w:rPr>
          <w:rFonts w:cs="Calibri Light"/>
          <w:bCs/>
          <w:szCs w:val="20"/>
        </w:rPr>
        <w:t>peļņas daļu, ko uzņēmēji būs spiesti koriģēt, lai saglabātu cenu konkurētspēju ārējos tirgos.</w:t>
      </w:r>
    </w:p>
    <w:p w14:paraId="695ABA9F" w14:textId="1BC6AAA1" w:rsidR="00CE325A" w:rsidRPr="00957F8F" w:rsidRDefault="00CE325A" w:rsidP="00227230">
      <w:pPr>
        <w:ind w:right="-1"/>
        <w:jc w:val="both"/>
        <w:rPr>
          <w:rFonts w:cs="Calibri Light"/>
          <w:bCs/>
          <w:szCs w:val="20"/>
        </w:rPr>
      </w:pPr>
      <w:r w:rsidRPr="00957F8F">
        <w:rPr>
          <w:rFonts w:cs="Calibri Light"/>
          <w:bCs/>
          <w:szCs w:val="20"/>
        </w:rPr>
        <w:t>Darbaspēka izmaksas Latvijā ir vienas no zemākajām ES dalībvalstīs. 2021. gadā darbaspēka izmaksas uz vienu nodarbināto tautsaimniecībā kopumā Latvijā bija gandrīz 57,4% no ES vidējā līmeņa, tai skaitā apstrādes rūpniecībā</w:t>
      </w:r>
      <w:r w:rsidR="00957F8F">
        <w:t> </w:t>
      </w:r>
      <w:r w:rsidRPr="00957F8F">
        <w:rPr>
          <w:rFonts w:cs="Calibri Light"/>
          <w:bCs/>
          <w:szCs w:val="20"/>
        </w:rPr>
        <w:t>– 46,3%. Salīdzinot ar 2016. gadu, 2021. gadā darbaspēka izmaksu plaisa ir samazinājusies par 14 procentpunktiem (apstrādes rūpniecībā – par 11,6 procentpunktiem), savukārt pēc produktivitātes rādītāja tautsaimniecībā kopumā tā samazinājās par 10 procentpunktiem (apstrādes rūpniecībā – par 10,4 procent</w:t>
      </w:r>
      <w:r w:rsidR="00953D6A">
        <w:rPr>
          <w:rFonts w:cs="Calibri Light"/>
          <w:bCs/>
          <w:szCs w:val="20"/>
        </w:rPr>
        <w:softHyphen/>
      </w:r>
      <w:r w:rsidRPr="00957F8F">
        <w:rPr>
          <w:rFonts w:cs="Calibri Light"/>
          <w:bCs/>
          <w:szCs w:val="20"/>
        </w:rPr>
        <w:t>punktiem). Tas nozīmē, ka algu konverģences process gan tautsaimniecībā kopumā, gan apstrādes rūpniecībā ir straujāks nekā produktivitātes konverģence.</w:t>
      </w:r>
    </w:p>
    <w:p w14:paraId="58B64F2F" w14:textId="22480068" w:rsidR="00CE325A" w:rsidRPr="00957F8F" w:rsidRDefault="00CE325A" w:rsidP="00227230">
      <w:pPr>
        <w:ind w:right="-1"/>
        <w:jc w:val="both"/>
        <w:rPr>
          <w:rFonts w:cs="Calibri Light"/>
          <w:bCs/>
          <w:szCs w:val="20"/>
        </w:rPr>
      </w:pPr>
      <w:r w:rsidRPr="00957F8F">
        <w:rPr>
          <w:rFonts w:cs="Calibri Light"/>
          <w:bCs/>
          <w:szCs w:val="20"/>
        </w:rPr>
        <w:t>Produktivitātes palielināšana ir galvenais konkurētspēju noteicošais faktors. Lai arī Latvijas eksporta daļa pasaules tirgos pieaug, tomēr konkurētspējas mazināšanas riski joprojām ir ļoti augsti. Covid-19 pandēmijas izraisītās krīzes rezultātā ir palielinājusies plaisa starp produktivitātes un darbaspēka izmaksām. 2021. gada dati liecina, ka, atjaunojoties ekonomiskām aktivitātēm, darbaspēka izmaksu dinamika kļūst straujāka nekā produktivitātes dinamika, arvien vairāk paaugstinot izmaksu konkurētspējas mazināšanas riskus. Tāpēc Latvijas konkurētspējas stiprināšanu lielā mērā noteiks spēja mazināt produktivitātes plaisu</w:t>
      </w:r>
      <w:r w:rsidR="00F6634C">
        <w:rPr>
          <w:rFonts w:cs="Calibri Light"/>
          <w:bCs/>
          <w:szCs w:val="20"/>
        </w:rPr>
        <w:t xml:space="preserve"> ar ES dalībvalstīm</w:t>
      </w:r>
      <w:r w:rsidRPr="00957F8F">
        <w:rPr>
          <w:rFonts w:cs="Calibri Light"/>
          <w:bCs/>
          <w:szCs w:val="20"/>
        </w:rPr>
        <w:t>.</w:t>
      </w:r>
      <w:bookmarkEnd w:id="20"/>
    </w:p>
    <w:p w14:paraId="2A3F392B" w14:textId="6911A38D" w:rsidR="00620421" w:rsidRPr="001231A9" w:rsidRDefault="00620421">
      <w:pPr>
        <w:spacing w:after="0"/>
        <w:rPr>
          <w:highlight w:val="yellow"/>
        </w:rPr>
      </w:pPr>
      <w:r w:rsidRPr="001231A9">
        <w:rPr>
          <w:highlight w:val="yellow"/>
        </w:rPr>
        <w:br w:type="page"/>
      </w:r>
    </w:p>
    <w:p w14:paraId="6A83785F" w14:textId="77777777" w:rsidR="00620421" w:rsidRPr="005F0D4B" w:rsidRDefault="00620421" w:rsidP="00620421">
      <w:pPr>
        <w:pStyle w:val="Heading1"/>
        <w:rPr>
          <w:color w:val="000000" w:themeColor="text1"/>
          <w:szCs w:val="36"/>
        </w:rPr>
      </w:pPr>
      <w:bookmarkStart w:id="21" w:name="_Toc517876429"/>
      <w:bookmarkStart w:id="22" w:name="_Toc106366791"/>
      <w:r w:rsidRPr="005F0D4B">
        <w:rPr>
          <w:color w:val="000000" w:themeColor="text1"/>
        </w:rPr>
        <w:lastRenderedPageBreak/>
        <w:t>2. DARBASPĒKA PIEPRASĪJUMS UN PIEDĀVĀJUMS</w:t>
      </w:r>
      <w:bookmarkEnd w:id="21"/>
      <w:bookmarkEnd w:id="22"/>
    </w:p>
    <w:p w14:paraId="50ADCCD9" w14:textId="77777777" w:rsidR="00620421" w:rsidRPr="005F0D4B" w:rsidRDefault="00620421" w:rsidP="00620421">
      <w:pPr>
        <w:pStyle w:val="Heading2"/>
        <w:rPr>
          <w:color w:val="000000" w:themeColor="text1"/>
        </w:rPr>
      </w:pPr>
      <w:bookmarkStart w:id="23" w:name="_Toc517876430"/>
      <w:bookmarkStart w:id="24" w:name="_Toc106366792"/>
      <w:r w:rsidRPr="005F0D4B">
        <w:rPr>
          <w:color w:val="000000" w:themeColor="text1"/>
        </w:rPr>
        <w:t>2.1. Darbaspēka pieprasījuma izmaiņas un struktūra</w:t>
      </w:r>
      <w:bookmarkEnd w:id="23"/>
      <w:bookmarkEnd w:id="24"/>
    </w:p>
    <w:p w14:paraId="6CC75028" w14:textId="36BB3B6F" w:rsidR="00CE325A" w:rsidRPr="003B4CDA" w:rsidRDefault="357CF0D3" w:rsidP="00CE325A">
      <w:pPr>
        <w:jc w:val="both"/>
      </w:pPr>
      <w:r>
        <w:t xml:space="preserve">Laika posmā no 2011. līdz 2019. gadam (pēc 2008. gada finanšu krīzes), kad Latvijā atgriezās izaugsme,  gandrīz visās tautsaimniecības </w:t>
      </w:r>
      <w:proofErr w:type="spellStart"/>
      <w:r>
        <w:t>pamatnozarēs</w:t>
      </w:r>
      <w:proofErr w:type="spellEnd"/>
      <w:r>
        <w:t xml:space="preserve"> nodarbināto skaits pieauga. Tomēr 2020. gads, līdzīgi kā lielākajā daļā pasaules valstu, arī Latvijā atnāca ar jauniem izaicinājumiem, ko izraisīja Covid-19 globālā pandēmija. Kopumā Latvijas ekonomika un darba tirgus nav izteikti atkarīgi no Covid-19 krīzes primāri skartajām nozarēm (izmitināšanas un ēdināšanas pakalpojumi, starptautiskie pasažieru pārvadājumi). Nodarbināto īpatsvars Latvijā 2019. gadā šajās nozarēs bija piektais zemākais starp ES-27 valstīm. Tomēr jāņem vērā, ka ieviestie pandēmijas izplatīšanās ierobežojumi un globālais pieprasījuma kritums tieši vai netieši ietekmēja lielāko daļu tautsaimniecības nozaru Latvijā, jo īpaši darbaspēka intensīvās nozares.</w:t>
      </w:r>
    </w:p>
    <w:p w14:paraId="355B0D9C" w14:textId="77777777" w:rsidR="00CE325A" w:rsidRPr="003B4CDA" w:rsidRDefault="00CE325A" w:rsidP="00843143">
      <w:pPr>
        <w:jc w:val="right"/>
      </w:pPr>
      <w:r w:rsidRPr="003B4CDA">
        <w:t>2.1. tabula</w:t>
      </w:r>
    </w:p>
    <w:p w14:paraId="0125F5EA" w14:textId="77777777" w:rsidR="00CE325A" w:rsidRPr="003B4CDA" w:rsidRDefault="00CE325A" w:rsidP="00CE325A">
      <w:pPr>
        <w:pStyle w:val="ListParagraph"/>
        <w:spacing w:after="120"/>
        <w:ind w:left="0"/>
        <w:jc w:val="center"/>
        <w:rPr>
          <w:rFonts w:ascii="Segoe UI Light" w:hAnsi="Segoe UI Light"/>
          <w:i/>
          <w:sz w:val="16"/>
          <w:szCs w:val="24"/>
        </w:rPr>
      </w:pPr>
      <w:r w:rsidRPr="003B4CDA">
        <w:rPr>
          <w:rFonts w:ascii="Segoe UI Light" w:hAnsi="Segoe UI Light"/>
          <w:b/>
          <w:sz w:val="18"/>
          <w:szCs w:val="24"/>
        </w:rPr>
        <w:t>Nodarbināto skaits tautsaimniecības nozarēs</w:t>
      </w:r>
      <w:r w:rsidRPr="003B4CDA">
        <w:rPr>
          <w:rFonts w:ascii="Segoe UI Light" w:hAnsi="Segoe UI Light"/>
          <w:b/>
          <w:sz w:val="18"/>
          <w:szCs w:val="24"/>
        </w:rPr>
        <w:br/>
      </w:r>
      <w:r w:rsidRPr="003B4CDA">
        <w:rPr>
          <w:rFonts w:ascii="Segoe UI Light" w:hAnsi="Segoe UI Light"/>
          <w:i/>
          <w:sz w:val="16"/>
          <w:szCs w:val="24"/>
        </w:rPr>
        <w:t>tūkstošos</w:t>
      </w:r>
    </w:p>
    <w:tbl>
      <w:tblPr>
        <w:tblStyle w:val="TableGrid5"/>
        <w:tblW w:w="91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642"/>
        <w:gridCol w:w="624"/>
        <w:gridCol w:w="623"/>
        <w:gridCol w:w="624"/>
        <w:gridCol w:w="624"/>
        <w:gridCol w:w="624"/>
        <w:gridCol w:w="623"/>
        <w:gridCol w:w="624"/>
        <w:gridCol w:w="624"/>
      </w:tblGrid>
      <w:tr w:rsidR="00CE325A" w:rsidRPr="003B4CDA" w14:paraId="62586609" w14:textId="77777777" w:rsidTr="4398C881">
        <w:tc>
          <w:tcPr>
            <w:tcW w:w="3499" w:type="dxa"/>
            <w:shd w:val="clear" w:color="auto" w:fill="5F497A" w:themeFill="accent4" w:themeFillShade="BF"/>
            <w:vAlign w:val="center"/>
          </w:tcPr>
          <w:p w14:paraId="2857B620" w14:textId="77777777" w:rsidR="00CE325A" w:rsidRPr="003B4CDA" w:rsidRDefault="00CE325A" w:rsidP="00D209BD">
            <w:pPr>
              <w:spacing w:before="60" w:after="60"/>
              <w:jc w:val="center"/>
              <w:rPr>
                <w:rFonts w:ascii="Segoe UI Light" w:hAnsi="Segoe UI Light"/>
                <w:color w:val="FFFFFF" w:themeColor="background1"/>
                <w:sz w:val="16"/>
                <w:szCs w:val="16"/>
                <w:lang w:val="lv-LV"/>
              </w:rPr>
            </w:pPr>
          </w:p>
        </w:tc>
        <w:tc>
          <w:tcPr>
            <w:tcW w:w="642" w:type="dxa"/>
            <w:shd w:val="clear" w:color="auto" w:fill="5F497A" w:themeFill="accent4" w:themeFillShade="BF"/>
          </w:tcPr>
          <w:p w14:paraId="47F2B23B" w14:textId="77777777" w:rsidR="00CE325A" w:rsidRPr="003B4CDA" w:rsidRDefault="00CE325A" w:rsidP="00D209BD">
            <w:pPr>
              <w:spacing w:before="60" w:after="60"/>
              <w:jc w:val="center"/>
              <w:rPr>
                <w:rFonts w:ascii="Segoe UI Light" w:hAnsi="Segoe UI Light"/>
                <w:b/>
                <w:color w:val="FFFFFF" w:themeColor="background1"/>
                <w:sz w:val="16"/>
                <w:szCs w:val="16"/>
              </w:rPr>
            </w:pPr>
            <w:r w:rsidRPr="003B4CDA">
              <w:rPr>
                <w:rFonts w:ascii="Segoe UI Light" w:hAnsi="Segoe UI Light"/>
                <w:b/>
                <w:color w:val="FFFFFF" w:themeColor="background1"/>
                <w:sz w:val="16"/>
                <w:szCs w:val="16"/>
              </w:rPr>
              <w:t>2008</w:t>
            </w:r>
          </w:p>
        </w:tc>
        <w:tc>
          <w:tcPr>
            <w:tcW w:w="624" w:type="dxa"/>
            <w:shd w:val="clear" w:color="auto" w:fill="5F497A" w:themeFill="accent4" w:themeFillShade="BF"/>
          </w:tcPr>
          <w:p w14:paraId="44AC6726" w14:textId="77777777" w:rsidR="00CE325A" w:rsidRPr="003B4CDA" w:rsidRDefault="00CE325A" w:rsidP="00D209BD">
            <w:pPr>
              <w:spacing w:before="60" w:after="60"/>
              <w:jc w:val="center"/>
              <w:rPr>
                <w:rFonts w:ascii="Segoe UI Light" w:hAnsi="Segoe UI Light"/>
                <w:b/>
                <w:color w:val="FFFFFF" w:themeColor="background1"/>
                <w:sz w:val="16"/>
                <w:szCs w:val="16"/>
              </w:rPr>
            </w:pPr>
            <w:r w:rsidRPr="003B4CDA">
              <w:rPr>
                <w:rFonts w:ascii="Segoe UI Light" w:hAnsi="Segoe UI Light"/>
                <w:b/>
                <w:color w:val="FFFFFF" w:themeColor="background1"/>
                <w:sz w:val="16"/>
                <w:szCs w:val="16"/>
              </w:rPr>
              <w:t>2010</w:t>
            </w:r>
          </w:p>
        </w:tc>
        <w:tc>
          <w:tcPr>
            <w:tcW w:w="623" w:type="dxa"/>
            <w:shd w:val="clear" w:color="auto" w:fill="5F497A" w:themeFill="accent4" w:themeFillShade="BF"/>
            <w:vAlign w:val="center"/>
          </w:tcPr>
          <w:p w14:paraId="24FDF991" w14:textId="77777777" w:rsidR="00CE325A" w:rsidRPr="003B4CDA" w:rsidRDefault="00CE325A" w:rsidP="00D209BD">
            <w:pPr>
              <w:spacing w:before="60" w:after="60"/>
              <w:jc w:val="center"/>
              <w:rPr>
                <w:rFonts w:ascii="Segoe UI Light" w:hAnsi="Segoe UI Light"/>
                <w:b/>
                <w:color w:val="FFFFFF" w:themeColor="background1"/>
                <w:sz w:val="16"/>
                <w:szCs w:val="16"/>
              </w:rPr>
            </w:pPr>
            <w:r w:rsidRPr="003B4CDA">
              <w:rPr>
                <w:rFonts w:ascii="Segoe UI Light" w:hAnsi="Segoe UI Light"/>
                <w:b/>
                <w:color w:val="FFFFFF" w:themeColor="background1"/>
                <w:sz w:val="16"/>
                <w:szCs w:val="16"/>
                <w:lang w:val="lv-LV"/>
              </w:rPr>
              <w:t>2012</w:t>
            </w:r>
          </w:p>
        </w:tc>
        <w:tc>
          <w:tcPr>
            <w:tcW w:w="624" w:type="dxa"/>
            <w:shd w:val="clear" w:color="auto" w:fill="5F497A" w:themeFill="accent4" w:themeFillShade="BF"/>
            <w:vAlign w:val="center"/>
          </w:tcPr>
          <w:p w14:paraId="3E5C0492" w14:textId="77777777"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2014</w:t>
            </w:r>
          </w:p>
        </w:tc>
        <w:tc>
          <w:tcPr>
            <w:tcW w:w="624" w:type="dxa"/>
            <w:shd w:val="clear" w:color="auto" w:fill="5F497A" w:themeFill="accent4" w:themeFillShade="BF"/>
            <w:vAlign w:val="center"/>
          </w:tcPr>
          <w:p w14:paraId="6B282728" w14:textId="77777777"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201</w:t>
            </w:r>
            <w:r>
              <w:rPr>
                <w:rFonts w:ascii="Segoe UI Light" w:hAnsi="Segoe UI Light"/>
                <w:b/>
                <w:color w:val="FFFFFF" w:themeColor="background1"/>
                <w:sz w:val="16"/>
                <w:szCs w:val="16"/>
                <w:lang w:val="lv-LV"/>
              </w:rPr>
              <w:t>6</w:t>
            </w:r>
          </w:p>
        </w:tc>
        <w:tc>
          <w:tcPr>
            <w:tcW w:w="624" w:type="dxa"/>
            <w:shd w:val="clear" w:color="auto" w:fill="5F497A" w:themeFill="accent4" w:themeFillShade="BF"/>
            <w:vAlign w:val="center"/>
          </w:tcPr>
          <w:p w14:paraId="7E732CBA" w14:textId="77777777"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201</w:t>
            </w:r>
            <w:r>
              <w:rPr>
                <w:rFonts w:ascii="Segoe UI Light" w:hAnsi="Segoe UI Light"/>
                <w:b/>
                <w:color w:val="FFFFFF" w:themeColor="background1"/>
                <w:sz w:val="16"/>
                <w:szCs w:val="16"/>
                <w:lang w:val="lv-LV"/>
              </w:rPr>
              <w:t>8</w:t>
            </w:r>
          </w:p>
        </w:tc>
        <w:tc>
          <w:tcPr>
            <w:tcW w:w="623" w:type="dxa"/>
            <w:shd w:val="clear" w:color="auto" w:fill="5F497A" w:themeFill="accent4" w:themeFillShade="BF"/>
            <w:vAlign w:val="center"/>
          </w:tcPr>
          <w:p w14:paraId="2387DDDF" w14:textId="77777777"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201</w:t>
            </w:r>
            <w:r>
              <w:rPr>
                <w:rFonts w:ascii="Segoe UI Light" w:hAnsi="Segoe UI Light"/>
                <w:b/>
                <w:color w:val="FFFFFF" w:themeColor="background1"/>
                <w:sz w:val="16"/>
                <w:szCs w:val="16"/>
                <w:lang w:val="lv-LV"/>
              </w:rPr>
              <w:t>9</w:t>
            </w:r>
          </w:p>
        </w:tc>
        <w:tc>
          <w:tcPr>
            <w:tcW w:w="624" w:type="dxa"/>
            <w:shd w:val="clear" w:color="auto" w:fill="5F497A" w:themeFill="accent4" w:themeFillShade="BF"/>
            <w:vAlign w:val="center"/>
          </w:tcPr>
          <w:p w14:paraId="2E57890F" w14:textId="77777777"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w:t>
            </w:r>
            <w:r>
              <w:rPr>
                <w:rFonts w:ascii="Segoe UI Light" w:hAnsi="Segoe UI Light"/>
                <w:b/>
                <w:color w:val="FFFFFF" w:themeColor="background1"/>
                <w:sz w:val="16"/>
                <w:szCs w:val="16"/>
                <w:lang w:val="lv-LV"/>
              </w:rPr>
              <w:t>20</w:t>
            </w:r>
          </w:p>
        </w:tc>
        <w:tc>
          <w:tcPr>
            <w:tcW w:w="624" w:type="dxa"/>
            <w:shd w:val="clear" w:color="auto" w:fill="5F497A" w:themeFill="accent4" w:themeFillShade="BF"/>
            <w:vAlign w:val="center"/>
          </w:tcPr>
          <w:p w14:paraId="6F31BE24" w14:textId="50362776" w:rsidR="00CE325A" w:rsidRPr="003B4CDA" w:rsidRDefault="00CE325A" w:rsidP="00D209BD">
            <w:pPr>
              <w:spacing w:before="60" w:after="60"/>
              <w:jc w:val="center"/>
              <w:rPr>
                <w:rFonts w:ascii="Segoe UI Light" w:hAnsi="Segoe UI Light"/>
                <w:b/>
                <w:color w:val="FFFFFF" w:themeColor="background1"/>
                <w:sz w:val="16"/>
                <w:szCs w:val="16"/>
                <w:lang w:val="lv-LV"/>
              </w:rPr>
            </w:pPr>
            <w:r w:rsidRPr="003B4CDA">
              <w:rPr>
                <w:rFonts w:ascii="Segoe UI Light" w:hAnsi="Segoe UI Light"/>
                <w:b/>
                <w:color w:val="FFFFFF" w:themeColor="background1"/>
                <w:sz w:val="16"/>
                <w:szCs w:val="16"/>
                <w:lang w:val="lv-LV"/>
              </w:rPr>
              <w:t>20</w:t>
            </w:r>
            <w:r>
              <w:rPr>
                <w:rFonts w:ascii="Segoe UI Light" w:hAnsi="Segoe UI Light"/>
                <w:b/>
                <w:color w:val="FFFFFF" w:themeColor="background1"/>
                <w:sz w:val="16"/>
                <w:szCs w:val="16"/>
                <w:lang w:val="lv-LV"/>
              </w:rPr>
              <w:t>21</w:t>
            </w:r>
            <w:r w:rsidR="00D91518">
              <w:rPr>
                <w:rFonts w:ascii="Segoe UI Light" w:hAnsi="Segoe UI Light"/>
                <w:b/>
                <w:color w:val="FFFFFF" w:themeColor="background1"/>
                <w:sz w:val="16"/>
                <w:szCs w:val="16"/>
                <w:lang w:val="lv-LV"/>
              </w:rPr>
              <w:t>*</w:t>
            </w:r>
          </w:p>
        </w:tc>
      </w:tr>
      <w:tr w:rsidR="00CE325A" w:rsidRPr="003B4CDA" w14:paraId="129DCC35" w14:textId="77777777" w:rsidTr="4398C881">
        <w:tc>
          <w:tcPr>
            <w:tcW w:w="3499" w:type="dxa"/>
            <w:shd w:val="clear" w:color="auto" w:fill="E5DFEC" w:themeFill="accent4" w:themeFillTint="33"/>
          </w:tcPr>
          <w:p w14:paraId="744F43F4" w14:textId="77777777" w:rsidR="00CE325A" w:rsidRPr="003B4CDA" w:rsidRDefault="00CE325A" w:rsidP="00D209BD">
            <w:pPr>
              <w:spacing w:before="60" w:after="60"/>
              <w:rPr>
                <w:rFonts w:ascii="Segoe UI Light" w:hAnsi="Segoe UI Light"/>
                <w:b/>
                <w:sz w:val="16"/>
                <w:szCs w:val="16"/>
                <w:lang w:val="lv-LV"/>
              </w:rPr>
            </w:pPr>
            <w:r w:rsidRPr="003B4CDA">
              <w:rPr>
                <w:rFonts w:ascii="Segoe UI Light" w:hAnsi="Segoe UI Light"/>
                <w:b/>
                <w:sz w:val="16"/>
                <w:szCs w:val="16"/>
                <w:lang w:val="lv-LV"/>
              </w:rPr>
              <w:t>Pavisam</w:t>
            </w:r>
          </w:p>
        </w:tc>
        <w:tc>
          <w:tcPr>
            <w:tcW w:w="642" w:type="dxa"/>
            <w:shd w:val="clear" w:color="auto" w:fill="E5DFEC" w:themeFill="accent4" w:themeFillTint="33"/>
          </w:tcPr>
          <w:p w14:paraId="1FEEDBEE"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1054,9</w:t>
            </w:r>
          </w:p>
        </w:tc>
        <w:tc>
          <w:tcPr>
            <w:tcW w:w="624" w:type="dxa"/>
            <w:shd w:val="clear" w:color="auto" w:fill="E5DFEC" w:themeFill="accent4" w:themeFillTint="33"/>
          </w:tcPr>
          <w:p w14:paraId="29780FB5"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850,7</w:t>
            </w:r>
          </w:p>
        </w:tc>
        <w:tc>
          <w:tcPr>
            <w:tcW w:w="623" w:type="dxa"/>
            <w:shd w:val="clear" w:color="auto" w:fill="E5DFEC" w:themeFill="accent4" w:themeFillTint="33"/>
          </w:tcPr>
          <w:p w14:paraId="7DFF48D9"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875,6</w:t>
            </w:r>
          </w:p>
        </w:tc>
        <w:tc>
          <w:tcPr>
            <w:tcW w:w="624" w:type="dxa"/>
            <w:shd w:val="clear" w:color="auto" w:fill="E5DFEC" w:themeFill="accent4" w:themeFillTint="33"/>
          </w:tcPr>
          <w:p w14:paraId="459AB294"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884,6</w:t>
            </w:r>
          </w:p>
        </w:tc>
        <w:tc>
          <w:tcPr>
            <w:tcW w:w="624" w:type="dxa"/>
            <w:shd w:val="clear" w:color="auto" w:fill="E5DFEC" w:themeFill="accent4" w:themeFillTint="33"/>
          </w:tcPr>
          <w:p w14:paraId="5AC1BA72"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893,3</w:t>
            </w:r>
          </w:p>
        </w:tc>
        <w:tc>
          <w:tcPr>
            <w:tcW w:w="624" w:type="dxa"/>
            <w:shd w:val="clear" w:color="auto" w:fill="E5DFEC" w:themeFill="accent4" w:themeFillTint="33"/>
          </w:tcPr>
          <w:p w14:paraId="551A89B8"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909,4</w:t>
            </w:r>
          </w:p>
        </w:tc>
        <w:tc>
          <w:tcPr>
            <w:tcW w:w="623" w:type="dxa"/>
            <w:shd w:val="clear" w:color="auto" w:fill="E5DFEC" w:themeFill="accent4" w:themeFillTint="33"/>
          </w:tcPr>
          <w:p w14:paraId="76223DAB" w14:textId="77777777" w:rsidR="00CE325A" w:rsidRPr="003B4CDA" w:rsidRDefault="00CE325A" w:rsidP="00D209BD">
            <w:pPr>
              <w:spacing w:before="60" w:after="60"/>
              <w:jc w:val="right"/>
              <w:rPr>
                <w:rFonts w:ascii="Segoe UI Light" w:hAnsi="Segoe UI Light"/>
                <w:b/>
                <w:sz w:val="16"/>
                <w:szCs w:val="16"/>
              </w:rPr>
            </w:pPr>
            <w:r w:rsidRPr="003B4CDA">
              <w:rPr>
                <w:rFonts w:ascii="Segoe UI Light" w:hAnsi="Segoe UI Light"/>
                <w:b/>
                <w:sz w:val="16"/>
                <w:szCs w:val="16"/>
              </w:rPr>
              <w:t>910,0</w:t>
            </w:r>
          </w:p>
        </w:tc>
        <w:tc>
          <w:tcPr>
            <w:tcW w:w="624" w:type="dxa"/>
            <w:shd w:val="clear" w:color="auto" w:fill="E5DFEC" w:themeFill="accent4" w:themeFillTint="33"/>
          </w:tcPr>
          <w:p w14:paraId="1AA4C38E" w14:textId="77777777" w:rsidR="00CE325A" w:rsidRPr="003B4CDA" w:rsidRDefault="00CE325A" w:rsidP="00D209BD">
            <w:pPr>
              <w:spacing w:before="60" w:after="60"/>
              <w:jc w:val="right"/>
              <w:rPr>
                <w:rFonts w:ascii="Segoe UI Light" w:hAnsi="Segoe UI Light"/>
                <w:b/>
                <w:sz w:val="16"/>
                <w:szCs w:val="16"/>
              </w:rPr>
            </w:pPr>
            <w:r>
              <w:rPr>
                <w:rFonts w:ascii="Segoe UI Light" w:hAnsi="Segoe UI Light"/>
                <w:b/>
                <w:sz w:val="16"/>
                <w:szCs w:val="16"/>
              </w:rPr>
              <w:t>8</w:t>
            </w:r>
            <w:r w:rsidRPr="003B4CDA">
              <w:rPr>
                <w:rFonts w:ascii="Segoe UI Light" w:hAnsi="Segoe UI Light"/>
                <w:b/>
                <w:sz w:val="16"/>
                <w:szCs w:val="16"/>
              </w:rPr>
              <w:t>9</w:t>
            </w:r>
            <w:r>
              <w:rPr>
                <w:rFonts w:ascii="Segoe UI Light" w:hAnsi="Segoe UI Light"/>
                <w:b/>
                <w:sz w:val="16"/>
                <w:szCs w:val="16"/>
              </w:rPr>
              <w:t>3</w:t>
            </w:r>
            <w:r w:rsidRPr="003B4CDA">
              <w:rPr>
                <w:rFonts w:ascii="Segoe UI Light" w:hAnsi="Segoe UI Light"/>
                <w:b/>
                <w:sz w:val="16"/>
                <w:szCs w:val="16"/>
              </w:rPr>
              <w:t>,</w:t>
            </w:r>
            <w:r>
              <w:rPr>
                <w:rFonts w:ascii="Segoe UI Light" w:hAnsi="Segoe UI Light"/>
                <w:b/>
                <w:sz w:val="16"/>
                <w:szCs w:val="16"/>
              </w:rPr>
              <w:t>0</w:t>
            </w:r>
          </w:p>
        </w:tc>
        <w:tc>
          <w:tcPr>
            <w:tcW w:w="624" w:type="dxa"/>
            <w:shd w:val="clear" w:color="auto" w:fill="E5DFEC" w:themeFill="accent4" w:themeFillTint="33"/>
          </w:tcPr>
          <w:p w14:paraId="3DEEF0EF" w14:textId="77777777" w:rsidR="00CE325A" w:rsidRPr="003B4CDA" w:rsidRDefault="00CE325A" w:rsidP="00D209BD">
            <w:pPr>
              <w:spacing w:before="60" w:after="60"/>
              <w:jc w:val="right"/>
              <w:rPr>
                <w:rFonts w:ascii="Segoe UI Light" w:hAnsi="Segoe UI Light"/>
                <w:b/>
                <w:sz w:val="16"/>
                <w:szCs w:val="16"/>
              </w:rPr>
            </w:pPr>
            <w:r>
              <w:rPr>
                <w:rFonts w:ascii="Segoe UI Light" w:hAnsi="Segoe UI Light"/>
                <w:b/>
                <w:sz w:val="16"/>
                <w:szCs w:val="16"/>
              </w:rPr>
              <w:t>864</w:t>
            </w:r>
            <w:r w:rsidRPr="003B4CDA">
              <w:rPr>
                <w:rFonts w:ascii="Segoe UI Light" w:hAnsi="Segoe UI Light"/>
                <w:b/>
                <w:sz w:val="16"/>
                <w:szCs w:val="16"/>
              </w:rPr>
              <w:t>,0</w:t>
            </w:r>
          </w:p>
        </w:tc>
      </w:tr>
      <w:tr w:rsidR="00CE325A" w:rsidRPr="003B4CDA" w14:paraId="1570E057" w14:textId="77777777" w:rsidTr="4398C881">
        <w:tc>
          <w:tcPr>
            <w:tcW w:w="3499" w:type="dxa"/>
            <w:shd w:val="clear" w:color="auto" w:fill="CCC0D9" w:themeFill="accent4" w:themeFillTint="66"/>
          </w:tcPr>
          <w:p w14:paraId="4AAFB664"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Lauksaimniecība, mežsaimniecība, zivsaimniecība</w:t>
            </w:r>
          </w:p>
        </w:tc>
        <w:tc>
          <w:tcPr>
            <w:tcW w:w="642" w:type="dxa"/>
            <w:shd w:val="clear" w:color="auto" w:fill="CCC0D9" w:themeFill="accent4" w:themeFillTint="66"/>
          </w:tcPr>
          <w:p w14:paraId="51F4E974"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83,9</w:t>
            </w:r>
          </w:p>
        </w:tc>
        <w:tc>
          <w:tcPr>
            <w:tcW w:w="624" w:type="dxa"/>
            <w:shd w:val="clear" w:color="auto" w:fill="CCC0D9" w:themeFill="accent4" w:themeFillTint="66"/>
          </w:tcPr>
          <w:p w14:paraId="3BACD9C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73,3</w:t>
            </w:r>
          </w:p>
        </w:tc>
        <w:tc>
          <w:tcPr>
            <w:tcW w:w="623" w:type="dxa"/>
            <w:shd w:val="clear" w:color="auto" w:fill="CCC0D9" w:themeFill="accent4" w:themeFillTint="66"/>
          </w:tcPr>
          <w:p w14:paraId="712BDB45"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73,3</w:t>
            </w:r>
          </w:p>
        </w:tc>
        <w:tc>
          <w:tcPr>
            <w:tcW w:w="624" w:type="dxa"/>
            <w:shd w:val="clear" w:color="auto" w:fill="CCC0D9" w:themeFill="accent4" w:themeFillTint="66"/>
          </w:tcPr>
          <w:p w14:paraId="3A87CB72" w14:textId="47E3E94A"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66,4</w:t>
            </w:r>
          </w:p>
        </w:tc>
        <w:tc>
          <w:tcPr>
            <w:tcW w:w="624" w:type="dxa"/>
            <w:shd w:val="clear" w:color="auto" w:fill="CCC0D9" w:themeFill="accent4" w:themeFillTint="66"/>
          </w:tcPr>
          <w:p w14:paraId="0694A51E"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68,7</w:t>
            </w:r>
          </w:p>
        </w:tc>
        <w:tc>
          <w:tcPr>
            <w:tcW w:w="624" w:type="dxa"/>
            <w:shd w:val="clear" w:color="auto" w:fill="CCC0D9" w:themeFill="accent4" w:themeFillTint="66"/>
          </w:tcPr>
          <w:p w14:paraId="0F8F1511"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63,3</w:t>
            </w:r>
          </w:p>
        </w:tc>
        <w:tc>
          <w:tcPr>
            <w:tcW w:w="623" w:type="dxa"/>
            <w:shd w:val="clear" w:color="auto" w:fill="CCC0D9" w:themeFill="accent4" w:themeFillTint="66"/>
          </w:tcPr>
          <w:p w14:paraId="7F27E43F"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66,3</w:t>
            </w:r>
          </w:p>
        </w:tc>
        <w:tc>
          <w:tcPr>
            <w:tcW w:w="624" w:type="dxa"/>
            <w:shd w:val="clear" w:color="auto" w:fill="CCC0D9" w:themeFill="accent4" w:themeFillTint="66"/>
          </w:tcPr>
          <w:p w14:paraId="386C3222"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w:t>
            </w:r>
            <w:r>
              <w:rPr>
                <w:rFonts w:ascii="Segoe UI Light" w:hAnsi="Segoe UI Light"/>
                <w:sz w:val="16"/>
                <w:szCs w:val="16"/>
              </w:rPr>
              <w:t>4</w:t>
            </w:r>
            <w:r w:rsidRPr="003B4CDA">
              <w:rPr>
                <w:rFonts w:ascii="Segoe UI Light" w:hAnsi="Segoe UI Light"/>
                <w:sz w:val="16"/>
                <w:szCs w:val="16"/>
              </w:rPr>
              <w:t>,3</w:t>
            </w:r>
          </w:p>
        </w:tc>
        <w:tc>
          <w:tcPr>
            <w:tcW w:w="624" w:type="dxa"/>
            <w:shd w:val="clear" w:color="auto" w:fill="CCC0D9" w:themeFill="accent4" w:themeFillTint="66"/>
          </w:tcPr>
          <w:p w14:paraId="29CC15E6"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58,6</w:t>
            </w:r>
          </w:p>
        </w:tc>
      </w:tr>
      <w:tr w:rsidR="00CE325A" w:rsidRPr="003B4CDA" w14:paraId="47493D7D" w14:textId="77777777" w:rsidTr="4398C881">
        <w:tc>
          <w:tcPr>
            <w:tcW w:w="3499" w:type="dxa"/>
            <w:shd w:val="clear" w:color="auto" w:fill="E5DFEC" w:themeFill="accent4" w:themeFillTint="33"/>
          </w:tcPr>
          <w:p w14:paraId="265B1D88"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Apstrādes rūpniecība</w:t>
            </w:r>
          </w:p>
        </w:tc>
        <w:tc>
          <w:tcPr>
            <w:tcW w:w="642" w:type="dxa"/>
            <w:shd w:val="clear" w:color="auto" w:fill="E5DFEC" w:themeFill="accent4" w:themeFillTint="33"/>
          </w:tcPr>
          <w:p w14:paraId="1088BF87"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156,4</w:t>
            </w:r>
          </w:p>
        </w:tc>
        <w:tc>
          <w:tcPr>
            <w:tcW w:w="624" w:type="dxa"/>
            <w:shd w:val="clear" w:color="auto" w:fill="E5DFEC" w:themeFill="accent4" w:themeFillTint="33"/>
          </w:tcPr>
          <w:p w14:paraId="69285EB4"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112,2</w:t>
            </w:r>
          </w:p>
        </w:tc>
        <w:tc>
          <w:tcPr>
            <w:tcW w:w="623" w:type="dxa"/>
            <w:shd w:val="clear" w:color="auto" w:fill="E5DFEC" w:themeFill="accent4" w:themeFillTint="33"/>
          </w:tcPr>
          <w:p w14:paraId="4CC6163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122,5</w:t>
            </w:r>
          </w:p>
        </w:tc>
        <w:tc>
          <w:tcPr>
            <w:tcW w:w="624" w:type="dxa"/>
            <w:shd w:val="clear" w:color="auto" w:fill="E5DFEC" w:themeFill="accent4" w:themeFillTint="33"/>
          </w:tcPr>
          <w:p w14:paraId="664F8C0E"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118,8</w:t>
            </w:r>
          </w:p>
        </w:tc>
        <w:tc>
          <w:tcPr>
            <w:tcW w:w="624" w:type="dxa"/>
            <w:shd w:val="clear" w:color="auto" w:fill="E5DFEC" w:themeFill="accent4" w:themeFillTint="33"/>
          </w:tcPr>
          <w:p w14:paraId="14BCDEE3"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123,5</w:t>
            </w:r>
          </w:p>
        </w:tc>
        <w:tc>
          <w:tcPr>
            <w:tcW w:w="624" w:type="dxa"/>
            <w:shd w:val="clear" w:color="auto" w:fill="E5DFEC" w:themeFill="accent4" w:themeFillTint="33"/>
          </w:tcPr>
          <w:p w14:paraId="2CBF7039"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116,9</w:t>
            </w:r>
          </w:p>
        </w:tc>
        <w:tc>
          <w:tcPr>
            <w:tcW w:w="623" w:type="dxa"/>
            <w:shd w:val="clear" w:color="auto" w:fill="E5DFEC" w:themeFill="accent4" w:themeFillTint="33"/>
          </w:tcPr>
          <w:p w14:paraId="474118AB"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115,1</w:t>
            </w:r>
          </w:p>
        </w:tc>
        <w:tc>
          <w:tcPr>
            <w:tcW w:w="624" w:type="dxa"/>
            <w:shd w:val="clear" w:color="auto" w:fill="E5DFEC" w:themeFill="accent4" w:themeFillTint="33"/>
          </w:tcPr>
          <w:p w14:paraId="275C296C"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11</w:t>
            </w:r>
            <w:r>
              <w:rPr>
                <w:rFonts w:ascii="Segoe UI Light" w:hAnsi="Segoe UI Light"/>
                <w:sz w:val="16"/>
                <w:szCs w:val="16"/>
              </w:rPr>
              <w:t>4</w:t>
            </w:r>
            <w:r w:rsidRPr="003B4CDA">
              <w:rPr>
                <w:rFonts w:ascii="Segoe UI Light" w:hAnsi="Segoe UI Light"/>
                <w:sz w:val="16"/>
                <w:szCs w:val="16"/>
              </w:rPr>
              <w:t>,</w:t>
            </w:r>
            <w:r>
              <w:rPr>
                <w:rFonts w:ascii="Segoe UI Light" w:hAnsi="Segoe UI Light"/>
                <w:sz w:val="16"/>
                <w:szCs w:val="16"/>
              </w:rPr>
              <w:t>5</w:t>
            </w:r>
          </w:p>
        </w:tc>
        <w:tc>
          <w:tcPr>
            <w:tcW w:w="624" w:type="dxa"/>
            <w:shd w:val="clear" w:color="auto" w:fill="E5DFEC" w:themeFill="accent4" w:themeFillTint="33"/>
          </w:tcPr>
          <w:p w14:paraId="15ADCAC9"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109,4</w:t>
            </w:r>
          </w:p>
        </w:tc>
      </w:tr>
      <w:tr w:rsidR="00CE325A" w:rsidRPr="003B4CDA" w14:paraId="5177DC26" w14:textId="77777777" w:rsidTr="4398C881">
        <w:tc>
          <w:tcPr>
            <w:tcW w:w="3499" w:type="dxa"/>
            <w:shd w:val="clear" w:color="auto" w:fill="CCC0D9" w:themeFill="accent4" w:themeFillTint="66"/>
          </w:tcPr>
          <w:p w14:paraId="5FC8AE4A"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Pārējā rūpniecība</w:t>
            </w:r>
          </w:p>
        </w:tc>
        <w:tc>
          <w:tcPr>
            <w:tcW w:w="642" w:type="dxa"/>
            <w:shd w:val="clear" w:color="auto" w:fill="CCC0D9" w:themeFill="accent4" w:themeFillTint="66"/>
          </w:tcPr>
          <w:p w14:paraId="30D32A78" w14:textId="0D799F2B"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29,6</w:t>
            </w:r>
          </w:p>
        </w:tc>
        <w:tc>
          <w:tcPr>
            <w:tcW w:w="624" w:type="dxa"/>
            <w:shd w:val="clear" w:color="auto" w:fill="CCC0D9" w:themeFill="accent4" w:themeFillTint="66"/>
          </w:tcPr>
          <w:p w14:paraId="3011126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26,</w:t>
            </w:r>
            <w:r>
              <w:rPr>
                <w:rFonts w:ascii="Segoe UI Light" w:hAnsi="Segoe UI Light"/>
                <w:sz w:val="16"/>
                <w:szCs w:val="16"/>
              </w:rPr>
              <w:t>5</w:t>
            </w:r>
          </w:p>
        </w:tc>
        <w:tc>
          <w:tcPr>
            <w:tcW w:w="623" w:type="dxa"/>
            <w:shd w:val="clear" w:color="auto" w:fill="CCC0D9" w:themeFill="accent4" w:themeFillTint="66"/>
          </w:tcPr>
          <w:p w14:paraId="19FC37A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20,6</w:t>
            </w:r>
          </w:p>
        </w:tc>
        <w:tc>
          <w:tcPr>
            <w:tcW w:w="624" w:type="dxa"/>
            <w:shd w:val="clear" w:color="auto" w:fill="CCC0D9" w:themeFill="accent4" w:themeFillTint="66"/>
          </w:tcPr>
          <w:p w14:paraId="7BF02F59"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18,9</w:t>
            </w:r>
          </w:p>
        </w:tc>
        <w:tc>
          <w:tcPr>
            <w:tcW w:w="624" w:type="dxa"/>
            <w:shd w:val="clear" w:color="auto" w:fill="CCC0D9" w:themeFill="accent4" w:themeFillTint="66"/>
          </w:tcPr>
          <w:p w14:paraId="48556B2F"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25,7</w:t>
            </w:r>
          </w:p>
        </w:tc>
        <w:tc>
          <w:tcPr>
            <w:tcW w:w="624" w:type="dxa"/>
            <w:shd w:val="clear" w:color="auto" w:fill="CCC0D9" w:themeFill="accent4" w:themeFillTint="66"/>
          </w:tcPr>
          <w:p w14:paraId="0FFDBBAD"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23,2</w:t>
            </w:r>
          </w:p>
        </w:tc>
        <w:tc>
          <w:tcPr>
            <w:tcW w:w="623" w:type="dxa"/>
            <w:shd w:val="clear" w:color="auto" w:fill="CCC0D9" w:themeFill="accent4" w:themeFillTint="66"/>
          </w:tcPr>
          <w:p w14:paraId="141587E9"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19,3</w:t>
            </w:r>
          </w:p>
        </w:tc>
        <w:tc>
          <w:tcPr>
            <w:tcW w:w="624" w:type="dxa"/>
            <w:shd w:val="clear" w:color="auto" w:fill="CCC0D9" w:themeFill="accent4" w:themeFillTint="66"/>
          </w:tcPr>
          <w:p w14:paraId="190BA1A1" w14:textId="0DDBDB96"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19,6</w:t>
            </w:r>
          </w:p>
        </w:tc>
        <w:tc>
          <w:tcPr>
            <w:tcW w:w="624" w:type="dxa"/>
            <w:shd w:val="clear" w:color="auto" w:fill="CCC0D9" w:themeFill="accent4" w:themeFillTint="66"/>
          </w:tcPr>
          <w:p w14:paraId="6E4468DD"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22,2</w:t>
            </w:r>
          </w:p>
        </w:tc>
      </w:tr>
      <w:tr w:rsidR="00CE325A" w:rsidRPr="003B4CDA" w14:paraId="562F9DA4" w14:textId="77777777" w:rsidTr="4398C881">
        <w:tc>
          <w:tcPr>
            <w:tcW w:w="3499" w:type="dxa"/>
            <w:shd w:val="clear" w:color="auto" w:fill="E5DFEC" w:themeFill="accent4" w:themeFillTint="33"/>
          </w:tcPr>
          <w:p w14:paraId="7E456D00"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Būvniecība</w:t>
            </w:r>
          </w:p>
        </w:tc>
        <w:tc>
          <w:tcPr>
            <w:tcW w:w="642" w:type="dxa"/>
            <w:shd w:val="clear" w:color="auto" w:fill="E5DFEC" w:themeFill="accent4" w:themeFillTint="33"/>
          </w:tcPr>
          <w:p w14:paraId="487398F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124,1</w:t>
            </w:r>
          </w:p>
        </w:tc>
        <w:tc>
          <w:tcPr>
            <w:tcW w:w="624" w:type="dxa"/>
            <w:shd w:val="clear" w:color="auto" w:fill="E5DFEC" w:themeFill="accent4" w:themeFillTint="33"/>
          </w:tcPr>
          <w:p w14:paraId="15C091F4"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57,6</w:t>
            </w:r>
          </w:p>
        </w:tc>
        <w:tc>
          <w:tcPr>
            <w:tcW w:w="623" w:type="dxa"/>
            <w:shd w:val="clear" w:color="auto" w:fill="E5DFEC" w:themeFill="accent4" w:themeFillTint="33"/>
          </w:tcPr>
          <w:p w14:paraId="17ABFD08"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62,3</w:t>
            </w:r>
          </w:p>
        </w:tc>
        <w:tc>
          <w:tcPr>
            <w:tcW w:w="624" w:type="dxa"/>
            <w:shd w:val="clear" w:color="auto" w:fill="E5DFEC" w:themeFill="accent4" w:themeFillTint="33"/>
          </w:tcPr>
          <w:p w14:paraId="3C16E902"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73,2</w:t>
            </w:r>
          </w:p>
        </w:tc>
        <w:tc>
          <w:tcPr>
            <w:tcW w:w="624" w:type="dxa"/>
            <w:shd w:val="clear" w:color="auto" w:fill="E5DFEC" w:themeFill="accent4" w:themeFillTint="33"/>
          </w:tcPr>
          <w:p w14:paraId="55F5C80B"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66,1</w:t>
            </w:r>
          </w:p>
        </w:tc>
        <w:tc>
          <w:tcPr>
            <w:tcW w:w="624" w:type="dxa"/>
            <w:shd w:val="clear" w:color="auto" w:fill="E5DFEC" w:themeFill="accent4" w:themeFillTint="33"/>
          </w:tcPr>
          <w:p w14:paraId="5108316D"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74,6</w:t>
            </w:r>
          </w:p>
        </w:tc>
        <w:tc>
          <w:tcPr>
            <w:tcW w:w="623" w:type="dxa"/>
            <w:shd w:val="clear" w:color="auto" w:fill="E5DFEC" w:themeFill="accent4" w:themeFillTint="33"/>
          </w:tcPr>
          <w:p w14:paraId="425CFDDC"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81,1</w:t>
            </w:r>
          </w:p>
        </w:tc>
        <w:tc>
          <w:tcPr>
            <w:tcW w:w="624" w:type="dxa"/>
            <w:shd w:val="clear" w:color="auto" w:fill="E5DFEC" w:themeFill="accent4" w:themeFillTint="33"/>
          </w:tcPr>
          <w:p w14:paraId="0483C3E8"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w:t>
            </w:r>
            <w:r>
              <w:rPr>
                <w:rFonts w:ascii="Segoe UI Light" w:hAnsi="Segoe UI Light"/>
                <w:sz w:val="16"/>
                <w:szCs w:val="16"/>
              </w:rPr>
              <w:t>6</w:t>
            </w:r>
            <w:r w:rsidRPr="003B4CDA">
              <w:rPr>
                <w:rFonts w:ascii="Segoe UI Light" w:hAnsi="Segoe UI Light"/>
                <w:sz w:val="16"/>
                <w:szCs w:val="16"/>
              </w:rPr>
              <w:t>,</w:t>
            </w:r>
            <w:r>
              <w:rPr>
                <w:rFonts w:ascii="Segoe UI Light" w:hAnsi="Segoe UI Light"/>
                <w:sz w:val="16"/>
                <w:szCs w:val="16"/>
              </w:rPr>
              <w:t>5</w:t>
            </w:r>
          </w:p>
        </w:tc>
        <w:tc>
          <w:tcPr>
            <w:tcW w:w="624" w:type="dxa"/>
            <w:shd w:val="clear" w:color="auto" w:fill="E5DFEC" w:themeFill="accent4" w:themeFillTint="33"/>
          </w:tcPr>
          <w:p w14:paraId="4DFF4CBC"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72,4</w:t>
            </w:r>
          </w:p>
        </w:tc>
      </w:tr>
      <w:tr w:rsidR="00CE325A" w:rsidRPr="003B4CDA" w14:paraId="0F892B88" w14:textId="77777777" w:rsidTr="4398C881">
        <w:tc>
          <w:tcPr>
            <w:tcW w:w="3499" w:type="dxa"/>
            <w:shd w:val="clear" w:color="auto" w:fill="CCC0D9" w:themeFill="accent4" w:themeFillTint="66"/>
          </w:tcPr>
          <w:p w14:paraId="7BBF7225"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Tirdzniecība, izmitināšana</w:t>
            </w:r>
          </w:p>
        </w:tc>
        <w:tc>
          <w:tcPr>
            <w:tcW w:w="642" w:type="dxa"/>
            <w:shd w:val="clear" w:color="auto" w:fill="CCC0D9" w:themeFill="accent4" w:themeFillTint="66"/>
          </w:tcPr>
          <w:p w14:paraId="7A8ADFE9" w14:textId="4683CE5A"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197,3</w:t>
            </w:r>
          </w:p>
        </w:tc>
        <w:tc>
          <w:tcPr>
            <w:tcW w:w="624" w:type="dxa"/>
            <w:shd w:val="clear" w:color="auto" w:fill="CCC0D9" w:themeFill="accent4" w:themeFillTint="66"/>
          </w:tcPr>
          <w:p w14:paraId="3CBCF231"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162,0</w:t>
            </w:r>
          </w:p>
        </w:tc>
        <w:tc>
          <w:tcPr>
            <w:tcW w:w="623" w:type="dxa"/>
            <w:shd w:val="clear" w:color="auto" w:fill="CCC0D9" w:themeFill="accent4" w:themeFillTint="66"/>
          </w:tcPr>
          <w:p w14:paraId="37A42814" w14:textId="499029C3"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155,6</w:t>
            </w:r>
          </w:p>
        </w:tc>
        <w:tc>
          <w:tcPr>
            <w:tcW w:w="624" w:type="dxa"/>
            <w:shd w:val="clear" w:color="auto" w:fill="CCC0D9" w:themeFill="accent4" w:themeFillTint="66"/>
          </w:tcPr>
          <w:p w14:paraId="2FA25EC8"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161,6</w:t>
            </w:r>
          </w:p>
        </w:tc>
        <w:tc>
          <w:tcPr>
            <w:tcW w:w="624" w:type="dxa"/>
            <w:shd w:val="clear" w:color="auto" w:fill="CCC0D9" w:themeFill="accent4" w:themeFillTint="66"/>
          </w:tcPr>
          <w:p w14:paraId="031AFE7E"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154,7</w:t>
            </w:r>
          </w:p>
        </w:tc>
        <w:tc>
          <w:tcPr>
            <w:tcW w:w="624" w:type="dxa"/>
            <w:shd w:val="clear" w:color="auto" w:fill="CCC0D9" w:themeFill="accent4" w:themeFillTint="66"/>
          </w:tcPr>
          <w:p w14:paraId="3DA1E777" w14:textId="3A9EFA3A"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171,7</w:t>
            </w:r>
          </w:p>
        </w:tc>
        <w:tc>
          <w:tcPr>
            <w:tcW w:w="623" w:type="dxa"/>
            <w:shd w:val="clear" w:color="auto" w:fill="CCC0D9" w:themeFill="accent4" w:themeFillTint="66"/>
          </w:tcPr>
          <w:p w14:paraId="073982D9"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169,6</w:t>
            </w:r>
          </w:p>
        </w:tc>
        <w:tc>
          <w:tcPr>
            <w:tcW w:w="624" w:type="dxa"/>
            <w:shd w:val="clear" w:color="auto" w:fill="CCC0D9" w:themeFill="accent4" w:themeFillTint="66"/>
          </w:tcPr>
          <w:p w14:paraId="445D754E"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w:t>
            </w:r>
            <w:r>
              <w:rPr>
                <w:rFonts w:ascii="Segoe UI Light" w:hAnsi="Segoe UI Light"/>
                <w:sz w:val="16"/>
                <w:szCs w:val="16"/>
              </w:rPr>
              <w:t>60</w:t>
            </w:r>
            <w:r w:rsidRPr="003B4CDA">
              <w:rPr>
                <w:rFonts w:ascii="Segoe UI Light" w:hAnsi="Segoe UI Light"/>
                <w:sz w:val="16"/>
                <w:szCs w:val="16"/>
              </w:rPr>
              <w:t>,</w:t>
            </w:r>
            <w:r>
              <w:rPr>
                <w:rFonts w:ascii="Segoe UI Light" w:hAnsi="Segoe UI Light"/>
                <w:sz w:val="16"/>
                <w:szCs w:val="16"/>
              </w:rPr>
              <w:t>2</w:t>
            </w:r>
          </w:p>
        </w:tc>
        <w:tc>
          <w:tcPr>
            <w:tcW w:w="624" w:type="dxa"/>
            <w:shd w:val="clear" w:color="auto" w:fill="CCC0D9" w:themeFill="accent4" w:themeFillTint="66"/>
          </w:tcPr>
          <w:p w14:paraId="506A0D33"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158,3</w:t>
            </w:r>
          </w:p>
        </w:tc>
      </w:tr>
      <w:tr w:rsidR="00CE325A" w:rsidRPr="003B4CDA" w14:paraId="12B197A9" w14:textId="77777777" w:rsidTr="4398C881">
        <w:tc>
          <w:tcPr>
            <w:tcW w:w="3499" w:type="dxa"/>
            <w:shd w:val="clear" w:color="auto" w:fill="E5DFEC" w:themeFill="accent4" w:themeFillTint="33"/>
          </w:tcPr>
          <w:p w14:paraId="1C57B742"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Transports un uzglabāšana</w:t>
            </w:r>
          </w:p>
        </w:tc>
        <w:tc>
          <w:tcPr>
            <w:tcW w:w="642" w:type="dxa"/>
            <w:shd w:val="clear" w:color="auto" w:fill="E5DFEC" w:themeFill="accent4" w:themeFillTint="33"/>
          </w:tcPr>
          <w:p w14:paraId="6C1E10F4"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88,1</w:t>
            </w:r>
          </w:p>
        </w:tc>
        <w:tc>
          <w:tcPr>
            <w:tcW w:w="624" w:type="dxa"/>
            <w:shd w:val="clear" w:color="auto" w:fill="E5DFEC" w:themeFill="accent4" w:themeFillTint="33"/>
          </w:tcPr>
          <w:p w14:paraId="587D4066"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71,4</w:t>
            </w:r>
          </w:p>
        </w:tc>
        <w:tc>
          <w:tcPr>
            <w:tcW w:w="623" w:type="dxa"/>
            <w:shd w:val="clear" w:color="auto" w:fill="E5DFEC" w:themeFill="accent4" w:themeFillTint="33"/>
          </w:tcPr>
          <w:p w14:paraId="581C684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75,1</w:t>
            </w:r>
          </w:p>
        </w:tc>
        <w:tc>
          <w:tcPr>
            <w:tcW w:w="624" w:type="dxa"/>
            <w:shd w:val="clear" w:color="auto" w:fill="E5DFEC" w:themeFill="accent4" w:themeFillTint="33"/>
          </w:tcPr>
          <w:p w14:paraId="54D9B38D"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84,8</w:t>
            </w:r>
          </w:p>
        </w:tc>
        <w:tc>
          <w:tcPr>
            <w:tcW w:w="624" w:type="dxa"/>
            <w:shd w:val="clear" w:color="auto" w:fill="E5DFEC" w:themeFill="accent4" w:themeFillTint="33"/>
          </w:tcPr>
          <w:p w14:paraId="3ECA0BCE"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83,3</w:t>
            </w:r>
          </w:p>
        </w:tc>
        <w:tc>
          <w:tcPr>
            <w:tcW w:w="624" w:type="dxa"/>
            <w:shd w:val="clear" w:color="auto" w:fill="E5DFEC" w:themeFill="accent4" w:themeFillTint="33"/>
          </w:tcPr>
          <w:p w14:paraId="6833A0AB"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80,7</w:t>
            </w:r>
          </w:p>
        </w:tc>
        <w:tc>
          <w:tcPr>
            <w:tcW w:w="623" w:type="dxa"/>
            <w:shd w:val="clear" w:color="auto" w:fill="E5DFEC" w:themeFill="accent4" w:themeFillTint="33"/>
          </w:tcPr>
          <w:p w14:paraId="1FA7C13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74,3</w:t>
            </w:r>
          </w:p>
        </w:tc>
        <w:tc>
          <w:tcPr>
            <w:tcW w:w="624" w:type="dxa"/>
            <w:shd w:val="clear" w:color="auto" w:fill="E5DFEC" w:themeFill="accent4" w:themeFillTint="33"/>
          </w:tcPr>
          <w:p w14:paraId="01AC8047"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69</w:t>
            </w:r>
            <w:r w:rsidRPr="003B4CDA">
              <w:rPr>
                <w:rFonts w:ascii="Segoe UI Light" w:hAnsi="Segoe UI Light"/>
                <w:sz w:val="16"/>
                <w:szCs w:val="16"/>
              </w:rPr>
              <w:t>,</w:t>
            </w:r>
            <w:r>
              <w:rPr>
                <w:rFonts w:ascii="Segoe UI Light" w:hAnsi="Segoe UI Light"/>
                <w:sz w:val="16"/>
                <w:szCs w:val="16"/>
              </w:rPr>
              <w:t>3</w:t>
            </w:r>
          </w:p>
        </w:tc>
        <w:tc>
          <w:tcPr>
            <w:tcW w:w="624" w:type="dxa"/>
            <w:shd w:val="clear" w:color="auto" w:fill="E5DFEC" w:themeFill="accent4" w:themeFillTint="33"/>
          </w:tcPr>
          <w:p w14:paraId="51C1CBBB" w14:textId="77777777" w:rsidR="00CE325A" w:rsidRPr="003B4CDA" w:rsidRDefault="00CE325A" w:rsidP="00D209BD">
            <w:pPr>
              <w:spacing w:before="60" w:after="60"/>
              <w:jc w:val="right"/>
              <w:rPr>
                <w:rFonts w:ascii="Segoe UI Light" w:hAnsi="Segoe UI Light"/>
                <w:sz w:val="16"/>
                <w:szCs w:val="16"/>
              </w:rPr>
            </w:pPr>
            <w:r>
              <w:rPr>
                <w:rFonts w:ascii="Segoe UI Light" w:hAnsi="Segoe UI Light"/>
                <w:sz w:val="16"/>
                <w:szCs w:val="16"/>
              </w:rPr>
              <w:t>66,9</w:t>
            </w:r>
          </w:p>
        </w:tc>
      </w:tr>
      <w:tr w:rsidR="00CE325A" w:rsidRPr="003B4CDA" w14:paraId="1E09E7B7" w14:textId="77777777" w:rsidTr="4398C881">
        <w:tc>
          <w:tcPr>
            <w:tcW w:w="3499" w:type="dxa"/>
            <w:shd w:val="clear" w:color="auto" w:fill="CCC0D9" w:themeFill="accent4" w:themeFillTint="66"/>
          </w:tcPr>
          <w:p w14:paraId="4213E6E4"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Citi komercpakalpojumi</w:t>
            </w:r>
          </w:p>
        </w:tc>
        <w:tc>
          <w:tcPr>
            <w:tcW w:w="642" w:type="dxa"/>
            <w:shd w:val="clear" w:color="auto" w:fill="CCC0D9" w:themeFill="accent4" w:themeFillTint="66"/>
          </w:tcPr>
          <w:p w14:paraId="108D9106" w14:textId="7FF25B7B"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156,3</w:t>
            </w:r>
          </w:p>
        </w:tc>
        <w:tc>
          <w:tcPr>
            <w:tcW w:w="624" w:type="dxa"/>
            <w:shd w:val="clear" w:color="auto" w:fill="CCC0D9" w:themeFill="accent4" w:themeFillTint="66"/>
          </w:tcPr>
          <w:p w14:paraId="22013EA4" w14:textId="6954A8F7"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153,9</w:t>
            </w:r>
          </w:p>
        </w:tc>
        <w:tc>
          <w:tcPr>
            <w:tcW w:w="623" w:type="dxa"/>
            <w:shd w:val="clear" w:color="auto" w:fill="CCC0D9" w:themeFill="accent4" w:themeFillTint="66"/>
          </w:tcPr>
          <w:p w14:paraId="24CCDA8B" w14:textId="6FE3002B"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163,4</w:t>
            </w:r>
          </w:p>
        </w:tc>
        <w:tc>
          <w:tcPr>
            <w:tcW w:w="624" w:type="dxa"/>
            <w:shd w:val="clear" w:color="auto" w:fill="CCC0D9" w:themeFill="accent4" w:themeFillTint="66"/>
          </w:tcPr>
          <w:p w14:paraId="61E8CC7A" w14:textId="728A55CC"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165,0</w:t>
            </w:r>
          </w:p>
        </w:tc>
        <w:tc>
          <w:tcPr>
            <w:tcW w:w="624" w:type="dxa"/>
            <w:shd w:val="clear" w:color="auto" w:fill="CCC0D9" w:themeFill="accent4" w:themeFillTint="66"/>
          </w:tcPr>
          <w:p w14:paraId="3AF95730" w14:textId="400A6DC4"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173,2</w:t>
            </w:r>
          </w:p>
        </w:tc>
        <w:tc>
          <w:tcPr>
            <w:tcW w:w="624" w:type="dxa"/>
            <w:shd w:val="clear" w:color="auto" w:fill="CCC0D9" w:themeFill="accent4" w:themeFillTint="66"/>
          </w:tcPr>
          <w:p w14:paraId="0A929160" w14:textId="0D836AA7"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179,2</w:t>
            </w:r>
          </w:p>
        </w:tc>
        <w:tc>
          <w:tcPr>
            <w:tcW w:w="623" w:type="dxa"/>
            <w:shd w:val="clear" w:color="auto" w:fill="CCC0D9" w:themeFill="accent4" w:themeFillTint="66"/>
          </w:tcPr>
          <w:p w14:paraId="33DFC78C" w14:textId="480FB1E8"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178,3</w:t>
            </w:r>
          </w:p>
        </w:tc>
        <w:tc>
          <w:tcPr>
            <w:tcW w:w="624" w:type="dxa"/>
            <w:shd w:val="clear" w:color="auto" w:fill="CCC0D9" w:themeFill="accent4" w:themeFillTint="66"/>
          </w:tcPr>
          <w:p w14:paraId="2AF71E20" w14:textId="47800289"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185,1</w:t>
            </w:r>
          </w:p>
        </w:tc>
        <w:tc>
          <w:tcPr>
            <w:tcW w:w="624" w:type="dxa"/>
            <w:shd w:val="clear" w:color="auto" w:fill="CCC0D9" w:themeFill="accent4" w:themeFillTint="66"/>
          </w:tcPr>
          <w:p w14:paraId="654B8A6A"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17</w:t>
            </w:r>
            <w:r>
              <w:rPr>
                <w:rFonts w:ascii="Segoe UI Light" w:hAnsi="Segoe UI Light"/>
                <w:sz w:val="16"/>
                <w:szCs w:val="16"/>
              </w:rPr>
              <w:t>2</w:t>
            </w:r>
            <w:r w:rsidRPr="003B4CDA">
              <w:rPr>
                <w:rFonts w:ascii="Segoe UI Light" w:hAnsi="Segoe UI Light"/>
                <w:sz w:val="16"/>
                <w:szCs w:val="16"/>
              </w:rPr>
              <w:t>,</w:t>
            </w:r>
            <w:r>
              <w:rPr>
                <w:rFonts w:ascii="Segoe UI Light" w:hAnsi="Segoe UI Light"/>
                <w:sz w:val="16"/>
                <w:szCs w:val="16"/>
              </w:rPr>
              <w:t>3</w:t>
            </w:r>
          </w:p>
        </w:tc>
      </w:tr>
      <w:tr w:rsidR="00CE325A" w:rsidRPr="003B4CDA" w14:paraId="69DB953F" w14:textId="77777777" w:rsidTr="4398C881">
        <w:tc>
          <w:tcPr>
            <w:tcW w:w="3499" w:type="dxa"/>
            <w:shd w:val="clear" w:color="auto" w:fill="E5DFEC" w:themeFill="accent4" w:themeFillTint="33"/>
          </w:tcPr>
          <w:p w14:paraId="7D0B1DD6" w14:textId="77777777" w:rsidR="00CE325A" w:rsidRPr="003B4CDA" w:rsidRDefault="00CE325A" w:rsidP="00D209BD">
            <w:pPr>
              <w:spacing w:before="60" w:after="60"/>
              <w:rPr>
                <w:rFonts w:ascii="Segoe UI Light" w:hAnsi="Segoe UI Light"/>
                <w:sz w:val="16"/>
                <w:szCs w:val="16"/>
                <w:lang w:val="lv-LV"/>
              </w:rPr>
            </w:pPr>
            <w:r w:rsidRPr="003B4CDA">
              <w:rPr>
                <w:rFonts w:ascii="Segoe UI Light" w:hAnsi="Segoe UI Light"/>
                <w:sz w:val="16"/>
                <w:szCs w:val="16"/>
                <w:lang w:val="lv-LV"/>
              </w:rPr>
              <w:t>Sabiedriskie pakalpojumi</w:t>
            </w:r>
          </w:p>
        </w:tc>
        <w:tc>
          <w:tcPr>
            <w:tcW w:w="642" w:type="dxa"/>
            <w:shd w:val="clear" w:color="auto" w:fill="E5DFEC" w:themeFill="accent4" w:themeFillTint="33"/>
          </w:tcPr>
          <w:p w14:paraId="2E848A16" w14:textId="0CEE09A0"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219,0</w:t>
            </w:r>
          </w:p>
        </w:tc>
        <w:tc>
          <w:tcPr>
            <w:tcW w:w="624" w:type="dxa"/>
            <w:shd w:val="clear" w:color="auto" w:fill="E5DFEC" w:themeFill="accent4" w:themeFillTint="33"/>
          </w:tcPr>
          <w:p w14:paraId="2DB244D6"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193,7</w:t>
            </w:r>
          </w:p>
        </w:tc>
        <w:tc>
          <w:tcPr>
            <w:tcW w:w="623" w:type="dxa"/>
            <w:shd w:val="clear" w:color="auto" w:fill="E5DFEC" w:themeFill="accent4" w:themeFillTint="33"/>
          </w:tcPr>
          <w:p w14:paraId="2B078D3A" w14:textId="22F3ED5C"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202,3</w:t>
            </w:r>
          </w:p>
        </w:tc>
        <w:tc>
          <w:tcPr>
            <w:tcW w:w="624" w:type="dxa"/>
            <w:shd w:val="clear" w:color="auto" w:fill="E5DFEC" w:themeFill="accent4" w:themeFillTint="33"/>
          </w:tcPr>
          <w:p w14:paraId="5BC1A87C"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195,7</w:t>
            </w:r>
          </w:p>
        </w:tc>
        <w:tc>
          <w:tcPr>
            <w:tcW w:w="624" w:type="dxa"/>
            <w:shd w:val="clear" w:color="auto" w:fill="E5DFEC" w:themeFill="accent4" w:themeFillTint="33"/>
          </w:tcPr>
          <w:p w14:paraId="2F6982A7"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197,5</w:t>
            </w:r>
          </w:p>
        </w:tc>
        <w:tc>
          <w:tcPr>
            <w:tcW w:w="624" w:type="dxa"/>
            <w:shd w:val="clear" w:color="auto" w:fill="E5DFEC" w:themeFill="accent4" w:themeFillTint="33"/>
          </w:tcPr>
          <w:p w14:paraId="7DC5FFD4"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198,1</w:t>
            </w:r>
          </w:p>
        </w:tc>
        <w:tc>
          <w:tcPr>
            <w:tcW w:w="623" w:type="dxa"/>
            <w:shd w:val="clear" w:color="auto" w:fill="E5DFEC" w:themeFill="accent4" w:themeFillTint="33"/>
          </w:tcPr>
          <w:p w14:paraId="2FF46CF1" w14:textId="02E598AD"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204,6</w:t>
            </w:r>
          </w:p>
        </w:tc>
        <w:tc>
          <w:tcPr>
            <w:tcW w:w="624" w:type="dxa"/>
            <w:shd w:val="clear" w:color="auto" w:fill="E5DFEC" w:themeFill="accent4" w:themeFillTint="33"/>
          </w:tcPr>
          <w:p w14:paraId="4F041604" w14:textId="3D1EC571" w:rsidR="00CE325A" w:rsidRPr="003B4CDA" w:rsidRDefault="357CF0D3" w:rsidP="00D209BD">
            <w:pPr>
              <w:spacing w:before="60" w:after="60"/>
              <w:jc w:val="right"/>
              <w:rPr>
                <w:rFonts w:ascii="Segoe UI Light" w:hAnsi="Segoe UI Light"/>
                <w:sz w:val="16"/>
                <w:szCs w:val="16"/>
              </w:rPr>
            </w:pPr>
            <w:r w:rsidRPr="4398C881">
              <w:rPr>
                <w:rFonts w:ascii="Segoe UI Light" w:hAnsi="Segoe UI Light"/>
                <w:sz w:val="16"/>
                <w:szCs w:val="16"/>
              </w:rPr>
              <w:t>201,4</w:t>
            </w:r>
          </w:p>
        </w:tc>
        <w:tc>
          <w:tcPr>
            <w:tcW w:w="624" w:type="dxa"/>
            <w:shd w:val="clear" w:color="auto" w:fill="E5DFEC" w:themeFill="accent4" w:themeFillTint="33"/>
          </w:tcPr>
          <w:p w14:paraId="6ACD87B2" w14:textId="77777777" w:rsidR="00CE325A" w:rsidRPr="003B4CDA" w:rsidRDefault="00CE325A" w:rsidP="00D209BD">
            <w:pPr>
              <w:spacing w:before="60" w:after="60"/>
              <w:jc w:val="right"/>
              <w:rPr>
                <w:rFonts w:ascii="Segoe UI Light" w:hAnsi="Segoe UI Light"/>
                <w:sz w:val="16"/>
                <w:szCs w:val="16"/>
              </w:rPr>
            </w:pPr>
            <w:r w:rsidRPr="003B4CDA">
              <w:rPr>
                <w:rFonts w:ascii="Segoe UI Light" w:hAnsi="Segoe UI Light"/>
                <w:sz w:val="16"/>
                <w:szCs w:val="16"/>
              </w:rPr>
              <w:t>20</w:t>
            </w:r>
            <w:r>
              <w:rPr>
                <w:rFonts w:ascii="Segoe UI Light" w:hAnsi="Segoe UI Light"/>
                <w:sz w:val="16"/>
                <w:szCs w:val="16"/>
              </w:rPr>
              <w:t>3</w:t>
            </w:r>
            <w:r w:rsidRPr="003B4CDA">
              <w:rPr>
                <w:rFonts w:ascii="Segoe UI Light" w:hAnsi="Segoe UI Light"/>
                <w:sz w:val="16"/>
                <w:szCs w:val="16"/>
              </w:rPr>
              <w:t>,</w:t>
            </w:r>
            <w:r>
              <w:rPr>
                <w:rFonts w:ascii="Segoe UI Light" w:hAnsi="Segoe UI Light"/>
                <w:sz w:val="16"/>
                <w:szCs w:val="16"/>
              </w:rPr>
              <w:t>9</w:t>
            </w:r>
          </w:p>
        </w:tc>
      </w:tr>
    </w:tbl>
    <w:p w14:paraId="733D66DF" w14:textId="77777777" w:rsidR="00843143" w:rsidRPr="00843143" w:rsidRDefault="00843143" w:rsidP="00843143">
      <w:pPr>
        <w:spacing w:before="120" w:after="0"/>
        <w:ind w:firstLine="142"/>
        <w:jc w:val="both"/>
        <w:rPr>
          <w:sz w:val="12"/>
          <w:szCs w:val="12"/>
        </w:rPr>
      </w:pPr>
      <w:r w:rsidRPr="00843143">
        <w:rPr>
          <w:sz w:val="12"/>
          <w:szCs w:val="12"/>
        </w:rPr>
        <w:t>Avots: CSP</w:t>
      </w:r>
    </w:p>
    <w:p w14:paraId="27F98D25" w14:textId="47824E4C" w:rsidR="00CE325A" w:rsidRPr="00843143" w:rsidRDefault="00CE325A" w:rsidP="00843143">
      <w:pPr>
        <w:spacing w:after="0"/>
        <w:ind w:left="142"/>
        <w:rPr>
          <w:sz w:val="12"/>
          <w:szCs w:val="12"/>
        </w:rPr>
      </w:pPr>
      <w:r w:rsidRPr="00843143">
        <w:rPr>
          <w:sz w:val="12"/>
          <w:szCs w:val="12"/>
        </w:rPr>
        <w:t xml:space="preserve">Sākot ar 2014. gadu izmaiņas darbaspēka </w:t>
      </w:r>
      <w:proofErr w:type="spellStart"/>
      <w:r w:rsidRPr="00843143">
        <w:rPr>
          <w:sz w:val="12"/>
          <w:szCs w:val="12"/>
        </w:rPr>
        <w:t>apsekojuma</w:t>
      </w:r>
      <w:proofErr w:type="spellEnd"/>
      <w:r w:rsidRPr="00843143">
        <w:rPr>
          <w:sz w:val="12"/>
          <w:szCs w:val="12"/>
        </w:rPr>
        <w:t xml:space="preserve"> metodoloģijā – ceturkšņa datu vispārināšanai tiek izmantots ceturkšņa vidējais privātajās mājsaimniecībās dzīvojošo iedzīvotāju</w:t>
      </w:r>
      <w:r w:rsidR="00843143">
        <w:rPr>
          <w:sz w:val="12"/>
          <w:szCs w:val="12"/>
        </w:rPr>
        <w:t xml:space="preserve"> </w:t>
      </w:r>
      <w:r w:rsidRPr="00843143">
        <w:rPr>
          <w:sz w:val="12"/>
          <w:szCs w:val="12"/>
        </w:rPr>
        <w:t>skaits (iepriekš – iedzīvotāju skaits gada sākumā)</w:t>
      </w:r>
    </w:p>
    <w:p w14:paraId="2BA89690" w14:textId="6FE8C764" w:rsidR="00CE325A" w:rsidRPr="00843143" w:rsidRDefault="00D91518" w:rsidP="00227230">
      <w:pPr>
        <w:ind w:left="284" w:hanging="142"/>
        <w:rPr>
          <w:sz w:val="12"/>
          <w:szCs w:val="12"/>
        </w:rPr>
      </w:pPr>
      <w:r>
        <w:rPr>
          <w:sz w:val="12"/>
          <w:szCs w:val="12"/>
        </w:rPr>
        <w:t>*</w:t>
      </w:r>
      <w:r w:rsidR="00CE325A" w:rsidRPr="00843143">
        <w:rPr>
          <w:sz w:val="12"/>
          <w:szCs w:val="12"/>
        </w:rPr>
        <w:t xml:space="preserve">2021. gadā </w:t>
      </w:r>
      <w:bookmarkStart w:id="25" w:name="_Hlk103263522"/>
      <w:r w:rsidR="00CE325A" w:rsidRPr="00843143">
        <w:rPr>
          <w:sz w:val="12"/>
          <w:szCs w:val="12"/>
        </w:rPr>
        <w:t>EM novērtējums, balstoties uz 2020. gada DSA datiem</w:t>
      </w:r>
      <w:bookmarkEnd w:id="25"/>
    </w:p>
    <w:p w14:paraId="3B7760AB" w14:textId="6887F442" w:rsidR="00CE325A" w:rsidRPr="003B4CDA" w:rsidRDefault="00227230" w:rsidP="00843143">
      <w:pPr>
        <w:jc w:val="both"/>
      </w:pPr>
      <w:r>
        <w:br/>
      </w:r>
      <w:r w:rsidR="357CF0D3">
        <w:t xml:space="preserve">2021. gadā, pēc darbaspēka </w:t>
      </w:r>
      <w:proofErr w:type="spellStart"/>
      <w:r w:rsidR="357CF0D3">
        <w:t>apsekojuma</w:t>
      </w:r>
      <w:proofErr w:type="spellEnd"/>
      <w:r w:rsidR="357CF0D3">
        <w:t xml:space="preserve"> datiem, nodarbināto skaits bija 864 tūkst., kas bija par 3,2% jeb 29 tūkst. maz</w:t>
      </w:r>
      <w:r w:rsidR="357CF0D3" w:rsidRPr="0073619A">
        <w:rPr>
          <w:szCs w:val="20"/>
        </w:rPr>
        <w:t>āks nekā 20</w:t>
      </w:r>
      <w:r w:rsidR="357CF0D3">
        <w:t>20. gadā un kas bija lielākais nodarbināto skaita kritums kopš 2010. gada. Nodarbināto skaits visstraujāk samazinājās lauksaimniecībā, komercpakalpojumos un būvniecībā, bet pieauga – pārējā rūpniecībā.</w:t>
      </w:r>
    </w:p>
    <w:p w14:paraId="6DC44E45" w14:textId="77777777" w:rsidR="00CE325A" w:rsidRPr="003B4CDA" w:rsidRDefault="00CE325A" w:rsidP="00CE325A">
      <w:pPr>
        <w:pStyle w:val="BodyTextIndent"/>
        <w:numPr>
          <w:ilvl w:val="12"/>
          <w:numId w:val="0"/>
        </w:numPr>
        <w:spacing w:after="240"/>
        <w:jc w:val="right"/>
        <w:rPr>
          <w:color w:val="000000"/>
          <w:szCs w:val="26"/>
        </w:rPr>
      </w:pPr>
      <w:r w:rsidRPr="003B4CDA">
        <w:rPr>
          <w:color w:val="000000"/>
          <w:szCs w:val="26"/>
        </w:rPr>
        <w:t>2.1. attēls</w:t>
      </w:r>
    </w:p>
    <w:p w14:paraId="1EFB9837" w14:textId="77777777" w:rsidR="00CE325A" w:rsidRPr="003B4CDA" w:rsidRDefault="00CE325A" w:rsidP="00CE325A">
      <w:pPr>
        <w:pStyle w:val="BodyText2"/>
        <w:tabs>
          <w:tab w:val="center" w:pos="1701"/>
          <w:tab w:val="center" w:pos="4536"/>
          <w:tab w:val="center" w:pos="7371"/>
        </w:tabs>
        <w:spacing w:line="240" w:lineRule="auto"/>
        <w:rPr>
          <w:rFonts w:ascii="Segoe UI Light" w:hAnsi="Segoe UI Light"/>
          <w:b/>
          <w:bCs/>
          <w:i/>
          <w:color w:val="000000"/>
          <w:sz w:val="16"/>
          <w:szCs w:val="26"/>
        </w:rPr>
      </w:pPr>
      <w:r w:rsidRPr="003B4CDA">
        <w:rPr>
          <w:rFonts w:ascii="Segoe UI Light" w:hAnsi="Segoe UI Light"/>
          <w:b/>
          <w:bCs/>
          <w:color w:val="000000"/>
          <w:sz w:val="18"/>
          <w:szCs w:val="26"/>
        </w:rPr>
        <w:tab/>
      </w:r>
      <w:r w:rsidRPr="003B4CDA">
        <w:rPr>
          <w:rFonts w:ascii="Segoe UI Light" w:hAnsi="Segoe UI Light"/>
          <w:b/>
          <w:bCs/>
          <w:color w:val="000000"/>
          <w:sz w:val="18"/>
          <w:szCs w:val="26"/>
        </w:rPr>
        <w:tab/>
        <w:t>Nodarbināto struktūra tautsaimniecības nozarēs</w:t>
      </w:r>
      <w:r w:rsidRPr="003B4CDA">
        <w:rPr>
          <w:rFonts w:ascii="Segoe UI Light" w:hAnsi="Segoe UI Light"/>
          <w:b/>
          <w:bCs/>
          <w:color w:val="000000"/>
          <w:sz w:val="18"/>
          <w:szCs w:val="26"/>
        </w:rPr>
        <w:br/>
      </w:r>
      <w:r w:rsidRPr="003B4CDA">
        <w:rPr>
          <w:rFonts w:ascii="Segoe UI Light" w:hAnsi="Segoe UI Light"/>
          <w:i/>
          <w:noProof/>
          <w:sz w:val="16"/>
          <w:lang w:eastAsia="lv-LV"/>
        </w:rPr>
        <w:tab/>
        <w:t>2010. gads</w:t>
      </w:r>
      <w:r w:rsidRPr="003B4CDA">
        <w:rPr>
          <w:rFonts w:ascii="Segoe UI Light" w:hAnsi="Segoe UI Light"/>
          <w:i/>
          <w:noProof/>
          <w:sz w:val="16"/>
          <w:lang w:eastAsia="lv-LV"/>
        </w:rPr>
        <w:tab/>
      </w:r>
      <w:r w:rsidRPr="003B4CDA">
        <w:rPr>
          <w:rFonts w:ascii="Segoe UI Light" w:hAnsi="Segoe UI Light"/>
          <w:i/>
          <w:noProof/>
          <w:sz w:val="16"/>
          <w:lang w:eastAsia="lv-LV"/>
        </w:rPr>
        <w:tab/>
      </w:r>
      <w:r w:rsidRPr="003B4CDA">
        <w:rPr>
          <w:rFonts w:ascii="Segoe UI Light" w:hAnsi="Segoe UI Light"/>
          <w:i/>
          <w:sz w:val="16"/>
        </w:rPr>
        <w:t>20</w:t>
      </w:r>
      <w:r>
        <w:rPr>
          <w:rFonts w:ascii="Segoe UI Light" w:hAnsi="Segoe UI Light"/>
          <w:i/>
          <w:sz w:val="16"/>
        </w:rPr>
        <w:t>21</w:t>
      </w:r>
      <w:r w:rsidRPr="003B4CDA">
        <w:rPr>
          <w:rFonts w:ascii="Segoe UI Light" w:hAnsi="Segoe UI Light"/>
          <w:i/>
          <w:sz w:val="16"/>
        </w:rPr>
        <w:t>. gads</w:t>
      </w:r>
    </w:p>
    <w:p w14:paraId="350B463B" w14:textId="77777777" w:rsidR="00CE325A" w:rsidRPr="003B4CDA" w:rsidRDefault="00CE325A" w:rsidP="00CE325A">
      <w:pPr>
        <w:tabs>
          <w:tab w:val="left" w:pos="9071"/>
        </w:tabs>
        <w:jc w:val="center"/>
        <w:rPr>
          <w:noProof/>
          <w:lang w:eastAsia="lv-LV"/>
        </w:rPr>
      </w:pPr>
      <w:r w:rsidRPr="003B4CDA">
        <w:rPr>
          <w:noProof/>
          <w:lang w:eastAsia="lv-LV"/>
        </w:rPr>
        <w:drawing>
          <wp:inline distT="0" distB="0" distL="0" distR="0" wp14:anchorId="3027CBB9" wp14:editId="50B94824">
            <wp:extent cx="1799590" cy="1800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3B4CDA">
        <w:rPr>
          <w:noProof/>
          <w:lang w:eastAsia="lv-LV"/>
        </w:rPr>
        <w:drawing>
          <wp:inline distT="0" distB="0" distL="0" distR="0" wp14:anchorId="20F2881B" wp14:editId="66795F8D">
            <wp:extent cx="1799590" cy="1800000"/>
            <wp:effectExtent l="0" t="0" r="0" b="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3B4CDA">
        <w:rPr>
          <w:noProof/>
          <w:lang w:eastAsia="lv-LV"/>
        </w:rPr>
        <w:drawing>
          <wp:inline distT="0" distB="0" distL="0" distR="0" wp14:anchorId="54F99A8D" wp14:editId="5176AC35">
            <wp:extent cx="1799590" cy="18000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C920D85" w14:textId="77777777" w:rsidR="00CE325A" w:rsidRPr="00843143" w:rsidRDefault="00CE325A" w:rsidP="00227230">
      <w:pPr>
        <w:jc w:val="both"/>
        <w:rPr>
          <w:sz w:val="12"/>
          <w:szCs w:val="12"/>
        </w:rPr>
      </w:pPr>
      <w:r w:rsidRPr="00843143">
        <w:rPr>
          <w:sz w:val="12"/>
          <w:szCs w:val="12"/>
        </w:rPr>
        <w:t>Avots: CSP</w:t>
      </w:r>
    </w:p>
    <w:p w14:paraId="5A1D50C0" w14:textId="77777777" w:rsidR="00CE325A" w:rsidRDefault="00CE325A" w:rsidP="00CE325A">
      <w:pPr>
        <w:jc w:val="both"/>
        <w:rPr>
          <w:szCs w:val="20"/>
        </w:rPr>
      </w:pPr>
      <w:r w:rsidRPr="003B4CDA">
        <w:rPr>
          <w:szCs w:val="20"/>
        </w:rPr>
        <w:lastRenderedPageBreak/>
        <w:t>Vislielākais nodarbināto īpatsvars 20</w:t>
      </w:r>
      <w:r>
        <w:rPr>
          <w:szCs w:val="20"/>
        </w:rPr>
        <w:t>21</w:t>
      </w:r>
      <w:r w:rsidRPr="003B4CDA">
        <w:rPr>
          <w:szCs w:val="20"/>
        </w:rPr>
        <w:t>. gadā bija sabiedrisko pakalpojumu nozarēs (2</w:t>
      </w:r>
      <w:r>
        <w:rPr>
          <w:szCs w:val="20"/>
        </w:rPr>
        <w:t>4</w:t>
      </w:r>
      <w:r w:rsidRPr="003B4CDA">
        <w:rPr>
          <w:szCs w:val="20"/>
        </w:rPr>
        <w:t>%), komercpakalpojumos (20%), tirdzniecībā un izmitināšanā (1</w:t>
      </w:r>
      <w:r>
        <w:rPr>
          <w:szCs w:val="20"/>
        </w:rPr>
        <w:t>8</w:t>
      </w:r>
      <w:r w:rsidRPr="003B4CDA">
        <w:rPr>
          <w:szCs w:val="20"/>
        </w:rPr>
        <w:t>%), kā arī apstrādes rūpniecībā (13%). Salīdzinot ar 2010. gadu, struktūra būtiski nav mainījusies, nodarbināto īpatsvars nedaudz sarucis lauksaimniecībā</w:t>
      </w:r>
      <w:r>
        <w:rPr>
          <w:szCs w:val="20"/>
        </w:rPr>
        <w:t xml:space="preserve"> un </w:t>
      </w:r>
      <w:r w:rsidRPr="003B4CDA">
        <w:rPr>
          <w:szCs w:val="20"/>
        </w:rPr>
        <w:t>tirdzniecībā, bet pieaudzis būvniecībā</w:t>
      </w:r>
      <w:r>
        <w:rPr>
          <w:szCs w:val="20"/>
        </w:rPr>
        <w:t>,</w:t>
      </w:r>
      <w:r w:rsidRPr="003B4CDA">
        <w:rPr>
          <w:szCs w:val="20"/>
        </w:rPr>
        <w:t xml:space="preserve"> komercpakalpojumos un sabiedriskajos pakalpojumo</w:t>
      </w:r>
      <w:r>
        <w:rPr>
          <w:szCs w:val="20"/>
        </w:rPr>
        <w:t>s</w:t>
      </w:r>
      <w:r w:rsidRPr="003B4CDA">
        <w:rPr>
          <w:szCs w:val="20"/>
        </w:rPr>
        <w:t>, savukārt transportā</w:t>
      </w:r>
      <w:r>
        <w:rPr>
          <w:szCs w:val="20"/>
        </w:rPr>
        <w:t>,</w:t>
      </w:r>
      <w:r w:rsidRPr="003B4CDA">
        <w:rPr>
          <w:szCs w:val="20"/>
        </w:rPr>
        <w:t xml:space="preserve"> apstrādes </w:t>
      </w:r>
      <w:r>
        <w:rPr>
          <w:szCs w:val="20"/>
        </w:rPr>
        <w:t>un pārējā rūpniecības saglabājies nemainīgs.</w:t>
      </w:r>
    </w:p>
    <w:p w14:paraId="31AFC0C0" w14:textId="77777777" w:rsidR="00CE325A" w:rsidRPr="00502BC0" w:rsidRDefault="00CE325A" w:rsidP="0022723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502BC0">
        <w:rPr>
          <w:rFonts w:ascii="Segoe UI Light" w:hAnsi="Segoe UI Light"/>
          <w:b/>
          <w:sz w:val="16"/>
          <w:szCs w:val="16"/>
        </w:rPr>
        <w:t>Darbaspēka pieprasījums augsto tehnoloģiju un zināšanu ietilpīgo pakalpojumu nozarēs ES valstīs</w:t>
      </w:r>
    </w:p>
    <w:p w14:paraId="3E8247E9" w14:textId="77777777" w:rsidR="00CE325A" w:rsidRPr="003B4CDA"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p>
    <w:p w14:paraId="270D9E65" w14:textId="2F8CAD6B" w:rsidR="00CE325A" w:rsidRPr="003B4CDA"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6"/>
          <w:szCs w:val="18"/>
        </w:rPr>
      </w:pPr>
      <w:r w:rsidRPr="003B4CDA">
        <w:rPr>
          <w:rFonts w:ascii="Segoe UI Light" w:hAnsi="Segoe UI Light"/>
          <w:bCs/>
          <w:sz w:val="16"/>
          <w:szCs w:val="18"/>
        </w:rPr>
        <w:t>EK specializēšanos augstajās tehnoloģijās un zināšanu ietilpīgās jomās ir nosaukusi kā vienu no galvenajām ES konkurētspējas priekšrocībām pasaules tirgos. No ES valstīm lielākais nodarbināto īpatsvars augsto tehnoloģiju ekonomikā 20</w:t>
      </w:r>
      <w:r>
        <w:rPr>
          <w:rFonts w:ascii="Segoe UI Light" w:hAnsi="Segoe UI Light"/>
          <w:bCs/>
          <w:sz w:val="16"/>
          <w:szCs w:val="18"/>
        </w:rPr>
        <w:t>20</w:t>
      </w:r>
      <w:r w:rsidRPr="003B4CDA">
        <w:rPr>
          <w:rFonts w:ascii="Segoe UI Light" w:hAnsi="Segoe UI Light"/>
          <w:bCs/>
          <w:sz w:val="16"/>
          <w:szCs w:val="18"/>
        </w:rPr>
        <w:t>. gadā bija Čehijā (14% no kopējā nodarbināto skaita),</w:t>
      </w:r>
      <w:r w:rsidRPr="001E4C43">
        <w:rPr>
          <w:rFonts w:ascii="Segoe UI Light" w:hAnsi="Segoe UI Light"/>
          <w:bCs/>
          <w:sz w:val="16"/>
          <w:szCs w:val="18"/>
        </w:rPr>
        <w:t xml:space="preserve"> </w:t>
      </w:r>
      <w:r w:rsidRPr="003B4CDA">
        <w:rPr>
          <w:rFonts w:ascii="Segoe UI Light" w:hAnsi="Segoe UI Light"/>
          <w:bCs/>
          <w:sz w:val="16"/>
          <w:szCs w:val="18"/>
        </w:rPr>
        <w:t>Slovēnijā (</w:t>
      </w:r>
      <w:r>
        <w:rPr>
          <w:rFonts w:ascii="Segoe UI Light" w:hAnsi="Segoe UI Light"/>
          <w:bCs/>
          <w:sz w:val="16"/>
          <w:szCs w:val="18"/>
        </w:rPr>
        <w:t>11</w:t>
      </w:r>
      <w:r w:rsidRPr="003B4CDA">
        <w:rPr>
          <w:rFonts w:ascii="Segoe UI Light" w:hAnsi="Segoe UI Light"/>
          <w:bCs/>
          <w:sz w:val="16"/>
          <w:szCs w:val="18"/>
        </w:rPr>
        <w:t xml:space="preserve">%) </w:t>
      </w:r>
      <w:r>
        <w:rPr>
          <w:rFonts w:ascii="Segoe UI Light" w:hAnsi="Segoe UI Light"/>
          <w:bCs/>
          <w:sz w:val="16"/>
          <w:szCs w:val="18"/>
        </w:rPr>
        <w:t xml:space="preserve">un </w:t>
      </w:r>
      <w:r w:rsidRPr="003B4CDA">
        <w:rPr>
          <w:rFonts w:ascii="Segoe UI Light" w:hAnsi="Segoe UI Light"/>
          <w:bCs/>
          <w:sz w:val="16"/>
          <w:szCs w:val="18"/>
        </w:rPr>
        <w:t>Vācijā (10,</w:t>
      </w:r>
      <w:r>
        <w:rPr>
          <w:rFonts w:ascii="Segoe UI Light" w:hAnsi="Segoe UI Light"/>
          <w:bCs/>
          <w:sz w:val="16"/>
          <w:szCs w:val="18"/>
        </w:rPr>
        <w:t>9</w:t>
      </w:r>
      <w:r w:rsidRPr="003B4CDA">
        <w:rPr>
          <w:rFonts w:ascii="Segoe UI Light" w:hAnsi="Segoe UI Light"/>
          <w:bCs/>
          <w:sz w:val="16"/>
          <w:szCs w:val="18"/>
        </w:rPr>
        <w:t>%), savukārt viszemākais Grieķijā (3,</w:t>
      </w:r>
      <w:r>
        <w:rPr>
          <w:rFonts w:ascii="Segoe UI Light" w:hAnsi="Segoe UI Light"/>
          <w:bCs/>
          <w:sz w:val="16"/>
          <w:szCs w:val="18"/>
        </w:rPr>
        <w:t>1</w:t>
      </w:r>
      <w:r w:rsidRPr="003B4CDA">
        <w:rPr>
          <w:rFonts w:ascii="Segoe UI Light" w:hAnsi="Segoe UI Light"/>
          <w:bCs/>
          <w:sz w:val="16"/>
          <w:szCs w:val="18"/>
        </w:rPr>
        <w:t>%)</w:t>
      </w:r>
      <w:r>
        <w:rPr>
          <w:rFonts w:ascii="Segoe UI Light" w:hAnsi="Segoe UI Light"/>
          <w:bCs/>
          <w:sz w:val="16"/>
          <w:szCs w:val="18"/>
        </w:rPr>
        <w:t>,</w:t>
      </w:r>
      <w:r w:rsidRPr="003B4CDA">
        <w:rPr>
          <w:rFonts w:ascii="Segoe UI Light" w:hAnsi="Segoe UI Light"/>
          <w:bCs/>
          <w:sz w:val="16"/>
          <w:szCs w:val="18"/>
        </w:rPr>
        <w:t xml:space="preserve"> Kiprā (3,</w:t>
      </w:r>
      <w:r>
        <w:rPr>
          <w:rFonts w:ascii="Segoe UI Light" w:hAnsi="Segoe UI Light"/>
          <w:bCs/>
          <w:sz w:val="16"/>
          <w:szCs w:val="18"/>
        </w:rPr>
        <w:t>5</w:t>
      </w:r>
      <w:r w:rsidRPr="003B4CDA">
        <w:rPr>
          <w:rFonts w:ascii="Segoe UI Light" w:hAnsi="Segoe UI Light"/>
          <w:bCs/>
          <w:sz w:val="16"/>
          <w:szCs w:val="18"/>
        </w:rPr>
        <w:t>%) un Portugālē (</w:t>
      </w:r>
      <w:r>
        <w:rPr>
          <w:rFonts w:ascii="Segoe UI Light" w:hAnsi="Segoe UI Light"/>
          <w:bCs/>
          <w:sz w:val="16"/>
          <w:szCs w:val="18"/>
        </w:rPr>
        <w:t>4,3</w:t>
      </w:r>
      <w:r w:rsidRPr="003B4CDA">
        <w:rPr>
          <w:rFonts w:ascii="Segoe UI Light" w:hAnsi="Segoe UI Light"/>
          <w:bCs/>
          <w:sz w:val="16"/>
          <w:szCs w:val="18"/>
        </w:rPr>
        <w:t>%). Latvijā nodarbināto īpatsvars augsto tehnoloģiju nozarēs kopumā veido vien 5,8%, tādējādi pēc nodarbināto īpatsvara augsto tehnoloģiju nozarēs ierindojoties vien 20 vietā no 2</w:t>
      </w:r>
      <w:r>
        <w:rPr>
          <w:rFonts w:ascii="Segoe UI Light" w:hAnsi="Segoe UI Light"/>
          <w:bCs/>
          <w:sz w:val="16"/>
          <w:szCs w:val="18"/>
        </w:rPr>
        <w:t>7</w:t>
      </w:r>
      <w:r w:rsidRPr="003B4CDA">
        <w:rPr>
          <w:rFonts w:ascii="Segoe UI Light" w:hAnsi="Segoe UI Light"/>
          <w:bCs/>
          <w:sz w:val="16"/>
          <w:szCs w:val="18"/>
        </w:rPr>
        <w:t xml:space="preserve"> Eiropas valstīm.</w:t>
      </w:r>
    </w:p>
    <w:p w14:paraId="34A9117A" w14:textId="77777777" w:rsidR="00CE325A" w:rsidRPr="003B4CDA"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b/>
          <w:sz w:val="16"/>
          <w:szCs w:val="18"/>
        </w:rPr>
      </w:pPr>
      <w:r w:rsidRPr="003B4CDA">
        <w:rPr>
          <w:rFonts w:ascii="Segoe UI Light" w:hAnsi="Segoe UI Light"/>
          <w:b/>
          <w:noProof/>
          <w:sz w:val="16"/>
          <w:szCs w:val="18"/>
          <w:lang w:eastAsia="lv-LV"/>
        </w:rPr>
        <w:drawing>
          <wp:inline distT="0" distB="0" distL="0" distR="0" wp14:anchorId="6743E5C0" wp14:editId="2A61398B">
            <wp:extent cx="5715000" cy="2438400"/>
            <wp:effectExtent l="0" t="0" r="0" b="0"/>
            <wp:docPr id="262" name="Chart 262">
              <a:extLst xmlns:a="http://schemas.openxmlformats.org/drawingml/2006/main">
                <a:ext uri="{FF2B5EF4-FFF2-40B4-BE49-F238E27FC236}">
                  <a16:creationId xmlns:a16="http://schemas.microsoft.com/office/drawing/2014/main" id="{109C1A1C-101C-4019-B978-7088BEE7A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510415F" w14:textId="7B316AF1" w:rsidR="00CE325A" w:rsidRPr="00502BC0"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12"/>
          <w:szCs w:val="14"/>
        </w:rPr>
      </w:pPr>
      <w:r w:rsidRPr="00502BC0">
        <w:rPr>
          <w:rFonts w:ascii="Segoe UI Light" w:hAnsi="Segoe UI Light"/>
          <w:bCs/>
          <w:sz w:val="12"/>
          <w:szCs w:val="14"/>
        </w:rPr>
        <w:t xml:space="preserve">Avots: </w:t>
      </w:r>
      <w:proofErr w:type="spellStart"/>
      <w:r w:rsidRPr="00502BC0">
        <w:rPr>
          <w:rFonts w:ascii="Segoe UI Light" w:hAnsi="Segoe UI Light"/>
          <w:bCs/>
          <w:sz w:val="12"/>
          <w:szCs w:val="14"/>
        </w:rPr>
        <w:t>Cedefop</w:t>
      </w:r>
      <w:proofErr w:type="spellEnd"/>
      <w:r w:rsidRPr="00502BC0">
        <w:rPr>
          <w:rFonts w:ascii="Segoe UI Light" w:hAnsi="Segoe UI Light"/>
          <w:bCs/>
          <w:sz w:val="12"/>
          <w:szCs w:val="14"/>
        </w:rPr>
        <w:t xml:space="preserve">, </w:t>
      </w:r>
      <w:proofErr w:type="spellStart"/>
      <w:r w:rsidRPr="00502BC0">
        <w:rPr>
          <w:rFonts w:ascii="Segoe UI Light" w:hAnsi="Segoe UI Light"/>
          <w:bCs/>
          <w:sz w:val="12"/>
          <w:szCs w:val="14"/>
        </w:rPr>
        <w:t>Skills</w:t>
      </w:r>
      <w:proofErr w:type="spellEnd"/>
      <w:r w:rsidRPr="00502BC0">
        <w:rPr>
          <w:rFonts w:ascii="Segoe UI Light" w:hAnsi="Segoe UI Light"/>
          <w:bCs/>
          <w:sz w:val="12"/>
          <w:szCs w:val="14"/>
        </w:rPr>
        <w:t xml:space="preserve"> </w:t>
      </w:r>
      <w:proofErr w:type="spellStart"/>
      <w:r w:rsidRPr="00502BC0">
        <w:rPr>
          <w:rFonts w:ascii="Segoe UI Light" w:hAnsi="Segoe UI Light"/>
          <w:bCs/>
          <w:sz w:val="12"/>
          <w:szCs w:val="14"/>
        </w:rPr>
        <w:t>Panorama</w:t>
      </w:r>
      <w:proofErr w:type="spellEnd"/>
      <w:r w:rsidRPr="00502BC0">
        <w:rPr>
          <w:rFonts w:ascii="Segoe UI Light" w:hAnsi="Segoe UI Light"/>
          <w:bCs/>
          <w:sz w:val="12"/>
          <w:szCs w:val="14"/>
        </w:rPr>
        <w:t xml:space="preserve">, </w:t>
      </w:r>
      <w:hyperlink r:id="rId57" w:history="1">
        <w:r w:rsidRPr="00502BC0">
          <w:rPr>
            <w:rStyle w:val="Hyperlink"/>
            <w:rFonts w:ascii="Segoe UI Light" w:hAnsi="Segoe UI Light"/>
            <w:bCs/>
            <w:sz w:val="12"/>
            <w:szCs w:val="14"/>
          </w:rPr>
          <w:t>https://skillspanorama.cedefop.europa.eu/en/skills-themes/future-jobs#</w:t>
        </w:r>
      </w:hyperlink>
    </w:p>
    <w:p w14:paraId="6BA8C15C" w14:textId="77777777" w:rsidR="00CE325A" w:rsidRPr="003B4CDA"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both"/>
        <w:rPr>
          <w:rFonts w:ascii="Segoe UI Light" w:hAnsi="Segoe UI Light"/>
          <w:bCs/>
          <w:sz w:val="8"/>
          <w:szCs w:val="8"/>
        </w:rPr>
      </w:pPr>
    </w:p>
    <w:p w14:paraId="09482A2C" w14:textId="42B27B71" w:rsidR="00CE325A" w:rsidRPr="00D9797C" w:rsidRDefault="00227230" w:rsidP="00CE325A">
      <w:pPr>
        <w:jc w:val="both"/>
        <w:rPr>
          <w:b/>
          <w:bCs/>
          <w:szCs w:val="20"/>
        </w:rPr>
      </w:pPr>
      <w:r>
        <w:rPr>
          <w:b/>
          <w:bCs/>
          <w:szCs w:val="20"/>
        </w:rPr>
        <w:br/>
      </w:r>
      <w:r w:rsidR="00CE325A" w:rsidRPr="00D9797C">
        <w:rPr>
          <w:b/>
          <w:bCs/>
          <w:szCs w:val="20"/>
        </w:rPr>
        <w:t>Profesiju pieprasījums</w:t>
      </w:r>
    </w:p>
    <w:p w14:paraId="30868226" w14:textId="05536871" w:rsidR="00CE325A" w:rsidRDefault="357CF0D3" w:rsidP="00CE325A">
      <w:pPr>
        <w:jc w:val="both"/>
      </w:pPr>
      <w:r>
        <w:t>Ņemot vērā tautsaimniecības pārorientāciju uz augstākas pievienotās vērtības aktivitātēm, kopumā aizvadītos gados būtiski palielinājies augstas kvalifikācijas darbavietu skaits. Nodarbināto skaits augstākās kvalifikācijas profesijās 2021.</w:t>
      </w:r>
      <w:r w:rsidR="3C53C722">
        <w:t> </w:t>
      </w:r>
      <w:r>
        <w:t>gadā bija par gandrīz 12% (40,5 tūkst.) lielāks nekā 2010.</w:t>
      </w:r>
      <w:r w:rsidR="3C53C722">
        <w:t> </w:t>
      </w:r>
      <w:r>
        <w:t>gadā. Nozīmīgākais augstākās kvalifikācijas profesijās nodarbināto skaita pieaugums ir bijis komercpakalpojumu nozarēs – par gandrīz 28 tūkst. nodarbināto, tādejādi veidojot aptuveni 2/3 no kopējā nodarbināto pieauguma augstas kvalifikācijas profesijās. Pēc EM aprēķiniem, augstas kvalifikācijas profesijās 2021. gadā kopumā bija nodarbināti aptuveni 386 tūkst. jeb 45% no visiem nodarbinātajiem. Lielākā daļa (36%) no nodarbināto skaita augstas kvalifikācijas profesijās bija nodarbināti sabiedrisko pakalpojumu nozarēs (valsts pārvalde, veselības aprūpe, izglītība).</w:t>
      </w:r>
    </w:p>
    <w:p w14:paraId="0612F38A" w14:textId="77777777" w:rsidR="00417159" w:rsidRDefault="00417159">
      <w:pPr>
        <w:spacing w:after="0"/>
        <w:rPr>
          <w:szCs w:val="20"/>
        </w:rPr>
      </w:pPr>
      <w:r>
        <w:rPr>
          <w:szCs w:val="20"/>
        </w:rPr>
        <w:br w:type="page"/>
      </w:r>
    </w:p>
    <w:p w14:paraId="333BAD11" w14:textId="5A7999ED" w:rsidR="00CE325A" w:rsidRPr="003B4CDA" w:rsidRDefault="00CE325A" w:rsidP="00CE325A">
      <w:pPr>
        <w:jc w:val="right"/>
        <w:rPr>
          <w:szCs w:val="20"/>
        </w:rPr>
      </w:pPr>
      <w:r w:rsidRPr="003B4CDA">
        <w:rPr>
          <w:szCs w:val="20"/>
        </w:rPr>
        <w:lastRenderedPageBreak/>
        <w:t>2.2. tabula</w:t>
      </w:r>
    </w:p>
    <w:p w14:paraId="136B4709" w14:textId="77777777" w:rsidR="00CE325A" w:rsidRPr="003B4CDA" w:rsidRDefault="00CE325A" w:rsidP="00CE325A">
      <w:pPr>
        <w:spacing w:after="120"/>
        <w:jc w:val="center"/>
        <w:rPr>
          <w:rFonts w:ascii="Segoe UI Light" w:hAnsi="Segoe UI Light"/>
          <w:i/>
          <w:sz w:val="16"/>
          <w:szCs w:val="26"/>
        </w:rPr>
      </w:pPr>
      <w:r w:rsidRPr="003B4CDA">
        <w:rPr>
          <w:rFonts w:ascii="Segoe UI Light" w:hAnsi="Segoe UI Light"/>
          <w:b/>
          <w:sz w:val="18"/>
          <w:szCs w:val="26"/>
        </w:rPr>
        <w:t xml:space="preserve">Nodarbināto skaits tautsaimniecības nozarēs sadalījumā pa profesiju grupām </w:t>
      </w:r>
      <w:r w:rsidRPr="003B4CDA">
        <w:rPr>
          <w:rFonts w:ascii="Segoe UI Light" w:hAnsi="Segoe UI Light"/>
          <w:sz w:val="16"/>
          <w:szCs w:val="26"/>
        </w:rPr>
        <w:br/>
      </w:r>
      <w:r w:rsidRPr="003B4CDA">
        <w:rPr>
          <w:rFonts w:ascii="Segoe UI Light" w:hAnsi="Segoe UI Light"/>
          <w:i/>
          <w:sz w:val="16"/>
          <w:szCs w:val="26"/>
        </w:rPr>
        <w:t>20</w:t>
      </w:r>
      <w:r>
        <w:rPr>
          <w:rFonts w:ascii="Segoe UI Light" w:hAnsi="Segoe UI Light"/>
          <w:i/>
          <w:sz w:val="16"/>
          <w:szCs w:val="26"/>
        </w:rPr>
        <w:t>21</w:t>
      </w:r>
      <w:r w:rsidRPr="003B4CDA">
        <w:rPr>
          <w:rFonts w:ascii="Segoe UI Light" w:hAnsi="Segoe UI Light"/>
          <w:i/>
          <w:sz w:val="16"/>
          <w:szCs w:val="26"/>
        </w:rPr>
        <w:t>. gads, tūkstošos</w:t>
      </w:r>
    </w:p>
    <w:tbl>
      <w:tblPr>
        <w:tblStyle w:val="GridTable5Dark-Accent31"/>
        <w:tblW w:w="49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926"/>
        <w:gridCol w:w="664"/>
        <w:gridCol w:w="664"/>
        <w:gridCol w:w="663"/>
        <w:gridCol w:w="663"/>
        <w:gridCol w:w="663"/>
        <w:gridCol w:w="663"/>
        <w:gridCol w:w="663"/>
        <w:gridCol w:w="663"/>
        <w:gridCol w:w="660"/>
      </w:tblGrid>
      <w:tr w:rsidR="00343BAC" w:rsidRPr="003B4CDA" w14:paraId="060A6F2E" w14:textId="77777777" w:rsidTr="4398C881">
        <w:trPr>
          <w:cnfStyle w:val="100000000000" w:firstRow="1" w:lastRow="0" w:firstColumn="0" w:lastColumn="0" w:oddVBand="0" w:evenVBand="0" w:oddHBand="0" w:evenHBand="0" w:firstRowFirstColumn="0" w:firstRowLastColumn="0" w:lastRowFirstColumn="0" w:lastRowLastColumn="0"/>
          <w:cantSplit/>
          <w:trHeight w:val="1474"/>
          <w:jc w:val="center"/>
        </w:trPr>
        <w:tc>
          <w:tcPr>
            <w:tcW w:w="1645" w:type="pct"/>
            <w:shd w:val="clear" w:color="auto" w:fill="5F497A" w:themeFill="accent4" w:themeFillShade="BF"/>
            <w:textDirection w:val="btLr"/>
          </w:tcPr>
          <w:p w14:paraId="1590E04A" w14:textId="77777777" w:rsidR="00CE325A" w:rsidRPr="003B4CDA" w:rsidRDefault="00CE325A" w:rsidP="00D209BD">
            <w:pPr>
              <w:spacing w:before="40" w:after="40"/>
              <w:ind w:left="57" w:right="57"/>
              <w:jc w:val="center"/>
              <w:rPr>
                <w:rFonts w:ascii="Segoe UI Light" w:eastAsia="Arial Unicode MS" w:hAnsi="Segoe UI Light"/>
                <w:b w:val="0"/>
                <w:sz w:val="16"/>
                <w:szCs w:val="16"/>
              </w:rPr>
            </w:pPr>
          </w:p>
        </w:tc>
        <w:tc>
          <w:tcPr>
            <w:tcW w:w="373" w:type="pct"/>
            <w:shd w:val="clear" w:color="auto" w:fill="5F497A" w:themeFill="accent4" w:themeFillShade="BF"/>
            <w:textDirection w:val="btLr"/>
          </w:tcPr>
          <w:p w14:paraId="71F93D50"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Lauksaimniecība</w:t>
            </w:r>
          </w:p>
        </w:tc>
        <w:tc>
          <w:tcPr>
            <w:tcW w:w="373" w:type="pct"/>
            <w:shd w:val="clear" w:color="auto" w:fill="5F497A" w:themeFill="accent4" w:themeFillShade="BF"/>
            <w:textDirection w:val="btLr"/>
          </w:tcPr>
          <w:p w14:paraId="01B21C61"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Apstrādes </w:t>
            </w:r>
            <w:r w:rsidRPr="003B4CDA">
              <w:rPr>
                <w:rFonts w:ascii="Segoe UI Light" w:eastAsia="Times New Roman" w:hAnsi="Segoe UI Light"/>
                <w:sz w:val="16"/>
                <w:szCs w:val="16"/>
              </w:rPr>
              <w:br/>
              <w:t>rūpniecība</w:t>
            </w:r>
          </w:p>
        </w:tc>
        <w:tc>
          <w:tcPr>
            <w:tcW w:w="373" w:type="pct"/>
            <w:shd w:val="clear" w:color="auto" w:fill="5F497A" w:themeFill="accent4" w:themeFillShade="BF"/>
            <w:textDirection w:val="btLr"/>
          </w:tcPr>
          <w:p w14:paraId="28F76186"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Pārējā </w:t>
            </w:r>
            <w:r w:rsidRPr="003B4CDA">
              <w:rPr>
                <w:rFonts w:ascii="Segoe UI Light" w:eastAsia="Times New Roman" w:hAnsi="Segoe UI Light"/>
                <w:sz w:val="16"/>
                <w:szCs w:val="16"/>
              </w:rPr>
              <w:br/>
              <w:t>rūpniecība</w:t>
            </w:r>
          </w:p>
        </w:tc>
        <w:tc>
          <w:tcPr>
            <w:tcW w:w="373" w:type="pct"/>
            <w:shd w:val="clear" w:color="auto" w:fill="5F497A" w:themeFill="accent4" w:themeFillShade="BF"/>
            <w:textDirection w:val="btLr"/>
          </w:tcPr>
          <w:p w14:paraId="35651292"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Būvniecība</w:t>
            </w:r>
          </w:p>
        </w:tc>
        <w:tc>
          <w:tcPr>
            <w:tcW w:w="373" w:type="pct"/>
            <w:shd w:val="clear" w:color="auto" w:fill="5F497A" w:themeFill="accent4" w:themeFillShade="BF"/>
            <w:textDirection w:val="btLr"/>
          </w:tcPr>
          <w:p w14:paraId="01864110"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Tirdzniecība, izmitināšana</w:t>
            </w:r>
          </w:p>
        </w:tc>
        <w:tc>
          <w:tcPr>
            <w:tcW w:w="373" w:type="pct"/>
            <w:shd w:val="clear" w:color="auto" w:fill="5F497A" w:themeFill="accent4" w:themeFillShade="BF"/>
            <w:textDirection w:val="btLr"/>
          </w:tcPr>
          <w:p w14:paraId="167AA402"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Transports un uzglabāšana</w:t>
            </w:r>
          </w:p>
        </w:tc>
        <w:tc>
          <w:tcPr>
            <w:tcW w:w="373" w:type="pct"/>
            <w:shd w:val="clear" w:color="auto" w:fill="5F497A" w:themeFill="accent4" w:themeFillShade="BF"/>
            <w:textDirection w:val="btLr"/>
          </w:tcPr>
          <w:p w14:paraId="79F2A61C"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Citi </w:t>
            </w:r>
            <w:r w:rsidRPr="003B4CDA">
              <w:rPr>
                <w:rFonts w:ascii="Segoe UI Light" w:eastAsia="Times New Roman" w:hAnsi="Segoe UI Light"/>
                <w:sz w:val="16"/>
                <w:szCs w:val="16"/>
              </w:rPr>
              <w:br/>
              <w:t>komercpakalpojumi</w:t>
            </w:r>
          </w:p>
        </w:tc>
        <w:tc>
          <w:tcPr>
            <w:tcW w:w="373" w:type="pct"/>
            <w:shd w:val="clear" w:color="auto" w:fill="5F497A" w:themeFill="accent4" w:themeFillShade="BF"/>
            <w:textDirection w:val="btLr"/>
          </w:tcPr>
          <w:p w14:paraId="6CDB6D27" w14:textId="77777777" w:rsidR="00CE325A" w:rsidRPr="003B4CDA" w:rsidRDefault="00CE325A" w:rsidP="00D209BD">
            <w:pPr>
              <w:spacing w:before="40" w:after="40"/>
              <w:ind w:left="-57" w:right="-57"/>
              <w:jc w:val="center"/>
              <w:rPr>
                <w:rFonts w:ascii="Segoe UI Light" w:eastAsia="Arial Unicode MS" w:hAnsi="Segoe UI Light"/>
                <w:bCs w:val="0"/>
                <w:sz w:val="16"/>
                <w:szCs w:val="16"/>
              </w:rPr>
            </w:pPr>
            <w:r w:rsidRPr="003B4CDA">
              <w:rPr>
                <w:rFonts w:ascii="Segoe UI Light" w:eastAsia="Times New Roman" w:hAnsi="Segoe UI Light"/>
                <w:sz w:val="16"/>
                <w:szCs w:val="16"/>
              </w:rPr>
              <w:t>Sabiedriskie pakalpojumi</w:t>
            </w:r>
          </w:p>
        </w:tc>
        <w:tc>
          <w:tcPr>
            <w:tcW w:w="371" w:type="pct"/>
            <w:shd w:val="clear" w:color="auto" w:fill="5F497A" w:themeFill="accent4" w:themeFillShade="BF"/>
            <w:textDirection w:val="btLr"/>
          </w:tcPr>
          <w:p w14:paraId="38F765D5" w14:textId="77777777" w:rsidR="00CE325A" w:rsidRPr="003B4CDA" w:rsidRDefault="00CE325A" w:rsidP="00D209BD">
            <w:pPr>
              <w:spacing w:before="40" w:after="40"/>
              <w:ind w:left="-57" w:right="-57"/>
              <w:jc w:val="center"/>
              <w:rPr>
                <w:rFonts w:ascii="Segoe UI Light" w:hAnsi="Segoe UI Light"/>
                <w:bCs w:val="0"/>
                <w:sz w:val="16"/>
                <w:szCs w:val="16"/>
              </w:rPr>
            </w:pPr>
            <w:r w:rsidRPr="003B4CDA">
              <w:rPr>
                <w:rFonts w:ascii="Segoe UI Light" w:eastAsia="Arial Unicode MS" w:hAnsi="Segoe UI Light"/>
                <w:sz w:val="16"/>
                <w:szCs w:val="16"/>
              </w:rPr>
              <w:t>Kopā</w:t>
            </w:r>
          </w:p>
        </w:tc>
      </w:tr>
      <w:tr w:rsidR="00343BAC" w:rsidRPr="003B4CDA" w14:paraId="2B75F880" w14:textId="77777777" w:rsidTr="4398C881">
        <w:trPr>
          <w:cnfStyle w:val="000000100000" w:firstRow="0" w:lastRow="0" w:firstColumn="0" w:lastColumn="0" w:oddVBand="0" w:evenVBand="0" w:oddHBand="1" w:evenHBand="0" w:firstRowFirstColumn="0" w:firstRowLastColumn="0" w:lastRowFirstColumn="0" w:lastRowLastColumn="0"/>
          <w:trHeight w:val="274"/>
          <w:jc w:val="center"/>
        </w:trPr>
        <w:tc>
          <w:tcPr>
            <w:tcW w:w="1645" w:type="pct"/>
            <w:shd w:val="clear" w:color="auto" w:fill="CCC0D9" w:themeFill="accent4" w:themeFillTint="66"/>
          </w:tcPr>
          <w:p w14:paraId="5957E02C" w14:textId="77777777" w:rsidR="00CE325A" w:rsidRPr="003B4CDA" w:rsidRDefault="00CE325A" w:rsidP="00D209BD">
            <w:pPr>
              <w:spacing w:before="40" w:after="40"/>
              <w:rPr>
                <w:rFonts w:ascii="Segoe UI Light" w:eastAsia="Arial Unicode MS" w:hAnsi="Segoe UI Light"/>
                <w:sz w:val="16"/>
                <w:szCs w:val="16"/>
              </w:rPr>
            </w:pPr>
            <w:bookmarkStart w:id="26" w:name="_Hlk103265742"/>
            <w:r>
              <w:rPr>
                <w:rFonts w:ascii="Segoe UI Light" w:eastAsia="Arial Unicode MS" w:hAnsi="Segoe UI Light"/>
                <w:sz w:val="16"/>
                <w:szCs w:val="16"/>
              </w:rPr>
              <w:t>Nacionālo bruņoto spēku profesijas</w:t>
            </w:r>
          </w:p>
        </w:tc>
        <w:tc>
          <w:tcPr>
            <w:tcW w:w="373" w:type="pct"/>
            <w:shd w:val="clear" w:color="auto" w:fill="CCC0D9" w:themeFill="accent4" w:themeFillTint="66"/>
          </w:tcPr>
          <w:p w14:paraId="1B3FD51F"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7ADFD7A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786045BA"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205FF5B8"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1C626525"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05CEF2F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6F4CB6BD"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6D0B60E6"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6,6</w:t>
            </w:r>
          </w:p>
        </w:tc>
        <w:tc>
          <w:tcPr>
            <w:tcW w:w="371" w:type="pct"/>
            <w:shd w:val="clear" w:color="auto" w:fill="CCC0D9" w:themeFill="accent4" w:themeFillTint="66"/>
          </w:tcPr>
          <w:p w14:paraId="68915BA7"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6,6</w:t>
            </w:r>
          </w:p>
        </w:tc>
      </w:tr>
      <w:bookmarkEnd w:id="26"/>
      <w:tr w:rsidR="00343BAC" w:rsidRPr="003B4CDA" w14:paraId="0F823CC9" w14:textId="77777777" w:rsidTr="4398C881">
        <w:trPr>
          <w:trHeight w:val="274"/>
          <w:jc w:val="center"/>
        </w:trPr>
        <w:tc>
          <w:tcPr>
            <w:tcW w:w="1645" w:type="pct"/>
            <w:shd w:val="clear" w:color="auto" w:fill="E5DFEC" w:themeFill="accent4" w:themeFillTint="33"/>
          </w:tcPr>
          <w:p w14:paraId="67CB1061" w14:textId="77777777" w:rsidR="00CE325A" w:rsidRPr="005614FE" w:rsidRDefault="00CE325A" w:rsidP="00D209BD">
            <w:pPr>
              <w:spacing w:before="40" w:after="40"/>
              <w:ind w:left="171" w:hanging="142"/>
              <w:rPr>
                <w:rFonts w:ascii="Segoe UI Light" w:eastAsia="Times New Roman" w:hAnsi="Segoe UI Light"/>
                <w:b/>
                <w:bCs/>
                <w:sz w:val="16"/>
                <w:szCs w:val="16"/>
              </w:rPr>
            </w:pPr>
            <w:r w:rsidRPr="005614FE">
              <w:rPr>
                <w:rFonts w:ascii="Segoe UI Light" w:eastAsia="Times New Roman" w:hAnsi="Segoe UI Light"/>
                <w:b/>
                <w:bCs/>
                <w:sz w:val="16"/>
                <w:szCs w:val="16"/>
              </w:rPr>
              <w:t xml:space="preserve">Augstas kvalifikācijas profesijas, </w:t>
            </w:r>
            <w:r w:rsidRPr="005614FE">
              <w:rPr>
                <w:rFonts w:ascii="Segoe UI Light" w:eastAsia="Times New Roman" w:hAnsi="Segoe UI Light"/>
                <w:b/>
                <w:bCs/>
                <w:sz w:val="16"/>
                <w:szCs w:val="16"/>
              </w:rPr>
              <w:br/>
              <w:t>tai skaitā:</w:t>
            </w:r>
          </w:p>
        </w:tc>
        <w:tc>
          <w:tcPr>
            <w:tcW w:w="373" w:type="pct"/>
            <w:shd w:val="clear" w:color="auto" w:fill="E5DFEC" w:themeFill="accent4" w:themeFillTint="33"/>
          </w:tcPr>
          <w:p w14:paraId="744036D2"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9,6</w:t>
            </w:r>
          </w:p>
        </w:tc>
        <w:tc>
          <w:tcPr>
            <w:tcW w:w="373" w:type="pct"/>
            <w:shd w:val="clear" w:color="auto" w:fill="E5DFEC" w:themeFill="accent4" w:themeFillTint="33"/>
          </w:tcPr>
          <w:p w14:paraId="5E841178"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30,2</w:t>
            </w:r>
          </w:p>
        </w:tc>
        <w:tc>
          <w:tcPr>
            <w:tcW w:w="373" w:type="pct"/>
            <w:shd w:val="clear" w:color="auto" w:fill="E5DFEC" w:themeFill="accent4" w:themeFillTint="33"/>
          </w:tcPr>
          <w:p w14:paraId="0B9F1A1D"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8,9</w:t>
            </w:r>
          </w:p>
        </w:tc>
        <w:tc>
          <w:tcPr>
            <w:tcW w:w="373" w:type="pct"/>
            <w:shd w:val="clear" w:color="auto" w:fill="E5DFEC" w:themeFill="accent4" w:themeFillTint="33"/>
          </w:tcPr>
          <w:p w14:paraId="71B98520"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19,7</w:t>
            </w:r>
          </w:p>
        </w:tc>
        <w:tc>
          <w:tcPr>
            <w:tcW w:w="373" w:type="pct"/>
            <w:shd w:val="clear" w:color="auto" w:fill="E5DFEC" w:themeFill="accent4" w:themeFillTint="33"/>
          </w:tcPr>
          <w:p w14:paraId="75351E79"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49,6</w:t>
            </w:r>
          </w:p>
        </w:tc>
        <w:tc>
          <w:tcPr>
            <w:tcW w:w="373" w:type="pct"/>
            <w:shd w:val="clear" w:color="auto" w:fill="E5DFEC" w:themeFill="accent4" w:themeFillTint="33"/>
          </w:tcPr>
          <w:p w14:paraId="11DEFFEC"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18,9</w:t>
            </w:r>
          </w:p>
        </w:tc>
        <w:tc>
          <w:tcPr>
            <w:tcW w:w="373" w:type="pct"/>
            <w:shd w:val="clear" w:color="auto" w:fill="E5DFEC" w:themeFill="accent4" w:themeFillTint="33"/>
          </w:tcPr>
          <w:p w14:paraId="330CACDE"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109,8</w:t>
            </w:r>
          </w:p>
        </w:tc>
        <w:tc>
          <w:tcPr>
            <w:tcW w:w="373" w:type="pct"/>
            <w:shd w:val="clear" w:color="auto" w:fill="E5DFEC" w:themeFill="accent4" w:themeFillTint="33"/>
          </w:tcPr>
          <w:p w14:paraId="085099F7"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139,4</w:t>
            </w:r>
          </w:p>
        </w:tc>
        <w:tc>
          <w:tcPr>
            <w:tcW w:w="371" w:type="pct"/>
            <w:shd w:val="clear" w:color="auto" w:fill="E5DFEC" w:themeFill="accent4" w:themeFillTint="33"/>
          </w:tcPr>
          <w:p w14:paraId="172F5FFD" w14:textId="77777777" w:rsidR="00CE325A" w:rsidRPr="00743039" w:rsidRDefault="00CE325A" w:rsidP="00D209BD">
            <w:pPr>
              <w:tabs>
                <w:tab w:val="decimal" w:pos="258"/>
              </w:tabs>
              <w:spacing w:before="40" w:after="40"/>
              <w:rPr>
                <w:rFonts w:ascii="Segoe UI Light" w:eastAsia="Times New Roman" w:hAnsi="Segoe UI Light"/>
                <w:b/>
                <w:bCs/>
                <w:sz w:val="16"/>
                <w:szCs w:val="16"/>
              </w:rPr>
            </w:pPr>
            <w:r w:rsidRPr="00743039">
              <w:rPr>
                <w:rFonts w:ascii="Segoe UI Light" w:eastAsia="Times New Roman" w:hAnsi="Segoe UI Light"/>
                <w:b/>
                <w:bCs/>
                <w:sz w:val="16"/>
                <w:szCs w:val="16"/>
              </w:rPr>
              <w:t>386,3</w:t>
            </w:r>
          </w:p>
        </w:tc>
      </w:tr>
      <w:tr w:rsidR="00343BAC" w:rsidRPr="003B4CDA" w14:paraId="00A96A89" w14:textId="77777777" w:rsidTr="4398C881">
        <w:trPr>
          <w:cnfStyle w:val="000000100000" w:firstRow="0" w:lastRow="0" w:firstColumn="0" w:lastColumn="0" w:oddVBand="0" w:evenVBand="0" w:oddHBand="1" w:evenHBand="0" w:firstRowFirstColumn="0" w:firstRowLastColumn="0" w:lastRowFirstColumn="0" w:lastRowLastColumn="0"/>
          <w:trHeight w:val="274"/>
          <w:jc w:val="center"/>
        </w:trPr>
        <w:tc>
          <w:tcPr>
            <w:tcW w:w="1645" w:type="pct"/>
            <w:shd w:val="clear" w:color="auto" w:fill="CCC0D9" w:themeFill="accent4" w:themeFillTint="66"/>
          </w:tcPr>
          <w:p w14:paraId="1262B6A0" w14:textId="77777777" w:rsidR="00CE325A" w:rsidRPr="003B4CDA" w:rsidRDefault="00CE325A" w:rsidP="00D209BD">
            <w:pPr>
              <w:spacing w:before="40" w:after="40"/>
              <w:ind w:left="171"/>
              <w:rPr>
                <w:rFonts w:ascii="Segoe UI Light" w:eastAsia="Arial Unicode MS" w:hAnsi="Segoe UI Light"/>
                <w:sz w:val="16"/>
                <w:szCs w:val="16"/>
              </w:rPr>
            </w:pPr>
            <w:bookmarkStart w:id="27" w:name="_Hlk103263792"/>
            <w:r w:rsidRPr="003B4CDA">
              <w:rPr>
                <w:rFonts w:ascii="Segoe UI Light" w:eastAsia="Times New Roman" w:hAnsi="Segoe UI Light"/>
                <w:sz w:val="16"/>
                <w:szCs w:val="16"/>
              </w:rPr>
              <w:t>Vadītāji</w:t>
            </w:r>
          </w:p>
        </w:tc>
        <w:tc>
          <w:tcPr>
            <w:tcW w:w="373" w:type="pct"/>
            <w:shd w:val="clear" w:color="auto" w:fill="CCC0D9" w:themeFill="accent4" w:themeFillTint="66"/>
          </w:tcPr>
          <w:p w14:paraId="7004D62A"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3,8</w:t>
            </w:r>
          </w:p>
        </w:tc>
        <w:tc>
          <w:tcPr>
            <w:tcW w:w="373" w:type="pct"/>
            <w:shd w:val="clear" w:color="auto" w:fill="CCC0D9" w:themeFill="accent4" w:themeFillTint="66"/>
          </w:tcPr>
          <w:p w14:paraId="0498F263"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9,3</w:t>
            </w:r>
          </w:p>
        </w:tc>
        <w:tc>
          <w:tcPr>
            <w:tcW w:w="373" w:type="pct"/>
            <w:shd w:val="clear" w:color="auto" w:fill="CCC0D9" w:themeFill="accent4" w:themeFillTint="66"/>
          </w:tcPr>
          <w:p w14:paraId="7A976D71"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1,</w:t>
            </w:r>
            <w:r>
              <w:rPr>
                <w:rFonts w:ascii="Segoe UI Light" w:eastAsia="Times New Roman" w:hAnsi="Segoe UI Light"/>
                <w:sz w:val="16"/>
                <w:szCs w:val="16"/>
              </w:rPr>
              <w:t>7</w:t>
            </w:r>
          </w:p>
        </w:tc>
        <w:tc>
          <w:tcPr>
            <w:tcW w:w="373" w:type="pct"/>
            <w:shd w:val="clear" w:color="auto" w:fill="CCC0D9" w:themeFill="accent4" w:themeFillTint="66"/>
          </w:tcPr>
          <w:p w14:paraId="1E4E9212"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9,3</w:t>
            </w:r>
          </w:p>
        </w:tc>
        <w:tc>
          <w:tcPr>
            <w:tcW w:w="373" w:type="pct"/>
            <w:shd w:val="clear" w:color="auto" w:fill="CCC0D9" w:themeFill="accent4" w:themeFillTint="66"/>
          </w:tcPr>
          <w:p w14:paraId="4746867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19,0</w:t>
            </w:r>
          </w:p>
        </w:tc>
        <w:tc>
          <w:tcPr>
            <w:tcW w:w="373" w:type="pct"/>
            <w:shd w:val="clear" w:color="auto" w:fill="CCC0D9" w:themeFill="accent4" w:themeFillTint="66"/>
          </w:tcPr>
          <w:p w14:paraId="77A27453"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5,7</w:t>
            </w:r>
          </w:p>
        </w:tc>
        <w:tc>
          <w:tcPr>
            <w:tcW w:w="373" w:type="pct"/>
            <w:shd w:val="clear" w:color="auto" w:fill="CCC0D9" w:themeFill="accent4" w:themeFillTint="66"/>
          </w:tcPr>
          <w:p w14:paraId="2E558B37"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24,3</w:t>
            </w:r>
          </w:p>
        </w:tc>
        <w:tc>
          <w:tcPr>
            <w:tcW w:w="373" w:type="pct"/>
            <w:shd w:val="clear" w:color="auto" w:fill="CCC0D9" w:themeFill="accent4" w:themeFillTint="66"/>
          </w:tcPr>
          <w:p w14:paraId="22CA8896"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15,1</w:t>
            </w:r>
          </w:p>
        </w:tc>
        <w:tc>
          <w:tcPr>
            <w:tcW w:w="371" w:type="pct"/>
            <w:shd w:val="clear" w:color="auto" w:fill="CCC0D9" w:themeFill="accent4" w:themeFillTint="66"/>
          </w:tcPr>
          <w:p w14:paraId="4EE6A088"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88,2</w:t>
            </w:r>
          </w:p>
        </w:tc>
      </w:tr>
      <w:bookmarkEnd w:id="27"/>
      <w:tr w:rsidR="00343BAC" w:rsidRPr="003B4CDA" w14:paraId="56CD3026" w14:textId="77777777" w:rsidTr="4398C881">
        <w:trPr>
          <w:trHeight w:val="274"/>
          <w:jc w:val="center"/>
        </w:trPr>
        <w:tc>
          <w:tcPr>
            <w:tcW w:w="1645" w:type="pct"/>
            <w:shd w:val="clear" w:color="auto" w:fill="E5DFEC" w:themeFill="accent4" w:themeFillTint="33"/>
          </w:tcPr>
          <w:p w14:paraId="7E68B72C"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Vecākie speciālisti</w:t>
            </w:r>
          </w:p>
        </w:tc>
        <w:tc>
          <w:tcPr>
            <w:tcW w:w="373" w:type="pct"/>
            <w:shd w:val="clear" w:color="auto" w:fill="E5DFEC" w:themeFill="accent4" w:themeFillTint="33"/>
          </w:tcPr>
          <w:p w14:paraId="1248160A"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2,7</w:t>
            </w:r>
          </w:p>
        </w:tc>
        <w:tc>
          <w:tcPr>
            <w:tcW w:w="373" w:type="pct"/>
            <w:shd w:val="clear" w:color="auto" w:fill="E5DFEC" w:themeFill="accent4" w:themeFillTint="33"/>
          </w:tcPr>
          <w:p w14:paraId="728230C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10,1</w:t>
            </w:r>
          </w:p>
        </w:tc>
        <w:tc>
          <w:tcPr>
            <w:tcW w:w="373" w:type="pct"/>
            <w:shd w:val="clear" w:color="auto" w:fill="E5DFEC" w:themeFill="accent4" w:themeFillTint="33"/>
          </w:tcPr>
          <w:p w14:paraId="0797515D"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3,0</w:t>
            </w:r>
          </w:p>
        </w:tc>
        <w:tc>
          <w:tcPr>
            <w:tcW w:w="373" w:type="pct"/>
            <w:shd w:val="clear" w:color="auto" w:fill="E5DFEC" w:themeFill="accent4" w:themeFillTint="33"/>
          </w:tcPr>
          <w:p w14:paraId="53192072"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5,2</w:t>
            </w:r>
          </w:p>
        </w:tc>
        <w:tc>
          <w:tcPr>
            <w:tcW w:w="373" w:type="pct"/>
            <w:shd w:val="clear" w:color="auto" w:fill="E5DFEC" w:themeFill="accent4" w:themeFillTint="33"/>
          </w:tcPr>
          <w:p w14:paraId="05FE9015"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9,6</w:t>
            </w:r>
          </w:p>
        </w:tc>
        <w:tc>
          <w:tcPr>
            <w:tcW w:w="373" w:type="pct"/>
            <w:shd w:val="clear" w:color="auto" w:fill="E5DFEC" w:themeFill="accent4" w:themeFillTint="33"/>
          </w:tcPr>
          <w:p w14:paraId="11EA20D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4,6</w:t>
            </w:r>
          </w:p>
        </w:tc>
        <w:tc>
          <w:tcPr>
            <w:tcW w:w="373" w:type="pct"/>
            <w:shd w:val="clear" w:color="auto" w:fill="E5DFEC" w:themeFill="accent4" w:themeFillTint="33"/>
          </w:tcPr>
          <w:p w14:paraId="5DFB90B4"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48,2</w:t>
            </w:r>
          </w:p>
        </w:tc>
        <w:tc>
          <w:tcPr>
            <w:tcW w:w="373" w:type="pct"/>
            <w:shd w:val="clear" w:color="auto" w:fill="E5DFEC" w:themeFill="accent4" w:themeFillTint="33"/>
          </w:tcPr>
          <w:p w14:paraId="16EB421A"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89,9</w:t>
            </w:r>
          </w:p>
        </w:tc>
        <w:tc>
          <w:tcPr>
            <w:tcW w:w="371" w:type="pct"/>
            <w:shd w:val="clear" w:color="auto" w:fill="E5DFEC" w:themeFill="accent4" w:themeFillTint="33"/>
          </w:tcPr>
          <w:p w14:paraId="5A53AAD2"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173,2</w:t>
            </w:r>
          </w:p>
        </w:tc>
      </w:tr>
      <w:tr w:rsidR="00343BAC" w:rsidRPr="003B4CDA" w14:paraId="42FF6BC7" w14:textId="77777777" w:rsidTr="4398C881">
        <w:trPr>
          <w:cnfStyle w:val="000000100000" w:firstRow="0" w:lastRow="0" w:firstColumn="0" w:lastColumn="0" w:oddVBand="0" w:evenVBand="0" w:oddHBand="1" w:evenHBand="0" w:firstRowFirstColumn="0" w:firstRowLastColumn="0" w:lastRowFirstColumn="0" w:lastRowLastColumn="0"/>
          <w:trHeight w:val="274"/>
          <w:jc w:val="center"/>
        </w:trPr>
        <w:tc>
          <w:tcPr>
            <w:tcW w:w="1645" w:type="pct"/>
            <w:shd w:val="clear" w:color="auto" w:fill="CCC0D9" w:themeFill="accent4" w:themeFillTint="66"/>
          </w:tcPr>
          <w:p w14:paraId="18BD174C"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Speciālisti</w:t>
            </w:r>
          </w:p>
        </w:tc>
        <w:tc>
          <w:tcPr>
            <w:tcW w:w="373" w:type="pct"/>
            <w:shd w:val="clear" w:color="auto" w:fill="CCC0D9" w:themeFill="accent4" w:themeFillTint="66"/>
          </w:tcPr>
          <w:p w14:paraId="29336AE5"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3,</w:t>
            </w:r>
            <w:r>
              <w:rPr>
                <w:rFonts w:ascii="Segoe UI Light" w:eastAsia="Times New Roman" w:hAnsi="Segoe UI Light"/>
                <w:sz w:val="16"/>
                <w:szCs w:val="16"/>
              </w:rPr>
              <w:t>1</w:t>
            </w:r>
          </w:p>
        </w:tc>
        <w:tc>
          <w:tcPr>
            <w:tcW w:w="373" w:type="pct"/>
            <w:shd w:val="clear" w:color="auto" w:fill="CCC0D9" w:themeFill="accent4" w:themeFillTint="66"/>
          </w:tcPr>
          <w:p w14:paraId="34989415"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10,8</w:t>
            </w:r>
          </w:p>
        </w:tc>
        <w:tc>
          <w:tcPr>
            <w:tcW w:w="373" w:type="pct"/>
            <w:shd w:val="clear" w:color="auto" w:fill="CCC0D9" w:themeFill="accent4" w:themeFillTint="66"/>
          </w:tcPr>
          <w:p w14:paraId="5C75A8A4"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w:t>
            </w:r>
            <w:r w:rsidRPr="003B4CDA">
              <w:rPr>
                <w:rFonts w:ascii="Segoe UI Light" w:eastAsia="Times New Roman" w:hAnsi="Segoe UI Light"/>
                <w:sz w:val="16"/>
                <w:szCs w:val="16"/>
              </w:rPr>
              <w:t>,</w:t>
            </w:r>
            <w:r>
              <w:rPr>
                <w:rFonts w:ascii="Segoe UI Light" w:eastAsia="Times New Roman" w:hAnsi="Segoe UI Light"/>
                <w:sz w:val="16"/>
                <w:szCs w:val="16"/>
              </w:rPr>
              <w:t>2</w:t>
            </w:r>
          </w:p>
        </w:tc>
        <w:tc>
          <w:tcPr>
            <w:tcW w:w="373" w:type="pct"/>
            <w:shd w:val="clear" w:color="auto" w:fill="CCC0D9" w:themeFill="accent4" w:themeFillTint="66"/>
          </w:tcPr>
          <w:p w14:paraId="28D3929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5,3</w:t>
            </w:r>
          </w:p>
        </w:tc>
        <w:tc>
          <w:tcPr>
            <w:tcW w:w="373" w:type="pct"/>
            <w:shd w:val="clear" w:color="auto" w:fill="CCC0D9" w:themeFill="accent4" w:themeFillTint="66"/>
          </w:tcPr>
          <w:p w14:paraId="57AA893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21,0</w:t>
            </w:r>
          </w:p>
        </w:tc>
        <w:tc>
          <w:tcPr>
            <w:tcW w:w="373" w:type="pct"/>
            <w:shd w:val="clear" w:color="auto" w:fill="CCC0D9" w:themeFill="accent4" w:themeFillTint="66"/>
          </w:tcPr>
          <w:p w14:paraId="445FA45B"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8,7</w:t>
            </w:r>
          </w:p>
        </w:tc>
        <w:tc>
          <w:tcPr>
            <w:tcW w:w="373" w:type="pct"/>
            <w:shd w:val="clear" w:color="auto" w:fill="CCC0D9" w:themeFill="accent4" w:themeFillTint="66"/>
          </w:tcPr>
          <w:p w14:paraId="2430FD9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37,4</w:t>
            </w:r>
          </w:p>
        </w:tc>
        <w:tc>
          <w:tcPr>
            <w:tcW w:w="373" w:type="pct"/>
            <w:shd w:val="clear" w:color="auto" w:fill="CCC0D9" w:themeFill="accent4" w:themeFillTint="66"/>
          </w:tcPr>
          <w:p w14:paraId="067C7A99"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34,4</w:t>
            </w:r>
          </w:p>
        </w:tc>
        <w:tc>
          <w:tcPr>
            <w:tcW w:w="371" w:type="pct"/>
            <w:shd w:val="clear" w:color="auto" w:fill="CCC0D9" w:themeFill="accent4" w:themeFillTint="66"/>
          </w:tcPr>
          <w:p w14:paraId="7077E7AB"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124,9</w:t>
            </w:r>
          </w:p>
        </w:tc>
      </w:tr>
      <w:tr w:rsidR="00343BAC" w:rsidRPr="003B4CDA" w14:paraId="34C8A6CA" w14:textId="77777777" w:rsidTr="4398C881">
        <w:trPr>
          <w:trHeight w:val="274"/>
          <w:jc w:val="center"/>
        </w:trPr>
        <w:tc>
          <w:tcPr>
            <w:tcW w:w="1645" w:type="pct"/>
            <w:shd w:val="clear" w:color="auto" w:fill="E5DFEC" w:themeFill="accent4" w:themeFillTint="33"/>
          </w:tcPr>
          <w:p w14:paraId="5BD6976B" w14:textId="77777777" w:rsidR="00CE325A" w:rsidRPr="005614FE" w:rsidRDefault="00CE325A" w:rsidP="00D209BD">
            <w:pPr>
              <w:spacing w:before="40" w:after="40"/>
              <w:ind w:left="171" w:hanging="142"/>
              <w:rPr>
                <w:rFonts w:ascii="Segoe UI Light" w:eastAsia="Times New Roman" w:hAnsi="Segoe UI Light"/>
                <w:b/>
                <w:bCs/>
                <w:sz w:val="16"/>
                <w:szCs w:val="16"/>
              </w:rPr>
            </w:pPr>
            <w:r w:rsidRPr="005614FE">
              <w:rPr>
                <w:rFonts w:ascii="Segoe UI Light" w:eastAsia="Times New Roman" w:hAnsi="Segoe UI Light"/>
                <w:b/>
                <w:bCs/>
                <w:sz w:val="16"/>
                <w:szCs w:val="16"/>
              </w:rPr>
              <w:t>Vidējas kvalifikācijas profesijas, tai skaitā:</w:t>
            </w:r>
          </w:p>
        </w:tc>
        <w:tc>
          <w:tcPr>
            <w:tcW w:w="373" w:type="pct"/>
            <w:shd w:val="clear" w:color="auto" w:fill="E5DFEC" w:themeFill="accent4" w:themeFillTint="33"/>
          </w:tcPr>
          <w:p w14:paraId="527BD3D0"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37,3</w:t>
            </w:r>
          </w:p>
        </w:tc>
        <w:tc>
          <w:tcPr>
            <w:tcW w:w="373" w:type="pct"/>
            <w:shd w:val="clear" w:color="auto" w:fill="E5DFEC" w:themeFill="accent4" w:themeFillTint="33"/>
          </w:tcPr>
          <w:p w14:paraId="7379BAA3"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61,4</w:t>
            </w:r>
          </w:p>
        </w:tc>
        <w:tc>
          <w:tcPr>
            <w:tcW w:w="373" w:type="pct"/>
            <w:shd w:val="clear" w:color="auto" w:fill="E5DFEC" w:themeFill="accent4" w:themeFillTint="33"/>
          </w:tcPr>
          <w:p w14:paraId="1FF9E485"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9,0</w:t>
            </w:r>
          </w:p>
        </w:tc>
        <w:tc>
          <w:tcPr>
            <w:tcW w:w="373" w:type="pct"/>
            <w:shd w:val="clear" w:color="auto" w:fill="E5DFEC" w:themeFill="accent4" w:themeFillTint="33"/>
          </w:tcPr>
          <w:p w14:paraId="50C08BF8"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39,6</w:t>
            </w:r>
          </w:p>
        </w:tc>
        <w:tc>
          <w:tcPr>
            <w:tcW w:w="373" w:type="pct"/>
            <w:shd w:val="clear" w:color="auto" w:fill="E5DFEC" w:themeFill="accent4" w:themeFillTint="33"/>
          </w:tcPr>
          <w:p w14:paraId="05C69824"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91,0</w:t>
            </w:r>
          </w:p>
        </w:tc>
        <w:tc>
          <w:tcPr>
            <w:tcW w:w="373" w:type="pct"/>
            <w:shd w:val="clear" w:color="auto" w:fill="E5DFEC" w:themeFill="accent4" w:themeFillTint="33"/>
          </w:tcPr>
          <w:p w14:paraId="2EC757E6"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43,1</w:t>
            </w:r>
          </w:p>
        </w:tc>
        <w:tc>
          <w:tcPr>
            <w:tcW w:w="373" w:type="pct"/>
            <w:shd w:val="clear" w:color="auto" w:fill="E5DFEC" w:themeFill="accent4" w:themeFillTint="33"/>
          </w:tcPr>
          <w:p w14:paraId="3083DC96"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44,2</w:t>
            </w:r>
          </w:p>
        </w:tc>
        <w:tc>
          <w:tcPr>
            <w:tcW w:w="373" w:type="pct"/>
            <w:shd w:val="clear" w:color="auto" w:fill="E5DFEC" w:themeFill="accent4" w:themeFillTint="33"/>
          </w:tcPr>
          <w:p w14:paraId="4DB22BA7"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42,0</w:t>
            </w:r>
          </w:p>
        </w:tc>
        <w:tc>
          <w:tcPr>
            <w:tcW w:w="371" w:type="pct"/>
            <w:shd w:val="clear" w:color="auto" w:fill="E5DFEC" w:themeFill="accent4" w:themeFillTint="33"/>
          </w:tcPr>
          <w:p w14:paraId="4741723F" w14:textId="77777777" w:rsidR="00CE325A" w:rsidRPr="00743039" w:rsidRDefault="00CE325A" w:rsidP="00D209BD">
            <w:pPr>
              <w:tabs>
                <w:tab w:val="decimal" w:pos="258"/>
              </w:tabs>
              <w:spacing w:before="40" w:after="40"/>
              <w:rPr>
                <w:rFonts w:ascii="Segoe UI Light" w:eastAsia="Times New Roman" w:hAnsi="Segoe UI Light" w:cs="Segoe UI Light"/>
                <w:b/>
                <w:bCs/>
                <w:sz w:val="16"/>
                <w:szCs w:val="16"/>
              </w:rPr>
            </w:pPr>
            <w:r w:rsidRPr="00743039">
              <w:rPr>
                <w:rFonts w:ascii="Segoe UI Light" w:hAnsi="Segoe UI Light" w:cs="Segoe UI Light"/>
                <w:b/>
                <w:bCs/>
                <w:sz w:val="16"/>
                <w:szCs w:val="16"/>
              </w:rPr>
              <w:t>367,5</w:t>
            </w:r>
          </w:p>
        </w:tc>
      </w:tr>
      <w:tr w:rsidR="00343BAC" w:rsidRPr="003B4CDA" w14:paraId="42084B60" w14:textId="77777777" w:rsidTr="4398C881">
        <w:trPr>
          <w:cnfStyle w:val="000000100000" w:firstRow="0" w:lastRow="0" w:firstColumn="0" w:lastColumn="0" w:oddVBand="0" w:evenVBand="0" w:oddHBand="1" w:evenHBand="0" w:firstRowFirstColumn="0" w:firstRowLastColumn="0" w:lastRowFirstColumn="0" w:lastRowLastColumn="0"/>
          <w:trHeight w:val="274"/>
          <w:jc w:val="center"/>
        </w:trPr>
        <w:tc>
          <w:tcPr>
            <w:tcW w:w="1645" w:type="pct"/>
            <w:shd w:val="clear" w:color="auto" w:fill="CCC0D9" w:themeFill="accent4" w:themeFillTint="66"/>
          </w:tcPr>
          <w:p w14:paraId="10B36D4D"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Iestāžu kalpotāji</w:t>
            </w:r>
          </w:p>
        </w:tc>
        <w:tc>
          <w:tcPr>
            <w:tcW w:w="373" w:type="pct"/>
            <w:shd w:val="clear" w:color="auto" w:fill="CCC0D9" w:themeFill="accent4" w:themeFillTint="66"/>
          </w:tcPr>
          <w:p w14:paraId="4E74D540"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0,3</w:t>
            </w:r>
          </w:p>
        </w:tc>
        <w:tc>
          <w:tcPr>
            <w:tcW w:w="373" w:type="pct"/>
            <w:shd w:val="clear" w:color="auto" w:fill="CCC0D9" w:themeFill="accent4" w:themeFillTint="66"/>
          </w:tcPr>
          <w:p w14:paraId="7325CD84"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5,1</w:t>
            </w:r>
          </w:p>
        </w:tc>
        <w:tc>
          <w:tcPr>
            <w:tcW w:w="373" w:type="pct"/>
            <w:shd w:val="clear" w:color="auto" w:fill="CCC0D9" w:themeFill="accent4" w:themeFillTint="66"/>
          </w:tcPr>
          <w:p w14:paraId="0C4A35EB"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1,0</w:t>
            </w:r>
          </w:p>
        </w:tc>
        <w:tc>
          <w:tcPr>
            <w:tcW w:w="373" w:type="pct"/>
            <w:shd w:val="clear" w:color="auto" w:fill="CCC0D9" w:themeFill="accent4" w:themeFillTint="66"/>
          </w:tcPr>
          <w:p w14:paraId="160340A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1,8</w:t>
            </w:r>
          </w:p>
        </w:tc>
        <w:tc>
          <w:tcPr>
            <w:tcW w:w="373" w:type="pct"/>
            <w:shd w:val="clear" w:color="auto" w:fill="CCC0D9" w:themeFill="accent4" w:themeFillTint="66"/>
          </w:tcPr>
          <w:p w14:paraId="15D5118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8,0</w:t>
            </w:r>
          </w:p>
        </w:tc>
        <w:tc>
          <w:tcPr>
            <w:tcW w:w="373" w:type="pct"/>
            <w:shd w:val="clear" w:color="auto" w:fill="CCC0D9" w:themeFill="accent4" w:themeFillTint="66"/>
          </w:tcPr>
          <w:p w14:paraId="2A0F2CD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6,8</w:t>
            </w:r>
          </w:p>
        </w:tc>
        <w:tc>
          <w:tcPr>
            <w:tcW w:w="373" w:type="pct"/>
            <w:shd w:val="clear" w:color="auto" w:fill="CCC0D9" w:themeFill="accent4" w:themeFillTint="66"/>
          </w:tcPr>
          <w:p w14:paraId="2338B736"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11,3</w:t>
            </w:r>
          </w:p>
        </w:tc>
        <w:tc>
          <w:tcPr>
            <w:tcW w:w="373" w:type="pct"/>
            <w:shd w:val="clear" w:color="auto" w:fill="CCC0D9" w:themeFill="accent4" w:themeFillTint="66"/>
          </w:tcPr>
          <w:p w14:paraId="51D94A70"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5,9</w:t>
            </w:r>
          </w:p>
        </w:tc>
        <w:tc>
          <w:tcPr>
            <w:tcW w:w="371" w:type="pct"/>
            <w:shd w:val="clear" w:color="auto" w:fill="CCC0D9" w:themeFill="accent4" w:themeFillTint="66"/>
          </w:tcPr>
          <w:p w14:paraId="180990E4"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40,3</w:t>
            </w:r>
          </w:p>
        </w:tc>
      </w:tr>
      <w:tr w:rsidR="00343BAC" w:rsidRPr="003B4CDA" w14:paraId="5B22AF3F" w14:textId="77777777" w:rsidTr="4398C881">
        <w:trPr>
          <w:trHeight w:val="274"/>
          <w:jc w:val="center"/>
        </w:trPr>
        <w:tc>
          <w:tcPr>
            <w:tcW w:w="1645" w:type="pct"/>
            <w:shd w:val="clear" w:color="auto" w:fill="E5DFEC" w:themeFill="accent4" w:themeFillTint="33"/>
          </w:tcPr>
          <w:p w14:paraId="534085D4" w14:textId="77777777" w:rsidR="00CE325A" w:rsidRPr="003B4CDA" w:rsidRDefault="00CE325A" w:rsidP="00D209BD">
            <w:pPr>
              <w:spacing w:before="40" w:after="40"/>
              <w:ind w:left="171"/>
              <w:rPr>
                <w:rFonts w:ascii="Segoe UI Light" w:eastAsia="Arial Unicode MS" w:hAnsi="Segoe UI Light"/>
                <w:sz w:val="16"/>
                <w:szCs w:val="16"/>
              </w:rPr>
            </w:pPr>
            <w:r w:rsidRPr="005614FE">
              <w:rPr>
                <w:rFonts w:ascii="Segoe UI Light" w:eastAsia="Times New Roman" w:hAnsi="Segoe UI Light"/>
                <w:sz w:val="16"/>
                <w:szCs w:val="16"/>
              </w:rPr>
              <w:t>Pakalpojumu un tirdzniecības darbinieki</w:t>
            </w:r>
          </w:p>
        </w:tc>
        <w:tc>
          <w:tcPr>
            <w:tcW w:w="373" w:type="pct"/>
            <w:shd w:val="clear" w:color="auto" w:fill="E5DFEC" w:themeFill="accent4" w:themeFillTint="33"/>
          </w:tcPr>
          <w:p w14:paraId="6D5AFBB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0,6</w:t>
            </w:r>
          </w:p>
        </w:tc>
        <w:tc>
          <w:tcPr>
            <w:tcW w:w="373" w:type="pct"/>
            <w:shd w:val="clear" w:color="auto" w:fill="E5DFEC" w:themeFill="accent4" w:themeFillTint="33"/>
          </w:tcPr>
          <w:p w14:paraId="5676A1CC"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1,</w:t>
            </w:r>
            <w:r>
              <w:rPr>
                <w:rFonts w:ascii="Segoe UI Light" w:eastAsia="Times New Roman" w:hAnsi="Segoe UI Light"/>
                <w:sz w:val="16"/>
                <w:szCs w:val="16"/>
              </w:rPr>
              <w:t>6</w:t>
            </w:r>
          </w:p>
        </w:tc>
        <w:tc>
          <w:tcPr>
            <w:tcW w:w="373" w:type="pct"/>
            <w:shd w:val="clear" w:color="auto" w:fill="E5DFEC" w:themeFill="accent4" w:themeFillTint="33"/>
          </w:tcPr>
          <w:p w14:paraId="2029E98D"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0,2</w:t>
            </w:r>
          </w:p>
        </w:tc>
        <w:tc>
          <w:tcPr>
            <w:tcW w:w="373" w:type="pct"/>
            <w:shd w:val="clear" w:color="auto" w:fill="E5DFEC" w:themeFill="accent4" w:themeFillTint="33"/>
          </w:tcPr>
          <w:p w14:paraId="02F182EB"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w:t>
            </w:r>
            <w:r>
              <w:rPr>
                <w:rFonts w:ascii="Segoe UI Light" w:eastAsia="Times New Roman" w:hAnsi="Segoe UI Light"/>
                <w:sz w:val="16"/>
                <w:szCs w:val="16"/>
              </w:rPr>
              <w:t>5</w:t>
            </w:r>
          </w:p>
        </w:tc>
        <w:tc>
          <w:tcPr>
            <w:tcW w:w="373" w:type="pct"/>
            <w:shd w:val="clear" w:color="auto" w:fill="E5DFEC" w:themeFill="accent4" w:themeFillTint="33"/>
          </w:tcPr>
          <w:p w14:paraId="063829C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65,5</w:t>
            </w:r>
          </w:p>
        </w:tc>
        <w:tc>
          <w:tcPr>
            <w:tcW w:w="373" w:type="pct"/>
            <w:shd w:val="clear" w:color="auto" w:fill="E5DFEC" w:themeFill="accent4" w:themeFillTint="33"/>
          </w:tcPr>
          <w:p w14:paraId="33A821F9"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2,2</w:t>
            </w:r>
          </w:p>
        </w:tc>
        <w:tc>
          <w:tcPr>
            <w:tcW w:w="373" w:type="pct"/>
            <w:shd w:val="clear" w:color="auto" w:fill="E5DFEC" w:themeFill="accent4" w:themeFillTint="33"/>
          </w:tcPr>
          <w:p w14:paraId="542C1407"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23,2</w:t>
            </w:r>
          </w:p>
        </w:tc>
        <w:tc>
          <w:tcPr>
            <w:tcW w:w="373" w:type="pct"/>
            <w:shd w:val="clear" w:color="auto" w:fill="E5DFEC" w:themeFill="accent4" w:themeFillTint="33"/>
          </w:tcPr>
          <w:p w14:paraId="3A09458B"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31,3</w:t>
            </w:r>
          </w:p>
        </w:tc>
        <w:tc>
          <w:tcPr>
            <w:tcW w:w="371" w:type="pct"/>
            <w:shd w:val="clear" w:color="auto" w:fill="E5DFEC" w:themeFill="accent4" w:themeFillTint="33"/>
          </w:tcPr>
          <w:p w14:paraId="10BDC45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125,0</w:t>
            </w:r>
          </w:p>
        </w:tc>
      </w:tr>
      <w:tr w:rsidR="00343BAC" w:rsidRPr="003B4CDA" w14:paraId="02117709" w14:textId="77777777" w:rsidTr="4398C881">
        <w:trPr>
          <w:cnfStyle w:val="000000100000" w:firstRow="0" w:lastRow="0" w:firstColumn="0" w:lastColumn="0" w:oddVBand="0" w:evenVBand="0" w:oddHBand="1" w:evenHBand="0" w:firstRowFirstColumn="0" w:firstRowLastColumn="0" w:lastRowFirstColumn="0" w:lastRowLastColumn="0"/>
          <w:trHeight w:val="274"/>
          <w:jc w:val="center"/>
        </w:trPr>
        <w:tc>
          <w:tcPr>
            <w:tcW w:w="1645" w:type="pct"/>
            <w:shd w:val="clear" w:color="auto" w:fill="CCC0D9" w:themeFill="accent4" w:themeFillTint="66"/>
          </w:tcPr>
          <w:p w14:paraId="5CA9FC12"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Kvalificēti lauksaimniecības darbinieki</w:t>
            </w:r>
          </w:p>
        </w:tc>
        <w:tc>
          <w:tcPr>
            <w:tcW w:w="373" w:type="pct"/>
            <w:shd w:val="clear" w:color="auto" w:fill="CCC0D9" w:themeFill="accent4" w:themeFillTint="66"/>
          </w:tcPr>
          <w:p w14:paraId="003825DF"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23,8</w:t>
            </w:r>
          </w:p>
        </w:tc>
        <w:tc>
          <w:tcPr>
            <w:tcW w:w="373" w:type="pct"/>
            <w:shd w:val="clear" w:color="auto" w:fill="CCC0D9" w:themeFill="accent4" w:themeFillTint="66"/>
          </w:tcPr>
          <w:p w14:paraId="05117BA3"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0,5</w:t>
            </w:r>
          </w:p>
        </w:tc>
        <w:tc>
          <w:tcPr>
            <w:tcW w:w="373" w:type="pct"/>
            <w:shd w:val="clear" w:color="auto" w:fill="CCC0D9" w:themeFill="accent4" w:themeFillTint="66"/>
          </w:tcPr>
          <w:p w14:paraId="0AC0C25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0,0</w:t>
            </w:r>
          </w:p>
        </w:tc>
        <w:tc>
          <w:tcPr>
            <w:tcW w:w="373" w:type="pct"/>
            <w:shd w:val="clear" w:color="auto" w:fill="CCC0D9" w:themeFill="accent4" w:themeFillTint="66"/>
          </w:tcPr>
          <w:p w14:paraId="1FECF05E"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0,0</w:t>
            </w:r>
          </w:p>
        </w:tc>
        <w:tc>
          <w:tcPr>
            <w:tcW w:w="373" w:type="pct"/>
            <w:shd w:val="clear" w:color="auto" w:fill="CCC0D9" w:themeFill="accent4" w:themeFillTint="66"/>
          </w:tcPr>
          <w:p w14:paraId="5FCE087F"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w:t>
            </w:r>
            <w:r>
              <w:rPr>
                <w:rFonts w:ascii="Segoe UI Light" w:eastAsia="Times New Roman" w:hAnsi="Segoe UI Light"/>
                <w:sz w:val="16"/>
                <w:szCs w:val="16"/>
              </w:rPr>
              <w:t>1</w:t>
            </w:r>
          </w:p>
        </w:tc>
        <w:tc>
          <w:tcPr>
            <w:tcW w:w="373" w:type="pct"/>
            <w:shd w:val="clear" w:color="auto" w:fill="CCC0D9" w:themeFill="accent4" w:themeFillTint="66"/>
          </w:tcPr>
          <w:p w14:paraId="7E28D71F"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0,0</w:t>
            </w:r>
          </w:p>
        </w:tc>
        <w:tc>
          <w:tcPr>
            <w:tcW w:w="373" w:type="pct"/>
            <w:shd w:val="clear" w:color="auto" w:fill="CCC0D9" w:themeFill="accent4" w:themeFillTint="66"/>
          </w:tcPr>
          <w:p w14:paraId="7FD1C6D4"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1,2</w:t>
            </w:r>
          </w:p>
        </w:tc>
        <w:tc>
          <w:tcPr>
            <w:tcW w:w="373" w:type="pct"/>
            <w:shd w:val="clear" w:color="auto" w:fill="CCC0D9" w:themeFill="accent4" w:themeFillTint="66"/>
          </w:tcPr>
          <w:p w14:paraId="2DC5BBE9"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0,</w:t>
            </w:r>
            <w:r>
              <w:rPr>
                <w:rFonts w:ascii="Segoe UI Light" w:eastAsia="Times New Roman" w:hAnsi="Segoe UI Light"/>
                <w:sz w:val="16"/>
                <w:szCs w:val="16"/>
              </w:rPr>
              <w:t>3</w:t>
            </w:r>
          </w:p>
        </w:tc>
        <w:tc>
          <w:tcPr>
            <w:tcW w:w="371" w:type="pct"/>
            <w:shd w:val="clear" w:color="auto" w:fill="CCC0D9" w:themeFill="accent4" w:themeFillTint="66"/>
          </w:tcPr>
          <w:p w14:paraId="15C6AE17"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25,9</w:t>
            </w:r>
          </w:p>
        </w:tc>
      </w:tr>
      <w:tr w:rsidR="00343BAC" w:rsidRPr="003B4CDA" w14:paraId="361C2009" w14:textId="77777777" w:rsidTr="4398C881">
        <w:trPr>
          <w:trHeight w:val="274"/>
          <w:jc w:val="center"/>
        </w:trPr>
        <w:tc>
          <w:tcPr>
            <w:tcW w:w="1645" w:type="pct"/>
            <w:shd w:val="clear" w:color="auto" w:fill="E5DFEC" w:themeFill="accent4" w:themeFillTint="33"/>
          </w:tcPr>
          <w:p w14:paraId="73103D1A"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Kvalificēti strādnieki</w:t>
            </w:r>
          </w:p>
        </w:tc>
        <w:tc>
          <w:tcPr>
            <w:tcW w:w="373" w:type="pct"/>
            <w:shd w:val="clear" w:color="auto" w:fill="E5DFEC" w:themeFill="accent4" w:themeFillTint="33"/>
          </w:tcPr>
          <w:p w14:paraId="51050E6D"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1,</w:t>
            </w:r>
            <w:r>
              <w:rPr>
                <w:rFonts w:ascii="Segoe UI Light" w:eastAsia="Times New Roman" w:hAnsi="Segoe UI Light"/>
                <w:sz w:val="16"/>
                <w:szCs w:val="16"/>
              </w:rPr>
              <w:t>6</w:t>
            </w:r>
          </w:p>
        </w:tc>
        <w:tc>
          <w:tcPr>
            <w:tcW w:w="373" w:type="pct"/>
            <w:shd w:val="clear" w:color="auto" w:fill="E5DFEC" w:themeFill="accent4" w:themeFillTint="33"/>
          </w:tcPr>
          <w:p w14:paraId="4A073F7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38,8</w:t>
            </w:r>
          </w:p>
        </w:tc>
        <w:tc>
          <w:tcPr>
            <w:tcW w:w="373" w:type="pct"/>
            <w:shd w:val="clear" w:color="auto" w:fill="E5DFEC" w:themeFill="accent4" w:themeFillTint="33"/>
          </w:tcPr>
          <w:p w14:paraId="1319B5B5"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2,3</w:t>
            </w:r>
          </w:p>
        </w:tc>
        <w:tc>
          <w:tcPr>
            <w:tcW w:w="373" w:type="pct"/>
            <w:shd w:val="clear" w:color="auto" w:fill="E5DFEC" w:themeFill="accent4" w:themeFillTint="33"/>
          </w:tcPr>
          <w:p w14:paraId="5C5CAA8F"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32,4</w:t>
            </w:r>
          </w:p>
        </w:tc>
        <w:tc>
          <w:tcPr>
            <w:tcW w:w="373" w:type="pct"/>
            <w:shd w:val="clear" w:color="auto" w:fill="E5DFEC" w:themeFill="accent4" w:themeFillTint="33"/>
          </w:tcPr>
          <w:p w14:paraId="6A080690"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13,2</w:t>
            </w:r>
          </w:p>
        </w:tc>
        <w:tc>
          <w:tcPr>
            <w:tcW w:w="373" w:type="pct"/>
            <w:shd w:val="clear" w:color="auto" w:fill="E5DFEC" w:themeFill="accent4" w:themeFillTint="33"/>
          </w:tcPr>
          <w:p w14:paraId="50F0C19D"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4,8</w:t>
            </w:r>
          </w:p>
        </w:tc>
        <w:tc>
          <w:tcPr>
            <w:tcW w:w="373" w:type="pct"/>
            <w:shd w:val="clear" w:color="auto" w:fill="E5DFEC" w:themeFill="accent4" w:themeFillTint="33"/>
          </w:tcPr>
          <w:p w14:paraId="3F40952D"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w:t>
            </w:r>
            <w:r w:rsidRPr="003B4CDA">
              <w:rPr>
                <w:rFonts w:ascii="Segoe UI Light" w:eastAsia="Times New Roman" w:hAnsi="Segoe UI Light"/>
                <w:sz w:val="16"/>
                <w:szCs w:val="16"/>
              </w:rPr>
              <w:t>,</w:t>
            </w:r>
            <w:r>
              <w:rPr>
                <w:rFonts w:ascii="Segoe UI Light" w:eastAsia="Times New Roman" w:hAnsi="Segoe UI Light"/>
                <w:sz w:val="16"/>
                <w:szCs w:val="16"/>
              </w:rPr>
              <w:t>1</w:t>
            </w:r>
          </w:p>
        </w:tc>
        <w:tc>
          <w:tcPr>
            <w:tcW w:w="373" w:type="pct"/>
            <w:shd w:val="clear" w:color="auto" w:fill="E5DFEC" w:themeFill="accent4" w:themeFillTint="33"/>
          </w:tcPr>
          <w:p w14:paraId="2BA7C3D4" w14:textId="77777777" w:rsidR="00CE325A" w:rsidRPr="003B4CDA" w:rsidRDefault="00CE325A" w:rsidP="00D209BD">
            <w:pPr>
              <w:tabs>
                <w:tab w:val="decimal" w:pos="258"/>
              </w:tabs>
              <w:spacing w:before="40" w:after="40"/>
              <w:rPr>
                <w:rFonts w:ascii="Segoe UI Light" w:eastAsia="Times New Roman" w:hAnsi="Segoe UI Light"/>
                <w:sz w:val="16"/>
                <w:szCs w:val="16"/>
              </w:rPr>
            </w:pPr>
            <w:r w:rsidRPr="003B4CDA">
              <w:rPr>
                <w:rFonts w:ascii="Segoe UI Light" w:eastAsia="Times New Roman" w:hAnsi="Segoe UI Light"/>
                <w:sz w:val="16"/>
                <w:szCs w:val="16"/>
              </w:rPr>
              <w:t>1,</w:t>
            </w:r>
            <w:r>
              <w:rPr>
                <w:rFonts w:ascii="Segoe UI Light" w:eastAsia="Times New Roman" w:hAnsi="Segoe UI Light"/>
                <w:sz w:val="16"/>
                <w:szCs w:val="16"/>
              </w:rPr>
              <w:t>0</w:t>
            </w:r>
          </w:p>
        </w:tc>
        <w:tc>
          <w:tcPr>
            <w:tcW w:w="371" w:type="pct"/>
            <w:shd w:val="clear" w:color="auto" w:fill="E5DFEC" w:themeFill="accent4" w:themeFillTint="33"/>
          </w:tcPr>
          <w:p w14:paraId="5E1065BE"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99,1</w:t>
            </w:r>
          </w:p>
        </w:tc>
      </w:tr>
      <w:tr w:rsidR="00343BAC" w:rsidRPr="003B4CDA" w14:paraId="296D914A" w14:textId="77777777" w:rsidTr="4398C881">
        <w:trPr>
          <w:cnfStyle w:val="000000100000" w:firstRow="0" w:lastRow="0" w:firstColumn="0" w:lastColumn="0" w:oddVBand="0" w:evenVBand="0" w:oddHBand="1" w:evenHBand="0" w:firstRowFirstColumn="0" w:firstRowLastColumn="0" w:lastRowFirstColumn="0" w:lastRowLastColumn="0"/>
          <w:trHeight w:val="307"/>
          <w:jc w:val="center"/>
        </w:trPr>
        <w:tc>
          <w:tcPr>
            <w:tcW w:w="1645" w:type="pct"/>
            <w:shd w:val="clear" w:color="auto" w:fill="CCC0D9" w:themeFill="accent4" w:themeFillTint="66"/>
          </w:tcPr>
          <w:p w14:paraId="7005D654" w14:textId="77777777" w:rsidR="00CE325A" w:rsidRPr="003B4CDA" w:rsidRDefault="00CE325A" w:rsidP="00D209BD">
            <w:pPr>
              <w:spacing w:before="40" w:after="40"/>
              <w:ind w:left="171"/>
              <w:rPr>
                <w:rFonts w:ascii="Segoe UI Light" w:eastAsia="Arial Unicode MS" w:hAnsi="Segoe UI Light"/>
                <w:sz w:val="16"/>
                <w:szCs w:val="16"/>
              </w:rPr>
            </w:pPr>
            <w:r w:rsidRPr="003B4CDA">
              <w:rPr>
                <w:rFonts w:ascii="Segoe UI Light" w:eastAsia="Times New Roman" w:hAnsi="Segoe UI Light"/>
                <w:sz w:val="16"/>
                <w:szCs w:val="16"/>
              </w:rPr>
              <w:t>Iekārtu un mašīnu operatori</w:t>
            </w:r>
          </w:p>
        </w:tc>
        <w:tc>
          <w:tcPr>
            <w:tcW w:w="373" w:type="pct"/>
            <w:shd w:val="clear" w:color="auto" w:fill="CCC0D9" w:themeFill="accent4" w:themeFillTint="66"/>
          </w:tcPr>
          <w:p w14:paraId="2AFC4549"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11,1</w:t>
            </w:r>
          </w:p>
        </w:tc>
        <w:tc>
          <w:tcPr>
            <w:tcW w:w="373" w:type="pct"/>
            <w:shd w:val="clear" w:color="auto" w:fill="CCC0D9" w:themeFill="accent4" w:themeFillTint="66"/>
          </w:tcPr>
          <w:p w14:paraId="2AFAC33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15,5</w:t>
            </w:r>
          </w:p>
        </w:tc>
        <w:tc>
          <w:tcPr>
            <w:tcW w:w="373" w:type="pct"/>
            <w:shd w:val="clear" w:color="auto" w:fill="CCC0D9" w:themeFill="accent4" w:themeFillTint="66"/>
          </w:tcPr>
          <w:p w14:paraId="712093BC"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5,5</w:t>
            </w:r>
          </w:p>
        </w:tc>
        <w:tc>
          <w:tcPr>
            <w:tcW w:w="373" w:type="pct"/>
            <w:shd w:val="clear" w:color="auto" w:fill="CCC0D9" w:themeFill="accent4" w:themeFillTint="66"/>
          </w:tcPr>
          <w:p w14:paraId="09D08351"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4,9</w:t>
            </w:r>
          </w:p>
        </w:tc>
        <w:tc>
          <w:tcPr>
            <w:tcW w:w="373" w:type="pct"/>
            <w:shd w:val="clear" w:color="auto" w:fill="CCC0D9" w:themeFill="accent4" w:themeFillTint="66"/>
          </w:tcPr>
          <w:p w14:paraId="1F4A832F"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4,2</w:t>
            </w:r>
          </w:p>
        </w:tc>
        <w:tc>
          <w:tcPr>
            <w:tcW w:w="373" w:type="pct"/>
            <w:shd w:val="clear" w:color="auto" w:fill="CCC0D9" w:themeFill="accent4" w:themeFillTint="66"/>
          </w:tcPr>
          <w:p w14:paraId="089763DD"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29,3</w:t>
            </w:r>
          </w:p>
        </w:tc>
        <w:tc>
          <w:tcPr>
            <w:tcW w:w="373" w:type="pct"/>
            <w:shd w:val="clear" w:color="auto" w:fill="CCC0D9" w:themeFill="accent4" w:themeFillTint="66"/>
          </w:tcPr>
          <w:p w14:paraId="32DEDB32"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3,5</w:t>
            </w:r>
          </w:p>
        </w:tc>
        <w:tc>
          <w:tcPr>
            <w:tcW w:w="373" w:type="pct"/>
            <w:shd w:val="clear" w:color="auto" w:fill="CCC0D9" w:themeFill="accent4" w:themeFillTint="66"/>
          </w:tcPr>
          <w:p w14:paraId="2A8BD2B3"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3,3</w:t>
            </w:r>
          </w:p>
        </w:tc>
        <w:tc>
          <w:tcPr>
            <w:tcW w:w="371" w:type="pct"/>
            <w:shd w:val="clear" w:color="auto" w:fill="CCC0D9" w:themeFill="accent4" w:themeFillTint="66"/>
          </w:tcPr>
          <w:p w14:paraId="511EE615" w14:textId="77777777" w:rsidR="00CE325A" w:rsidRPr="003B4CDA" w:rsidRDefault="00CE325A" w:rsidP="00D209BD">
            <w:pPr>
              <w:tabs>
                <w:tab w:val="decimal" w:pos="258"/>
              </w:tabs>
              <w:spacing w:before="40" w:after="40"/>
              <w:rPr>
                <w:rFonts w:ascii="Segoe UI Light" w:eastAsia="Times New Roman" w:hAnsi="Segoe UI Light"/>
                <w:sz w:val="16"/>
                <w:szCs w:val="16"/>
              </w:rPr>
            </w:pPr>
            <w:r>
              <w:rPr>
                <w:rFonts w:ascii="Segoe UI Light" w:eastAsia="Times New Roman" w:hAnsi="Segoe UI Light"/>
                <w:sz w:val="16"/>
                <w:szCs w:val="16"/>
              </w:rPr>
              <w:t>77,2</w:t>
            </w:r>
          </w:p>
        </w:tc>
      </w:tr>
      <w:tr w:rsidR="00343BAC" w:rsidRPr="003B4CDA" w14:paraId="4F1C549A" w14:textId="77777777" w:rsidTr="4398C881">
        <w:trPr>
          <w:trHeight w:val="274"/>
          <w:jc w:val="center"/>
        </w:trPr>
        <w:tc>
          <w:tcPr>
            <w:tcW w:w="1645" w:type="pct"/>
            <w:shd w:val="clear" w:color="auto" w:fill="E5DFEC" w:themeFill="accent4" w:themeFillTint="33"/>
          </w:tcPr>
          <w:p w14:paraId="6B6B9FAB" w14:textId="77777777" w:rsidR="00CE325A" w:rsidRPr="005614FE" w:rsidRDefault="00CE325A" w:rsidP="00D209BD">
            <w:pPr>
              <w:spacing w:before="40" w:after="40"/>
              <w:rPr>
                <w:rFonts w:ascii="Segoe UI Light" w:eastAsia="Times New Roman" w:hAnsi="Segoe UI Light"/>
                <w:b/>
                <w:bCs/>
                <w:sz w:val="16"/>
                <w:szCs w:val="16"/>
              </w:rPr>
            </w:pPr>
            <w:r w:rsidRPr="005614FE">
              <w:rPr>
                <w:rFonts w:ascii="Segoe UI Light" w:eastAsia="Times New Roman" w:hAnsi="Segoe UI Light"/>
                <w:b/>
                <w:bCs/>
                <w:sz w:val="16"/>
                <w:szCs w:val="16"/>
              </w:rPr>
              <w:t>Zemas kvalifikācijas profesijas</w:t>
            </w:r>
          </w:p>
        </w:tc>
        <w:tc>
          <w:tcPr>
            <w:tcW w:w="373" w:type="pct"/>
            <w:shd w:val="clear" w:color="auto" w:fill="E5DFEC" w:themeFill="accent4" w:themeFillTint="33"/>
          </w:tcPr>
          <w:p w14:paraId="1AD95085"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11,6</w:t>
            </w:r>
          </w:p>
        </w:tc>
        <w:tc>
          <w:tcPr>
            <w:tcW w:w="373" w:type="pct"/>
            <w:shd w:val="clear" w:color="auto" w:fill="E5DFEC" w:themeFill="accent4" w:themeFillTint="33"/>
          </w:tcPr>
          <w:p w14:paraId="1DF2B94A"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17,9</w:t>
            </w:r>
          </w:p>
        </w:tc>
        <w:tc>
          <w:tcPr>
            <w:tcW w:w="373" w:type="pct"/>
            <w:shd w:val="clear" w:color="auto" w:fill="E5DFEC" w:themeFill="accent4" w:themeFillTint="33"/>
          </w:tcPr>
          <w:p w14:paraId="03BAFD7D"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4,3</w:t>
            </w:r>
          </w:p>
        </w:tc>
        <w:tc>
          <w:tcPr>
            <w:tcW w:w="373" w:type="pct"/>
            <w:shd w:val="clear" w:color="auto" w:fill="E5DFEC" w:themeFill="accent4" w:themeFillTint="33"/>
          </w:tcPr>
          <w:p w14:paraId="379B6154"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13,1</w:t>
            </w:r>
          </w:p>
        </w:tc>
        <w:tc>
          <w:tcPr>
            <w:tcW w:w="373" w:type="pct"/>
            <w:shd w:val="clear" w:color="auto" w:fill="E5DFEC" w:themeFill="accent4" w:themeFillTint="33"/>
          </w:tcPr>
          <w:p w14:paraId="5EF1A0D7"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17,7</w:t>
            </w:r>
          </w:p>
        </w:tc>
        <w:tc>
          <w:tcPr>
            <w:tcW w:w="373" w:type="pct"/>
            <w:shd w:val="clear" w:color="auto" w:fill="E5DFEC" w:themeFill="accent4" w:themeFillTint="33"/>
          </w:tcPr>
          <w:p w14:paraId="76B44353"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4,8</w:t>
            </w:r>
          </w:p>
        </w:tc>
        <w:tc>
          <w:tcPr>
            <w:tcW w:w="373" w:type="pct"/>
            <w:shd w:val="clear" w:color="auto" w:fill="E5DFEC" w:themeFill="accent4" w:themeFillTint="33"/>
          </w:tcPr>
          <w:p w14:paraId="7C87C494"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18,2</w:t>
            </w:r>
          </w:p>
        </w:tc>
        <w:tc>
          <w:tcPr>
            <w:tcW w:w="373" w:type="pct"/>
            <w:shd w:val="clear" w:color="auto" w:fill="E5DFEC" w:themeFill="accent4" w:themeFillTint="33"/>
          </w:tcPr>
          <w:p w14:paraId="7F8D64A9"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16,0</w:t>
            </w:r>
          </w:p>
        </w:tc>
        <w:tc>
          <w:tcPr>
            <w:tcW w:w="371" w:type="pct"/>
            <w:shd w:val="clear" w:color="auto" w:fill="E5DFEC" w:themeFill="accent4" w:themeFillTint="33"/>
          </w:tcPr>
          <w:p w14:paraId="6E5BB42F" w14:textId="77777777" w:rsidR="00CE325A" w:rsidRPr="00502BC0" w:rsidRDefault="357CF0D3" w:rsidP="4398C881">
            <w:pPr>
              <w:tabs>
                <w:tab w:val="decimal" w:pos="258"/>
              </w:tabs>
              <w:spacing w:before="40" w:after="40"/>
              <w:rPr>
                <w:rFonts w:ascii="Segoe UI Light" w:eastAsia="Times New Roman" w:hAnsi="Segoe UI Light"/>
                <w:b/>
                <w:bCs/>
                <w:sz w:val="16"/>
                <w:szCs w:val="16"/>
              </w:rPr>
            </w:pPr>
            <w:r w:rsidRPr="00502BC0">
              <w:rPr>
                <w:rFonts w:ascii="Segoe UI Light" w:eastAsia="Times New Roman" w:hAnsi="Segoe UI Light"/>
                <w:b/>
                <w:bCs/>
                <w:sz w:val="16"/>
                <w:szCs w:val="16"/>
              </w:rPr>
              <w:t>103,7</w:t>
            </w:r>
          </w:p>
        </w:tc>
      </w:tr>
      <w:tr w:rsidR="00343BAC" w:rsidRPr="003B4CDA" w14:paraId="29B6A1D9" w14:textId="77777777" w:rsidTr="4398C881">
        <w:trPr>
          <w:cnfStyle w:val="000000100000" w:firstRow="0" w:lastRow="0" w:firstColumn="0" w:lastColumn="0" w:oddVBand="0" w:evenVBand="0" w:oddHBand="1" w:evenHBand="0" w:firstRowFirstColumn="0" w:firstRowLastColumn="0" w:lastRowFirstColumn="0" w:lastRowLastColumn="0"/>
          <w:trHeight w:val="278"/>
          <w:jc w:val="center"/>
        </w:trPr>
        <w:tc>
          <w:tcPr>
            <w:tcW w:w="1645" w:type="pct"/>
            <w:shd w:val="clear" w:color="auto" w:fill="CCC0D9" w:themeFill="accent4" w:themeFillTint="66"/>
          </w:tcPr>
          <w:p w14:paraId="0CE67695" w14:textId="77777777" w:rsidR="00CE325A" w:rsidRPr="003B4CDA" w:rsidRDefault="00CE325A" w:rsidP="00D209BD">
            <w:pPr>
              <w:spacing w:before="40" w:after="40"/>
              <w:rPr>
                <w:rFonts w:ascii="Segoe UI Light" w:eastAsia="Arial Unicode MS" w:hAnsi="Segoe UI Light"/>
                <w:b/>
                <w:sz w:val="16"/>
                <w:szCs w:val="16"/>
              </w:rPr>
            </w:pPr>
            <w:r w:rsidRPr="003B4CDA">
              <w:rPr>
                <w:rFonts w:ascii="Segoe UI Light" w:eastAsia="Arial Unicode MS" w:hAnsi="Segoe UI Light"/>
                <w:b/>
                <w:sz w:val="16"/>
                <w:szCs w:val="16"/>
              </w:rPr>
              <w:t>Kopā</w:t>
            </w:r>
          </w:p>
        </w:tc>
        <w:tc>
          <w:tcPr>
            <w:tcW w:w="373" w:type="pct"/>
            <w:shd w:val="clear" w:color="auto" w:fill="CCC0D9" w:themeFill="accent4" w:themeFillTint="66"/>
          </w:tcPr>
          <w:p w14:paraId="005FF56B"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58,6</w:t>
            </w:r>
          </w:p>
        </w:tc>
        <w:tc>
          <w:tcPr>
            <w:tcW w:w="373" w:type="pct"/>
            <w:shd w:val="clear" w:color="auto" w:fill="CCC0D9" w:themeFill="accent4" w:themeFillTint="66"/>
          </w:tcPr>
          <w:p w14:paraId="7C56C1B0"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109,4</w:t>
            </w:r>
          </w:p>
        </w:tc>
        <w:tc>
          <w:tcPr>
            <w:tcW w:w="373" w:type="pct"/>
            <w:shd w:val="clear" w:color="auto" w:fill="CCC0D9" w:themeFill="accent4" w:themeFillTint="66"/>
          </w:tcPr>
          <w:p w14:paraId="27518982"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22,2</w:t>
            </w:r>
          </w:p>
        </w:tc>
        <w:tc>
          <w:tcPr>
            <w:tcW w:w="373" w:type="pct"/>
            <w:shd w:val="clear" w:color="auto" w:fill="CCC0D9" w:themeFill="accent4" w:themeFillTint="66"/>
          </w:tcPr>
          <w:p w14:paraId="7E14F8CB"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72,4</w:t>
            </w:r>
          </w:p>
        </w:tc>
        <w:tc>
          <w:tcPr>
            <w:tcW w:w="373" w:type="pct"/>
            <w:shd w:val="clear" w:color="auto" w:fill="CCC0D9" w:themeFill="accent4" w:themeFillTint="66"/>
          </w:tcPr>
          <w:p w14:paraId="05998946"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158,3</w:t>
            </w:r>
          </w:p>
        </w:tc>
        <w:tc>
          <w:tcPr>
            <w:tcW w:w="373" w:type="pct"/>
            <w:shd w:val="clear" w:color="auto" w:fill="CCC0D9" w:themeFill="accent4" w:themeFillTint="66"/>
          </w:tcPr>
          <w:p w14:paraId="6E33E9EA"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66,9</w:t>
            </w:r>
          </w:p>
        </w:tc>
        <w:tc>
          <w:tcPr>
            <w:tcW w:w="373" w:type="pct"/>
            <w:shd w:val="clear" w:color="auto" w:fill="CCC0D9" w:themeFill="accent4" w:themeFillTint="66"/>
          </w:tcPr>
          <w:p w14:paraId="58A1ABA5"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sidRPr="003B4CDA">
              <w:rPr>
                <w:rFonts w:ascii="Segoe UI Light" w:eastAsia="Times New Roman" w:hAnsi="Segoe UI Light"/>
                <w:b/>
                <w:sz w:val="16"/>
                <w:szCs w:val="16"/>
              </w:rPr>
              <w:t>17</w:t>
            </w:r>
            <w:r>
              <w:rPr>
                <w:rFonts w:ascii="Segoe UI Light" w:eastAsia="Times New Roman" w:hAnsi="Segoe UI Light"/>
                <w:b/>
                <w:sz w:val="16"/>
                <w:szCs w:val="16"/>
              </w:rPr>
              <w:t>2</w:t>
            </w:r>
            <w:r w:rsidRPr="003B4CDA">
              <w:rPr>
                <w:rFonts w:ascii="Segoe UI Light" w:eastAsia="Times New Roman" w:hAnsi="Segoe UI Light"/>
                <w:b/>
                <w:sz w:val="16"/>
                <w:szCs w:val="16"/>
              </w:rPr>
              <w:t>,</w:t>
            </w:r>
            <w:r>
              <w:rPr>
                <w:rFonts w:ascii="Segoe UI Light" w:eastAsia="Times New Roman" w:hAnsi="Segoe UI Light"/>
                <w:b/>
                <w:sz w:val="16"/>
                <w:szCs w:val="16"/>
              </w:rPr>
              <w:t>3</w:t>
            </w:r>
          </w:p>
        </w:tc>
        <w:tc>
          <w:tcPr>
            <w:tcW w:w="373" w:type="pct"/>
            <w:shd w:val="clear" w:color="auto" w:fill="CCC0D9" w:themeFill="accent4" w:themeFillTint="66"/>
          </w:tcPr>
          <w:p w14:paraId="4D42B9AC"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sidRPr="003B4CDA">
              <w:rPr>
                <w:rFonts w:ascii="Segoe UI Light" w:eastAsia="Times New Roman" w:hAnsi="Segoe UI Light"/>
                <w:b/>
                <w:sz w:val="16"/>
                <w:szCs w:val="16"/>
              </w:rPr>
              <w:t>20</w:t>
            </w:r>
            <w:r>
              <w:rPr>
                <w:rFonts w:ascii="Segoe UI Light" w:eastAsia="Times New Roman" w:hAnsi="Segoe UI Light"/>
                <w:b/>
                <w:sz w:val="16"/>
                <w:szCs w:val="16"/>
              </w:rPr>
              <w:t>3</w:t>
            </w:r>
            <w:r w:rsidRPr="003B4CDA">
              <w:rPr>
                <w:rFonts w:ascii="Segoe UI Light" w:eastAsia="Times New Roman" w:hAnsi="Segoe UI Light"/>
                <w:b/>
                <w:sz w:val="16"/>
                <w:szCs w:val="16"/>
              </w:rPr>
              <w:t>,</w:t>
            </w:r>
            <w:r>
              <w:rPr>
                <w:rFonts w:ascii="Segoe UI Light" w:eastAsia="Times New Roman" w:hAnsi="Segoe UI Light"/>
                <w:b/>
                <w:sz w:val="16"/>
                <w:szCs w:val="16"/>
              </w:rPr>
              <w:t>9</w:t>
            </w:r>
          </w:p>
        </w:tc>
        <w:tc>
          <w:tcPr>
            <w:tcW w:w="371" w:type="pct"/>
            <w:shd w:val="clear" w:color="auto" w:fill="CCC0D9" w:themeFill="accent4" w:themeFillTint="66"/>
          </w:tcPr>
          <w:p w14:paraId="13D9E86F" w14:textId="77777777" w:rsidR="00CE325A" w:rsidRPr="003B4CDA" w:rsidRDefault="00CE325A" w:rsidP="00D209BD">
            <w:pPr>
              <w:tabs>
                <w:tab w:val="decimal" w:pos="258"/>
              </w:tabs>
              <w:spacing w:before="40" w:after="40"/>
              <w:rPr>
                <w:rFonts w:ascii="Segoe UI Light" w:eastAsia="Times New Roman" w:hAnsi="Segoe UI Light"/>
                <w:b/>
                <w:sz w:val="16"/>
                <w:szCs w:val="16"/>
              </w:rPr>
            </w:pPr>
            <w:r>
              <w:rPr>
                <w:rFonts w:ascii="Segoe UI Light" w:eastAsia="Times New Roman" w:hAnsi="Segoe UI Light"/>
                <w:b/>
                <w:sz w:val="16"/>
                <w:szCs w:val="16"/>
              </w:rPr>
              <w:t>864</w:t>
            </w:r>
            <w:r w:rsidRPr="003B4CDA">
              <w:rPr>
                <w:rFonts w:ascii="Segoe UI Light" w:eastAsia="Times New Roman" w:hAnsi="Segoe UI Light"/>
                <w:b/>
                <w:sz w:val="16"/>
                <w:szCs w:val="16"/>
              </w:rPr>
              <w:t>,0</w:t>
            </w:r>
          </w:p>
        </w:tc>
      </w:tr>
    </w:tbl>
    <w:p w14:paraId="5E6BCC29" w14:textId="77777777" w:rsidR="00CE325A" w:rsidRPr="00B47D96" w:rsidRDefault="00CE325A" w:rsidP="00496ED0">
      <w:pPr>
        <w:spacing w:before="120"/>
        <w:ind w:left="112"/>
        <w:jc w:val="both"/>
        <w:rPr>
          <w:sz w:val="16"/>
          <w:szCs w:val="16"/>
        </w:rPr>
      </w:pPr>
      <w:r w:rsidRPr="00B47D96">
        <w:rPr>
          <w:sz w:val="16"/>
          <w:szCs w:val="16"/>
        </w:rPr>
        <w:t xml:space="preserve">Avots: CSP, EM </w:t>
      </w:r>
      <w:r w:rsidRPr="00DD074E">
        <w:rPr>
          <w:sz w:val="16"/>
          <w:szCs w:val="16"/>
        </w:rPr>
        <w:t>novērtējums, balstoties uz 2020. gada DSA datiem</w:t>
      </w:r>
    </w:p>
    <w:p w14:paraId="688421ED" w14:textId="6201617E" w:rsidR="00CE325A" w:rsidRDefault="00496ED0" w:rsidP="00CE325A">
      <w:pPr>
        <w:jc w:val="both"/>
      </w:pPr>
      <w:r>
        <w:br/>
      </w:r>
      <w:r w:rsidR="357CF0D3">
        <w:t>Augstas kvalifikācijas darbaspēka pieprasījumu ir pastiprinājusi Covid-19 pandēmija, mainoties darba formām un darba tirgū ienākot arvien vairāk tehnoloģijām. Salīdzinot ar 2019. gadu, augstākās kvalifikācijas profesijās 2021. gadā bija par 6,1 tūkst. vair</w:t>
      </w:r>
      <w:r w:rsidR="357CF0D3" w:rsidRPr="0073619A">
        <w:rPr>
          <w:szCs w:val="20"/>
        </w:rPr>
        <w:t>āk nodarbināto</w:t>
      </w:r>
      <w:r w:rsidR="357CF0D3">
        <w:t xml:space="preserve"> (pieaugums par 1,6%). Apjomīgākais skaita pieaugums bija komercpakalpojumu nozarēs un apstrādes rūpniecībā, bet samazinājums – lauksaimniecībā un tirdzniecībā. Savukārt vidējas kvalifikācijas profesijās bija par 37,2 tūkst. mazāk nodarbināto (kritums par 9,2%). Apjomīgākais kritums bija tirdzniecībā, būvniecībā, komercpakalpojumu nozarēs un transportā, bet kāpums – pārējā rūpniecībā. Zemas kvalifikācijas profesiju grupā, salīdzinot ar 2019. gadu, 2021. gadā nodarbināto skaits bija par 14,9 tūkst. mazāks. Apjomīgākais kritums bija apstrādes rūpniecībā, komercpakalpojumu nozarēs, sabiedrisko pakalpojumu nozarēs un tirdzniecībā, bet kāpums – būvniecībā.</w:t>
      </w:r>
    </w:p>
    <w:p w14:paraId="3016638E" w14:textId="55098630" w:rsidR="00CE325A" w:rsidRDefault="00CE325A" w:rsidP="00CE325A">
      <w:pPr>
        <w:jc w:val="both"/>
        <w:rPr>
          <w:szCs w:val="20"/>
        </w:rPr>
      </w:pPr>
      <w:r w:rsidRPr="00D70320">
        <w:rPr>
          <w:szCs w:val="20"/>
        </w:rPr>
        <w:t>Kopumā visās profesiju grupās straujākais nodarbināto skaita kāpums Covid-19 krīzes laikā (2021.</w:t>
      </w:r>
      <w:r>
        <w:rPr>
          <w:szCs w:val="20"/>
        </w:rPr>
        <w:t> </w:t>
      </w:r>
      <w:r w:rsidRPr="00D70320">
        <w:rPr>
          <w:szCs w:val="20"/>
        </w:rPr>
        <w:t>gadā, salīdzinot ar 2019.</w:t>
      </w:r>
      <w:r w:rsidR="00E6619D">
        <w:rPr>
          <w:szCs w:val="20"/>
        </w:rPr>
        <w:t> </w:t>
      </w:r>
      <w:r w:rsidRPr="00D70320">
        <w:rPr>
          <w:szCs w:val="20"/>
        </w:rPr>
        <w:t>gadu) bija informācijas un komunikācijas pakalpojumu nozarē un elektroenerģijas, gāzes apgādes, siltumapgādes un gaisa kondicionēšanas nozarē, bet straujākais kritums – finanšu un apdrošināšanas darbībās un mākslas, izklaides un atpūtas nozarē. Jāatzīmē, ka šajā periodā straujākais nodarbināto skaita kāpums augtas kvalifikācijas profesijās vērojams ekonomikai nozīmīgajās rūpniecības nozarēs – apstrādes rūpniecībā – par 14,1% un pārējā rūpniecībā – par 31,4 procentiem.</w:t>
      </w:r>
    </w:p>
    <w:p w14:paraId="2DFE102F" w14:textId="77777777" w:rsidR="00957F8F" w:rsidRDefault="00957F8F" w:rsidP="00957F8F">
      <w:pPr>
        <w:jc w:val="both"/>
        <w:rPr>
          <w:szCs w:val="28"/>
        </w:rPr>
      </w:pPr>
      <w:r w:rsidRPr="0020693A">
        <w:rPr>
          <w:szCs w:val="28"/>
        </w:rPr>
        <w:t>Tehnoloģiju ienākšana darba tirgū un darbavietu automatizācija visvairāk ir ietekmējusi vidējas un zemas kvalifikācijas darbavietās nodarbinātos.</w:t>
      </w:r>
    </w:p>
    <w:p w14:paraId="06BFB07F" w14:textId="77777777" w:rsidR="00957F8F" w:rsidRDefault="00957F8F" w:rsidP="00957F8F">
      <w:pPr>
        <w:spacing w:after="120"/>
        <w:jc w:val="both"/>
        <w:rPr>
          <w:szCs w:val="28"/>
        </w:rPr>
      </w:pPr>
      <w:r w:rsidRPr="00BE5227">
        <w:rPr>
          <w:szCs w:val="28"/>
        </w:rPr>
        <w:t xml:space="preserve">Vidējas kvalifikācijas profesijās </w:t>
      </w:r>
      <w:r>
        <w:rPr>
          <w:szCs w:val="28"/>
        </w:rPr>
        <w:t xml:space="preserve">nodarbināto skaits, salīdzinot ar 2010. gadu, kopumā samazinājies </w:t>
      </w:r>
      <w:r w:rsidRPr="00BE5227">
        <w:rPr>
          <w:szCs w:val="28"/>
        </w:rPr>
        <w:t xml:space="preserve">par 19,3 tūkst. </w:t>
      </w:r>
      <w:r>
        <w:rPr>
          <w:szCs w:val="28"/>
        </w:rPr>
        <w:t xml:space="preserve">jeb aptuveni </w:t>
      </w:r>
      <w:r w:rsidRPr="00BE5227">
        <w:rPr>
          <w:szCs w:val="28"/>
        </w:rPr>
        <w:t>5%</w:t>
      </w:r>
      <w:r>
        <w:rPr>
          <w:szCs w:val="28"/>
        </w:rPr>
        <w:t>. Būtiskākais samazinājums ir bijis lauksaimniecībā (</w:t>
      </w:r>
      <w:r w:rsidRPr="00BE5227">
        <w:rPr>
          <w:szCs w:val="28"/>
        </w:rPr>
        <w:t>par 9,2 tūkst.</w:t>
      </w:r>
      <w:r>
        <w:rPr>
          <w:szCs w:val="28"/>
        </w:rPr>
        <w:t xml:space="preserve">), pārējā rūpniecībā (par </w:t>
      </w:r>
      <w:r w:rsidRPr="00BE5227">
        <w:rPr>
          <w:szCs w:val="28"/>
        </w:rPr>
        <w:t>5,6 tūkst</w:t>
      </w:r>
      <w:r>
        <w:rPr>
          <w:szCs w:val="28"/>
        </w:rPr>
        <w:t>.) un transporta pakalpojumos (5,5 tūkst.). Vienlaikus vidējās kvalifikācijas nodarbināto skaits šajā laikā ir pieaudzis vien būvniecībā (</w:t>
      </w:r>
      <w:r w:rsidRPr="00BE5227">
        <w:rPr>
          <w:szCs w:val="28"/>
        </w:rPr>
        <w:t>par 0,9 tūkst.</w:t>
      </w:r>
      <w:r>
        <w:rPr>
          <w:szCs w:val="28"/>
        </w:rPr>
        <w:t xml:space="preserve">) un </w:t>
      </w:r>
      <w:r w:rsidRPr="00BE5227">
        <w:rPr>
          <w:szCs w:val="28"/>
        </w:rPr>
        <w:t>sabiedrisko pakalpojumu nozarēs</w:t>
      </w:r>
      <w:r>
        <w:rPr>
          <w:szCs w:val="28"/>
        </w:rPr>
        <w:t xml:space="preserve"> (par 0,9 tūkst.)</w:t>
      </w:r>
      <w:r w:rsidRPr="00BE5227">
        <w:rPr>
          <w:szCs w:val="28"/>
        </w:rPr>
        <w:t>.</w:t>
      </w:r>
    </w:p>
    <w:p w14:paraId="7B53CA6F" w14:textId="77777777" w:rsidR="00417159" w:rsidRDefault="00417159">
      <w:pPr>
        <w:spacing w:after="0"/>
        <w:rPr>
          <w:szCs w:val="20"/>
        </w:rPr>
      </w:pPr>
      <w:r>
        <w:rPr>
          <w:szCs w:val="20"/>
        </w:rPr>
        <w:br w:type="page"/>
      </w:r>
    </w:p>
    <w:p w14:paraId="65F60BFC" w14:textId="2015B1D4" w:rsidR="00CE325A" w:rsidRPr="003B4CDA" w:rsidRDefault="00CE325A" w:rsidP="00CE325A">
      <w:pPr>
        <w:jc w:val="right"/>
        <w:rPr>
          <w:szCs w:val="20"/>
        </w:rPr>
      </w:pPr>
      <w:r w:rsidRPr="003B4CDA">
        <w:rPr>
          <w:szCs w:val="20"/>
        </w:rPr>
        <w:lastRenderedPageBreak/>
        <w:t>2.3. tabula</w:t>
      </w:r>
    </w:p>
    <w:p w14:paraId="2B36B4BD" w14:textId="77777777" w:rsidR="00CE325A" w:rsidRPr="003B4CDA" w:rsidRDefault="00CE325A" w:rsidP="00CE325A">
      <w:pPr>
        <w:spacing w:after="120"/>
        <w:jc w:val="center"/>
        <w:rPr>
          <w:rFonts w:ascii="Segoe UI Light" w:hAnsi="Segoe UI Light"/>
          <w:i/>
          <w:sz w:val="16"/>
          <w:szCs w:val="26"/>
        </w:rPr>
      </w:pPr>
      <w:r w:rsidRPr="003B4CDA">
        <w:rPr>
          <w:rFonts w:ascii="Segoe UI Light" w:hAnsi="Segoe UI Light"/>
          <w:b/>
          <w:sz w:val="18"/>
          <w:szCs w:val="26"/>
        </w:rPr>
        <w:t xml:space="preserve">Nodarbināto skaits izmaiņas tautsaimniecības nozarēs sadalījumā pa profesiju grupām </w:t>
      </w:r>
      <w:r w:rsidRPr="003B4CDA">
        <w:rPr>
          <w:rFonts w:ascii="Segoe UI Light" w:hAnsi="Segoe UI Light"/>
          <w:sz w:val="16"/>
          <w:szCs w:val="26"/>
        </w:rPr>
        <w:br/>
      </w:r>
      <w:r w:rsidRPr="003B4CDA">
        <w:rPr>
          <w:rFonts w:ascii="Segoe UI Light" w:hAnsi="Segoe UI Light"/>
          <w:i/>
          <w:sz w:val="16"/>
          <w:szCs w:val="26"/>
        </w:rPr>
        <w:t>tūkstošos</w:t>
      </w:r>
    </w:p>
    <w:tbl>
      <w:tblPr>
        <w:tblStyle w:val="GridTable5Dark-Accent3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933"/>
        <w:gridCol w:w="7"/>
        <w:gridCol w:w="674"/>
        <w:gridCol w:w="7"/>
        <w:gridCol w:w="674"/>
        <w:gridCol w:w="7"/>
        <w:gridCol w:w="672"/>
        <w:gridCol w:w="9"/>
        <w:gridCol w:w="671"/>
        <w:gridCol w:w="11"/>
        <w:gridCol w:w="669"/>
        <w:gridCol w:w="13"/>
        <w:gridCol w:w="667"/>
        <w:gridCol w:w="14"/>
        <w:gridCol w:w="665"/>
        <w:gridCol w:w="16"/>
        <w:gridCol w:w="663"/>
        <w:gridCol w:w="18"/>
        <w:gridCol w:w="660"/>
        <w:gridCol w:w="11"/>
      </w:tblGrid>
      <w:tr w:rsidR="00343BAC" w:rsidRPr="003B4CDA" w14:paraId="270DDE5E" w14:textId="77777777" w:rsidTr="00CE325A">
        <w:trPr>
          <w:gridAfter w:val="1"/>
          <w:cnfStyle w:val="100000000000" w:firstRow="1" w:lastRow="0" w:firstColumn="0" w:lastColumn="0" w:oddVBand="0" w:evenVBand="0" w:oddHBand="0" w:evenHBand="0" w:firstRowFirstColumn="0" w:firstRowLastColumn="0" w:lastRowFirstColumn="0" w:lastRowLastColumn="0"/>
          <w:wAfter w:w="6" w:type="pct"/>
          <w:cantSplit/>
          <w:trHeight w:val="1474"/>
          <w:jc w:val="center"/>
        </w:trPr>
        <w:tc>
          <w:tcPr>
            <w:tcW w:w="1618" w:type="pct"/>
            <w:shd w:val="clear" w:color="auto" w:fill="5F497A" w:themeFill="accent4" w:themeFillShade="BF"/>
            <w:textDirection w:val="btLr"/>
          </w:tcPr>
          <w:p w14:paraId="6CC0899A" w14:textId="77777777" w:rsidR="00CE325A" w:rsidRPr="003B4CDA" w:rsidRDefault="00CE325A" w:rsidP="00D209BD">
            <w:pPr>
              <w:spacing w:before="20" w:after="20"/>
              <w:jc w:val="center"/>
              <w:rPr>
                <w:rFonts w:ascii="Segoe UI Light" w:eastAsia="Arial Unicode MS" w:hAnsi="Segoe UI Light"/>
                <w:b w:val="0"/>
                <w:sz w:val="16"/>
                <w:szCs w:val="16"/>
              </w:rPr>
            </w:pPr>
          </w:p>
        </w:tc>
        <w:tc>
          <w:tcPr>
            <w:tcW w:w="376" w:type="pct"/>
            <w:gridSpan w:val="2"/>
            <w:shd w:val="clear" w:color="auto" w:fill="5F497A" w:themeFill="accent4" w:themeFillShade="BF"/>
            <w:textDirection w:val="btLr"/>
            <w:vAlign w:val="center"/>
          </w:tcPr>
          <w:p w14:paraId="316BDC12"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Lauksaimniecība</w:t>
            </w:r>
          </w:p>
        </w:tc>
        <w:tc>
          <w:tcPr>
            <w:tcW w:w="376" w:type="pct"/>
            <w:gridSpan w:val="2"/>
            <w:shd w:val="clear" w:color="auto" w:fill="5F497A" w:themeFill="accent4" w:themeFillShade="BF"/>
            <w:textDirection w:val="btLr"/>
            <w:vAlign w:val="center"/>
          </w:tcPr>
          <w:p w14:paraId="11E67396"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Apstrādes </w:t>
            </w:r>
            <w:r w:rsidRPr="003B4CDA">
              <w:rPr>
                <w:rFonts w:ascii="Segoe UI Light" w:eastAsia="Times New Roman" w:hAnsi="Segoe UI Light"/>
                <w:sz w:val="16"/>
                <w:szCs w:val="16"/>
              </w:rPr>
              <w:br/>
              <w:t>rūpniecība</w:t>
            </w:r>
          </w:p>
        </w:tc>
        <w:tc>
          <w:tcPr>
            <w:tcW w:w="375" w:type="pct"/>
            <w:gridSpan w:val="2"/>
            <w:shd w:val="clear" w:color="auto" w:fill="5F497A" w:themeFill="accent4" w:themeFillShade="BF"/>
            <w:textDirection w:val="btLr"/>
            <w:vAlign w:val="center"/>
          </w:tcPr>
          <w:p w14:paraId="50ECFB30"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Pārējā rūpniecība</w:t>
            </w:r>
          </w:p>
        </w:tc>
        <w:tc>
          <w:tcPr>
            <w:tcW w:w="375" w:type="pct"/>
            <w:gridSpan w:val="2"/>
            <w:shd w:val="clear" w:color="auto" w:fill="5F497A" w:themeFill="accent4" w:themeFillShade="BF"/>
            <w:textDirection w:val="btLr"/>
            <w:vAlign w:val="center"/>
          </w:tcPr>
          <w:p w14:paraId="2E6D3508"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Būvniecība</w:t>
            </w:r>
          </w:p>
        </w:tc>
        <w:tc>
          <w:tcPr>
            <w:tcW w:w="375" w:type="pct"/>
            <w:gridSpan w:val="2"/>
            <w:shd w:val="clear" w:color="auto" w:fill="5F497A" w:themeFill="accent4" w:themeFillShade="BF"/>
            <w:textDirection w:val="btLr"/>
            <w:vAlign w:val="center"/>
          </w:tcPr>
          <w:p w14:paraId="2E985085"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Tirdzniecība, </w:t>
            </w:r>
            <w:r w:rsidRPr="003B4CDA">
              <w:rPr>
                <w:rFonts w:ascii="Segoe UI Light" w:eastAsia="Times New Roman" w:hAnsi="Segoe UI Light"/>
                <w:sz w:val="16"/>
                <w:szCs w:val="16"/>
              </w:rPr>
              <w:br/>
              <w:t>izmitināšana</w:t>
            </w:r>
          </w:p>
        </w:tc>
        <w:tc>
          <w:tcPr>
            <w:tcW w:w="375" w:type="pct"/>
            <w:gridSpan w:val="2"/>
            <w:shd w:val="clear" w:color="auto" w:fill="5F497A" w:themeFill="accent4" w:themeFillShade="BF"/>
            <w:textDirection w:val="btLr"/>
            <w:vAlign w:val="center"/>
          </w:tcPr>
          <w:p w14:paraId="2455C547"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Transports un </w:t>
            </w:r>
            <w:r w:rsidRPr="003B4CDA">
              <w:rPr>
                <w:rFonts w:ascii="Segoe UI Light" w:eastAsia="Times New Roman" w:hAnsi="Segoe UI Light"/>
                <w:sz w:val="16"/>
                <w:szCs w:val="16"/>
              </w:rPr>
              <w:br/>
              <w:t>uzglabāšana</w:t>
            </w:r>
          </w:p>
        </w:tc>
        <w:tc>
          <w:tcPr>
            <w:tcW w:w="375" w:type="pct"/>
            <w:gridSpan w:val="2"/>
            <w:shd w:val="clear" w:color="auto" w:fill="5F497A" w:themeFill="accent4" w:themeFillShade="BF"/>
            <w:textDirection w:val="btLr"/>
            <w:vAlign w:val="center"/>
          </w:tcPr>
          <w:p w14:paraId="097DE8CC"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Citi </w:t>
            </w:r>
            <w:r w:rsidRPr="003B4CDA">
              <w:rPr>
                <w:rFonts w:ascii="Segoe UI Light" w:eastAsia="Times New Roman" w:hAnsi="Segoe UI Light"/>
                <w:sz w:val="16"/>
                <w:szCs w:val="16"/>
              </w:rPr>
              <w:br/>
              <w:t>komercpakalpojumi</w:t>
            </w:r>
          </w:p>
        </w:tc>
        <w:tc>
          <w:tcPr>
            <w:tcW w:w="375" w:type="pct"/>
            <w:gridSpan w:val="2"/>
            <w:shd w:val="clear" w:color="auto" w:fill="5F497A" w:themeFill="accent4" w:themeFillShade="BF"/>
            <w:textDirection w:val="btLr"/>
            <w:vAlign w:val="center"/>
          </w:tcPr>
          <w:p w14:paraId="3E588FD5" w14:textId="77777777" w:rsidR="00CE325A" w:rsidRPr="003B4CDA" w:rsidRDefault="00CE325A" w:rsidP="00D209BD">
            <w:pPr>
              <w:spacing w:before="20" w:after="20"/>
              <w:jc w:val="center"/>
              <w:rPr>
                <w:rFonts w:ascii="Segoe UI Light" w:eastAsia="Arial Unicode MS" w:hAnsi="Segoe UI Light"/>
                <w:bCs w:val="0"/>
                <w:sz w:val="16"/>
                <w:szCs w:val="16"/>
              </w:rPr>
            </w:pPr>
            <w:r w:rsidRPr="003B4CDA">
              <w:rPr>
                <w:rFonts w:ascii="Segoe UI Light" w:eastAsia="Times New Roman" w:hAnsi="Segoe UI Light"/>
                <w:sz w:val="16"/>
                <w:szCs w:val="16"/>
              </w:rPr>
              <w:t xml:space="preserve">Sabiedriskie </w:t>
            </w:r>
            <w:r w:rsidRPr="003B4CDA">
              <w:rPr>
                <w:rFonts w:ascii="Segoe UI Light" w:eastAsia="Times New Roman" w:hAnsi="Segoe UI Light"/>
                <w:sz w:val="16"/>
                <w:szCs w:val="16"/>
              </w:rPr>
              <w:br/>
              <w:t>pakalpojumi</w:t>
            </w:r>
          </w:p>
        </w:tc>
        <w:tc>
          <w:tcPr>
            <w:tcW w:w="374" w:type="pct"/>
            <w:gridSpan w:val="2"/>
            <w:shd w:val="clear" w:color="auto" w:fill="5F497A" w:themeFill="accent4" w:themeFillShade="BF"/>
            <w:textDirection w:val="btLr"/>
            <w:vAlign w:val="center"/>
          </w:tcPr>
          <w:p w14:paraId="6692C148" w14:textId="77777777" w:rsidR="00CE325A" w:rsidRPr="003B4CDA" w:rsidRDefault="00CE325A" w:rsidP="00D209BD">
            <w:pPr>
              <w:spacing w:before="20" w:after="20"/>
              <w:jc w:val="center"/>
              <w:rPr>
                <w:rFonts w:ascii="Segoe UI Light" w:hAnsi="Segoe UI Light"/>
                <w:bCs w:val="0"/>
                <w:sz w:val="16"/>
                <w:szCs w:val="16"/>
              </w:rPr>
            </w:pPr>
            <w:r w:rsidRPr="003B4CDA">
              <w:rPr>
                <w:rFonts w:ascii="Segoe UI Light" w:eastAsia="Arial Unicode MS" w:hAnsi="Segoe UI Light"/>
                <w:sz w:val="16"/>
                <w:szCs w:val="16"/>
              </w:rPr>
              <w:t>Kopā</w:t>
            </w:r>
          </w:p>
        </w:tc>
      </w:tr>
      <w:tr w:rsidR="00343BAC" w:rsidRPr="003B4CDA" w14:paraId="7C307D3A" w14:textId="77777777" w:rsidTr="00D209BD">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4994" w:type="pct"/>
            <w:gridSpan w:val="19"/>
            <w:shd w:val="clear" w:color="auto" w:fill="B2A1C7" w:themeFill="accent4" w:themeFillTint="99"/>
          </w:tcPr>
          <w:p w14:paraId="5A18959D" w14:textId="77777777" w:rsidR="00CE325A" w:rsidRPr="00E84BCF" w:rsidRDefault="00CE325A" w:rsidP="00D209BD">
            <w:pPr>
              <w:spacing w:before="60" w:after="60"/>
              <w:jc w:val="center"/>
              <w:rPr>
                <w:rFonts w:ascii="Segoe UI Light" w:eastAsia="Times New Roman" w:hAnsi="Segoe UI Light"/>
                <w:b/>
                <w:bCs/>
                <w:sz w:val="16"/>
                <w:szCs w:val="16"/>
              </w:rPr>
            </w:pPr>
            <w:r w:rsidRPr="00E84BCF">
              <w:rPr>
                <w:rFonts w:ascii="Segoe UI Light" w:hAnsi="Segoe UI Light"/>
                <w:b/>
                <w:bCs/>
                <w:i/>
                <w:sz w:val="16"/>
                <w:szCs w:val="26"/>
              </w:rPr>
              <w:t>2021. gads</w:t>
            </w:r>
            <w:r w:rsidRPr="00E84BCF">
              <w:rPr>
                <w:b/>
                <w:bCs/>
              </w:rPr>
              <w:t xml:space="preserve"> </w:t>
            </w:r>
            <w:r w:rsidRPr="00E84BCF">
              <w:rPr>
                <w:rFonts w:ascii="Segoe UI Light" w:hAnsi="Segoe UI Light"/>
                <w:b/>
                <w:bCs/>
                <w:i/>
                <w:sz w:val="16"/>
                <w:szCs w:val="26"/>
              </w:rPr>
              <w:t>salīdzinājumā ar 2019. gadu</w:t>
            </w:r>
          </w:p>
        </w:tc>
      </w:tr>
      <w:tr w:rsidR="00343BAC" w:rsidRPr="003B4CDA" w14:paraId="2512DBE1" w14:textId="77777777" w:rsidTr="00CE325A">
        <w:trPr>
          <w:gridAfter w:val="1"/>
          <w:wAfter w:w="6" w:type="pct"/>
          <w:trHeight w:val="280"/>
          <w:jc w:val="center"/>
        </w:trPr>
        <w:tc>
          <w:tcPr>
            <w:tcW w:w="1618" w:type="pct"/>
            <w:shd w:val="clear" w:color="auto" w:fill="CCC0D9" w:themeFill="accent4" w:themeFillTint="66"/>
          </w:tcPr>
          <w:p w14:paraId="6B410810" w14:textId="77777777" w:rsidR="00CE325A" w:rsidRPr="003B4CDA" w:rsidRDefault="00CE325A" w:rsidP="00D209BD">
            <w:pPr>
              <w:spacing w:before="20" w:after="20"/>
              <w:rPr>
                <w:rFonts w:ascii="Segoe UI Light" w:eastAsia="Arial Unicode MS" w:hAnsi="Segoe UI Light"/>
                <w:sz w:val="16"/>
                <w:szCs w:val="16"/>
              </w:rPr>
            </w:pPr>
            <w:r>
              <w:rPr>
                <w:rFonts w:ascii="Segoe UI Light" w:eastAsia="Arial Unicode MS" w:hAnsi="Segoe UI Light"/>
                <w:sz w:val="16"/>
                <w:szCs w:val="16"/>
              </w:rPr>
              <w:t>Nacionālo bruņoto spēku profesijas</w:t>
            </w:r>
          </w:p>
        </w:tc>
        <w:tc>
          <w:tcPr>
            <w:tcW w:w="376" w:type="pct"/>
            <w:gridSpan w:val="2"/>
            <w:shd w:val="clear" w:color="auto" w:fill="CCC0D9" w:themeFill="accent4" w:themeFillTint="66"/>
            <w:vAlign w:val="bottom"/>
          </w:tcPr>
          <w:p w14:paraId="38DF408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67BB587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193E2D9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0166E71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63BB7DB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2AD3EAE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1EE8193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5" w:type="pct"/>
            <w:gridSpan w:val="2"/>
            <w:shd w:val="clear" w:color="auto" w:fill="CCC0D9" w:themeFill="accent4" w:themeFillTint="66"/>
            <w:vAlign w:val="bottom"/>
          </w:tcPr>
          <w:p w14:paraId="491BC5F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-0,1</w:t>
            </w:r>
          </w:p>
        </w:tc>
        <w:tc>
          <w:tcPr>
            <w:tcW w:w="374" w:type="pct"/>
            <w:gridSpan w:val="2"/>
            <w:shd w:val="clear" w:color="auto" w:fill="CCC0D9" w:themeFill="accent4" w:themeFillTint="66"/>
            <w:vAlign w:val="bottom"/>
          </w:tcPr>
          <w:p w14:paraId="4985978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-0,1</w:t>
            </w:r>
          </w:p>
        </w:tc>
      </w:tr>
      <w:tr w:rsidR="00343BAC" w:rsidRPr="003B4CDA" w14:paraId="41F806C4"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cPr>
          <w:p w14:paraId="5F8A054D" w14:textId="77777777" w:rsidR="00CE325A" w:rsidRPr="005614FE" w:rsidRDefault="00CE325A" w:rsidP="00D209BD">
            <w:pPr>
              <w:spacing w:before="20" w:after="20"/>
              <w:ind w:left="170" w:right="-113" w:hanging="142"/>
              <w:rPr>
                <w:rFonts w:ascii="Segoe UI Light" w:eastAsia="Times New Roman" w:hAnsi="Segoe UI Light"/>
                <w:b/>
                <w:bCs/>
                <w:sz w:val="16"/>
                <w:szCs w:val="16"/>
              </w:rPr>
            </w:pPr>
            <w:r w:rsidRPr="005614FE">
              <w:rPr>
                <w:rFonts w:ascii="Segoe UI Light" w:eastAsia="Times New Roman" w:hAnsi="Segoe UI Light"/>
                <w:b/>
                <w:bCs/>
                <w:sz w:val="16"/>
                <w:szCs w:val="16"/>
              </w:rPr>
              <w:t>Augstas kvalifikācijas profesijas, tai skaitā:</w:t>
            </w:r>
          </w:p>
        </w:tc>
        <w:tc>
          <w:tcPr>
            <w:tcW w:w="376" w:type="pct"/>
            <w:gridSpan w:val="2"/>
            <w:shd w:val="clear" w:color="auto" w:fill="E5DFEC" w:themeFill="accent4" w:themeFillTint="33"/>
            <w:vAlign w:val="bottom"/>
          </w:tcPr>
          <w:p w14:paraId="4CFA4E83"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1,8</w:t>
            </w:r>
          </w:p>
        </w:tc>
        <w:tc>
          <w:tcPr>
            <w:tcW w:w="376" w:type="pct"/>
            <w:gridSpan w:val="2"/>
            <w:shd w:val="clear" w:color="auto" w:fill="E5DFEC" w:themeFill="accent4" w:themeFillTint="33"/>
            <w:vAlign w:val="bottom"/>
          </w:tcPr>
          <w:p w14:paraId="39A2D4E0"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3,7</w:t>
            </w:r>
          </w:p>
        </w:tc>
        <w:tc>
          <w:tcPr>
            <w:tcW w:w="375" w:type="pct"/>
            <w:gridSpan w:val="2"/>
            <w:shd w:val="clear" w:color="auto" w:fill="E5DFEC" w:themeFill="accent4" w:themeFillTint="33"/>
            <w:vAlign w:val="bottom"/>
          </w:tcPr>
          <w:p w14:paraId="36CD74AF"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2</w:t>
            </w:r>
            <w:r w:rsidRPr="00743039">
              <w:rPr>
                <w:rFonts w:ascii="Segoe UI Light" w:hAnsi="Segoe UI Light" w:cs="Segoe UI Light"/>
                <w:b/>
                <w:bCs/>
                <w:sz w:val="16"/>
                <w:szCs w:val="16"/>
              </w:rPr>
              <w:t>,1</w:t>
            </w:r>
          </w:p>
        </w:tc>
        <w:tc>
          <w:tcPr>
            <w:tcW w:w="375" w:type="pct"/>
            <w:gridSpan w:val="2"/>
            <w:shd w:val="clear" w:color="auto" w:fill="E5DFEC" w:themeFill="accent4" w:themeFillTint="33"/>
            <w:vAlign w:val="bottom"/>
          </w:tcPr>
          <w:p w14:paraId="03023937"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1,4</w:t>
            </w:r>
          </w:p>
        </w:tc>
        <w:tc>
          <w:tcPr>
            <w:tcW w:w="375" w:type="pct"/>
            <w:gridSpan w:val="2"/>
            <w:shd w:val="clear" w:color="auto" w:fill="E5DFEC" w:themeFill="accent4" w:themeFillTint="33"/>
            <w:vAlign w:val="bottom"/>
          </w:tcPr>
          <w:p w14:paraId="0759AC14"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w:t>
            </w:r>
            <w:r w:rsidRPr="00743039">
              <w:rPr>
                <w:rFonts w:ascii="Segoe UI Light" w:hAnsi="Segoe UI Light" w:cs="Segoe UI Light"/>
                <w:b/>
                <w:bCs/>
                <w:sz w:val="16"/>
                <w:szCs w:val="16"/>
              </w:rPr>
              <w:t>,7</w:t>
            </w:r>
          </w:p>
        </w:tc>
        <w:tc>
          <w:tcPr>
            <w:tcW w:w="375" w:type="pct"/>
            <w:gridSpan w:val="2"/>
            <w:shd w:val="clear" w:color="auto" w:fill="E5DFEC" w:themeFill="accent4" w:themeFillTint="33"/>
            <w:vAlign w:val="bottom"/>
          </w:tcPr>
          <w:p w14:paraId="162B3E7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-0,</w:t>
            </w:r>
            <w:r>
              <w:rPr>
                <w:rFonts w:ascii="Segoe UI Light" w:hAnsi="Segoe UI Light" w:cs="Segoe UI Light"/>
                <w:b/>
                <w:bCs/>
                <w:sz w:val="16"/>
                <w:szCs w:val="16"/>
              </w:rPr>
              <w:t>7</w:t>
            </w:r>
          </w:p>
        </w:tc>
        <w:tc>
          <w:tcPr>
            <w:tcW w:w="375" w:type="pct"/>
            <w:gridSpan w:val="2"/>
            <w:shd w:val="clear" w:color="auto" w:fill="E5DFEC" w:themeFill="accent4" w:themeFillTint="33"/>
            <w:vAlign w:val="bottom"/>
          </w:tcPr>
          <w:p w14:paraId="1408BC89"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4,1</w:t>
            </w:r>
          </w:p>
        </w:tc>
        <w:tc>
          <w:tcPr>
            <w:tcW w:w="375" w:type="pct"/>
            <w:gridSpan w:val="2"/>
            <w:shd w:val="clear" w:color="auto" w:fill="E5DFEC" w:themeFill="accent4" w:themeFillTint="33"/>
            <w:vAlign w:val="bottom"/>
          </w:tcPr>
          <w:p w14:paraId="2E357F6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1,7</w:t>
            </w:r>
          </w:p>
        </w:tc>
        <w:tc>
          <w:tcPr>
            <w:tcW w:w="374" w:type="pct"/>
            <w:gridSpan w:val="2"/>
            <w:shd w:val="clear" w:color="auto" w:fill="E5DFEC" w:themeFill="accent4" w:themeFillTint="33"/>
            <w:vAlign w:val="bottom"/>
          </w:tcPr>
          <w:p w14:paraId="5565EB12"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6</w:t>
            </w:r>
            <w:r w:rsidRPr="00743039">
              <w:rPr>
                <w:rFonts w:ascii="Segoe UI Light" w:hAnsi="Segoe UI Light" w:cs="Segoe UI Light"/>
                <w:b/>
                <w:bCs/>
                <w:sz w:val="16"/>
                <w:szCs w:val="16"/>
              </w:rPr>
              <w:t>,1</w:t>
            </w:r>
          </w:p>
        </w:tc>
      </w:tr>
      <w:tr w:rsidR="00343BAC" w:rsidRPr="003B4CDA" w14:paraId="72B19495" w14:textId="77777777" w:rsidTr="00CE325A">
        <w:trPr>
          <w:gridAfter w:val="1"/>
          <w:wAfter w:w="6" w:type="pct"/>
          <w:trHeight w:val="280"/>
          <w:jc w:val="center"/>
        </w:trPr>
        <w:tc>
          <w:tcPr>
            <w:tcW w:w="1618" w:type="pct"/>
            <w:shd w:val="clear" w:color="auto" w:fill="CCC0D9" w:themeFill="accent4" w:themeFillTint="66"/>
          </w:tcPr>
          <w:p w14:paraId="63285AAD"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Vadītāji</w:t>
            </w:r>
          </w:p>
        </w:tc>
        <w:tc>
          <w:tcPr>
            <w:tcW w:w="376" w:type="pct"/>
            <w:gridSpan w:val="2"/>
            <w:shd w:val="clear" w:color="auto" w:fill="CCC0D9" w:themeFill="accent4" w:themeFillTint="66"/>
            <w:vAlign w:val="bottom"/>
          </w:tcPr>
          <w:p w14:paraId="1E2B980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-1,3</w:t>
            </w:r>
          </w:p>
        </w:tc>
        <w:tc>
          <w:tcPr>
            <w:tcW w:w="376" w:type="pct"/>
            <w:gridSpan w:val="2"/>
            <w:shd w:val="clear" w:color="auto" w:fill="CCC0D9" w:themeFill="accent4" w:themeFillTint="66"/>
            <w:vAlign w:val="bottom"/>
          </w:tcPr>
          <w:p w14:paraId="0973538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5" w:type="pct"/>
            <w:gridSpan w:val="2"/>
            <w:shd w:val="clear" w:color="auto" w:fill="CCC0D9" w:themeFill="accent4" w:themeFillTint="66"/>
            <w:vAlign w:val="bottom"/>
          </w:tcPr>
          <w:p w14:paraId="2859255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5" w:type="pct"/>
            <w:gridSpan w:val="2"/>
            <w:shd w:val="clear" w:color="auto" w:fill="CCC0D9" w:themeFill="accent4" w:themeFillTint="66"/>
            <w:vAlign w:val="bottom"/>
          </w:tcPr>
          <w:p w14:paraId="7EFB0BC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5" w:type="pct"/>
            <w:gridSpan w:val="2"/>
            <w:shd w:val="clear" w:color="auto" w:fill="CCC0D9" w:themeFill="accent4" w:themeFillTint="66"/>
            <w:vAlign w:val="bottom"/>
          </w:tcPr>
          <w:p w14:paraId="00004EA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5" w:type="pct"/>
            <w:gridSpan w:val="2"/>
            <w:shd w:val="clear" w:color="auto" w:fill="CCC0D9" w:themeFill="accent4" w:themeFillTint="66"/>
            <w:vAlign w:val="bottom"/>
          </w:tcPr>
          <w:p w14:paraId="26D52EE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5" w:type="pct"/>
            <w:gridSpan w:val="2"/>
            <w:shd w:val="clear" w:color="auto" w:fill="CCC0D9" w:themeFill="accent4" w:themeFillTint="66"/>
            <w:vAlign w:val="bottom"/>
          </w:tcPr>
          <w:p w14:paraId="5B7571D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3,4</w:t>
            </w:r>
          </w:p>
        </w:tc>
        <w:tc>
          <w:tcPr>
            <w:tcW w:w="375" w:type="pct"/>
            <w:gridSpan w:val="2"/>
            <w:shd w:val="clear" w:color="auto" w:fill="CCC0D9" w:themeFill="accent4" w:themeFillTint="66"/>
            <w:vAlign w:val="bottom"/>
          </w:tcPr>
          <w:p w14:paraId="439E356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-1,1</w:t>
            </w:r>
          </w:p>
        </w:tc>
        <w:tc>
          <w:tcPr>
            <w:tcW w:w="374" w:type="pct"/>
            <w:gridSpan w:val="2"/>
            <w:shd w:val="clear" w:color="auto" w:fill="CCC0D9" w:themeFill="accent4" w:themeFillTint="66"/>
            <w:vAlign w:val="bottom"/>
          </w:tcPr>
          <w:p w14:paraId="27729B0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r>
      <w:tr w:rsidR="00343BAC" w:rsidRPr="003B4CDA" w14:paraId="5AA485A8"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hemeFill="accent4" w:themeFillTint="33"/>
          </w:tcPr>
          <w:p w14:paraId="219E17CF"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Vecākie speciālisti</w:t>
            </w:r>
          </w:p>
        </w:tc>
        <w:tc>
          <w:tcPr>
            <w:tcW w:w="376" w:type="pct"/>
            <w:gridSpan w:val="2"/>
            <w:shd w:val="clear" w:color="auto" w:fill="E5DFEC" w:themeFill="accent4" w:themeFillTint="33"/>
            <w:vAlign w:val="bottom"/>
          </w:tcPr>
          <w:p w14:paraId="4904277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6" w:type="pct"/>
            <w:gridSpan w:val="2"/>
            <w:shd w:val="clear" w:color="auto" w:fill="E5DFEC" w:themeFill="accent4" w:themeFillTint="33"/>
            <w:vAlign w:val="bottom"/>
          </w:tcPr>
          <w:p w14:paraId="3F6A836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3,3</w:t>
            </w:r>
          </w:p>
        </w:tc>
        <w:tc>
          <w:tcPr>
            <w:tcW w:w="375" w:type="pct"/>
            <w:gridSpan w:val="2"/>
            <w:shd w:val="clear" w:color="auto" w:fill="E5DFEC" w:themeFill="accent4" w:themeFillTint="33"/>
            <w:vAlign w:val="bottom"/>
          </w:tcPr>
          <w:p w14:paraId="743EEBD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5" w:type="pct"/>
            <w:gridSpan w:val="2"/>
            <w:shd w:val="clear" w:color="auto" w:fill="E5DFEC" w:themeFill="accent4" w:themeFillTint="33"/>
            <w:vAlign w:val="bottom"/>
          </w:tcPr>
          <w:p w14:paraId="2CEA7B8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1,4</w:t>
            </w:r>
          </w:p>
        </w:tc>
        <w:tc>
          <w:tcPr>
            <w:tcW w:w="375" w:type="pct"/>
            <w:gridSpan w:val="2"/>
            <w:shd w:val="clear" w:color="auto" w:fill="E5DFEC" w:themeFill="accent4" w:themeFillTint="33"/>
            <w:vAlign w:val="bottom"/>
          </w:tcPr>
          <w:p w14:paraId="3A91135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5" w:type="pct"/>
            <w:gridSpan w:val="2"/>
            <w:shd w:val="clear" w:color="auto" w:fill="E5DFEC" w:themeFill="accent4" w:themeFillTint="33"/>
            <w:vAlign w:val="bottom"/>
          </w:tcPr>
          <w:p w14:paraId="6AA0377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w:t>
            </w:r>
            <w:r w:rsidRPr="003B4CDA">
              <w:rPr>
                <w:rFonts w:ascii="Segoe UI Light" w:hAnsi="Segoe UI Light" w:cs="Segoe UI Light"/>
                <w:sz w:val="16"/>
                <w:szCs w:val="16"/>
              </w:rPr>
              <w:t>,</w:t>
            </w:r>
            <w:r>
              <w:rPr>
                <w:rFonts w:ascii="Segoe UI Light" w:hAnsi="Segoe UI Light" w:cs="Segoe UI Light"/>
                <w:sz w:val="16"/>
                <w:szCs w:val="16"/>
              </w:rPr>
              <w:t>1</w:t>
            </w:r>
          </w:p>
        </w:tc>
        <w:tc>
          <w:tcPr>
            <w:tcW w:w="375" w:type="pct"/>
            <w:gridSpan w:val="2"/>
            <w:shd w:val="clear" w:color="auto" w:fill="E5DFEC" w:themeFill="accent4" w:themeFillTint="33"/>
            <w:vAlign w:val="bottom"/>
          </w:tcPr>
          <w:p w14:paraId="1F7CACE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5,1</w:t>
            </w:r>
          </w:p>
        </w:tc>
        <w:tc>
          <w:tcPr>
            <w:tcW w:w="375" w:type="pct"/>
            <w:gridSpan w:val="2"/>
            <w:shd w:val="clear" w:color="auto" w:fill="E5DFEC" w:themeFill="accent4" w:themeFillTint="33"/>
            <w:vAlign w:val="bottom"/>
          </w:tcPr>
          <w:p w14:paraId="0D02814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2,9</w:t>
            </w:r>
          </w:p>
        </w:tc>
        <w:tc>
          <w:tcPr>
            <w:tcW w:w="374" w:type="pct"/>
            <w:gridSpan w:val="2"/>
            <w:shd w:val="clear" w:color="auto" w:fill="E5DFEC" w:themeFill="accent4" w:themeFillTint="33"/>
            <w:vAlign w:val="bottom"/>
          </w:tcPr>
          <w:p w14:paraId="342716D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13,6</w:t>
            </w:r>
          </w:p>
        </w:tc>
      </w:tr>
      <w:tr w:rsidR="00343BAC" w:rsidRPr="003B4CDA" w14:paraId="43EBA945" w14:textId="77777777" w:rsidTr="00CE325A">
        <w:trPr>
          <w:gridAfter w:val="1"/>
          <w:wAfter w:w="6" w:type="pct"/>
          <w:trHeight w:val="280"/>
          <w:jc w:val="center"/>
        </w:trPr>
        <w:tc>
          <w:tcPr>
            <w:tcW w:w="1618" w:type="pct"/>
            <w:shd w:val="clear" w:color="auto" w:fill="CCC0D9" w:themeFill="accent4" w:themeFillTint="66"/>
          </w:tcPr>
          <w:p w14:paraId="74A85D69"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Speciālisti</w:t>
            </w:r>
          </w:p>
        </w:tc>
        <w:tc>
          <w:tcPr>
            <w:tcW w:w="376" w:type="pct"/>
            <w:gridSpan w:val="2"/>
            <w:shd w:val="clear" w:color="auto" w:fill="CCC0D9" w:themeFill="accent4" w:themeFillTint="66"/>
            <w:vAlign w:val="bottom"/>
          </w:tcPr>
          <w:p w14:paraId="7A148E1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w:t>
            </w:r>
            <w:r w:rsidRPr="003B4CDA">
              <w:rPr>
                <w:rFonts w:ascii="Segoe UI Light" w:hAnsi="Segoe UI Light" w:cs="Segoe UI Light"/>
                <w:sz w:val="16"/>
                <w:szCs w:val="16"/>
              </w:rPr>
              <w:t>0,</w:t>
            </w:r>
            <w:r>
              <w:rPr>
                <w:rFonts w:ascii="Segoe UI Light" w:hAnsi="Segoe UI Light" w:cs="Segoe UI Light"/>
                <w:sz w:val="16"/>
                <w:szCs w:val="16"/>
              </w:rPr>
              <w:t>3</w:t>
            </w:r>
          </w:p>
        </w:tc>
        <w:tc>
          <w:tcPr>
            <w:tcW w:w="376" w:type="pct"/>
            <w:gridSpan w:val="2"/>
            <w:shd w:val="clear" w:color="auto" w:fill="CCC0D9" w:themeFill="accent4" w:themeFillTint="66"/>
            <w:vAlign w:val="bottom"/>
          </w:tcPr>
          <w:p w14:paraId="019CC9E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0,0</w:t>
            </w:r>
          </w:p>
        </w:tc>
        <w:tc>
          <w:tcPr>
            <w:tcW w:w="375" w:type="pct"/>
            <w:gridSpan w:val="2"/>
            <w:shd w:val="clear" w:color="auto" w:fill="CCC0D9" w:themeFill="accent4" w:themeFillTint="66"/>
            <w:vAlign w:val="bottom"/>
          </w:tcPr>
          <w:p w14:paraId="76F95A0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0,9</w:t>
            </w:r>
          </w:p>
        </w:tc>
        <w:tc>
          <w:tcPr>
            <w:tcW w:w="375" w:type="pct"/>
            <w:gridSpan w:val="2"/>
            <w:shd w:val="clear" w:color="auto" w:fill="CCC0D9" w:themeFill="accent4" w:themeFillTint="66"/>
            <w:vAlign w:val="bottom"/>
          </w:tcPr>
          <w:p w14:paraId="56FFE5E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-1,9</w:t>
            </w:r>
          </w:p>
        </w:tc>
        <w:tc>
          <w:tcPr>
            <w:tcW w:w="375" w:type="pct"/>
            <w:gridSpan w:val="2"/>
            <w:shd w:val="clear" w:color="auto" w:fill="CCC0D9" w:themeFill="accent4" w:themeFillTint="66"/>
            <w:vAlign w:val="bottom"/>
          </w:tcPr>
          <w:p w14:paraId="3224DEF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-2,4</w:t>
            </w:r>
          </w:p>
        </w:tc>
        <w:tc>
          <w:tcPr>
            <w:tcW w:w="375" w:type="pct"/>
            <w:gridSpan w:val="2"/>
            <w:shd w:val="clear" w:color="auto" w:fill="CCC0D9" w:themeFill="accent4" w:themeFillTint="66"/>
            <w:vAlign w:val="bottom"/>
          </w:tcPr>
          <w:p w14:paraId="4B8A54B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5" w:type="pct"/>
            <w:gridSpan w:val="2"/>
            <w:shd w:val="clear" w:color="auto" w:fill="CCC0D9" w:themeFill="accent4" w:themeFillTint="66"/>
            <w:vAlign w:val="bottom"/>
          </w:tcPr>
          <w:p w14:paraId="14E1BA8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-4,3</w:t>
            </w:r>
          </w:p>
        </w:tc>
        <w:tc>
          <w:tcPr>
            <w:tcW w:w="375" w:type="pct"/>
            <w:gridSpan w:val="2"/>
            <w:shd w:val="clear" w:color="auto" w:fill="CCC0D9" w:themeFill="accent4" w:themeFillTint="66"/>
            <w:vAlign w:val="bottom"/>
          </w:tcPr>
          <w:p w14:paraId="32BE1ED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4" w:type="pct"/>
            <w:gridSpan w:val="2"/>
            <w:shd w:val="clear" w:color="auto" w:fill="CCC0D9" w:themeFill="accent4" w:themeFillTint="66"/>
            <w:vAlign w:val="bottom"/>
          </w:tcPr>
          <w:p w14:paraId="42B20EB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-7,9</w:t>
            </w:r>
          </w:p>
        </w:tc>
      </w:tr>
      <w:tr w:rsidR="00343BAC" w:rsidRPr="003B4CDA" w14:paraId="5905CDB0"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hemeFill="accent4" w:themeFillTint="33"/>
          </w:tcPr>
          <w:p w14:paraId="42C9A2A5" w14:textId="77777777" w:rsidR="00CE325A" w:rsidRPr="005614FE" w:rsidRDefault="00CE325A" w:rsidP="00D209BD">
            <w:pPr>
              <w:spacing w:before="20" w:after="20"/>
              <w:ind w:left="171" w:hanging="142"/>
              <w:rPr>
                <w:rFonts w:ascii="Segoe UI Light" w:eastAsia="Times New Roman" w:hAnsi="Segoe UI Light"/>
                <w:b/>
                <w:bCs/>
                <w:sz w:val="16"/>
                <w:szCs w:val="16"/>
              </w:rPr>
            </w:pPr>
            <w:r w:rsidRPr="005614FE">
              <w:rPr>
                <w:rFonts w:ascii="Segoe UI Light" w:eastAsia="Times New Roman" w:hAnsi="Segoe UI Light"/>
                <w:b/>
                <w:bCs/>
                <w:sz w:val="16"/>
                <w:szCs w:val="16"/>
              </w:rPr>
              <w:t>Vidējas kvalifikācijas profesijas, tai skaitā:</w:t>
            </w:r>
          </w:p>
        </w:tc>
        <w:tc>
          <w:tcPr>
            <w:tcW w:w="376" w:type="pct"/>
            <w:gridSpan w:val="2"/>
            <w:shd w:val="clear" w:color="auto" w:fill="E5DFEC" w:themeFill="accent4" w:themeFillTint="33"/>
            <w:vAlign w:val="bottom"/>
          </w:tcPr>
          <w:p w14:paraId="4C7160F8"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5,3</w:t>
            </w:r>
          </w:p>
        </w:tc>
        <w:tc>
          <w:tcPr>
            <w:tcW w:w="376" w:type="pct"/>
            <w:gridSpan w:val="2"/>
            <w:shd w:val="clear" w:color="auto" w:fill="E5DFEC" w:themeFill="accent4" w:themeFillTint="33"/>
            <w:vAlign w:val="bottom"/>
          </w:tcPr>
          <w:p w14:paraId="34A1D972"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4,4</w:t>
            </w:r>
          </w:p>
        </w:tc>
        <w:tc>
          <w:tcPr>
            <w:tcW w:w="375" w:type="pct"/>
            <w:gridSpan w:val="2"/>
            <w:shd w:val="clear" w:color="auto" w:fill="E5DFEC" w:themeFill="accent4" w:themeFillTint="33"/>
            <w:vAlign w:val="bottom"/>
          </w:tcPr>
          <w:p w14:paraId="401FAB9A"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w:t>
            </w:r>
            <w:r>
              <w:rPr>
                <w:rFonts w:ascii="Segoe UI Light" w:hAnsi="Segoe UI Light" w:cs="Segoe UI Light"/>
                <w:b/>
                <w:bCs/>
                <w:sz w:val="16"/>
                <w:szCs w:val="16"/>
              </w:rPr>
              <w:t>1</w:t>
            </w:r>
          </w:p>
        </w:tc>
        <w:tc>
          <w:tcPr>
            <w:tcW w:w="375" w:type="pct"/>
            <w:gridSpan w:val="2"/>
            <w:shd w:val="clear" w:color="auto" w:fill="E5DFEC" w:themeFill="accent4" w:themeFillTint="33"/>
            <w:vAlign w:val="bottom"/>
          </w:tcPr>
          <w:p w14:paraId="1A070DD6"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7,4</w:t>
            </w:r>
          </w:p>
        </w:tc>
        <w:tc>
          <w:tcPr>
            <w:tcW w:w="375" w:type="pct"/>
            <w:gridSpan w:val="2"/>
            <w:shd w:val="clear" w:color="auto" w:fill="E5DFEC" w:themeFill="accent4" w:themeFillTint="33"/>
            <w:vAlign w:val="bottom"/>
          </w:tcPr>
          <w:p w14:paraId="1BAA8AE2"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8,0</w:t>
            </w:r>
          </w:p>
        </w:tc>
        <w:tc>
          <w:tcPr>
            <w:tcW w:w="375" w:type="pct"/>
            <w:gridSpan w:val="2"/>
            <w:shd w:val="clear" w:color="auto" w:fill="E5DFEC" w:themeFill="accent4" w:themeFillTint="33"/>
            <w:vAlign w:val="bottom"/>
          </w:tcPr>
          <w:p w14:paraId="789EC628"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6,0</w:t>
            </w:r>
          </w:p>
        </w:tc>
        <w:tc>
          <w:tcPr>
            <w:tcW w:w="375" w:type="pct"/>
            <w:gridSpan w:val="2"/>
            <w:shd w:val="clear" w:color="auto" w:fill="E5DFEC" w:themeFill="accent4" w:themeFillTint="33"/>
            <w:vAlign w:val="bottom"/>
          </w:tcPr>
          <w:p w14:paraId="7E24E65C"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6,9</w:t>
            </w:r>
          </w:p>
        </w:tc>
        <w:tc>
          <w:tcPr>
            <w:tcW w:w="375" w:type="pct"/>
            <w:gridSpan w:val="2"/>
            <w:shd w:val="clear" w:color="auto" w:fill="E5DFEC" w:themeFill="accent4" w:themeFillTint="33"/>
            <w:vAlign w:val="bottom"/>
          </w:tcPr>
          <w:p w14:paraId="68A6651C"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w:t>
            </w:r>
            <w:r w:rsidRPr="00743039">
              <w:rPr>
                <w:rFonts w:ascii="Segoe UI Light" w:hAnsi="Segoe UI Light" w:cs="Segoe UI Light"/>
                <w:b/>
                <w:bCs/>
                <w:sz w:val="16"/>
                <w:szCs w:val="16"/>
              </w:rPr>
              <w:t>0,</w:t>
            </w:r>
            <w:r>
              <w:rPr>
                <w:rFonts w:ascii="Segoe UI Light" w:hAnsi="Segoe UI Light" w:cs="Segoe UI Light"/>
                <w:b/>
                <w:bCs/>
                <w:sz w:val="16"/>
                <w:szCs w:val="16"/>
              </w:rPr>
              <w:t>2</w:t>
            </w:r>
          </w:p>
        </w:tc>
        <w:tc>
          <w:tcPr>
            <w:tcW w:w="374" w:type="pct"/>
            <w:gridSpan w:val="2"/>
            <w:shd w:val="clear" w:color="auto" w:fill="E5DFEC" w:themeFill="accent4" w:themeFillTint="33"/>
            <w:vAlign w:val="bottom"/>
          </w:tcPr>
          <w:p w14:paraId="5281CF98"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37,2</w:t>
            </w:r>
          </w:p>
        </w:tc>
      </w:tr>
      <w:tr w:rsidR="00343BAC" w:rsidRPr="003B4CDA" w14:paraId="575BEAD8" w14:textId="77777777" w:rsidTr="00CE325A">
        <w:trPr>
          <w:gridAfter w:val="1"/>
          <w:wAfter w:w="6" w:type="pct"/>
          <w:trHeight w:val="280"/>
          <w:jc w:val="center"/>
        </w:trPr>
        <w:tc>
          <w:tcPr>
            <w:tcW w:w="1618" w:type="pct"/>
            <w:shd w:val="clear" w:color="auto" w:fill="CCC0D9" w:themeFill="accent4" w:themeFillTint="66"/>
          </w:tcPr>
          <w:p w14:paraId="4EB0C01D"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Iestāžu kalpotāji</w:t>
            </w:r>
          </w:p>
        </w:tc>
        <w:tc>
          <w:tcPr>
            <w:tcW w:w="376" w:type="pct"/>
            <w:gridSpan w:val="2"/>
            <w:shd w:val="clear" w:color="auto" w:fill="CCC0D9" w:themeFill="accent4" w:themeFillTint="66"/>
            <w:vAlign w:val="bottom"/>
          </w:tcPr>
          <w:p w14:paraId="6DC6F6F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-0,7</w:t>
            </w:r>
          </w:p>
        </w:tc>
        <w:tc>
          <w:tcPr>
            <w:tcW w:w="376" w:type="pct"/>
            <w:gridSpan w:val="2"/>
            <w:shd w:val="clear" w:color="auto" w:fill="CCC0D9" w:themeFill="accent4" w:themeFillTint="66"/>
            <w:vAlign w:val="bottom"/>
          </w:tcPr>
          <w:p w14:paraId="04FC76A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w:t>
            </w:r>
            <w:r w:rsidRPr="003B4CDA">
              <w:rPr>
                <w:rFonts w:ascii="Segoe UI Light" w:hAnsi="Segoe UI Light" w:cs="Segoe UI Light"/>
                <w:sz w:val="16"/>
                <w:szCs w:val="16"/>
              </w:rPr>
              <w:t>0,</w:t>
            </w:r>
            <w:r>
              <w:rPr>
                <w:rFonts w:ascii="Segoe UI Light" w:hAnsi="Segoe UI Light" w:cs="Segoe UI Light"/>
                <w:sz w:val="16"/>
                <w:szCs w:val="16"/>
              </w:rPr>
              <w:t>1</w:t>
            </w:r>
          </w:p>
        </w:tc>
        <w:tc>
          <w:tcPr>
            <w:tcW w:w="375" w:type="pct"/>
            <w:gridSpan w:val="2"/>
            <w:shd w:val="clear" w:color="auto" w:fill="CCC0D9" w:themeFill="accent4" w:themeFillTint="66"/>
            <w:vAlign w:val="bottom"/>
          </w:tcPr>
          <w:p w14:paraId="6460F5A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5" w:type="pct"/>
            <w:gridSpan w:val="2"/>
            <w:shd w:val="clear" w:color="auto" w:fill="CCC0D9" w:themeFill="accent4" w:themeFillTint="66"/>
            <w:vAlign w:val="bottom"/>
          </w:tcPr>
          <w:p w14:paraId="76BCF3B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0,9</w:t>
            </w:r>
          </w:p>
        </w:tc>
        <w:tc>
          <w:tcPr>
            <w:tcW w:w="375" w:type="pct"/>
            <w:gridSpan w:val="2"/>
            <w:shd w:val="clear" w:color="auto" w:fill="CCC0D9" w:themeFill="accent4" w:themeFillTint="66"/>
            <w:vAlign w:val="bottom"/>
          </w:tcPr>
          <w:p w14:paraId="49DE8A7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-1,5</w:t>
            </w:r>
          </w:p>
        </w:tc>
        <w:tc>
          <w:tcPr>
            <w:tcW w:w="375" w:type="pct"/>
            <w:gridSpan w:val="2"/>
            <w:shd w:val="clear" w:color="auto" w:fill="CCC0D9" w:themeFill="accent4" w:themeFillTint="66"/>
            <w:vAlign w:val="bottom"/>
          </w:tcPr>
          <w:p w14:paraId="7973197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w:t>
            </w:r>
            <w:r w:rsidRPr="003B4CDA">
              <w:rPr>
                <w:rFonts w:ascii="Segoe UI Light" w:hAnsi="Segoe UI Light" w:cs="Segoe UI Light"/>
                <w:sz w:val="16"/>
                <w:szCs w:val="16"/>
              </w:rPr>
              <w:t>,</w:t>
            </w:r>
            <w:r>
              <w:rPr>
                <w:rFonts w:ascii="Segoe UI Light" w:hAnsi="Segoe UI Light" w:cs="Segoe UI Light"/>
                <w:sz w:val="16"/>
                <w:szCs w:val="16"/>
              </w:rPr>
              <w:t>4</w:t>
            </w:r>
          </w:p>
        </w:tc>
        <w:tc>
          <w:tcPr>
            <w:tcW w:w="375" w:type="pct"/>
            <w:gridSpan w:val="2"/>
            <w:shd w:val="clear" w:color="auto" w:fill="CCC0D9" w:themeFill="accent4" w:themeFillTint="66"/>
            <w:vAlign w:val="bottom"/>
          </w:tcPr>
          <w:p w14:paraId="4FA4344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3,5</w:t>
            </w:r>
          </w:p>
        </w:tc>
        <w:tc>
          <w:tcPr>
            <w:tcW w:w="375" w:type="pct"/>
            <w:gridSpan w:val="2"/>
            <w:shd w:val="clear" w:color="auto" w:fill="CCC0D9" w:themeFill="accent4" w:themeFillTint="66"/>
            <w:vAlign w:val="bottom"/>
          </w:tcPr>
          <w:p w14:paraId="6976906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0,3</w:t>
            </w:r>
          </w:p>
        </w:tc>
        <w:tc>
          <w:tcPr>
            <w:tcW w:w="374" w:type="pct"/>
            <w:gridSpan w:val="2"/>
            <w:shd w:val="clear" w:color="auto" w:fill="CCC0D9" w:themeFill="accent4" w:themeFillTint="66"/>
            <w:vAlign w:val="bottom"/>
          </w:tcPr>
          <w:p w14:paraId="048E04D4"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-5,9</w:t>
            </w:r>
          </w:p>
        </w:tc>
      </w:tr>
      <w:tr w:rsidR="00343BAC" w:rsidRPr="003B4CDA" w14:paraId="3CDE2749"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hemeFill="accent4" w:themeFillTint="33"/>
          </w:tcPr>
          <w:p w14:paraId="7C4D3249" w14:textId="77777777" w:rsidR="00CE325A" w:rsidRPr="003B4CDA" w:rsidRDefault="00CE325A" w:rsidP="00D209BD">
            <w:pPr>
              <w:spacing w:before="20" w:after="20"/>
              <w:ind w:left="171"/>
              <w:rPr>
                <w:rFonts w:ascii="Segoe UI Light" w:eastAsia="Arial Unicode MS" w:hAnsi="Segoe UI Light"/>
                <w:sz w:val="16"/>
                <w:szCs w:val="16"/>
              </w:rPr>
            </w:pPr>
            <w:r w:rsidRPr="005614FE">
              <w:rPr>
                <w:rFonts w:ascii="Segoe UI Light" w:eastAsia="Times New Roman" w:hAnsi="Segoe UI Light"/>
                <w:sz w:val="16"/>
                <w:szCs w:val="16"/>
              </w:rPr>
              <w:t>Pakalpojumu un tirdzniecības darbinieki</w:t>
            </w:r>
          </w:p>
        </w:tc>
        <w:tc>
          <w:tcPr>
            <w:tcW w:w="376" w:type="pct"/>
            <w:gridSpan w:val="2"/>
            <w:shd w:val="clear" w:color="auto" w:fill="E5DFEC" w:themeFill="accent4" w:themeFillTint="33"/>
            <w:vAlign w:val="bottom"/>
          </w:tcPr>
          <w:p w14:paraId="388F283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6" w:type="pct"/>
            <w:gridSpan w:val="2"/>
            <w:shd w:val="clear" w:color="auto" w:fill="E5DFEC" w:themeFill="accent4" w:themeFillTint="33"/>
            <w:vAlign w:val="bottom"/>
          </w:tcPr>
          <w:p w14:paraId="670665A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5" w:type="pct"/>
            <w:gridSpan w:val="2"/>
            <w:shd w:val="clear" w:color="auto" w:fill="E5DFEC" w:themeFill="accent4" w:themeFillTint="33"/>
            <w:vAlign w:val="bottom"/>
          </w:tcPr>
          <w:p w14:paraId="7B77715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5" w:type="pct"/>
            <w:gridSpan w:val="2"/>
            <w:shd w:val="clear" w:color="auto" w:fill="E5DFEC" w:themeFill="accent4" w:themeFillTint="33"/>
            <w:vAlign w:val="bottom"/>
          </w:tcPr>
          <w:p w14:paraId="3043179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5" w:type="pct"/>
            <w:gridSpan w:val="2"/>
            <w:shd w:val="clear" w:color="auto" w:fill="E5DFEC" w:themeFill="accent4" w:themeFillTint="33"/>
            <w:vAlign w:val="bottom"/>
          </w:tcPr>
          <w:p w14:paraId="18ED4D6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-6,2</w:t>
            </w:r>
          </w:p>
        </w:tc>
        <w:tc>
          <w:tcPr>
            <w:tcW w:w="375" w:type="pct"/>
            <w:gridSpan w:val="2"/>
            <w:shd w:val="clear" w:color="auto" w:fill="E5DFEC" w:themeFill="accent4" w:themeFillTint="33"/>
            <w:vAlign w:val="bottom"/>
          </w:tcPr>
          <w:p w14:paraId="62C050A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1,7</w:t>
            </w:r>
          </w:p>
        </w:tc>
        <w:tc>
          <w:tcPr>
            <w:tcW w:w="375" w:type="pct"/>
            <w:gridSpan w:val="2"/>
            <w:shd w:val="clear" w:color="auto" w:fill="E5DFEC" w:themeFill="accent4" w:themeFillTint="33"/>
            <w:vAlign w:val="bottom"/>
          </w:tcPr>
          <w:p w14:paraId="06E3BCE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1,5</w:t>
            </w:r>
          </w:p>
        </w:tc>
        <w:tc>
          <w:tcPr>
            <w:tcW w:w="375" w:type="pct"/>
            <w:gridSpan w:val="2"/>
            <w:shd w:val="clear" w:color="auto" w:fill="E5DFEC" w:themeFill="accent4" w:themeFillTint="33"/>
            <w:vAlign w:val="bottom"/>
          </w:tcPr>
          <w:p w14:paraId="69D31C1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-0,6</w:t>
            </w:r>
          </w:p>
        </w:tc>
        <w:tc>
          <w:tcPr>
            <w:tcW w:w="374" w:type="pct"/>
            <w:gridSpan w:val="2"/>
            <w:shd w:val="clear" w:color="auto" w:fill="E5DFEC" w:themeFill="accent4" w:themeFillTint="33"/>
            <w:vAlign w:val="bottom"/>
          </w:tcPr>
          <w:p w14:paraId="62E9C2A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9,4</w:t>
            </w:r>
          </w:p>
        </w:tc>
      </w:tr>
      <w:tr w:rsidR="00343BAC" w:rsidRPr="003B4CDA" w14:paraId="0754CE3D" w14:textId="77777777" w:rsidTr="00CE325A">
        <w:trPr>
          <w:gridAfter w:val="1"/>
          <w:wAfter w:w="6" w:type="pct"/>
          <w:trHeight w:val="280"/>
          <w:jc w:val="center"/>
        </w:trPr>
        <w:tc>
          <w:tcPr>
            <w:tcW w:w="1618" w:type="pct"/>
            <w:shd w:val="clear" w:color="auto" w:fill="CCC0D9" w:themeFill="accent4" w:themeFillTint="66"/>
          </w:tcPr>
          <w:p w14:paraId="3195FD74"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Kvalificēti lauksaimniecības darbinieki</w:t>
            </w:r>
          </w:p>
        </w:tc>
        <w:tc>
          <w:tcPr>
            <w:tcW w:w="376" w:type="pct"/>
            <w:gridSpan w:val="2"/>
            <w:shd w:val="clear" w:color="auto" w:fill="CCC0D9" w:themeFill="accent4" w:themeFillTint="66"/>
            <w:vAlign w:val="bottom"/>
          </w:tcPr>
          <w:p w14:paraId="62290E2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-3,7</w:t>
            </w:r>
          </w:p>
        </w:tc>
        <w:tc>
          <w:tcPr>
            <w:tcW w:w="376" w:type="pct"/>
            <w:gridSpan w:val="2"/>
            <w:shd w:val="clear" w:color="auto" w:fill="CCC0D9" w:themeFill="accent4" w:themeFillTint="66"/>
            <w:vAlign w:val="bottom"/>
          </w:tcPr>
          <w:p w14:paraId="5C0FCA4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5" w:type="pct"/>
            <w:gridSpan w:val="2"/>
            <w:shd w:val="clear" w:color="auto" w:fill="CCC0D9" w:themeFill="accent4" w:themeFillTint="66"/>
            <w:vAlign w:val="bottom"/>
          </w:tcPr>
          <w:p w14:paraId="64D0BC4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5" w:type="pct"/>
            <w:gridSpan w:val="2"/>
            <w:shd w:val="clear" w:color="auto" w:fill="CCC0D9" w:themeFill="accent4" w:themeFillTint="66"/>
            <w:vAlign w:val="bottom"/>
          </w:tcPr>
          <w:p w14:paraId="36D47EA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5" w:type="pct"/>
            <w:gridSpan w:val="2"/>
            <w:shd w:val="clear" w:color="auto" w:fill="CCC0D9" w:themeFill="accent4" w:themeFillTint="66"/>
            <w:vAlign w:val="bottom"/>
          </w:tcPr>
          <w:p w14:paraId="110BE51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1</w:t>
            </w:r>
          </w:p>
        </w:tc>
        <w:tc>
          <w:tcPr>
            <w:tcW w:w="375" w:type="pct"/>
            <w:gridSpan w:val="2"/>
            <w:shd w:val="clear" w:color="auto" w:fill="CCC0D9" w:themeFill="accent4" w:themeFillTint="66"/>
            <w:vAlign w:val="bottom"/>
          </w:tcPr>
          <w:p w14:paraId="105FCEE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5" w:type="pct"/>
            <w:gridSpan w:val="2"/>
            <w:shd w:val="clear" w:color="auto" w:fill="CCC0D9" w:themeFill="accent4" w:themeFillTint="66"/>
            <w:vAlign w:val="bottom"/>
          </w:tcPr>
          <w:p w14:paraId="4691A5A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w:t>
            </w:r>
            <w:r w:rsidRPr="003B4CDA">
              <w:rPr>
                <w:rFonts w:ascii="Segoe UI Light" w:hAnsi="Segoe UI Light" w:cs="Segoe UI Light"/>
                <w:sz w:val="16"/>
                <w:szCs w:val="16"/>
              </w:rPr>
              <w:t>0,</w:t>
            </w:r>
            <w:r>
              <w:rPr>
                <w:rFonts w:ascii="Segoe UI Light" w:hAnsi="Segoe UI Light" w:cs="Segoe UI Light"/>
                <w:sz w:val="16"/>
                <w:szCs w:val="16"/>
              </w:rPr>
              <w:t>4</w:t>
            </w:r>
          </w:p>
        </w:tc>
        <w:tc>
          <w:tcPr>
            <w:tcW w:w="375" w:type="pct"/>
            <w:gridSpan w:val="2"/>
            <w:shd w:val="clear" w:color="auto" w:fill="CCC0D9" w:themeFill="accent4" w:themeFillTint="66"/>
            <w:vAlign w:val="bottom"/>
          </w:tcPr>
          <w:p w14:paraId="5C8CA57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0</w:t>
            </w:r>
          </w:p>
        </w:tc>
        <w:tc>
          <w:tcPr>
            <w:tcW w:w="374" w:type="pct"/>
            <w:gridSpan w:val="2"/>
            <w:shd w:val="clear" w:color="auto" w:fill="CCC0D9" w:themeFill="accent4" w:themeFillTint="66"/>
            <w:vAlign w:val="bottom"/>
          </w:tcPr>
          <w:p w14:paraId="1AB405F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-4,1</w:t>
            </w:r>
          </w:p>
        </w:tc>
      </w:tr>
      <w:tr w:rsidR="00343BAC" w:rsidRPr="003B4CDA" w14:paraId="061F3C8E"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hemeFill="accent4" w:themeFillTint="33"/>
          </w:tcPr>
          <w:p w14:paraId="5B78ABE9"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Kvalificēti strādnieki</w:t>
            </w:r>
          </w:p>
        </w:tc>
        <w:tc>
          <w:tcPr>
            <w:tcW w:w="376" w:type="pct"/>
            <w:gridSpan w:val="2"/>
            <w:shd w:val="clear" w:color="auto" w:fill="E5DFEC" w:themeFill="accent4" w:themeFillTint="33"/>
            <w:vAlign w:val="bottom"/>
          </w:tcPr>
          <w:p w14:paraId="3F67FAD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6" w:type="pct"/>
            <w:gridSpan w:val="2"/>
            <w:shd w:val="clear" w:color="auto" w:fill="E5DFEC" w:themeFill="accent4" w:themeFillTint="33"/>
            <w:vAlign w:val="bottom"/>
          </w:tcPr>
          <w:p w14:paraId="130FB55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2,0</w:t>
            </w:r>
          </w:p>
        </w:tc>
        <w:tc>
          <w:tcPr>
            <w:tcW w:w="375" w:type="pct"/>
            <w:gridSpan w:val="2"/>
            <w:shd w:val="clear" w:color="auto" w:fill="E5DFEC" w:themeFill="accent4" w:themeFillTint="33"/>
            <w:vAlign w:val="bottom"/>
          </w:tcPr>
          <w:p w14:paraId="5CADC31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-0,3</w:t>
            </w:r>
          </w:p>
        </w:tc>
        <w:tc>
          <w:tcPr>
            <w:tcW w:w="375" w:type="pct"/>
            <w:gridSpan w:val="2"/>
            <w:shd w:val="clear" w:color="auto" w:fill="E5DFEC" w:themeFill="accent4" w:themeFillTint="33"/>
            <w:vAlign w:val="bottom"/>
          </w:tcPr>
          <w:p w14:paraId="11234C4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-5,9</w:t>
            </w:r>
          </w:p>
        </w:tc>
        <w:tc>
          <w:tcPr>
            <w:tcW w:w="375" w:type="pct"/>
            <w:gridSpan w:val="2"/>
            <w:shd w:val="clear" w:color="auto" w:fill="E5DFEC" w:themeFill="accent4" w:themeFillTint="33"/>
            <w:vAlign w:val="bottom"/>
          </w:tcPr>
          <w:p w14:paraId="1232661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5" w:type="pct"/>
            <w:gridSpan w:val="2"/>
            <w:shd w:val="clear" w:color="auto" w:fill="E5DFEC" w:themeFill="accent4" w:themeFillTint="33"/>
            <w:vAlign w:val="bottom"/>
          </w:tcPr>
          <w:p w14:paraId="3282299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0,3</w:t>
            </w:r>
          </w:p>
        </w:tc>
        <w:tc>
          <w:tcPr>
            <w:tcW w:w="375" w:type="pct"/>
            <w:gridSpan w:val="2"/>
            <w:shd w:val="clear" w:color="auto" w:fill="E5DFEC" w:themeFill="accent4" w:themeFillTint="33"/>
            <w:vAlign w:val="bottom"/>
          </w:tcPr>
          <w:p w14:paraId="46832F8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-2,2</w:t>
            </w:r>
          </w:p>
        </w:tc>
        <w:tc>
          <w:tcPr>
            <w:tcW w:w="375" w:type="pct"/>
            <w:gridSpan w:val="2"/>
            <w:shd w:val="clear" w:color="auto" w:fill="E5DFEC" w:themeFill="accent4" w:themeFillTint="33"/>
            <w:vAlign w:val="bottom"/>
          </w:tcPr>
          <w:p w14:paraId="31C3DA9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-0,6</w:t>
            </w:r>
          </w:p>
        </w:tc>
        <w:tc>
          <w:tcPr>
            <w:tcW w:w="374" w:type="pct"/>
            <w:gridSpan w:val="2"/>
            <w:shd w:val="clear" w:color="auto" w:fill="E5DFEC" w:themeFill="accent4" w:themeFillTint="33"/>
            <w:vAlign w:val="bottom"/>
          </w:tcPr>
          <w:p w14:paraId="41A5865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11,3</w:t>
            </w:r>
          </w:p>
        </w:tc>
      </w:tr>
      <w:tr w:rsidR="00343BAC" w:rsidRPr="003B4CDA" w14:paraId="4D69EA4F" w14:textId="77777777" w:rsidTr="00CE325A">
        <w:trPr>
          <w:gridAfter w:val="1"/>
          <w:wAfter w:w="6" w:type="pct"/>
          <w:trHeight w:val="313"/>
          <w:jc w:val="center"/>
        </w:trPr>
        <w:tc>
          <w:tcPr>
            <w:tcW w:w="1618" w:type="pct"/>
            <w:shd w:val="clear" w:color="auto" w:fill="CCC0D9" w:themeFill="accent4" w:themeFillTint="66"/>
          </w:tcPr>
          <w:p w14:paraId="7762C69C"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Iekārtu un mašīnu operatori</w:t>
            </w:r>
          </w:p>
        </w:tc>
        <w:tc>
          <w:tcPr>
            <w:tcW w:w="376" w:type="pct"/>
            <w:gridSpan w:val="2"/>
            <w:shd w:val="clear" w:color="auto" w:fill="CCC0D9" w:themeFill="accent4" w:themeFillTint="66"/>
            <w:vAlign w:val="bottom"/>
          </w:tcPr>
          <w:p w14:paraId="236A434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-0,7</w:t>
            </w:r>
          </w:p>
        </w:tc>
        <w:tc>
          <w:tcPr>
            <w:tcW w:w="376" w:type="pct"/>
            <w:gridSpan w:val="2"/>
            <w:shd w:val="clear" w:color="auto" w:fill="CCC0D9" w:themeFill="accent4" w:themeFillTint="66"/>
            <w:vAlign w:val="bottom"/>
          </w:tcPr>
          <w:p w14:paraId="3EA32D1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-2,8</w:t>
            </w:r>
          </w:p>
        </w:tc>
        <w:tc>
          <w:tcPr>
            <w:tcW w:w="375" w:type="pct"/>
            <w:gridSpan w:val="2"/>
            <w:shd w:val="clear" w:color="auto" w:fill="CCC0D9" w:themeFill="accent4" w:themeFillTint="66"/>
            <w:vAlign w:val="bottom"/>
          </w:tcPr>
          <w:p w14:paraId="1505BDB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1,2</w:t>
            </w:r>
          </w:p>
        </w:tc>
        <w:tc>
          <w:tcPr>
            <w:tcW w:w="375" w:type="pct"/>
            <w:gridSpan w:val="2"/>
            <w:shd w:val="clear" w:color="auto" w:fill="CCC0D9" w:themeFill="accent4" w:themeFillTint="66"/>
            <w:vAlign w:val="bottom"/>
          </w:tcPr>
          <w:p w14:paraId="184B368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-2,6</w:t>
            </w:r>
          </w:p>
        </w:tc>
        <w:tc>
          <w:tcPr>
            <w:tcW w:w="375" w:type="pct"/>
            <w:gridSpan w:val="2"/>
            <w:shd w:val="clear" w:color="auto" w:fill="CCC0D9" w:themeFill="accent4" w:themeFillTint="66"/>
            <w:vAlign w:val="bottom"/>
          </w:tcPr>
          <w:p w14:paraId="18786D6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-0,3</w:t>
            </w:r>
          </w:p>
        </w:tc>
        <w:tc>
          <w:tcPr>
            <w:tcW w:w="375" w:type="pct"/>
            <w:gridSpan w:val="2"/>
            <w:shd w:val="clear" w:color="auto" w:fill="CCC0D9" w:themeFill="accent4" w:themeFillTint="66"/>
            <w:vAlign w:val="bottom"/>
          </w:tcPr>
          <w:p w14:paraId="5F08F7E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2,7</w:t>
            </w:r>
          </w:p>
        </w:tc>
        <w:tc>
          <w:tcPr>
            <w:tcW w:w="375" w:type="pct"/>
            <w:gridSpan w:val="2"/>
            <w:shd w:val="clear" w:color="auto" w:fill="CCC0D9" w:themeFill="accent4" w:themeFillTint="66"/>
            <w:vAlign w:val="bottom"/>
          </w:tcPr>
          <w:p w14:paraId="761A642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0,6</w:t>
            </w:r>
          </w:p>
        </w:tc>
        <w:tc>
          <w:tcPr>
            <w:tcW w:w="375" w:type="pct"/>
            <w:gridSpan w:val="2"/>
            <w:shd w:val="clear" w:color="auto" w:fill="CCC0D9" w:themeFill="accent4" w:themeFillTint="66"/>
            <w:vAlign w:val="bottom"/>
          </w:tcPr>
          <w:p w14:paraId="6D8212B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4" w:type="pct"/>
            <w:gridSpan w:val="2"/>
            <w:shd w:val="clear" w:color="auto" w:fill="CCC0D9" w:themeFill="accent4" w:themeFillTint="66"/>
            <w:vAlign w:val="bottom"/>
          </w:tcPr>
          <w:p w14:paraId="32143CB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6,4</w:t>
            </w:r>
          </w:p>
        </w:tc>
      </w:tr>
      <w:tr w:rsidR="00343BAC" w:rsidRPr="003B4CDA" w14:paraId="393A3594" w14:textId="77777777" w:rsidTr="00CE325A">
        <w:trPr>
          <w:gridAfter w:val="1"/>
          <w:cnfStyle w:val="000000100000" w:firstRow="0" w:lastRow="0" w:firstColumn="0" w:lastColumn="0" w:oddVBand="0" w:evenVBand="0" w:oddHBand="1" w:evenHBand="0" w:firstRowFirstColumn="0" w:firstRowLastColumn="0" w:lastRowFirstColumn="0" w:lastRowLastColumn="0"/>
          <w:wAfter w:w="6" w:type="pct"/>
          <w:trHeight w:val="280"/>
          <w:jc w:val="center"/>
        </w:trPr>
        <w:tc>
          <w:tcPr>
            <w:tcW w:w="1618" w:type="pct"/>
            <w:shd w:val="clear" w:color="auto" w:fill="E5DFEC" w:themeFill="accent4" w:themeFillTint="33"/>
          </w:tcPr>
          <w:p w14:paraId="734EAA85" w14:textId="77777777" w:rsidR="00CE325A" w:rsidRPr="005614FE" w:rsidRDefault="00CE325A" w:rsidP="00D209BD">
            <w:pPr>
              <w:spacing w:before="20" w:after="20"/>
              <w:rPr>
                <w:rFonts w:ascii="Segoe UI Light" w:eastAsia="Times New Roman" w:hAnsi="Segoe UI Light"/>
                <w:b/>
                <w:bCs/>
                <w:sz w:val="16"/>
                <w:szCs w:val="16"/>
              </w:rPr>
            </w:pPr>
            <w:r w:rsidRPr="005614FE">
              <w:rPr>
                <w:rFonts w:ascii="Segoe UI Light" w:eastAsia="Times New Roman" w:hAnsi="Segoe UI Light"/>
                <w:b/>
                <w:bCs/>
                <w:sz w:val="16"/>
                <w:szCs w:val="16"/>
              </w:rPr>
              <w:t>Zemas kvalifikācijas profesijas</w:t>
            </w:r>
          </w:p>
        </w:tc>
        <w:tc>
          <w:tcPr>
            <w:tcW w:w="376" w:type="pct"/>
            <w:gridSpan w:val="2"/>
            <w:shd w:val="clear" w:color="auto" w:fill="E5DFEC" w:themeFill="accent4" w:themeFillTint="33"/>
            <w:vAlign w:val="bottom"/>
          </w:tcPr>
          <w:p w14:paraId="2BF097A5"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0,6</w:t>
            </w:r>
          </w:p>
        </w:tc>
        <w:tc>
          <w:tcPr>
            <w:tcW w:w="376" w:type="pct"/>
            <w:gridSpan w:val="2"/>
            <w:shd w:val="clear" w:color="auto" w:fill="E5DFEC" w:themeFill="accent4" w:themeFillTint="33"/>
            <w:vAlign w:val="bottom"/>
          </w:tcPr>
          <w:p w14:paraId="47F65B00"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5,0</w:t>
            </w:r>
          </w:p>
        </w:tc>
        <w:tc>
          <w:tcPr>
            <w:tcW w:w="375" w:type="pct"/>
            <w:gridSpan w:val="2"/>
            <w:shd w:val="clear" w:color="auto" w:fill="E5DFEC" w:themeFill="accent4" w:themeFillTint="33"/>
            <w:vAlign w:val="bottom"/>
          </w:tcPr>
          <w:p w14:paraId="510DE278"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w:t>
            </w:r>
            <w:r w:rsidRPr="00743039">
              <w:rPr>
                <w:rFonts w:ascii="Segoe UI Light" w:hAnsi="Segoe UI Light" w:cs="Segoe UI Light"/>
                <w:b/>
                <w:bCs/>
                <w:sz w:val="16"/>
                <w:szCs w:val="16"/>
              </w:rPr>
              <w:t>0,</w:t>
            </w:r>
            <w:r>
              <w:rPr>
                <w:rFonts w:ascii="Segoe UI Light" w:hAnsi="Segoe UI Light" w:cs="Segoe UI Light"/>
                <w:b/>
                <w:bCs/>
                <w:sz w:val="16"/>
                <w:szCs w:val="16"/>
              </w:rPr>
              <w:t>3</w:t>
            </w:r>
          </w:p>
        </w:tc>
        <w:tc>
          <w:tcPr>
            <w:tcW w:w="375" w:type="pct"/>
            <w:gridSpan w:val="2"/>
            <w:shd w:val="clear" w:color="auto" w:fill="E5DFEC" w:themeFill="accent4" w:themeFillTint="33"/>
            <w:vAlign w:val="bottom"/>
          </w:tcPr>
          <w:p w14:paraId="1CB5FCC6"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0,1</w:t>
            </w:r>
          </w:p>
        </w:tc>
        <w:tc>
          <w:tcPr>
            <w:tcW w:w="375" w:type="pct"/>
            <w:gridSpan w:val="2"/>
            <w:shd w:val="clear" w:color="auto" w:fill="E5DFEC" w:themeFill="accent4" w:themeFillTint="33"/>
            <w:vAlign w:val="bottom"/>
          </w:tcPr>
          <w:p w14:paraId="0CAEEFF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w:t>
            </w:r>
            <w:r>
              <w:rPr>
                <w:rFonts w:ascii="Segoe UI Light" w:hAnsi="Segoe UI Light" w:cs="Segoe UI Light"/>
                <w:b/>
                <w:bCs/>
                <w:sz w:val="16"/>
                <w:szCs w:val="16"/>
              </w:rPr>
              <w:t>6</w:t>
            </w:r>
          </w:p>
        </w:tc>
        <w:tc>
          <w:tcPr>
            <w:tcW w:w="375" w:type="pct"/>
            <w:gridSpan w:val="2"/>
            <w:shd w:val="clear" w:color="auto" w:fill="E5DFEC" w:themeFill="accent4" w:themeFillTint="33"/>
            <w:vAlign w:val="bottom"/>
          </w:tcPr>
          <w:p w14:paraId="2E391E91"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-0,</w:t>
            </w:r>
            <w:r>
              <w:rPr>
                <w:rFonts w:ascii="Segoe UI Light" w:hAnsi="Segoe UI Light" w:cs="Segoe UI Light"/>
                <w:b/>
                <w:bCs/>
                <w:sz w:val="16"/>
                <w:szCs w:val="16"/>
              </w:rPr>
              <w:t>8</w:t>
            </w:r>
          </w:p>
        </w:tc>
        <w:tc>
          <w:tcPr>
            <w:tcW w:w="375" w:type="pct"/>
            <w:gridSpan w:val="2"/>
            <w:shd w:val="clear" w:color="auto" w:fill="E5DFEC" w:themeFill="accent4" w:themeFillTint="33"/>
            <w:vAlign w:val="bottom"/>
          </w:tcPr>
          <w:p w14:paraId="605664DC"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4,9</w:t>
            </w:r>
          </w:p>
        </w:tc>
        <w:tc>
          <w:tcPr>
            <w:tcW w:w="375" w:type="pct"/>
            <w:gridSpan w:val="2"/>
            <w:shd w:val="clear" w:color="auto" w:fill="E5DFEC" w:themeFill="accent4" w:themeFillTint="33"/>
            <w:vAlign w:val="bottom"/>
          </w:tcPr>
          <w:p w14:paraId="6D6830FF"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2,0</w:t>
            </w:r>
          </w:p>
        </w:tc>
        <w:tc>
          <w:tcPr>
            <w:tcW w:w="374" w:type="pct"/>
            <w:gridSpan w:val="2"/>
            <w:shd w:val="clear" w:color="auto" w:fill="E5DFEC" w:themeFill="accent4" w:themeFillTint="33"/>
            <w:vAlign w:val="bottom"/>
          </w:tcPr>
          <w:p w14:paraId="512CA81D"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w:t>
            </w:r>
            <w:r>
              <w:rPr>
                <w:rFonts w:ascii="Segoe UI Light" w:hAnsi="Segoe UI Light" w:cs="Segoe UI Light"/>
                <w:b/>
                <w:bCs/>
                <w:sz w:val="16"/>
                <w:szCs w:val="16"/>
              </w:rPr>
              <w:t>14,9</w:t>
            </w:r>
          </w:p>
        </w:tc>
      </w:tr>
      <w:tr w:rsidR="00343BAC" w:rsidRPr="003B4CDA" w14:paraId="12F00EEC" w14:textId="77777777" w:rsidTr="00CE325A">
        <w:trPr>
          <w:gridAfter w:val="1"/>
          <w:wAfter w:w="6" w:type="pct"/>
          <w:trHeight w:val="284"/>
          <w:jc w:val="center"/>
        </w:trPr>
        <w:tc>
          <w:tcPr>
            <w:tcW w:w="1618" w:type="pct"/>
            <w:shd w:val="clear" w:color="auto" w:fill="CCC0D9" w:themeFill="accent4" w:themeFillTint="66"/>
          </w:tcPr>
          <w:p w14:paraId="09264ED4" w14:textId="77777777" w:rsidR="00CE325A" w:rsidRPr="003B4CDA" w:rsidRDefault="00CE325A" w:rsidP="00D209BD">
            <w:pPr>
              <w:spacing w:before="20" w:after="20"/>
              <w:rPr>
                <w:rFonts w:ascii="Segoe UI Light" w:eastAsia="Arial Unicode MS" w:hAnsi="Segoe UI Light"/>
                <w:b/>
                <w:sz w:val="16"/>
                <w:szCs w:val="16"/>
              </w:rPr>
            </w:pPr>
            <w:r w:rsidRPr="003B4CDA">
              <w:rPr>
                <w:rFonts w:ascii="Segoe UI Light" w:eastAsia="Arial Unicode MS" w:hAnsi="Segoe UI Light"/>
                <w:b/>
                <w:sz w:val="16"/>
                <w:szCs w:val="16"/>
              </w:rPr>
              <w:t>Kopā</w:t>
            </w:r>
          </w:p>
        </w:tc>
        <w:tc>
          <w:tcPr>
            <w:tcW w:w="376" w:type="pct"/>
            <w:gridSpan w:val="2"/>
            <w:shd w:val="clear" w:color="auto" w:fill="CCC0D9" w:themeFill="accent4" w:themeFillTint="66"/>
            <w:vAlign w:val="bottom"/>
          </w:tcPr>
          <w:p w14:paraId="1DAAC940"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-7,7</w:t>
            </w:r>
          </w:p>
        </w:tc>
        <w:tc>
          <w:tcPr>
            <w:tcW w:w="376" w:type="pct"/>
            <w:gridSpan w:val="2"/>
            <w:shd w:val="clear" w:color="auto" w:fill="CCC0D9" w:themeFill="accent4" w:themeFillTint="66"/>
            <w:vAlign w:val="bottom"/>
          </w:tcPr>
          <w:p w14:paraId="3BF75280"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sidRPr="003B4CDA">
              <w:rPr>
                <w:rFonts w:ascii="Segoe UI Light" w:hAnsi="Segoe UI Light" w:cs="Segoe UI Light"/>
                <w:b/>
                <w:bCs/>
                <w:sz w:val="16"/>
                <w:szCs w:val="16"/>
              </w:rPr>
              <w:t>-</w:t>
            </w:r>
            <w:r>
              <w:rPr>
                <w:rFonts w:ascii="Segoe UI Light" w:hAnsi="Segoe UI Light" w:cs="Segoe UI Light"/>
                <w:b/>
                <w:bCs/>
                <w:sz w:val="16"/>
                <w:szCs w:val="16"/>
              </w:rPr>
              <w:t>5,7</w:t>
            </w:r>
          </w:p>
        </w:tc>
        <w:tc>
          <w:tcPr>
            <w:tcW w:w="375" w:type="pct"/>
            <w:gridSpan w:val="2"/>
            <w:shd w:val="clear" w:color="auto" w:fill="CCC0D9" w:themeFill="accent4" w:themeFillTint="66"/>
            <w:vAlign w:val="bottom"/>
          </w:tcPr>
          <w:p w14:paraId="1A24BF76"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2,9</w:t>
            </w:r>
          </w:p>
        </w:tc>
        <w:tc>
          <w:tcPr>
            <w:tcW w:w="375" w:type="pct"/>
            <w:gridSpan w:val="2"/>
            <w:shd w:val="clear" w:color="auto" w:fill="CCC0D9" w:themeFill="accent4" w:themeFillTint="66"/>
            <w:vAlign w:val="bottom"/>
          </w:tcPr>
          <w:p w14:paraId="0ED1C5DF"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-8,7</w:t>
            </w:r>
          </w:p>
        </w:tc>
        <w:tc>
          <w:tcPr>
            <w:tcW w:w="375" w:type="pct"/>
            <w:gridSpan w:val="2"/>
            <w:shd w:val="clear" w:color="auto" w:fill="CCC0D9" w:themeFill="accent4" w:themeFillTint="66"/>
            <w:vAlign w:val="bottom"/>
          </w:tcPr>
          <w:p w14:paraId="20A0B1BD"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sidRPr="003B4CDA">
              <w:rPr>
                <w:rFonts w:ascii="Segoe UI Light" w:hAnsi="Segoe UI Light" w:cs="Segoe UI Light"/>
                <w:b/>
                <w:bCs/>
                <w:sz w:val="16"/>
                <w:szCs w:val="16"/>
              </w:rPr>
              <w:t>-</w:t>
            </w:r>
            <w:r>
              <w:rPr>
                <w:rFonts w:ascii="Segoe UI Light" w:hAnsi="Segoe UI Light" w:cs="Segoe UI Light"/>
                <w:b/>
                <w:bCs/>
                <w:sz w:val="16"/>
                <w:szCs w:val="16"/>
              </w:rPr>
              <w:t>11,3</w:t>
            </w:r>
          </w:p>
        </w:tc>
        <w:tc>
          <w:tcPr>
            <w:tcW w:w="375" w:type="pct"/>
            <w:gridSpan w:val="2"/>
            <w:shd w:val="clear" w:color="auto" w:fill="CCC0D9" w:themeFill="accent4" w:themeFillTint="66"/>
            <w:vAlign w:val="bottom"/>
          </w:tcPr>
          <w:p w14:paraId="4FCF5C34"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sidRPr="003B4CDA">
              <w:rPr>
                <w:rFonts w:ascii="Segoe UI Light" w:hAnsi="Segoe UI Light" w:cs="Segoe UI Light"/>
                <w:b/>
                <w:bCs/>
                <w:sz w:val="16"/>
                <w:szCs w:val="16"/>
              </w:rPr>
              <w:t>-</w:t>
            </w:r>
            <w:r>
              <w:rPr>
                <w:rFonts w:ascii="Segoe UI Light" w:hAnsi="Segoe UI Light" w:cs="Segoe UI Light"/>
                <w:b/>
                <w:bCs/>
                <w:sz w:val="16"/>
                <w:szCs w:val="16"/>
              </w:rPr>
              <w:t>7,4</w:t>
            </w:r>
          </w:p>
        </w:tc>
        <w:tc>
          <w:tcPr>
            <w:tcW w:w="375" w:type="pct"/>
            <w:gridSpan w:val="2"/>
            <w:shd w:val="clear" w:color="auto" w:fill="CCC0D9" w:themeFill="accent4" w:themeFillTint="66"/>
            <w:vAlign w:val="bottom"/>
          </w:tcPr>
          <w:p w14:paraId="611107BD"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sidRPr="003B4CDA">
              <w:rPr>
                <w:rFonts w:ascii="Segoe UI Light" w:hAnsi="Segoe UI Light" w:cs="Segoe UI Light"/>
                <w:b/>
                <w:bCs/>
                <w:sz w:val="16"/>
                <w:szCs w:val="16"/>
              </w:rPr>
              <w:t>-</w:t>
            </w:r>
            <w:r>
              <w:rPr>
                <w:rFonts w:ascii="Segoe UI Light" w:hAnsi="Segoe UI Light" w:cs="Segoe UI Light"/>
                <w:b/>
                <w:bCs/>
                <w:sz w:val="16"/>
                <w:szCs w:val="16"/>
              </w:rPr>
              <w:t>7,6</w:t>
            </w:r>
          </w:p>
        </w:tc>
        <w:tc>
          <w:tcPr>
            <w:tcW w:w="375" w:type="pct"/>
            <w:gridSpan w:val="2"/>
            <w:shd w:val="clear" w:color="auto" w:fill="CCC0D9" w:themeFill="accent4" w:themeFillTint="66"/>
            <w:vAlign w:val="bottom"/>
          </w:tcPr>
          <w:p w14:paraId="6562B71F"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-0,6</w:t>
            </w:r>
          </w:p>
        </w:tc>
        <w:tc>
          <w:tcPr>
            <w:tcW w:w="374" w:type="pct"/>
            <w:gridSpan w:val="2"/>
            <w:shd w:val="clear" w:color="auto" w:fill="CCC0D9" w:themeFill="accent4" w:themeFillTint="66"/>
            <w:vAlign w:val="bottom"/>
          </w:tcPr>
          <w:p w14:paraId="17181BD2"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-46,0</w:t>
            </w:r>
          </w:p>
        </w:tc>
      </w:tr>
      <w:tr w:rsidR="00343BAC" w:rsidRPr="003B4CDA" w14:paraId="2C9C695B" w14:textId="77777777" w:rsidTr="00D209BD">
        <w:trPr>
          <w:gridAfter w:val="1"/>
          <w:cnfStyle w:val="000000100000" w:firstRow="0" w:lastRow="0" w:firstColumn="0" w:lastColumn="0" w:oddVBand="0" w:evenVBand="0" w:oddHBand="1" w:evenHBand="0" w:firstRowFirstColumn="0" w:firstRowLastColumn="0" w:lastRowFirstColumn="0" w:lastRowLastColumn="0"/>
          <w:wAfter w:w="6" w:type="pct"/>
          <w:trHeight w:val="284"/>
          <w:jc w:val="center"/>
        </w:trPr>
        <w:tc>
          <w:tcPr>
            <w:tcW w:w="4994" w:type="pct"/>
            <w:gridSpan w:val="19"/>
            <w:shd w:val="clear" w:color="auto" w:fill="B2A1C7" w:themeFill="accent4" w:themeFillTint="99"/>
          </w:tcPr>
          <w:p w14:paraId="1E794017" w14:textId="77777777" w:rsidR="00CE325A" w:rsidRPr="00E84BCF" w:rsidRDefault="00CE325A" w:rsidP="00D209BD">
            <w:pPr>
              <w:tabs>
                <w:tab w:val="decimal" w:pos="258"/>
              </w:tabs>
              <w:spacing w:before="60" w:after="60"/>
              <w:jc w:val="center"/>
              <w:rPr>
                <w:rFonts w:ascii="Segoe UI Light" w:hAnsi="Segoe UI Light" w:cs="Segoe UI Light"/>
                <w:b/>
                <w:bCs/>
                <w:sz w:val="16"/>
                <w:szCs w:val="16"/>
              </w:rPr>
            </w:pPr>
            <w:r w:rsidRPr="00E84BCF">
              <w:rPr>
                <w:rFonts w:ascii="Segoe UI Light" w:hAnsi="Segoe UI Light"/>
                <w:b/>
                <w:bCs/>
                <w:i/>
                <w:sz w:val="16"/>
                <w:szCs w:val="26"/>
              </w:rPr>
              <w:t>2021. gads</w:t>
            </w:r>
            <w:r w:rsidRPr="00E84BCF">
              <w:rPr>
                <w:b/>
                <w:bCs/>
              </w:rPr>
              <w:t xml:space="preserve"> </w:t>
            </w:r>
            <w:r w:rsidRPr="00E84BCF">
              <w:rPr>
                <w:rFonts w:ascii="Segoe UI Light" w:hAnsi="Segoe UI Light"/>
                <w:b/>
                <w:bCs/>
                <w:i/>
                <w:sz w:val="16"/>
                <w:szCs w:val="26"/>
              </w:rPr>
              <w:t>salīdzinājumā ar 2010. gadu</w:t>
            </w:r>
          </w:p>
        </w:tc>
      </w:tr>
      <w:tr w:rsidR="00343BAC" w:rsidRPr="003B4CDA" w14:paraId="000EB80D" w14:textId="77777777" w:rsidTr="00CE325A">
        <w:trPr>
          <w:trHeight w:val="274"/>
          <w:jc w:val="center"/>
        </w:trPr>
        <w:tc>
          <w:tcPr>
            <w:tcW w:w="1622" w:type="pct"/>
            <w:gridSpan w:val="2"/>
            <w:shd w:val="clear" w:color="auto" w:fill="CCC0D9" w:themeFill="accent4" w:themeFillTint="66"/>
          </w:tcPr>
          <w:p w14:paraId="078287FA" w14:textId="77777777" w:rsidR="00CE325A" w:rsidRPr="003B4CDA" w:rsidRDefault="00CE325A" w:rsidP="00D209BD">
            <w:pPr>
              <w:spacing w:before="20" w:after="20"/>
              <w:rPr>
                <w:rFonts w:ascii="Segoe UI Light" w:eastAsia="Arial Unicode MS" w:hAnsi="Segoe UI Light"/>
                <w:sz w:val="16"/>
                <w:szCs w:val="16"/>
              </w:rPr>
            </w:pPr>
            <w:r>
              <w:rPr>
                <w:rFonts w:ascii="Segoe UI Light" w:eastAsia="Arial Unicode MS" w:hAnsi="Segoe UI Light"/>
                <w:sz w:val="16"/>
                <w:szCs w:val="16"/>
              </w:rPr>
              <w:t>Nacionālo bruņoto spēku profesijas</w:t>
            </w:r>
          </w:p>
        </w:tc>
        <w:tc>
          <w:tcPr>
            <w:tcW w:w="376" w:type="pct"/>
            <w:gridSpan w:val="2"/>
            <w:shd w:val="clear" w:color="auto" w:fill="CCC0D9" w:themeFill="accent4" w:themeFillTint="66"/>
            <w:vAlign w:val="bottom"/>
          </w:tcPr>
          <w:p w14:paraId="35A732F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6A5B5A4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4DA3AEE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1B7AEFC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564E514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15920244"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1D6DB7E2"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0,0</w:t>
            </w:r>
          </w:p>
        </w:tc>
        <w:tc>
          <w:tcPr>
            <w:tcW w:w="376" w:type="pct"/>
            <w:gridSpan w:val="2"/>
            <w:shd w:val="clear" w:color="auto" w:fill="CCC0D9" w:themeFill="accent4" w:themeFillTint="66"/>
            <w:vAlign w:val="bottom"/>
          </w:tcPr>
          <w:p w14:paraId="1534100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3,8</w:t>
            </w:r>
          </w:p>
        </w:tc>
        <w:tc>
          <w:tcPr>
            <w:tcW w:w="370" w:type="pct"/>
            <w:gridSpan w:val="2"/>
            <w:shd w:val="clear" w:color="auto" w:fill="CCC0D9" w:themeFill="accent4" w:themeFillTint="66"/>
            <w:vAlign w:val="bottom"/>
          </w:tcPr>
          <w:p w14:paraId="0957957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eastAsia="Times New Roman" w:hAnsi="Segoe UI Light"/>
                <w:sz w:val="16"/>
                <w:szCs w:val="16"/>
              </w:rPr>
              <w:t>3,8</w:t>
            </w:r>
          </w:p>
        </w:tc>
      </w:tr>
      <w:tr w:rsidR="00343BAC" w:rsidRPr="003B4CDA" w14:paraId="6D0EE96B"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4FB783D1" w14:textId="77777777" w:rsidR="00CE325A" w:rsidRPr="00743039" w:rsidRDefault="00CE325A" w:rsidP="00D209BD">
            <w:pPr>
              <w:spacing w:before="20" w:after="20"/>
              <w:ind w:left="170" w:right="-113" w:hanging="142"/>
              <w:rPr>
                <w:rFonts w:ascii="Segoe UI Light" w:eastAsia="Times New Roman" w:hAnsi="Segoe UI Light"/>
                <w:b/>
                <w:bCs/>
                <w:sz w:val="16"/>
                <w:szCs w:val="16"/>
              </w:rPr>
            </w:pPr>
            <w:r w:rsidRPr="00743039">
              <w:rPr>
                <w:rFonts w:ascii="Segoe UI Light" w:eastAsia="Times New Roman" w:hAnsi="Segoe UI Light"/>
                <w:b/>
                <w:bCs/>
                <w:sz w:val="16"/>
                <w:szCs w:val="16"/>
              </w:rPr>
              <w:t>Augstas kvalifikācijas profesijas, tai skaitā:</w:t>
            </w:r>
          </w:p>
        </w:tc>
        <w:tc>
          <w:tcPr>
            <w:tcW w:w="376" w:type="pct"/>
            <w:gridSpan w:val="2"/>
            <w:shd w:val="clear" w:color="auto" w:fill="E5DFEC" w:themeFill="accent4" w:themeFillTint="33"/>
            <w:vAlign w:val="bottom"/>
          </w:tcPr>
          <w:p w14:paraId="4E48D280"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-1,2</w:t>
            </w:r>
          </w:p>
        </w:tc>
        <w:tc>
          <w:tcPr>
            <w:tcW w:w="376" w:type="pct"/>
            <w:gridSpan w:val="2"/>
            <w:shd w:val="clear" w:color="auto" w:fill="E5DFEC" w:themeFill="accent4" w:themeFillTint="33"/>
            <w:vAlign w:val="bottom"/>
          </w:tcPr>
          <w:p w14:paraId="5AC05D5A"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4,8</w:t>
            </w:r>
          </w:p>
        </w:tc>
        <w:tc>
          <w:tcPr>
            <w:tcW w:w="376" w:type="pct"/>
            <w:gridSpan w:val="2"/>
            <w:shd w:val="clear" w:color="auto" w:fill="E5DFEC" w:themeFill="accent4" w:themeFillTint="33"/>
            <w:vAlign w:val="bottom"/>
          </w:tcPr>
          <w:p w14:paraId="20CA3245"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2,6</w:t>
            </w:r>
          </w:p>
        </w:tc>
        <w:tc>
          <w:tcPr>
            <w:tcW w:w="376" w:type="pct"/>
            <w:gridSpan w:val="2"/>
            <w:shd w:val="clear" w:color="auto" w:fill="E5DFEC" w:themeFill="accent4" w:themeFillTint="33"/>
            <w:vAlign w:val="bottom"/>
          </w:tcPr>
          <w:p w14:paraId="07F73C1D"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2,5</w:t>
            </w:r>
          </w:p>
        </w:tc>
        <w:tc>
          <w:tcPr>
            <w:tcW w:w="376" w:type="pct"/>
            <w:gridSpan w:val="2"/>
            <w:shd w:val="clear" w:color="auto" w:fill="E5DFEC" w:themeFill="accent4" w:themeFillTint="33"/>
            <w:vAlign w:val="bottom"/>
          </w:tcPr>
          <w:p w14:paraId="32C9DD1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-7,6</w:t>
            </w:r>
          </w:p>
        </w:tc>
        <w:tc>
          <w:tcPr>
            <w:tcW w:w="376" w:type="pct"/>
            <w:gridSpan w:val="2"/>
            <w:shd w:val="clear" w:color="auto" w:fill="E5DFEC" w:themeFill="accent4" w:themeFillTint="33"/>
            <w:vAlign w:val="bottom"/>
          </w:tcPr>
          <w:p w14:paraId="053433F9"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3,0</w:t>
            </w:r>
          </w:p>
        </w:tc>
        <w:tc>
          <w:tcPr>
            <w:tcW w:w="376" w:type="pct"/>
            <w:gridSpan w:val="2"/>
            <w:shd w:val="clear" w:color="auto" w:fill="E5DFEC" w:themeFill="accent4" w:themeFillTint="33"/>
            <w:vAlign w:val="bottom"/>
          </w:tcPr>
          <w:p w14:paraId="3EBA7ECB" w14:textId="77777777" w:rsidR="00CE325A" w:rsidRPr="00743039" w:rsidRDefault="00CE325A" w:rsidP="00CE325A">
            <w:pPr>
              <w:tabs>
                <w:tab w:val="decimal" w:pos="354"/>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27,9</w:t>
            </w:r>
          </w:p>
        </w:tc>
        <w:tc>
          <w:tcPr>
            <w:tcW w:w="376" w:type="pct"/>
            <w:gridSpan w:val="2"/>
            <w:shd w:val="clear" w:color="auto" w:fill="E5DFEC" w:themeFill="accent4" w:themeFillTint="33"/>
            <w:vAlign w:val="bottom"/>
          </w:tcPr>
          <w:p w14:paraId="139F1973"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8,5</w:t>
            </w:r>
          </w:p>
        </w:tc>
        <w:tc>
          <w:tcPr>
            <w:tcW w:w="370" w:type="pct"/>
            <w:gridSpan w:val="2"/>
            <w:shd w:val="clear" w:color="auto" w:fill="E5DFEC" w:themeFill="accent4" w:themeFillTint="33"/>
            <w:vAlign w:val="bottom"/>
          </w:tcPr>
          <w:p w14:paraId="59A0133D"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40,5</w:t>
            </w:r>
          </w:p>
        </w:tc>
      </w:tr>
      <w:tr w:rsidR="00343BAC" w:rsidRPr="003B4CDA" w14:paraId="4E535874" w14:textId="77777777" w:rsidTr="00CE325A">
        <w:trPr>
          <w:trHeight w:val="274"/>
          <w:jc w:val="center"/>
        </w:trPr>
        <w:tc>
          <w:tcPr>
            <w:tcW w:w="1622" w:type="pct"/>
            <w:gridSpan w:val="2"/>
            <w:shd w:val="clear" w:color="auto" w:fill="CCC0D9" w:themeFill="accent4" w:themeFillTint="66"/>
          </w:tcPr>
          <w:p w14:paraId="701D9B0A"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Vadītāji</w:t>
            </w:r>
          </w:p>
        </w:tc>
        <w:tc>
          <w:tcPr>
            <w:tcW w:w="376" w:type="pct"/>
            <w:gridSpan w:val="2"/>
            <w:shd w:val="clear" w:color="auto" w:fill="CCC0D9" w:themeFill="accent4" w:themeFillTint="66"/>
            <w:vAlign w:val="bottom"/>
          </w:tcPr>
          <w:p w14:paraId="3AD1C18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-1,8</w:t>
            </w:r>
          </w:p>
        </w:tc>
        <w:tc>
          <w:tcPr>
            <w:tcW w:w="376" w:type="pct"/>
            <w:gridSpan w:val="2"/>
            <w:shd w:val="clear" w:color="auto" w:fill="CCC0D9" w:themeFill="accent4" w:themeFillTint="66"/>
            <w:vAlign w:val="bottom"/>
          </w:tcPr>
          <w:p w14:paraId="1BF91083"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2,4</w:t>
            </w:r>
          </w:p>
        </w:tc>
        <w:tc>
          <w:tcPr>
            <w:tcW w:w="376" w:type="pct"/>
            <w:gridSpan w:val="2"/>
            <w:shd w:val="clear" w:color="auto" w:fill="CCC0D9" w:themeFill="accent4" w:themeFillTint="66"/>
            <w:vAlign w:val="bottom"/>
          </w:tcPr>
          <w:p w14:paraId="3CFB303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6" w:type="pct"/>
            <w:gridSpan w:val="2"/>
            <w:shd w:val="clear" w:color="auto" w:fill="CCC0D9" w:themeFill="accent4" w:themeFillTint="66"/>
            <w:vAlign w:val="bottom"/>
          </w:tcPr>
          <w:p w14:paraId="0B761B9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6" w:type="pct"/>
            <w:gridSpan w:val="2"/>
            <w:shd w:val="clear" w:color="auto" w:fill="CCC0D9" w:themeFill="accent4" w:themeFillTint="66"/>
            <w:vAlign w:val="bottom"/>
          </w:tcPr>
          <w:p w14:paraId="4D0CD5E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2,7</w:t>
            </w:r>
          </w:p>
        </w:tc>
        <w:tc>
          <w:tcPr>
            <w:tcW w:w="376" w:type="pct"/>
            <w:gridSpan w:val="2"/>
            <w:shd w:val="clear" w:color="auto" w:fill="CCC0D9" w:themeFill="accent4" w:themeFillTint="66"/>
            <w:vAlign w:val="bottom"/>
          </w:tcPr>
          <w:p w14:paraId="0077EB2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6" w:type="pct"/>
            <w:gridSpan w:val="2"/>
            <w:shd w:val="clear" w:color="auto" w:fill="CCC0D9" w:themeFill="accent4" w:themeFillTint="66"/>
            <w:vAlign w:val="bottom"/>
          </w:tcPr>
          <w:p w14:paraId="1384C28F"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7,2</w:t>
            </w:r>
          </w:p>
        </w:tc>
        <w:tc>
          <w:tcPr>
            <w:tcW w:w="376" w:type="pct"/>
            <w:gridSpan w:val="2"/>
            <w:shd w:val="clear" w:color="auto" w:fill="CCC0D9" w:themeFill="accent4" w:themeFillTint="66"/>
            <w:vAlign w:val="bottom"/>
          </w:tcPr>
          <w:p w14:paraId="6728B2C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0,9</w:t>
            </w:r>
          </w:p>
        </w:tc>
        <w:tc>
          <w:tcPr>
            <w:tcW w:w="370" w:type="pct"/>
            <w:gridSpan w:val="2"/>
            <w:shd w:val="clear" w:color="auto" w:fill="CCC0D9" w:themeFill="accent4" w:themeFillTint="66"/>
            <w:vAlign w:val="bottom"/>
          </w:tcPr>
          <w:p w14:paraId="1F60596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2,1</w:t>
            </w:r>
          </w:p>
        </w:tc>
      </w:tr>
      <w:tr w:rsidR="00343BAC" w:rsidRPr="003B4CDA" w14:paraId="3A8EEA29"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6E753A45"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Vecākie speciālisti</w:t>
            </w:r>
          </w:p>
        </w:tc>
        <w:tc>
          <w:tcPr>
            <w:tcW w:w="376" w:type="pct"/>
            <w:gridSpan w:val="2"/>
            <w:shd w:val="clear" w:color="auto" w:fill="E5DFEC" w:themeFill="accent4" w:themeFillTint="33"/>
            <w:vAlign w:val="bottom"/>
          </w:tcPr>
          <w:p w14:paraId="22496AF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6" w:type="pct"/>
            <w:gridSpan w:val="2"/>
            <w:shd w:val="clear" w:color="auto" w:fill="E5DFEC" w:themeFill="accent4" w:themeFillTint="33"/>
            <w:vAlign w:val="bottom"/>
          </w:tcPr>
          <w:p w14:paraId="759A6AE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2,8</w:t>
            </w:r>
          </w:p>
        </w:tc>
        <w:tc>
          <w:tcPr>
            <w:tcW w:w="376" w:type="pct"/>
            <w:gridSpan w:val="2"/>
            <w:shd w:val="clear" w:color="auto" w:fill="E5DFEC" w:themeFill="accent4" w:themeFillTint="33"/>
            <w:vAlign w:val="bottom"/>
          </w:tcPr>
          <w:p w14:paraId="4004684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6" w:type="pct"/>
            <w:gridSpan w:val="2"/>
            <w:shd w:val="clear" w:color="auto" w:fill="E5DFEC" w:themeFill="accent4" w:themeFillTint="33"/>
            <w:vAlign w:val="bottom"/>
          </w:tcPr>
          <w:p w14:paraId="04213A8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0,2</w:t>
            </w:r>
          </w:p>
        </w:tc>
        <w:tc>
          <w:tcPr>
            <w:tcW w:w="376" w:type="pct"/>
            <w:gridSpan w:val="2"/>
            <w:shd w:val="clear" w:color="auto" w:fill="E5DFEC" w:themeFill="accent4" w:themeFillTint="33"/>
            <w:vAlign w:val="bottom"/>
          </w:tcPr>
          <w:p w14:paraId="09CFBCA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0,5</w:t>
            </w:r>
          </w:p>
        </w:tc>
        <w:tc>
          <w:tcPr>
            <w:tcW w:w="376" w:type="pct"/>
            <w:gridSpan w:val="2"/>
            <w:shd w:val="clear" w:color="auto" w:fill="E5DFEC" w:themeFill="accent4" w:themeFillTint="33"/>
            <w:vAlign w:val="bottom"/>
          </w:tcPr>
          <w:p w14:paraId="01859B4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1,6</w:t>
            </w:r>
          </w:p>
        </w:tc>
        <w:tc>
          <w:tcPr>
            <w:tcW w:w="376" w:type="pct"/>
            <w:gridSpan w:val="2"/>
            <w:shd w:val="clear" w:color="auto" w:fill="E5DFEC" w:themeFill="accent4" w:themeFillTint="33"/>
            <w:vAlign w:val="bottom"/>
          </w:tcPr>
          <w:p w14:paraId="7DA1C9C0"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10,6</w:t>
            </w:r>
          </w:p>
        </w:tc>
        <w:tc>
          <w:tcPr>
            <w:tcW w:w="376" w:type="pct"/>
            <w:gridSpan w:val="2"/>
            <w:shd w:val="clear" w:color="auto" w:fill="E5DFEC" w:themeFill="accent4" w:themeFillTint="33"/>
            <w:vAlign w:val="bottom"/>
          </w:tcPr>
          <w:p w14:paraId="42C5D35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13,6</w:t>
            </w:r>
          </w:p>
        </w:tc>
        <w:tc>
          <w:tcPr>
            <w:tcW w:w="370" w:type="pct"/>
            <w:gridSpan w:val="2"/>
            <w:shd w:val="clear" w:color="auto" w:fill="E5DFEC" w:themeFill="accent4" w:themeFillTint="33"/>
            <w:vAlign w:val="bottom"/>
          </w:tcPr>
          <w:p w14:paraId="3A49C17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28,9</w:t>
            </w:r>
          </w:p>
        </w:tc>
      </w:tr>
      <w:tr w:rsidR="00343BAC" w:rsidRPr="003B4CDA" w14:paraId="375DC130" w14:textId="77777777" w:rsidTr="00CE325A">
        <w:trPr>
          <w:trHeight w:val="274"/>
          <w:jc w:val="center"/>
        </w:trPr>
        <w:tc>
          <w:tcPr>
            <w:tcW w:w="1622" w:type="pct"/>
            <w:gridSpan w:val="2"/>
            <w:shd w:val="clear" w:color="auto" w:fill="CCC0D9" w:themeFill="accent4" w:themeFillTint="66"/>
          </w:tcPr>
          <w:p w14:paraId="17BA0622"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Speciālisti</w:t>
            </w:r>
          </w:p>
        </w:tc>
        <w:tc>
          <w:tcPr>
            <w:tcW w:w="376" w:type="pct"/>
            <w:gridSpan w:val="2"/>
            <w:shd w:val="clear" w:color="auto" w:fill="CCC0D9" w:themeFill="accent4" w:themeFillTint="66"/>
            <w:vAlign w:val="bottom"/>
          </w:tcPr>
          <w:p w14:paraId="5689F4A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4</w:t>
            </w:r>
          </w:p>
        </w:tc>
        <w:tc>
          <w:tcPr>
            <w:tcW w:w="376" w:type="pct"/>
            <w:gridSpan w:val="2"/>
            <w:shd w:val="clear" w:color="auto" w:fill="CCC0D9" w:themeFill="accent4" w:themeFillTint="66"/>
            <w:vAlign w:val="bottom"/>
          </w:tcPr>
          <w:p w14:paraId="057BB49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4,4</w:t>
            </w:r>
          </w:p>
        </w:tc>
        <w:tc>
          <w:tcPr>
            <w:tcW w:w="376" w:type="pct"/>
            <w:gridSpan w:val="2"/>
            <w:shd w:val="clear" w:color="auto" w:fill="CCC0D9" w:themeFill="accent4" w:themeFillTint="66"/>
            <w:vAlign w:val="bottom"/>
          </w:tcPr>
          <w:p w14:paraId="75CCADD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2,3</w:t>
            </w:r>
          </w:p>
        </w:tc>
        <w:tc>
          <w:tcPr>
            <w:tcW w:w="376" w:type="pct"/>
            <w:gridSpan w:val="2"/>
            <w:shd w:val="clear" w:color="auto" w:fill="CCC0D9" w:themeFill="accent4" w:themeFillTint="66"/>
            <w:vAlign w:val="bottom"/>
          </w:tcPr>
          <w:p w14:paraId="48371EC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1,6</w:t>
            </w:r>
          </w:p>
        </w:tc>
        <w:tc>
          <w:tcPr>
            <w:tcW w:w="376" w:type="pct"/>
            <w:gridSpan w:val="2"/>
            <w:shd w:val="clear" w:color="auto" w:fill="CCC0D9" w:themeFill="accent4" w:themeFillTint="66"/>
            <w:vAlign w:val="bottom"/>
          </w:tcPr>
          <w:p w14:paraId="05A3846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-4,5</w:t>
            </w:r>
          </w:p>
        </w:tc>
        <w:tc>
          <w:tcPr>
            <w:tcW w:w="376" w:type="pct"/>
            <w:gridSpan w:val="2"/>
            <w:shd w:val="clear" w:color="auto" w:fill="CCC0D9" w:themeFill="accent4" w:themeFillTint="66"/>
            <w:vAlign w:val="bottom"/>
          </w:tcPr>
          <w:p w14:paraId="6D1AC59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1,3</w:t>
            </w:r>
          </w:p>
        </w:tc>
        <w:tc>
          <w:tcPr>
            <w:tcW w:w="376" w:type="pct"/>
            <w:gridSpan w:val="2"/>
            <w:shd w:val="clear" w:color="auto" w:fill="CCC0D9" w:themeFill="accent4" w:themeFillTint="66"/>
            <w:vAlign w:val="bottom"/>
          </w:tcPr>
          <w:p w14:paraId="371B4D2F"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10,1</w:t>
            </w:r>
          </w:p>
        </w:tc>
        <w:tc>
          <w:tcPr>
            <w:tcW w:w="376" w:type="pct"/>
            <w:gridSpan w:val="2"/>
            <w:shd w:val="clear" w:color="auto" w:fill="CCC0D9" w:themeFill="accent4" w:themeFillTint="66"/>
            <w:vAlign w:val="bottom"/>
          </w:tcPr>
          <w:p w14:paraId="2D6CCC6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6,0</w:t>
            </w:r>
          </w:p>
        </w:tc>
        <w:tc>
          <w:tcPr>
            <w:tcW w:w="370" w:type="pct"/>
            <w:gridSpan w:val="2"/>
            <w:shd w:val="clear" w:color="auto" w:fill="CCC0D9" w:themeFill="accent4" w:themeFillTint="66"/>
            <w:vAlign w:val="bottom"/>
          </w:tcPr>
          <w:p w14:paraId="41E989F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9,5</w:t>
            </w:r>
          </w:p>
        </w:tc>
      </w:tr>
      <w:tr w:rsidR="00343BAC" w:rsidRPr="003B4CDA" w14:paraId="2E7EFD01"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22C911BA" w14:textId="77777777" w:rsidR="00CE325A" w:rsidRPr="00743039" w:rsidRDefault="00CE325A" w:rsidP="00D209BD">
            <w:pPr>
              <w:spacing w:before="20" w:after="20"/>
              <w:ind w:left="171" w:hanging="142"/>
              <w:rPr>
                <w:rFonts w:ascii="Segoe UI Light" w:eastAsia="Times New Roman" w:hAnsi="Segoe UI Light"/>
                <w:b/>
                <w:bCs/>
                <w:sz w:val="16"/>
                <w:szCs w:val="16"/>
              </w:rPr>
            </w:pPr>
            <w:r w:rsidRPr="00743039">
              <w:rPr>
                <w:rFonts w:ascii="Segoe UI Light" w:eastAsia="Times New Roman" w:hAnsi="Segoe UI Light"/>
                <w:b/>
                <w:bCs/>
                <w:sz w:val="16"/>
                <w:szCs w:val="16"/>
              </w:rPr>
              <w:t>Vidējas kvalifikācijas profesijas, tai skaitā:</w:t>
            </w:r>
          </w:p>
        </w:tc>
        <w:tc>
          <w:tcPr>
            <w:tcW w:w="376" w:type="pct"/>
            <w:gridSpan w:val="2"/>
            <w:shd w:val="clear" w:color="auto" w:fill="E5DFEC" w:themeFill="accent4" w:themeFillTint="33"/>
            <w:vAlign w:val="bottom"/>
          </w:tcPr>
          <w:p w14:paraId="16B9C465"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-9,2</w:t>
            </w:r>
          </w:p>
        </w:tc>
        <w:tc>
          <w:tcPr>
            <w:tcW w:w="376" w:type="pct"/>
            <w:gridSpan w:val="2"/>
            <w:shd w:val="clear" w:color="auto" w:fill="E5DFEC" w:themeFill="accent4" w:themeFillTint="33"/>
            <w:vAlign w:val="bottom"/>
          </w:tcPr>
          <w:p w14:paraId="6FB01687"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-4,9</w:t>
            </w:r>
          </w:p>
        </w:tc>
        <w:tc>
          <w:tcPr>
            <w:tcW w:w="376" w:type="pct"/>
            <w:gridSpan w:val="2"/>
            <w:shd w:val="clear" w:color="auto" w:fill="E5DFEC" w:themeFill="accent4" w:themeFillTint="33"/>
            <w:vAlign w:val="bottom"/>
          </w:tcPr>
          <w:p w14:paraId="515D2FF4"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-5,6</w:t>
            </w:r>
          </w:p>
        </w:tc>
        <w:tc>
          <w:tcPr>
            <w:tcW w:w="376" w:type="pct"/>
            <w:gridSpan w:val="2"/>
            <w:shd w:val="clear" w:color="auto" w:fill="E5DFEC" w:themeFill="accent4" w:themeFillTint="33"/>
            <w:vAlign w:val="bottom"/>
          </w:tcPr>
          <w:p w14:paraId="7F0587A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7,2</w:t>
            </w:r>
          </w:p>
        </w:tc>
        <w:tc>
          <w:tcPr>
            <w:tcW w:w="376" w:type="pct"/>
            <w:gridSpan w:val="2"/>
            <w:shd w:val="clear" w:color="auto" w:fill="E5DFEC" w:themeFill="accent4" w:themeFillTint="33"/>
            <w:vAlign w:val="bottom"/>
          </w:tcPr>
          <w:p w14:paraId="123297C5"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-1,6</w:t>
            </w:r>
          </w:p>
        </w:tc>
        <w:tc>
          <w:tcPr>
            <w:tcW w:w="376" w:type="pct"/>
            <w:gridSpan w:val="2"/>
            <w:shd w:val="clear" w:color="auto" w:fill="E5DFEC" w:themeFill="accent4" w:themeFillTint="33"/>
            <w:vAlign w:val="bottom"/>
          </w:tcPr>
          <w:p w14:paraId="39F522B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-5,5</w:t>
            </w:r>
          </w:p>
        </w:tc>
        <w:tc>
          <w:tcPr>
            <w:tcW w:w="376" w:type="pct"/>
            <w:gridSpan w:val="2"/>
            <w:shd w:val="clear" w:color="auto" w:fill="E5DFEC" w:themeFill="accent4" w:themeFillTint="33"/>
            <w:vAlign w:val="bottom"/>
          </w:tcPr>
          <w:p w14:paraId="0C422253" w14:textId="77777777" w:rsidR="00CE325A" w:rsidRPr="00743039" w:rsidRDefault="00CE325A" w:rsidP="00CE325A">
            <w:pPr>
              <w:tabs>
                <w:tab w:val="decimal" w:pos="354"/>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-0,5</w:t>
            </w:r>
          </w:p>
        </w:tc>
        <w:tc>
          <w:tcPr>
            <w:tcW w:w="376" w:type="pct"/>
            <w:gridSpan w:val="2"/>
            <w:shd w:val="clear" w:color="auto" w:fill="E5DFEC" w:themeFill="accent4" w:themeFillTint="33"/>
            <w:vAlign w:val="bottom"/>
          </w:tcPr>
          <w:p w14:paraId="602B7B14"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0,9</w:t>
            </w:r>
          </w:p>
        </w:tc>
        <w:tc>
          <w:tcPr>
            <w:tcW w:w="370" w:type="pct"/>
            <w:gridSpan w:val="2"/>
            <w:shd w:val="clear" w:color="auto" w:fill="E5DFEC" w:themeFill="accent4" w:themeFillTint="33"/>
            <w:vAlign w:val="bottom"/>
          </w:tcPr>
          <w:p w14:paraId="7F1D9F8E"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-19,3</w:t>
            </w:r>
          </w:p>
        </w:tc>
      </w:tr>
      <w:tr w:rsidR="00343BAC" w:rsidRPr="003B4CDA" w14:paraId="195EA72D" w14:textId="77777777" w:rsidTr="00CE325A">
        <w:trPr>
          <w:trHeight w:val="274"/>
          <w:jc w:val="center"/>
        </w:trPr>
        <w:tc>
          <w:tcPr>
            <w:tcW w:w="1622" w:type="pct"/>
            <w:gridSpan w:val="2"/>
            <w:shd w:val="clear" w:color="auto" w:fill="CCC0D9" w:themeFill="accent4" w:themeFillTint="66"/>
          </w:tcPr>
          <w:p w14:paraId="58BCD0ED"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Iestāžu kalpotāji</w:t>
            </w:r>
          </w:p>
        </w:tc>
        <w:tc>
          <w:tcPr>
            <w:tcW w:w="376" w:type="pct"/>
            <w:gridSpan w:val="2"/>
            <w:shd w:val="clear" w:color="auto" w:fill="CCC0D9" w:themeFill="accent4" w:themeFillTint="66"/>
            <w:vAlign w:val="bottom"/>
          </w:tcPr>
          <w:p w14:paraId="5EA7EB7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6" w:type="pct"/>
            <w:gridSpan w:val="2"/>
            <w:shd w:val="clear" w:color="auto" w:fill="CCC0D9" w:themeFill="accent4" w:themeFillTint="66"/>
            <w:vAlign w:val="bottom"/>
          </w:tcPr>
          <w:p w14:paraId="6B01062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7</w:t>
            </w:r>
          </w:p>
        </w:tc>
        <w:tc>
          <w:tcPr>
            <w:tcW w:w="376" w:type="pct"/>
            <w:gridSpan w:val="2"/>
            <w:shd w:val="clear" w:color="auto" w:fill="CCC0D9" w:themeFill="accent4" w:themeFillTint="66"/>
            <w:vAlign w:val="bottom"/>
          </w:tcPr>
          <w:p w14:paraId="2154E7EC"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5</w:t>
            </w:r>
          </w:p>
        </w:tc>
        <w:tc>
          <w:tcPr>
            <w:tcW w:w="376" w:type="pct"/>
            <w:gridSpan w:val="2"/>
            <w:shd w:val="clear" w:color="auto" w:fill="CCC0D9" w:themeFill="accent4" w:themeFillTint="66"/>
            <w:vAlign w:val="bottom"/>
          </w:tcPr>
          <w:p w14:paraId="51520A9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6" w:type="pct"/>
            <w:gridSpan w:val="2"/>
            <w:shd w:val="clear" w:color="auto" w:fill="CCC0D9" w:themeFill="accent4" w:themeFillTint="66"/>
            <w:vAlign w:val="bottom"/>
          </w:tcPr>
          <w:p w14:paraId="536D5C7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4,9</w:t>
            </w:r>
          </w:p>
        </w:tc>
        <w:tc>
          <w:tcPr>
            <w:tcW w:w="376" w:type="pct"/>
            <w:gridSpan w:val="2"/>
            <w:shd w:val="clear" w:color="auto" w:fill="CCC0D9" w:themeFill="accent4" w:themeFillTint="66"/>
            <w:vAlign w:val="bottom"/>
          </w:tcPr>
          <w:p w14:paraId="2580DC4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-2,7</w:t>
            </w:r>
          </w:p>
        </w:tc>
        <w:tc>
          <w:tcPr>
            <w:tcW w:w="376" w:type="pct"/>
            <w:gridSpan w:val="2"/>
            <w:shd w:val="clear" w:color="auto" w:fill="CCC0D9" w:themeFill="accent4" w:themeFillTint="66"/>
            <w:vAlign w:val="bottom"/>
          </w:tcPr>
          <w:p w14:paraId="5B8F7F96"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-1,6</w:t>
            </w:r>
          </w:p>
        </w:tc>
        <w:tc>
          <w:tcPr>
            <w:tcW w:w="376" w:type="pct"/>
            <w:gridSpan w:val="2"/>
            <w:shd w:val="clear" w:color="auto" w:fill="CCC0D9" w:themeFill="accent4" w:themeFillTint="66"/>
            <w:vAlign w:val="bottom"/>
          </w:tcPr>
          <w:p w14:paraId="2B1E77A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1,1</w:t>
            </w:r>
          </w:p>
        </w:tc>
        <w:tc>
          <w:tcPr>
            <w:tcW w:w="370" w:type="pct"/>
            <w:gridSpan w:val="2"/>
            <w:shd w:val="clear" w:color="auto" w:fill="CCC0D9" w:themeFill="accent4" w:themeFillTint="66"/>
            <w:vAlign w:val="bottom"/>
          </w:tcPr>
          <w:p w14:paraId="4AE0490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10,0</w:t>
            </w:r>
          </w:p>
        </w:tc>
      </w:tr>
      <w:tr w:rsidR="00343BAC" w:rsidRPr="003B4CDA" w14:paraId="714639D9"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5F403912"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Pakalpojumu</w:t>
            </w:r>
            <w:r>
              <w:rPr>
                <w:rFonts w:ascii="Segoe UI Light" w:eastAsia="Times New Roman" w:hAnsi="Segoe UI Light"/>
                <w:sz w:val="16"/>
                <w:szCs w:val="16"/>
              </w:rPr>
              <w:t xml:space="preserve"> un tirdzniecības</w:t>
            </w:r>
            <w:r w:rsidRPr="003B4CDA">
              <w:rPr>
                <w:rFonts w:ascii="Segoe UI Light" w:eastAsia="Times New Roman" w:hAnsi="Segoe UI Light"/>
                <w:sz w:val="16"/>
                <w:szCs w:val="16"/>
              </w:rPr>
              <w:t xml:space="preserve"> darbinieki</w:t>
            </w:r>
          </w:p>
        </w:tc>
        <w:tc>
          <w:tcPr>
            <w:tcW w:w="376" w:type="pct"/>
            <w:gridSpan w:val="2"/>
            <w:shd w:val="clear" w:color="auto" w:fill="E5DFEC" w:themeFill="accent4" w:themeFillTint="33"/>
            <w:vAlign w:val="bottom"/>
          </w:tcPr>
          <w:p w14:paraId="3DDA4B9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w:t>
            </w:r>
            <w:r w:rsidRPr="003B4CDA">
              <w:rPr>
                <w:rFonts w:ascii="Segoe UI Light" w:hAnsi="Segoe UI Light" w:cs="Segoe UI Light"/>
                <w:sz w:val="16"/>
                <w:szCs w:val="16"/>
              </w:rPr>
              <w:t>,</w:t>
            </w:r>
            <w:r>
              <w:rPr>
                <w:rFonts w:ascii="Segoe UI Light" w:hAnsi="Segoe UI Light" w:cs="Segoe UI Light"/>
                <w:sz w:val="16"/>
                <w:szCs w:val="16"/>
              </w:rPr>
              <w:t>2</w:t>
            </w:r>
          </w:p>
        </w:tc>
        <w:tc>
          <w:tcPr>
            <w:tcW w:w="376" w:type="pct"/>
            <w:gridSpan w:val="2"/>
            <w:shd w:val="clear" w:color="auto" w:fill="E5DFEC" w:themeFill="accent4" w:themeFillTint="33"/>
            <w:vAlign w:val="bottom"/>
          </w:tcPr>
          <w:p w14:paraId="7A91E65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0,4</w:t>
            </w:r>
          </w:p>
        </w:tc>
        <w:tc>
          <w:tcPr>
            <w:tcW w:w="376" w:type="pct"/>
            <w:gridSpan w:val="2"/>
            <w:shd w:val="clear" w:color="auto" w:fill="E5DFEC" w:themeFill="accent4" w:themeFillTint="33"/>
            <w:vAlign w:val="bottom"/>
          </w:tcPr>
          <w:p w14:paraId="4A3DC02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-0,6</w:t>
            </w:r>
          </w:p>
        </w:tc>
        <w:tc>
          <w:tcPr>
            <w:tcW w:w="376" w:type="pct"/>
            <w:gridSpan w:val="2"/>
            <w:shd w:val="clear" w:color="auto" w:fill="E5DFEC" w:themeFill="accent4" w:themeFillTint="33"/>
            <w:vAlign w:val="bottom"/>
          </w:tcPr>
          <w:p w14:paraId="3E01E62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0</w:t>
            </w:r>
          </w:p>
        </w:tc>
        <w:tc>
          <w:tcPr>
            <w:tcW w:w="376" w:type="pct"/>
            <w:gridSpan w:val="2"/>
            <w:shd w:val="clear" w:color="auto" w:fill="E5DFEC" w:themeFill="accent4" w:themeFillTint="33"/>
            <w:vAlign w:val="bottom"/>
          </w:tcPr>
          <w:p w14:paraId="69E6FFF1"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0,1</w:t>
            </w:r>
          </w:p>
        </w:tc>
        <w:tc>
          <w:tcPr>
            <w:tcW w:w="376" w:type="pct"/>
            <w:gridSpan w:val="2"/>
            <w:shd w:val="clear" w:color="auto" w:fill="E5DFEC" w:themeFill="accent4" w:themeFillTint="33"/>
            <w:vAlign w:val="bottom"/>
          </w:tcPr>
          <w:p w14:paraId="5DF5ACF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-2,1</w:t>
            </w:r>
          </w:p>
        </w:tc>
        <w:tc>
          <w:tcPr>
            <w:tcW w:w="376" w:type="pct"/>
            <w:gridSpan w:val="2"/>
            <w:shd w:val="clear" w:color="auto" w:fill="E5DFEC" w:themeFill="accent4" w:themeFillTint="33"/>
            <w:vAlign w:val="bottom"/>
          </w:tcPr>
          <w:p w14:paraId="34F99FEE"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2,5</w:t>
            </w:r>
          </w:p>
        </w:tc>
        <w:tc>
          <w:tcPr>
            <w:tcW w:w="376" w:type="pct"/>
            <w:gridSpan w:val="2"/>
            <w:shd w:val="clear" w:color="auto" w:fill="E5DFEC" w:themeFill="accent4" w:themeFillTint="33"/>
            <w:vAlign w:val="bottom"/>
          </w:tcPr>
          <w:p w14:paraId="67792E4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3,1</w:t>
            </w:r>
          </w:p>
        </w:tc>
        <w:tc>
          <w:tcPr>
            <w:tcW w:w="370" w:type="pct"/>
            <w:gridSpan w:val="2"/>
            <w:shd w:val="clear" w:color="auto" w:fill="E5DFEC" w:themeFill="accent4" w:themeFillTint="33"/>
            <w:vAlign w:val="bottom"/>
          </w:tcPr>
          <w:p w14:paraId="2EF111D7"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1,1</w:t>
            </w:r>
          </w:p>
        </w:tc>
      </w:tr>
      <w:tr w:rsidR="00343BAC" w:rsidRPr="003B4CDA" w14:paraId="7E7FC1B3" w14:textId="77777777" w:rsidTr="00CE325A">
        <w:trPr>
          <w:trHeight w:val="274"/>
          <w:jc w:val="center"/>
        </w:trPr>
        <w:tc>
          <w:tcPr>
            <w:tcW w:w="1622" w:type="pct"/>
            <w:gridSpan w:val="2"/>
            <w:shd w:val="clear" w:color="auto" w:fill="CCC0D9" w:themeFill="accent4" w:themeFillTint="66"/>
          </w:tcPr>
          <w:p w14:paraId="2E262462"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Kvalificēti lauksaimniecības darbinieki</w:t>
            </w:r>
          </w:p>
        </w:tc>
        <w:tc>
          <w:tcPr>
            <w:tcW w:w="376" w:type="pct"/>
            <w:gridSpan w:val="2"/>
            <w:shd w:val="clear" w:color="auto" w:fill="CCC0D9" w:themeFill="accent4" w:themeFillTint="66"/>
            <w:vAlign w:val="bottom"/>
          </w:tcPr>
          <w:p w14:paraId="084E827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8,5</w:t>
            </w:r>
          </w:p>
        </w:tc>
        <w:tc>
          <w:tcPr>
            <w:tcW w:w="376" w:type="pct"/>
            <w:gridSpan w:val="2"/>
            <w:shd w:val="clear" w:color="auto" w:fill="CCC0D9" w:themeFill="accent4" w:themeFillTint="66"/>
            <w:vAlign w:val="bottom"/>
          </w:tcPr>
          <w:p w14:paraId="46EFF848"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-1,2</w:t>
            </w:r>
          </w:p>
        </w:tc>
        <w:tc>
          <w:tcPr>
            <w:tcW w:w="376" w:type="pct"/>
            <w:gridSpan w:val="2"/>
            <w:shd w:val="clear" w:color="auto" w:fill="CCC0D9" w:themeFill="accent4" w:themeFillTint="66"/>
            <w:vAlign w:val="bottom"/>
          </w:tcPr>
          <w:p w14:paraId="7F14AEF4"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6" w:type="pct"/>
            <w:gridSpan w:val="2"/>
            <w:shd w:val="clear" w:color="auto" w:fill="CCC0D9" w:themeFill="accent4" w:themeFillTint="66"/>
            <w:vAlign w:val="bottom"/>
          </w:tcPr>
          <w:p w14:paraId="5788CDCF"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w:t>
            </w:r>
            <w:r w:rsidRPr="003B4CDA">
              <w:rPr>
                <w:rFonts w:ascii="Segoe UI Light" w:hAnsi="Segoe UI Light" w:cs="Segoe UI Light"/>
                <w:sz w:val="16"/>
                <w:szCs w:val="16"/>
              </w:rPr>
              <w:t>0,</w:t>
            </w:r>
            <w:r>
              <w:rPr>
                <w:rFonts w:ascii="Segoe UI Light" w:hAnsi="Segoe UI Light" w:cs="Segoe UI Light"/>
                <w:sz w:val="16"/>
                <w:szCs w:val="16"/>
              </w:rPr>
              <w:t>1</w:t>
            </w:r>
          </w:p>
        </w:tc>
        <w:tc>
          <w:tcPr>
            <w:tcW w:w="376" w:type="pct"/>
            <w:gridSpan w:val="2"/>
            <w:shd w:val="clear" w:color="auto" w:fill="CCC0D9" w:themeFill="accent4" w:themeFillTint="66"/>
            <w:vAlign w:val="bottom"/>
          </w:tcPr>
          <w:p w14:paraId="364C721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w:t>
            </w:r>
            <w:r>
              <w:rPr>
                <w:rFonts w:ascii="Segoe UI Light" w:hAnsi="Segoe UI Light" w:cs="Segoe UI Light"/>
                <w:sz w:val="16"/>
                <w:szCs w:val="16"/>
              </w:rPr>
              <w:t>0</w:t>
            </w:r>
          </w:p>
        </w:tc>
        <w:tc>
          <w:tcPr>
            <w:tcW w:w="376" w:type="pct"/>
            <w:gridSpan w:val="2"/>
            <w:shd w:val="clear" w:color="auto" w:fill="CCC0D9" w:themeFill="accent4" w:themeFillTint="66"/>
            <w:vAlign w:val="bottom"/>
          </w:tcPr>
          <w:p w14:paraId="2DC29C4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0,0</w:t>
            </w:r>
          </w:p>
        </w:tc>
        <w:tc>
          <w:tcPr>
            <w:tcW w:w="376" w:type="pct"/>
            <w:gridSpan w:val="2"/>
            <w:shd w:val="clear" w:color="auto" w:fill="CCC0D9" w:themeFill="accent4" w:themeFillTint="66"/>
            <w:vAlign w:val="bottom"/>
          </w:tcPr>
          <w:p w14:paraId="1DF300AE"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-1,0</w:t>
            </w:r>
          </w:p>
        </w:tc>
        <w:tc>
          <w:tcPr>
            <w:tcW w:w="376" w:type="pct"/>
            <w:gridSpan w:val="2"/>
            <w:shd w:val="clear" w:color="auto" w:fill="CCC0D9" w:themeFill="accent4" w:themeFillTint="66"/>
            <w:vAlign w:val="bottom"/>
          </w:tcPr>
          <w:p w14:paraId="0E6DCA5D"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0,0</w:t>
            </w:r>
          </w:p>
        </w:tc>
        <w:tc>
          <w:tcPr>
            <w:tcW w:w="370" w:type="pct"/>
            <w:gridSpan w:val="2"/>
            <w:shd w:val="clear" w:color="auto" w:fill="CCC0D9" w:themeFill="accent4" w:themeFillTint="66"/>
            <w:vAlign w:val="bottom"/>
          </w:tcPr>
          <w:p w14:paraId="24F8F94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10,7</w:t>
            </w:r>
          </w:p>
        </w:tc>
      </w:tr>
      <w:tr w:rsidR="00343BAC" w:rsidRPr="003B4CDA" w14:paraId="4639AB38"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0636F6FA"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Kvalificēti strādnieki</w:t>
            </w:r>
          </w:p>
        </w:tc>
        <w:tc>
          <w:tcPr>
            <w:tcW w:w="376" w:type="pct"/>
            <w:gridSpan w:val="2"/>
            <w:shd w:val="clear" w:color="auto" w:fill="E5DFEC" w:themeFill="accent4" w:themeFillTint="33"/>
            <w:vAlign w:val="bottom"/>
          </w:tcPr>
          <w:p w14:paraId="05AD8D8B"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0,5</w:t>
            </w:r>
          </w:p>
        </w:tc>
        <w:tc>
          <w:tcPr>
            <w:tcW w:w="376" w:type="pct"/>
            <w:gridSpan w:val="2"/>
            <w:shd w:val="clear" w:color="auto" w:fill="E5DFEC" w:themeFill="accent4" w:themeFillTint="33"/>
            <w:vAlign w:val="bottom"/>
          </w:tcPr>
          <w:p w14:paraId="6E1BD43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1,8</w:t>
            </w:r>
          </w:p>
        </w:tc>
        <w:tc>
          <w:tcPr>
            <w:tcW w:w="376" w:type="pct"/>
            <w:gridSpan w:val="2"/>
            <w:shd w:val="clear" w:color="auto" w:fill="E5DFEC" w:themeFill="accent4" w:themeFillTint="33"/>
            <w:vAlign w:val="bottom"/>
          </w:tcPr>
          <w:p w14:paraId="3CA9A0E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4,0</w:t>
            </w:r>
          </w:p>
        </w:tc>
        <w:tc>
          <w:tcPr>
            <w:tcW w:w="376" w:type="pct"/>
            <w:gridSpan w:val="2"/>
            <w:shd w:val="clear" w:color="auto" w:fill="E5DFEC" w:themeFill="accent4" w:themeFillTint="33"/>
            <w:vAlign w:val="bottom"/>
          </w:tcPr>
          <w:p w14:paraId="528E335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6,9</w:t>
            </w:r>
          </w:p>
        </w:tc>
        <w:tc>
          <w:tcPr>
            <w:tcW w:w="376" w:type="pct"/>
            <w:gridSpan w:val="2"/>
            <w:shd w:val="clear" w:color="auto" w:fill="E5DFEC" w:themeFill="accent4" w:themeFillTint="33"/>
            <w:vAlign w:val="bottom"/>
          </w:tcPr>
          <w:p w14:paraId="3454EC7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1,9</w:t>
            </w:r>
          </w:p>
        </w:tc>
        <w:tc>
          <w:tcPr>
            <w:tcW w:w="376" w:type="pct"/>
            <w:gridSpan w:val="2"/>
            <w:shd w:val="clear" w:color="auto" w:fill="E5DFEC" w:themeFill="accent4" w:themeFillTint="33"/>
            <w:vAlign w:val="bottom"/>
          </w:tcPr>
          <w:p w14:paraId="38FFA8B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1,5</w:t>
            </w:r>
          </w:p>
        </w:tc>
        <w:tc>
          <w:tcPr>
            <w:tcW w:w="376" w:type="pct"/>
            <w:gridSpan w:val="2"/>
            <w:shd w:val="clear" w:color="auto" w:fill="E5DFEC" w:themeFill="accent4" w:themeFillTint="33"/>
            <w:vAlign w:val="bottom"/>
          </w:tcPr>
          <w:p w14:paraId="42F7F2AF"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6" w:type="pct"/>
            <w:gridSpan w:val="2"/>
            <w:shd w:val="clear" w:color="auto" w:fill="E5DFEC" w:themeFill="accent4" w:themeFillTint="33"/>
            <w:vAlign w:val="bottom"/>
          </w:tcPr>
          <w:p w14:paraId="3D25EFA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1,0</w:t>
            </w:r>
          </w:p>
        </w:tc>
        <w:tc>
          <w:tcPr>
            <w:tcW w:w="370" w:type="pct"/>
            <w:gridSpan w:val="2"/>
            <w:shd w:val="clear" w:color="auto" w:fill="E5DFEC" w:themeFill="accent4" w:themeFillTint="33"/>
            <w:vAlign w:val="bottom"/>
          </w:tcPr>
          <w:p w14:paraId="7366B4F9"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2,8</w:t>
            </w:r>
          </w:p>
        </w:tc>
      </w:tr>
      <w:tr w:rsidR="00343BAC" w:rsidRPr="003B4CDA" w14:paraId="2EC13E1E" w14:textId="77777777" w:rsidTr="00CE325A">
        <w:trPr>
          <w:trHeight w:val="307"/>
          <w:jc w:val="center"/>
        </w:trPr>
        <w:tc>
          <w:tcPr>
            <w:tcW w:w="1622" w:type="pct"/>
            <w:gridSpan w:val="2"/>
            <w:shd w:val="clear" w:color="auto" w:fill="CCC0D9" w:themeFill="accent4" w:themeFillTint="66"/>
          </w:tcPr>
          <w:p w14:paraId="2D6A5970" w14:textId="77777777" w:rsidR="00CE325A" w:rsidRPr="003B4CDA" w:rsidRDefault="00CE325A" w:rsidP="00D209BD">
            <w:pPr>
              <w:spacing w:before="20" w:after="20"/>
              <w:ind w:left="171"/>
              <w:rPr>
                <w:rFonts w:ascii="Segoe UI Light" w:eastAsia="Arial Unicode MS" w:hAnsi="Segoe UI Light"/>
                <w:sz w:val="16"/>
                <w:szCs w:val="16"/>
              </w:rPr>
            </w:pPr>
            <w:r w:rsidRPr="003B4CDA">
              <w:rPr>
                <w:rFonts w:ascii="Segoe UI Light" w:eastAsia="Times New Roman" w:hAnsi="Segoe UI Light"/>
                <w:sz w:val="16"/>
                <w:szCs w:val="16"/>
              </w:rPr>
              <w:t>Iekārtu un mašīnu operatori</w:t>
            </w:r>
          </w:p>
        </w:tc>
        <w:tc>
          <w:tcPr>
            <w:tcW w:w="376" w:type="pct"/>
            <w:gridSpan w:val="2"/>
            <w:shd w:val="clear" w:color="auto" w:fill="CCC0D9" w:themeFill="accent4" w:themeFillTint="66"/>
            <w:vAlign w:val="bottom"/>
          </w:tcPr>
          <w:p w14:paraId="63F5EC36"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1,8</w:t>
            </w:r>
          </w:p>
        </w:tc>
        <w:tc>
          <w:tcPr>
            <w:tcW w:w="376" w:type="pct"/>
            <w:gridSpan w:val="2"/>
            <w:shd w:val="clear" w:color="auto" w:fill="CCC0D9" w:themeFill="accent4" w:themeFillTint="66"/>
            <w:vAlign w:val="bottom"/>
          </w:tcPr>
          <w:p w14:paraId="6C73BB3E"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-5,8</w:t>
            </w:r>
          </w:p>
        </w:tc>
        <w:tc>
          <w:tcPr>
            <w:tcW w:w="376" w:type="pct"/>
            <w:gridSpan w:val="2"/>
            <w:shd w:val="clear" w:color="auto" w:fill="CCC0D9" w:themeFill="accent4" w:themeFillTint="66"/>
            <w:vAlign w:val="bottom"/>
          </w:tcPr>
          <w:p w14:paraId="2EE31B62"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sidRPr="003B4CDA">
              <w:rPr>
                <w:rFonts w:ascii="Segoe UI Light" w:hAnsi="Segoe UI Light" w:cs="Segoe UI Light"/>
                <w:sz w:val="16"/>
                <w:szCs w:val="16"/>
              </w:rPr>
              <w:t>-</w:t>
            </w:r>
            <w:r>
              <w:rPr>
                <w:rFonts w:ascii="Segoe UI Light" w:hAnsi="Segoe UI Light" w:cs="Segoe UI Light"/>
                <w:sz w:val="16"/>
                <w:szCs w:val="16"/>
              </w:rPr>
              <w:t>0,4</w:t>
            </w:r>
          </w:p>
        </w:tc>
        <w:tc>
          <w:tcPr>
            <w:tcW w:w="376" w:type="pct"/>
            <w:gridSpan w:val="2"/>
            <w:shd w:val="clear" w:color="auto" w:fill="CCC0D9" w:themeFill="accent4" w:themeFillTint="66"/>
            <w:vAlign w:val="bottom"/>
          </w:tcPr>
          <w:p w14:paraId="599E3AC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-0,5</w:t>
            </w:r>
          </w:p>
        </w:tc>
        <w:tc>
          <w:tcPr>
            <w:tcW w:w="376" w:type="pct"/>
            <w:gridSpan w:val="2"/>
            <w:shd w:val="clear" w:color="auto" w:fill="CCC0D9" w:themeFill="accent4" w:themeFillTint="66"/>
            <w:vAlign w:val="bottom"/>
          </w:tcPr>
          <w:p w14:paraId="26416BF0"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1,4</w:t>
            </w:r>
          </w:p>
        </w:tc>
        <w:tc>
          <w:tcPr>
            <w:tcW w:w="376" w:type="pct"/>
            <w:gridSpan w:val="2"/>
            <w:shd w:val="clear" w:color="auto" w:fill="CCC0D9" w:themeFill="accent4" w:themeFillTint="66"/>
            <w:vAlign w:val="bottom"/>
          </w:tcPr>
          <w:p w14:paraId="36D69DE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0,8</w:t>
            </w:r>
          </w:p>
        </w:tc>
        <w:tc>
          <w:tcPr>
            <w:tcW w:w="376" w:type="pct"/>
            <w:gridSpan w:val="2"/>
            <w:shd w:val="clear" w:color="auto" w:fill="CCC0D9" w:themeFill="accent4" w:themeFillTint="66"/>
            <w:vAlign w:val="bottom"/>
          </w:tcPr>
          <w:p w14:paraId="62742D83" w14:textId="77777777" w:rsidR="00CE325A" w:rsidRPr="003B4CDA" w:rsidRDefault="00CE325A" w:rsidP="00CE325A">
            <w:pPr>
              <w:tabs>
                <w:tab w:val="decimal" w:pos="354"/>
              </w:tabs>
              <w:spacing w:before="20" w:after="20"/>
              <w:rPr>
                <w:rFonts w:ascii="Segoe UI Light" w:eastAsia="Times New Roman" w:hAnsi="Segoe UI Light" w:cs="Segoe UI Light"/>
                <w:sz w:val="16"/>
                <w:szCs w:val="16"/>
              </w:rPr>
            </w:pPr>
            <w:r>
              <w:rPr>
                <w:rFonts w:ascii="Segoe UI Light" w:hAnsi="Segoe UI Light" w:cs="Segoe UI Light"/>
                <w:sz w:val="16"/>
                <w:szCs w:val="16"/>
              </w:rPr>
              <w:t>0,4</w:t>
            </w:r>
          </w:p>
        </w:tc>
        <w:tc>
          <w:tcPr>
            <w:tcW w:w="376" w:type="pct"/>
            <w:gridSpan w:val="2"/>
            <w:shd w:val="clear" w:color="auto" w:fill="CCC0D9" w:themeFill="accent4" w:themeFillTint="66"/>
            <w:vAlign w:val="bottom"/>
          </w:tcPr>
          <w:p w14:paraId="1E02D3D5"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-0,1</w:t>
            </w:r>
          </w:p>
        </w:tc>
        <w:tc>
          <w:tcPr>
            <w:tcW w:w="370" w:type="pct"/>
            <w:gridSpan w:val="2"/>
            <w:shd w:val="clear" w:color="auto" w:fill="CCC0D9" w:themeFill="accent4" w:themeFillTint="66"/>
            <w:vAlign w:val="bottom"/>
          </w:tcPr>
          <w:p w14:paraId="6D8552AA" w14:textId="77777777" w:rsidR="00CE325A" w:rsidRPr="003B4CDA" w:rsidRDefault="00CE325A" w:rsidP="00CE325A">
            <w:pPr>
              <w:tabs>
                <w:tab w:val="decimal" w:pos="258"/>
              </w:tabs>
              <w:spacing w:before="20" w:after="20"/>
              <w:rPr>
                <w:rFonts w:ascii="Segoe UI Light" w:eastAsia="Times New Roman" w:hAnsi="Segoe UI Light" w:cs="Segoe UI Light"/>
                <w:sz w:val="16"/>
                <w:szCs w:val="16"/>
              </w:rPr>
            </w:pPr>
            <w:r>
              <w:rPr>
                <w:rFonts w:ascii="Segoe UI Light" w:hAnsi="Segoe UI Light" w:cs="Segoe UI Light"/>
                <w:sz w:val="16"/>
                <w:szCs w:val="16"/>
              </w:rPr>
              <w:t>-2,5</w:t>
            </w:r>
          </w:p>
        </w:tc>
      </w:tr>
      <w:tr w:rsidR="00343BAC" w:rsidRPr="003B4CDA" w14:paraId="25F29A2B" w14:textId="77777777" w:rsidTr="00CE325A">
        <w:trPr>
          <w:cnfStyle w:val="000000100000" w:firstRow="0" w:lastRow="0" w:firstColumn="0" w:lastColumn="0" w:oddVBand="0" w:evenVBand="0" w:oddHBand="1" w:evenHBand="0" w:firstRowFirstColumn="0" w:firstRowLastColumn="0" w:lastRowFirstColumn="0" w:lastRowLastColumn="0"/>
          <w:trHeight w:val="274"/>
          <w:jc w:val="center"/>
        </w:trPr>
        <w:tc>
          <w:tcPr>
            <w:tcW w:w="1622" w:type="pct"/>
            <w:gridSpan w:val="2"/>
            <w:shd w:val="clear" w:color="auto" w:fill="E5DFEC" w:themeFill="accent4" w:themeFillTint="33"/>
          </w:tcPr>
          <w:p w14:paraId="4678D034" w14:textId="77777777" w:rsidR="00CE325A" w:rsidRPr="00743039" w:rsidRDefault="00CE325A" w:rsidP="00D209BD">
            <w:pPr>
              <w:spacing w:before="20" w:after="20"/>
              <w:rPr>
                <w:rFonts w:ascii="Segoe UI Light" w:eastAsia="Times New Roman" w:hAnsi="Segoe UI Light"/>
                <w:b/>
                <w:bCs/>
                <w:sz w:val="16"/>
                <w:szCs w:val="16"/>
              </w:rPr>
            </w:pPr>
            <w:r w:rsidRPr="00743039">
              <w:rPr>
                <w:rFonts w:ascii="Segoe UI Light" w:eastAsia="Times New Roman" w:hAnsi="Segoe UI Light"/>
                <w:b/>
                <w:bCs/>
                <w:sz w:val="16"/>
                <w:szCs w:val="16"/>
              </w:rPr>
              <w:t>Zemas kvalifikācijas profesijas</w:t>
            </w:r>
          </w:p>
        </w:tc>
        <w:tc>
          <w:tcPr>
            <w:tcW w:w="376" w:type="pct"/>
            <w:gridSpan w:val="2"/>
            <w:shd w:val="clear" w:color="auto" w:fill="E5DFEC" w:themeFill="accent4" w:themeFillTint="33"/>
            <w:vAlign w:val="bottom"/>
          </w:tcPr>
          <w:p w14:paraId="23D8236C"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-4,2</w:t>
            </w:r>
          </w:p>
        </w:tc>
        <w:tc>
          <w:tcPr>
            <w:tcW w:w="376" w:type="pct"/>
            <w:gridSpan w:val="2"/>
            <w:shd w:val="clear" w:color="auto" w:fill="E5DFEC" w:themeFill="accent4" w:themeFillTint="33"/>
            <w:vAlign w:val="bottom"/>
          </w:tcPr>
          <w:p w14:paraId="35D3B97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-2,6</w:t>
            </w:r>
          </w:p>
        </w:tc>
        <w:tc>
          <w:tcPr>
            <w:tcW w:w="376" w:type="pct"/>
            <w:gridSpan w:val="2"/>
            <w:shd w:val="clear" w:color="auto" w:fill="E5DFEC" w:themeFill="accent4" w:themeFillTint="33"/>
            <w:vAlign w:val="bottom"/>
          </w:tcPr>
          <w:p w14:paraId="167F75F5"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-1,3</w:t>
            </w:r>
          </w:p>
        </w:tc>
        <w:tc>
          <w:tcPr>
            <w:tcW w:w="376" w:type="pct"/>
            <w:gridSpan w:val="2"/>
            <w:shd w:val="clear" w:color="auto" w:fill="E5DFEC" w:themeFill="accent4" w:themeFillTint="33"/>
            <w:vAlign w:val="bottom"/>
          </w:tcPr>
          <w:p w14:paraId="32DCFC6A"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5,1</w:t>
            </w:r>
          </w:p>
        </w:tc>
        <w:tc>
          <w:tcPr>
            <w:tcW w:w="376" w:type="pct"/>
            <w:gridSpan w:val="2"/>
            <w:shd w:val="clear" w:color="auto" w:fill="E5DFEC" w:themeFill="accent4" w:themeFillTint="33"/>
            <w:vAlign w:val="bottom"/>
          </w:tcPr>
          <w:p w14:paraId="62CC4220"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5,5</w:t>
            </w:r>
          </w:p>
        </w:tc>
        <w:tc>
          <w:tcPr>
            <w:tcW w:w="376" w:type="pct"/>
            <w:gridSpan w:val="2"/>
            <w:shd w:val="clear" w:color="auto" w:fill="E5DFEC" w:themeFill="accent4" w:themeFillTint="33"/>
            <w:vAlign w:val="bottom"/>
          </w:tcPr>
          <w:p w14:paraId="5111BABD"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-2,0</w:t>
            </w:r>
          </w:p>
        </w:tc>
        <w:tc>
          <w:tcPr>
            <w:tcW w:w="376" w:type="pct"/>
            <w:gridSpan w:val="2"/>
            <w:shd w:val="clear" w:color="auto" w:fill="E5DFEC" w:themeFill="accent4" w:themeFillTint="33"/>
            <w:vAlign w:val="bottom"/>
          </w:tcPr>
          <w:p w14:paraId="3035BAD4" w14:textId="77777777" w:rsidR="00CE325A" w:rsidRPr="00743039" w:rsidRDefault="00CE325A" w:rsidP="00CE325A">
            <w:pPr>
              <w:tabs>
                <w:tab w:val="decimal" w:pos="354"/>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-9,2</w:t>
            </w:r>
          </w:p>
        </w:tc>
        <w:tc>
          <w:tcPr>
            <w:tcW w:w="376" w:type="pct"/>
            <w:gridSpan w:val="2"/>
            <w:shd w:val="clear" w:color="auto" w:fill="E5DFEC" w:themeFill="accent4" w:themeFillTint="33"/>
            <w:vAlign w:val="bottom"/>
          </w:tcPr>
          <w:p w14:paraId="184D2C83"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-3,0</w:t>
            </w:r>
          </w:p>
        </w:tc>
        <w:tc>
          <w:tcPr>
            <w:tcW w:w="370" w:type="pct"/>
            <w:gridSpan w:val="2"/>
            <w:shd w:val="clear" w:color="auto" w:fill="E5DFEC" w:themeFill="accent4" w:themeFillTint="33"/>
            <w:vAlign w:val="bottom"/>
          </w:tcPr>
          <w:p w14:paraId="63B15ABB" w14:textId="77777777" w:rsidR="00CE325A" w:rsidRPr="00743039" w:rsidRDefault="00CE325A" w:rsidP="00CE325A">
            <w:pPr>
              <w:tabs>
                <w:tab w:val="decimal" w:pos="258"/>
              </w:tabs>
              <w:spacing w:before="20" w:after="20"/>
              <w:rPr>
                <w:rFonts w:ascii="Segoe UI Light" w:eastAsia="Times New Roman" w:hAnsi="Segoe UI Light" w:cs="Segoe UI Light"/>
                <w:b/>
                <w:bCs/>
                <w:sz w:val="16"/>
                <w:szCs w:val="16"/>
              </w:rPr>
            </w:pPr>
            <w:r w:rsidRPr="00743039">
              <w:rPr>
                <w:rFonts w:ascii="Segoe UI Light" w:hAnsi="Segoe UI Light" w:cs="Segoe UI Light"/>
                <w:b/>
                <w:bCs/>
                <w:sz w:val="16"/>
                <w:szCs w:val="16"/>
              </w:rPr>
              <w:t>-11,7</w:t>
            </w:r>
          </w:p>
        </w:tc>
      </w:tr>
      <w:tr w:rsidR="00343BAC" w:rsidRPr="003B4CDA" w14:paraId="2EEF8AA8" w14:textId="77777777" w:rsidTr="00CE325A">
        <w:trPr>
          <w:trHeight w:val="278"/>
          <w:jc w:val="center"/>
        </w:trPr>
        <w:tc>
          <w:tcPr>
            <w:tcW w:w="1622" w:type="pct"/>
            <w:gridSpan w:val="2"/>
            <w:shd w:val="clear" w:color="auto" w:fill="CCC0D9" w:themeFill="accent4" w:themeFillTint="66"/>
          </w:tcPr>
          <w:p w14:paraId="67111C1D" w14:textId="77777777" w:rsidR="00CE325A" w:rsidRPr="003B4CDA" w:rsidRDefault="00CE325A" w:rsidP="00D209BD">
            <w:pPr>
              <w:spacing w:before="20" w:after="20"/>
              <w:rPr>
                <w:rFonts w:ascii="Segoe UI Light" w:eastAsia="Arial Unicode MS" w:hAnsi="Segoe UI Light"/>
                <w:b/>
                <w:sz w:val="16"/>
                <w:szCs w:val="16"/>
              </w:rPr>
            </w:pPr>
            <w:r w:rsidRPr="003B4CDA">
              <w:rPr>
                <w:rFonts w:ascii="Segoe UI Light" w:eastAsia="Arial Unicode MS" w:hAnsi="Segoe UI Light"/>
                <w:b/>
                <w:sz w:val="16"/>
                <w:szCs w:val="16"/>
              </w:rPr>
              <w:t>Kopā</w:t>
            </w:r>
          </w:p>
        </w:tc>
        <w:tc>
          <w:tcPr>
            <w:tcW w:w="376" w:type="pct"/>
            <w:gridSpan w:val="2"/>
            <w:shd w:val="clear" w:color="auto" w:fill="CCC0D9" w:themeFill="accent4" w:themeFillTint="66"/>
            <w:vAlign w:val="bottom"/>
          </w:tcPr>
          <w:p w14:paraId="16708318"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sidRPr="003B4CDA">
              <w:rPr>
                <w:rFonts w:ascii="Segoe UI Light" w:hAnsi="Segoe UI Light" w:cs="Segoe UI Light"/>
                <w:b/>
                <w:bCs/>
                <w:sz w:val="16"/>
                <w:szCs w:val="16"/>
              </w:rPr>
              <w:t>-</w:t>
            </w:r>
            <w:r>
              <w:rPr>
                <w:rFonts w:ascii="Segoe UI Light" w:hAnsi="Segoe UI Light" w:cs="Segoe UI Light"/>
                <w:b/>
                <w:bCs/>
                <w:sz w:val="16"/>
                <w:szCs w:val="16"/>
              </w:rPr>
              <w:t>14,7</w:t>
            </w:r>
          </w:p>
        </w:tc>
        <w:tc>
          <w:tcPr>
            <w:tcW w:w="376" w:type="pct"/>
            <w:gridSpan w:val="2"/>
            <w:shd w:val="clear" w:color="auto" w:fill="CCC0D9" w:themeFill="accent4" w:themeFillTint="66"/>
            <w:vAlign w:val="bottom"/>
          </w:tcPr>
          <w:p w14:paraId="7561DB2D"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-2,7</w:t>
            </w:r>
          </w:p>
        </w:tc>
        <w:tc>
          <w:tcPr>
            <w:tcW w:w="376" w:type="pct"/>
            <w:gridSpan w:val="2"/>
            <w:shd w:val="clear" w:color="auto" w:fill="CCC0D9" w:themeFill="accent4" w:themeFillTint="66"/>
            <w:vAlign w:val="bottom"/>
          </w:tcPr>
          <w:p w14:paraId="462234AC"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-4,3</w:t>
            </w:r>
          </w:p>
        </w:tc>
        <w:tc>
          <w:tcPr>
            <w:tcW w:w="376" w:type="pct"/>
            <w:gridSpan w:val="2"/>
            <w:shd w:val="clear" w:color="auto" w:fill="CCC0D9" w:themeFill="accent4" w:themeFillTint="66"/>
            <w:vAlign w:val="bottom"/>
          </w:tcPr>
          <w:p w14:paraId="294B96E8"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14,9</w:t>
            </w:r>
          </w:p>
        </w:tc>
        <w:tc>
          <w:tcPr>
            <w:tcW w:w="376" w:type="pct"/>
            <w:gridSpan w:val="2"/>
            <w:shd w:val="clear" w:color="auto" w:fill="CCC0D9" w:themeFill="accent4" w:themeFillTint="66"/>
            <w:vAlign w:val="bottom"/>
          </w:tcPr>
          <w:p w14:paraId="53E915C0"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-3,7</w:t>
            </w:r>
          </w:p>
        </w:tc>
        <w:tc>
          <w:tcPr>
            <w:tcW w:w="376" w:type="pct"/>
            <w:gridSpan w:val="2"/>
            <w:shd w:val="clear" w:color="auto" w:fill="CCC0D9" w:themeFill="accent4" w:themeFillTint="66"/>
            <w:vAlign w:val="bottom"/>
          </w:tcPr>
          <w:p w14:paraId="2FF44DED"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-4,5</w:t>
            </w:r>
          </w:p>
        </w:tc>
        <w:tc>
          <w:tcPr>
            <w:tcW w:w="376" w:type="pct"/>
            <w:gridSpan w:val="2"/>
            <w:shd w:val="clear" w:color="auto" w:fill="CCC0D9" w:themeFill="accent4" w:themeFillTint="66"/>
            <w:vAlign w:val="bottom"/>
          </w:tcPr>
          <w:p w14:paraId="4A5E5B82"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18,2</w:t>
            </w:r>
          </w:p>
        </w:tc>
        <w:tc>
          <w:tcPr>
            <w:tcW w:w="376" w:type="pct"/>
            <w:gridSpan w:val="2"/>
            <w:shd w:val="clear" w:color="auto" w:fill="CCC0D9" w:themeFill="accent4" w:themeFillTint="66"/>
            <w:vAlign w:val="bottom"/>
          </w:tcPr>
          <w:p w14:paraId="20E95EF9"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10,3</w:t>
            </w:r>
          </w:p>
        </w:tc>
        <w:tc>
          <w:tcPr>
            <w:tcW w:w="370" w:type="pct"/>
            <w:gridSpan w:val="2"/>
            <w:shd w:val="clear" w:color="auto" w:fill="CCC0D9" w:themeFill="accent4" w:themeFillTint="66"/>
            <w:vAlign w:val="bottom"/>
          </w:tcPr>
          <w:p w14:paraId="33ED3AA5" w14:textId="77777777" w:rsidR="00CE325A" w:rsidRPr="003B4CDA" w:rsidRDefault="00CE325A" w:rsidP="00CE325A">
            <w:pPr>
              <w:tabs>
                <w:tab w:val="decimal" w:pos="258"/>
              </w:tabs>
              <w:spacing w:before="20" w:after="20"/>
              <w:rPr>
                <w:rFonts w:ascii="Segoe UI Light" w:eastAsia="Times New Roman" w:hAnsi="Segoe UI Light" w:cs="Segoe UI Light"/>
                <w:b/>
                <w:bCs/>
                <w:sz w:val="16"/>
                <w:szCs w:val="16"/>
              </w:rPr>
            </w:pPr>
            <w:r>
              <w:rPr>
                <w:rFonts w:ascii="Segoe UI Light" w:hAnsi="Segoe UI Light" w:cs="Segoe UI Light"/>
                <w:b/>
                <w:bCs/>
                <w:sz w:val="16"/>
                <w:szCs w:val="16"/>
              </w:rPr>
              <w:t>13,3</w:t>
            </w:r>
          </w:p>
        </w:tc>
      </w:tr>
    </w:tbl>
    <w:p w14:paraId="36A72A25" w14:textId="3BAB4AFA" w:rsidR="00CE325A" w:rsidRPr="00502BC0" w:rsidRDefault="00CE325A" w:rsidP="00CE325A">
      <w:pPr>
        <w:spacing w:before="120" w:after="120"/>
        <w:jc w:val="both"/>
        <w:rPr>
          <w:iCs/>
          <w:sz w:val="12"/>
          <w:szCs w:val="12"/>
        </w:rPr>
      </w:pPr>
      <w:bookmarkStart w:id="28" w:name="_Toc390350663"/>
      <w:bookmarkStart w:id="29" w:name="_Toc388618386"/>
      <w:bookmarkEnd w:id="28"/>
      <w:bookmarkEnd w:id="29"/>
      <w:r w:rsidRPr="00502BC0">
        <w:rPr>
          <w:sz w:val="12"/>
          <w:szCs w:val="12"/>
        </w:rPr>
        <w:t xml:space="preserve">Avots: </w:t>
      </w:r>
      <w:r w:rsidRPr="00502BC0">
        <w:rPr>
          <w:iCs/>
          <w:sz w:val="12"/>
          <w:szCs w:val="12"/>
        </w:rPr>
        <w:t>CSP, 2021.</w:t>
      </w:r>
      <w:r w:rsidR="00957F8F" w:rsidRPr="00502BC0">
        <w:rPr>
          <w:iCs/>
          <w:sz w:val="12"/>
          <w:szCs w:val="12"/>
        </w:rPr>
        <w:t> </w:t>
      </w:r>
      <w:r w:rsidRPr="00502BC0">
        <w:rPr>
          <w:iCs/>
          <w:sz w:val="12"/>
          <w:szCs w:val="12"/>
        </w:rPr>
        <w:t>gadā EM novērtējums, balstoties uz 2020. gada DSA datiem</w:t>
      </w:r>
    </w:p>
    <w:p w14:paraId="644CB307" w14:textId="6A061A7A" w:rsidR="00CE325A" w:rsidRPr="003B4CDA" w:rsidRDefault="00496ED0" w:rsidP="00CE325A">
      <w:pPr>
        <w:spacing w:after="120"/>
        <w:jc w:val="both"/>
        <w:rPr>
          <w:szCs w:val="20"/>
        </w:rPr>
      </w:pPr>
      <w:r>
        <w:rPr>
          <w:szCs w:val="28"/>
        </w:rPr>
        <w:br/>
      </w:r>
      <w:r w:rsidR="00CE325A">
        <w:rPr>
          <w:szCs w:val="28"/>
        </w:rPr>
        <w:t xml:space="preserve">Līdzīgas tendences vērojamas arī zemas kvalifikācijas profesijās. </w:t>
      </w:r>
      <w:r w:rsidR="00CE325A" w:rsidRPr="003B4CDA">
        <w:rPr>
          <w:szCs w:val="20"/>
        </w:rPr>
        <w:t>20</w:t>
      </w:r>
      <w:r w:rsidR="00CE325A">
        <w:rPr>
          <w:szCs w:val="20"/>
        </w:rPr>
        <w:t>21</w:t>
      </w:r>
      <w:r w:rsidR="00CE325A" w:rsidRPr="003B4CDA">
        <w:rPr>
          <w:szCs w:val="20"/>
        </w:rPr>
        <w:t xml:space="preserve">. gadā nodarbināto skaits </w:t>
      </w:r>
      <w:r w:rsidR="00CE325A">
        <w:rPr>
          <w:szCs w:val="20"/>
        </w:rPr>
        <w:t xml:space="preserve">vienkāršajās profesijās </w:t>
      </w:r>
      <w:r w:rsidR="00CE325A" w:rsidRPr="003B4CDA">
        <w:rPr>
          <w:szCs w:val="20"/>
        </w:rPr>
        <w:t xml:space="preserve">bija par </w:t>
      </w:r>
      <w:r w:rsidR="00CE325A">
        <w:rPr>
          <w:szCs w:val="20"/>
        </w:rPr>
        <w:t>11</w:t>
      </w:r>
      <w:r w:rsidR="00CE325A" w:rsidRPr="003B4CDA">
        <w:rPr>
          <w:szCs w:val="20"/>
        </w:rPr>
        <w:t>,</w:t>
      </w:r>
      <w:r w:rsidR="00CE325A">
        <w:rPr>
          <w:szCs w:val="20"/>
        </w:rPr>
        <w:t>7</w:t>
      </w:r>
      <w:r w:rsidR="00CE325A" w:rsidRPr="003B4CDA">
        <w:rPr>
          <w:szCs w:val="20"/>
        </w:rPr>
        <w:t> tūkst. mazāks</w:t>
      </w:r>
      <w:r w:rsidR="00CE325A">
        <w:rPr>
          <w:szCs w:val="20"/>
        </w:rPr>
        <w:t xml:space="preserve"> nekā attiecīgi </w:t>
      </w:r>
      <w:r w:rsidR="00CE325A" w:rsidRPr="003B4CDA">
        <w:rPr>
          <w:szCs w:val="20"/>
        </w:rPr>
        <w:t>2010. gad</w:t>
      </w:r>
      <w:r w:rsidR="00CE325A">
        <w:rPr>
          <w:szCs w:val="20"/>
        </w:rPr>
        <w:t xml:space="preserve">ā. Apjomīgākais </w:t>
      </w:r>
      <w:r w:rsidR="00CE325A" w:rsidRPr="003B4CDA">
        <w:rPr>
          <w:szCs w:val="20"/>
        </w:rPr>
        <w:t xml:space="preserve">samazinājums </w:t>
      </w:r>
      <w:r w:rsidR="00CE325A">
        <w:rPr>
          <w:szCs w:val="20"/>
        </w:rPr>
        <w:t>ir bijis</w:t>
      </w:r>
      <w:r w:rsidR="00CE325A" w:rsidRPr="003B4CDA">
        <w:rPr>
          <w:szCs w:val="20"/>
        </w:rPr>
        <w:t xml:space="preserve"> komercpakalpojumu nozarēs </w:t>
      </w:r>
      <w:r w:rsidR="00CE325A">
        <w:rPr>
          <w:szCs w:val="20"/>
        </w:rPr>
        <w:t>(</w:t>
      </w:r>
      <w:r w:rsidR="00CE325A" w:rsidRPr="003B4CDA">
        <w:rPr>
          <w:szCs w:val="20"/>
        </w:rPr>
        <w:t xml:space="preserve">par </w:t>
      </w:r>
      <w:r w:rsidR="00CE325A">
        <w:rPr>
          <w:szCs w:val="20"/>
        </w:rPr>
        <w:t>9,2</w:t>
      </w:r>
      <w:r w:rsidR="00CE325A" w:rsidRPr="003B4CDA">
        <w:rPr>
          <w:szCs w:val="20"/>
        </w:rPr>
        <w:t> tūkst</w:t>
      </w:r>
      <w:r w:rsidR="00CE325A">
        <w:rPr>
          <w:szCs w:val="20"/>
        </w:rPr>
        <w:t>.)</w:t>
      </w:r>
      <w:r w:rsidR="00CE325A" w:rsidRPr="003B4CDA">
        <w:rPr>
          <w:szCs w:val="20"/>
        </w:rPr>
        <w:t xml:space="preserve"> un lauksaimniecībā </w:t>
      </w:r>
      <w:r w:rsidR="00957F8F">
        <w:rPr>
          <w:szCs w:val="20"/>
        </w:rPr>
        <w:t>–</w:t>
      </w:r>
      <w:r w:rsidR="00CE325A">
        <w:rPr>
          <w:szCs w:val="20"/>
        </w:rPr>
        <w:t xml:space="preserve"> </w:t>
      </w:r>
      <w:r w:rsidR="00CE325A" w:rsidRPr="003B4CDA">
        <w:rPr>
          <w:szCs w:val="20"/>
        </w:rPr>
        <w:t xml:space="preserve">par </w:t>
      </w:r>
      <w:r w:rsidR="00CE325A">
        <w:rPr>
          <w:szCs w:val="20"/>
        </w:rPr>
        <w:t>4,2</w:t>
      </w:r>
      <w:r w:rsidR="00CE325A" w:rsidRPr="003B4CDA">
        <w:rPr>
          <w:szCs w:val="20"/>
        </w:rPr>
        <w:t> tūkst.</w:t>
      </w:r>
      <w:r w:rsidR="00CE325A">
        <w:rPr>
          <w:szCs w:val="20"/>
        </w:rPr>
        <w:t xml:space="preserve"> </w:t>
      </w:r>
      <w:r w:rsidR="00CE325A" w:rsidRPr="003B4CDA">
        <w:rPr>
          <w:szCs w:val="20"/>
        </w:rPr>
        <w:t xml:space="preserve"> </w:t>
      </w:r>
      <w:r w:rsidR="00CE325A">
        <w:rPr>
          <w:szCs w:val="20"/>
        </w:rPr>
        <w:t>Vienlaikus</w:t>
      </w:r>
      <w:r w:rsidR="00CE325A" w:rsidRPr="003B4CDA">
        <w:rPr>
          <w:szCs w:val="20"/>
        </w:rPr>
        <w:t xml:space="preserve"> nodarbināto skait</w:t>
      </w:r>
      <w:r w:rsidR="00CE325A">
        <w:rPr>
          <w:szCs w:val="20"/>
        </w:rPr>
        <w:t xml:space="preserve">s ir </w:t>
      </w:r>
      <w:r w:rsidR="00CE325A" w:rsidRPr="003B4CDA">
        <w:rPr>
          <w:szCs w:val="20"/>
        </w:rPr>
        <w:t>pieau</w:t>
      </w:r>
      <w:r w:rsidR="00CE325A">
        <w:rPr>
          <w:szCs w:val="20"/>
        </w:rPr>
        <w:t xml:space="preserve">dzis </w:t>
      </w:r>
      <w:r w:rsidR="00CE325A" w:rsidRPr="003B4CDA">
        <w:rPr>
          <w:szCs w:val="20"/>
        </w:rPr>
        <w:t xml:space="preserve"> tirdzniecībā </w:t>
      </w:r>
      <w:r w:rsidR="00CE325A">
        <w:rPr>
          <w:szCs w:val="20"/>
        </w:rPr>
        <w:t>(</w:t>
      </w:r>
      <w:r w:rsidR="00CE325A" w:rsidRPr="003B4CDA">
        <w:rPr>
          <w:szCs w:val="20"/>
        </w:rPr>
        <w:t xml:space="preserve">par </w:t>
      </w:r>
      <w:r w:rsidR="00CE325A">
        <w:rPr>
          <w:szCs w:val="20"/>
        </w:rPr>
        <w:t>5,5</w:t>
      </w:r>
      <w:r w:rsidR="00CE325A" w:rsidRPr="003B4CDA">
        <w:rPr>
          <w:szCs w:val="20"/>
        </w:rPr>
        <w:t xml:space="preserve"> tūkst.</w:t>
      </w:r>
      <w:r w:rsidR="00CE325A">
        <w:rPr>
          <w:szCs w:val="20"/>
        </w:rPr>
        <w:t>)</w:t>
      </w:r>
      <w:r w:rsidR="00CE325A" w:rsidRPr="003B4CDA">
        <w:rPr>
          <w:szCs w:val="20"/>
        </w:rPr>
        <w:t xml:space="preserve"> un būvniecībā </w:t>
      </w:r>
      <w:r w:rsidR="00CE325A">
        <w:rPr>
          <w:szCs w:val="20"/>
        </w:rPr>
        <w:t>(</w:t>
      </w:r>
      <w:r w:rsidR="00CE325A" w:rsidRPr="003B4CDA">
        <w:rPr>
          <w:szCs w:val="20"/>
        </w:rPr>
        <w:t xml:space="preserve">par </w:t>
      </w:r>
      <w:r w:rsidR="00CE325A">
        <w:rPr>
          <w:szCs w:val="20"/>
        </w:rPr>
        <w:t>5,1</w:t>
      </w:r>
      <w:r w:rsidR="00CE325A" w:rsidRPr="003B4CDA">
        <w:rPr>
          <w:szCs w:val="20"/>
        </w:rPr>
        <w:t> tūkst.</w:t>
      </w:r>
      <w:r w:rsidR="00CE325A">
        <w:rPr>
          <w:szCs w:val="20"/>
        </w:rPr>
        <w:t>)</w:t>
      </w:r>
      <w:r w:rsidR="00CE325A" w:rsidRPr="003B4CDA">
        <w:rPr>
          <w:szCs w:val="20"/>
        </w:rPr>
        <w:t>.</w:t>
      </w:r>
    </w:p>
    <w:p w14:paraId="6D7D00DC" w14:textId="7E144BCB" w:rsidR="00CE325A" w:rsidRDefault="00CE325A" w:rsidP="00CE325A">
      <w:pPr>
        <w:jc w:val="both"/>
        <w:rPr>
          <w:szCs w:val="28"/>
        </w:rPr>
      </w:pPr>
      <w:r>
        <w:rPr>
          <w:szCs w:val="28"/>
        </w:rPr>
        <w:t>Kopumā v</w:t>
      </w:r>
      <w:r w:rsidRPr="00BE5227">
        <w:rPr>
          <w:szCs w:val="28"/>
        </w:rPr>
        <w:t>idējas kvalifikācijas profesijās 2021.</w:t>
      </w:r>
      <w:r w:rsidR="00957F8F">
        <w:rPr>
          <w:szCs w:val="28"/>
        </w:rPr>
        <w:t> </w:t>
      </w:r>
      <w:r w:rsidRPr="00BE5227">
        <w:rPr>
          <w:szCs w:val="28"/>
        </w:rPr>
        <w:t>gadā bija nodarbināti 367,5 tūkst., kas bija 43% no visiem nodarbinātajiem. Šajā profesiju grupā ceturtā daļa bija nodarbināti tirdzniecībā un 17% apstrādes rūpniecībā. Savukārt zemas kvalifikācijas profesijās 2021.</w:t>
      </w:r>
      <w:r w:rsidR="00957F8F">
        <w:rPr>
          <w:szCs w:val="28"/>
        </w:rPr>
        <w:t> </w:t>
      </w:r>
      <w:r w:rsidRPr="00BE5227">
        <w:rPr>
          <w:szCs w:val="28"/>
        </w:rPr>
        <w:t>gadā bija 103,7 tūkst. nodarbināto, no kuriem gandrīz piektā daļa bija nodarbināti komercpakalpojumu nozarē un 17% – gan apstrādes rūpniecībā, gan tirdzniecībā, bet pārējās rūpniecības nozarēs – 13% un lauksaimniecības– 11 procenti.</w:t>
      </w:r>
    </w:p>
    <w:p w14:paraId="0DCDD48B" w14:textId="77777777" w:rsidR="00CE325A" w:rsidRPr="00957F8F" w:rsidRDefault="00CE325A" w:rsidP="00957F8F">
      <w:pPr>
        <w:spacing w:after="0"/>
        <w:jc w:val="both"/>
        <w:rPr>
          <w:sz w:val="2"/>
          <w:szCs w:val="2"/>
        </w:rPr>
      </w:pPr>
    </w:p>
    <w:p w14:paraId="3F869FB9" w14:textId="77777777" w:rsidR="00496ED0" w:rsidRDefault="00496ED0">
      <w:pPr>
        <w:spacing w:after="0"/>
        <w:rPr>
          <w:rFonts w:ascii="Segoe UI Light" w:hAnsi="Segoe UI Light"/>
          <w:b/>
          <w:sz w:val="16"/>
          <w:szCs w:val="16"/>
        </w:rPr>
      </w:pPr>
      <w:r>
        <w:rPr>
          <w:rFonts w:ascii="Segoe UI Light" w:hAnsi="Segoe UI Light"/>
          <w:b/>
          <w:sz w:val="16"/>
          <w:szCs w:val="16"/>
        </w:rPr>
        <w:br w:type="page"/>
      </w:r>
    </w:p>
    <w:p w14:paraId="2C5FA30D" w14:textId="0732B641" w:rsidR="00CE325A" w:rsidRPr="0033675C"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33675C">
        <w:rPr>
          <w:rFonts w:ascii="Segoe UI Light" w:hAnsi="Segoe UI Light"/>
          <w:b/>
          <w:sz w:val="16"/>
          <w:szCs w:val="16"/>
        </w:rPr>
        <w:lastRenderedPageBreak/>
        <w:t>Covid-19 pandēmijas ietekme uz darbaspēka pieprasījumu</w:t>
      </w:r>
    </w:p>
    <w:p w14:paraId="6BFEF94B" w14:textId="7FDB227D" w:rsidR="00CE325A" w:rsidRPr="00232506" w:rsidRDefault="00CE325A"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sz w:val="16"/>
          <w:szCs w:val="16"/>
        </w:rPr>
      </w:pPr>
      <w:r w:rsidRPr="00232506">
        <w:rPr>
          <w:rFonts w:ascii="Segoe UI Light" w:hAnsi="Segoe UI Light"/>
          <w:bCs/>
          <w:sz w:val="16"/>
          <w:szCs w:val="16"/>
        </w:rPr>
        <w:t>2020. – 2021.</w:t>
      </w:r>
      <w:r w:rsidR="00957F8F" w:rsidRPr="00232506">
        <w:rPr>
          <w:rFonts w:ascii="Segoe UI Light" w:hAnsi="Segoe UI Light"/>
          <w:bCs/>
          <w:sz w:val="16"/>
          <w:szCs w:val="16"/>
        </w:rPr>
        <w:t> </w:t>
      </w:r>
      <w:r w:rsidRPr="00232506">
        <w:rPr>
          <w:rFonts w:ascii="Segoe UI Light" w:hAnsi="Segoe UI Light"/>
          <w:bCs/>
          <w:sz w:val="16"/>
          <w:szCs w:val="16"/>
        </w:rPr>
        <w:t>gada Covid-19 krīze ir radījusi būtiskas izmaiņas darba tirgū un nodarbināto skaita struktūrā, turklāt daudzās no krīzes tieši skartajām nozarēm darbavietu skaits var ilgstoši neatgriezties iepriekšējā līmenī.</w:t>
      </w:r>
      <w:r w:rsidRPr="00232506">
        <w:rPr>
          <w:sz w:val="16"/>
          <w:szCs w:val="16"/>
        </w:rPr>
        <w:t xml:space="preserve"> </w:t>
      </w:r>
      <w:r w:rsidRPr="00232506">
        <w:rPr>
          <w:rFonts w:ascii="Segoe UI Light" w:hAnsi="Segoe UI Light"/>
          <w:bCs/>
          <w:sz w:val="16"/>
          <w:szCs w:val="16"/>
        </w:rPr>
        <w:t xml:space="preserve">Lielākais darbavietu skaita samazinājums vērojams Covid-19 pandēmijas visbūtiskāk skartajās nozarēs </w:t>
      </w:r>
      <w:r w:rsidR="00E6619D" w:rsidRPr="00232506">
        <w:rPr>
          <w:rFonts w:ascii="Segoe UI Light" w:hAnsi="Segoe UI Light"/>
          <w:bCs/>
          <w:sz w:val="16"/>
          <w:szCs w:val="16"/>
        </w:rPr>
        <w:t xml:space="preserve">– </w:t>
      </w:r>
      <w:r w:rsidRPr="00232506">
        <w:rPr>
          <w:rFonts w:ascii="Segoe UI Light" w:hAnsi="Segoe UI Light"/>
          <w:bCs/>
          <w:sz w:val="16"/>
          <w:szCs w:val="16"/>
        </w:rPr>
        <w:t>izmitināšanas un ēdināšanas pakalpojumos, mazumtirdzniecībā, kā arī transporta pakalpojumu nozarē. Tāpat kritums vērojams mākslas, izklaides un atpūtas nozarēs.</w:t>
      </w:r>
    </w:p>
    <w:p w14:paraId="2FAEAEB4" w14:textId="46F77A27" w:rsidR="00CE325A" w:rsidRPr="00232506" w:rsidRDefault="00CE325A"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sz w:val="16"/>
          <w:szCs w:val="16"/>
        </w:rPr>
      </w:pPr>
      <w:r w:rsidRPr="00232506">
        <w:rPr>
          <w:rFonts w:ascii="Segoe UI Light" w:hAnsi="Segoe UI Light"/>
          <w:bCs/>
          <w:sz w:val="16"/>
          <w:szCs w:val="16"/>
        </w:rPr>
        <w:t xml:space="preserve">Vienlaikus ne visās nozarēs Covid-19 pandēmija ir samazinājusi ekonomiskās aktivitātes, atsevišķas nozares ir spējušas ne tikai saglabāt izaugsmi, bet arī kāpināt to un nodrošinot jaunu darbavietu pieaugumu. Būtiskākais jaunu darbavietu pieaugums vērojams veselības nozarē, informācijas un komunikācijas pakalpojumu nozarēs, sociālajā aprūpē, kā arī daļā apstrādes rūpniecības </w:t>
      </w:r>
      <w:proofErr w:type="spellStart"/>
      <w:r w:rsidRPr="00232506">
        <w:rPr>
          <w:rFonts w:ascii="Segoe UI Light" w:hAnsi="Segoe UI Light"/>
          <w:bCs/>
          <w:sz w:val="16"/>
          <w:szCs w:val="16"/>
        </w:rPr>
        <w:t>apakšnozaru</w:t>
      </w:r>
      <w:proofErr w:type="spellEnd"/>
      <w:r w:rsidRPr="00232506">
        <w:rPr>
          <w:rFonts w:ascii="Segoe UI Light" w:hAnsi="Segoe UI Light"/>
          <w:bCs/>
          <w:sz w:val="16"/>
          <w:szCs w:val="16"/>
        </w:rPr>
        <w:t>, piemēram, kokrūpniecībā, metālapstrāde un mašīnbūve, farmācijas un ķīmisko vielu ražošanā, elektronisko un optisko iekārtu ražošanā u.c.</w:t>
      </w:r>
    </w:p>
    <w:p w14:paraId="19823EC4" w14:textId="7884BCBD" w:rsidR="000953E4" w:rsidRPr="000953E4" w:rsidRDefault="000953E4" w:rsidP="000953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b/>
          <w:sz w:val="16"/>
          <w:szCs w:val="18"/>
        </w:rPr>
      </w:pPr>
      <w:r w:rsidRPr="000953E4">
        <w:rPr>
          <w:rFonts w:ascii="Segoe UI Light" w:hAnsi="Segoe UI Light"/>
          <w:b/>
          <w:sz w:val="16"/>
          <w:szCs w:val="18"/>
        </w:rPr>
        <w:t>Aizņemtās darbavietas</w:t>
      </w:r>
    </w:p>
    <w:p w14:paraId="34AEB620" w14:textId="4BB1F4E3" w:rsidR="000953E4" w:rsidRPr="00CA2D5A" w:rsidRDefault="00502BC0" w:rsidP="000953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bCs/>
          <w:i/>
          <w:iCs/>
          <w:sz w:val="16"/>
          <w:szCs w:val="18"/>
        </w:rPr>
      </w:pPr>
      <w:r>
        <w:rPr>
          <w:rFonts w:ascii="Segoe UI Light" w:hAnsi="Segoe UI Light"/>
          <w:bCs/>
          <w:i/>
          <w:iCs/>
          <w:sz w:val="16"/>
          <w:szCs w:val="18"/>
        </w:rPr>
        <w:t xml:space="preserve">Būtiskākās </w:t>
      </w:r>
      <w:r w:rsidR="000953E4" w:rsidRPr="00CA2D5A">
        <w:rPr>
          <w:rFonts w:ascii="Segoe UI Light" w:hAnsi="Segoe UI Light"/>
          <w:bCs/>
          <w:i/>
          <w:iCs/>
          <w:sz w:val="16"/>
          <w:szCs w:val="18"/>
        </w:rPr>
        <w:t xml:space="preserve">izmaiņas </w:t>
      </w:r>
      <w:r>
        <w:rPr>
          <w:rFonts w:ascii="Segoe UI Light" w:hAnsi="Segoe UI Light"/>
          <w:bCs/>
          <w:i/>
          <w:iCs/>
          <w:sz w:val="16"/>
          <w:szCs w:val="18"/>
        </w:rPr>
        <w:t xml:space="preserve">pa nozarēm, </w:t>
      </w:r>
      <w:r w:rsidR="000953E4" w:rsidRPr="00CA2D5A">
        <w:rPr>
          <w:rFonts w:ascii="Segoe UI Light" w:hAnsi="Segoe UI Light"/>
          <w:bCs/>
          <w:i/>
          <w:iCs/>
          <w:sz w:val="16"/>
          <w:szCs w:val="18"/>
        </w:rPr>
        <w:t>tūkstošos, 2021.</w:t>
      </w:r>
      <w:r w:rsidR="003505A6">
        <w:rPr>
          <w:rFonts w:ascii="Segoe UI Light" w:hAnsi="Segoe UI Light"/>
          <w:bCs/>
          <w:i/>
          <w:iCs/>
          <w:sz w:val="16"/>
          <w:szCs w:val="18"/>
        </w:rPr>
        <w:t> </w:t>
      </w:r>
      <w:r w:rsidR="000953E4" w:rsidRPr="00CA2D5A">
        <w:rPr>
          <w:rFonts w:ascii="Segoe UI Light" w:hAnsi="Segoe UI Light"/>
          <w:bCs/>
          <w:i/>
          <w:iCs/>
          <w:sz w:val="16"/>
          <w:szCs w:val="18"/>
        </w:rPr>
        <w:t>gada 4.</w:t>
      </w:r>
      <w:r w:rsidR="003505A6">
        <w:rPr>
          <w:rFonts w:ascii="Segoe UI Light" w:hAnsi="Segoe UI Light"/>
          <w:bCs/>
          <w:i/>
          <w:iCs/>
          <w:sz w:val="16"/>
          <w:szCs w:val="18"/>
        </w:rPr>
        <w:t> </w:t>
      </w:r>
      <w:r w:rsidR="000953E4" w:rsidRPr="00CA2D5A">
        <w:rPr>
          <w:rFonts w:ascii="Segoe UI Light" w:hAnsi="Segoe UI Light"/>
          <w:bCs/>
          <w:i/>
          <w:iCs/>
          <w:sz w:val="16"/>
          <w:szCs w:val="18"/>
        </w:rPr>
        <w:t>ceturksnī pret 2019.</w:t>
      </w:r>
      <w:r w:rsidR="003505A6">
        <w:rPr>
          <w:rFonts w:ascii="Segoe UI Light" w:hAnsi="Segoe UI Light"/>
          <w:bCs/>
          <w:i/>
          <w:iCs/>
          <w:sz w:val="16"/>
          <w:szCs w:val="18"/>
        </w:rPr>
        <w:t> </w:t>
      </w:r>
      <w:r w:rsidR="000953E4" w:rsidRPr="00CA2D5A">
        <w:rPr>
          <w:rFonts w:ascii="Segoe UI Light" w:hAnsi="Segoe UI Light"/>
          <w:bCs/>
          <w:i/>
          <w:iCs/>
          <w:sz w:val="16"/>
          <w:szCs w:val="18"/>
        </w:rPr>
        <w:t>gada 4.</w:t>
      </w:r>
      <w:r w:rsidR="003505A6">
        <w:rPr>
          <w:rFonts w:ascii="Segoe UI Light" w:hAnsi="Segoe UI Light"/>
          <w:bCs/>
          <w:i/>
          <w:iCs/>
          <w:sz w:val="16"/>
          <w:szCs w:val="18"/>
        </w:rPr>
        <w:t> </w:t>
      </w:r>
      <w:r w:rsidR="000953E4" w:rsidRPr="00CA2D5A">
        <w:rPr>
          <w:rFonts w:ascii="Segoe UI Light" w:hAnsi="Segoe UI Light"/>
          <w:bCs/>
          <w:i/>
          <w:iCs/>
          <w:sz w:val="16"/>
          <w:szCs w:val="18"/>
        </w:rPr>
        <w:t>ceturksni</w:t>
      </w:r>
    </w:p>
    <w:p w14:paraId="02284F9A" w14:textId="70A157C7" w:rsidR="00CE325A"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rPr>
          <w:rFonts w:ascii="Segoe UI Light" w:hAnsi="Segoe UI Light"/>
          <w:bCs/>
          <w:sz w:val="18"/>
          <w:szCs w:val="18"/>
        </w:rPr>
      </w:pPr>
      <w:r w:rsidRPr="00DE0E45">
        <w:rPr>
          <w:rFonts w:ascii="Segoe UI Light" w:hAnsi="Segoe UI Light"/>
          <w:bCs/>
          <w:noProof/>
          <w:sz w:val="18"/>
          <w:szCs w:val="18"/>
        </w:rPr>
        <w:drawing>
          <wp:inline distT="0" distB="0" distL="0" distR="0" wp14:anchorId="36A65DBE" wp14:editId="569E89C8">
            <wp:extent cx="5827395" cy="3061970"/>
            <wp:effectExtent l="0" t="0" r="1905" b="5080"/>
            <wp:docPr id="87" name="Chart 87">
              <a:extLst xmlns:a="http://schemas.openxmlformats.org/drawingml/2006/main">
                <a:ext uri="{FF2B5EF4-FFF2-40B4-BE49-F238E27FC236}">
                  <a16:creationId xmlns:a16="http://schemas.microsoft.com/office/drawing/2014/main" id="{62F47B84-0AA0-4B87-B5DF-EF69742F9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F828356" w14:textId="77777777" w:rsidR="00CE325A" w:rsidRPr="00502BC0" w:rsidRDefault="00CE325A"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bCs/>
          <w:sz w:val="12"/>
          <w:szCs w:val="14"/>
        </w:rPr>
      </w:pPr>
      <w:r w:rsidRPr="00502BC0">
        <w:rPr>
          <w:rFonts w:ascii="Segoe UI Light" w:hAnsi="Segoe UI Light"/>
          <w:bCs/>
          <w:sz w:val="12"/>
          <w:szCs w:val="12"/>
        </w:rPr>
        <w:t>Avots: CSP</w:t>
      </w:r>
    </w:p>
    <w:p w14:paraId="5CF7B7A9" w14:textId="2AAA5A52" w:rsidR="00CE325A" w:rsidRDefault="00496ED0"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Pr>
          <w:rFonts w:ascii="Segoe UI Light" w:hAnsi="Segoe UI Light"/>
          <w:sz w:val="16"/>
          <w:szCs w:val="16"/>
        </w:rPr>
        <w:br/>
      </w:r>
      <w:r w:rsidR="357CF0D3" w:rsidRPr="4398C881">
        <w:rPr>
          <w:rFonts w:ascii="Segoe UI Light" w:hAnsi="Segoe UI Light"/>
          <w:sz w:val="16"/>
          <w:szCs w:val="16"/>
        </w:rPr>
        <w:t>Covid-19 krīzes laikā būtiski palielinājušās darba iespējas augstākās kvalifikācijas speciālistiem, bet samazinājies pieprasījums pēc vidējās un zemas kvalifikācijas darbaspēka. Kopumā darbaspēka pieprasījums (nodarbināto skaits) augstākās kvalifikācijas profesijās 2021.</w:t>
      </w:r>
      <w:r w:rsidR="09D1CF44" w:rsidRPr="4398C881">
        <w:rPr>
          <w:rFonts w:ascii="Segoe UI Light" w:hAnsi="Segoe UI Light"/>
          <w:sz w:val="16"/>
          <w:szCs w:val="16"/>
        </w:rPr>
        <w:t> </w:t>
      </w:r>
      <w:r w:rsidR="357CF0D3" w:rsidRPr="4398C881">
        <w:rPr>
          <w:rFonts w:ascii="Segoe UI Light" w:hAnsi="Segoe UI Light"/>
          <w:sz w:val="16"/>
          <w:szCs w:val="16"/>
        </w:rPr>
        <w:t>gadā pret 2019.</w:t>
      </w:r>
      <w:r w:rsidR="09D1CF44" w:rsidRPr="4398C881">
        <w:rPr>
          <w:rFonts w:ascii="Segoe UI Light" w:hAnsi="Segoe UI Light"/>
          <w:sz w:val="16"/>
          <w:szCs w:val="16"/>
        </w:rPr>
        <w:t> </w:t>
      </w:r>
      <w:r w:rsidR="357CF0D3" w:rsidRPr="4398C881">
        <w:rPr>
          <w:rFonts w:ascii="Segoe UI Light" w:hAnsi="Segoe UI Light"/>
          <w:sz w:val="16"/>
          <w:szCs w:val="16"/>
        </w:rPr>
        <w:t>gadu ir audzis par aptuveni 1 tūkstoti, tikmēr nodarbināto skaita kritums vērojams vidējās kvalifikācijas profesijās (par 10,0 tūkst.) un vienkāršās profesijās (par 8,5 tūkst.).</w:t>
      </w:r>
    </w:p>
    <w:p w14:paraId="0F26275D" w14:textId="23314AFC" w:rsidR="00502BC0" w:rsidRPr="00502BC0" w:rsidRDefault="00502BC0" w:rsidP="0033675C">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 w:val="center" w:pos="1985"/>
          <w:tab w:val="center" w:pos="6237"/>
        </w:tabs>
        <w:spacing w:after="60"/>
        <w:jc w:val="center"/>
        <w:rPr>
          <w:rFonts w:ascii="Segoe UI Light" w:hAnsi="Segoe UI Light"/>
          <w:b/>
          <w:sz w:val="16"/>
          <w:szCs w:val="16"/>
        </w:rPr>
      </w:pPr>
      <w:r w:rsidRPr="00502BC0">
        <w:rPr>
          <w:rFonts w:ascii="Segoe UI Light" w:hAnsi="Segoe UI Light"/>
          <w:b/>
          <w:sz w:val="16"/>
          <w:szCs w:val="16"/>
        </w:rPr>
        <w:t>Nodarbināto skaita izmaiņas</w:t>
      </w:r>
      <w:r w:rsidR="0033675C">
        <w:rPr>
          <w:rFonts w:ascii="Segoe UI Light" w:hAnsi="Segoe UI Light"/>
          <w:b/>
          <w:sz w:val="16"/>
          <w:szCs w:val="16"/>
        </w:rPr>
        <w:br/>
      </w:r>
      <w:r w:rsidR="0033675C" w:rsidRPr="00502BC0">
        <w:rPr>
          <w:rFonts w:ascii="Segoe UI Light" w:hAnsi="Segoe UI Light"/>
          <w:bCs/>
          <w:i/>
          <w:iCs/>
          <w:sz w:val="16"/>
          <w:szCs w:val="16"/>
        </w:rPr>
        <w:t>2021. gads pret 2019. gadu, tūkstošos</w:t>
      </w:r>
    </w:p>
    <w:p w14:paraId="7A39B0DE" w14:textId="4EED44E9" w:rsidR="00502BC0" w:rsidRPr="00502BC0" w:rsidRDefault="00502BC0" w:rsidP="0033675C">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 w:val="center" w:pos="1560"/>
          <w:tab w:val="center" w:pos="6096"/>
        </w:tabs>
        <w:spacing w:after="60"/>
        <w:jc w:val="both"/>
        <w:rPr>
          <w:rFonts w:ascii="Segoe UI Light" w:hAnsi="Segoe UI Light"/>
          <w:bCs/>
          <w:i/>
          <w:iCs/>
          <w:sz w:val="16"/>
          <w:szCs w:val="16"/>
        </w:rPr>
      </w:pPr>
      <w:r w:rsidRPr="0033675C">
        <w:rPr>
          <w:rFonts w:ascii="Segoe UI Light" w:hAnsi="Segoe UI Light"/>
          <w:bCs/>
          <w:i/>
          <w:iCs/>
          <w:sz w:val="16"/>
          <w:szCs w:val="16"/>
        </w:rPr>
        <w:tab/>
      </w:r>
      <w:r w:rsidR="0033675C" w:rsidRPr="0033675C">
        <w:rPr>
          <w:rFonts w:ascii="Segoe UI Light" w:hAnsi="Segoe UI Light"/>
          <w:bCs/>
          <w:i/>
          <w:iCs/>
          <w:sz w:val="16"/>
          <w:szCs w:val="16"/>
        </w:rPr>
        <w:t xml:space="preserve">pēc profesiju kvalifikācijas līmeņa </w:t>
      </w:r>
      <w:r w:rsidR="0033675C">
        <w:rPr>
          <w:rFonts w:ascii="Segoe UI Light" w:hAnsi="Segoe UI Light"/>
          <w:bCs/>
          <w:i/>
          <w:iCs/>
          <w:sz w:val="16"/>
          <w:szCs w:val="16"/>
        </w:rPr>
        <w:tab/>
      </w:r>
      <w:r w:rsidR="0033675C" w:rsidRPr="0033675C">
        <w:rPr>
          <w:rFonts w:ascii="Segoe UI Light" w:hAnsi="Segoe UI Light"/>
          <w:bCs/>
          <w:i/>
          <w:iCs/>
          <w:sz w:val="16"/>
          <w:szCs w:val="16"/>
        </w:rPr>
        <w:t>pēc izglītības līmeņa</w:t>
      </w:r>
    </w:p>
    <w:p w14:paraId="0FD0CE38" w14:textId="77777777" w:rsidR="00CE325A" w:rsidRPr="002A0144" w:rsidRDefault="00CE325A" w:rsidP="00CE325A">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bCs/>
          <w:sz w:val="16"/>
          <w:szCs w:val="16"/>
        </w:rPr>
      </w:pPr>
      <w:r w:rsidRPr="00502BC0">
        <w:rPr>
          <w:rFonts w:ascii="Segoe UI Light" w:hAnsi="Segoe UI Light"/>
          <w:b/>
          <w:noProof/>
          <w:sz w:val="14"/>
          <w:szCs w:val="14"/>
        </w:rPr>
        <w:drawing>
          <wp:inline distT="0" distB="0" distL="0" distR="0" wp14:anchorId="39B8DE0D" wp14:editId="73F83FCB">
            <wp:extent cx="1800000" cy="1440000"/>
            <wp:effectExtent l="0" t="0" r="0" b="8255"/>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rFonts w:ascii="Segoe UI Light" w:hAnsi="Segoe UI Light"/>
          <w:b/>
          <w:noProof/>
          <w:sz w:val="16"/>
          <w:szCs w:val="16"/>
        </w:rPr>
        <w:drawing>
          <wp:inline distT="0" distB="0" distL="0" distR="0" wp14:anchorId="1332A057" wp14:editId="0C18337B">
            <wp:extent cx="3960000" cy="1440000"/>
            <wp:effectExtent l="0" t="0" r="0" b="825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883E31B" w14:textId="2FCF5949" w:rsidR="00CE325A" w:rsidRPr="00502BC0" w:rsidRDefault="00CE325A"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before="120" w:after="120"/>
        <w:jc w:val="both"/>
        <w:rPr>
          <w:rFonts w:ascii="Segoe UI Light" w:hAnsi="Segoe UI Light"/>
          <w:bCs/>
          <w:sz w:val="12"/>
          <w:szCs w:val="12"/>
        </w:rPr>
      </w:pPr>
      <w:r w:rsidRPr="00502BC0">
        <w:rPr>
          <w:rFonts w:ascii="Segoe UI Light" w:hAnsi="Segoe UI Light"/>
          <w:bCs/>
          <w:sz w:val="12"/>
          <w:szCs w:val="12"/>
        </w:rPr>
        <w:t>Avots: CSP</w:t>
      </w:r>
    </w:p>
    <w:p w14:paraId="5BFB8904" w14:textId="6457B4A8" w:rsidR="0033675C" w:rsidRDefault="00496ED0"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Pr>
          <w:rFonts w:ascii="Segoe UI Light" w:hAnsi="Segoe UI Light"/>
          <w:sz w:val="16"/>
          <w:szCs w:val="16"/>
        </w:rPr>
        <w:br/>
      </w:r>
      <w:r w:rsidR="09D1CF44" w:rsidRPr="4398C881">
        <w:rPr>
          <w:rFonts w:ascii="Segoe UI Light" w:hAnsi="Segoe UI Light"/>
          <w:sz w:val="16"/>
          <w:szCs w:val="16"/>
        </w:rPr>
        <w:t>Vienlaikus izteikti pieaudzis darbaspēka pieprasījums pēc kvalificēta darbaspēka – 2021. gadā, salīdzinot ar 2019. gadu, nodarbināto skaits ar augstāko izglītību pieaudzis par 8,5 tūkst, bet ar arodizglītību un profesionālo vidējo izglītību par aptuveni 2,7 tūkst. Savukārt samazinājies darbaspēka pieprasījums ar zemu kvalifikāciju un bez profesionālām prasmēm. Nodarbināto skaits 2021. gadā, salīdzinot ar 2019. gadu, ar vispārējo vidējo izglītību ir samazinājies par 45,5 tūkst. jeb par aptuveni 1/5, bet ar pamatizglītību un zemāku izglītības līmenis – par 10 tūkstošiem.</w:t>
      </w:r>
    </w:p>
    <w:p w14:paraId="4D230E8D" w14:textId="77777777" w:rsidR="0033675C" w:rsidRPr="0033675C" w:rsidRDefault="0033675C"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sz w:val="4"/>
          <w:szCs w:val="4"/>
        </w:rPr>
      </w:pPr>
    </w:p>
    <w:p w14:paraId="087FF63A" w14:textId="77777777" w:rsidR="0033675C" w:rsidRPr="0033675C" w:rsidRDefault="0033675C">
      <w:pPr>
        <w:spacing w:after="0"/>
        <w:rPr>
          <w:rFonts w:ascii="Segoe UI Light" w:hAnsi="Segoe UI Light"/>
          <w:sz w:val="2"/>
          <w:szCs w:val="2"/>
        </w:rPr>
      </w:pPr>
      <w:r w:rsidRPr="0033675C">
        <w:rPr>
          <w:rFonts w:ascii="Segoe UI Light" w:hAnsi="Segoe UI Light"/>
          <w:sz w:val="2"/>
          <w:szCs w:val="2"/>
        </w:rPr>
        <w:br w:type="page"/>
      </w:r>
    </w:p>
    <w:p w14:paraId="5EACC2A7" w14:textId="77777777" w:rsidR="0033675C" w:rsidRPr="0033675C" w:rsidRDefault="0033675C" w:rsidP="0033675C">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sz w:val="16"/>
          <w:szCs w:val="16"/>
        </w:rPr>
      </w:pPr>
      <w:r w:rsidRPr="0033675C">
        <w:rPr>
          <w:rFonts w:ascii="Segoe UI Light" w:hAnsi="Segoe UI Light"/>
          <w:b/>
          <w:sz w:val="16"/>
          <w:szCs w:val="16"/>
        </w:rPr>
        <w:lastRenderedPageBreak/>
        <w:t>Ielikuma turpinājums</w:t>
      </w:r>
    </w:p>
    <w:p w14:paraId="6C52D40A" w14:textId="5FBA3E57" w:rsidR="007F4917" w:rsidRPr="00232506" w:rsidRDefault="357CF0D3"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 xml:space="preserve">Līdzīgas tendences darbaspēka pieprasījuma strukturālajās izmaiņās novērojamas lielākajā daļā ES valstu. </w:t>
      </w:r>
      <w:r w:rsidR="6627FD31" w:rsidRPr="4398C881">
        <w:rPr>
          <w:rFonts w:ascii="Segoe UI Light" w:hAnsi="Segoe UI Light"/>
          <w:sz w:val="16"/>
          <w:szCs w:val="16"/>
        </w:rPr>
        <w:t>2021.</w:t>
      </w:r>
      <w:r w:rsidR="2A1D5B4F" w:rsidRPr="4398C881">
        <w:rPr>
          <w:rFonts w:ascii="Segoe UI Light" w:hAnsi="Segoe UI Light"/>
          <w:sz w:val="16"/>
          <w:szCs w:val="16"/>
        </w:rPr>
        <w:t> </w:t>
      </w:r>
      <w:r w:rsidR="6627FD31" w:rsidRPr="4398C881">
        <w:rPr>
          <w:rFonts w:ascii="Segoe UI Light" w:hAnsi="Segoe UI Light"/>
          <w:sz w:val="16"/>
          <w:szCs w:val="16"/>
        </w:rPr>
        <w:t>gadā, salīdzinot ar 2019.</w:t>
      </w:r>
      <w:r w:rsidR="2A1D5B4F" w:rsidRPr="4398C881">
        <w:rPr>
          <w:rFonts w:ascii="Segoe UI Light" w:hAnsi="Segoe UI Light"/>
          <w:sz w:val="16"/>
          <w:szCs w:val="16"/>
        </w:rPr>
        <w:t> </w:t>
      </w:r>
      <w:r w:rsidR="6627FD31" w:rsidRPr="4398C881">
        <w:rPr>
          <w:rFonts w:ascii="Segoe UI Light" w:hAnsi="Segoe UI Light"/>
          <w:sz w:val="16"/>
          <w:szCs w:val="16"/>
        </w:rPr>
        <w:t>gadu, vidēji ES-27 augstākās kvalifikācijas profesijās nodarbināto īpatsvars pieaudzis par 2,0</w:t>
      </w:r>
      <w:r w:rsidR="2A1D5B4F" w:rsidRPr="4398C881">
        <w:rPr>
          <w:rFonts w:ascii="Segoe UI Light" w:hAnsi="Segoe UI Light"/>
          <w:sz w:val="16"/>
          <w:szCs w:val="16"/>
        </w:rPr>
        <w:t> </w:t>
      </w:r>
      <w:r w:rsidR="6627FD31" w:rsidRPr="4398C881">
        <w:rPr>
          <w:rFonts w:ascii="Segoe UI Light" w:hAnsi="Segoe UI Light"/>
          <w:sz w:val="16"/>
          <w:szCs w:val="16"/>
        </w:rPr>
        <w:t>procent</w:t>
      </w:r>
      <w:r w:rsidR="003505A6" w:rsidRPr="00232506">
        <w:rPr>
          <w:rFonts w:ascii="Segoe UI Light" w:hAnsi="Segoe UI Light"/>
          <w:bCs/>
          <w:sz w:val="16"/>
          <w:szCs w:val="16"/>
        </w:rPr>
        <w:softHyphen/>
      </w:r>
      <w:r w:rsidR="6627FD31" w:rsidRPr="4398C881">
        <w:rPr>
          <w:rFonts w:ascii="Segoe UI Light" w:hAnsi="Segoe UI Light"/>
          <w:sz w:val="16"/>
          <w:szCs w:val="16"/>
        </w:rPr>
        <w:t>punktiem. Tajā pašā laikā vidējās kvalifikācijas speciālistu īpatsvars samazinājies par 1,1 procentpunktiem. ES-27 visstraujākais kāpums augstākās kvalifikācijas profesiju īpatsvarā vērojams Portugālē (+6,2), Slovēnijā (+4,4), Īrijā (+3,8) un Nīderlandē (+3,7). Tāpat dažās valstīs pieaudzis nodarbināto skaita īpatsvars zemas kvalifikācijas profesijās – Slovēnijā (+2,8), Lietuvā (+0,8) un Rumānijā (+0,8).</w:t>
      </w:r>
    </w:p>
    <w:p w14:paraId="559303A2" w14:textId="77777777" w:rsidR="0033675C" w:rsidRPr="0033675C" w:rsidRDefault="0033675C"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center"/>
        <w:rPr>
          <w:rFonts w:ascii="Segoe UI Light" w:hAnsi="Segoe UI Light"/>
          <w:bCs/>
          <w:sz w:val="16"/>
          <w:szCs w:val="16"/>
        </w:rPr>
      </w:pPr>
      <w:r w:rsidRPr="0033675C">
        <w:rPr>
          <w:rFonts w:ascii="Segoe UI Light" w:hAnsi="Segoe UI Light"/>
          <w:b/>
          <w:sz w:val="16"/>
          <w:szCs w:val="16"/>
        </w:rPr>
        <w:t xml:space="preserve">Augstākās, vidējās un zemas kvalifikācijas profesijās nodarbināto Īpatsvara izmaiņas ES-27 valstīs </w:t>
      </w:r>
      <w:r w:rsidRPr="0033675C">
        <w:rPr>
          <w:rFonts w:ascii="Segoe UI Light" w:hAnsi="Segoe UI Light"/>
          <w:b/>
          <w:sz w:val="16"/>
          <w:szCs w:val="16"/>
        </w:rPr>
        <w:br/>
      </w:r>
      <w:r w:rsidRPr="0033675C">
        <w:rPr>
          <w:rFonts w:ascii="Segoe UI Light" w:hAnsi="Segoe UI Light"/>
          <w:bCs/>
          <w:sz w:val="16"/>
          <w:szCs w:val="16"/>
        </w:rPr>
        <w:t xml:space="preserve">2021. gadā, </w:t>
      </w:r>
      <w:proofErr w:type="spellStart"/>
      <w:r w:rsidRPr="0033675C">
        <w:rPr>
          <w:rFonts w:ascii="Segoe UI Light" w:hAnsi="Segoe UI Light"/>
          <w:bCs/>
          <w:sz w:val="16"/>
          <w:szCs w:val="16"/>
        </w:rPr>
        <w:t>salīdzninot</w:t>
      </w:r>
      <w:proofErr w:type="spellEnd"/>
      <w:r w:rsidRPr="0033675C">
        <w:rPr>
          <w:rFonts w:ascii="Segoe UI Light" w:hAnsi="Segoe UI Light"/>
          <w:bCs/>
          <w:sz w:val="16"/>
          <w:szCs w:val="16"/>
        </w:rPr>
        <w:t xml:space="preserve"> ar 2019. gadu, procentpunkti</w:t>
      </w:r>
    </w:p>
    <w:p w14:paraId="5938389B" w14:textId="77777777" w:rsidR="007F4917" w:rsidRDefault="007F4917" w:rsidP="00CA45A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60"/>
        <w:jc w:val="center"/>
        <w:rPr>
          <w:rFonts w:ascii="Segoe UI Light" w:hAnsi="Segoe UI Light"/>
          <w:b/>
          <w:sz w:val="16"/>
          <w:szCs w:val="16"/>
        </w:rPr>
      </w:pPr>
      <w:r>
        <w:rPr>
          <w:rFonts w:ascii="Segoe UI Light" w:hAnsi="Segoe UI Light"/>
          <w:b/>
          <w:noProof/>
          <w:sz w:val="16"/>
          <w:szCs w:val="16"/>
        </w:rPr>
        <w:drawing>
          <wp:inline distT="0" distB="0" distL="0" distR="0" wp14:anchorId="2D3F2A53" wp14:editId="71EAC543">
            <wp:extent cx="5760000" cy="2160000"/>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7728BAB" w14:textId="7FEE5B5C" w:rsidR="00CE325A" w:rsidRPr="004075CB" w:rsidRDefault="00CE325A"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bCs/>
          <w:sz w:val="12"/>
          <w:szCs w:val="12"/>
        </w:rPr>
      </w:pPr>
      <w:r w:rsidRPr="004075CB">
        <w:rPr>
          <w:rFonts w:ascii="Segoe UI Light" w:hAnsi="Segoe UI Light"/>
          <w:bCs/>
          <w:sz w:val="12"/>
          <w:szCs w:val="12"/>
        </w:rPr>
        <w:t xml:space="preserve">Avots: </w:t>
      </w:r>
      <w:proofErr w:type="spellStart"/>
      <w:r w:rsidRPr="004075CB">
        <w:rPr>
          <w:rFonts w:ascii="Segoe UI Light" w:hAnsi="Segoe UI Light"/>
          <w:bCs/>
          <w:sz w:val="12"/>
          <w:szCs w:val="12"/>
        </w:rPr>
        <w:t>Eurostat</w:t>
      </w:r>
      <w:proofErr w:type="spellEnd"/>
    </w:p>
    <w:p w14:paraId="7633DE3E" w14:textId="77777777" w:rsidR="008F563C" w:rsidRPr="008F563C" w:rsidRDefault="008F563C" w:rsidP="00496ED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0"/>
        <w:jc w:val="both"/>
        <w:rPr>
          <w:rFonts w:ascii="Segoe UI Light" w:hAnsi="Segoe UI Light"/>
          <w:bCs/>
          <w:sz w:val="8"/>
          <w:szCs w:val="8"/>
        </w:rPr>
      </w:pPr>
    </w:p>
    <w:p w14:paraId="69CA2867" w14:textId="13BA8C11" w:rsidR="00CE325A" w:rsidRPr="00D9797C" w:rsidRDefault="00496ED0" w:rsidP="00496ED0">
      <w:pPr>
        <w:jc w:val="both"/>
        <w:rPr>
          <w:b/>
          <w:bCs/>
          <w:szCs w:val="28"/>
        </w:rPr>
      </w:pPr>
      <w:r>
        <w:rPr>
          <w:b/>
          <w:bCs/>
          <w:szCs w:val="28"/>
        </w:rPr>
        <w:br/>
      </w:r>
      <w:r w:rsidR="00CE325A" w:rsidRPr="00D9797C">
        <w:rPr>
          <w:b/>
          <w:bCs/>
          <w:szCs w:val="28"/>
        </w:rPr>
        <w:t>Aizņemto darbavietu izmaiņas</w:t>
      </w:r>
    </w:p>
    <w:p w14:paraId="0B7CEC3C" w14:textId="3FEA4E1E" w:rsidR="00CE325A" w:rsidRPr="003B4CDA" w:rsidRDefault="357CF0D3" w:rsidP="00496ED0">
      <w:pPr>
        <w:jc w:val="both"/>
      </w:pPr>
      <w:r>
        <w:t>2011.-2019.</w:t>
      </w:r>
      <w:r w:rsidR="3C53C722">
        <w:t> </w:t>
      </w:r>
      <w:r>
        <w:t xml:space="preserve">gadā visās tautsaimniecības </w:t>
      </w:r>
      <w:proofErr w:type="spellStart"/>
      <w:r>
        <w:t>pamatnozarēs</w:t>
      </w:r>
      <w:proofErr w:type="spellEnd"/>
      <w:r>
        <w:t xml:space="preserve"> pieauga arī </w:t>
      </w:r>
      <w:r w:rsidRPr="4398C881">
        <w:rPr>
          <w:b/>
          <w:bCs/>
        </w:rPr>
        <w:t>aizņemto darbavietu</w:t>
      </w:r>
      <w:r>
        <w:t xml:space="preserve"> skaits, tomēr to skaits joprojām atpalika no </w:t>
      </w:r>
      <w:proofErr w:type="spellStart"/>
      <w:r>
        <w:t>pirmskrīzes</w:t>
      </w:r>
      <w:proofErr w:type="spellEnd"/>
      <w:r>
        <w:t xml:space="preserve"> līmeņa, izņemot lauksaimniecībā un komercpakalpojumos, kur aizņemto darbavietu skaits 2019. gadā pārsniedza 2007. gada līmeni. Tomēr Covid-19 krīzes ietekmē 2020.</w:t>
      </w:r>
      <w:r w:rsidR="3C53C722">
        <w:t> </w:t>
      </w:r>
      <w:r>
        <w:t>gadā aizņemto darbavietu skaits samazinājās, bet 2021.</w:t>
      </w:r>
      <w:r w:rsidR="09D1CF44">
        <w:t> </w:t>
      </w:r>
      <w:r>
        <w:t>gadā tas pieauga ļoti mēreni.</w:t>
      </w:r>
    </w:p>
    <w:p w14:paraId="04DB906C" w14:textId="77C83C40" w:rsidR="00CE325A" w:rsidRPr="003B4CDA" w:rsidRDefault="00CE325A" w:rsidP="00496ED0">
      <w:pPr>
        <w:pStyle w:val="BodyTextIndent"/>
        <w:numPr>
          <w:ilvl w:val="12"/>
          <w:numId w:val="0"/>
        </w:numPr>
        <w:spacing w:after="240"/>
        <w:jc w:val="right"/>
        <w:rPr>
          <w:color w:val="000000"/>
          <w:szCs w:val="26"/>
        </w:rPr>
      </w:pPr>
      <w:r w:rsidRPr="003B4CDA">
        <w:rPr>
          <w:color w:val="000000"/>
          <w:szCs w:val="26"/>
        </w:rPr>
        <w:t>2.2. attēls</w:t>
      </w:r>
    </w:p>
    <w:p w14:paraId="76403D6C" w14:textId="77777777" w:rsidR="00CE325A" w:rsidRPr="003B4CDA" w:rsidRDefault="00CE325A" w:rsidP="00CE325A">
      <w:pPr>
        <w:jc w:val="center"/>
        <w:rPr>
          <w:rFonts w:ascii="Segoe UI Light" w:hAnsi="Segoe UI Light"/>
          <w:bCs/>
          <w:i/>
          <w:color w:val="000000"/>
          <w:sz w:val="16"/>
          <w:szCs w:val="26"/>
        </w:rPr>
      </w:pPr>
      <w:r w:rsidRPr="003B4CDA">
        <w:rPr>
          <w:rFonts w:ascii="Segoe UI Light" w:hAnsi="Segoe UI Light"/>
          <w:b/>
          <w:bCs/>
          <w:color w:val="000000"/>
          <w:sz w:val="18"/>
          <w:szCs w:val="26"/>
        </w:rPr>
        <w:t>Aizņemto darbavietu skaits</w:t>
      </w:r>
      <w:r w:rsidRPr="003B4CDA">
        <w:rPr>
          <w:rFonts w:ascii="Segoe UI Light" w:hAnsi="Segoe UI Light"/>
          <w:b/>
          <w:bCs/>
          <w:color w:val="000000"/>
          <w:sz w:val="18"/>
          <w:szCs w:val="26"/>
        </w:rPr>
        <w:br/>
      </w:r>
      <w:r w:rsidRPr="003B4CDA">
        <w:rPr>
          <w:rFonts w:ascii="Segoe UI Light" w:hAnsi="Segoe UI Light"/>
          <w:bCs/>
          <w:i/>
          <w:color w:val="000000"/>
          <w:sz w:val="16"/>
          <w:szCs w:val="26"/>
        </w:rPr>
        <w:t>tūkstošos</w:t>
      </w:r>
    </w:p>
    <w:p w14:paraId="19814F4C" w14:textId="77777777" w:rsidR="00CE325A" w:rsidRPr="003B4CDA" w:rsidRDefault="00CE325A" w:rsidP="00CE325A">
      <w:pPr>
        <w:tabs>
          <w:tab w:val="left" w:pos="4643"/>
        </w:tabs>
        <w:jc w:val="right"/>
        <w:rPr>
          <w:rFonts w:cs="Segoe UI"/>
          <w:szCs w:val="20"/>
        </w:rPr>
      </w:pPr>
      <w:r w:rsidRPr="003B4CDA">
        <w:rPr>
          <w:noProof/>
          <w:szCs w:val="20"/>
          <w:lang w:eastAsia="lv-LV"/>
        </w:rPr>
        <w:drawing>
          <wp:inline distT="0" distB="0" distL="0" distR="0" wp14:anchorId="47EC63FF" wp14:editId="3B50B5B5">
            <wp:extent cx="2160000" cy="2159635"/>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3B4CDA">
        <w:rPr>
          <w:noProof/>
          <w:szCs w:val="20"/>
          <w:lang w:eastAsia="lv-LV"/>
        </w:rPr>
        <w:drawing>
          <wp:inline distT="0" distB="0" distL="0" distR="0" wp14:anchorId="6C43BEE9" wp14:editId="74DE3D29">
            <wp:extent cx="3600000" cy="21600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0CBE237" w14:textId="77777777" w:rsidR="00CE325A" w:rsidRPr="00496ED0" w:rsidRDefault="00CE325A" w:rsidP="00496ED0">
      <w:pPr>
        <w:jc w:val="both"/>
        <w:rPr>
          <w:sz w:val="12"/>
          <w:szCs w:val="12"/>
        </w:rPr>
      </w:pPr>
      <w:r w:rsidRPr="00496ED0">
        <w:rPr>
          <w:sz w:val="12"/>
          <w:szCs w:val="12"/>
        </w:rPr>
        <w:t>Avots: CSP</w:t>
      </w:r>
    </w:p>
    <w:p w14:paraId="156CB211" w14:textId="77777777" w:rsidR="004075CB" w:rsidRDefault="004075CB">
      <w:pPr>
        <w:spacing w:after="0"/>
      </w:pPr>
      <w:r>
        <w:br w:type="page"/>
      </w:r>
    </w:p>
    <w:p w14:paraId="4AF77622" w14:textId="20C089A1" w:rsidR="004075CB" w:rsidRPr="003B4CDA" w:rsidRDefault="004075CB" w:rsidP="00496ED0">
      <w:pPr>
        <w:jc w:val="both"/>
      </w:pPr>
      <w:r>
        <w:lastRenderedPageBreak/>
        <w:t>Joprojām darbavietu skaits turpina strauji pieaugt privātajā sektorā. Pēc krituma finanšu krīzes laikā par 30%, laika posmā no 2011.-2021. gadam darbavietu skaits privātajā sektorā palielinājies par 23 procentiem.</w:t>
      </w:r>
    </w:p>
    <w:p w14:paraId="127BC69A" w14:textId="77777777" w:rsidR="004075CB" w:rsidRPr="003B4CDA" w:rsidRDefault="004075CB" w:rsidP="00496ED0">
      <w:pPr>
        <w:jc w:val="both"/>
      </w:pPr>
      <w:r>
        <w:t>Vienlaikus salīdzinoši lēns darbavietu pieaugums ir bijis sabiedriskajā sektorā, kur aizņemto darbavietu skaits laika posmā no 2011. Līdz 2021. gadam audzis vien par 0,7%. Straujāks aizņemto darbavietu pieaugums sabiedriskajā sektorā bija vērojams 2014. gadā, kad tas palielinājās par 2,6%, salīdzinot ar 2013. gadu.</w:t>
      </w:r>
    </w:p>
    <w:p w14:paraId="317ECA07" w14:textId="77777777" w:rsidR="004075CB" w:rsidRDefault="004075CB" w:rsidP="00496ED0">
      <w:pPr>
        <w:jc w:val="both"/>
      </w:pPr>
      <w:r>
        <w:t xml:space="preserve">Nozaru griezumā, laika posmā no 2011. līdz 2021. gadam, darbavietu skaits palielinājies visās nozarēs, izņemot finanšu un apdrošināšanas darbībās, </w:t>
      </w:r>
      <w:bookmarkStart w:id="30" w:name="_Hlk100523848"/>
      <w:r>
        <w:t>kur darbavietu skaits samazinājās par 4,1 tūkst. jeb 20,5%</w:t>
      </w:r>
      <w:bookmarkEnd w:id="30"/>
      <w:r>
        <w:t xml:space="preserve"> un pārējā rūpniecībā, kur darbavietu skaits samazinājās par 1,4 tūkst. jeb 7%. Straujākais aizņemto darbavietu pieaugums bija vērojams veselības aprūpē, kur tas pieauga par 23 tūkst. jeb 43,3 procentiem.</w:t>
      </w:r>
    </w:p>
    <w:p w14:paraId="78B21605" w14:textId="2C598FBD" w:rsidR="00CE325A" w:rsidRPr="003B4CDA" w:rsidRDefault="00CE325A" w:rsidP="00496ED0">
      <w:pPr>
        <w:jc w:val="both"/>
        <w:rPr>
          <w:color w:val="000000"/>
          <w:szCs w:val="20"/>
        </w:rPr>
      </w:pPr>
      <w:r w:rsidRPr="003B4CDA">
        <w:rPr>
          <w:szCs w:val="20"/>
        </w:rPr>
        <w:t xml:space="preserve">Būtisks aizņemto darbavietu kāpums bija vērojams arī informācijas un komunikācijas pakalpojumos, </w:t>
      </w:r>
      <w:r>
        <w:rPr>
          <w:szCs w:val="20"/>
        </w:rPr>
        <w:t xml:space="preserve">būvniecībā, apstrādes rūpniecībā, </w:t>
      </w:r>
      <w:r w:rsidRPr="003B4CDA">
        <w:rPr>
          <w:szCs w:val="20"/>
        </w:rPr>
        <w:t>profesionālos,</w:t>
      </w:r>
      <w:r>
        <w:rPr>
          <w:szCs w:val="20"/>
        </w:rPr>
        <w:t xml:space="preserve"> </w:t>
      </w:r>
      <w:r w:rsidRPr="003B4CDA">
        <w:rPr>
          <w:szCs w:val="20"/>
        </w:rPr>
        <w:t xml:space="preserve">zinātniskos un tehniskos pakalpojumos </w:t>
      </w:r>
      <w:r w:rsidRPr="003B4CDA">
        <w:t>un</w:t>
      </w:r>
      <w:r w:rsidRPr="003B4CDA">
        <w:rPr>
          <w:szCs w:val="20"/>
        </w:rPr>
        <w:t xml:space="preserve"> administratīvo dienestu darbībā. Mērenāks pieaugums bija izmitināšanas un ēdināšanas pakalpojumos, </w:t>
      </w:r>
      <w:r>
        <w:rPr>
          <w:szCs w:val="20"/>
        </w:rPr>
        <w:t>lauksaim</w:t>
      </w:r>
      <w:r w:rsidRPr="003B4CDA">
        <w:rPr>
          <w:szCs w:val="20"/>
        </w:rPr>
        <w:t>niecībā</w:t>
      </w:r>
      <w:r>
        <w:rPr>
          <w:szCs w:val="20"/>
        </w:rPr>
        <w:t xml:space="preserve"> un</w:t>
      </w:r>
      <w:r w:rsidRPr="003B4CDA">
        <w:rPr>
          <w:szCs w:val="20"/>
        </w:rPr>
        <w:t xml:space="preserve"> tirdzniecībā</w:t>
      </w:r>
      <w:r>
        <w:rPr>
          <w:szCs w:val="20"/>
        </w:rPr>
        <w:t>.</w:t>
      </w:r>
      <w:r w:rsidRPr="003B4CDA">
        <w:rPr>
          <w:szCs w:val="20"/>
        </w:rPr>
        <w:t xml:space="preserve"> Vienlaikus zemākais darbaspēka pieprasījuma pieaugums bija ieguves rūpniecībā un izglītībā. Savukārt valsts pārvaldē un aizsardzībā un </w:t>
      </w:r>
      <w:r>
        <w:rPr>
          <w:szCs w:val="20"/>
        </w:rPr>
        <w:t>citos pakalpojumos</w:t>
      </w:r>
      <w:r w:rsidRPr="003B4CDA">
        <w:rPr>
          <w:szCs w:val="20"/>
        </w:rPr>
        <w:t xml:space="preserve"> darbaspēka pieprasījums praktiski saglabājās nemainīgs.</w:t>
      </w:r>
    </w:p>
    <w:p w14:paraId="6303A6F0" w14:textId="77777777" w:rsidR="00CE325A" w:rsidRPr="004075CB" w:rsidRDefault="00CE325A" w:rsidP="004075CB">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jc w:val="right"/>
        <w:rPr>
          <w:rFonts w:ascii="Segoe UI Light" w:hAnsi="Segoe UI Light"/>
          <w:b/>
          <w:sz w:val="16"/>
          <w:szCs w:val="16"/>
        </w:rPr>
      </w:pPr>
      <w:r w:rsidRPr="004075CB">
        <w:rPr>
          <w:rFonts w:ascii="Segoe UI Light" w:hAnsi="Segoe UI Light"/>
          <w:b/>
          <w:sz w:val="16"/>
          <w:szCs w:val="16"/>
        </w:rPr>
        <w:t>Nodarbināto iedzīvotāju un aizņemto darba vietu jēdzienu skaidrojums</w:t>
      </w:r>
    </w:p>
    <w:p w14:paraId="0914E95A"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
          <w:sz w:val="16"/>
          <w:szCs w:val="18"/>
        </w:rPr>
      </w:pPr>
      <w:r w:rsidRPr="003B4CDA">
        <w:rPr>
          <w:rFonts w:ascii="Segoe UI Light" w:hAnsi="Segoe UI Light"/>
          <w:b/>
          <w:sz w:val="16"/>
          <w:szCs w:val="18"/>
        </w:rPr>
        <w:t>Nodarbinātie iedzīvotāji</w:t>
      </w:r>
    </w:p>
    <w:p w14:paraId="0248C524"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Saskaņā ar Starptautiskās Darba organizācijas (SDO) izveidotajām definīcijām nodarbinātie iedzīvotāji ir visas tās personas, kuras pārskata nedēļā veica jebkādu darbu par samaksu naudā vai par atlīdzību precēs vai pakalpojumos.</w:t>
      </w:r>
    </w:p>
    <w:p w14:paraId="3CBFA655"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 xml:space="preserve">Par nodarbinātajiem uzskata arī </w:t>
      </w:r>
      <w:proofErr w:type="spellStart"/>
      <w:r w:rsidRPr="003B4CDA">
        <w:rPr>
          <w:rFonts w:ascii="Segoe UI Light" w:hAnsi="Segoe UI Light"/>
          <w:sz w:val="16"/>
          <w:szCs w:val="18"/>
        </w:rPr>
        <w:t>pašnodarbinātās</w:t>
      </w:r>
      <w:proofErr w:type="spellEnd"/>
      <w:r w:rsidRPr="003B4CDA">
        <w:rPr>
          <w:rFonts w:ascii="Segoe UI Light" w:hAnsi="Segoe UI Light"/>
          <w:sz w:val="16"/>
          <w:szCs w:val="18"/>
        </w:rPr>
        <w:t xml:space="preserve"> personas uzņēmējdarbībā, lauku saimniecībā vai profesionālajā praksē. Personas, kuras atrodas pagaidu prombūtnē no darba grūtniecības vai dzemdību atvaļinājuma dēļ, kā arī bērna kopšanas atvaļinājumā, uzskata par nodarbinātām, ja pēc atvaļinājuma beigām personai ir garantija atgriezties iepriekšējā darba vietā. Nodarbināto skaitā ietver arī tās personas, kuras strādā savā lauku saimniecībā (zemnieku vai piemājas), lai saražotu produkciju pašu patēriņam vai pārdošanai.</w:t>
      </w:r>
    </w:p>
    <w:p w14:paraId="1F5CE3D3" w14:textId="0CDD56B8" w:rsidR="00CE325A" w:rsidRPr="003B4CDA" w:rsidRDefault="357CF0D3" w:rsidP="4398C88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Informācija par Latvijas iedzīvotāju ekonomisko aktivitāti (nodarbinātību un bezdarbu) iegūta no Latvijas nepārtrauktā DSA.</w:t>
      </w:r>
    </w:p>
    <w:p w14:paraId="499CD112" w14:textId="3B1E9ED8" w:rsidR="00CE325A" w:rsidRDefault="357CF0D3" w:rsidP="4398C881">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 xml:space="preserve">Latvijas DSA informācija par ekonomisko aktivitāti (tai skaitā nodarbinātību) saskaņā ar metodoloģiju tiek jautāta personām vecumā no 15 līdz 74 gadiem. Datu starptautiskai salīdzināmībai daļa nodarbinātības rādītāju tiek aprēķināti arī par vecuma grupu 15-64 gadi. Starptautiski vecuma grupa 15–64 gadi ir pieņemta kā darbspējas vecums, ko datu publicēšanai izmanto gan </w:t>
      </w:r>
      <w:proofErr w:type="spellStart"/>
      <w:r w:rsidRPr="4398C881">
        <w:rPr>
          <w:rFonts w:ascii="Segoe UI Light" w:hAnsi="Segoe UI Light"/>
          <w:sz w:val="16"/>
          <w:szCs w:val="16"/>
        </w:rPr>
        <w:t>Eurostat</w:t>
      </w:r>
      <w:proofErr w:type="spellEnd"/>
      <w:r w:rsidRPr="4398C881">
        <w:rPr>
          <w:rFonts w:ascii="Segoe UI Light" w:hAnsi="Segoe UI Light"/>
          <w:sz w:val="16"/>
          <w:szCs w:val="16"/>
        </w:rPr>
        <w:t xml:space="preserve">, gan SDO, līdz ar to arī Latvijā galvenie ekonomisko aktivitāti raksturojošie rādītāji ir publicēti par divām vecuma grupām: 15-64 </w:t>
      </w:r>
      <w:proofErr w:type="spellStart"/>
      <w:r w:rsidR="004075CB">
        <w:rPr>
          <w:rFonts w:ascii="Segoe UI Light" w:hAnsi="Segoe UI Light"/>
          <w:sz w:val="16"/>
          <w:szCs w:val="16"/>
        </w:rPr>
        <w:t>g.v</w:t>
      </w:r>
      <w:proofErr w:type="spellEnd"/>
      <w:r w:rsidR="004075CB">
        <w:rPr>
          <w:rFonts w:ascii="Segoe UI Light" w:hAnsi="Segoe UI Light"/>
          <w:sz w:val="16"/>
          <w:szCs w:val="16"/>
        </w:rPr>
        <w:t xml:space="preserve">. </w:t>
      </w:r>
      <w:r w:rsidRPr="4398C881">
        <w:rPr>
          <w:rFonts w:ascii="Segoe UI Light" w:hAnsi="Segoe UI Light"/>
          <w:sz w:val="16"/>
          <w:szCs w:val="16"/>
        </w:rPr>
        <w:t>un 15-74</w:t>
      </w:r>
      <w:r w:rsidR="004075CB">
        <w:rPr>
          <w:rFonts w:ascii="Segoe UI Light" w:hAnsi="Segoe UI Light"/>
          <w:sz w:val="16"/>
          <w:szCs w:val="16"/>
        </w:rPr>
        <w:t xml:space="preserve"> </w:t>
      </w:r>
      <w:proofErr w:type="spellStart"/>
      <w:r w:rsidR="004075CB">
        <w:rPr>
          <w:rFonts w:ascii="Segoe UI Light" w:hAnsi="Segoe UI Light"/>
          <w:sz w:val="16"/>
          <w:szCs w:val="16"/>
        </w:rPr>
        <w:t>g.v</w:t>
      </w:r>
      <w:proofErr w:type="spellEnd"/>
      <w:r w:rsidR="004075CB">
        <w:rPr>
          <w:rFonts w:ascii="Segoe UI Light" w:hAnsi="Segoe UI Light"/>
          <w:sz w:val="16"/>
          <w:szCs w:val="16"/>
        </w:rPr>
        <w:t>.</w:t>
      </w:r>
    </w:p>
    <w:p w14:paraId="20AE48CF" w14:textId="77777777" w:rsidR="00957F8F" w:rsidRPr="003B4CDA" w:rsidRDefault="00957F8F"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p>
    <w:p w14:paraId="4032AD32"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b/>
          <w:sz w:val="16"/>
          <w:szCs w:val="18"/>
        </w:rPr>
      </w:pPr>
      <w:r w:rsidRPr="003B4CDA">
        <w:rPr>
          <w:rFonts w:ascii="Segoe UI Light" w:hAnsi="Segoe UI Light"/>
          <w:b/>
          <w:sz w:val="16"/>
          <w:szCs w:val="18"/>
        </w:rPr>
        <w:t>Aizņemtās darba vietas</w:t>
      </w:r>
    </w:p>
    <w:p w14:paraId="732B26BC"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Aizņemta darba vieta ir algota darba vieta, kurā darbinieks ir pieņemts darbā.</w:t>
      </w:r>
      <w:r w:rsidRPr="003B4CDA">
        <w:rPr>
          <w:rFonts w:ascii="Segoe UI Light" w:hAnsi="Segoe UI Light"/>
          <w:sz w:val="18"/>
        </w:rPr>
        <w:t xml:space="preserve"> </w:t>
      </w:r>
      <w:r w:rsidRPr="003B4CDA">
        <w:rPr>
          <w:rFonts w:ascii="Segoe UI Light" w:hAnsi="Segoe UI Light"/>
          <w:sz w:val="16"/>
          <w:szCs w:val="18"/>
        </w:rPr>
        <w:t xml:space="preserve">Aizņemto darba vietu skaitā tiek ietverti pilna un nepilna darba laika darbinieki, par kuriem saskaņā ar Darba likumu ir jāveic darba laika uzskaite (ieskaitot tos, kuriem ir uzņēmuma līgums, bet darba laika uzskaite tiek veikta un visus nodokļus maksā darba devējs). </w:t>
      </w:r>
      <w:r w:rsidRPr="003B4CDA">
        <w:rPr>
          <w:rFonts w:ascii="Segoe UI Light" w:hAnsi="Segoe UI Light"/>
          <w:sz w:val="16"/>
          <w:szCs w:val="18"/>
          <w:u w:val="single"/>
        </w:rPr>
        <w:t>Viens cilvēks var būt nodarbināts vairākās darbavietās.</w:t>
      </w:r>
    </w:p>
    <w:p w14:paraId="5979F6C0"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16"/>
          <w:szCs w:val="18"/>
        </w:rPr>
      </w:pPr>
      <w:r w:rsidRPr="003B4CDA">
        <w:rPr>
          <w:rFonts w:ascii="Segoe UI Light" w:hAnsi="Segoe UI Light"/>
          <w:sz w:val="16"/>
          <w:szCs w:val="18"/>
        </w:rPr>
        <w:t xml:space="preserve">Aizņemto darba vietu dati tiek iegūti, veicot uzņēmumu, centrālo valdības institūciju, pašvaldību un to institūciju un institucionālo vienību </w:t>
      </w:r>
      <w:proofErr w:type="spellStart"/>
      <w:r w:rsidRPr="003B4CDA">
        <w:rPr>
          <w:rFonts w:ascii="Segoe UI Light" w:hAnsi="Segoe UI Light"/>
          <w:sz w:val="16"/>
          <w:szCs w:val="18"/>
        </w:rPr>
        <w:t>apsekojumu</w:t>
      </w:r>
      <w:proofErr w:type="spellEnd"/>
      <w:r w:rsidRPr="003B4CDA">
        <w:rPr>
          <w:rFonts w:ascii="Segoe UI Light" w:hAnsi="Segoe UI Light"/>
          <w:sz w:val="16"/>
          <w:szCs w:val="18"/>
        </w:rPr>
        <w:t>. Informācija tiek iegūta, apkopojot CSP izstrādātās ceturkšņa statistikas pārskata veidlapas par komersantu, iestāžu, nodibinājumu, biedrību un fondu darbību datus un administratīvos datus.</w:t>
      </w:r>
      <w:r w:rsidRPr="003B4CDA">
        <w:rPr>
          <w:rFonts w:ascii="Segoe UI Light" w:hAnsi="Segoe UI Light"/>
          <w:sz w:val="18"/>
        </w:rPr>
        <w:t xml:space="preserve"> </w:t>
      </w:r>
      <w:r w:rsidRPr="003B4CDA">
        <w:rPr>
          <w:rFonts w:ascii="Segoe UI Light" w:hAnsi="Segoe UI Light"/>
          <w:sz w:val="16"/>
          <w:szCs w:val="18"/>
        </w:rPr>
        <w:t>Administratīvie dati tiek iegūti CSP aprēķinu rezultātā no Valsts ieņēmuma dienesta datiem.</w:t>
      </w:r>
    </w:p>
    <w:p w14:paraId="36FC18B7" w14:textId="77777777" w:rsidR="00CE325A" w:rsidRPr="003B4CDA" w:rsidRDefault="00CE325A" w:rsidP="00CE325A">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tabs>
          <w:tab w:val="left" w:pos="0"/>
        </w:tabs>
        <w:spacing w:after="60"/>
        <w:jc w:val="both"/>
        <w:rPr>
          <w:rFonts w:ascii="Segoe UI Light" w:hAnsi="Segoe UI Light"/>
          <w:sz w:val="8"/>
          <w:szCs w:val="8"/>
        </w:rPr>
      </w:pPr>
    </w:p>
    <w:p w14:paraId="004CECB7" w14:textId="35FFC7FD" w:rsidR="00CE325A" w:rsidRPr="003B4CDA" w:rsidRDefault="00CE325A" w:rsidP="00957F8F">
      <w:pPr>
        <w:spacing w:after="0"/>
        <w:jc w:val="right"/>
        <w:rPr>
          <w:color w:val="000000"/>
          <w:szCs w:val="26"/>
        </w:rPr>
      </w:pPr>
    </w:p>
    <w:p w14:paraId="4B90CFFE" w14:textId="77777777" w:rsidR="00957F8F" w:rsidRDefault="00957F8F">
      <w:pPr>
        <w:spacing w:after="0"/>
        <w:rPr>
          <w:color w:val="000000"/>
          <w:szCs w:val="26"/>
        </w:rPr>
      </w:pPr>
      <w:r>
        <w:rPr>
          <w:color w:val="000000"/>
          <w:szCs w:val="26"/>
        </w:rPr>
        <w:br w:type="page"/>
      </w:r>
    </w:p>
    <w:p w14:paraId="2221DFDB" w14:textId="71BBC566" w:rsidR="00CE325A" w:rsidRPr="003B4CDA" w:rsidRDefault="00CE325A" w:rsidP="00CE325A">
      <w:pPr>
        <w:jc w:val="right"/>
        <w:rPr>
          <w:color w:val="000000"/>
          <w:szCs w:val="26"/>
        </w:rPr>
      </w:pPr>
      <w:r w:rsidRPr="003B4CDA">
        <w:rPr>
          <w:color w:val="000000"/>
          <w:szCs w:val="26"/>
        </w:rPr>
        <w:lastRenderedPageBreak/>
        <w:t>2.3. attēls</w:t>
      </w:r>
    </w:p>
    <w:p w14:paraId="089590F5" w14:textId="77777777" w:rsidR="00CE325A" w:rsidRPr="003B4CDA" w:rsidRDefault="00CE325A" w:rsidP="00496ED0">
      <w:pPr>
        <w:spacing w:after="0"/>
        <w:jc w:val="center"/>
        <w:rPr>
          <w:rFonts w:ascii="Segoe UI Light" w:hAnsi="Segoe UI Light"/>
          <w:i/>
          <w:sz w:val="16"/>
        </w:rPr>
      </w:pPr>
      <w:r w:rsidRPr="003B4CDA">
        <w:rPr>
          <w:rFonts w:ascii="Segoe UI Light" w:hAnsi="Segoe UI Light"/>
          <w:b/>
          <w:bCs/>
          <w:sz w:val="18"/>
          <w:szCs w:val="26"/>
        </w:rPr>
        <w:t>Aizņemtās darbavietas pa nozarēm</w:t>
      </w:r>
      <w:r w:rsidRPr="003B4CDA">
        <w:rPr>
          <w:rFonts w:ascii="Segoe UI Light" w:hAnsi="Segoe UI Light"/>
          <w:b/>
          <w:bCs/>
          <w:sz w:val="18"/>
          <w:szCs w:val="26"/>
        </w:rPr>
        <w:br/>
      </w:r>
      <w:r w:rsidRPr="003B4CDA">
        <w:rPr>
          <w:rFonts w:ascii="Segoe UI Light" w:hAnsi="Segoe UI Light"/>
          <w:i/>
          <w:sz w:val="16"/>
        </w:rPr>
        <w:t>struktūra 20</w:t>
      </w:r>
      <w:r>
        <w:rPr>
          <w:rFonts w:ascii="Segoe UI Light" w:hAnsi="Segoe UI Light"/>
          <w:i/>
          <w:sz w:val="16"/>
        </w:rPr>
        <w:t>21</w:t>
      </w:r>
      <w:r w:rsidRPr="003B4CDA">
        <w:rPr>
          <w:rFonts w:ascii="Segoe UI Light" w:hAnsi="Segoe UI Light"/>
          <w:i/>
          <w:sz w:val="16"/>
        </w:rPr>
        <w:t>. gadā, procentos</w:t>
      </w:r>
    </w:p>
    <w:p w14:paraId="6CE6B1EF" w14:textId="77777777" w:rsidR="00CE325A" w:rsidRPr="003B4CDA" w:rsidRDefault="00CE325A" w:rsidP="00CE325A">
      <w:pPr>
        <w:spacing w:after="0"/>
        <w:jc w:val="center"/>
        <w:rPr>
          <w:rFonts w:eastAsiaTheme="minorHAnsi" w:cs="Segoe UI"/>
          <w:szCs w:val="20"/>
        </w:rPr>
      </w:pPr>
      <w:r w:rsidRPr="003B4CDA">
        <w:rPr>
          <w:noProof/>
          <w:lang w:eastAsia="lv-LV"/>
        </w:rPr>
        <mc:AlternateContent>
          <mc:Choice Requires="cx1">
            <w:drawing>
              <wp:inline distT="0" distB="0" distL="0" distR="0" wp14:anchorId="5E6E6A83" wp14:editId="61C252A9">
                <wp:extent cx="5760085" cy="8324698"/>
                <wp:effectExtent l="0" t="0" r="0" b="0"/>
                <wp:docPr id="357" name="Chart 35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4"/>
                  </a:graphicData>
                </a:graphic>
              </wp:inline>
            </w:drawing>
          </mc:Choice>
          <mc:Fallback>
            <w:drawing>
              <wp:inline distT="0" distB="0" distL="0" distR="0" wp14:anchorId="5E6E6A83" wp14:editId="61C252A9">
                <wp:extent cx="5760085" cy="8324698"/>
                <wp:effectExtent l="0" t="0" r="0" b="0"/>
                <wp:docPr id="357" name="Chart 35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57" name="Chart 357"/>
                        <pic:cNvPicPr>
                          <a:picLocks noGrp="1" noRot="1" noChangeAspect="1" noMove="1" noResize="1" noEditPoints="1" noAdjustHandles="1" noChangeArrowheads="1" noChangeShapeType="1"/>
                        </pic:cNvPicPr>
                      </pic:nvPicPr>
                      <pic:blipFill>
                        <a:blip r:embed="rId65"/>
                        <a:stretch>
                          <a:fillRect/>
                        </a:stretch>
                      </pic:blipFill>
                      <pic:spPr>
                        <a:xfrm>
                          <a:off x="0" y="0"/>
                          <a:ext cx="5760085" cy="8324215"/>
                        </a:xfrm>
                        <a:prstGeom prst="rect">
                          <a:avLst/>
                        </a:prstGeom>
                      </pic:spPr>
                    </pic:pic>
                  </a:graphicData>
                </a:graphic>
              </wp:inline>
            </w:drawing>
          </mc:Fallback>
        </mc:AlternateContent>
      </w:r>
    </w:p>
    <w:p w14:paraId="69452119" w14:textId="77777777" w:rsidR="00CE325A" w:rsidRPr="004075CB" w:rsidRDefault="00CE325A" w:rsidP="008F563C">
      <w:pPr>
        <w:spacing w:after="120"/>
        <w:ind w:firstLine="142"/>
        <w:jc w:val="both"/>
        <w:rPr>
          <w:sz w:val="12"/>
          <w:szCs w:val="12"/>
        </w:rPr>
      </w:pPr>
      <w:r w:rsidRPr="004075CB">
        <w:rPr>
          <w:sz w:val="12"/>
          <w:szCs w:val="12"/>
        </w:rPr>
        <w:t>Avots: CSP</w:t>
      </w:r>
    </w:p>
    <w:p w14:paraId="1C139EEA" w14:textId="45035E45" w:rsidR="00CE325A" w:rsidRPr="004075CB" w:rsidRDefault="00CE325A" w:rsidP="00496ED0">
      <w:pPr>
        <w:jc w:val="both"/>
      </w:pPr>
      <w:r w:rsidRPr="4398C881">
        <w:rPr>
          <w:color w:val="000000"/>
          <w:spacing w:val="-2"/>
        </w:rPr>
        <w:br w:type="page"/>
      </w:r>
      <w:r w:rsidR="357CF0D3" w:rsidRPr="004075CB">
        <w:rPr>
          <w:color w:val="000000"/>
        </w:rPr>
        <w:lastRenderedPageBreak/>
        <w:t xml:space="preserve">Lai gan no 2011. līdz 2021. gadam lauksaimniecībā nodarbināto skaits būtiski samazinājās, aizņemto darbavietu skaits nozarē pieauga, kas skaidrojams ar atšķirīgu datu uzskaites sistēmu. </w:t>
      </w:r>
    </w:p>
    <w:p w14:paraId="37C440E3" w14:textId="77777777" w:rsidR="00CE325A" w:rsidRPr="003B4CDA" w:rsidRDefault="00CE325A" w:rsidP="00CE325A">
      <w:pPr>
        <w:jc w:val="right"/>
        <w:rPr>
          <w:szCs w:val="20"/>
        </w:rPr>
      </w:pPr>
      <w:r w:rsidRPr="003B4CDA">
        <w:rPr>
          <w:szCs w:val="20"/>
        </w:rPr>
        <w:t>2.4. attēls</w:t>
      </w:r>
    </w:p>
    <w:p w14:paraId="7EFA220C" w14:textId="77777777" w:rsidR="00CE325A" w:rsidRPr="003B4CDA" w:rsidRDefault="00CE325A" w:rsidP="00496ED0">
      <w:pPr>
        <w:tabs>
          <w:tab w:val="center" w:pos="1560"/>
          <w:tab w:val="center" w:pos="3261"/>
          <w:tab w:val="center" w:pos="4536"/>
          <w:tab w:val="center" w:pos="5670"/>
          <w:tab w:val="center" w:pos="8080"/>
        </w:tabs>
        <w:spacing w:after="0"/>
        <w:jc w:val="center"/>
        <w:rPr>
          <w:rFonts w:ascii="Segoe UI Light" w:hAnsi="Segoe UI Light"/>
          <w:bCs/>
          <w:i/>
          <w:sz w:val="16"/>
          <w:szCs w:val="20"/>
        </w:rPr>
      </w:pPr>
      <w:r w:rsidRPr="003B4CDA">
        <w:rPr>
          <w:rFonts w:ascii="Segoe UI Light" w:hAnsi="Segoe UI Light"/>
          <w:b/>
          <w:bCs/>
          <w:sz w:val="18"/>
          <w:szCs w:val="24"/>
        </w:rPr>
        <w:t>Aizņemto darbavietu skaita izmaiņas</w:t>
      </w:r>
      <w:r w:rsidRPr="003B4CDA">
        <w:rPr>
          <w:rFonts w:ascii="Segoe UI Light" w:hAnsi="Segoe UI Light"/>
          <w:b/>
          <w:bCs/>
          <w:sz w:val="18"/>
          <w:szCs w:val="24"/>
        </w:rPr>
        <w:br/>
      </w:r>
      <w:r w:rsidRPr="003B4CDA">
        <w:rPr>
          <w:rFonts w:ascii="Segoe UI Light" w:hAnsi="Segoe UI Light"/>
          <w:bCs/>
          <w:i/>
          <w:sz w:val="16"/>
          <w:szCs w:val="20"/>
        </w:rPr>
        <w:tab/>
        <w:t>20</w:t>
      </w:r>
      <w:r>
        <w:rPr>
          <w:rFonts w:ascii="Segoe UI Light" w:hAnsi="Segoe UI Light"/>
          <w:bCs/>
          <w:i/>
          <w:sz w:val="16"/>
          <w:szCs w:val="20"/>
        </w:rPr>
        <w:t>21</w:t>
      </w:r>
      <w:r w:rsidRPr="003B4CDA">
        <w:rPr>
          <w:rFonts w:ascii="Segoe UI Light" w:hAnsi="Segoe UI Light"/>
          <w:bCs/>
          <w:i/>
          <w:sz w:val="16"/>
          <w:szCs w:val="20"/>
        </w:rPr>
        <w:t>. gads salīdzinājumā ar 2010. gadu, tūkstošos</w:t>
      </w:r>
    </w:p>
    <w:p w14:paraId="5CF9218A" w14:textId="77777777" w:rsidR="00CE325A" w:rsidRPr="003B4CDA" w:rsidRDefault="00CE325A" w:rsidP="00CE325A">
      <w:pPr>
        <w:tabs>
          <w:tab w:val="center" w:pos="1560"/>
          <w:tab w:val="center" w:pos="3261"/>
          <w:tab w:val="center" w:pos="4536"/>
          <w:tab w:val="center" w:pos="5670"/>
          <w:tab w:val="center" w:pos="8080"/>
        </w:tabs>
        <w:jc w:val="center"/>
        <w:rPr>
          <w:rFonts w:cs="Segoe UI"/>
          <w:sz w:val="14"/>
        </w:rPr>
      </w:pPr>
      <w:r w:rsidRPr="003B4CDA">
        <w:rPr>
          <w:noProof/>
          <w:sz w:val="12"/>
          <w:lang w:eastAsia="lv-LV"/>
        </w:rPr>
        <w:drawing>
          <wp:inline distT="0" distB="0" distL="0" distR="0" wp14:anchorId="08F6A16D" wp14:editId="2A481181">
            <wp:extent cx="5759450" cy="3600000"/>
            <wp:effectExtent l="0" t="0" r="0" b="635"/>
            <wp:docPr id="100" name="Chart 10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C889CA6" w14:textId="77777777" w:rsidR="00CE325A" w:rsidRPr="00496ED0" w:rsidRDefault="00CE325A" w:rsidP="00CE325A">
      <w:pPr>
        <w:spacing w:after="120"/>
        <w:jc w:val="both"/>
        <w:rPr>
          <w:sz w:val="12"/>
          <w:szCs w:val="12"/>
        </w:rPr>
      </w:pPr>
      <w:r w:rsidRPr="00496ED0">
        <w:rPr>
          <w:sz w:val="12"/>
          <w:szCs w:val="12"/>
        </w:rPr>
        <w:t>Avots: CSP</w:t>
      </w:r>
    </w:p>
    <w:p w14:paraId="7FEE6D42" w14:textId="769C2564" w:rsidR="00CE325A" w:rsidRDefault="00496ED0" w:rsidP="00CE325A">
      <w:pPr>
        <w:jc w:val="both"/>
        <w:rPr>
          <w:color w:val="000000"/>
          <w:szCs w:val="26"/>
        </w:rPr>
      </w:pPr>
      <w:r>
        <w:rPr>
          <w:color w:val="000000"/>
          <w:szCs w:val="26"/>
        </w:rPr>
        <w:br/>
      </w:r>
      <w:r w:rsidR="00CE325A" w:rsidRPr="00C44A69">
        <w:rPr>
          <w:color w:val="000000"/>
          <w:szCs w:val="26"/>
        </w:rPr>
        <w:t>Aizņemto darbavietu skaits 2020.</w:t>
      </w:r>
      <w:r w:rsidR="00CE325A">
        <w:rPr>
          <w:color w:val="000000"/>
          <w:szCs w:val="26"/>
        </w:rPr>
        <w:t> </w:t>
      </w:r>
      <w:r w:rsidR="00CE325A" w:rsidRPr="00C44A69">
        <w:rPr>
          <w:color w:val="000000"/>
          <w:szCs w:val="26"/>
        </w:rPr>
        <w:t xml:space="preserve">gadā </w:t>
      </w:r>
      <w:r w:rsidR="00CE325A">
        <w:rPr>
          <w:color w:val="000000"/>
          <w:szCs w:val="26"/>
        </w:rPr>
        <w:t xml:space="preserve">Covid-19 krīzes ietekmē </w:t>
      </w:r>
      <w:r w:rsidR="00CE325A" w:rsidRPr="00C44A69">
        <w:rPr>
          <w:color w:val="000000"/>
          <w:szCs w:val="26"/>
        </w:rPr>
        <w:t>samazinājās par 2,7% jeb 25 tūkst. darbavietu, salīdzinot ar 2019.</w:t>
      </w:r>
      <w:r w:rsidR="00CE325A">
        <w:rPr>
          <w:color w:val="000000"/>
          <w:szCs w:val="26"/>
        </w:rPr>
        <w:t> </w:t>
      </w:r>
      <w:r w:rsidR="00CE325A" w:rsidRPr="00C44A69">
        <w:rPr>
          <w:color w:val="000000"/>
          <w:szCs w:val="26"/>
        </w:rPr>
        <w:t>gadu. Vairāk nekā 3/5 (15,2 tūkst.) no kopējā darbavietu samazinājuma veidoja Covid-19 krīzes tieši skartās nozares (izmitināšanas un ēdināšanas pakalpojumi; transports; māksla, izklaide un atpūta, kā arī administratīvo un apkalpojošo dienestu darbība), no kurām būtiskākais samazinājums ir bijis izmitināšanas un ēdināšanas nozarē –</w:t>
      </w:r>
      <w:r w:rsidR="003505A6">
        <w:rPr>
          <w:color w:val="000000"/>
          <w:szCs w:val="26"/>
        </w:rPr>
        <w:t xml:space="preserve"> </w:t>
      </w:r>
      <w:r w:rsidR="00CE325A" w:rsidRPr="00C44A69">
        <w:rPr>
          <w:color w:val="000000"/>
          <w:szCs w:val="26"/>
        </w:rPr>
        <w:t>par 7,7 tūkst., kas veidoja 30,8% no kopējā aizņemto darbavietu samazinājuma.</w:t>
      </w:r>
    </w:p>
    <w:p w14:paraId="78E27ED3" w14:textId="29D43C29" w:rsidR="00CE325A" w:rsidRPr="003B4CDA" w:rsidRDefault="357CF0D3" w:rsidP="4398C881">
      <w:pPr>
        <w:jc w:val="both"/>
        <w:rPr>
          <w:color w:val="000000"/>
        </w:rPr>
      </w:pPr>
      <w:r w:rsidRPr="4398C881">
        <w:rPr>
          <w:color w:val="000000" w:themeColor="text1"/>
        </w:rPr>
        <w:t>Līdz ar ekonomisko aktivitāšu palielināšanos, 2021. gadā aizņemto darbavietu skaits palielinājās par 0,4% jeb 3,4 tūkst. darbavietu, salīdzinot ar 2020. gadu, gada griezumā palielinoties līdz 892,6 tūkst. darbavietu.</w:t>
      </w:r>
      <w:r>
        <w:t xml:space="preserve"> </w:t>
      </w:r>
      <w:r w:rsidRPr="4398C881">
        <w:rPr>
          <w:color w:val="000000" w:themeColor="text1"/>
        </w:rPr>
        <w:t>Būtiskākais darbavietu pieaugums vērojams apstrādes rūpniecībā, veselības aprūpē un informācijas un komunikācijas pakalpojumos.</w:t>
      </w:r>
    </w:p>
    <w:p w14:paraId="24285C9D" w14:textId="56A9CAE2" w:rsidR="00CE325A" w:rsidRPr="00C44A69" w:rsidRDefault="00CE325A" w:rsidP="00CE325A">
      <w:pPr>
        <w:jc w:val="both"/>
        <w:rPr>
          <w:color w:val="000000"/>
          <w:szCs w:val="26"/>
        </w:rPr>
      </w:pPr>
      <w:r w:rsidRPr="00C44A69">
        <w:rPr>
          <w:color w:val="000000"/>
          <w:szCs w:val="26"/>
        </w:rPr>
        <w:t>Līdzīgi kā kopumā 2021.</w:t>
      </w:r>
      <w:r>
        <w:rPr>
          <w:color w:val="000000"/>
          <w:szCs w:val="26"/>
        </w:rPr>
        <w:t> </w:t>
      </w:r>
      <w:r w:rsidRPr="00C44A69">
        <w:rPr>
          <w:color w:val="000000"/>
          <w:szCs w:val="26"/>
        </w:rPr>
        <w:t>gadā, arī salīdzinot ar pirms</w:t>
      </w:r>
      <w:r>
        <w:rPr>
          <w:color w:val="000000"/>
          <w:szCs w:val="26"/>
        </w:rPr>
        <w:t xml:space="preserve"> Covid-19 </w:t>
      </w:r>
      <w:r w:rsidRPr="00C44A69">
        <w:rPr>
          <w:color w:val="000000"/>
          <w:szCs w:val="26"/>
        </w:rPr>
        <w:t>krīzes periodu (2019.</w:t>
      </w:r>
      <w:r>
        <w:rPr>
          <w:color w:val="000000"/>
          <w:szCs w:val="26"/>
        </w:rPr>
        <w:t> </w:t>
      </w:r>
      <w:r w:rsidRPr="00C44A69">
        <w:rPr>
          <w:color w:val="000000"/>
          <w:szCs w:val="26"/>
        </w:rPr>
        <w:t>gadu), lielākais darbavietu pieaugums vērojams veselībā un sociālā aprūpē, informācijas un komunikācijas pakalpojumos, kā arī apstrādes rūpniecībā.</w:t>
      </w:r>
    </w:p>
    <w:p w14:paraId="3B75C588" w14:textId="4B4326DF" w:rsidR="00CE325A" w:rsidRPr="003B4CDA" w:rsidRDefault="00CE325A" w:rsidP="00CE325A">
      <w:pPr>
        <w:jc w:val="both"/>
        <w:rPr>
          <w:color w:val="000000"/>
          <w:szCs w:val="26"/>
        </w:rPr>
      </w:pPr>
      <w:r w:rsidRPr="00C44A69">
        <w:rPr>
          <w:color w:val="000000"/>
          <w:szCs w:val="26"/>
        </w:rPr>
        <w:t>Savukārt būtiskākais darbaspēka pieprasījuma kritums 2021.</w:t>
      </w:r>
      <w:r>
        <w:rPr>
          <w:color w:val="000000"/>
          <w:szCs w:val="26"/>
        </w:rPr>
        <w:t> </w:t>
      </w:r>
      <w:r w:rsidRPr="00C44A69">
        <w:rPr>
          <w:color w:val="000000"/>
          <w:szCs w:val="26"/>
        </w:rPr>
        <w:t>gadā bija vērojams transporta pakalpojumu nozarē, administratīvo un apkalpojošo dienestu darbībā, kā arī izmitināšanas un ēdināšanas nozarē. Vienlaikus no p</w:t>
      </w:r>
      <w:r w:rsidR="00417159">
        <w:rPr>
          <w:color w:val="000000"/>
          <w:szCs w:val="26"/>
        </w:rPr>
        <w:t>ir</w:t>
      </w:r>
      <w:r w:rsidRPr="00C44A69">
        <w:rPr>
          <w:color w:val="000000"/>
          <w:szCs w:val="26"/>
        </w:rPr>
        <w:t>ms</w:t>
      </w:r>
      <w:r>
        <w:rPr>
          <w:color w:val="000000"/>
          <w:szCs w:val="26"/>
        </w:rPr>
        <w:t xml:space="preserve"> Covid-19 </w:t>
      </w:r>
      <w:r w:rsidRPr="00C44A69">
        <w:rPr>
          <w:color w:val="000000"/>
          <w:szCs w:val="26"/>
        </w:rPr>
        <w:t>krīzes līmeņa visbūtiskāk aizņemto darbavietu skaita ziņā atpaliek izmitināšanas un ēdināšanas nozare, kura aizvadīto 2 gadu laikā kopumā ir zaudējusi gandrīz ¼ jeb 24,4% no aizņemto darbavietu skaita kas ir 8,8 tūkst. darbavietu.</w:t>
      </w:r>
    </w:p>
    <w:p w14:paraId="1915B83C" w14:textId="6A370B48" w:rsidR="00BD604F" w:rsidRPr="001231A9" w:rsidRDefault="00BD604F">
      <w:pPr>
        <w:spacing w:after="0"/>
        <w:rPr>
          <w:color w:val="000000"/>
          <w:szCs w:val="26"/>
          <w:highlight w:val="yellow"/>
        </w:rPr>
      </w:pPr>
    </w:p>
    <w:p w14:paraId="0A512095" w14:textId="77777777" w:rsidR="000A1F99" w:rsidRPr="007D14BF" w:rsidRDefault="000A1F99" w:rsidP="000A1F99">
      <w:pPr>
        <w:pStyle w:val="Heading2"/>
        <w:rPr>
          <w:color w:val="000000" w:themeColor="text1"/>
        </w:rPr>
      </w:pPr>
      <w:bookmarkStart w:id="31" w:name="_Toc453924341"/>
      <w:bookmarkStart w:id="32" w:name="_Toc517876431"/>
      <w:bookmarkStart w:id="33" w:name="_Toc106366793"/>
      <w:r w:rsidRPr="007D14BF">
        <w:rPr>
          <w:color w:val="000000" w:themeColor="text1"/>
        </w:rPr>
        <w:lastRenderedPageBreak/>
        <w:t>2.2. Demogrāfiskā situācija un darbaspēka piedāvājums</w:t>
      </w:r>
      <w:bookmarkEnd w:id="31"/>
      <w:bookmarkEnd w:id="32"/>
      <w:bookmarkEnd w:id="33"/>
    </w:p>
    <w:p w14:paraId="655BA2A8" w14:textId="77777777" w:rsidR="000A1F99" w:rsidRPr="007D14BF" w:rsidRDefault="000A1F99" w:rsidP="000A1F99">
      <w:pPr>
        <w:pStyle w:val="Heading3"/>
        <w:rPr>
          <w:color w:val="000000" w:themeColor="text1"/>
          <w:sz w:val="24"/>
        </w:rPr>
      </w:pPr>
      <w:bookmarkStart w:id="34" w:name="_Toc390350664"/>
      <w:bookmarkStart w:id="35" w:name="_Toc453924342"/>
      <w:bookmarkStart w:id="36" w:name="_Toc517876432"/>
      <w:bookmarkStart w:id="37" w:name="_Toc106366794"/>
      <w:r w:rsidRPr="007D14BF">
        <w:rPr>
          <w:color w:val="000000" w:themeColor="text1"/>
          <w:sz w:val="24"/>
        </w:rPr>
        <w:t>2.2.1. Demogrāfijas tendences</w:t>
      </w:r>
      <w:bookmarkEnd w:id="34"/>
      <w:bookmarkEnd w:id="35"/>
      <w:bookmarkEnd w:id="36"/>
      <w:bookmarkEnd w:id="37"/>
    </w:p>
    <w:p w14:paraId="3BF017FB" w14:textId="021E922D" w:rsidR="001A0825" w:rsidRPr="001A0825" w:rsidRDefault="41142C69" w:rsidP="4398C881">
      <w:pPr>
        <w:shd w:val="clear" w:color="auto" w:fill="FFFFFF" w:themeFill="background1"/>
        <w:jc w:val="both"/>
      </w:pPr>
      <w:bookmarkStart w:id="38" w:name="_Toc390350665"/>
      <w:bookmarkStart w:id="39" w:name="_Toc453924343"/>
      <w:bookmarkStart w:id="40" w:name="_Toc517876433"/>
      <w:r>
        <w:t>Ilgtermiņa tendences rāda, ka iedzīvotāju skaits Latvijā turpina sarukt. Kopējais iedzīvotāju skaita samazinājums Latvijā kopš 2000.</w:t>
      </w:r>
      <w:r w:rsidR="6DBAC873">
        <w:t> </w:t>
      </w:r>
      <w:r>
        <w:t>gada pārsniedz 0,5 milj., kas ir aptuveni 1/5 no iedzīvotāju skaita 2000.</w:t>
      </w:r>
      <w:r w:rsidR="6DBAC873">
        <w:t> </w:t>
      </w:r>
      <w:r>
        <w:t>gada sākumā. Demogrāfisko tendenču būtiskākie ietekmējošie faktori ir sabiedrības novecošanās, zems dzimstības līmenis un iedzīvotāju emigrācija.</w:t>
      </w:r>
    </w:p>
    <w:p w14:paraId="04D4D5FF" w14:textId="69DA83D7" w:rsidR="001A0825" w:rsidRPr="001A0825" w:rsidRDefault="41142C69" w:rsidP="4398C881">
      <w:pPr>
        <w:shd w:val="clear" w:color="auto" w:fill="FFFFFF" w:themeFill="background1"/>
        <w:jc w:val="both"/>
      </w:pPr>
      <w:r>
        <w:t>2022. gada sākumā Latvijā dzīvoja 1873 tūkst. iedzīvotāju, to skaits samazinājās par 20 tūkst. salīdzinājumā ar 2021. gada sākumu. Demogrāfijas tendenču analīzei par 2021.</w:t>
      </w:r>
      <w:r w:rsidR="6DBAC873">
        <w:t> </w:t>
      </w:r>
      <w:r>
        <w:t>gadu un stāvokli uz 2022.</w:t>
      </w:r>
      <w:r w:rsidR="6DBAC873">
        <w:t> </w:t>
      </w:r>
      <w:r>
        <w:t>gada sākumu izmantots EM novērtējums.</w:t>
      </w:r>
    </w:p>
    <w:p w14:paraId="74225AFF" w14:textId="0A14B187" w:rsidR="001A0825" w:rsidRPr="001A0825" w:rsidRDefault="41142C69" w:rsidP="4398C881">
      <w:pPr>
        <w:shd w:val="clear" w:color="auto" w:fill="FFFFFF" w:themeFill="background1"/>
        <w:jc w:val="both"/>
      </w:pPr>
      <w:r>
        <w:t xml:space="preserve">Dzimstības rādītāji </w:t>
      </w:r>
      <w:r w:rsidR="00E228A5">
        <w:t xml:space="preserve">Latvijā ilgstoši saglabājas zemā līmenī un </w:t>
      </w:r>
      <w:r>
        <w:t>nav pietiekami esošā iedzīvotāju skaita atražošanai</w:t>
      </w:r>
      <w:r w:rsidR="00E228A5">
        <w:t xml:space="preserve">. </w:t>
      </w:r>
      <w:r w:rsidR="00814F41">
        <w:t>Pēc</w:t>
      </w:r>
      <w:r w:rsidR="00E228A5">
        <w:t xml:space="preserve"> </w:t>
      </w:r>
      <w:r w:rsidR="00E024FB">
        <w:t>straujas</w:t>
      </w:r>
      <w:r w:rsidR="00814F41">
        <w:t xml:space="preserve"> dzimstība</w:t>
      </w:r>
      <w:r w:rsidR="00E228A5">
        <w:t xml:space="preserve">s samazinājuma pagājušā gadsimta </w:t>
      </w:r>
      <w:r w:rsidR="00814F41">
        <w:t>90-tos</w:t>
      </w:r>
      <w:r w:rsidR="00E228A5">
        <w:t xml:space="preserve"> gados, </w:t>
      </w:r>
      <w:r w:rsidR="00E024FB">
        <w:t xml:space="preserve">sakot ar 1999. gadu, </w:t>
      </w:r>
      <w:r w:rsidR="00E228A5">
        <w:t xml:space="preserve">uzlabojoties </w:t>
      </w:r>
      <w:r w:rsidR="00E024FB">
        <w:t xml:space="preserve">gan </w:t>
      </w:r>
      <w:r w:rsidR="00E228A5">
        <w:t>sociālekonomiskajai situācijai valstī, gan arī reproduktīv</w:t>
      </w:r>
      <w:r w:rsidR="005D4700">
        <w:t xml:space="preserve">ajā </w:t>
      </w:r>
      <w:r w:rsidR="00E228A5">
        <w:t xml:space="preserve">vecumā </w:t>
      </w:r>
      <w:r w:rsidR="005D4700">
        <w:t xml:space="preserve">ienākot </w:t>
      </w:r>
      <w:r w:rsidR="00814F41">
        <w:t>80-to gados dzimušajiem</w:t>
      </w:r>
      <w:r w:rsidR="005D4700">
        <w:t xml:space="preserve"> (</w:t>
      </w:r>
      <w:r w:rsidR="00E024FB">
        <w:t xml:space="preserve">no 1980.-1990. gadam Latvijā </w:t>
      </w:r>
      <w:r w:rsidR="005D4700">
        <w:t>augstas dzimstības periods</w:t>
      </w:r>
      <w:r w:rsidR="00E024FB">
        <w:t>)</w:t>
      </w:r>
      <w:r>
        <w:t>, dzimstības rādītāj</w:t>
      </w:r>
      <w:r w:rsidR="00E228A5">
        <w:t>iem</w:t>
      </w:r>
      <w:r w:rsidR="005D4700">
        <w:t xml:space="preserve"> kopumā </w:t>
      </w:r>
      <w:r w:rsidR="00E024FB">
        <w:t xml:space="preserve">Latvijā </w:t>
      </w:r>
      <w:r w:rsidR="005D4700">
        <w:t xml:space="preserve">bija novērojama pieaugoša tendence </w:t>
      </w:r>
      <w:r w:rsidR="00E024FB">
        <w:t>(</w:t>
      </w:r>
      <w:r>
        <w:t>palielinājās gan dzimušo skaits, gan dzimstības koeficients</w:t>
      </w:r>
      <w:r w:rsidR="00E024FB">
        <w:t>)</w:t>
      </w:r>
      <w:r w:rsidR="005D4700">
        <w:t xml:space="preserve">, kas saglabājās līdz pat 2008. gadam. </w:t>
      </w:r>
      <w:r>
        <w:t xml:space="preserve">Ekonomiskās krīzes ietekmē no 2009. gada dzimušo skaits samazinājās un dzimstības pieaugums atsākās tikai 2012. gadā </w:t>
      </w:r>
      <w:r w:rsidR="6DBAC873">
        <w:t xml:space="preserve">– </w:t>
      </w:r>
      <w:r>
        <w:t xml:space="preserve">2015. un 2016. gadā sasniedzot pēdējā desmitgadē lielāko dzimušo skaitu. Vienlaikus kopš 2017. gada vērojama dzimstības rādītāju samazināšanās un kopumā tendence saglabājās arī 2021. gadā </w:t>
      </w:r>
      <w:r w:rsidR="2CBC398B">
        <w:t>–</w:t>
      </w:r>
      <w:r>
        <w:t xml:space="preserve"> dzimstības koeficientam nokrītot līdz zemākajam līmenim kopš 2011.</w:t>
      </w:r>
      <w:r w:rsidR="6DBAC873">
        <w:t> </w:t>
      </w:r>
      <w:r>
        <w:t>gada. Pēdējo gadu negatīvā dzimstības dinamika norāda uz mērķtiecīgu dzimstības stimulēšanas pasākumu aktivizēšanas nepieciešamību.</w:t>
      </w:r>
    </w:p>
    <w:p w14:paraId="6509CDCA" w14:textId="58A5E5D8" w:rsidR="001A0825" w:rsidRPr="001A0825" w:rsidRDefault="41142C69" w:rsidP="4398C881">
      <w:pPr>
        <w:shd w:val="clear" w:color="auto" w:fill="FFFFFF" w:themeFill="background1"/>
        <w:jc w:val="both"/>
      </w:pPr>
      <w:r>
        <w:t>Mirušo skaits pakāpeniski samazinās kopš 2007. gada. Kopš 2014. gada rādītājs bija nostabilizējies. Covid-19 pandēmijas ietekmē mirstības rādītāji kopš 2020.</w:t>
      </w:r>
      <w:r w:rsidR="2CBC398B">
        <w:t> </w:t>
      </w:r>
      <w:r>
        <w:t>gada ir krasi pasliktinājušies. 2021.</w:t>
      </w:r>
      <w:r w:rsidR="6DBAC873">
        <w:t> </w:t>
      </w:r>
      <w:r>
        <w:t xml:space="preserve">gadā mirušo skaits pieauga par gandrīz 1/4, salīdzinot ar </w:t>
      </w:r>
      <w:proofErr w:type="spellStart"/>
      <w:r>
        <w:t>pirmspandēmijas</w:t>
      </w:r>
      <w:proofErr w:type="spellEnd"/>
      <w:r>
        <w:t xml:space="preserve"> periodu 2019.</w:t>
      </w:r>
      <w:r w:rsidR="6DBAC873">
        <w:t> </w:t>
      </w:r>
      <w:r>
        <w:t>gadā.</w:t>
      </w:r>
    </w:p>
    <w:p w14:paraId="4428A09D" w14:textId="222E489F" w:rsidR="001A0825" w:rsidRPr="001A0825" w:rsidRDefault="41142C69" w:rsidP="4398C881">
      <w:pPr>
        <w:shd w:val="clear" w:color="auto" w:fill="FFFFFF" w:themeFill="background1"/>
        <w:jc w:val="both"/>
      </w:pPr>
      <w:r>
        <w:t>Iedzīvotāju dabisko kustību raksturo dabiskā pieauguma koeficients, kas uzlabojās kopš 2011. gada. Pēdējo gadu dzimstības rādītāju negatīvās attīstības rezultātā tas izteikti pasliktinās kopš 2017. gada. Apvienojumā ar pēdējo gadu mirstības tendencēm, dabiskā pieauguma koeficients 2021. gadā ir nokrities līdz vēsturiski zemākajam negatīvajam līmenim -9,0 uz 1000 iedzīvotājiem.</w:t>
      </w:r>
    </w:p>
    <w:p w14:paraId="2A2C270F" w14:textId="77777777" w:rsidR="001A0825" w:rsidRPr="001A0825" w:rsidRDefault="001A0825" w:rsidP="001A0825">
      <w:pPr>
        <w:jc w:val="right"/>
        <w:rPr>
          <w:szCs w:val="26"/>
        </w:rPr>
      </w:pPr>
      <w:r w:rsidRPr="001A0825">
        <w:rPr>
          <w:szCs w:val="26"/>
        </w:rPr>
        <w:t>2.5. attēls</w:t>
      </w:r>
    </w:p>
    <w:p w14:paraId="7AE3323A" w14:textId="77777777" w:rsidR="001A0825" w:rsidRPr="001A0825" w:rsidRDefault="001A0825" w:rsidP="001A0825">
      <w:pPr>
        <w:tabs>
          <w:tab w:val="center" w:pos="2268"/>
          <w:tab w:val="center" w:pos="4536"/>
          <w:tab w:val="center" w:pos="6804"/>
        </w:tabs>
        <w:spacing w:after="120"/>
        <w:rPr>
          <w:rFonts w:ascii="Segoe UI Light" w:hAnsi="Segoe UI Light"/>
          <w:i/>
          <w:sz w:val="16"/>
        </w:rPr>
      </w:pPr>
      <w:r w:rsidRPr="001A0825">
        <w:rPr>
          <w:rFonts w:ascii="Segoe UI Light" w:hAnsi="Segoe UI Light"/>
          <w:b/>
          <w:bCs/>
          <w:sz w:val="18"/>
          <w:szCs w:val="26"/>
        </w:rPr>
        <w:tab/>
      </w:r>
      <w:r w:rsidRPr="001A0825">
        <w:rPr>
          <w:rFonts w:ascii="Segoe UI Light" w:hAnsi="Segoe UI Light"/>
          <w:b/>
          <w:bCs/>
          <w:sz w:val="18"/>
          <w:szCs w:val="26"/>
        </w:rPr>
        <w:tab/>
        <w:t>Iedzīvotāju vecumstruktūra</w:t>
      </w:r>
      <w:r w:rsidRPr="001A0825">
        <w:rPr>
          <w:rFonts w:ascii="Segoe UI Light" w:hAnsi="Segoe UI Light"/>
          <w:sz w:val="16"/>
        </w:rPr>
        <w:br/>
      </w:r>
      <w:r w:rsidRPr="001A0825">
        <w:rPr>
          <w:rFonts w:ascii="Segoe UI Light" w:hAnsi="Segoe UI Light"/>
          <w:bCs/>
          <w:i/>
          <w:sz w:val="16"/>
        </w:rPr>
        <w:tab/>
        <w:t>tūkstošos, gada sākumā</w:t>
      </w:r>
      <w:r w:rsidRPr="001A0825">
        <w:rPr>
          <w:rFonts w:ascii="Segoe UI Light" w:hAnsi="Segoe UI Light"/>
          <w:i/>
          <w:noProof/>
          <w:sz w:val="16"/>
          <w:lang w:eastAsia="lv-LV"/>
        </w:rPr>
        <w:tab/>
      </w:r>
      <w:r w:rsidRPr="001A0825">
        <w:rPr>
          <w:rFonts w:ascii="Segoe UI Light" w:hAnsi="Segoe UI Light"/>
          <w:i/>
          <w:noProof/>
          <w:sz w:val="16"/>
          <w:lang w:eastAsia="lv-LV"/>
        </w:rPr>
        <w:tab/>
        <w:t xml:space="preserve">tūkstošos, </w:t>
      </w:r>
      <w:r w:rsidRPr="001A0825">
        <w:rPr>
          <w:rFonts w:ascii="Segoe UI Light" w:hAnsi="Segoe UI Light"/>
          <w:bCs/>
          <w:i/>
          <w:sz w:val="16"/>
        </w:rPr>
        <w:t>2022. gada sākumā *</w:t>
      </w:r>
    </w:p>
    <w:p w14:paraId="790ADBB8" w14:textId="77777777" w:rsidR="001A0825" w:rsidRPr="001A0825" w:rsidRDefault="001A0825" w:rsidP="001A0825">
      <w:pPr>
        <w:tabs>
          <w:tab w:val="left" w:pos="4075"/>
        </w:tabs>
        <w:rPr>
          <w:rFonts w:ascii="Arial Narrow" w:hAnsi="Arial Narrow"/>
          <w:sz w:val="16"/>
          <w:szCs w:val="20"/>
        </w:rPr>
      </w:pPr>
      <w:r w:rsidRPr="001A0825">
        <w:rPr>
          <w:rFonts w:ascii="Arial Narrow" w:hAnsi="Arial Narrow"/>
          <w:noProof/>
          <w:sz w:val="22"/>
          <w:szCs w:val="26"/>
          <w:lang w:eastAsia="lv-LV"/>
        </w:rPr>
        <w:drawing>
          <wp:inline distT="0" distB="0" distL="0" distR="0" wp14:anchorId="59F8BD52" wp14:editId="3683D373">
            <wp:extent cx="2880000" cy="2160000"/>
            <wp:effectExtent l="0" t="0" r="0" b="0"/>
            <wp:docPr id="278"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1A0825">
        <w:rPr>
          <w:rFonts w:ascii="Arial Narrow" w:eastAsia="Arial Unicode MS" w:hAnsi="Arial Narrow"/>
          <w:b/>
          <w:iCs/>
          <w:noProof/>
          <w:sz w:val="22"/>
          <w:szCs w:val="26"/>
          <w:lang w:eastAsia="lv-LV"/>
        </w:rPr>
        <w:drawing>
          <wp:inline distT="0" distB="0" distL="0" distR="0" wp14:anchorId="7A53A263" wp14:editId="762AB10C">
            <wp:extent cx="2880000" cy="2160000"/>
            <wp:effectExtent l="0" t="0" r="0" b="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09C1D67" w14:textId="71264525" w:rsidR="001A0825" w:rsidRPr="00782D2E" w:rsidRDefault="00B644EF" w:rsidP="001A0825">
      <w:pPr>
        <w:spacing w:after="120"/>
        <w:jc w:val="both"/>
        <w:rPr>
          <w:sz w:val="12"/>
          <w:szCs w:val="12"/>
        </w:rPr>
      </w:pPr>
      <w:r w:rsidRPr="00782D2E">
        <w:rPr>
          <w:sz w:val="12"/>
          <w:szCs w:val="12"/>
        </w:rPr>
        <w:t xml:space="preserve">Avots: CSP ; </w:t>
      </w:r>
      <w:r w:rsidR="001A0825" w:rsidRPr="00782D2E">
        <w:rPr>
          <w:sz w:val="12"/>
          <w:szCs w:val="12"/>
        </w:rPr>
        <w:t>* EM novērtējums</w:t>
      </w:r>
    </w:p>
    <w:p w14:paraId="3C3534D4" w14:textId="6038778A" w:rsidR="006D2655" w:rsidRPr="001A0825" w:rsidRDefault="006D2655" w:rsidP="006D2655">
      <w:pPr>
        <w:shd w:val="clear" w:color="auto" w:fill="FFFFFF" w:themeFill="background1"/>
        <w:jc w:val="both"/>
      </w:pPr>
      <w:r>
        <w:br/>
        <w:t xml:space="preserve">Turpinās sabiedrības novecošanās process – pieaug Latvijas sabiedrības vidējais vecums. Periodā no 2000. līdz2022. gadam tas ir palielinājies par 4,5 gadiem un 2020. gada sākumā sasniedza 42,8 gadus. Novecošanās ietekmē darba tirgu, palielinot iedzīvotāju skaitu virs darbspējas vecuma. Samazinoties iedzīvotāju skaitam darbspējas vecumā, iedzīvotāju virs darbspējas vecuma attiecība pret iedzīvotājiem darbspējas vecumā kļūst </w:t>
      </w:r>
      <w:r>
        <w:lastRenderedPageBreak/>
        <w:t>lielāka. Nelielā dzimstības pieauguma rezultātā no 2012. gada bija apstājies iedzīvotāju skaita samazinājums līdz darbspējas vecumam. Diemžēl Covid-19 pandēmija ir pārtraukusi šo pozitīvo tendenci, un kopš 2021. gada iedzīvotāju līdz darbspējas vecumam skaita samazinājums ir atsācies.</w:t>
      </w:r>
    </w:p>
    <w:p w14:paraId="09FD0B3A" w14:textId="77777777" w:rsidR="00782D2E" w:rsidRDefault="00782D2E" w:rsidP="00782D2E">
      <w:pPr>
        <w:jc w:val="both"/>
      </w:pPr>
      <w:r w:rsidRPr="001A0825">
        <w:t>2021. gadā darbspējas vecuma iedzīvotāju skaits turpināja samazināties. Iedzīvotāju skaits 15-74 gadu vecumā 2022. gada sākumā veidoja 1391 tūkst., samazinoties par 11 tūkst. salīdzinājumā ar 2021. gada sākumu. Ievērojamākais iedzīvotāju skaita sarukums bija šādās darbspējas vecuma grupās: 25-29 gadi (par 8,8 tūkst. jeb 8,3%), 30-34 gadi (par 4,1 tūkst. jeb 3%), un 55-59 gadi (par 4,5 tūkst. jeb 3,3%).</w:t>
      </w:r>
    </w:p>
    <w:p w14:paraId="4BA457DB" w14:textId="77777777" w:rsidR="00782D2E" w:rsidRPr="001A0825" w:rsidRDefault="00782D2E" w:rsidP="00782D2E">
      <w:pPr>
        <w:jc w:val="both"/>
      </w:pPr>
      <w:r>
        <w:t>Apskatot laika periodu no 2000. gada, kopumā ievērojamāko ietekmi uz iedzīvotāju skaita dinamiku ir atstājusi negatīvā starptautiskās migrācijas bilance. Pieaugot iedzīvotāju labklājībai, tikai pēdējos gados migrācijas plūsmu intensitāte ir mazinājusies. Iedzīvotāju skaits laika periodā no 2000. līdz 2022. gada sākumam ir sarucis kopumā par 509 tūkst., no kuriem uz migrāciju attiecas 292 tūkst. jeb gandrīz 3/5 no kopējā samazinājuma.</w:t>
      </w:r>
    </w:p>
    <w:p w14:paraId="05462E1D" w14:textId="187CB8D2" w:rsidR="00A02D2C" w:rsidRPr="001A0825" w:rsidRDefault="00A02D2C" w:rsidP="00A02D2C">
      <w:pPr>
        <w:jc w:val="both"/>
        <w:rPr>
          <w:szCs w:val="26"/>
        </w:rPr>
      </w:pPr>
      <w:r w:rsidRPr="001A0825">
        <w:rPr>
          <w:szCs w:val="26"/>
        </w:rPr>
        <w:t xml:space="preserve">Latvijā migrācijas plūsmas uz ārvalstīm strauji pieauga globālās finanšu krīzes ietekmē, pasliktinoties ekonomiskajai situācijai. Negatīvā migrācijas saldo kulminācija tika sasniegta 2009. un 2010. gadā. Galvenais izbraukšanas mērķis šajā laikā bija darba meklējumi ārvalstīs </w:t>
      </w:r>
      <w:r>
        <w:rPr>
          <w:szCs w:val="26"/>
        </w:rPr>
        <w:t xml:space="preserve">– </w:t>
      </w:r>
      <w:r w:rsidRPr="001A0825">
        <w:rPr>
          <w:szCs w:val="26"/>
        </w:rPr>
        <w:t xml:space="preserve"> no valsts emigrēja galvenokārt darbspējas vecuma iedzīvotāji, izteikti mobilāki ir jaunāk</w:t>
      </w:r>
      <w:r w:rsidR="008512E6">
        <w:rPr>
          <w:szCs w:val="26"/>
        </w:rPr>
        <w:t>o</w:t>
      </w:r>
      <w:r w:rsidRPr="001A0825">
        <w:rPr>
          <w:szCs w:val="26"/>
        </w:rPr>
        <w:t xml:space="preserve"> vecum</w:t>
      </w:r>
      <w:r w:rsidR="008512E6">
        <w:rPr>
          <w:szCs w:val="26"/>
        </w:rPr>
        <w:t>a</w:t>
      </w:r>
      <w:r w:rsidRPr="001A0825">
        <w:rPr>
          <w:szCs w:val="26"/>
        </w:rPr>
        <w:t xml:space="preserve"> grupu iedzīvotāji.</w:t>
      </w:r>
    </w:p>
    <w:p w14:paraId="7020C01F" w14:textId="4FD68BFD" w:rsidR="001A0825" w:rsidRPr="001A0825" w:rsidRDefault="41142C69" w:rsidP="001A0825">
      <w:pPr>
        <w:jc w:val="both"/>
      </w:pPr>
      <w:r w:rsidRPr="4398C881">
        <w:t>Kopš 2011. gada migrācijas rādītāji pakāpeniski uzlabojas. Negatīvo migrācijas saldo mazināja ne tikai izbraukušo skaita samazinājums, bet arī imigrējušo iedzīvotāju skaita pieaugums. Taču kopš 2014. gada ir vērojama neliela imigrējušo skaita samazināšanās un izbraukušo skaita pieauguma tendence. Situācija uzlabojās 2017. gadā, palielinoties imigrējušo iedzīvotāju skaitam un samazinoties emigrējušo skaitam. Līdz ar ekonomikas izaugsmi, paplašinoties darba iespējām un pieaugot darba samaksai, kopumā mazinās arī iedzīvotāju ekonomiskās emigrācijas stimuli un negatīvais migrācijas saldo pēdējos gados ir būtiski sarucis. Iedzīvotāju skaits 2021. gadā migrācijas dēļ saruka par aptuveni 3,5 tūkst. iedzīvotāju</w:t>
      </w:r>
      <w:r w:rsidRPr="001A0825">
        <w:rPr>
          <w:szCs w:val="26"/>
        </w:rPr>
        <w:t>.</w:t>
      </w:r>
    </w:p>
    <w:p w14:paraId="33775EF2" w14:textId="77777777" w:rsidR="001A0825" w:rsidRPr="001A0825" w:rsidRDefault="001A0825" w:rsidP="001A0825">
      <w:pPr>
        <w:jc w:val="right"/>
        <w:rPr>
          <w:szCs w:val="28"/>
        </w:rPr>
      </w:pPr>
      <w:r w:rsidRPr="001A0825">
        <w:rPr>
          <w:szCs w:val="28"/>
        </w:rPr>
        <w:t>2.6. attēls</w:t>
      </w:r>
    </w:p>
    <w:p w14:paraId="05824328" w14:textId="4C7B1C84" w:rsidR="001A0825" w:rsidRPr="001A0825" w:rsidRDefault="001A0825" w:rsidP="00782D2E">
      <w:pPr>
        <w:tabs>
          <w:tab w:val="center" w:pos="2410"/>
          <w:tab w:val="center" w:pos="6804"/>
        </w:tabs>
        <w:spacing w:after="120"/>
        <w:rPr>
          <w:rFonts w:ascii="Segoe UI Light" w:hAnsi="Segoe UI Light"/>
          <w:i/>
          <w:sz w:val="16"/>
        </w:rPr>
      </w:pPr>
      <w:r w:rsidRPr="001A0825">
        <w:rPr>
          <w:rFonts w:ascii="Segoe UI Light" w:hAnsi="Segoe UI Light"/>
          <w:b/>
          <w:sz w:val="18"/>
          <w:szCs w:val="24"/>
        </w:rPr>
        <w:tab/>
        <w:t>Iedzīvotāju skaita izmaiņu ietekmējošie faktori</w:t>
      </w:r>
      <w:r w:rsidRPr="001A0825">
        <w:rPr>
          <w:rFonts w:ascii="Segoe UI Light" w:hAnsi="Segoe UI Light"/>
          <w:sz w:val="18"/>
        </w:rPr>
        <w:tab/>
      </w:r>
      <w:r w:rsidRPr="001A0825">
        <w:rPr>
          <w:rFonts w:ascii="Segoe UI Light" w:hAnsi="Segoe UI Light"/>
          <w:b/>
          <w:bCs/>
          <w:sz w:val="18"/>
          <w:szCs w:val="24"/>
        </w:rPr>
        <w:t>Ilgtermiņa imigranti pēc valstiskās piederības</w:t>
      </w:r>
      <w:r w:rsidRPr="001A0825">
        <w:rPr>
          <w:rFonts w:ascii="Segoe UI Light" w:hAnsi="Segoe UI Light"/>
          <w:bCs/>
          <w:sz w:val="18"/>
        </w:rPr>
        <w:br/>
      </w:r>
      <w:r w:rsidRPr="001A0825">
        <w:rPr>
          <w:rFonts w:ascii="Segoe UI Light" w:hAnsi="Segoe UI Light"/>
          <w:i/>
          <w:sz w:val="16"/>
        </w:rPr>
        <w:tab/>
        <w:t>tūkstoši</w:t>
      </w:r>
      <w:r w:rsidRPr="001A0825">
        <w:rPr>
          <w:rFonts w:ascii="Segoe UI Light" w:hAnsi="Segoe UI Light"/>
          <w:i/>
          <w:sz w:val="16"/>
        </w:rPr>
        <w:tab/>
      </w:r>
      <w:proofErr w:type="spellStart"/>
      <w:r w:rsidR="006B14D1" w:rsidRPr="001A0825">
        <w:rPr>
          <w:rFonts w:ascii="Segoe UI Light" w:hAnsi="Segoe UI Light"/>
          <w:i/>
          <w:sz w:val="16"/>
        </w:rPr>
        <w:t>tūkstoši</w:t>
      </w:r>
      <w:proofErr w:type="spellEnd"/>
    </w:p>
    <w:p w14:paraId="715715D1" w14:textId="225FBCAD" w:rsidR="001A0825" w:rsidRPr="001A0825" w:rsidRDefault="001A0825" w:rsidP="001A0825">
      <w:pPr>
        <w:tabs>
          <w:tab w:val="left" w:pos="4753"/>
        </w:tabs>
        <w:rPr>
          <w:rFonts w:ascii="Arial Narrow" w:hAnsi="Arial Narrow"/>
          <w:szCs w:val="20"/>
        </w:rPr>
      </w:pPr>
      <w:r w:rsidRPr="001A0825">
        <w:rPr>
          <w:rFonts w:ascii="Arial Narrow" w:hAnsi="Arial Narrow"/>
          <w:noProof/>
          <w:szCs w:val="20"/>
          <w:lang w:eastAsia="lv-LV"/>
        </w:rPr>
        <w:drawing>
          <wp:inline distT="0" distB="0" distL="0" distR="0" wp14:anchorId="3F718532" wp14:editId="1B2B53C9">
            <wp:extent cx="2881223" cy="2160000"/>
            <wp:effectExtent l="0" t="0" r="0" b="0"/>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6B14D1" w:rsidRPr="001A0825">
        <w:rPr>
          <w:rFonts w:ascii="Arial Narrow" w:hAnsi="Arial Narrow"/>
          <w:noProof/>
          <w:szCs w:val="20"/>
          <w:lang w:eastAsia="lv-LV"/>
        </w:rPr>
        <w:drawing>
          <wp:inline distT="0" distB="0" distL="0" distR="0" wp14:anchorId="4DD60619" wp14:editId="6839F838">
            <wp:extent cx="2844000" cy="2160000"/>
            <wp:effectExtent l="0" t="0" r="0" b="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4ECED49" w14:textId="24C7D96D" w:rsidR="001A0825" w:rsidRPr="00782D2E" w:rsidRDefault="003B0306" w:rsidP="00496ED0">
      <w:pPr>
        <w:rPr>
          <w:sz w:val="12"/>
          <w:szCs w:val="12"/>
        </w:rPr>
      </w:pPr>
      <w:r w:rsidRPr="00782D2E">
        <w:rPr>
          <w:sz w:val="12"/>
          <w:szCs w:val="12"/>
        </w:rPr>
        <w:t>Avots: CSP</w:t>
      </w:r>
      <w:r w:rsidR="00782D2E">
        <w:rPr>
          <w:sz w:val="12"/>
          <w:szCs w:val="12"/>
        </w:rPr>
        <w:t xml:space="preserve">; </w:t>
      </w:r>
      <w:r w:rsidR="001A0825" w:rsidRPr="00782D2E">
        <w:rPr>
          <w:sz w:val="12"/>
          <w:szCs w:val="12"/>
        </w:rPr>
        <w:t>* EM novērtējums</w:t>
      </w:r>
    </w:p>
    <w:p w14:paraId="31C60BDE" w14:textId="12F47103" w:rsidR="41142C69" w:rsidRDefault="00496ED0" w:rsidP="4398C881">
      <w:pPr>
        <w:jc w:val="both"/>
        <w:rPr>
          <w:szCs w:val="20"/>
        </w:rPr>
      </w:pPr>
      <w:r>
        <w:br/>
      </w:r>
      <w:r w:rsidR="41142C69">
        <w:t xml:space="preserve">Darbaspēka nepietiekamības pieaugums, kā arī atvērtāka migrācijas politika, kopumā ir mainījusi imigrējušo nacionālo sastāvu. Līdz 2017. gadam kopumā imigrējušo iedzīvotāju plūsmā galvenokārt dominēja Latvijas </w:t>
      </w:r>
      <w:proofErr w:type="spellStart"/>
      <w:r w:rsidR="41142C69">
        <w:t>valstspiederīgie</w:t>
      </w:r>
      <w:proofErr w:type="spellEnd"/>
      <w:r w:rsidR="41142C69">
        <w:t xml:space="preserve"> – Latvijas pilsoņi un </w:t>
      </w:r>
      <w:proofErr w:type="spellStart"/>
      <w:r w:rsidR="41142C69">
        <w:t>nepilsoņi</w:t>
      </w:r>
      <w:proofErr w:type="spellEnd"/>
      <w:r w:rsidR="41142C69">
        <w:t>. 2018.-2019. gadā to skaits bija mazāks par pusi, taču</w:t>
      </w:r>
      <w:r w:rsidR="4398C881" w:rsidRPr="4398C881">
        <w:rPr>
          <w:rFonts w:eastAsia="Calibri Light" w:cs="Calibri Light"/>
          <w:szCs w:val="20"/>
        </w:rPr>
        <w:t xml:space="preserve"> kopš 2020.</w:t>
      </w:r>
      <w:r w:rsidR="00782D2E">
        <w:rPr>
          <w:rFonts w:eastAsia="Calibri Light" w:cs="Calibri Light"/>
          <w:szCs w:val="20"/>
        </w:rPr>
        <w:t> </w:t>
      </w:r>
      <w:r w:rsidR="4398C881" w:rsidRPr="4398C881">
        <w:rPr>
          <w:rFonts w:eastAsia="Calibri Light" w:cs="Calibri Light"/>
          <w:szCs w:val="20"/>
        </w:rPr>
        <w:t xml:space="preserve">gada Latvijas un </w:t>
      </w:r>
      <w:proofErr w:type="spellStart"/>
      <w:r w:rsidR="4398C881" w:rsidRPr="4398C881">
        <w:rPr>
          <w:rFonts w:eastAsia="Calibri Light" w:cs="Calibri Light"/>
          <w:szCs w:val="20"/>
        </w:rPr>
        <w:t>nepilsoņu</w:t>
      </w:r>
      <w:proofErr w:type="spellEnd"/>
      <w:r w:rsidR="4398C881" w:rsidRPr="4398C881">
        <w:rPr>
          <w:rFonts w:eastAsia="Calibri Light" w:cs="Calibri Light"/>
          <w:szCs w:val="20"/>
        </w:rPr>
        <w:t xml:space="preserve"> īpatsvars kopējā ilgtermiņa imigrantu skaitā atkal pārsniedz pusi.</w:t>
      </w:r>
    </w:p>
    <w:p w14:paraId="448C6B2F" w14:textId="77777777" w:rsidR="001A0825" w:rsidRPr="001A0825" w:rsidRDefault="001A0825" w:rsidP="001A0825">
      <w:pPr>
        <w:jc w:val="both"/>
        <w:rPr>
          <w:szCs w:val="20"/>
        </w:rPr>
      </w:pPr>
      <w:r w:rsidRPr="001A0825">
        <w:rPr>
          <w:szCs w:val="20"/>
        </w:rPr>
        <w:t>Jāatzīmē, ka, ņemot vērā brīvo darbaspēka kustību ES, emigrācijas plūsmas nav iespējams uztvert pilnīgi precīzi. Ne tikai Latvija, bet arī citas ES dalībvalstis saskaras ar problēmām precīzi raksturot iedzīvotāju struktūru, kas izbraukuši no valsts darba meklējumu dēļ.</w:t>
      </w:r>
    </w:p>
    <w:p w14:paraId="4ADAC029" w14:textId="77777777" w:rsidR="00A02D2C" w:rsidRDefault="00A02D2C">
      <w:pPr>
        <w:spacing w:after="0"/>
        <w:rPr>
          <w:rFonts w:asciiTheme="majorHAnsi" w:eastAsiaTheme="majorEastAsia" w:hAnsiTheme="majorHAnsi" w:cstheme="majorBidi"/>
          <w:b/>
          <w:bCs/>
          <w:smallCaps/>
          <w:sz w:val="24"/>
        </w:rPr>
      </w:pPr>
      <w:r>
        <w:rPr>
          <w:sz w:val="24"/>
        </w:rPr>
        <w:br w:type="page"/>
      </w:r>
    </w:p>
    <w:p w14:paraId="45CF3F90" w14:textId="5DCE352C" w:rsidR="000A1F99" w:rsidRPr="007D14BF" w:rsidRDefault="000A1F99" w:rsidP="000A1F99">
      <w:pPr>
        <w:pStyle w:val="Heading3"/>
        <w:rPr>
          <w:sz w:val="24"/>
        </w:rPr>
      </w:pPr>
      <w:bookmarkStart w:id="41" w:name="_Toc106366795"/>
      <w:r w:rsidRPr="007D14BF">
        <w:rPr>
          <w:sz w:val="24"/>
        </w:rPr>
        <w:lastRenderedPageBreak/>
        <w:t>2.2.2</w:t>
      </w:r>
      <w:r w:rsidR="00F930A3" w:rsidRPr="007D14BF">
        <w:rPr>
          <w:sz w:val="24"/>
        </w:rPr>
        <w:t>.</w:t>
      </w:r>
      <w:r w:rsidRPr="007D14BF">
        <w:rPr>
          <w:sz w:val="24"/>
        </w:rPr>
        <w:t xml:space="preserve"> Iedzīvotāju līdzdalība darba tirgū un darbaspēka piedāvājums</w:t>
      </w:r>
      <w:bookmarkEnd w:id="38"/>
      <w:bookmarkEnd w:id="39"/>
      <w:bookmarkEnd w:id="40"/>
      <w:bookmarkEnd w:id="41"/>
    </w:p>
    <w:p w14:paraId="2F0E4130" w14:textId="77777777" w:rsidR="007D14BF" w:rsidRPr="003B4CDA" w:rsidRDefault="007D14BF" w:rsidP="007D14BF">
      <w:pPr>
        <w:jc w:val="both"/>
        <w:rPr>
          <w:szCs w:val="20"/>
        </w:rPr>
      </w:pPr>
      <w:bookmarkStart w:id="42" w:name="_Toc390350666"/>
      <w:bookmarkStart w:id="43" w:name="_Toc453924344"/>
      <w:bookmarkStart w:id="44" w:name="_Toc517876434"/>
      <w:r w:rsidRPr="003B4CDA">
        <w:rPr>
          <w:szCs w:val="20"/>
        </w:rPr>
        <w:t>Darba tirgus piedāvājuma pusi pārstāv ekonomiski aktīvie iedzīvotāji, kurus veido nodarbinātie iedzīvotāji un darba meklētāji.</w:t>
      </w:r>
    </w:p>
    <w:p w14:paraId="50E78A74" w14:textId="77777777" w:rsidR="007D14BF" w:rsidRPr="003B4CDA" w:rsidRDefault="007D14BF" w:rsidP="007D14BF">
      <w:pPr>
        <w:jc w:val="right"/>
        <w:rPr>
          <w:szCs w:val="20"/>
        </w:rPr>
      </w:pPr>
      <w:r w:rsidRPr="003B4CDA">
        <w:rPr>
          <w:szCs w:val="20"/>
        </w:rPr>
        <w:t>2.7. attēls</w:t>
      </w:r>
    </w:p>
    <w:p w14:paraId="5DB770EF" w14:textId="77777777" w:rsidR="007D14BF" w:rsidRPr="003B4CDA" w:rsidRDefault="007D14BF" w:rsidP="007D14BF">
      <w:pPr>
        <w:spacing w:after="120"/>
        <w:jc w:val="center"/>
        <w:rPr>
          <w:rFonts w:ascii="Segoe UI Light" w:hAnsi="Segoe UI Light"/>
          <w:b/>
          <w:sz w:val="18"/>
          <w:szCs w:val="26"/>
        </w:rPr>
      </w:pPr>
      <w:r w:rsidRPr="003B4CDA">
        <w:rPr>
          <w:rFonts w:ascii="Segoe UI Light" w:hAnsi="Segoe UI Light"/>
          <w:b/>
          <w:sz w:val="18"/>
          <w:szCs w:val="26"/>
        </w:rPr>
        <w:t>Ekonomiskās aktivitātes rādītāji</w:t>
      </w:r>
    </w:p>
    <w:p w14:paraId="61747722" w14:textId="77777777" w:rsidR="007D14BF" w:rsidRPr="003B4CDA" w:rsidRDefault="007D14BF" w:rsidP="007D14BF">
      <w:pPr>
        <w:jc w:val="center"/>
        <w:rPr>
          <w:szCs w:val="20"/>
        </w:rPr>
      </w:pPr>
      <w:r w:rsidRPr="003B4CDA">
        <w:rPr>
          <w:noProof/>
          <w:szCs w:val="20"/>
          <w:lang w:eastAsia="lv-LV"/>
        </w:rPr>
        <w:drawing>
          <wp:inline distT="0" distB="0" distL="0" distR="0" wp14:anchorId="40EBE70E" wp14:editId="367062DB">
            <wp:extent cx="5760000" cy="2159635"/>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C0B4C49" w14:textId="77777777" w:rsidR="007D14BF" w:rsidRPr="00782D2E" w:rsidRDefault="007D14BF" w:rsidP="00496ED0">
      <w:pPr>
        <w:jc w:val="both"/>
        <w:rPr>
          <w:sz w:val="12"/>
          <w:szCs w:val="12"/>
        </w:rPr>
      </w:pPr>
      <w:r w:rsidRPr="00782D2E">
        <w:rPr>
          <w:sz w:val="12"/>
          <w:szCs w:val="12"/>
        </w:rPr>
        <w:t>Avots: CSP</w:t>
      </w:r>
    </w:p>
    <w:p w14:paraId="687A6CCD" w14:textId="46A02C73" w:rsidR="007D14BF" w:rsidRDefault="00496ED0" w:rsidP="007D14BF">
      <w:pPr>
        <w:jc w:val="both"/>
      </w:pPr>
      <w:r>
        <w:br/>
      </w:r>
      <w:r w:rsidR="6DBAC873">
        <w:t>Valstī notiekošie demogrāfiskie procesi tieši atspoguļojas darbaspēka piedāvājuma tendencēs. Iedzīvotāju skaits darbspējas vecumā sarūk gan novecošanās, gan emigrācijas rezultātā, negatīvi ietekmējot arī ekonomiski aktīvo iedzīvotāju skaitu. Laika posmā no 2008. līdz 2021. gadam ekonomiski aktīvo iedzīvotāju skaits samazinājies par aptuveni 209 tūkst. Ekonomiski aktīvo iedzīvotāju skaits Latvijā samazinās jau kopš 2008. gada globālās finanšu krīzes. Periodā no 2015. līdz 2020. gadam negatīvā tendence kopumā palēninājās, ņemot vērā iedzīvotāju ekonomiskās aktivitātes pieaugumu, tomēr līdz ar Covid-19 pandēmijas atnākšanu arī ekonomiski aktīvo iedzīvotāju skaita samazinājuma temps ir pieaudzis. 2021. gadā ekonomiski aktīvo iedzīvotāju skaits saruka par 37,1 tūkst., ko galvenokārt ietekmēja iedzīvotāju ekonomiskās aktivitātes samazināšanās Covid-19 pandēmijas laikā. Iedzīvotāju līdzdalības līmenis darba tirgū 2021. gadā, salīdzinot ar 2020. gadu, kopumā samazinājās par 2,2 procentpunktiem vecuma grupā no 15līdz74 gadiem – līdz vidēji 67,7 procentiem.</w:t>
      </w:r>
    </w:p>
    <w:p w14:paraId="3BACDDF9" w14:textId="1C225CAA" w:rsidR="007D14BF" w:rsidRPr="003B4CDA" w:rsidRDefault="007D14BF" w:rsidP="00496ED0">
      <w:pPr>
        <w:jc w:val="right"/>
        <w:rPr>
          <w:szCs w:val="20"/>
        </w:rPr>
      </w:pPr>
      <w:r w:rsidRPr="003B4CDA">
        <w:rPr>
          <w:szCs w:val="20"/>
        </w:rPr>
        <w:t>2.8. attēls</w:t>
      </w:r>
    </w:p>
    <w:p w14:paraId="71CC69B4" w14:textId="77777777" w:rsidR="007D14BF" w:rsidRPr="003B4CDA" w:rsidRDefault="007D14BF" w:rsidP="007D14BF">
      <w:pPr>
        <w:spacing w:after="120"/>
        <w:jc w:val="center"/>
        <w:rPr>
          <w:rFonts w:ascii="Segoe UI Light" w:hAnsi="Segoe UI Light"/>
          <w:i/>
          <w:sz w:val="16"/>
          <w:szCs w:val="18"/>
        </w:rPr>
      </w:pPr>
      <w:r w:rsidRPr="003B4CDA">
        <w:rPr>
          <w:rFonts w:ascii="Segoe UI Light" w:hAnsi="Segoe UI Light"/>
          <w:b/>
          <w:bCs/>
          <w:sz w:val="18"/>
          <w:szCs w:val="18"/>
        </w:rPr>
        <w:t xml:space="preserve">Situācija darba tirgū </w:t>
      </w:r>
      <w:r w:rsidRPr="003B4CDA">
        <w:rPr>
          <w:rFonts w:ascii="Segoe UI Light" w:hAnsi="Segoe UI Light"/>
          <w:b/>
          <w:sz w:val="18"/>
          <w:szCs w:val="18"/>
        </w:rPr>
        <w:t>20</w:t>
      </w:r>
      <w:r>
        <w:rPr>
          <w:rFonts w:ascii="Segoe UI Light" w:hAnsi="Segoe UI Light"/>
          <w:b/>
          <w:sz w:val="18"/>
          <w:szCs w:val="18"/>
        </w:rPr>
        <w:t>2</w:t>
      </w:r>
      <w:r w:rsidRPr="003B4CDA">
        <w:rPr>
          <w:rFonts w:ascii="Segoe UI Light" w:hAnsi="Segoe UI Light"/>
          <w:b/>
          <w:sz w:val="18"/>
          <w:szCs w:val="18"/>
        </w:rPr>
        <w:t>1. gadā</w:t>
      </w:r>
      <w:r w:rsidRPr="003B4CDA">
        <w:rPr>
          <w:rFonts w:ascii="Segoe UI Light" w:hAnsi="Segoe UI Light"/>
          <w:b/>
          <w:sz w:val="18"/>
          <w:szCs w:val="18"/>
        </w:rPr>
        <w:br/>
      </w:r>
      <w:r w:rsidRPr="003B4CDA">
        <w:rPr>
          <w:rFonts w:ascii="Segoe UI Light" w:hAnsi="Segoe UI Light"/>
          <w:i/>
          <w:sz w:val="16"/>
          <w:szCs w:val="18"/>
        </w:rPr>
        <w:t>tūkstošos</w:t>
      </w:r>
    </w:p>
    <w:tbl>
      <w:tblPr>
        <w:tblStyle w:val="TableGrid"/>
        <w:tblW w:w="87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5529"/>
        <w:gridCol w:w="567"/>
        <w:gridCol w:w="1983"/>
        <w:gridCol w:w="709"/>
      </w:tblGrid>
      <w:tr w:rsidR="007D14BF" w:rsidRPr="003B4CDA" w14:paraId="7EF93DB0" w14:textId="77777777" w:rsidTr="00D209BD">
        <w:trPr>
          <w:jc w:val="center"/>
        </w:trPr>
        <w:tc>
          <w:tcPr>
            <w:tcW w:w="8788" w:type="dxa"/>
            <w:gridSpan w:val="4"/>
          </w:tcPr>
          <w:p w14:paraId="4A000CD6" w14:textId="77777777" w:rsidR="007D14BF" w:rsidRPr="003B4CDA" w:rsidRDefault="007D14BF" w:rsidP="00D209BD">
            <w:pPr>
              <w:spacing w:after="120"/>
              <w:jc w:val="center"/>
              <w:rPr>
                <w:rFonts w:ascii="Segoe UI Light" w:hAnsi="Segoe UI Light" w:cs="Arial"/>
                <w:sz w:val="16"/>
                <w:szCs w:val="16"/>
              </w:rPr>
            </w:pPr>
            <w:r w:rsidRPr="003B4CDA">
              <w:rPr>
                <w:rFonts w:ascii="Segoe UI Light" w:hAnsi="Segoe UI Light" w:cs="Arial"/>
                <w:sz w:val="16"/>
                <w:szCs w:val="16"/>
              </w:rPr>
              <w:t>Iedzīvotāju skaits darbaspējas vecumā (15-74 gadi) – 13</w:t>
            </w:r>
            <w:r>
              <w:rPr>
                <w:rFonts w:ascii="Segoe UI Light" w:hAnsi="Segoe UI Light" w:cs="Arial"/>
                <w:sz w:val="16"/>
                <w:szCs w:val="16"/>
              </w:rPr>
              <w:t>81</w:t>
            </w:r>
          </w:p>
        </w:tc>
      </w:tr>
      <w:tr w:rsidR="007D14BF" w:rsidRPr="003B4CDA" w14:paraId="3C62796B" w14:textId="77777777" w:rsidTr="00D209BD">
        <w:trPr>
          <w:trHeight w:val="730"/>
          <w:jc w:val="center"/>
        </w:trPr>
        <w:tc>
          <w:tcPr>
            <w:tcW w:w="5529" w:type="dxa"/>
            <w:shd w:val="clear" w:color="auto" w:fill="auto"/>
          </w:tcPr>
          <w:p w14:paraId="3AC081DF" w14:textId="77777777" w:rsidR="007D14BF" w:rsidRPr="003B4CDA" w:rsidRDefault="007D14BF" w:rsidP="00D209BD">
            <w:pPr>
              <w:spacing w:before="40" w:after="40"/>
              <w:ind w:right="-113"/>
              <w:jc w:val="center"/>
              <w:rPr>
                <w:rFonts w:ascii="Segoe UI Light" w:hAnsi="Segoe UI Light" w:cs="Arial"/>
                <w:noProof/>
                <w:sz w:val="16"/>
                <w:szCs w:val="16"/>
                <w:lang w:eastAsia="lv-LV"/>
              </w:rPr>
            </w:pPr>
            <w:r w:rsidRPr="003B4CDA">
              <w:rPr>
                <w:rFonts w:ascii="Segoe UI Light" w:hAnsi="Segoe UI Light" w:cs="Arial"/>
                <w:noProof/>
                <w:sz w:val="16"/>
                <w:szCs w:val="16"/>
                <w:lang w:eastAsia="lv-LV"/>
              </w:rPr>
              <mc:AlternateContent>
                <mc:Choice Requires="wps">
                  <w:drawing>
                    <wp:inline distT="0" distB="0" distL="0" distR="0" wp14:anchorId="20A73D4B" wp14:editId="4AE726C2">
                      <wp:extent cx="3394253" cy="432000"/>
                      <wp:effectExtent l="0" t="0" r="0" b="6350"/>
                      <wp:docPr id="317" name="Rectangle 317"/>
                      <wp:cNvGraphicFramePr/>
                      <a:graphic xmlns:a="http://schemas.openxmlformats.org/drawingml/2006/main">
                        <a:graphicData uri="http://schemas.microsoft.com/office/word/2010/wordprocessingShape">
                          <wps:wsp>
                            <wps:cNvSpPr/>
                            <wps:spPr>
                              <a:xfrm>
                                <a:off x="0" y="0"/>
                                <a:ext cx="3394253" cy="43200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7E27B5" w14:textId="77777777" w:rsidR="005A28CF" w:rsidRPr="006450B1" w:rsidRDefault="005A28CF" w:rsidP="007D14BF">
                                  <w:pPr>
                                    <w:spacing w:before="40"/>
                                    <w:jc w:val="center"/>
                                    <w:rPr>
                                      <w:rFonts w:ascii="Segoe UI Light" w:hAnsi="Segoe UI Light"/>
                                      <w:bCs/>
                                      <w:color w:val="000000" w:themeColor="text1"/>
                                      <w:sz w:val="16"/>
                                      <w:szCs w:val="16"/>
                                    </w:rPr>
                                  </w:pPr>
                                  <w:r w:rsidRPr="006450B1">
                                    <w:rPr>
                                      <w:rFonts w:ascii="Segoe UI Light" w:hAnsi="Segoe UI Light"/>
                                      <w:bCs/>
                                      <w:color w:val="000000" w:themeColor="text1"/>
                                      <w:sz w:val="16"/>
                                      <w:szCs w:val="16"/>
                                    </w:rPr>
                                    <w:t>Nodarbinātie</w:t>
                                  </w:r>
                                  <w:r w:rsidRPr="006450B1">
                                    <w:rPr>
                                      <w:rFonts w:ascii="Segoe UI Light" w:hAnsi="Segoe UI Light"/>
                                      <w:bCs/>
                                      <w:color w:val="000000" w:themeColor="text1"/>
                                      <w:sz w:val="16"/>
                                      <w:szCs w:val="16"/>
                                    </w:rPr>
                                    <w:br/>
                                  </w:r>
                                  <w:r>
                                    <w:rPr>
                                      <w:rFonts w:ascii="Segoe UI Light" w:hAnsi="Segoe UI Light"/>
                                      <w:bCs/>
                                      <w:color w:val="000000" w:themeColor="text1"/>
                                      <w:sz w:val="16"/>
                                      <w:szCs w:val="16"/>
                                    </w:rPr>
                                    <w:t>864</w:t>
                                  </w:r>
                                </w:p>
                                <w:p w14:paraId="32C63C7F" w14:textId="77777777" w:rsidR="005A28CF" w:rsidRPr="002B49BA" w:rsidRDefault="005A28CF" w:rsidP="007D14BF">
                                  <w:pPr>
                                    <w:spacing w:before="40"/>
                                    <w:jc w:val="center"/>
                                    <w:rPr>
                                      <w:rFonts w:ascii="Segoe UI Light" w:hAnsi="Segoe UI Light"/>
                                      <w:b/>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0A73D4B" id="Rectangle 317" o:spid="_x0000_s1028" style="width:267.25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NUoAIAALIFAAAOAAAAZHJzL2Uyb0RvYy54bWysVEtPHDEMvlfqf4hyL7MPKO2KWbQCUVWi&#10;gICKczaT7IyUxGmS3dntr6+deUAp6qHqZcZx7M/2F9tn53tr2E6F2IAr+fRowplyEqrGbUr+/fHq&#10;wyfOYhKuEgacKvlBRX6+fP/urPULNYMaTKUCQxAXF60veZ2SXxRFlLWyIh6BVw4vNQQrEh7DpqiC&#10;aBHdmmI2mXwsWgiVDyBVjKi97C75MuNrrWS61TqqxEzJMbeUvyF/1/QtlmdisQnC143s0xD/kIUV&#10;jcOgI9SlSIJtQ/MHlG1kgAg6HUmwBWjdSJVrwGqmk1fVPNTCq1wLkhP9SFP8f7DyZncXWFOVfD49&#10;5cwJi490j7QJtzGKkRIpan1coOWDvwv9KaJI9e51sPTHStg+03oYaVX7xCQq5/PPx7OTOWcS747n&#10;+GyZ9+LZ24eYviiwjISSB4yf2RS765gwIpoOJhQsgmmqq8aYfKBWURcmsJ3ARxZSKpfm2d1s7Teo&#10;Ov3pyXPY3F3kkpF/QzOOMB0QeheYNAUR0JWcpXQwiuyMu1ca2cMiZzniiPwymWl3VYtKdWpKZaBg&#10;9Mi5ZEBC1hh/xO4B3ip0Ss+D9PT25Kpy24/Ok78l1jmPHjkyuDQ628ZBeAvApDFyZz+Q1FFDLKX9&#10;ep87aza00BqqA3ZbgG4Mo5dXDT74tYjpTgScO5xQ3CXpFj/aQFty6CXOagg/39KTPY4D3nLW4hyX&#10;PP7YiqA4M18dDgoN/SCEQVgPgtvaC8CumeKW8jKL6BCSGUQdwD7hillRFLwSTmKskssUhsNF6vYJ&#10;LimpVqtshsPtRbp2D14SOPFKDfy4fxLB912ecD5uYJhxsXjV7J0teTpYbRPoJk8CMdvx2DOOiyF3&#10;QL/EaPO8PGer51W7/AUAAP//AwBQSwMEFAAGAAgAAAAhAEfTmPPbAAAABAEAAA8AAABkcnMvZG93&#10;bnJldi54bWxMj0FLw0AQhe9C/8MyBW92t9aGErMpRfCgnmwF8bbJjkkwO7tkt0n67x296GXg8R7v&#10;fVPsZ9eLEYfYedKwXikQSLW3HTUa3k6PNzsQMRmypveEGi4YYV8urgqTWz/RK47H1AguoZgbDW1K&#10;IZcy1i06E1c+ILH36QdnEsuhkXYwE5e7Xt4qlUlnOuKF1gR8aLH+Op6dhmYzB1+py/Q8xqx+f3r5&#10;UKMKWl8v58M9iIRz+gvDDz6jQ8lMlT+TjaLXwI+k38vednO3BVFpyHYKZFnI//DlNwAAAP//AwBQ&#10;SwECLQAUAAYACAAAACEAtoM4kv4AAADhAQAAEwAAAAAAAAAAAAAAAAAAAAAAW0NvbnRlbnRfVHlw&#10;ZXNdLnhtbFBLAQItABQABgAIAAAAIQA4/SH/1gAAAJQBAAALAAAAAAAAAAAAAAAAAC8BAABfcmVs&#10;cy8ucmVsc1BLAQItABQABgAIAAAAIQBmEBNUoAIAALIFAAAOAAAAAAAAAAAAAAAAAC4CAABkcnMv&#10;ZTJvRG9jLnhtbFBLAQItABQABgAIAAAAIQBH05jz2wAAAAQBAAAPAAAAAAAAAAAAAAAAAPoEAABk&#10;cnMvZG93bnJldi54bWxQSwUGAAAAAAQABADzAAAAAgYAAAAA&#10;" fillcolor="#76923c [2406]" stroked="f" strokeweight="2pt">
                      <v:textbox inset="0,0,0,0">
                        <w:txbxContent>
                          <w:p w14:paraId="707E27B5" w14:textId="77777777" w:rsidR="005A28CF" w:rsidRPr="006450B1" w:rsidRDefault="005A28CF" w:rsidP="007D14BF">
                            <w:pPr>
                              <w:spacing w:before="40"/>
                              <w:jc w:val="center"/>
                              <w:rPr>
                                <w:rFonts w:ascii="Segoe UI Light" w:hAnsi="Segoe UI Light"/>
                                <w:bCs/>
                                <w:color w:val="000000" w:themeColor="text1"/>
                                <w:sz w:val="16"/>
                                <w:szCs w:val="16"/>
                              </w:rPr>
                            </w:pPr>
                            <w:r w:rsidRPr="006450B1">
                              <w:rPr>
                                <w:rFonts w:ascii="Segoe UI Light" w:hAnsi="Segoe UI Light"/>
                                <w:bCs/>
                                <w:color w:val="000000" w:themeColor="text1"/>
                                <w:sz w:val="16"/>
                                <w:szCs w:val="16"/>
                              </w:rPr>
                              <w:t>Nodarbinātie</w:t>
                            </w:r>
                            <w:r w:rsidRPr="006450B1">
                              <w:rPr>
                                <w:rFonts w:ascii="Segoe UI Light" w:hAnsi="Segoe UI Light"/>
                                <w:bCs/>
                                <w:color w:val="000000" w:themeColor="text1"/>
                                <w:sz w:val="16"/>
                                <w:szCs w:val="16"/>
                              </w:rPr>
                              <w:br/>
                            </w:r>
                            <w:r>
                              <w:rPr>
                                <w:rFonts w:ascii="Segoe UI Light" w:hAnsi="Segoe UI Light"/>
                                <w:bCs/>
                                <w:color w:val="000000" w:themeColor="text1"/>
                                <w:sz w:val="16"/>
                                <w:szCs w:val="16"/>
                              </w:rPr>
                              <w:t>864</w:t>
                            </w:r>
                          </w:p>
                          <w:p w14:paraId="32C63C7F" w14:textId="77777777" w:rsidR="005A28CF" w:rsidRPr="002B49BA" w:rsidRDefault="005A28CF" w:rsidP="007D14BF">
                            <w:pPr>
                              <w:spacing w:before="40"/>
                              <w:jc w:val="center"/>
                              <w:rPr>
                                <w:rFonts w:ascii="Segoe UI Light" w:hAnsi="Segoe UI Light"/>
                                <w:b/>
                                <w:sz w:val="16"/>
                                <w:szCs w:val="16"/>
                              </w:rPr>
                            </w:pPr>
                          </w:p>
                        </w:txbxContent>
                      </v:textbox>
                      <w10:anchorlock/>
                    </v:rect>
                  </w:pict>
                </mc:Fallback>
              </mc:AlternateContent>
            </w:r>
          </w:p>
        </w:tc>
        <w:tc>
          <w:tcPr>
            <w:tcW w:w="567" w:type="dxa"/>
            <w:shd w:val="clear" w:color="auto" w:fill="auto"/>
          </w:tcPr>
          <w:p w14:paraId="06432873" w14:textId="77777777" w:rsidR="007D14BF" w:rsidRPr="003B4CDA" w:rsidRDefault="007D14BF" w:rsidP="00D209BD">
            <w:pPr>
              <w:spacing w:before="40" w:after="40"/>
              <w:ind w:left="-113" w:right="-113"/>
              <w:jc w:val="center"/>
              <w:rPr>
                <w:rFonts w:ascii="Segoe UI Light" w:hAnsi="Segoe UI Light" w:cs="Arial"/>
                <w:noProof/>
                <w:sz w:val="16"/>
                <w:szCs w:val="16"/>
                <w:lang w:eastAsia="lv-LV"/>
              </w:rPr>
            </w:pPr>
            <w:r w:rsidRPr="003B4CDA">
              <w:rPr>
                <w:rFonts w:ascii="Segoe UI Light" w:hAnsi="Segoe UI Light" w:cs="Arial"/>
                <w:noProof/>
                <w:sz w:val="16"/>
                <w:szCs w:val="16"/>
                <w:lang w:eastAsia="lv-LV"/>
              </w:rPr>
              <mc:AlternateContent>
                <mc:Choice Requires="wps">
                  <w:drawing>
                    <wp:inline distT="0" distB="0" distL="0" distR="0" wp14:anchorId="20C6C961" wp14:editId="05284D1B">
                      <wp:extent cx="277978" cy="432000"/>
                      <wp:effectExtent l="0" t="0" r="8255" b="6350"/>
                      <wp:docPr id="318" name="Rectangle 318"/>
                      <wp:cNvGraphicFramePr/>
                      <a:graphic xmlns:a="http://schemas.openxmlformats.org/drawingml/2006/main">
                        <a:graphicData uri="http://schemas.microsoft.com/office/word/2010/wordprocessingShape">
                          <wps:wsp>
                            <wps:cNvSpPr/>
                            <wps:spPr>
                              <a:xfrm>
                                <a:off x="0" y="0"/>
                                <a:ext cx="277978" cy="4320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BA3C8" w14:textId="77777777" w:rsidR="005A28CF" w:rsidRPr="006F2406" w:rsidRDefault="005A28CF" w:rsidP="007D14BF">
                                  <w:pPr>
                                    <w:spacing w:before="40"/>
                                    <w:jc w:val="center"/>
                                    <w:rPr>
                                      <w:rFonts w:ascii="Segoe UI Light" w:hAnsi="Segoe UI Light"/>
                                      <w:bCs/>
                                      <w:color w:val="000000" w:themeColor="text1"/>
                                      <w:sz w:val="16"/>
                                      <w:szCs w:val="16"/>
                                    </w:rPr>
                                  </w:pPr>
                                  <w:r w:rsidRPr="006F2406">
                                    <w:rPr>
                                      <w:rFonts w:ascii="Segoe UI Light" w:hAnsi="Segoe UI Light"/>
                                      <w:bCs/>
                                      <w:color w:val="000000" w:themeColor="text1"/>
                                      <w:sz w:val="10"/>
                                      <w:szCs w:val="10"/>
                                    </w:rPr>
                                    <w:t>Bez</w:t>
                                  </w:r>
                                  <w:r>
                                    <w:rPr>
                                      <w:rFonts w:ascii="Segoe UI Light" w:hAnsi="Segoe UI Light"/>
                                      <w:bCs/>
                                      <w:color w:val="000000" w:themeColor="text1"/>
                                      <w:sz w:val="10"/>
                                      <w:szCs w:val="10"/>
                                    </w:rPr>
                                    <w:t>-</w:t>
                                  </w:r>
                                  <w:r w:rsidRPr="006F2406">
                                    <w:rPr>
                                      <w:rFonts w:ascii="Segoe UI Light" w:hAnsi="Segoe UI Light"/>
                                      <w:bCs/>
                                      <w:color w:val="000000" w:themeColor="text1"/>
                                      <w:sz w:val="10"/>
                                      <w:szCs w:val="10"/>
                                    </w:rPr>
                                    <w:t>darb</w:t>
                                  </w:r>
                                  <w:r>
                                    <w:rPr>
                                      <w:rFonts w:ascii="Segoe UI Light" w:hAnsi="Segoe UI Light"/>
                                      <w:bCs/>
                                      <w:color w:val="000000" w:themeColor="text1"/>
                                      <w:sz w:val="10"/>
                                      <w:szCs w:val="10"/>
                                    </w:rPr>
                                    <w:t>-</w:t>
                                  </w:r>
                                  <w:r w:rsidRPr="006F2406">
                                    <w:rPr>
                                      <w:rFonts w:ascii="Segoe UI Light" w:hAnsi="Segoe UI Light"/>
                                      <w:bCs/>
                                      <w:color w:val="000000" w:themeColor="text1"/>
                                      <w:sz w:val="10"/>
                                      <w:szCs w:val="10"/>
                                    </w:rPr>
                                    <w:t>nieki</w:t>
                                  </w:r>
                                  <w:r w:rsidRPr="006F2406">
                                    <w:rPr>
                                      <w:rFonts w:ascii="Segoe UI Light" w:hAnsi="Segoe UI Light"/>
                                      <w:bCs/>
                                      <w:color w:val="000000" w:themeColor="text1"/>
                                      <w:sz w:val="10"/>
                                      <w:szCs w:val="10"/>
                                    </w:rPr>
                                    <w:br/>
                                  </w:r>
                                  <w:r>
                                    <w:rPr>
                                      <w:rFonts w:ascii="Segoe UI Light" w:hAnsi="Segoe UI Light"/>
                                      <w:bCs/>
                                      <w:color w:val="000000" w:themeColor="text1"/>
                                      <w:sz w:val="16"/>
                                      <w:szCs w:val="16"/>
                                    </w:rPr>
                                    <w:t>7</w:t>
                                  </w:r>
                                  <w:r w:rsidRPr="006F2406">
                                    <w:rPr>
                                      <w:rFonts w:ascii="Segoe UI Light" w:hAnsi="Segoe UI Light"/>
                                      <w:bCs/>
                                      <w:color w:val="000000" w:themeColor="text1"/>
                                      <w:sz w:val="16"/>
                                      <w:szCs w:val="16"/>
                                    </w:rPr>
                                    <w:t>1</w:t>
                                  </w:r>
                                </w:p>
                                <w:p w14:paraId="2B973315" w14:textId="77777777" w:rsidR="005A28CF" w:rsidRDefault="005A28CF" w:rsidP="007D14BF">
                                  <w:pPr>
                                    <w:jc w:val="center"/>
                                  </w:pPr>
                                </w:p>
                                <w:p w14:paraId="628F772E" w14:textId="77777777" w:rsidR="005A28CF" w:rsidRDefault="005A28CF" w:rsidP="007D14BF">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0C6C961" id="Rectangle 318" o:spid="_x0000_s1029" style="width:21.9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6BjQIAAI0FAAAOAAAAZHJzL2Uyb0RvYy54bWysVN9P2zAQfp+0/8Hy+0gLG7CKFFUgpkkI&#10;KmDi2XXsJpLj885uk+6v39lOwsbQHqa9JGff78/f3cVl3xq2V+gbsCWfH804U1ZC1dhtyb893Xw4&#10;58wHYSthwKqSH5Tnl8v37y46t1DHUIOpFDIKYv2icyWvQ3CLovCyVq3wR+CUJaUGbEWgI26LCkVH&#10;0VtTHM9mp0UHWDkEqbyn2+us5MsUX2slw73WXgVmSk61hfTF9N3Eb7G8EIstClc3cihD/EMVrWgs&#10;JZ1CXYsg2A6bP0K1jUTwoMORhLYArRupUg/UzXz2qpvHWjiVeiFwvJtg8v8vrLzbr5E1VclP5vRU&#10;VrT0SA8Em7Bbo1i8JIg65xdk+ejWOJw8ibHfXmMb/9QJ6xOshwlW1Qcm6fL47OzzGQWXpPp4Qq+W&#10;YC9enB368EVBy6JQcqT0CUyxv/WBEpLpaBJzeTBNddMYkw6RKerKINsLemMhpbLhNBZNXr9ZGhvt&#10;LUTPrI43Rewtd5OkcDAq2hn7oDQBE+tPxSRKvk40z6paVCrn/0Tdje1NHqmWFDBG1pR/ij0EeKuJ&#10;+dDEYB9dVWL05Dz7W2G5xckjZQYbJue2sYBvBTBhypztR5AyNBGl0G/6TJqRHRuoDkQkhDxh3smb&#10;hh7zVviwFkgjRcNHayLc00cb6EoOg8RZDfjjrftoT0wnLWcdjWjJ/fedQMWZ+WppBuI8jwKOwmYU&#10;7K69AmLEnBaQk0kkBwxmFDVC+0zbYxWzkEpYSblKLgOOh6uQVwXtH6lWq2RGc+tEuLWPTsbgEddI&#10;zqf+WaAbGByI+ncwjq9YvCJyto2eFla7ALpJLI/IZhwHxGnmE3WG/RSXyq/nZPWyRZc/AQAA//8D&#10;AFBLAwQUAAYACAAAACEArFk/ktsAAAADAQAADwAAAGRycy9kb3ducmV2LnhtbEyPzU7DMBCE70i8&#10;g7VI3KjTgqqSxqlapMKFAw0Iwc2Nt0lUex3Fzg9vz8IFLiOtZjXzTbaZnBUDdqHxpGA+S0Agld40&#10;VCl4e93frECEqMlo6wkVfGGATX55kenU+JEOOBSxEhxCIdUK6hjbVMpQ1uh0mPkWib2T75yOfHaV&#10;NJ0eOdxZuUiSpXS6IW6odYsPNZbnoncK7P6zOQ+P74unl11xuv8Yn30vS6Wur6btGkTEKf49ww8+&#10;o0POTEffkwnCKuAh8VfZu7vlFUcFy1UCMs/kf/b8GwAA//8DAFBLAQItABQABgAIAAAAIQC2gziS&#10;/gAAAOEBAAATAAAAAAAAAAAAAAAAAAAAAABbQ29udGVudF9UeXBlc10ueG1sUEsBAi0AFAAGAAgA&#10;AAAhADj9If/WAAAAlAEAAAsAAAAAAAAAAAAAAAAALwEAAF9yZWxzLy5yZWxzUEsBAi0AFAAGAAgA&#10;AAAhAOsoDoGNAgAAjQUAAA4AAAAAAAAAAAAAAAAALgIAAGRycy9lMm9Eb2MueG1sUEsBAi0AFAAG&#10;AAgAAAAhAKxZP5LbAAAAAwEAAA8AAAAAAAAAAAAAAAAA5wQAAGRycy9kb3ducmV2LnhtbFBLBQYA&#10;AAAABAAEAPMAAADvBQAAAAA=&#10;" fillcolor="#f79646 [3209]" stroked="f" strokeweight="2pt">
                      <v:textbox inset="0,0,0,0">
                        <w:txbxContent>
                          <w:p w14:paraId="7A0BA3C8" w14:textId="77777777" w:rsidR="005A28CF" w:rsidRPr="006F2406" w:rsidRDefault="005A28CF" w:rsidP="007D14BF">
                            <w:pPr>
                              <w:spacing w:before="40"/>
                              <w:jc w:val="center"/>
                              <w:rPr>
                                <w:rFonts w:ascii="Segoe UI Light" w:hAnsi="Segoe UI Light"/>
                                <w:bCs/>
                                <w:color w:val="000000" w:themeColor="text1"/>
                                <w:sz w:val="16"/>
                                <w:szCs w:val="16"/>
                              </w:rPr>
                            </w:pPr>
                            <w:r w:rsidRPr="006F2406">
                              <w:rPr>
                                <w:rFonts w:ascii="Segoe UI Light" w:hAnsi="Segoe UI Light"/>
                                <w:bCs/>
                                <w:color w:val="000000" w:themeColor="text1"/>
                                <w:sz w:val="10"/>
                                <w:szCs w:val="10"/>
                              </w:rPr>
                              <w:t>Bez</w:t>
                            </w:r>
                            <w:r>
                              <w:rPr>
                                <w:rFonts w:ascii="Segoe UI Light" w:hAnsi="Segoe UI Light"/>
                                <w:bCs/>
                                <w:color w:val="000000" w:themeColor="text1"/>
                                <w:sz w:val="10"/>
                                <w:szCs w:val="10"/>
                              </w:rPr>
                              <w:t>-</w:t>
                            </w:r>
                            <w:r w:rsidRPr="006F2406">
                              <w:rPr>
                                <w:rFonts w:ascii="Segoe UI Light" w:hAnsi="Segoe UI Light"/>
                                <w:bCs/>
                                <w:color w:val="000000" w:themeColor="text1"/>
                                <w:sz w:val="10"/>
                                <w:szCs w:val="10"/>
                              </w:rPr>
                              <w:t>darb</w:t>
                            </w:r>
                            <w:r>
                              <w:rPr>
                                <w:rFonts w:ascii="Segoe UI Light" w:hAnsi="Segoe UI Light"/>
                                <w:bCs/>
                                <w:color w:val="000000" w:themeColor="text1"/>
                                <w:sz w:val="10"/>
                                <w:szCs w:val="10"/>
                              </w:rPr>
                              <w:t>-</w:t>
                            </w:r>
                            <w:r w:rsidRPr="006F2406">
                              <w:rPr>
                                <w:rFonts w:ascii="Segoe UI Light" w:hAnsi="Segoe UI Light"/>
                                <w:bCs/>
                                <w:color w:val="000000" w:themeColor="text1"/>
                                <w:sz w:val="10"/>
                                <w:szCs w:val="10"/>
                              </w:rPr>
                              <w:t>nieki</w:t>
                            </w:r>
                            <w:r w:rsidRPr="006F2406">
                              <w:rPr>
                                <w:rFonts w:ascii="Segoe UI Light" w:hAnsi="Segoe UI Light"/>
                                <w:bCs/>
                                <w:color w:val="000000" w:themeColor="text1"/>
                                <w:sz w:val="10"/>
                                <w:szCs w:val="10"/>
                              </w:rPr>
                              <w:br/>
                            </w:r>
                            <w:r>
                              <w:rPr>
                                <w:rFonts w:ascii="Segoe UI Light" w:hAnsi="Segoe UI Light"/>
                                <w:bCs/>
                                <w:color w:val="000000" w:themeColor="text1"/>
                                <w:sz w:val="16"/>
                                <w:szCs w:val="16"/>
                              </w:rPr>
                              <w:t>7</w:t>
                            </w:r>
                            <w:r w:rsidRPr="006F2406">
                              <w:rPr>
                                <w:rFonts w:ascii="Segoe UI Light" w:hAnsi="Segoe UI Light"/>
                                <w:bCs/>
                                <w:color w:val="000000" w:themeColor="text1"/>
                                <w:sz w:val="16"/>
                                <w:szCs w:val="16"/>
                              </w:rPr>
                              <w:t>1</w:t>
                            </w:r>
                          </w:p>
                          <w:p w14:paraId="2B973315" w14:textId="77777777" w:rsidR="005A28CF" w:rsidRDefault="005A28CF" w:rsidP="007D14BF">
                            <w:pPr>
                              <w:jc w:val="center"/>
                            </w:pPr>
                          </w:p>
                          <w:p w14:paraId="628F772E" w14:textId="77777777" w:rsidR="005A28CF" w:rsidRDefault="005A28CF" w:rsidP="007D14BF">
                            <w:pPr>
                              <w:jc w:val="center"/>
                            </w:pPr>
                          </w:p>
                        </w:txbxContent>
                      </v:textbox>
                      <w10:anchorlock/>
                    </v:rect>
                  </w:pict>
                </mc:Fallback>
              </mc:AlternateContent>
            </w:r>
          </w:p>
        </w:tc>
        <w:tc>
          <w:tcPr>
            <w:tcW w:w="2692" w:type="dxa"/>
            <w:gridSpan w:val="2"/>
            <w:shd w:val="clear" w:color="auto" w:fill="auto"/>
          </w:tcPr>
          <w:p w14:paraId="59736E7C" w14:textId="77777777" w:rsidR="007D14BF" w:rsidRPr="003B4CDA" w:rsidRDefault="007D14BF" w:rsidP="00D209BD">
            <w:pPr>
              <w:spacing w:before="40" w:after="40"/>
              <w:ind w:left="-113"/>
              <w:jc w:val="center"/>
              <w:rPr>
                <w:rFonts w:ascii="Segoe UI Light" w:hAnsi="Segoe UI Light" w:cs="Arial"/>
                <w:noProof/>
                <w:sz w:val="16"/>
                <w:szCs w:val="16"/>
                <w:lang w:eastAsia="lv-LV"/>
              </w:rPr>
            </w:pPr>
            <w:r w:rsidRPr="003B4CDA">
              <w:rPr>
                <w:rFonts w:ascii="Segoe UI Light" w:hAnsi="Segoe UI Light" w:cs="Arial"/>
                <w:noProof/>
                <w:sz w:val="16"/>
                <w:szCs w:val="16"/>
                <w:lang w:eastAsia="lv-LV"/>
              </w:rPr>
              <mc:AlternateContent>
                <mc:Choice Requires="wps">
                  <w:drawing>
                    <wp:inline distT="0" distB="0" distL="0" distR="0" wp14:anchorId="7622C77E" wp14:editId="2F4C1FF1">
                      <wp:extent cx="1631289" cy="432000"/>
                      <wp:effectExtent l="0" t="0" r="7620" b="6350"/>
                      <wp:docPr id="319" name="Rectangle 319"/>
                      <wp:cNvGraphicFramePr/>
                      <a:graphic xmlns:a="http://schemas.openxmlformats.org/drawingml/2006/main">
                        <a:graphicData uri="http://schemas.microsoft.com/office/word/2010/wordprocessingShape">
                          <wps:wsp>
                            <wps:cNvSpPr/>
                            <wps:spPr>
                              <a:xfrm>
                                <a:off x="0" y="0"/>
                                <a:ext cx="1631289" cy="43200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C15A6" w14:textId="77777777" w:rsidR="005A28CF" w:rsidRPr="006450B1" w:rsidRDefault="005A28CF" w:rsidP="007D14BF">
                                  <w:pPr>
                                    <w:spacing w:before="40"/>
                                    <w:jc w:val="center"/>
                                    <w:rPr>
                                      <w:rFonts w:ascii="Segoe UI Light" w:hAnsi="Segoe UI Light"/>
                                      <w:bCs/>
                                      <w:sz w:val="16"/>
                                      <w:szCs w:val="16"/>
                                    </w:rPr>
                                  </w:pPr>
                                  <w:r w:rsidRPr="006450B1">
                                    <w:rPr>
                                      <w:rFonts w:ascii="Segoe UI Light" w:hAnsi="Segoe UI Light"/>
                                      <w:bCs/>
                                      <w:sz w:val="16"/>
                                      <w:szCs w:val="16"/>
                                    </w:rPr>
                                    <w:t>Ekonomiski neaktīvie</w:t>
                                  </w:r>
                                  <w:r w:rsidRPr="006450B1">
                                    <w:rPr>
                                      <w:rFonts w:ascii="Segoe UI Light" w:hAnsi="Segoe UI Light"/>
                                      <w:bCs/>
                                      <w:sz w:val="16"/>
                                      <w:szCs w:val="16"/>
                                    </w:rPr>
                                    <w:br/>
                                    <w:t>4</w:t>
                                  </w:r>
                                  <w:r>
                                    <w:rPr>
                                      <w:rFonts w:ascii="Segoe UI Light" w:hAnsi="Segoe UI Light"/>
                                      <w:bCs/>
                                      <w:sz w:val="16"/>
                                      <w:szCs w:val="16"/>
                                    </w:rPr>
                                    <w:t>47</w:t>
                                  </w:r>
                                </w:p>
                                <w:p w14:paraId="7A375765" w14:textId="77777777" w:rsidR="005A28CF" w:rsidRDefault="005A28CF" w:rsidP="007D14BF">
                                  <w:pPr>
                                    <w:spacing w:before="40"/>
                                    <w:jc w:val="center"/>
                                    <w:rPr>
                                      <w:rFonts w:ascii="Segoe UI Light" w:hAnsi="Segoe UI Light"/>
                                      <w:b/>
                                      <w:sz w:val="16"/>
                                      <w:szCs w:val="16"/>
                                    </w:rPr>
                                  </w:pPr>
                                </w:p>
                                <w:p w14:paraId="3820B295" w14:textId="77777777" w:rsidR="005A28CF" w:rsidRDefault="005A28CF" w:rsidP="007D14BF">
                                  <w:pPr>
                                    <w:spacing w:before="40"/>
                                    <w:jc w:val="center"/>
                                    <w:rPr>
                                      <w:rFonts w:ascii="Segoe UI Light" w:hAnsi="Segoe UI Light"/>
                                      <w:b/>
                                      <w:sz w:val="16"/>
                                      <w:szCs w:val="16"/>
                                    </w:rPr>
                                  </w:pPr>
                                </w:p>
                                <w:p w14:paraId="596FBF64" w14:textId="77777777" w:rsidR="005A28CF" w:rsidRPr="002B49BA" w:rsidRDefault="005A28CF" w:rsidP="007D14BF">
                                  <w:pPr>
                                    <w:spacing w:before="40"/>
                                    <w:jc w:val="center"/>
                                    <w:rPr>
                                      <w:rFonts w:ascii="Segoe UI Light" w:hAnsi="Segoe UI Light"/>
                                      <w:b/>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622C77E" id="Rectangle 319" o:spid="_x0000_s1030" style="width:128.45pt;height: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u8mwIAAK4FAAAOAAAAZHJzL2Uyb0RvYy54bWysVFFP2zAQfp+0/2D5faQpDLGKFFUgpkkM&#10;KmDi2XXsJpLt82y3Sffrd7aTMBjapGkvztm++z7fl7s7v+i1InvhfAumouXRjBJhONSt2Vb02+P1&#10;hzNKfGCmZgqMqOhBeHqxfP/uvLMLMYcGVC0cQRDjF52taBOCXRSF543QzB+BFQYvJTjNAm7dtqgd&#10;6xBdq2I+m50WHbjaOuDCezy9ypd0mfClFDzcSelFIKqi+LaQVpfWTVyL5TlbbB2zTcuHZ7B/eIVm&#10;rUHSCeqKBUZ2rv0NSrfcgQcZjjjoAqRsuUg5YDbl7FU2Dw2zIuWC4ng7yeT/Hyy/3a8daeuKHpef&#10;KDFM40+6R9mY2SpB4iFK1Fm/QM8Hu3bDzqMZ8+2l0/GLmZA+yXqYZBV9IBwPy9Pjcn6G6BzvTo7x&#10;tyXdi+do63z4LECTaFTUIX9Sk+1vfEBGdB1dIpkH1dbXrVJpE0tFXCpH9gx/8mZbplC101+hzmcf&#10;kXGkTJUV3RPqCyRlIp6BiJxJ40kRk8/pJisclIh+ytwLicphgvPEOCFnUsa5MCE/xjesFn97SwKM&#10;yBL5J+wB4GWSI3Z+5eAfQ0Uq+Sl49qeH5eApIjGDCVOwbg24twAUZjUwZ/9RpCxNVCn0mz5V1clY&#10;PhuoD1hpDnILesuvW/zZN8yHNXPYc9idOEfCHS5SQVdRGCxKGnA/3jqP/tgKeEtJhz1cUf99x5yg&#10;RH0x2CSx4UfDjcZmNMxOXwJWTIkTyvJkYoALajSlA/2E42UVWfCKGY5cFeXBjZvLkGcJDiguVqvk&#10;ho1tWbgxD5ZH8KhrLN7H/ok5O1R4wN64hbG/2eJVoWffGGlgtQsg29QFUdms46A4DoVUxsMAi1Pn&#10;133yeh6zy58AAAD//wMAUEsDBBQABgAIAAAAIQDu9cn73AAAAAQBAAAPAAAAZHJzL2Rvd25yZXYu&#10;eG1sTI/BTsMwEETvSPyDtUjcqE0EURviVIgC6qE9tKCe3XiJI+x1FLttyNdjuLSXlUYzmnlbzgdn&#10;2RH70HqScD8RwJBqr1tqJHx+vN1NgYWoSCvrCSX8YIB5dX1VqkL7E23wuI0NSyUUCiXBxNgVnIfa&#10;oFNh4juk5H353qmYZN9w3atTKneWZ0Lk3KmW0oJRHb4YrL+3BydhtxTmdTmOs4V9sGGM77vVYp1J&#10;eXszPD8BizjEcxj+8BM6VIlp7w+kA7MS0iPx/yYve8xnwPYS8qkAXpX8Er76BQAA//8DAFBLAQIt&#10;ABQABgAIAAAAIQC2gziS/gAAAOEBAAATAAAAAAAAAAAAAAAAAAAAAABbQ29udGVudF9UeXBlc10u&#10;eG1sUEsBAi0AFAAGAAgAAAAhADj9If/WAAAAlAEAAAsAAAAAAAAAAAAAAAAALwEAAF9yZWxzLy5y&#10;ZWxzUEsBAi0AFAAGAAgAAAAhAP0Kq7ybAgAArgUAAA4AAAAAAAAAAAAAAAAALgIAAGRycy9lMm9E&#10;b2MueG1sUEsBAi0AFAAGAAgAAAAhAO71yfvcAAAABAEAAA8AAAAAAAAAAAAAAAAA9QQAAGRycy9k&#10;b3ducmV2LnhtbFBLBQYAAAAABAAEAPMAAAD+BQAAAAA=&#10;" fillcolor="#7f7f7f [1612]" stroked="f" strokeweight="2pt">
                      <v:textbox inset="0,0,0,0">
                        <w:txbxContent>
                          <w:p w14:paraId="34DC15A6" w14:textId="77777777" w:rsidR="005A28CF" w:rsidRPr="006450B1" w:rsidRDefault="005A28CF" w:rsidP="007D14BF">
                            <w:pPr>
                              <w:spacing w:before="40"/>
                              <w:jc w:val="center"/>
                              <w:rPr>
                                <w:rFonts w:ascii="Segoe UI Light" w:hAnsi="Segoe UI Light"/>
                                <w:bCs/>
                                <w:sz w:val="16"/>
                                <w:szCs w:val="16"/>
                              </w:rPr>
                            </w:pPr>
                            <w:r w:rsidRPr="006450B1">
                              <w:rPr>
                                <w:rFonts w:ascii="Segoe UI Light" w:hAnsi="Segoe UI Light"/>
                                <w:bCs/>
                                <w:sz w:val="16"/>
                                <w:szCs w:val="16"/>
                              </w:rPr>
                              <w:t>Ekonomiski neaktīvie</w:t>
                            </w:r>
                            <w:r w:rsidRPr="006450B1">
                              <w:rPr>
                                <w:rFonts w:ascii="Segoe UI Light" w:hAnsi="Segoe UI Light"/>
                                <w:bCs/>
                                <w:sz w:val="16"/>
                                <w:szCs w:val="16"/>
                              </w:rPr>
                              <w:br/>
                              <w:t>4</w:t>
                            </w:r>
                            <w:r>
                              <w:rPr>
                                <w:rFonts w:ascii="Segoe UI Light" w:hAnsi="Segoe UI Light"/>
                                <w:bCs/>
                                <w:sz w:val="16"/>
                                <w:szCs w:val="16"/>
                              </w:rPr>
                              <w:t>47</w:t>
                            </w:r>
                          </w:p>
                          <w:p w14:paraId="7A375765" w14:textId="77777777" w:rsidR="005A28CF" w:rsidRDefault="005A28CF" w:rsidP="007D14BF">
                            <w:pPr>
                              <w:spacing w:before="40"/>
                              <w:jc w:val="center"/>
                              <w:rPr>
                                <w:rFonts w:ascii="Segoe UI Light" w:hAnsi="Segoe UI Light"/>
                                <w:b/>
                                <w:sz w:val="16"/>
                                <w:szCs w:val="16"/>
                              </w:rPr>
                            </w:pPr>
                          </w:p>
                          <w:p w14:paraId="3820B295" w14:textId="77777777" w:rsidR="005A28CF" w:rsidRDefault="005A28CF" w:rsidP="007D14BF">
                            <w:pPr>
                              <w:spacing w:before="40"/>
                              <w:jc w:val="center"/>
                              <w:rPr>
                                <w:rFonts w:ascii="Segoe UI Light" w:hAnsi="Segoe UI Light"/>
                                <w:b/>
                                <w:sz w:val="16"/>
                                <w:szCs w:val="16"/>
                              </w:rPr>
                            </w:pPr>
                          </w:p>
                          <w:p w14:paraId="596FBF64" w14:textId="77777777" w:rsidR="005A28CF" w:rsidRPr="002B49BA" w:rsidRDefault="005A28CF" w:rsidP="007D14BF">
                            <w:pPr>
                              <w:spacing w:before="40"/>
                              <w:jc w:val="center"/>
                              <w:rPr>
                                <w:rFonts w:ascii="Segoe UI Light" w:hAnsi="Segoe UI Light"/>
                                <w:b/>
                                <w:sz w:val="16"/>
                                <w:szCs w:val="16"/>
                              </w:rPr>
                            </w:pPr>
                          </w:p>
                        </w:txbxContent>
                      </v:textbox>
                      <w10:anchorlock/>
                    </v:rect>
                  </w:pict>
                </mc:Fallback>
              </mc:AlternateContent>
            </w:r>
          </w:p>
        </w:tc>
      </w:tr>
      <w:tr w:rsidR="007D14BF" w:rsidRPr="003B4CDA" w14:paraId="35B16398" w14:textId="77777777" w:rsidTr="00D209BD">
        <w:trPr>
          <w:jc w:val="center"/>
        </w:trPr>
        <w:tc>
          <w:tcPr>
            <w:tcW w:w="8079" w:type="dxa"/>
            <w:gridSpan w:val="3"/>
          </w:tcPr>
          <w:p w14:paraId="28D8C6B4" w14:textId="77777777" w:rsidR="007D14BF" w:rsidRPr="003B4CDA" w:rsidRDefault="007D14BF" w:rsidP="00D209BD">
            <w:pPr>
              <w:spacing w:before="20" w:after="20"/>
              <w:ind w:left="6131"/>
              <w:rPr>
                <w:rFonts w:ascii="Segoe UI Light" w:hAnsi="Segoe UI Light" w:cs="Arial"/>
                <w:sz w:val="16"/>
                <w:szCs w:val="16"/>
              </w:rPr>
            </w:pPr>
            <w:r w:rsidRPr="003B4CDA">
              <w:rPr>
                <w:rFonts w:ascii="Segoe UI Light" w:hAnsi="Segoe UI Light" w:cs="Arial"/>
                <w:sz w:val="16"/>
                <w:szCs w:val="16"/>
              </w:rPr>
              <w:t>skolēni, studenti</w:t>
            </w:r>
          </w:p>
        </w:tc>
        <w:tc>
          <w:tcPr>
            <w:tcW w:w="709" w:type="dxa"/>
          </w:tcPr>
          <w:p w14:paraId="1F4BB026" w14:textId="77777777" w:rsidR="007D14BF" w:rsidRPr="003B4CDA" w:rsidRDefault="007D14BF" w:rsidP="00D209BD">
            <w:pPr>
              <w:spacing w:before="20" w:after="20"/>
              <w:ind w:left="-113" w:right="113"/>
              <w:jc w:val="right"/>
              <w:rPr>
                <w:rFonts w:ascii="Segoe UI Light" w:hAnsi="Segoe UI Light" w:cs="Arial"/>
                <w:sz w:val="16"/>
                <w:szCs w:val="16"/>
              </w:rPr>
            </w:pPr>
            <w:r w:rsidRPr="003B4CDA">
              <w:rPr>
                <w:rFonts w:ascii="Segoe UI Light" w:hAnsi="Segoe UI Light" w:cs="Arial"/>
                <w:sz w:val="16"/>
                <w:szCs w:val="16"/>
              </w:rPr>
              <w:t>10</w:t>
            </w:r>
            <w:r>
              <w:rPr>
                <w:rFonts w:ascii="Segoe UI Light" w:hAnsi="Segoe UI Light" w:cs="Arial"/>
                <w:sz w:val="16"/>
                <w:szCs w:val="16"/>
              </w:rPr>
              <w:t>8</w:t>
            </w:r>
          </w:p>
        </w:tc>
      </w:tr>
      <w:tr w:rsidR="007D14BF" w:rsidRPr="003B4CDA" w14:paraId="0D8BFCBD" w14:textId="77777777" w:rsidTr="00D209BD">
        <w:trPr>
          <w:jc w:val="center"/>
        </w:trPr>
        <w:tc>
          <w:tcPr>
            <w:tcW w:w="8079" w:type="dxa"/>
            <w:gridSpan w:val="3"/>
          </w:tcPr>
          <w:p w14:paraId="71468420" w14:textId="77777777" w:rsidR="007D14BF" w:rsidRPr="003B4CDA" w:rsidRDefault="007D14BF" w:rsidP="00D209BD">
            <w:pPr>
              <w:spacing w:before="20" w:after="20"/>
              <w:ind w:left="6131"/>
              <w:rPr>
                <w:rFonts w:ascii="Segoe UI Light" w:hAnsi="Segoe UI Light" w:cs="Arial"/>
                <w:sz w:val="16"/>
                <w:szCs w:val="16"/>
              </w:rPr>
            </w:pPr>
            <w:r w:rsidRPr="003B4CDA">
              <w:rPr>
                <w:rFonts w:ascii="Segoe UI Light" w:hAnsi="Segoe UI Light" w:cs="Arial"/>
                <w:sz w:val="16"/>
                <w:szCs w:val="16"/>
              </w:rPr>
              <w:t>pensionāri, kas saņem tikai pensiju</w:t>
            </w:r>
          </w:p>
        </w:tc>
        <w:tc>
          <w:tcPr>
            <w:tcW w:w="709" w:type="dxa"/>
          </w:tcPr>
          <w:p w14:paraId="3947AB86" w14:textId="77777777" w:rsidR="007D14BF" w:rsidRPr="003B4CDA" w:rsidRDefault="007D14BF" w:rsidP="00D209BD">
            <w:pPr>
              <w:spacing w:before="20" w:after="20"/>
              <w:ind w:left="-113" w:right="113"/>
              <w:jc w:val="right"/>
              <w:rPr>
                <w:rFonts w:ascii="Segoe UI Light" w:hAnsi="Segoe UI Light" w:cs="Arial"/>
                <w:sz w:val="16"/>
                <w:szCs w:val="16"/>
              </w:rPr>
            </w:pPr>
            <w:r w:rsidRPr="003B4CDA">
              <w:rPr>
                <w:rFonts w:ascii="Segoe UI Light" w:hAnsi="Segoe UI Light" w:cs="Arial"/>
                <w:sz w:val="16"/>
                <w:szCs w:val="16"/>
              </w:rPr>
              <w:t>18</w:t>
            </w:r>
            <w:r>
              <w:rPr>
                <w:rFonts w:ascii="Segoe UI Light" w:hAnsi="Segoe UI Light" w:cs="Arial"/>
                <w:sz w:val="16"/>
                <w:szCs w:val="16"/>
              </w:rPr>
              <w:t>7</w:t>
            </w:r>
          </w:p>
        </w:tc>
      </w:tr>
      <w:tr w:rsidR="007D14BF" w:rsidRPr="003B4CDA" w14:paraId="025239C8" w14:textId="77777777" w:rsidTr="00D209BD">
        <w:trPr>
          <w:jc w:val="center"/>
        </w:trPr>
        <w:tc>
          <w:tcPr>
            <w:tcW w:w="8079" w:type="dxa"/>
            <w:gridSpan w:val="3"/>
          </w:tcPr>
          <w:p w14:paraId="4E6B95F5" w14:textId="77777777" w:rsidR="007D14BF" w:rsidRPr="003B4CDA" w:rsidRDefault="007D14BF" w:rsidP="00D209BD">
            <w:pPr>
              <w:spacing w:before="20" w:after="20"/>
              <w:ind w:left="6131"/>
              <w:rPr>
                <w:rFonts w:ascii="Segoe UI Light" w:hAnsi="Segoe UI Light" w:cs="Arial"/>
                <w:sz w:val="16"/>
                <w:szCs w:val="16"/>
              </w:rPr>
            </w:pPr>
            <w:r w:rsidRPr="003B4CDA">
              <w:rPr>
                <w:rFonts w:ascii="Segoe UI Light" w:hAnsi="Segoe UI Light" w:cs="Arial"/>
                <w:color w:val="000000" w:themeColor="text1"/>
                <w:sz w:val="16"/>
                <w:szCs w:val="16"/>
              </w:rPr>
              <w:t>mājsaimnieki/-</w:t>
            </w:r>
            <w:proofErr w:type="spellStart"/>
            <w:r w:rsidRPr="003B4CDA">
              <w:rPr>
                <w:rFonts w:ascii="Segoe UI Light" w:hAnsi="Segoe UI Light" w:cs="Arial"/>
                <w:color w:val="000000" w:themeColor="text1"/>
                <w:sz w:val="16"/>
                <w:szCs w:val="16"/>
              </w:rPr>
              <w:t>ces</w:t>
            </w:r>
            <w:proofErr w:type="spellEnd"/>
          </w:p>
        </w:tc>
        <w:tc>
          <w:tcPr>
            <w:tcW w:w="709" w:type="dxa"/>
          </w:tcPr>
          <w:p w14:paraId="1064B3CB" w14:textId="77777777" w:rsidR="007D14BF" w:rsidRPr="003B4CDA" w:rsidRDefault="007D14BF" w:rsidP="00D209BD">
            <w:pPr>
              <w:spacing w:before="20" w:after="20"/>
              <w:ind w:left="-113" w:right="113"/>
              <w:jc w:val="right"/>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6</w:t>
            </w:r>
            <w:r>
              <w:rPr>
                <w:rFonts w:ascii="Segoe UI Light" w:hAnsi="Segoe UI Light" w:cs="Arial"/>
                <w:color w:val="000000" w:themeColor="text1"/>
                <w:sz w:val="16"/>
                <w:szCs w:val="16"/>
              </w:rPr>
              <w:t>7</w:t>
            </w:r>
          </w:p>
        </w:tc>
      </w:tr>
      <w:tr w:rsidR="007D14BF" w:rsidRPr="003B4CDA" w14:paraId="196D5EA4" w14:textId="77777777" w:rsidTr="00D209BD">
        <w:trPr>
          <w:jc w:val="center"/>
        </w:trPr>
        <w:tc>
          <w:tcPr>
            <w:tcW w:w="8079" w:type="dxa"/>
            <w:gridSpan w:val="3"/>
          </w:tcPr>
          <w:p w14:paraId="277F68A0" w14:textId="77777777" w:rsidR="007D14BF" w:rsidRPr="003B4CDA" w:rsidRDefault="007D14BF" w:rsidP="00D209BD">
            <w:pPr>
              <w:spacing w:before="20" w:after="20"/>
              <w:ind w:left="6131"/>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invalīdi, ilgstoši darbnespējīgās personas</w:t>
            </w:r>
          </w:p>
        </w:tc>
        <w:tc>
          <w:tcPr>
            <w:tcW w:w="709" w:type="dxa"/>
          </w:tcPr>
          <w:p w14:paraId="5DDD9A17" w14:textId="77777777" w:rsidR="007D14BF" w:rsidRPr="003B4CDA" w:rsidRDefault="007D14BF" w:rsidP="00D209BD">
            <w:pPr>
              <w:spacing w:before="20" w:after="20"/>
              <w:ind w:left="-113" w:right="113"/>
              <w:jc w:val="right"/>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47</w:t>
            </w:r>
          </w:p>
        </w:tc>
      </w:tr>
      <w:tr w:rsidR="007D14BF" w:rsidRPr="003B4CDA" w14:paraId="5D302A60" w14:textId="77777777" w:rsidTr="00D209BD">
        <w:trPr>
          <w:jc w:val="center"/>
        </w:trPr>
        <w:tc>
          <w:tcPr>
            <w:tcW w:w="8079" w:type="dxa"/>
            <w:gridSpan w:val="3"/>
          </w:tcPr>
          <w:p w14:paraId="13D47DD7" w14:textId="77777777" w:rsidR="007D14BF" w:rsidRPr="003B4CDA" w:rsidRDefault="007D14BF" w:rsidP="00D209BD">
            <w:pPr>
              <w:spacing w:before="20" w:after="20"/>
              <w:ind w:left="6131"/>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bērna kopšanas atvaļinājumā esošas personas</w:t>
            </w:r>
          </w:p>
        </w:tc>
        <w:tc>
          <w:tcPr>
            <w:tcW w:w="709" w:type="dxa"/>
          </w:tcPr>
          <w:p w14:paraId="59EC66CA" w14:textId="77777777" w:rsidR="007D14BF" w:rsidRPr="003B4CDA" w:rsidRDefault="007D14BF" w:rsidP="00D209BD">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4</w:t>
            </w:r>
          </w:p>
        </w:tc>
      </w:tr>
      <w:tr w:rsidR="007D14BF" w:rsidRPr="003B4CDA" w14:paraId="4019BE02" w14:textId="77777777" w:rsidTr="00D209BD">
        <w:trPr>
          <w:jc w:val="center"/>
        </w:trPr>
        <w:tc>
          <w:tcPr>
            <w:tcW w:w="8079" w:type="dxa"/>
            <w:gridSpan w:val="3"/>
          </w:tcPr>
          <w:p w14:paraId="1BD67A4C" w14:textId="77777777" w:rsidR="007D14BF" w:rsidRPr="003B4CDA" w:rsidRDefault="007D14BF" w:rsidP="00D209BD">
            <w:pPr>
              <w:spacing w:before="20" w:after="20"/>
              <w:ind w:left="6131"/>
              <w:rPr>
                <w:rFonts w:ascii="Segoe UI Light" w:hAnsi="Segoe UI Light" w:cs="Arial"/>
                <w:color w:val="000000" w:themeColor="text1"/>
                <w:sz w:val="16"/>
                <w:szCs w:val="16"/>
              </w:rPr>
            </w:pPr>
            <w:r w:rsidRPr="003B4CDA">
              <w:rPr>
                <w:rFonts w:ascii="Segoe UI Light" w:hAnsi="Segoe UI Light" w:cs="Arial"/>
                <w:color w:val="000000" w:themeColor="text1"/>
                <w:sz w:val="16"/>
                <w:szCs w:val="16"/>
              </w:rPr>
              <w:t>citi</w:t>
            </w:r>
          </w:p>
        </w:tc>
        <w:tc>
          <w:tcPr>
            <w:tcW w:w="709" w:type="dxa"/>
          </w:tcPr>
          <w:p w14:paraId="0E1E6BC9" w14:textId="77777777" w:rsidR="007D14BF" w:rsidRPr="003B4CDA" w:rsidRDefault="007D14BF" w:rsidP="00D209BD">
            <w:pPr>
              <w:spacing w:before="20" w:after="20"/>
              <w:ind w:left="-113" w:right="113"/>
              <w:jc w:val="right"/>
              <w:rPr>
                <w:rFonts w:ascii="Segoe UI Light" w:hAnsi="Segoe UI Light" w:cs="Arial"/>
                <w:color w:val="000000" w:themeColor="text1"/>
                <w:sz w:val="16"/>
                <w:szCs w:val="16"/>
              </w:rPr>
            </w:pPr>
            <w:r>
              <w:rPr>
                <w:rFonts w:ascii="Segoe UI Light" w:hAnsi="Segoe UI Light" w:cs="Arial"/>
                <w:color w:val="000000" w:themeColor="text1"/>
                <w:sz w:val="16"/>
                <w:szCs w:val="16"/>
              </w:rPr>
              <w:t>34</w:t>
            </w:r>
          </w:p>
        </w:tc>
      </w:tr>
    </w:tbl>
    <w:p w14:paraId="369B3136" w14:textId="77777777" w:rsidR="007D14BF" w:rsidRPr="00782D2E" w:rsidRDefault="007D14BF" w:rsidP="007D14BF">
      <w:pPr>
        <w:spacing w:after="120"/>
        <w:ind w:firstLine="284"/>
        <w:jc w:val="both"/>
        <w:rPr>
          <w:sz w:val="12"/>
          <w:szCs w:val="12"/>
        </w:rPr>
      </w:pPr>
      <w:r w:rsidRPr="00782D2E">
        <w:rPr>
          <w:sz w:val="12"/>
          <w:szCs w:val="12"/>
        </w:rPr>
        <w:t>Avots: CSP</w:t>
      </w:r>
    </w:p>
    <w:p w14:paraId="775876EE" w14:textId="77777777" w:rsidR="00496ED0" w:rsidRDefault="00496ED0">
      <w:pPr>
        <w:spacing w:after="0"/>
        <w:rPr>
          <w:szCs w:val="26"/>
        </w:rPr>
      </w:pPr>
      <w:r>
        <w:rPr>
          <w:szCs w:val="26"/>
        </w:rPr>
        <w:br w:type="page"/>
      </w:r>
    </w:p>
    <w:p w14:paraId="7ABBC053" w14:textId="05FA88A3" w:rsidR="007D14BF" w:rsidRDefault="007D14BF" w:rsidP="00496ED0">
      <w:pPr>
        <w:jc w:val="both"/>
        <w:rPr>
          <w:szCs w:val="26"/>
        </w:rPr>
      </w:pPr>
      <w:r w:rsidRPr="003B4CDA">
        <w:rPr>
          <w:szCs w:val="26"/>
        </w:rPr>
        <w:lastRenderedPageBreak/>
        <w:t>Ekonomiskās aktivitātes līmenis ir relatīvi stabils gandrīz visās vecuma grupās</w:t>
      </w:r>
      <w:r>
        <w:rPr>
          <w:szCs w:val="26"/>
        </w:rPr>
        <w:t>.</w:t>
      </w:r>
      <w:r w:rsidRPr="003B4CDA">
        <w:rPr>
          <w:szCs w:val="26"/>
        </w:rPr>
        <w:t xml:space="preserve"> Lielākās izmaiņas ir </w:t>
      </w:r>
      <w:proofErr w:type="spellStart"/>
      <w:r w:rsidRPr="003B4CDA">
        <w:rPr>
          <w:szCs w:val="26"/>
        </w:rPr>
        <w:t>skārušas</w:t>
      </w:r>
      <w:proofErr w:type="spellEnd"/>
      <w:r w:rsidRPr="003B4CDA">
        <w:rPr>
          <w:szCs w:val="26"/>
        </w:rPr>
        <w:t xml:space="preserve"> vecākā gadagājuma iedzīvotāju iesaisti darba tirgū. Ekonomiskās situācijas uzlabošanās un pensionēšanās vecuma palielināšanās nosaka straujāku iedzīvotāju vecumā virs 60 gadiem ekonomiskās aktivitātes līmeņa pieaugumu.</w:t>
      </w:r>
      <w:r>
        <w:rPr>
          <w:szCs w:val="26"/>
        </w:rPr>
        <w:t xml:space="preserve"> Covid-19 pandēmijas ietekmē 2021. gadā ir vērojams ekonomiskās aktivitātes samazinājums visās vecuma grupās.</w:t>
      </w:r>
    </w:p>
    <w:p w14:paraId="0FCE3CF2" w14:textId="77777777" w:rsidR="007D14BF" w:rsidRPr="003B4CDA" w:rsidRDefault="007D14BF" w:rsidP="007D14BF">
      <w:pPr>
        <w:jc w:val="right"/>
        <w:rPr>
          <w:szCs w:val="26"/>
        </w:rPr>
      </w:pPr>
      <w:r w:rsidRPr="003B4CDA">
        <w:rPr>
          <w:szCs w:val="26"/>
        </w:rPr>
        <w:t>2.9. attēls</w:t>
      </w:r>
    </w:p>
    <w:p w14:paraId="7604CF13" w14:textId="77777777" w:rsidR="007D14BF" w:rsidRPr="003B4CDA" w:rsidRDefault="007D14BF" w:rsidP="007D14BF">
      <w:pPr>
        <w:spacing w:after="120"/>
        <w:jc w:val="center"/>
        <w:rPr>
          <w:rFonts w:ascii="Segoe UI Light" w:hAnsi="Segoe UI Light"/>
          <w:i/>
          <w:sz w:val="16"/>
          <w:szCs w:val="28"/>
        </w:rPr>
      </w:pPr>
      <w:r w:rsidRPr="003B4CDA">
        <w:rPr>
          <w:rFonts w:ascii="Segoe UI Light" w:hAnsi="Segoe UI Light"/>
          <w:b/>
          <w:sz w:val="18"/>
          <w:szCs w:val="26"/>
        </w:rPr>
        <w:t>Ekonomiski aktīvo iedzīvotāju sadalījums pēc izglītības līmeņa</w:t>
      </w:r>
      <w:r w:rsidRPr="003B4CDA">
        <w:rPr>
          <w:rFonts w:ascii="Segoe UI Light" w:hAnsi="Segoe UI Light"/>
          <w:b/>
          <w:sz w:val="18"/>
          <w:szCs w:val="26"/>
        </w:rPr>
        <w:br/>
      </w:r>
      <w:r w:rsidRPr="003B4CDA">
        <w:rPr>
          <w:rFonts w:ascii="Segoe UI Light" w:hAnsi="Segoe UI Light"/>
          <w:bCs/>
          <w:i/>
          <w:sz w:val="16"/>
          <w:szCs w:val="28"/>
        </w:rPr>
        <w:t>15-74 gadu vecumā, procentos</w:t>
      </w:r>
    </w:p>
    <w:p w14:paraId="318910D4" w14:textId="77777777" w:rsidR="007D14BF" w:rsidRPr="003B4CDA" w:rsidRDefault="007D14BF" w:rsidP="00782D2E">
      <w:pPr>
        <w:spacing w:after="0"/>
        <w:jc w:val="center"/>
        <w:rPr>
          <w:rFonts w:ascii="Arial Narrow" w:hAnsi="Arial Narrow"/>
          <w:noProof/>
          <w:szCs w:val="20"/>
          <w:lang w:eastAsia="lv-LV"/>
        </w:rPr>
      </w:pPr>
      <w:r w:rsidRPr="003B4CDA">
        <w:rPr>
          <w:rFonts w:ascii="Arial Narrow" w:hAnsi="Arial Narrow"/>
          <w:noProof/>
          <w:szCs w:val="20"/>
          <w:lang w:eastAsia="lv-LV"/>
        </w:rPr>
        <w:drawing>
          <wp:inline distT="0" distB="0" distL="0" distR="0" wp14:anchorId="16721B13" wp14:editId="459815EE">
            <wp:extent cx="5760000" cy="2159635"/>
            <wp:effectExtent l="0" t="0" r="0" b="0"/>
            <wp:docPr id="284"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257517B" w14:textId="77777777" w:rsidR="007D14BF" w:rsidRPr="00782D2E" w:rsidRDefault="007D14BF" w:rsidP="00496ED0">
      <w:pPr>
        <w:spacing w:before="120"/>
        <w:jc w:val="both"/>
        <w:rPr>
          <w:sz w:val="12"/>
          <w:szCs w:val="12"/>
        </w:rPr>
      </w:pPr>
      <w:r w:rsidRPr="00782D2E">
        <w:rPr>
          <w:sz w:val="12"/>
          <w:szCs w:val="12"/>
        </w:rPr>
        <w:t>Avots: CSP</w:t>
      </w:r>
    </w:p>
    <w:p w14:paraId="1ADDCBEE" w14:textId="17D77EA0" w:rsidR="007D14BF" w:rsidRPr="003B4CDA" w:rsidRDefault="00496ED0" w:rsidP="007D14BF">
      <w:pPr>
        <w:jc w:val="both"/>
        <w:rPr>
          <w:szCs w:val="20"/>
        </w:rPr>
      </w:pPr>
      <w:r>
        <w:rPr>
          <w:szCs w:val="20"/>
        </w:rPr>
        <w:br/>
      </w:r>
      <w:r w:rsidR="007D14BF" w:rsidRPr="003B4CDA">
        <w:rPr>
          <w:szCs w:val="20"/>
        </w:rPr>
        <w:t>Iedzīvotāji aizvien vairāk apzinās izglītības nozīmi dalībai darba tirgū. Pakāpeniski turpina palielināties ekonomiski aktīvo iedzīvotāju īpatsvars ar augstāko izglītību</w:t>
      </w:r>
      <w:r w:rsidR="007D14BF">
        <w:rPr>
          <w:szCs w:val="20"/>
        </w:rPr>
        <w:t xml:space="preserve"> – </w:t>
      </w:r>
      <w:r w:rsidR="007D14BF" w:rsidRPr="003B4CDA">
        <w:rPr>
          <w:szCs w:val="20"/>
        </w:rPr>
        <w:t>20</w:t>
      </w:r>
      <w:r w:rsidR="007D14BF">
        <w:rPr>
          <w:szCs w:val="20"/>
        </w:rPr>
        <w:t>2</w:t>
      </w:r>
      <w:r w:rsidR="007D14BF" w:rsidRPr="003B4CDA">
        <w:rPr>
          <w:szCs w:val="20"/>
        </w:rPr>
        <w:t xml:space="preserve">1. gadā </w:t>
      </w:r>
      <w:r w:rsidR="007D14BF">
        <w:rPr>
          <w:szCs w:val="20"/>
        </w:rPr>
        <w:t>2/5 no visiem ekonomiski aktīviem iedzīvotājiem bija augstākā izglītība. Jāatzīmē, ka pēdējos gados lēnām pieaug arī ekonomiski aktīvo iedzīvotāju īpatsvars ar vidējo profesionālo izglītību.</w:t>
      </w:r>
    </w:p>
    <w:p w14:paraId="49E520D5" w14:textId="3DF268AA" w:rsidR="007D14BF" w:rsidRPr="00764114" w:rsidRDefault="007D14BF" w:rsidP="007D14BF">
      <w:pPr>
        <w:jc w:val="right"/>
        <w:rPr>
          <w:szCs w:val="20"/>
        </w:rPr>
      </w:pPr>
      <w:r w:rsidRPr="00764114">
        <w:rPr>
          <w:szCs w:val="20"/>
        </w:rPr>
        <w:t>2.10. attēls</w:t>
      </w:r>
    </w:p>
    <w:p w14:paraId="76296E22" w14:textId="77777777" w:rsidR="007D14BF" w:rsidRPr="00764114" w:rsidRDefault="007D14BF" w:rsidP="007D14B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rPr>
          <w:rFonts w:ascii="Segoe UI Light" w:hAnsi="Segoe UI Light"/>
          <w:b/>
          <w:bCs/>
          <w:szCs w:val="26"/>
        </w:rPr>
      </w:pPr>
      <w:r w:rsidRPr="00764114">
        <w:rPr>
          <w:rFonts w:ascii="Segoe UI Light" w:hAnsi="Segoe UI Light"/>
          <w:b/>
          <w:bCs/>
          <w:szCs w:val="26"/>
        </w:rPr>
        <w:t>Ekonomiski aktīvie iedzīvotāji sadalījumā pa izglītības tematiskajām grupām</w:t>
      </w:r>
    </w:p>
    <w:p w14:paraId="2E72F7A1" w14:textId="77777777" w:rsidR="007D14BF" w:rsidRPr="003B4CDA" w:rsidRDefault="007D14BF" w:rsidP="007D14B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120"/>
        <w:jc w:val="left"/>
        <w:rPr>
          <w:rFonts w:ascii="Segoe UI Light" w:hAnsi="Segoe UI Light"/>
          <w:bCs/>
          <w:i/>
          <w:sz w:val="16"/>
          <w:szCs w:val="22"/>
        </w:rPr>
      </w:pPr>
      <w:r w:rsidRPr="00764114">
        <w:rPr>
          <w:rFonts w:ascii="Segoe UI Light" w:hAnsi="Segoe UI Light"/>
          <w:bCs/>
          <w:i/>
          <w:sz w:val="16"/>
          <w:szCs w:val="22"/>
        </w:rPr>
        <w:tab/>
        <w:t>ar augstāko izglītību, procentos</w:t>
      </w:r>
      <w:r w:rsidRPr="00764114">
        <w:rPr>
          <w:rFonts w:ascii="Segoe UI Light" w:hAnsi="Segoe UI Light"/>
          <w:bCs/>
          <w:i/>
          <w:sz w:val="16"/>
          <w:szCs w:val="22"/>
        </w:rPr>
        <w:tab/>
        <w:t>ar vidējo vispārējo un profesionālo izglītību, procentos</w:t>
      </w:r>
    </w:p>
    <w:p w14:paraId="0B9296E9" w14:textId="5DBDE072" w:rsidR="007D14BF" w:rsidRPr="003B4CDA" w:rsidRDefault="006B14D1" w:rsidP="007D14B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4725"/>
        </w:tabs>
        <w:suppressAutoHyphens/>
        <w:spacing w:after="0"/>
        <w:jc w:val="left"/>
        <w:rPr>
          <w:rFonts w:ascii="Arial Narrow" w:hAnsi="Arial Narrow"/>
          <w:bCs/>
          <w:sz w:val="20"/>
        </w:rPr>
      </w:pPr>
      <w:r w:rsidRPr="003B4CDA">
        <w:rPr>
          <w:rFonts w:ascii="Arial Narrow" w:hAnsi="Arial Narrow"/>
          <w:noProof/>
          <w:sz w:val="20"/>
          <w:lang w:eastAsia="lv-LV"/>
        </w:rPr>
        <w:drawing>
          <wp:inline distT="0" distB="0" distL="0" distR="0" wp14:anchorId="0BB08576" wp14:editId="0DFCC182">
            <wp:extent cx="2880000" cy="2160000"/>
            <wp:effectExtent l="0" t="0" r="0" b="0"/>
            <wp:docPr id="285"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Pr="003B4CDA">
        <w:rPr>
          <w:rFonts w:ascii="Arial Narrow" w:hAnsi="Arial Narrow"/>
          <w:noProof/>
          <w:sz w:val="20"/>
          <w:lang w:eastAsia="lv-LV"/>
        </w:rPr>
        <w:drawing>
          <wp:inline distT="0" distB="0" distL="0" distR="0" wp14:anchorId="58586CB3" wp14:editId="534EEF76">
            <wp:extent cx="2880000" cy="2160000"/>
            <wp:effectExtent l="0" t="0" r="0" b="0"/>
            <wp:docPr id="286"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1B41DB2" w14:textId="77777777" w:rsidR="007D14BF" w:rsidRPr="00782D2E" w:rsidRDefault="007D14BF" w:rsidP="00496ED0">
      <w:pPr>
        <w:spacing w:before="120"/>
        <w:jc w:val="both"/>
        <w:rPr>
          <w:sz w:val="12"/>
          <w:szCs w:val="12"/>
        </w:rPr>
      </w:pPr>
      <w:r w:rsidRPr="00782D2E">
        <w:rPr>
          <w:sz w:val="12"/>
          <w:szCs w:val="12"/>
        </w:rPr>
        <w:t>Avots: CSP</w:t>
      </w:r>
    </w:p>
    <w:p w14:paraId="45E40038" w14:textId="34A2DC3F" w:rsidR="007D14BF" w:rsidRDefault="00496ED0" w:rsidP="007D14BF">
      <w:pPr>
        <w:jc w:val="both"/>
        <w:rPr>
          <w:szCs w:val="20"/>
        </w:rPr>
      </w:pPr>
      <w:r>
        <w:rPr>
          <w:szCs w:val="20"/>
        </w:rPr>
        <w:br/>
      </w:r>
      <w:r w:rsidR="007D14BF" w:rsidRPr="003B4CDA">
        <w:rPr>
          <w:szCs w:val="20"/>
        </w:rPr>
        <w:t xml:space="preserve">Lielākais darbaspēka piedāvājums ar augstāko izglītību ir sociālo zinātņu, </w:t>
      </w:r>
      <w:proofErr w:type="spellStart"/>
      <w:r w:rsidR="007D14BF" w:rsidRPr="003B4CDA">
        <w:rPr>
          <w:szCs w:val="20"/>
        </w:rPr>
        <w:t>komerczinību</w:t>
      </w:r>
      <w:proofErr w:type="spellEnd"/>
      <w:r w:rsidR="007D14BF" w:rsidRPr="003B4CDA">
        <w:rPr>
          <w:szCs w:val="20"/>
        </w:rPr>
        <w:t xml:space="preserve"> un tiesību izglītības tematiskajā grupā. To nosaka iepriekšējo gadu studentu izvēle iegūt augstāko izglītību šajā tematiskajā grupā. Kopš 2008. gada ekonomiski aktīvo iedzīvotāju izteiktākais skaita pieaugums ir tieši šajā grupā. Nākamās lielākās ekonomiski aktīvo iedzīvotāju izglītības tematiskās grupas ir inženierzinātņu, ražošanas un būvniecības tematiskā grupa un izglītības tematiskā grupa.</w:t>
      </w:r>
    </w:p>
    <w:p w14:paraId="56E933EB" w14:textId="3811993F" w:rsidR="007D14BF" w:rsidRPr="003B4CDA" w:rsidRDefault="6DBAC873" w:rsidP="007D14BF">
      <w:pPr>
        <w:jc w:val="both"/>
      </w:pPr>
      <w:r>
        <w:lastRenderedPageBreak/>
        <w:t xml:space="preserve">Kopš 2008. gada vidējās izglītības līmenī ekonomiski aktīvo iedzīvotāju struktūra izglītības tematisko grupu griezumā ir relatīvi stabila ar dažiem izņēmumiem. Ievērojamai daļai – vairāk kā 2/5 – ekonomiski aktīvo iedzīvotāju ir vispārējā vidējā izglītība. Šie iedzīvotāji ir darba tirgū bez iegūtas specialitātes. Lielākais darbaspēka piedāvājums ar profesionālo vidējo izglītību ir inženierzinātņu, ražošanas un būvniecības tematiskā grupā. Tomēr ņemot vērā darbaspēka novecošanās tendences, pēdējos gados ir vērojama atbilstošās tematiskās grupas īpatsvara samazināšanās. Straujākais pieaugums vērojams pakalpojumu tematiskajā grupā </w:t>
      </w:r>
      <w:r w:rsidR="3C53C722">
        <w:t xml:space="preserve">– </w:t>
      </w:r>
      <w:r>
        <w:t>kopš 2008. gada ekonomiski aktīvo iedzīvotāju īpatsvars ar atbilstošo izglītību ir vairāk kā dubultojies.</w:t>
      </w:r>
    </w:p>
    <w:p w14:paraId="4B799477" w14:textId="77777777" w:rsidR="007D14BF" w:rsidRPr="003B4CDA" w:rsidRDefault="007D14BF" w:rsidP="007D14BF">
      <w:pPr>
        <w:jc w:val="both"/>
        <w:rPr>
          <w:szCs w:val="20"/>
        </w:rPr>
      </w:pPr>
      <w:r w:rsidRPr="003B4CDA">
        <w:rPr>
          <w:szCs w:val="20"/>
        </w:rPr>
        <w:t>Latvijā pastāv pastiprināta darbaspēka novecošanās atsevišķās nozarēs un profesiju grupās, kas var izraisīt piedāvājuma samazināšanos nākotnē. Šīs tendences gadu gaitā pastiprinās.</w:t>
      </w:r>
    </w:p>
    <w:p w14:paraId="124167C2" w14:textId="59E2553C" w:rsidR="007D14BF" w:rsidRPr="003B4CDA" w:rsidRDefault="007D14BF" w:rsidP="007D14BF">
      <w:pPr>
        <w:jc w:val="right"/>
        <w:rPr>
          <w:szCs w:val="20"/>
        </w:rPr>
      </w:pPr>
      <w:r w:rsidRPr="003B4CDA">
        <w:rPr>
          <w:szCs w:val="20"/>
        </w:rPr>
        <w:t>2.11. attēls</w:t>
      </w:r>
    </w:p>
    <w:p w14:paraId="72363EBD" w14:textId="77777777" w:rsidR="007D14BF" w:rsidRPr="003B4CDA" w:rsidRDefault="007D14BF" w:rsidP="007D14BF">
      <w:pPr>
        <w:spacing w:after="120"/>
        <w:jc w:val="center"/>
        <w:rPr>
          <w:rFonts w:ascii="Segoe UI Light" w:hAnsi="Segoe UI Light"/>
          <w:i/>
          <w:sz w:val="16"/>
          <w:szCs w:val="26"/>
        </w:rPr>
      </w:pPr>
      <w:r w:rsidRPr="003B4CDA">
        <w:rPr>
          <w:rFonts w:ascii="Segoe UI Light" w:eastAsia="Times New Roman" w:hAnsi="Segoe UI Light"/>
          <w:b/>
          <w:bCs/>
          <w:color w:val="000000"/>
          <w:sz w:val="18"/>
          <w:szCs w:val="26"/>
        </w:rPr>
        <w:t>Nodarbināto iedzīvotāju vecumā virs 50 gadiem īpatsvars augstākās kvalifikācijas profesiju apakšgrupās</w:t>
      </w:r>
      <w:r w:rsidRPr="003B4CDA">
        <w:rPr>
          <w:rFonts w:ascii="Segoe UI Light" w:eastAsia="Times New Roman" w:hAnsi="Segoe UI Light"/>
          <w:b/>
          <w:bCs/>
          <w:color w:val="000000"/>
          <w:sz w:val="18"/>
          <w:szCs w:val="26"/>
        </w:rPr>
        <w:br/>
      </w:r>
      <w:r w:rsidRPr="003B4CDA">
        <w:rPr>
          <w:rFonts w:ascii="Segoe UI Light" w:hAnsi="Segoe UI Light"/>
          <w:i/>
          <w:sz w:val="16"/>
          <w:szCs w:val="26"/>
        </w:rPr>
        <w:t>20</w:t>
      </w:r>
      <w:r>
        <w:rPr>
          <w:rFonts w:ascii="Segoe UI Light" w:hAnsi="Segoe UI Light"/>
          <w:i/>
          <w:sz w:val="16"/>
          <w:szCs w:val="26"/>
        </w:rPr>
        <w:t>2</w:t>
      </w:r>
      <w:r w:rsidRPr="003B4CDA">
        <w:rPr>
          <w:rFonts w:ascii="Segoe UI Light" w:hAnsi="Segoe UI Light"/>
          <w:i/>
          <w:sz w:val="16"/>
          <w:szCs w:val="26"/>
        </w:rPr>
        <w:t xml:space="preserve">1. gads, </w:t>
      </w:r>
      <w:r w:rsidRPr="003B4CDA">
        <w:rPr>
          <w:rFonts w:ascii="Segoe UI Light" w:hAnsi="Segoe UI Light"/>
          <w:bCs/>
          <w:i/>
          <w:sz w:val="16"/>
          <w:szCs w:val="26"/>
        </w:rPr>
        <w:t>procentos no attiecīgajā profesiju apakšgrupā nodarbinātajiem</w:t>
      </w:r>
    </w:p>
    <w:tbl>
      <w:tblPr>
        <w:tblStyle w:val="TableGrid"/>
        <w:tblW w:w="985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6"/>
        <w:gridCol w:w="222"/>
      </w:tblGrid>
      <w:tr w:rsidR="008F781E" w:rsidRPr="003B4CDA" w14:paraId="3AC56AE0" w14:textId="77777777" w:rsidTr="00782D2E">
        <w:trPr>
          <w:trHeight w:val="5905"/>
        </w:trPr>
        <w:tc>
          <w:tcPr>
            <w:tcW w:w="5216" w:type="dxa"/>
          </w:tcPr>
          <w:tbl>
            <w:tblPr>
              <w:tblW w:w="5499" w:type="dxa"/>
              <w:tblLook w:val="04A0" w:firstRow="1" w:lastRow="0" w:firstColumn="1" w:lastColumn="0" w:noHBand="0" w:noVBand="1"/>
            </w:tblPr>
            <w:tblGrid>
              <w:gridCol w:w="5666"/>
              <w:gridCol w:w="4014"/>
            </w:tblGrid>
            <w:tr w:rsidR="007D14BF" w:rsidRPr="003B4CDA" w14:paraId="572A7677" w14:textId="77777777" w:rsidTr="00D209BD">
              <w:trPr>
                <w:trHeight w:val="4809"/>
              </w:trPr>
              <w:tc>
                <w:tcPr>
                  <w:tcW w:w="5277" w:type="dxa"/>
                  <w:shd w:val="clear" w:color="auto" w:fill="auto"/>
                  <w:noWrap/>
                  <w:hideMark/>
                </w:tcPr>
                <w:tbl>
                  <w:tblPr>
                    <w:tblW w:w="5450" w:type="dxa"/>
                    <w:tblLook w:val="04A0" w:firstRow="1" w:lastRow="0" w:firstColumn="1" w:lastColumn="0" w:noHBand="0" w:noVBand="1"/>
                  </w:tblPr>
                  <w:tblGrid>
                    <w:gridCol w:w="5450"/>
                  </w:tblGrid>
                  <w:tr w:rsidR="007D14BF" w:rsidRPr="00BE0825" w14:paraId="112D3C7D" w14:textId="77777777" w:rsidTr="00D209BD">
                    <w:trPr>
                      <w:trHeight w:val="290"/>
                    </w:trPr>
                    <w:tc>
                      <w:tcPr>
                        <w:tcW w:w="5450" w:type="dxa"/>
                        <w:tcBorders>
                          <w:top w:val="nil"/>
                          <w:left w:val="nil"/>
                          <w:bottom w:val="nil"/>
                          <w:right w:val="nil"/>
                        </w:tcBorders>
                        <w:shd w:val="clear" w:color="auto" w:fill="auto"/>
                        <w:noWrap/>
                        <w:vAlign w:val="bottom"/>
                        <w:hideMark/>
                      </w:tcPr>
                      <w:p w14:paraId="2611BA85" w14:textId="77777777" w:rsidR="007D14BF" w:rsidRPr="00BE0825" w:rsidRDefault="007D14BF" w:rsidP="00D209BD">
                        <w:pPr>
                          <w:spacing w:before="60" w:after="0"/>
                          <w:ind w:right="-57"/>
                          <w:jc w:val="right"/>
                          <w:rPr>
                            <w:rFonts w:ascii="Segoe UI Light" w:hAnsi="Segoe UI Light" w:cs="Segoe UI Semilight"/>
                            <w:sz w:val="16"/>
                            <w:szCs w:val="16"/>
                          </w:rPr>
                        </w:pPr>
                        <w:r w:rsidRPr="00BE0825">
                          <w:rPr>
                            <w:rFonts w:ascii="Segoe UI Light" w:hAnsi="Segoe UI Light" w:cs="Segoe UI Semilight"/>
                            <w:sz w:val="16"/>
                            <w:szCs w:val="16"/>
                          </w:rPr>
                          <w:t>Izglītības jomas vecākie speciālisti</w:t>
                        </w:r>
                      </w:p>
                    </w:tc>
                  </w:tr>
                  <w:tr w:rsidR="007D14BF" w:rsidRPr="00BE0825" w14:paraId="44EC1194" w14:textId="77777777" w:rsidTr="00D209BD">
                    <w:trPr>
                      <w:trHeight w:val="290"/>
                    </w:trPr>
                    <w:tc>
                      <w:tcPr>
                        <w:tcW w:w="5450" w:type="dxa"/>
                        <w:tcBorders>
                          <w:top w:val="nil"/>
                          <w:left w:val="nil"/>
                          <w:bottom w:val="nil"/>
                          <w:right w:val="nil"/>
                        </w:tcBorders>
                        <w:shd w:val="clear" w:color="auto" w:fill="auto"/>
                        <w:noWrap/>
                        <w:vAlign w:val="bottom"/>
                        <w:hideMark/>
                      </w:tcPr>
                      <w:p w14:paraId="0F76356B"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Likumdevēji, amatpersonas un vadītāji</w:t>
                        </w:r>
                      </w:p>
                    </w:tc>
                  </w:tr>
                  <w:tr w:rsidR="007D14BF" w:rsidRPr="00BE0825" w14:paraId="3DD3DB3B" w14:textId="77777777" w:rsidTr="00D209BD">
                    <w:trPr>
                      <w:trHeight w:val="290"/>
                    </w:trPr>
                    <w:tc>
                      <w:tcPr>
                        <w:tcW w:w="5450" w:type="dxa"/>
                        <w:tcBorders>
                          <w:top w:val="nil"/>
                          <w:left w:val="nil"/>
                          <w:bottom w:val="nil"/>
                          <w:right w:val="nil"/>
                        </w:tcBorders>
                        <w:shd w:val="clear" w:color="auto" w:fill="auto"/>
                        <w:noWrap/>
                        <w:vAlign w:val="bottom"/>
                        <w:hideMark/>
                      </w:tcPr>
                      <w:p w14:paraId="2F6B2E16"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Veselības aprūpes jomas vecākie speciālisti</w:t>
                        </w:r>
                      </w:p>
                    </w:tc>
                  </w:tr>
                  <w:tr w:rsidR="007D14BF" w:rsidRPr="00BE0825" w14:paraId="053018FE" w14:textId="77777777" w:rsidTr="00D209BD">
                    <w:trPr>
                      <w:trHeight w:val="290"/>
                    </w:trPr>
                    <w:tc>
                      <w:tcPr>
                        <w:tcW w:w="5450" w:type="dxa"/>
                        <w:tcBorders>
                          <w:top w:val="nil"/>
                          <w:left w:val="nil"/>
                          <w:bottom w:val="nil"/>
                          <w:right w:val="nil"/>
                        </w:tcBorders>
                        <w:shd w:val="clear" w:color="auto" w:fill="auto"/>
                        <w:noWrap/>
                        <w:vAlign w:val="bottom"/>
                        <w:hideMark/>
                      </w:tcPr>
                      <w:p w14:paraId="038E4D17"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Veselības aprūpes jomas speciālisti</w:t>
                        </w:r>
                      </w:p>
                    </w:tc>
                  </w:tr>
                  <w:tr w:rsidR="007D14BF" w:rsidRPr="00BE0825" w14:paraId="7FD6BFA3" w14:textId="77777777" w:rsidTr="00D209BD">
                    <w:trPr>
                      <w:trHeight w:val="290"/>
                    </w:trPr>
                    <w:tc>
                      <w:tcPr>
                        <w:tcW w:w="5450" w:type="dxa"/>
                        <w:tcBorders>
                          <w:top w:val="nil"/>
                          <w:left w:val="nil"/>
                          <w:bottom w:val="nil"/>
                          <w:right w:val="nil"/>
                        </w:tcBorders>
                        <w:shd w:val="clear" w:color="auto" w:fill="auto"/>
                        <w:noWrap/>
                        <w:vAlign w:val="bottom"/>
                        <w:hideMark/>
                      </w:tcPr>
                      <w:p w14:paraId="213B6D24"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Juridisko, sociālo un kultūras lietu vecākie speciālisti</w:t>
                        </w:r>
                      </w:p>
                    </w:tc>
                  </w:tr>
                  <w:tr w:rsidR="007D14BF" w:rsidRPr="00BE0825" w14:paraId="71238EF5" w14:textId="77777777" w:rsidTr="00D209BD">
                    <w:trPr>
                      <w:trHeight w:val="290"/>
                    </w:trPr>
                    <w:tc>
                      <w:tcPr>
                        <w:tcW w:w="5450" w:type="dxa"/>
                        <w:tcBorders>
                          <w:top w:val="nil"/>
                          <w:left w:val="nil"/>
                          <w:bottom w:val="nil"/>
                          <w:right w:val="nil"/>
                        </w:tcBorders>
                        <w:shd w:val="clear" w:color="auto" w:fill="auto"/>
                        <w:noWrap/>
                        <w:vAlign w:val="bottom"/>
                        <w:hideMark/>
                      </w:tcPr>
                      <w:p w14:paraId="6C82CDF1"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Ražošanas un specializēto pakalpojumu jomas vadītāji</w:t>
                        </w:r>
                      </w:p>
                    </w:tc>
                  </w:tr>
                  <w:tr w:rsidR="007D14BF" w:rsidRPr="00BE0825" w14:paraId="637942B9" w14:textId="77777777" w:rsidTr="00D209BD">
                    <w:trPr>
                      <w:trHeight w:val="290"/>
                    </w:trPr>
                    <w:tc>
                      <w:tcPr>
                        <w:tcW w:w="5450" w:type="dxa"/>
                        <w:tcBorders>
                          <w:top w:val="nil"/>
                          <w:left w:val="nil"/>
                          <w:bottom w:val="nil"/>
                          <w:right w:val="nil"/>
                        </w:tcBorders>
                        <w:shd w:val="clear" w:color="auto" w:fill="auto"/>
                        <w:noWrap/>
                        <w:vAlign w:val="bottom"/>
                        <w:hideMark/>
                      </w:tcPr>
                      <w:p w14:paraId="7C30494E"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Administratīvie vadītāji un komercdirektori</w:t>
                        </w:r>
                      </w:p>
                    </w:tc>
                  </w:tr>
                  <w:tr w:rsidR="007D14BF" w:rsidRPr="00BE0825" w14:paraId="60E824DA" w14:textId="77777777" w:rsidTr="00D209BD">
                    <w:trPr>
                      <w:trHeight w:val="290"/>
                    </w:trPr>
                    <w:tc>
                      <w:tcPr>
                        <w:tcW w:w="5450" w:type="dxa"/>
                        <w:tcBorders>
                          <w:top w:val="nil"/>
                          <w:left w:val="nil"/>
                          <w:bottom w:val="nil"/>
                          <w:right w:val="nil"/>
                        </w:tcBorders>
                        <w:shd w:val="clear" w:color="auto" w:fill="auto"/>
                        <w:noWrap/>
                        <w:vAlign w:val="bottom"/>
                        <w:hideMark/>
                      </w:tcPr>
                      <w:p w14:paraId="3E01AA1E"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Zinātnes un inženierzinātņu speciālisti</w:t>
                        </w:r>
                      </w:p>
                    </w:tc>
                  </w:tr>
                  <w:tr w:rsidR="007D14BF" w:rsidRPr="00BE0825" w14:paraId="12F3EB83" w14:textId="77777777" w:rsidTr="00D209BD">
                    <w:trPr>
                      <w:trHeight w:val="290"/>
                    </w:trPr>
                    <w:tc>
                      <w:tcPr>
                        <w:tcW w:w="5450" w:type="dxa"/>
                        <w:tcBorders>
                          <w:top w:val="nil"/>
                          <w:left w:val="nil"/>
                          <w:bottom w:val="nil"/>
                          <w:right w:val="nil"/>
                        </w:tcBorders>
                        <w:shd w:val="clear" w:color="auto" w:fill="auto"/>
                        <w:noWrap/>
                        <w:vAlign w:val="bottom"/>
                        <w:hideMark/>
                      </w:tcPr>
                      <w:p w14:paraId="44DAA4DF"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Zinātnes un inženierzinātņu jomas vecākie speciālisti</w:t>
                        </w:r>
                      </w:p>
                    </w:tc>
                  </w:tr>
                  <w:tr w:rsidR="007D14BF" w:rsidRPr="00BE0825" w14:paraId="0D85C0D1" w14:textId="77777777" w:rsidTr="00D209BD">
                    <w:trPr>
                      <w:trHeight w:val="290"/>
                    </w:trPr>
                    <w:tc>
                      <w:tcPr>
                        <w:tcW w:w="5450" w:type="dxa"/>
                        <w:tcBorders>
                          <w:top w:val="nil"/>
                          <w:left w:val="nil"/>
                          <w:bottom w:val="nil"/>
                          <w:right w:val="nil"/>
                        </w:tcBorders>
                        <w:shd w:val="clear" w:color="auto" w:fill="auto"/>
                        <w:noWrap/>
                        <w:vAlign w:val="bottom"/>
                        <w:hideMark/>
                      </w:tcPr>
                      <w:p w14:paraId="329EB4AB"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Juridisko, sociālo un kultūras lietu un tām radniecīgu lietu speciālisti</w:t>
                        </w:r>
                      </w:p>
                    </w:tc>
                  </w:tr>
                  <w:tr w:rsidR="007D14BF" w:rsidRPr="00BE0825" w14:paraId="2059898E" w14:textId="77777777" w:rsidTr="00D209BD">
                    <w:trPr>
                      <w:trHeight w:val="290"/>
                    </w:trPr>
                    <w:tc>
                      <w:tcPr>
                        <w:tcW w:w="5450" w:type="dxa"/>
                        <w:tcBorders>
                          <w:top w:val="nil"/>
                          <w:left w:val="nil"/>
                          <w:bottom w:val="nil"/>
                          <w:right w:val="nil"/>
                        </w:tcBorders>
                        <w:shd w:val="clear" w:color="auto" w:fill="auto"/>
                        <w:noWrap/>
                        <w:vAlign w:val="bottom"/>
                        <w:hideMark/>
                      </w:tcPr>
                      <w:p w14:paraId="5F42CA58"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Viesmīlības, ēdināšanas, tirdzniecības un citu pakalpojumu jomas vadītāji</w:t>
                        </w:r>
                      </w:p>
                    </w:tc>
                  </w:tr>
                  <w:tr w:rsidR="007D14BF" w:rsidRPr="00BE0825" w14:paraId="3E453BFF" w14:textId="77777777" w:rsidTr="00D209BD">
                    <w:trPr>
                      <w:trHeight w:val="290"/>
                    </w:trPr>
                    <w:tc>
                      <w:tcPr>
                        <w:tcW w:w="5450" w:type="dxa"/>
                        <w:tcBorders>
                          <w:top w:val="nil"/>
                          <w:left w:val="nil"/>
                          <w:bottom w:val="nil"/>
                          <w:right w:val="nil"/>
                        </w:tcBorders>
                        <w:shd w:val="clear" w:color="auto" w:fill="auto"/>
                        <w:noWrap/>
                        <w:vAlign w:val="bottom"/>
                        <w:hideMark/>
                      </w:tcPr>
                      <w:p w14:paraId="25FEE288"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Komercdarbības un pārvaldes (administrācijas) speciālisti</w:t>
                        </w:r>
                      </w:p>
                    </w:tc>
                  </w:tr>
                  <w:tr w:rsidR="007D14BF" w:rsidRPr="00BE0825" w14:paraId="14839930" w14:textId="77777777" w:rsidTr="00D209BD">
                    <w:trPr>
                      <w:trHeight w:val="290"/>
                    </w:trPr>
                    <w:tc>
                      <w:tcPr>
                        <w:tcW w:w="5450" w:type="dxa"/>
                        <w:tcBorders>
                          <w:top w:val="nil"/>
                          <w:left w:val="nil"/>
                          <w:bottom w:val="nil"/>
                          <w:right w:val="nil"/>
                        </w:tcBorders>
                        <w:shd w:val="clear" w:color="auto" w:fill="auto"/>
                        <w:noWrap/>
                        <w:vAlign w:val="bottom"/>
                        <w:hideMark/>
                      </w:tcPr>
                      <w:p w14:paraId="011B6F25"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Citi vecākie speciālisti</w:t>
                        </w:r>
                      </w:p>
                    </w:tc>
                  </w:tr>
                  <w:tr w:rsidR="007D14BF" w:rsidRPr="00BE0825" w14:paraId="51DFC848" w14:textId="77777777" w:rsidTr="00D209BD">
                    <w:trPr>
                      <w:trHeight w:val="290"/>
                    </w:trPr>
                    <w:tc>
                      <w:tcPr>
                        <w:tcW w:w="5450" w:type="dxa"/>
                        <w:tcBorders>
                          <w:top w:val="nil"/>
                          <w:left w:val="nil"/>
                          <w:bottom w:val="nil"/>
                          <w:right w:val="nil"/>
                        </w:tcBorders>
                        <w:shd w:val="clear" w:color="auto" w:fill="auto"/>
                        <w:noWrap/>
                        <w:vAlign w:val="bottom"/>
                        <w:hideMark/>
                      </w:tcPr>
                      <w:p w14:paraId="17988981"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Informācijas tehnoloģiju jomas speciālisti</w:t>
                        </w:r>
                      </w:p>
                    </w:tc>
                  </w:tr>
                  <w:tr w:rsidR="007D14BF" w:rsidRPr="00BE0825" w14:paraId="2C7E159A" w14:textId="77777777" w:rsidTr="00D209BD">
                    <w:trPr>
                      <w:trHeight w:val="290"/>
                    </w:trPr>
                    <w:tc>
                      <w:tcPr>
                        <w:tcW w:w="5450" w:type="dxa"/>
                        <w:tcBorders>
                          <w:top w:val="nil"/>
                          <w:left w:val="nil"/>
                          <w:bottom w:val="nil"/>
                          <w:right w:val="nil"/>
                        </w:tcBorders>
                        <w:shd w:val="clear" w:color="auto" w:fill="auto"/>
                        <w:noWrap/>
                        <w:vAlign w:val="bottom"/>
                        <w:hideMark/>
                      </w:tcPr>
                      <w:p w14:paraId="11134D03" w14:textId="77777777" w:rsidR="007D14BF" w:rsidRPr="00BE0825" w:rsidRDefault="007D14BF" w:rsidP="00D209BD">
                        <w:pPr>
                          <w:spacing w:before="120" w:after="0"/>
                          <w:ind w:right="-57"/>
                          <w:jc w:val="right"/>
                          <w:rPr>
                            <w:rFonts w:ascii="Segoe UI Light" w:hAnsi="Segoe UI Light" w:cs="Segoe UI Semilight"/>
                            <w:sz w:val="16"/>
                            <w:szCs w:val="16"/>
                          </w:rPr>
                        </w:pPr>
                        <w:r w:rsidRPr="00BE0825">
                          <w:rPr>
                            <w:rFonts w:ascii="Segoe UI Light" w:hAnsi="Segoe UI Light" w:cs="Segoe UI Semilight"/>
                            <w:sz w:val="16"/>
                            <w:szCs w:val="16"/>
                          </w:rPr>
                          <w:t>Informācijas un komunikācijas tehnoloģiju jomas vecākie speciālisti</w:t>
                        </w:r>
                      </w:p>
                    </w:tc>
                  </w:tr>
                </w:tbl>
                <w:p w14:paraId="7C0F808B" w14:textId="77777777" w:rsidR="007D14BF" w:rsidRPr="003B4CDA" w:rsidRDefault="007D14BF" w:rsidP="00D209BD">
                  <w:pPr>
                    <w:spacing w:before="100" w:after="0"/>
                    <w:ind w:right="-57"/>
                    <w:jc w:val="right"/>
                    <w:rPr>
                      <w:rFonts w:ascii="Segoe UI Light" w:hAnsi="Segoe UI Light" w:cs="Segoe UI Semilight"/>
                      <w:sz w:val="16"/>
                      <w:szCs w:val="16"/>
                    </w:rPr>
                  </w:pPr>
                </w:p>
              </w:tc>
              <w:tc>
                <w:tcPr>
                  <w:tcW w:w="222" w:type="dxa"/>
                </w:tcPr>
                <w:p w14:paraId="79C35F43" w14:textId="77777777" w:rsidR="007D14BF" w:rsidRPr="003B4CDA" w:rsidRDefault="007D14BF" w:rsidP="00D209BD">
                  <w:pPr>
                    <w:spacing w:after="0"/>
                    <w:ind w:left="-170"/>
                    <w:rPr>
                      <w:rFonts w:ascii="Segoe UI Light" w:hAnsi="Segoe UI Light" w:cs="Segoe UI Semilight"/>
                      <w:sz w:val="16"/>
                      <w:szCs w:val="16"/>
                    </w:rPr>
                  </w:pPr>
                  <w:r w:rsidRPr="003B4CDA">
                    <w:rPr>
                      <w:rFonts w:ascii="Segoe UI Light" w:hAnsi="Segoe UI Light"/>
                      <w:noProof/>
                      <w:sz w:val="16"/>
                      <w:szCs w:val="16"/>
                      <w:lang w:eastAsia="lv-LV"/>
                    </w:rPr>
                    <w:drawing>
                      <wp:inline distT="0" distB="0" distL="0" distR="0" wp14:anchorId="3A811B65" wp14:editId="50CB3858">
                        <wp:extent cx="2519680" cy="3422650"/>
                        <wp:effectExtent l="0" t="0" r="0" b="6350"/>
                        <wp:docPr id="287"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r>
          </w:tbl>
          <w:p w14:paraId="130F8714" w14:textId="77777777" w:rsidR="007D14BF" w:rsidRPr="003B4CDA" w:rsidRDefault="007D14BF" w:rsidP="00D209BD">
            <w:pPr>
              <w:spacing w:before="94" w:after="0"/>
              <w:ind w:left="-113" w:right="-113"/>
              <w:jc w:val="right"/>
              <w:rPr>
                <w:rFonts w:ascii="Segoe UI Light" w:hAnsi="Segoe UI Light" w:cs="Segoe UI Semilight"/>
                <w:sz w:val="16"/>
                <w:szCs w:val="16"/>
              </w:rPr>
            </w:pPr>
          </w:p>
          <w:p w14:paraId="55BDC78E" w14:textId="77777777" w:rsidR="007D14BF" w:rsidRPr="00782D2E" w:rsidRDefault="007D14BF" w:rsidP="006D2655">
            <w:pPr>
              <w:spacing w:after="0"/>
              <w:ind w:firstLine="460"/>
              <w:jc w:val="both"/>
              <w:rPr>
                <w:iCs/>
                <w:sz w:val="12"/>
                <w:szCs w:val="12"/>
              </w:rPr>
            </w:pPr>
            <w:r w:rsidRPr="00782D2E">
              <w:rPr>
                <w:sz w:val="12"/>
                <w:szCs w:val="12"/>
              </w:rPr>
              <w:t xml:space="preserve">Avots: </w:t>
            </w:r>
            <w:r w:rsidRPr="00782D2E">
              <w:rPr>
                <w:iCs/>
                <w:sz w:val="12"/>
                <w:szCs w:val="12"/>
              </w:rPr>
              <w:t>CSP, EM aprēķini</w:t>
            </w:r>
          </w:p>
          <w:p w14:paraId="6C9D82C0" w14:textId="77777777" w:rsidR="007D14BF" w:rsidRPr="003B4CDA" w:rsidRDefault="007D14BF" w:rsidP="00782D2E">
            <w:pPr>
              <w:spacing w:after="0"/>
              <w:ind w:left="-113" w:right="-113"/>
              <w:jc w:val="right"/>
              <w:rPr>
                <w:rFonts w:ascii="Segoe UI Light" w:hAnsi="Segoe UI Light" w:cs="Segoe UI Semilight"/>
                <w:sz w:val="16"/>
                <w:szCs w:val="16"/>
              </w:rPr>
            </w:pPr>
          </w:p>
        </w:tc>
        <w:tc>
          <w:tcPr>
            <w:tcW w:w="4639" w:type="dxa"/>
          </w:tcPr>
          <w:p w14:paraId="71ADFCBA" w14:textId="77777777" w:rsidR="007D14BF" w:rsidRPr="003B4CDA" w:rsidRDefault="007D14BF" w:rsidP="00D209BD">
            <w:pPr>
              <w:spacing w:after="0"/>
              <w:ind w:left="-113" w:right="-113"/>
              <w:jc w:val="both"/>
              <w:rPr>
                <w:rFonts w:ascii="Segoe UI Light" w:hAnsi="Segoe UI Light"/>
                <w:sz w:val="16"/>
                <w:szCs w:val="16"/>
              </w:rPr>
            </w:pPr>
          </w:p>
        </w:tc>
      </w:tr>
    </w:tbl>
    <w:p w14:paraId="2A05EF40" w14:textId="77777777" w:rsidR="00782D2E" w:rsidRDefault="00782D2E" w:rsidP="00782D2E">
      <w:pPr>
        <w:spacing w:after="0"/>
        <w:jc w:val="both"/>
        <w:rPr>
          <w:szCs w:val="20"/>
        </w:rPr>
      </w:pPr>
    </w:p>
    <w:p w14:paraId="42A1DE3B" w14:textId="683DE84E" w:rsidR="007D14BF" w:rsidRPr="003B4CDA" w:rsidRDefault="007D14BF" w:rsidP="007D14BF">
      <w:pPr>
        <w:jc w:val="both"/>
        <w:rPr>
          <w:szCs w:val="20"/>
        </w:rPr>
      </w:pPr>
      <w:r w:rsidRPr="003B4CDA">
        <w:rPr>
          <w:szCs w:val="20"/>
        </w:rPr>
        <w:t>Nozaru vidū lielākais nodarbināto īpatsvars vecumā virs 50 gadiem ilgāku laika periodu ir pārējās rūpniecības nozarēs (it īpaši ūdens apgādes, notekūdeņu, atkritumu apsaimniekošanas un sanācijas nozarē) un sabiedriskajos pakalpojumos (it īpaši izglītības nozarē un veselības un sociālās aprūpes nozarē)</w:t>
      </w:r>
      <w:r>
        <w:rPr>
          <w:szCs w:val="20"/>
        </w:rPr>
        <w:t>, kā arī lauksaimniecībā</w:t>
      </w:r>
      <w:r w:rsidRPr="003B4CDA">
        <w:rPr>
          <w:szCs w:val="20"/>
        </w:rPr>
        <w:t>.</w:t>
      </w:r>
    </w:p>
    <w:p w14:paraId="56D74284" w14:textId="77777777" w:rsidR="007D14BF" w:rsidRPr="003B4CDA" w:rsidRDefault="007D14BF" w:rsidP="007D14BF">
      <w:pPr>
        <w:jc w:val="both"/>
        <w:rPr>
          <w:szCs w:val="20"/>
        </w:rPr>
      </w:pPr>
      <w:r w:rsidRPr="003B4CDA">
        <w:rPr>
          <w:szCs w:val="20"/>
        </w:rPr>
        <w:t xml:space="preserve">Nodarbināto īpatsvars vecumā virs 50 gadiem augstākās kvalifikācijas profesijās ir 32%. Nodarbināto struktūras analīze profesiju grupu griezumā liecina, ka darbaspēka novecošanās augstākās kvalifikācijas profesijas skar ļoti nevienmērīgi. Ilgāku laika periodu novecošanās problemātika īpaši skar veselības aprūpes jomas speciālistus un vecākos speciālistus, </w:t>
      </w:r>
      <w:r>
        <w:rPr>
          <w:szCs w:val="20"/>
        </w:rPr>
        <w:t xml:space="preserve">kā arī </w:t>
      </w:r>
      <w:r w:rsidRPr="003B4CDA">
        <w:rPr>
          <w:szCs w:val="20"/>
        </w:rPr>
        <w:t>izglītības jomas vecākos speciālistus.</w:t>
      </w:r>
    </w:p>
    <w:p w14:paraId="1B1FADED" w14:textId="6991106F" w:rsidR="007D14BF" w:rsidRPr="003B4CDA" w:rsidRDefault="6DBAC873" w:rsidP="007D14BF">
      <w:pPr>
        <w:jc w:val="both"/>
      </w:pPr>
      <w:r>
        <w:t>Nodarbināto īpatsvars vecumā virs 50 gadiem vidējās kvalifikācijas profesijās veido 40%. Darbaspēka vecumstruktūras negatīvās attīstības tendences skar virkni vidējās kvalifikācijas profesiju grupu. Šī tendence vairāk skar individuālās aprūpes darbiniekus, kvalificētus tirgus lauksaimniecības darbiniekus, apsardzes pakalpojumu jomas darbiniekus, kā arī pašgājēju mašīnu un iekārtu vadītājus un celšanas iekārtu un mašīnu operatorus.</w:t>
      </w:r>
    </w:p>
    <w:p w14:paraId="29602D1F" w14:textId="77777777" w:rsidR="007D14BF" w:rsidRPr="003B4CDA" w:rsidRDefault="007D14BF" w:rsidP="007D14BF">
      <w:pPr>
        <w:spacing w:after="0"/>
        <w:rPr>
          <w:szCs w:val="20"/>
        </w:rPr>
      </w:pPr>
      <w:r w:rsidRPr="003B4CDA">
        <w:rPr>
          <w:szCs w:val="20"/>
        </w:rPr>
        <w:br w:type="page"/>
      </w:r>
    </w:p>
    <w:p w14:paraId="69AFD7CC" w14:textId="77777777" w:rsidR="007D14BF" w:rsidRPr="003B4CDA" w:rsidRDefault="007D14BF" w:rsidP="007D14BF">
      <w:pPr>
        <w:jc w:val="right"/>
        <w:rPr>
          <w:szCs w:val="20"/>
        </w:rPr>
      </w:pPr>
      <w:r w:rsidRPr="003B4CDA">
        <w:rPr>
          <w:szCs w:val="20"/>
        </w:rPr>
        <w:lastRenderedPageBreak/>
        <w:t>2.12. attēls</w:t>
      </w:r>
    </w:p>
    <w:p w14:paraId="19F6AFA3" w14:textId="77777777" w:rsidR="007D14BF" w:rsidRPr="003B4CDA" w:rsidRDefault="007D14BF" w:rsidP="007D14BF">
      <w:pPr>
        <w:spacing w:after="120"/>
        <w:jc w:val="center"/>
        <w:rPr>
          <w:rFonts w:ascii="Segoe UI Light" w:hAnsi="Segoe UI Light"/>
          <w:i/>
          <w:sz w:val="16"/>
          <w:szCs w:val="26"/>
        </w:rPr>
      </w:pPr>
      <w:r w:rsidRPr="003B4CDA">
        <w:rPr>
          <w:rFonts w:ascii="Segoe UI Light" w:hAnsi="Segoe UI Light"/>
          <w:b/>
          <w:sz w:val="18"/>
          <w:szCs w:val="26"/>
        </w:rPr>
        <w:t xml:space="preserve">Nodarbināto iedzīvotāju vecumā virs 50 gadiem īpatsvars vidējās kvalifikācijas profesiju apakšgrupās </w:t>
      </w:r>
      <w:r w:rsidRPr="003B4CDA">
        <w:rPr>
          <w:rFonts w:ascii="Segoe UI Light" w:hAnsi="Segoe UI Light"/>
          <w:b/>
          <w:sz w:val="18"/>
          <w:szCs w:val="26"/>
        </w:rPr>
        <w:br/>
      </w:r>
      <w:r w:rsidRPr="003B4CDA">
        <w:rPr>
          <w:rFonts w:ascii="Segoe UI Light" w:hAnsi="Segoe UI Light"/>
          <w:i/>
          <w:sz w:val="16"/>
          <w:szCs w:val="26"/>
        </w:rPr>
        <w:t>20</w:t>
      </w:r>
      <w:r>
        <w:rPr>
          <w:rFonts w:ascii="Segoe UI Light" w:hAnsi="Segoe UI Light"/>
          <w:i/>
          <w:sz w:val="16"/>
          <w:szCs w:val="26"/>
        </w:rPr>
        <w:t>2</w:t>
      </w:r>
      <w:r w:rsidRPr="003B4CDA">
        <w:rPr>
          <w:rFonts w:ascii="Segoe UI Light" w:hAnsi="Segoe UI Light"/>
          <w:i/>
          <w:sz w:val="16"/>
          <w:szCs w:val="26"/>
        </w:rPr>
        <w:t xml:space="preserve">1. gads, </w:t>
      </w:r>
      <w:r w:rsidRPr="003B4CDA">
        <w:rPr>
          <w:rFonts w:ascii="Segoe UI Light" w:hAnsi="Segoe UI Light"/>
          <w:bCs/>
          <w:i/>
          <w:sz w:val="16"/>
          <w:szCs w:val="26"/>
        </w:rPr>
        <w:t>procentos no attiecīgajā profesiju apakšgrupā nodarbinātajiem</w:t>
      </w:r>
    </w:p>
    <w:tbl>
      <w:tblPr>
        <w:tblStyle w:val="TableGrid"/>
        <w:tblW w:w="9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4"/>
      </w:tblGrid>
      <w:tr w:rsidR="007D14BF" w:rsidRPr="003B4CDA" w14:paraId="11C1F171" w14:textId="77777777" w:rsidTr="00D209BD">
        <w:trPr>
          <w:trHeight w:val="5726"/>
        </w:trPr>
        <w:tc>
          <w:tcPr>
            <w:tcW w:w="9230" w:type="dxa"/>
          </w:tcPr>
          <w:tbl>
            <w:tblPr>
              <w:tblW w:w="9014" w:type="dxa"/>
              <w:tblLook w:val="04A0" w:firstRow="1" w:lastRow="0" w:firstColumn="1" w:lastColumn="0" w:noHBand="0" w:noVBand="1"/>
            </w:tblPr>
            <w:tblGrid>
              <w:gridCol w:w="6092"/>
              <w:gridCol w:w="3166"/>
            </w:tblGrid>
            <w:tr w:rsidR="007D14BF" w:rsidRPr="003B4CDA" w14:paraId="4FF9BC0D" w14:textId="77777777" w:rsidTr="00D209BD">
              <w:trPr>
                <w:trHeight w:val="6376"/>
              </w:trPr>
              <w:tc>
                <w:tcPr>
                  <w:tcW w:w="5839" w:type="dxa"/>
                  <w:shd w:val="clear" w:color="auto" w:fill="auto"/>
                  <w:noWrap/>
                  <w:hideMark/>
                </w:tcPr>
                <w:tbl>
                  <w:tblPr>
                    <w:tblW w:w="5876" w:type="dxa"/>
                    <w:tblLook w:val="04A0" w:firstRow="1" w:lastRow="0" w:firstColumn="1" w:lastColumn="0" w:noHBand="0" w:noVBand="1"/>
                  </w:tblPr>
                  <w:tblGrid>
                    <w:gridCol w:w="5876"/>
                  </w:tblGrid>
                  <w:tr w:rsidR="007D14BF" w:rsidRPr="004A4B3B" w14:paraId="0FAD834D" w14:textId="77777777" w:rsidTr="00D209BD">
                    <w:trPr>
                      <w:trHeight w:val="290"/>
                    </w:trPr>
                    <w:tc>
                      <w:tcPr>
                        <w:tcW w:w="5876" w:type="dxa"/>
                        <w:tcBorders>
                          <w:top w:val="nil"/>
                          <w:left w:val="nil"/>
                          <w:bottom w:val="nil"/>
                          <w:right w:val="nil"/>
                        </w:tcBorders>
                        <w:shd w:val="clear" w:color="auto" w:fill="auto"/>
                        <w:noWrap/>
                        <w:vAlign w:val="bottom"/>
                        <w:hideMark/>
                      </w:tcPr>
                      <w:p w14:paraId="27BCC3BA"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Personiskā patēriņa lauksaimnieki, zvejnieki, mednieki un vācēji</w:t>
                        </w:r>
                      </w:p>
                    </w:tc>
                  </w:tr>
                  <w:tr w:rsidR="007D14BF" w:rsidRPr="004A4B3B" w14:paraId="31ED1173" w14:textId="77777777" w:rsidTr="00D209BD">
                    <w:trPr>
                      <w:trHeight w:val="290"/>
                    </w:trPr>
                    <w:tc>
                      <w:tcPr>
                        <w:tcW w:w="5876" w:type="dxa"/>
                        <w:tcBorders>
                          <w:top w:val="nil"/>
                          <w:left w:val="nil"/>
                          <w:bottom w:val="nil"/>
                          <w:right w:val="nil"/>
                        </w:tcBorders>
                        <w:shd w:val="clear" w:color="auto" w:fill="auto"/>
                        <w:noWrap/>
                        <w:vAlign w:val="bottom"/>
                        <w:hideMark/>
                      </w:tcPr>
                      <w:p w14:paraId="0E92D474"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Individuālās aprūpes darbinieki</w:t>
                        </w:r>
                      </w:p>
                    </w:tc>
                  </w:tr>
                  <w:tr w:rsidR="007D14BF" w:rsidRPr="004A4B3B" w14:paraId="53CE39D8" w14:textId="77777777" w:rsidTr="00D209BD">
                    <w:trPr>
                      <w:trHeight w:val="290"/>
                    </w:trPr>
                    <w:tc>
                      <w:tcPr>
                        <w:tcW w:w="5876" w:type="dxa"/>
                        <w:tcBorders>
                          <w:top w:val="nil"/>
                          <w:left w:val="nil"/>
                          <w:bottom w:val="nil"/>
                          <w:right w:val="nil"/>
                        </w:tcBorders>
                        <w:shd w:val="clear" w:color="auto" w:fill="auto"/>
                        <w:noWrap/>
                        <w:vAlign w:val="bottom"/>
                        <w:hideMark/>
                      </w:tcPr>
                      <w:p w14:paraId="6EC3422A"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Apsardzes pakalpojumu jomas darbinieki</w:t>
                        </w:r>
                      </w:p>
                    </w:tc>
                  </w:tr>
                  <w:tr w:rsidR="007D14BF" w:rsidRPr="004A4B3B" w14:paraId="48791778" w14:textId="77777777" w:rsidTr="00D209BD">
                    <w:trPr>
                      <w:trHeight w:val="290"/>
                    </w:trPr>
                    <w:tc>
                      <w:tcPr>
                        <w:tcW w:w="5876" w:type="dxa"/>
                        <w:tcBorders>
                          <w:top w:val="nil"/>
                          <w:left w:val="nil"/>
                          <w:bottom w:val="nil"/>
                          <w:right w:val="nil"/>
                        </w:tcBorders>
                        <w:shd w:val="clear" w:color="auto" w:fill="auto"/>
                        <w:noWrap/>
                        <w:vAlign w:val="bottom"/>
                        <w:hideMark/>
                      </w:tcPr>
                      <w:p w14:paraId="298E0596"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Kvalificēti tirgus lauksaimniecības darbinieki</w:t>
                        </w:r>
                      </w:p>
                    </w:tc>
                  </w:tr>
                  <w:tr w:rsidR="007D14BF" w:rsidRPr="004A4B3B" w14:paraId="000B17D8" w14:textId="77777777" w:rsidTr="00D209BD">
                    <w:trPr>
                      <w:trHeight w:val="290"/>
                    </w:trPr>
                    <w:tc>
                      <w:tcPr>
                        <w:tcW w:w="5876" w:type="dxa"/>
                        <w:tcBorders>
                          <w:top w:val="nil"/>
                          <w:left w:val="nil"/>
                          <w:bottom w:val="nil"/>
                          <w:right w:val="nil"/>
                        </w:tcBorders>
                        <w:shd w:val="clear" w:color="auto" w:fill="auto"/>
                        <w:noWrap/>
                        <w:vAlign w:val="bottom"/>
                        <w:hideMark/>
                      </w:tcPr>
                      <w:p w14:paraId="68863779"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Pašgājēju mašīnu un iekārtu vadītāji un celšanas iekārtu un mašīnu operatori</w:t>
                        </w:r>
                      </w:p>
                    </w:tc>
                  </w:tr>
                  <w:tr w:rsidR="007D14BF" w:rsidRPr="004A4B3B" w14:paraId="0C2558D5" w14:textId="77777777" w:rsidTr="00D209BD">
                    <w:trPr>
                      <w:trHeight w:val="290"/>
                    </w:trPr>
                    <w:tc>
                      <w:tcPr>
                        <w:tcW w:w="5876" w:type="dxa"/>
                        <w:tcBorders>
                          <w:top w:val="nil"/>
                          <w:left w:val="nil"/>
                          <w:bottom w:val="nil"/>
                          <w:right w:val="nil"/>
                        </w:tcBorders>
                        <w:shd w:val="clear" w:color="auto" w:fill="auto"/>
                        <w:noWrap/>
                        <w:vAlign w:val="bottom"/>
                        <w:hideMark/>
                      </w:tcPr>
                      <w:p w14:paraId="449E68C0"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Elektrisko un elektronisko iekārtu strādnieki</w:t>
                        </w:r>
                      </w:p>
                    </w:tc>
                  </w:tr>
                  <w:tr w:rsidR="007D14BF" w:rsidRPr="004A4B3B" w14:paraId="5F32096F" w14:textId="77777777" w:rsidTr="00D209BD">
                    <w:trPr>
                      <w:trHeight w:val="290"/>
                    </w:trPr>
                    <w:tc>
                      <w:tcPr>
                        <w:tcW w:w="5876" w:type="dxa"/>
                        <w:tcBorders>
                          <w:top w:val="nil"/>
                          <w:left w:val="nil"/>
                          <w:bottom w:val="nil"/>
                          <w:right w:val="nil"/>
                        </w:tcBorders>
                        <w:shd w:val="clear" w:color="auto" w:fill="auto"/>
                        <w:noWrap/>
                        <w:vAlign w:val="bottom"/>
                        <w:hideMark/>
                      </w:tcPr>
                      <w:p w14:paraId="0FCDA4A5"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Citi kalpotāji</w:t>
                        </w:r>
                      </w:p>
                    </w:tc>
                  </w:tr>
                  <w:tr w:rsidR="007D14BF" w:rsidRPr="004A4B3B" w14:paraId="3C66EB30" w14:textId="77777777" w:rsidTr="00D209BD">
                    <w:trPr>
                      <w:trHeight w:val="290"/>
                    </w:trPr>
                    <w:tc>
                      <w:tcPr>
                        <w:tcW w:w="5876" w:type="dxa"/>
                        <w:tcBorders>
                          <w:top w:val="nil"/>
                          <w:left w:val="nil"/>
                          <w:bottom w:val="nil"/>
                          <w:right w:val="nil"/>
                        </w:tcBorders>
                        <w:shd w:val="clear" w:color="auto" w:fill="auto"/>
                        <w:noWrap/>
                        <w:vAlign w:val="bottom"/>
                        <w:hideMark/>
                      </w:tcPr>
                      <w:p w14:paraId="1DA0C9B5"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Amatnieki un iespieddarbu strādnieki</w:t>
                        </w:r>
                      </w:p>
                    </w:tc>
                  </w:tr>
                  <w:tr w:rsidR="007D14BF" w:rsidRPr="004A4B3B" w14:paraId="26D3888A" w14:textId="77777777" w:rsidTr="00D209BD">
                    <w:trPr>
                      <w:trHeight w:val="290"/>
                    </w:trPr>
                    <w:tc>
                      <w:tcPr>
                        <w:tcW w:w="5876" w:type="dxa"/>
                        <w:tcBorders>
                          <w:top w:val="nil"/>
                          <w:left w:val="nil"/>
                          <w:bottom w:val="nil"/>
                          <w:right w:val="nil"/>
                        </w:tcBorders>
                        <w:shd w:val="clear" w:color="auto" w:fill="auto"/>
                        <w:noWrap/>
                        <w:vAlign w:val="bottom"/>
                        <w:hideMark/>
                      </w:tcPr>
                      <w:p w14:paraId="53596063"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Rūpniecisko iekārtu operatori</w:t>
                        </w:r>
                      </w:p>
                    </w:tc>
                  </w:tr>
                  <w:tr w:rsidR="007D14BF" w:rsidRPr="004A4B3B" w14:paraId="0B1F6C3A" w14:textId="77777777" w:rsidTr="00D209BD">
                    <w:trPr>
                      <w:trHeight w:val="290"/>
                    </w:trPr>
                    <w:tc>
                      <w:tcPr>
                        <w:tcW w:w="5876" w:type="dxa"/>
                        <w:tcBorders>
                          <w:top w:val="nil"/>
                          <w:left w:val="nil"/>
                          <w:bottom w:val="nil"/>
                          <w:right w:val="nil"/>
                        </w:tcBorders>
                        <w:shd w:val="clear" w:color="auto" w:fill="auto"/>
                        <w:noWrap/>
                        <w:vAlign w:val="bottom"/>
                        <w:hideMark/>
                      </w:tcPr>
                      <w:p w14:paraId="1C29D00E"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Individuālo pakalpojumu jomas darbinieki</w:t>
                        </w:r>
                      </w:p>
                    </w:tc>
                  </w:tr>
                  <w:tr w:rsidR="007D14BF" w:rsidRPr="004A4B3B" w14:paraId="1FB6FD16" w14:textId="77777777" w:rsidTr="00D209BD">
                    <w:trPr>
                      <w:trHeight w:val="290"/>
                    </w:trPr>
                    <w:tc>
                      <w:tcPr>
                        <w:tcW w:w="5876" w:type="dxa"/>
                        <w:tcBorders>
                          <w:top w:val="nil"/>
                          <w:left w:val="nil"/>
                          <w:bottom w:val="nil"/>
                          <w:right w:val="nil"/>
                        </w:tcBorders>
                        <w:shd w:val="clear" w:color="auto" w:fill="auto"/>
                        <w:noWrap/>
                        <w:vAlign w:val="bottom"/>
                        <w:hideMark/>
                      </w:tcPr>
                      <w:p w14:paraId="4F8796F4"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Metālapstrādes, mašīnbūves un tām radniecīgu jomu strādnieki</w:t>
                        </w:r>
                      </w:p>
                    </w:tc>
                  </w:tr>
                  <w:tr w:rsidR="007D14BF" w:rsidRPr="004A4B3B" w14:paraId="167CA462" w14:textId="77777777" w:rsidTr="00D209BD">
                    <w:trPr>
                      <w:trHeight w:val="290"/>
                    </w:trPr>
                    <w:tc>
                      <w:tcPr>
                        <w:tcW w:w="5876" w:type="dxa"/>
                        <w:tcBorders>
                          <w:top w:val="nil"/>
                          <w:left w:val="nil"/>
                          <w:bottom w:val="nil"/>
                          <w:right w:val="nil"/>
                        </w:tcBorders>
                        <w:shd w:val="clear" w:color="auto" w:fill="auto"/>
                        <w:noWrap/>
                        <w:vAlign w:val="bottom"/>
                        <w:hideMark/>
                      </w:tcPr>
                      <w:p w14:paraId="4A1804CA" w14:textId="77777777" w:rsidR="007D14BF" w:rsidRPr="004A4B3B" w:rsidRDefault="007D14BF" w:rsidP="00D209BD">
                        <w:pPr>
                          <w:spacing w:before="40" w:after="0"/>
                          <w:ind w:right="-57"/>
                          <w:jc w:val="right"/>
                          <w:rPr>
                            <w:rFonts w:ascii="Segoe UI Light" w:hAnsi="Segoe UI Light" w:cs="Segoe UI Semilight"/>
                            <w:sz w:val="16"/>
                            <w:szCs w:val="16"/>
                          </w:rPr>
                        </w:pPr>
                        <w:r w:rsidRPr="004A4B3B">
                          <w:rPr>
                            <w:rFonts w:ascii="Segoe UI Light" w:hAnsi="Segoe UI Light" w:cs="Segoe UI Semilight"/>
                            <w:sz w:val="16"/>
                            <w:szCs w:val="16"/>
                          </w:rPr>
                          <w:t>Pārtikas produktu pārstrādes un kokapstrādes strādnieki, apģērbu izgatavošanas un citi amatnieki un tiem radniecīgu profesiju strādnieki</w:t>
                        </w:r>
                      </w:p>
                    </w:tc>
                  </w:tr>
                  <w:tr w:rsidR="007D14BF" w:rsidRPr="004A4B3B" w14:paraId="0FD8F298" w14:textId="77777777" w:rsidTr="00D209BD">
                    <w:trPr>
                      <w:trHeight w:val="290"/>
                    </w:trPr>
                    <w:tc>
                      <w:tcPr>
                        <w:tcW w:w="5876" w:type="dxa"/>
                        <w:tcBorders>
                          <w:top w:val="nil"/>
                          <w:left w:val="nil"/>
                          <w:bottom w:val="nil"/>
                          <w:right w:val="nil"/>
                        </w:tcBorders>
                        <w:shd w:val="clear" w:color="auto" w:fill="auto"/>
                        <w:noWrap/>
                        <w:vAlign w:val="bottom"/>
                        <w:hideMark/>
                      </w:tcPr>
                      <w:p w14:paraId="46BB05C3" w14:textId="77777777" w:rsidR="007D14BF" w:rsidRPr="004A4B3B" w:rsidRDefault="007D14BF" w:rsidP="00D209BD">
                        <w:pPr>
                          <w:spacing w:before="40" w:after="0"/>
                          <w:ind w:right="-57"/>
                          <w:jc w:val="right"/>
                          <w:rPr>
                            <w:rFonts w:ascii="Segoe UI Light" w:hAnsi="Segoe UI Light" w:cs="Segoe UI Semilight"/>
                            <w:sz w:val="16"/>
                            <w:szCs w:val="16"/>
                          </w:rPr>
                        </w:pPr>
                        <w:r w:rsidRPr="004A4B3B">
                          <w:rPr>
                            <w:rFonts w:ascii="Segoe UI Light" w:hAnsi="Segoe UI Light" w:cs="Segoe UI Semilight"/>
                            <w:sz w:val="16"/>
                            <w:szCs w:val="16"/>
                          </w:rPr>
                          <w:t>Uzskaites un materiālo vērtību reģistrēšanas darbinieki</w:t>
                        </w:r>
                      </w:p>
                    </w:tc>
                  </w:tr>
                  <w:tr w:rsidR="007D14BF" w:rsidRPr="004A4B3B" w14:paraId="64C516BB" w14:textId="77777777" w:rsidTr="00D209BD">
                    <w:trPr>
                      <w:trHeight w:val="290"/>
                    </w:trPr>
                    <w:tc>
                      <w:tcPr>
                        <w:tcW w:w="5876" w:type="dxa"/>
                        <w:tcBorders>
                          <w:top w:val="nil"/>
                          <w:left w:val="nil"/>
                          <w:bottom w:val="nil"/>
                          <w:right w:val="nil"/>
                        </w:tcBorders>
                        <w:shd w:val="clear" w:color="auto" w:fill="auto"/>
                        <w:noWrap/>
                        <w:vAlign w:val="bottom"/>
                        <w:hideMark/>
                      </w:tcPr>
                      <w:p w14:paraId="10DF6226"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Tirdzniecības darbinieki</w:t>
                        </w:r>
                      </w:p>
                    </w:tc>
                  </w:tr>
                  <w:tr w:rsidR="007D14BF" w:rsidRPr="004A4B3B" w14:paraId="17C89C2F" w14:textId="77777777" w:rsidTr="00D209BD">
                    <w:trPr>
                      <w:trHeight w:val="290"/>
                    </w:trPr>
                    <w:tc>
                      <w:tcPr>
                        <w:tcW w:w="5876" w:type="dxa"/>
                        <w:tcBorders>
                          <w:top w:val="nil"/>
                          <w:left w:val="nil"/>
                          <w:bottom w:val="nil"/>
                          <w:right w:val="nil"/>
                        </w:tcBorders>
                        <w:shd w:val="clear" w:color="auto" w:fill="auto"/>
                        <w:noWrap/>
                        <w:vAlign w:val="bottom"/>
                        <w:hideMark/>
                      </w:tcPr>
                      <w:p w14:paraId="7805F659"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Būvnieki un tiem radniecīgu profesiju strādnieki (izņemot elektriķus)</w:t>
                        </w:r>
                      </w:p>
                    </w:tc>
                  </w:tr>
                  <w:tr w:rsidR="007D14BF" w:rsidRPr="004A4B3B" w14:paraId="0F8BC2B8" w14:textId="77777777" w:rsidTr="00D209BD">
                    <w:trPr>
                      <w:trHeight w:val="290"/>
                    </w:trPr>
                    <w:tc>
                      <w:tcPr>
                        <w:tcW w:w="5876" w:type="dxa"/>
                        <w:tcBorders>
                          <w:top w:val="nil"/>
                          <w:left w:val="nil"/>
                          <w:bottom w:val="nil"/>
                          <w:right w:val="nil"/>
                        </w:tcBorders>
                        <w:shd w:val="clear" w:color="auto" w:fill="auto"/>
                        <w:noWrap/>
                        <w:vAlign w:val="bottom"/>
                        <w:hideMark/>
                      </w:tcPr>
                      <w:p w14:paraId="061C87A0"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Montieri</w:t>
                        </w:r>
                      </w:p>
                    </w:tc>
                  </w:tr>
                  <w:tr w:rsidR="007D14BF" w:rsidRPr="004A4B3B" w14:paraId="15DA0708" w14:textId="77777777" w:rsidTr="00D209BD">
                    <w:trPr>
                      <w:trHeight w:val="290"/>
                    </w:trPr>
                    <w:tc>
                      <w:tcPr>
                        <w:tcW w:w="5876" w:type="dxa"/>
                        <w:tcBorders>
                          <w:top w:val="nil"/>
                          <w:left w:val="nil"/>
                          <w:bottom w:val="nil"/>
                          <w:right w:val="nil"/>
                        </w:tcBorders>
                        <w:shd w:val="clear" w:color="auto" w:fill="auto"/>
                        <w:noWrap/>
                        <w:vAlign w:val="bottom"/>
                        <w:hideMark/>
                      </w:tcPr>
                      <w:p w14:paraId="7FB9CC28"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Kvalificēti tirgus mežsaimniecības, zivsaimniecības un medību saimniecības darbinieki</w:t>
                        </w:r>
                      </w:p>
                    </w:tc>
                  </w:tr>
                  <w:tr w:rsidR="007D14BF" w:rsidRPr="004A4B3B" w14:paraId="57BD8D3D" w14:textId="77777777" w:rsidTr="00D209BD">
                    <w:trPr>
                      <w:trHeight w:val="290"/>
                    </w:trPr>
                    <w:tc>
                      <w:tcPr>
                        <w:tcW w:w="5876" w:type="dxa"/>
                        <w:tcBorders>
                          <w:top w:val="nil"/>
                          <w:left w:val="nil"/>
                          <w:bottom w:val="nil"/>
                          <w:right w:val="nil"/>
                        </w:tcBorders>
                        <w:shd w:val="clear" w:color="auto" w:fill="auto"/>
                        <w:noWrap/>
                        <w:vAlign w:val="bottom"/>
                        <w:hideMark/>
                      </w:tcPr>
                      <w:p w14:paraId="684C71FB"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Klientu apkalpotāji</w:t>
                        </w:r>
                      </w:p>
                    </w:tc>
                  </w:tr>
                  <w:tr w:rsidR="007D14BF" w:rsidRPr="004A4B3B" w14:paraId="3E688423" w14:textId="77777777" w:rsidTr="00D209BD">
                    <w:trPr>
                      <w:trHeight w:val="290"/>
                    </w:trPr>
                    <w:tc>
                      <w:tcPr>
                        <w:tcW w:w="5876" w:type="dxa"/>
                        <w:tcBorders>
                          <w:top w:val="nil"/>
                          <w:left w:val="nil"/>
                          <w:bottom w:val="nil"/>
                          <w:right w:val="nil"/>
                        </w:tcBorders>
                        <w:shd w:val="clear" w:color="auto" w:fill="auto"/>
                        <w:noWrap/>
                        <w:vAlign w:val="bottom"/>
                        <w:hideMark/>
                      </w:tcPr>
                      <w:p w14:paraId="1DE03BF2" w14:textId="77777777" w:rsidR="007D14BF" w:rsidRPr="004A4B3B" w:rsidRDefault="007D14BF" w:rsidP="00D209BD">
                        <w:pPr>
                          <w:spacing w:before="120" w:after="0"/>
                          <w:ind w:right="-57"/>
                          <w:jc w:val="right"/>
                          <w:rPr>
                            <w:rFonts w:ascii="Segoe UI Light" w:hAnsi="Segoe UI Light" w:cs="Segoe UI Semilight"/>
                            <w:sz w:val="16"/>
                            <w:szCs w:val="16"/>
                          </w:rPr>
                        </w:pPr>
                        <w:r w:rsidRPr="004A4B3B">
                          <w:rPr>
                            <w:rFonts w:ascii="Segoe UI Light" w:hAnsi="Segoe UI Light" w:cs="Segoe UI Semilight"/>
                            <w:sz w:val="16"/>
                            <w:szCs w:val="16"/>
                          </w:rPr>
                          <w:t>Iestāžu kalpotāji un kancelejas tehnikas operatori</w:t>
                        </w:r>
                      </w:p>
                    </w:tc>
                  </w:tr>
                </w:tbl>
                <w:p w14:paraId="4AA208A8" w14:textId="77777777" w:rsidR="007D14BF" w:rsidRPr="003B4CDA" w:rsidRDefault="007D14BF" w:rsidP="00D209BD">
                  <w:pPr>
                    <w:spacing w:before="120" w:after="0"/>
                    <w:ind w:right="-57"/>
                    <w:jc w:val="right"/>
                    <w:rPr>
                      <w:rFonts w:ascii="Segoe UI Light" w:hAnsi="Segoe UI Light" w:cs="Segoe UI Semilight"/>
                      <w:sz w:val="16"/>
                      <w:szCs w:val="16"/>
                    </w:rPr>
                  </w:pPr>
                </w:p>
              </w:tc>
              <w:tc>
                <w:tcPr>
                  <w:tcW w:w="3175" w:type="dxa"/>
                </w:tcPr>
                <w:p w14:paraId="4532FBFC" w14:textId="77777777" w:rsidR="007D14BF" w:rsidRPr="003B4CDA" w:rsidRDefault="007D14BF" w:rsidP="00D209BD">
                  <w:pPr>
                    <w:spacing w:after="0"/>
                    <w:ind w:left="-170"/>
                    <w:rPr>
                      <w:rFonts w:ascii="Segoe UI Light" w:hAnsi="Segoe UI Light" w:cs="Segoe UI Semilight"/>
                      <w:sz w:val="16"/>
                      <w:szCs w:val="16"/>
                    </w:rPr>
                  </w:pPr>
                  <w:r w:rsidRPr="003B4CDA">
                    <w:rPr>
                      <w:rFonts w:ascii="Segoe UI Light" w:hAnsi="Segoe UI Light"/>
                      <w:noProof/>
                      <w:sz w:val="16"/>
                      <w:szCs w:val="16"/>
                      <w:lang w:eastAsia="lv-LV"/>
                    </w:rPr>
                    <w:drawing>
                      <wp:inline distT="0" distB="0" distL="0" distR="0" wp14:anchorId="7FCD5FEA" wp14:editId="4AD1B328">
                        <wp:extent cx="1980000" cy="4320000"/>
                        <wp:effectExtent l="0" t="0" r="1270" b="4445"/>
                        <wp:docPr id="288"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r>
          </w:tbl>
          <w:p w14:paraId="3AB01FD5" w14:textId="77777777" w:rsidR="007D14BF" w:rsidRPr="003B4CDA" w:rsidRDefault="007D14BF" w:rsidP="00D209BD">
            <w:pPr>
              <w:spacing w:before="120" w:after="0"/>
              <w:ind w:left="-113" w:right="-113"/>
              <w:jc w:val="right"/>
              <w:rPr>
                <w:rFonts w:ascii="Segoe UI Light" w:hAnsi="Segoe UI Light"/>
                <w:sz w:val="16"/>
                <w:szCs w:val="16"/>
              </w:rPr>
            </w:pPr>
          </w:p>
        </w:tc>
      </w:tr>
    </w:tbl>
    <w:p w14:paraId="58584554" w14:textId="77777777" w:rsidR="007D14BF" w:rsidRPr="00782D2E" w:rsidRDefault="007D14BF" w:rsidP="00D813E4">
      <w:pPr>
        <w:jc w:val="both"/>
        <w:rPr>
          <w:iCs/>
          <w:sz w:val="12"/>
          <w:szCs w:val="12"/>
        </w:rPr>
      </w:pPr>
      <w:r w:rsidRPr="00782D2E">
        <w:rPr>
          <w:sz w:val="12"/>
          <w:szCs w:val="12"/>
        </w:rPr>
        <w:t xml:space="preserve">Avots: </w:t>
      </w:r>
      <w:r w:rsidRPr="00782D2E">
        <w:rPr>
          <w:iCs/>
          <w:sz w:val="12"/>
          <w:szCs w:val="12"/>
        </w:rPr>
        <w:t>CSP, EM aprēķini</w:t>
      </w:r>
    </w:p>
    <w:p w14:paraId="4D689A15" w14:textId="410992EE" w:rsidR="007D14BF" w:rsidRDefault="00D813E4" w:rsidP="007D14BF">
      <w:pPr>
        <w:jc w:val="both"/>
        <w:rPr>
          <w:szCs w:val="20"/>
        </w:rPr>
      </w:pPr>
      <w:r>
        <w:rPr>
          <w:szCs w:val="20"/>
        </w:rPr>
        <w:br/>
      </w:r>
      <w:r w:rsidR="007D14BF" w:rsidRPr="003B4CDA">
        <w:rPr>
          <w:szCs w:val="20"/>
        </w:rPr>
        <w:t>Darbaspēka vecumstruktūru dažādu profesiju griezumā ietekmē vairāki iemesli. Jaunieši dažādu iemeslu dēļ nedod priekšroku attiecīgajiem studiju/mācību virzieniem vai pēc mācību pabeigšanas izvēlas strādāt citā profesijā. Atsevišķās profesijās kā viens no iemesliem ir zemais atalgojuma līmenis.</w:t>
      </w:r>
    </w:p>
    <w:p w14:paraId="1163D7F7" w14:textId="77777777" w:rsidR="007D14BF" w:rsidRPr="003B4CDA" w:rsidRDefault="007D14BF" w:rsidP="007D14BF">
      <w:pPr>
        <w:jc w:val="both"/>
        <w:rPr>
          <w:szCs w:val="20"/>
        </w:rPr>
      </w:pPr>
    </w:p>
    <w:p w14:paraId="7A3587D7" w14:textId="77777777" w:rsidR="00F930A3" w:rsidRPr="004F4689" w:rsidRDefault="00F930A3" w:rsidP="00F930A3">
      <w:pPr>
        <w:pStyle w:val="Heading2"/>
        <w:rPr>
          <w:color w:val="000000" w:themeColor="text1"/>
        </w:rPr>
      </w:pPr>
      <w:bookmarkStart w:id="45" w:name="_Toc106366796"/>
      <w:r w:rsidRPr="004F4689">
        <w:rPr>
          <w:color w:val="000000" w:themeColor="text1"/>
        </w:rPr>
        <w:t>2.3. Darba tirgus pieprasījuma un piedāvājuma atbilstība</w:t>
      </w:r>
      <w:bookmarkEnd w:id="42"/>
      <w:bookmarkEnd w:id="43"/>
      <w:bookmarkEnd w:id="44"/>
      <w:bookmarkEnd w:id="45"/>
    </w:p>
    <w:p w14:paraId="27B29E10" w14:textId="442AE32A" w:rsidR="00DC6DD4" w:rsidRDefault="00DC6DD4" w:rsidP="00DC6DD4">
      <w:pPr>
        <w:jc w:val="both"/>
        <w:rPr>
          <w:szCs w:val="20"/>
        </w:rPr>
      </w:pPr>
      <w:bookmarkStart w:id="46" w:name="_Hlk40712765"/>
      <w:r>
        <w:rPr>
          <w:szCs w:val="20"/>
        </w:rPr>
        <w:t>Covid-19 pandēmijas krīze kopumā ir samazinājusi darbaspēka pieprasījumu tautsaimniecībā, kas ir veicinājis arī kopējā bezdarba/darbaspēka pārpalikuma pieaugumu krīzes laikā. Lielākais darba meklētāju skaita pieaugums bija vērojams 2020. gadā, strauji samazinoties darbaspēka pieprasījumam. 2021. gadā darbaspēka pieprasījums kopumā turpināja kristies, tomēr, ņemot vērā iedzīvotāju ekonomiskās aktivitātes/līdzdalības līmeņa darba tirgū samazināšanos, kā arī darbaspējīgo iedzīvotāju skaita samazināšanos, arī darbaspēka piedāvājums darba tirgū samazinājās, tādejādi kopumā sašaurinot brīvos darba resursus/ darba meklētājus darba tirgū. Kopumā 2021. gadā darba meklējumos bija 70,</w:t>
      </w:r>
      <w:r w:rsidRPr="003B4CDA">
        <w:rPr>
          <w:szCs w:val="20"/>
        </w:rPr>
        <w:t>6 tūkst.</w:t>
      </w:r>
      <w:r>
        <w:rPr>
          <w:szCs w:val="20"/>
        </w:rPr>
        <w:t xml:space="preserve"> iedzīvotāju, kas bija par 8,1 tūkst. mazāk nekā 2020. gadā. B</w:t>
      </w:r>
      <w:r w:rsidRPr="003B4CDA">
        <w:rPr>
          <w:szCs w:val="20"/>
        </w:rPr>
        <w:t xml:space="preserve">ezdarba līmenis </w:t>
      </w:r>
      <w:r>
        <w:rPr>
          <w:szCs w:val="20"/>
        </w:rPr>
        <w:t xml:space="preserve">2021. gadā </w:t>
      </w:r>
      <w:r w:rsidRPr="003B4CDA">
        <w:rPr>
          <w:szCs w:val="20"/>
        </w:rPr>
        <w:t xml:space="preserve">saruka līdz </w:t>
      </w:r>
      <w:r>
        <w:rPr>
          <w:szCs w:val="20"/>
        </w:rPr>
        <w:t>vidēji 7,</w:t>
      </w:r>
      <w:r w:rsidRPr="003B4CDA">
        <w:rPr>
          <w:szCs w:val="20"/>
        </w:rPr>
        <w:t>6% no ekonomiski aktīvajiem iedzīvotājiem</w:t>
      </w:r>
      <w:r>
        <w:rPr>
          <w:szCs w:val="20"/>
        </w:rPr>
        <w:t xml:space="preserve">, </w:t>
      </w:r>
      <w:proofErr w:type="spellStart"/>
      <w:r>
        <w:rPr>
          <w:szCs w:val="20"/>
        </w:rPr>
        <w:t>pirmskrīzes</w:t>
      </w:r>
      <w:proofErr w:type="spellEnd"/>
      <w:r>
        <w:rPr>
          <w:szCs w:val="20"/>
        </w:rPr>
        <w:t xml:space="preserve"> (2019. gada) līmeni pārsniedzot par 1,3 procentpunktiem.</w:t>
      </w:r>
    </w:p>
    <w:p w14:paraId="0A668F8D" w14:textId="6DECC803" w:rsidR="00DC6DD4" w:rsidRDefault="00DC6DD4" w:rsidP="00DC6DD4">
      <w:pPr>
        <w:jc w:val="both"/>
        <w:rPr>
          <w:szCs w:val="20"/>
        </w:rPr>
      </w:pPr>
      <w:r>
        <w:rPr>
          <w:szCs w:val="20"/>
        </w:rPr>
        <w:t>Kopumā i</w:t>
      </w:r>
      <w:r w:rsidRPr="003B4CDA">
        <w:rPr>
          <w:szCs w:val="20"/>
        </w:rPr>
        <w:t>edzīvotāji ar augstāku izglītības līmeni ir mazāk pakļauti bezdarba riskam. 20</w:t>
      </w:r>
      <w:r>
        <w:rPr>
          <w:szCs w:val="20"/>
        </w:rPr>
        <w:t>2</w:t>
      </w:r>
      <w:r w:rsidRPr="003B4CDA">
        <w:rPr>
          <w:szCs w:val="20"/>
        </w:rPr>
        <w:t xml:space="preserve">1. gadā iedzīvotāju ar augstāko izglītību bezdarba līmenis veidoja </w:t>
      </w:r>
      <w:r>
        <w:rPr>
          <w:szCs w:val="20"/>
        </w:rPr>
        <w:t>4</w:t>
      </w:r>
      <w:r w:rsidRPr="003B4CDA">
        <w:rPr>
          <w:szCs w:val="20"/>
        </w:rPr>
        <w:t>,6%</w:t>
      </w:r>
      <w:r>
        <w:rPr>
          <w:szCs w:val="20"/>
        </w:rPr>
        <w:t xml:space="preserve">, savukārt </w:t>
      </w:r>
      <w:r w:rsidRPr="002612A6">
        <w:rPr>
          <w:szCs w:val="20"/>
        </w:rPr>
        <w:t>iedzīvotājiem ar vidējo izglītīb</w:t>
      </w:r>
      <w:r>
        <w:rPr>
          <w:szCs w:val="20"/>
        </w:rPr>
        <w:t xml:space="preserve">as pakāpi bezdarba līmenis bija gandrīz divreiz augstāks (8,9%), bet ar pamatizglītību un zemāku izglītības līmeni gandrīz 3 reizes augstāks (14,5%). Tāpat jāatzīmē, ka </w:t>
      </w:r>
      <w:r w:rsidRPr="002612A6">
        <w:rPr>
          <w:szCs w:val="20"/>
        </w:rPr>
        <w:t>bezdarba risku</w:t>
      </w:r>
      <w:r>
        <w:rPr>
          <w:szCs w:val="20"/>
        </w:rPr>
        <w:t>s kopumā mazina p</w:t>
      </w:r>
      <w:r w:rsidRPr="002612A6">
        <w:rPr>
          <w:szCs w:val="20"/>
        </w:rPr>
        <w:t xml:space="preserve">rofesijas </w:t>
      </w:r>
      <w:r>
        <w:rPr>
          <w:szCs w:val="20"/>
        </w:rPr>
        <w:t>ap</w:t>
      </w:r>
      <w:r w:rsidRPr="002612A6">
        <w:rPr>
          <w:szCs w:val="20"/>
        </w:rPr>
        <w:t>guve</w:t>
      </w:r>
      <w:r>
        <w:rPr>
          <w:szCs w:val="20"/>
        </w:rPr>
        <w:t xml:space="preserve"> – 2021. gadā b</w:t>
      </w:r>
      <w:r w:rsidRPr="002612A6">
        <w:rPr>
          <w:szCs w:val="20"/>
        </w:rPr>
        <w:t xml:space="preserve">ezdarba līmenis </w:t>
      </w:r>
      <w:r>
        <w:rPr>
          <w:szCs w:val="20"/>
        </w:rPr>
        <w:t xml:space="preserve">starp </w:t>
      </w:r>
      <w:r w:rsidRPr="002612A6">
        <w:rPr>
          <w:szCs w:val="20"/>
        </w:rPr>
        <w:t xml:space="preserve">iedzīvotājiem ar vidējo profesionālo izglītību </w:t>
      </w:r>
      <w:r>
        <w:rPr>
          <w:szCs w:val="20"/>
        </w:rPr>
        <w:t xml:space="preserve">bija par 2,6 procentpunktiem </w:t>
      </w:r>
      <w:r w:rsidRPr="002612A6">
        <w:rPr>
          <w:szCs w:val="20"/>
        </w:rPr>
        <w:t>zemāks nekā ar vidējo vispārējo izglītību</w:t>
      </w:r>
      <w:r>
        <w:rPr>
          <w:szCs w:val="20"/>
        </w:rPr>
        <w:t xml:space="preserve">. </w:t>
      </w:r>
      <w:r>
        <w:rPr>
          <w:szCs w:val="20"/>
        </w:rPr>
        <w:lastRenderedPageBreak/>
        <w:t>Jo īpaši šī tendence ir pastiprinājusies krīzes laikā – darba devēji, izskatot darbinieku samazināšanas iespējas, prioritāri izvēlās paturēt darbiniekus ar profesionālām prasmēm.</w:t>
      </w:r>
    </w:p>
    <w:p w14:paraId="1B9DCF7E" w14:textId="57F1F9B5" w:rsidR="00DC6DD4" w:rsidRDefault="00DC6DD4" w:rsidP="00DC6DD4">
      <w:pPr>
        <w:jc w:val="both"/>
        <w:rPr>
          <w:szCs w:val="20"/>
        </w:rPr>
      </w:pPr>
      <w:r>
        <w:rPr>
          <w:szCs w:val="20"/>
        </w:rPr>
        <w:t xml:space="preserve">Kopumā </w:t>
      </w:r>
      <w:r w:rsidRPr="00663298">
        <w:rPr>
          <w:szCs w:val="20"/>
        </w:rPr>
        <w:t>2021.</w:t>
      </w:r>
      <w:r>
        <w:rPr>
          <w:szCs w:val="20"/>
        </w:rPr>
        <w:t> </w:t>
      </w:r>
      <w:r w:rsidRPr="00663298">
        <w:rPr>
          <w:szCs w:val="20"/>
        </w:rPr>
        <w:t>gadā zemākais bezdarba līmenis iedzīvotājiem ar augstāko izglītību bija dabas zinātņu, matemātikas un informācijas tehnoloģiju tematiskajā grupā un veselības aprūpes un sociālās labklājības izglītības tematiskajā grupā. Augstākais bezdarba līmenis starp iedzīvotājiem ar augstāko izglītību bija lauksaimniecības tematiskajā grupā.</w:t>
      </w:r>
      <w:r>
        <w:rPr>
          <w:szCs w:val="20"/>
        </w:rPr>
        <w:t xml:space="preserve"> Savukārt v</w:t>
      </w:r>
      <w:r w:rsidRPr="00663298">
        <w:rPr>
          <w:szCs w:val="20"/>
        </w:rPr>
        <w:t>idējās profesionālās izglītības līmenī 2021. gadā zemākais bezdarba līmenis bija lauksaimniecības tematiskajā grupā un veselības aprūpes un sociālās labklājības izglītības tematiskajā grupā.</w:t>
      </w:r>
    </w:p>
    <w:p w14:paraId="102DE241" w14:textId="77777777" w:rsidR="00DC6DD4" w:rsidRPr="003B4CDA" w:rsidRDefault="00DC6DD4" w:rsidP="00DC6DD4">
      <w:pPr>
        <w:jc w:val="right"/>
        <w:rPr>
          <w:szCs w:val="20"/>
        </w:rPr>
      </w:pPr>
      <w:r w:rsidRPr="003B4CDA">
        <w:rPr>
          <w:szCs w:val="20"/>
        </w:rPr>
        <w:t>2.13. attēls</w:t>
      </w:r>
    </w:p>
    <w:p w14:paraId="4B4D840C" w14:textId="7FDDF626" w:rsidR="00DC6DD4" w:rsidRPr="003B4CDA" w:rsidRDefault="00DC6DD4" w:rsidP="00DC6DD4">
      <w:pPr>
        <w:jc w:val="center"/>
        <w:rPr>
          <w:rFonts w:ascii="Segoe UI Light" w:hAnsi="Segoe UI Light"/>
          <w:i/>
          <w:sz w:val="16"/>
          <w:szCs w:val="26"/>
        </w:rPr>
      </w:pPr>
      <w:r w:rsidRPr="003B4CDA">
        <w:rPr>
          <w:rFonts w:ascii="Segoe UI Light" w:hAnsi="Segoe UI Light"/>
          <w:b/>
          <w:sz w:val="18"/>
          <w:szCs w:val="26"/>
        </w:rPr>
        <w:t xml:space="preserve">Bezdarba līmenis </w:t>
      </w:r>
      <w:r w:rsidRPr="003B4CDA">
        <w:rPr>
          <w:rFonts w:ascii="Segoe UI Light" w:hAnsi="Segoe UI Light"/>
          <w:b/>
          <w:sz w:val="18"/>
          <w:szCs w:val="26"/>
        </w:rPr>
        <w:br/>
      </w:r>
      <w:r w:rsidRPr="003B4CDA">
        <w:rPr>
          <w:rFonts w:ascii="Segoe UI Light" w:hAnsi="Segoe UI Light"/>
          <w:bCs/>
          <w:i/>
          <w:sz w:val="16"/>
          <w:szCs w:val="26"/>
        </w:rPr>
        <w:t>procentos pret ekonomiski aktīvajiem iedzīvotājiem</w:t>
      </w:r>
      <w:r w:rsidR="00C27875">
        <w:rPr>
          <w:rFonts w:ascii="Segoe UI Light" w:hAnsi="Segoe UI Light"/>
          <w:bCs/>
          <w:i/>
          <w:sz w:val="16"/>
          <w:szCs w:val="26"/>
        </w:rPr>
        <w:t xml:space="preserve"> vecuma grupā no 15- 74 gadiem</w:t>
      </w:r>
    </w:p>
    <w:p w14:paraId="77CF8F2E" w14:textId="77777777" w:rsidR="00DC6DD4" w:rsidRPr="003B4CDA" w:rsidRDefault="00DC6DD4" w:rsidP="00DC6DD4">
      <w:pPr>
        <w:spacing w:after="120"/>
        <w:jc w:val="center"/>
        <w:rPr>
          <w:rFonts w:asciiTheme="majorHAnsi" w:hAnsiTheme="majorHAnsi"/>
          <w:szCs w:val="20"/>
        </w:rPr>
      </w:pPr>
      <w:r w:rsidRPr="003B4CDA">
        <w:rPr>
          <w:rFonts w:ascii="Arial Narrow" w:hAnsi="Arial Narrow"/>
          <w:noProof/>
          <w:szCs w:val="20"/>
          <w:lang w:eastAsia="lv-LV"/>
        </w:rPr>
        <w:drawing>
          <wp:inline distT="0" distB="0" distL="0" distR="0" wp14:anchorId="21FD97D6" wp14:editId="714ED0C2">
            <wp:extent cx="5760000" cy="2160000"/>
            <wp:effectExtent l="0" t="0" r="0" b="0"/>
            <wp:docPr id="289"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0B4DB35" w14:textId="77777777" w:rsidR="00DC6DD4" w:rsidRPr="007F71A5" w:rsidRDefault="00DC6DD4" w:rsidP="00D813E4">
      <w:pPr>
        <w:jc w:val="both"/>
        <w:rPr>
          <w:sz w:val="12"/>
          <w:szCs w:val="12"/>
        </w:rPr>
      </w:pPr>
      <w:r w:rsidRPr="007F71A5">
        <w:rPr>
          <w:sz w:val="12"/>
          <w:szCs w:val="12"/>
        </w:rPr>
        <w:t>Avots: CSP</w:t>
      </w:r>
    </w:p>
    <w:p w14:paraId="654A7810" w14:textId="3DF4015E" w:rsidR="00DC6DD4" w:rsidRPr="003B4CDA" w:rsidRDefault="00D813E4" w:rsidP="00D813E4">
      <w:pPr>
        <w:jc w:val="both"/>
      </w:pPr>
      <w:r>
        <w:br/>
      </w:r>
      <w:r w:rsidR="005126C6">
        <w:t>Aplūkojot</w:t>
      </w:r>
      <w:r w:rsidR="00DE0237">
        <w:t xml:space="preserve"> </w:t>
      </w:r>
      <w:r w:rsidR="5F38C56C" w:rsidRPr="4398C881">
        <w:rPr>
          <w:b/>
          <w:bCs/>
        </w:rPr>
        <w:t xml:space="preserve">nodarbināto izglītības atbilstību profesiju kvalifikācijas līmenim </w:t>
      </w:r>
      <w:r w:rsidR="5F38C56C">
        <w:t>(profesiju agregāciju sk. ziņojuma pielikuma 6. tabulu)</w:t>
      </w:r>
      <w:r w:rsidR="5F38C56C" w:rsidRPr="4398C881">
        <w:rPr>
          <w:b/>
          <w:bCs/>
        </w:rPr>
        <w:t xml:space="preserve"> </w:t>
      </w:r>
      <w:r w:rsidR="5F38C56C">
        <w:t xml:space="preserve">var </w:t>
      </w:r>
      <w:r w:rsidR="005126C6" w:rsidRPr="000C5669">
        <w:t xml:space="preserve">novērot </w:t>
      </w:r>
      <w:r w:rsidR="005126C6" w:rsidRPr="000C591A">
        <w:t>vairākas</w:t>
      </w:r>
      <w:r w:rsidR="002D43EA" w:rsidRPr="000C591A">
        <w:t xml:space="preserve"> būtiskas strukturālas disproporcijas</w:t>
      </w:r>
      <w:r w:rsidR="5F38C56C" w:rsidRPr="000C591A">
        <w:t>.</w:t>
      </w:r>
      <w:r w:rsidR="5F38C56C" w:rsidRPr="000C5669">
        <w:t xml:space="preserve"> Salīdzinot nodarbināto iedzīvotāju sadalījumu pēc iegūtās izglītības līmeņiem pa profesiju kvalifikācijas grupām, redzams,</w:t>
      </w:r>
      <w:r w:rsidR="5F38C56C">
        <w:t xml:space="preserve"> ka nodarbināto skaits ar augstāko izglītību ir mazāks nekā nodarbināto skaits augstas kvalifikācijas profesijās, kurās pēc būtības jābūt cilvēkiem ar augstāko izglītību. Tikmēr vidējās kvalifikācijas līmenī 2021. gadā ir redzams, ka nodarbināto skaits ar vidējo izglītību pārsniedz vidējās kvalifikācijas profesijās nodarbināto skaitu.</w:t>
      </w:r>
      <w:r w:rsidR="00364D64" w:rsidRPr="00364D64">
        <w:t xml:space="preserve"> Tas ļauj secināt, ka daļu no augstas kvalifikācijas profesijām aizņem nodarbinātie ar vidējo izglītību, un tam ir ietekme uz produktivitātes pieauguma potenciālo attīstību ilgtermiņā.</w:t>
      </w:r>
    </w:p>
    <w:p w14:paraId="74ECE8BB" w14:textId="77777777" w:rsidR="00DC6DD4" w:rsidRPr="003B4CDA" w:rsidRDefault="00DC6DD4" w:rsidP="00DC6DD4">
      <w:pPr>
        <w:jc w:val="right"/>
        <w:rPr>
          <w:szCs w:val="20"/>
        </w:rPr>
      </w:pPr>
      <w:r w:rsidRPr="003B4CDA">
        <w:rPr>
          <w:szCs w:val="20"/>
        </w:rPr>
        <w:t>2.14. attēls</w:t>
      </w:r>
    </w:p>
    <w:p w14:paraId="3FA955DB" w14:textId="77777777" w:rsidR="00DC6DD4" w:rsidRPr="003B4CDA" w:rsidRDefault="00DC6DD4" w:rsidP="00D813E4">
      <w:pPr>
        <w:spacing w:after="120"/>
        <w:jc w:val="center"/>
        <w:rPr>
          <w:rFonts w:ascii="Segoe UI Light" w:hAnsi="Segoe UI Light"/>
          <w:i/>
          <w:sz w:val="16"/>
        </w:rPr>
      </w:pPr>
      <w:r w:rsidRPr="003B4CDA">
        <w:rPr>
          <w:rFonts w:ascii="Segoe UI Light" w:hAnsi="Segoe UI Light"/>
          <w:b/>
          <w:bCs/>
          <w:sz w:val="18"/>
          <w:szCs w:val="26"/>
        </w:rPr>
        <w:t xml:space="preserve">Nodarbinātie sadalījumā pēc izglītības līmeņa un profesiju kvalifikācijas pakāpes </w:t>
      </w:r>
      <w:r w:rsidRPr="003B4CDA">
        <w:rPr>
          <w:rFonts w:ascii="Segoe UI Light" w:hAnsi="Segoe UI Light"/>
          <w:b/>
          <w:bCs/>
          <w:sz w:val="18"/>
          <w:szCs w:val="26"/>
        </w:rPr>
        <w:br/>
      </w:r>
      <w:r w:rsidRPr="00486306">
        <w:rPr>
          <w:rFonts w:ascii="Segoe UI Light" w:hAnsi="Segoe UI Light"/>
          <w:bCs/>
          <w:i/>
          <w:sz w:val="16"/>
        </w:rPr>
        <w:t>2021. gadā,</w:t>
      </w:r>
      <w:r w:rsidRPr="003B4CDA">
        <w:rPr>
          <w:rFonts w:ascii="Segoe UI Light" w:hAnsi="Segoe UI Light"/>
          <w:bCs/>
          <w:i/>
          <w:sz w:val="16"/>
        </w:rPr>
        <w:t xml:space="preserve"> tūkstošos</w:t>
      </w:r>
    </w:p>
    <w:p w14:paraId="5E4F7937" w14:textId="77777777" w:rsidR="00DC6DD4" w:rsidRPr="003B4CDA" w:rsidRDefault="00DC6DD4" w:rsidP="00D813E4">
      <w:pPr>
        <w:spacing w:after="120"/>
        <w:jc w:val="center"/>
        <w:rPr>
          <w:bCs/>
          <w:szCs w:val="24"/>
        </w:rPr>
      </w:pPr>
      <w:r w:rsidRPr="003B4CDA">
        <w:rPr>
          <w:noProof/>
          <w:sz w:val="24"/>
          <w:szCs w:val="28"/>
          <w:lang w:eastAsia="lv-LV"/>
        </w:rPr>
        <w:drawing>
          <wp:inline distT="0" distB="0" distL="0" distR="0" wp14:anchorId="325E084F" wp14:editId="5BD254D0">
            <wp:extent cx="5760000" cy="2160000"/>
            <wp:effectExtent l="0" t="0" r="0" b="0"/>
            <wp:docPr id="292"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9EA17D6" w14:textId="0B13DF4D" w:rsidR="00DC6DD4" w:rsidRPr="007F71A5" w:rsidRDefault="00DC6DD4" w:rsidP="00D813E4">
      <w:pPr>
        <w:ind w:left="720" w:hanging="436"/>
        <w:jc w:val="both"/>
        <w:rPr>
          <w:sz w:val="12"/>
          <w:szCs w:val="12"/>
        </w:rPr>
      </w:pPr>
      <w:r w:rsidRPr="007F71A5">
        <w:rPr>
          <w:sz w:val="12"/>
          <w:szCs w:val="12"/>
        </w:rPr>
        <w:t>Avots: CSP, EM aprēķini</w:t>
      </w:r>
    </w:p>
    <w:p w14:paraId="74A61707" w14:textId="5D516AFC" w:rsidR="001B7AAE" w:rsidRPr="00916AF4" w:rsidRDefault="00DC6DD4" w:rsidP="00D813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7F71A5">
        <w:rPr>
          <w:rFonts w:ascii="Segoe UI Light" w:hAnsi="Segoe UI Light"/>
          <w:b/>
          <w:sz w:val="16"/>
          <w:szCs w:val="16"/>
        </w:rPr>
        <w:lastRenderedPageBreak/>
        <w:t>A</w:t>
      </w:r>
      <w:r w:rsidR="00916AF4">
        <w:rPr>
          <w:rFonts w:ascii="Segoe UI Light" w:hAnsi="Segoe UI Light"/>
          <w:b/>
          <w:sz w:val="16"/>
          <w:szCs w:val="16"/>
        </w:rPr>
        <w:t xml:space="preserve">bsolventu </w:t>
      </w:r>
      <w:r w:rsidRPr="007F71A5">
        <w:rPr>
          <w:rFonts w:ascii="Segoe UI Light" w:hAnsi="Segoe UI Light"/>
          <w:b/>
          <w:sz w:val="16"/>
          <w:szCs w:val="16"/>
        </w:rPr>
        <w:t xml:space="preserve">monitoringa rezultāti </w:t>
      </w:r>
    </w:p>
    <w:p w14:paraId="295601C6" w14:textId="727E7E85" w:rsidR="001B7AAE" w:rsidRPr="001B7AAE" w:rsidRDefault="001B7AAE" w:rsidP="001B7AA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
          <w:bCs/>
          <w:noProof/>
          <w:sz w:val="16"/>
          <w:szCs w:val="18"/>
        </w:rPr>
      </w:pPr>
      <w:r w:rsidRPr="001B7AAE">
        <w:rPr>
          <w:rFonts w:ascii="Segoe UI Light" w:hAnsi="Segoe UI Light"/>
          <w:bCs/>
          <w:i/>
          <w:iCs/>
          <w:sz w:val="16"/>
          <w:szCs w:val="18"/>
        </w:rPr>
        <w:t xml:space="preserve">Studējošo un absolventu reģistrā </w:t>
      </w:r>
      <w:r w:rsidRPr="001B7AAE">
        <w:rPr>
          <w:rFonts w:ascii="Segoe UI Light" w:hAnsi="Segoe UI Light"/>
          <w:bCs/>
          <w:sz w:val="16"/>
          <w:szCs w:val="18"/>
        </w:rPr>
        <w:t xml:space="preserve">tiek uzkrāti dati par augstākās izglītības studiju programmās studējošajiem. Tiek apkopoti un publicēti nepersonificēti dati par absolventu nodarbinātību un atalgojumu. Augstākās izglītības iestāžu absolventu monitorings Latvijā uzsākts 2017. gadā, un šobrīd ir pieejami dati par 2017., 2018. un 2019. gada absolventu darba gaitām gadu pēc studiju beigšanas. Paredzēts, ka katra gada absolventu grupa tiks </w:t>
      </w:r>
      <w:proofErr w:type="spellStart"/>
      <w:r w:rsidRPr="001B7AAE">
        <w:rPr>
          <w:rFonts w:ascii="Segoe UI Light" w:hAnsi="Segoe UI Light"/>
          <w:bCs/>
          <w:sz w:val="16"/>
          <w:szCs w:val="18"/>
        </w:rPr>
        <w:t>monitorēta</w:t>
      </w:r>
      <w:proofErr w:type="spellEnd"/>
      <w:r w:rsidRPr="001B7AAE">
        <w:rPr>
          <w:rFonts w:ascii="Segoe UI Light" w:hAnsi="Segoe UI Light"/>
          <w:bCs/>
          <w:sz w:val="16"/>
          <w:szCs w:val="18"/>
        </w:rPr>
        <w:t xml:space="preserve"> 10 gadu ilgā periodā. 2020.gadā tika uzsākts profesionālās izglītības absolventu monitorings un sagatavoti pirmie dati. Profesionālās izglītības iestāžu absolventu monitorings tiek veidots uz augstākās izglītības absolventu monitoringa bāzes, </w:t>
      </w:r>
      <w:r>
        <w:rPr>
          <w:rFonts w:ascii="Segoe UI Light" w:hAnsi="Segoe UI Light"/>
          <w:bCs/>
          <w:sz w:val="16"/>
          <w:szCs w:val="18"/>
        </w:rPr>
        <w:t xml:space="preserve">un </w:t>
      </w:r>
      <w:r w:rsidRPr="001B7AAE">
        <w:rPr>
          <w:rFonts w:ascii="Segoe UI Light" w:hAnsi="Segoe UI Light"/>
          <w:bCs/>
          <w:sz w:val="16"/>
          <w:szCs w:val="18"/>
        </w:rPr>
        <w:t>likumsakarīgi papildina augstākās izglītības absolventu monitoringu, tādējādi sniedzot visaptverošāku informāciju par izglītības sistēmas rezultātiem, ņemot vērā absolventu turpmākās gaitas pēc izglītības ieguves attiecīgajā pakāpē. Absolventu monitorings ir neatņemama izglītības kvalitātes monitoringa sistēmas sastāvdaļ</w:t>
      </w:r>
      <w:r>
        <w:rPr>
          <w:rFonts w:ascii="Segoe UI Light" w:hAnsi="Segoe UI Light"/>
          <w:bCs/>
          <w:sz w:val="16"/>
          <w:szCs w:val="18"/>
        </w:rPr>
        <w:t>a</w:t>
      </w:r>
      <w:r w:rsidRPr="001B7AAE">
        <w:rPr>
          <w:rFonts w:ascii="Segoe UI Light" w:hAnsi="Segoe UI Light"/>
          <w:bCs/>
          <w:sz w:val="16"/>
          <w:szCs w:val="18"/>
        </w:rPr>
        <w:t>, kas sniedz vairāku gadu garumā uzkrātos datos balstītu informāciju ilgtspējīgu lēmumu pieņemšanai, kas saistīti ar izglītības politikas veidošanu un tās atbilstību tautsaimniecības vajadzībām.</w:t>
      </w:r>
      <w:r w:rsidRPr="001B7AAE">
        <w:rPr>
          <w:rFonts w:ascii="Segoe UI Light" w:hAnsi="Segoe UI Light"/>
          <w:b/>
          <w:bCs/>
          <w:noProof/>
          <w:sz w:val="16"/>
          <w:szCs w:val="18"/>
        </w:rPr>
        <w:t xml:space="preserve"> </w:t>
      </w:r>
    </w:p>
    <w:p w14:paraId="4FAB9982" w14:textId="24603D07" w:rsidR="00DC6DD4" w:rsidRDefault="00DC6DD4" w:rsidP="001B7AA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cs="Segoe UI Light"/>
          <w:color w:val="000000"/>
          <w:sz w:val="16"/>
          <w:szCs w:val="16"/>
        </w:rPr>
      </w:pPr>
      <w:r w:rsidRPr="00ED7AF0">
        <w:rPr>
          <w:rFonts w:ascii="Segoe UI Light" w:hAnsi="Segoe UI Light" w:cs="Segoe UI Light"/>
          <w:color w:val="000000"/>
          <w:sz w:val="16"/>
          <w:szCs w:val="16"/>
        </w:rPr>
        <w:t xml:space="preserve">Saskaņā ar absolventu monitoringa rezultātiem, </w:t>
      </w:r>
      <w:r w:rsidRPr="00740455">
        <w:rPr>
          <w:rFonts w:ascii="Segoe UI Light" w:hAnsi="Segoe UI Light" w:cs="Segoe UI Light"/>
          <w:color w:val="000000"/>
          <w:sz w:val="16"/>
          <w:szCs w:val="16"/>
        </w:rPr>
        <w:t>aptuveni 82% no</w:t>
      </w:r>
      <w:r w:rsidRPr="00ED7AF0">
        <w:rPr>
          <w:rFonts w:ascii="Segoe UI Light" w:hAnsi="Segoe UI Light" w:cs="Segoe UI Light"/>
          <w:color w:val="000000"/>
          <w:sz w:val="16"/>
          <w:szCs w:val="16"/>
        </w:rPr>
        <w:t xml:space="preserve"> visiem 201</w:t>
      </w:r>
      <w:r>
        <w:rPr>
          <w:rFonts w:ascii="Segoe UI Light" w:hAnsi="Segoe UI Light" w:cs="Segoe UI Light"/>
          <w:color w:val="000000"/>
          <w:sz w:val="16"/>
          <w:szCs w:val="16"/>
        </w:rPr>
        <w:t>9</w:t>
      </w:r>
      <w:r w:rsidRPr="00ED7AF0">
        <w:rPr>
          <w:rFonts w:ascii="Segoe UI Light" w:hAnsi="Segoe UI Light" w:cs="Segoe UI Light"/>
          <w:color w:val="000000"/>
          <w:sz w:val="16"/>
          <w:szCs w:val="16"/>
        </w:rPr>
        <w:t>.</w:t>
      </w:r>
      <w:r>
        <w:rPr>
          <w:rFonts w:ascii="Segoe UI Light" w:hAnsi="Segoe UI Light" w:cs="Segoe UI Light"/>
          <w:color w:val="000000"/>
          <w:sz w:val="16"/>
          <w:szCs w:val="16"/>
        </w:rPr>
        <w:t> </w:t>
      </w:r>
      <w:r w:rsidRPr="00ED7AF0">
        <w:rPr>
          <w:rFonts w:ascii="Segoe UI Light" w:hAnsi="Segoe UI Light" w:cs="Segoe UI Light"/>
          <w:color w:val="000000"/>
          <w:sz w:val="16"/>
          <w:szCs w:val="16"/>
        </w:rPr>
        <w:t xml:space="preserve">gada </w:t>
      </w:r>
      <w:r>
        <w:rPr>
          <w:rFonts w:ascii="Segoe UI Light" w:hAnsi="Segoe UI Light" w:cs="Segoe UI Light"/>
          <w:color w:val="000000"/>
          <w:sz w:val="16"/>
          <w:szCs w:val="16"/>
        </w:rPr>
        <w:t xml:space="preserve">augstākās izglītības iestāžu </w:t>
      </w:r>
      <w:r w:rsidRPr="00ED7AF0">
        <w:rPr>
          <w:rFonts w:ascii="Segoe UI Light" w:hAnsi="Segoe UI Light" w:cs="Segoe UI Light"/>
          <w:color w:val="000000"/>
          <w:sz w:val="16"/>
          <w:szCs w:val="16"/>
        </w:rPr>
        <w:t xml:space="preserve">absolventiem, par kuriem pieejama informācija, </w:t>
      </w:r>
      <w:r>
        <w:rPr>
          <w:rFonts w:ascii="Segoe UI Light" w:hAnsi="Segoe UI Light" w:cs="Segoe UI Light"/>
          <w:color w:val="000000"/>
          <w:sz w:val="16"/>
          <w:szCs w:val="16"/>
        </w:rPr>
        <w:t>2020</w:t>
      </w:r>
      <w:r w:rsidRPr="00ED7AF0">
        <w:rPr>
          <w:rFonts w:ascii="Segoe UI Light" w:hAnsi="Segoe UI Light" w:cs="Segoe UI Light"/>
          <w:color w:val="000000"/>
          <w:sz w:val="16"/>
          <w:szCs w:val="16"/>
        </w:rPr>
        <w:t>.</w:t>
      </w:r>
      <w:r w:rsidR="00612950">
        <w:rPr>
          <w:rFonts w:ascii="Segoe UI Light" w:hAnsi="Segoe UI Light" w:cs="Segoe UI Light"/>
          <w:color w:val="000000"/>
          <w:sz w:val="16"/>
          <w:szCs w:val="16"/>
        </w:rPr>
        <w:t> </w:t>
      </w:r>
      <w:r w:rsidRPr="00ED7AF0">
        <w:rPr>
          <w:rFonts w:ascii="Segoe UI Light" w:hAnsi="Segoe UI Light" w:cs="Segoe UI Light"/>
          <w:color w:val="000000"/>
          <w:sz w:val="16"/>
          <w:szCs w:val="16"/>
        </w:rPr>
        <w:t xml:space="preserve">gadā bija nodarbināti, bet vidējais bezdarba līmenis starp ekonomiski aktīvajiem absolventiem bija </w:t>
      </w:r>
      <w:r w:rsidRPr="00740455">
        <w:rPr>
          <w:rFonts w:ascii="Segoe UI Light" w:hAnsi="Segoe UI Light" w:cs="Segoe UI Light"/>
          <w:color w:val="000000"/>
          <w:sz w:val="16"/>
          <w:szCs w:val="16"/>
        </w:rPr>
        <w:t>– 4,8%,</w:t>
      </w:r>
      <w:r w:rsidRPr="00ED7AF0">
        <w:rPr>
          <w:rFonts w:ascii="Segoe UI Light" w:hAnsi="Segoe UI Light" w:cs="Segoe UI Light"/>
          <w:color w:val="000000"/>
          <w:sz w:val="16"/>
          <w:szCs w:val="16"/>
        </w:rPr>
        <w:t xml:space="preserve"> kas k</w:t>
      </w:r>
      <w:r>
        <w:rPr>
          <w:rFonts w:ascii="Segoe UI Light" w:hAnsi="Segoe UI Light" w:cs="Segoe UI Light"/>
          <w:color w:val="000000"/>
          <w:sz w:val="16"/>
          <w:szCs w:val="16"/>
        </w:rPr>
        <w:t>o</w:t>
      </w:r>
      <w:r w:rsidRPr="00ED7AF0">
        <w:rPr>
          <w:rFonts w:ascii="Segoe UI Light" w:hAnsi="Segoe UI Light" w:cs="Segoe UI Light"/>
          <w:color w:val="000000"/>
          <w:sz w:val="16"/>
          <w:szCs w:val="16"/>
        </w:rPr>
        <w:t xml:space="preserve">pumā ir zemāks rādītājs nekā vidēji tautsaimniecībā starp iedzīvotājiem ar augstāko izglītību. Aptuveni </w:t>
      </w:r>
      <w:r w:rsidRPr="00740455">
        <w:rPr>
          <w:rFonts w:ascii="Segoe UI Light" w:hAnsi="Segoe UI Light" w:cs="Segoe UI Light"/>
          <w:color w:val="000000"/>
          <w:sz w:val="16"/>
          <w:szCs w:val="16"/>
        </w:rPr>
        <w:t>78%</w:t>
      </w:r>
      <w:r w:rsidRPr="00ED7AF0">
        <w:rPr>
          <w:rFonts w:ascii="Segoe UI Light" w:hAnsi="Segoe UI Light" w:cs="Segoe UI Light"/>
          <w:color w:val="000000"/>
          <w:sz w:val="16"/>
          <w:szCs w:val="16"/>
        </w:rPr>
        <w:t xml:space="preserve"> no visiem nodarbinātajiem absolventiem bija nodarbināti augstākās kvalifikācijas profesijās (1.-3. profesiju pamatgrupas).</w:t>
      </w:r>
    </w:p>
    <w:p w14:paraId="1D8A8529" w14:textId="5C4A4514" w:rsidR="007F71A5" w:rsidRPr="007F71A5" w:rsidRDefault="007F71A5" w:rsidP="00D813E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before="240" w:after="120"/>
        <w:jc w:val="center"/>
        <w:rPr>
          <w:rFonts w:ascii="Segoe UI Light" w:hAnsi="Segoe UI Light" w:cs="Segoe UI Light"/>
          <w:color w:val="000000"/>
          <w:sz w:val="16"/>
          <w:szCs w:val="16"/>
        </w:rPr>
      </w:pPr>
      <w:r w:rsidRPr="007F71A5">
        <w:rPr>
          <w:rFonts w:ascii="Segoe UI Light" w:hAnsi="Segoe UI Light" w:cs="Segoe UI Light"/>
          <w:b/>
          <w:bCs/>
          <w:color w:val="000000"/>
          <w:sz w:val="16"/>
          <w:szCs w:val="16"/>
        </w:rPr>
        <w:t>Izglītības iestāžu absolventu bezdarba līmenis pēc izglītības līmeņa un izglītības tematiskās grupas</w:t>
      </w:r>
      <w:r>
        <w:rPr>
          <w:rFonts w:ascii="Segoe UI Light" w:hAnsi="Segoe UI Light" w:cs="Segoe UI Light"/>
          <w:b/>
          <w:bCs/>
          <w:color w:val="000000"/>
          <w:sz w:val="16"/>
          <w:szCs w:val="16"/>
        </w:rPr>
        <w:br/>
      </w:r>
      <w:r w:rsidRPr="007F71A5">
        <w:rPr>
          <w:rFonts w:ascii="Segoe UI Light" w:hAnsi="Segoe UI Light" w:cs="Segoe UI Light"/>
          <w:color w:val="000000"/>
          <w:sz w:val="16"/>
          <w:szCs w:val="16"/>
        </w:rPr>
        <w:t>2019. gada absolventi, procentos</w:t>
      </w:r>
    </w:p>
    <w:p w14:paraId="052CEF64" w14:textId="662D4F8D" w:rsidR="00DC6DD4" w:rsidRPr="007B093F" w:rsidRDefault="00055A00"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center"/>
        <w:rPr>
          <w:rFonts w:ascii="Segoe UI Light" w:hAnsi="Segoe UI Light" w:cs="Segoe UI Light"/>
          <w:b/>
          <w:bCs/>
          <w:color w:val="000000"/>
          <w:sz w:val="16"/>
          <w:szCs w:val="16"/>
        </w:rPr>
      </w:pPr>
      <w:r w:rsidRPr="00CF0655">
        <w:rPr>
          <w:rFonts w:ascii="Segoe UI Light" w:hAnsi="Segoe UI Light"/>
          <w:b/>
          <w:bCs/>
          <w:noProof/>
          <w:sz w:val="16"/>
          <w:szCs w:val="18"/>
        </w:rPr>
        <mc:AlternateContent>
          <mc:Choice Requires="wps">
            <w:drawing>
              <wp:inline distT="0" distB="0" distL="0" distR="0" wp14:anchorId="64E24ACC" wp14:editId="7DE3E7A5">
                <wp:extent cx="5748655" cy="2386940"/>
                <wp:effectExtent l="0" t="0" r="0" b="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2386940"/>
                        </a:xfrm>
                        <a:prstGeom prst="rect">
                          <a:avLst/>
                        </a:prstGeom>
                        <a:noFill/>
                        <a:ln w="9525">
                          <a:noFill/>
                          <a:miter lim="800000"/>
                          <a:headEnd/>
                          <a:tailEnd/>
                        </a:ln>
                      </wps:spPr>
                      <wps:txbx>
                        <w:txbxContent>
                          <w:p w14:paraId="32C3D81E" w14:textId="29C10CE8" w:rsidR="005A28CF" w:rsidRPr="007B093F" w:rsidRDefault="005A28CF" w:rsidP="007F71A5">
                            <w:pPr>
                              <w:spacing w:after="0"/>
                              <w:rPr>
                                <w:rFonts w:ascii="Segoe UI Light" w:hAnsi="Segoe UI Light" w:cs="Segoe UI Light"/>
                                <w:i/>
                                <w:iCs/>
                                <w:color w:val="000000"/>
                                <w:sz w:val="16"/>
                                <w:szCs w:val="16"/>
                              </w:rPr>
                            </w:pPr>
                            <w:r>
                              <w:rPr>
                                <w:noProof/>
                                <w:lang w:eastAsia="lv-LV"/>
                              </w:rPr>
                              <w:drawing>
                                <wp:inline distT="0" distB="0" distL="0" distR="0" wp14:anchorId="4B53DAE1" wp14:editId="0A00936A">
                                  <wp:extent cx="2785484" cy="2251075"/>
                                  <wp:effectExtent l="0" t="0" r="0" b="0"/>
                                  <wp:docPr id="138" name="Chart 138">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noProof/>
                                <w:lang w:eastAsia="lv-LV"/>
                              </w:rPr>
                              <w:drawing>
                                <wp:inline distT="0" distB="0" distL="0" distR="0" wp14:anchorId="6E18EB82" wp14:editId="55FB691D">
                                  <wp:extent cx="2706128" cy="2266950"/>
                                  <wp:effectExtent l="0" t="0" r="0" b="0"/>
                                  <wp:docPr id="139" name="Chart 139">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xbxContent>
                      </wps:txbx>
                      <wps:bodyPr rot="0" vert="horz" wrap="square" lIns="91440" tIns="45720" rIns="91440" bIns="45720" anchor="t" anchorCtr="0">
                        <a:noAutofit/>
                      </wps:bodyPr>
                    </wps:wsp>
                  </a:graphicData>
                </a:graphic>
              </wp:inline>
            </w:drawing>
          </mc:Choice>
          <mc:Fallback>
            <w:pict>
              <v:shape w14:anchorId="64E24ACC" id="_x0000_s1031" type="#_x0000_t202" style="width:452.65pt;height:18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IHEAIAAPsDAAAOAAAAZHJzL2Uyb0RvYy54bWysU9uO2yAQfa/Uf0C8N07cOJtYIavtbreq&#10;tL1Iu/0AgnGMCgwFEjv9+g44SaP2rSoPaGBmDnPODOvbwWhykD4osIzOJlNKpBXQKLtj9NvL45sl&#10;JSFy23ANVjJ6lIHebl6/WveuliV0oBvpCYLYUPeO0S5GVxdFEJ00PEzASYvOFrzhEY9+VzSe94hu&#10;dFFOp4uiB984D0KGgLcPo5NuMn7bShG/tG2QkWhGsbaYd5/3bdqLzZrXO89dp8SpDP4PVRiuLD56&#10;gXrgkZO9V39BGSU8BGjjRIApoG2VkJkDsplN/2Dz3HEnMxcUJ7iLTOH/wYrPh6+eqIbR8oYSyw32&#10;6EUOkbyDgZRJnt6FGqOeHcbFAa+xzZlqcE8gvgdi4b7jdifvvIe+k7zB8mYps7hKHXFCAtn2n6DB&#10;Z/g+QgYaWm+SdqgGQXRs0/HSmlSKwMvqZr5cVBUlAn3l2+ViNc/NK3h9Tnc+xA8SDEkGox57n+H5&#10;4SnEVA6vzyHpNQuPSuvcf21Jz+iqKquccOUxKuJ4amUYXU7TGgcmsXxvm5wcudKjjQ9oe6KdmI6c&#10;47AdssDVWc0tNEfUwcM4jfh70OjA/6Skx0lkNPzYcy8p0R8tarmazZErifkwr25KPPhrz/baw61A&#10;KEYjJaN5H/O4j5TvUPNWZTVSc8ZKTiXjhGWRTr8hjfD1OUf9/rObXwAAAP//AwBQSwMEFAAGAAgA&#10;AAAhAOKSGmbbAAAABQEAAA8AAABkcnMvZG93bnJldi54bWxMj81OwzAQhO9IvIO1SNyoDSVAQjYV&#10;AnEFtfxI3LbxNomI11HsNuHtMVzgstJoRjPflqvZ9erAY+i8IJwvDCiW2ttOGoTXl8ezG1Ahkljq&#10;vTDCFwdYVcdHJRXWT7LmwyY2KpVIKAihjXEotA51y47Cwg8sydv50VFMcmy0HWlK5a7XF8ZcaUed&#10;pIWWBr5vuf7c7B3C29Pu4/3SPDcPLhsmPxstLteIpyfz3S2oyHP8C8MPfkKHKjFt/V5sUD1CeiT+&#10;3uTlJluC2iIsr7McdFXq//TVNwAAAP//AwBQSwECLQAUAAYACAAAACEAtoM4kv4AAADhAQAAEwAA&#10;AAAAAAAAAAAAAAAAAAAAW0NvbnRlbnRfVHlwZXNdLnhtbFBLAQItABQABgAIAAAAIQA4/SH/1gAA&#10;AJQBAAALAAAAAAAAAAAAAAAAAC8BAABfcmVscy8ucmVsc1BLAQItABQABgAIAAAAIQCpdDIHEAIA&#10;APsDAAAOAAAAAAAAAAAAAAAAAC4CAABkcnMvZTJvRG9jLnhtbFBLAQItABQABgAIAAAAIQDikhpm&#10;2wAAAAUBAAAPAAAAAAAAAAAAAAAAAGoEAABkcnMvZG93bnJldi54bWxQSwUGAAAAAAQABADzAAAA&#10;cgUAAAAA&#10;" filled="f" stroked="f">
                <v:textbox>
                  <w:txbxContent>
                    <w:p w14:paraId="32C3D81E" w14:textId="29C10CE8" w:rsidR="005A28CF" w:rsidRPr="007B093F" w:rsidRDefault="005A28CF" w:rsidP="007F71A5">
                      <w:pPr>
                        <w:spacing w:after="0"/>
                        <w:rPr>
                          <w:rFonts w:ascii="Segoe UI Light" w:hAnsi="Segoe UI Light" w:cs="Segoe UI Light"/>
                          <w:i/>
                          <w:iCs/>
                          <w:color w:val="000000"/>
                          <w:sz w:val="16"/>
                          <w:szCs w:val="16"/>
                        </w:rPr>
                      </w:pPr>
                      <w:r>
                        <w:rPr>
                          <w:noProof/>
                          <w:lang w:eastAsia="lv-LV"/>
                        </w:rPr>
                        <w:drawing>
                          <wp:inline distT="0" distB="0" distL="0" distR="0" wp14:anchorId="4B53DAE1" wp14:editId="0A00936A">
                            <wp:extent cx="2785484" cy="2251075"/>
                            <wp:effectExtent l="0" t="0" r="0" b="0"/>
                            <wp:docPr id="138" name="Chart 138">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Pr>
                          <w:noProof/>
                          <w:lang w:eastAsia="lv-LV"/>
                        </w:rPr>
                        <w:drawing>
                          <wp:inline distT="0" distB="0" distL="0" distR="0" wp14:anchorId="6E18EB82" wp14:editId="55FB691D">
                            <wp:extent cx="2706128" cy="2266950"/>
                            <wp:effectExtent l="0" t="0" r="0" b="0"/>
                            <wp:docPr id="139" name="Chart 139">
                              <a:extLst xmlns:a="http://schemas.openxmlformats.org/drawingml/2006/main">
                                <a:ext uri="{FF2B5EF4-FFF2-40B4-BE49-F238E27FC236}">
                                  <a16:creationId xmlns:a16="http://schemas.microsoft.com/office/drawing/2014/main" id="{030B8713-D893-414D-AF35-752AF57A5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xbxContent>
                </v:textbox>
                <w10:anchorlock/>
              </v:shape>
            </w:pict>
          </mc:Fallback>
        </mc:AlternateContent>
      </w:r>
    </w:p>
    <w:p w14:paraId="29185455" w14:textId="77777777" w:rsidR="00DC6DD4" w:rsidRPr="007F71A5" w:rsidRDefault="00DC6DD4"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i/>
          <w:iCs/>
          <w:sz w:val="10"/>
          <w:szCs w:val="12"/>
          <w:highlight w:val="yellow"/>
        </w:rPr>
      </w:pPr>
      <w:r w:rsidRPr="007F71A5">
        <w:rPr>
          <w:rFonts w:ascii="Segoe UI Light" w:hAnsi="Segoe UI Light"/>
          <w:bCs/>
          <w:sz w:val="10"/>
          <w:szCs w:val="12"/>
        </w:rPr>
        <w:t>Avots</w:t>
      </w:r>
      <w:r w:rsidRPr="007F71A5">
        <w:rPr>
          <w:rFonts w:ascii="Segoe UI Light" w:hAnsi="Segoe UI Light"/>
          <w:bCs/>
          <w:i/>
          <w:iCs/>
          <w:sz w:val="10"/>
          <w:szCs w:val="12"/>
        </w:rPr>
        <w:t>: Absolventu monitoringa dati; EM aprēķini.</w:t>
      </w:r>
    </w:p>
    <w:p w14:paraId="2567F8C7" w14:textId="732FC8BE" w:rsidR="00DC6DD4" w:rsidRPr="00055A00" w:rsidRDefault="00DC6DD4"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2"/>
          <w:szCs w:val="14"/>
        </w:rPr>
      </w:pPr>
    </w:p>
    <w:p w14:paraId="20BFB11A" w14:textId="393CA25B" w:rsidR="00DC6DD4" w:rsidRDefault="00DC6DD4"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Pr>
          <w:rFonts w:ascii="Segoe UI Light" w:hAnsi="Segoe UI Light"/>
          <w:bCs/>
          <w:sz w:val="16"/>
          <w:szCs w:val="18"/>
        </w:rPr>
        <w:t>Augstākais</w:t>
      </w:r>
      <w:r w:rsidRPr="003B4CDA">
        <w:rPr>
          <w:rFonts w:ascii="Segoe UI Light" w:hAnsi="Segoe UI Light"/>
          <w:bCs/>
          <w:sz w:val="16"/>
          <w:szCs w:val="18"/>
        </w:rPr>
        <w:t xml:space="preserve"> bezdarba līmenis vērojams starp </w:t>
      </w:r>
      <w:r w:rsidRPr="003603C1">
        <w:rPr>
          <w:rFonts w:ascii="Segoe UI Light" w:hAnsi="Segoe UI Light"/>
          <w:bCs/>
          <w:sz w:val="16"/>
          <w:szCs w:val="18"/>
        </w:rPr>
        <w:t xml:space="preserve">sociālo zinātņu, </w:t>
      </w:r>
      <w:proofErr w:type="spellStart"/>
      <w:r w:rsidRPr="003603C1">
        <w:rPr>
          <w:rFonts w:ascii="Segoe UI Light" w:hAnsi="Segoe UI Light"/>
          <w:bCs/>
          <w:sz w:val="16"/>
          <w:szCs w:val="18"/>
        </w:rPr>
        <w:t>komerczinību</w:t>
      </w:r>
      <w:proofErr w:type="spellEnd"/>
      <w:r w:rsidRPr="003603C1">
        <w:rPr>
          <w:rFonts w:ascii="Segoe UI Light" w:hAnsi="Segoe UI Light"/>
          <w:bCs/>
          <w:sz w:val="16"/>
          <w:szCs w:val="18"/>
        </w:rPr>
        <w:t xml:space="preserve"> un tiesību zinātņu </w:t>
      </w:r>
      <w:r w:rsidRPr="003B4CDA">
        <w:rPr>
          <w:rFonts w:ascii="Segoe UI Light" w:hAnsi="Segoe UI Light"/>
          <w:bCs/>
          <w:sz w:val="16"/>
          <w:szCs w:val="18"/>
        </w:rPr>
        <w:t xml:space="preserve">absolventiem, kā arī </w:t>
      </w:r>
      <w:r w:rsidRPr="003603C1">
        <w:rPr>
          <w:rFonts w:ascii="Segoe UI Light" w:hAnsi="Segoe UI Light"/>
          <w:bCs/>
          <w:sz w:val="16"/>
          <w:szCs w:val="18"/>
        </w:rPr>
        <w:t>humanitāro un mākslas zinātņu</w:t>
      </w:r>
      <w:r>
        <w:rPr>
          <w:rFonts w:ascii="Segoe UI Light" w:hAnsi="Segoe UI Light"/>
          <w:bCs/>
          <w:sz w:val="16"/>
          <w:szCs w:val="18"/>
        </w:rPr>
        <w:t xml:space="preserve"> un lauksaimniecības</w:t>
      </w:r>
      <w:r w:rsidRPr="003603C1">
        <w:rPr>
          <w:rFonts w:ascii="Segoe UI Light" w:hAnsi="Segoe UI Light"/>
          <w:bCs/>
          <w:sz w:val="16"/>
          <w:szCs w:val="18"/>
        </w:rPr>
        <w:t xml:space="preserve"> programmu</w:t>
      </w:r>
      <w:r w:rsidRPr="003B4CDA">
        <w:rPr>
          <w:rFonts w:ascii="Segoe UI Light" w:hAnsi="Segoe UI Light"/>
          <w:bCs/>
          <w:sz w:val="16"/>
          <w:szCs w:val="18"/>
        </w:rPr>
        <w:t xml:space="preserve"> absolventiem. Vienlaikus </w:t>
      </w:r>
      <w:r>
        <w:rPr>
          <w:rFonts w:ascii="Segoe UI Light" w:hAnsi="Segoe UI Light"/>
          <w:bCs/>
          <w:sz w:val="16"/>
          <w:szCs w:val="18"/>
        </w:rPr>
        <w:t>zemākais</w:t>
      </w:r>
      <w:r w:rsidRPr="003B4CDA">
        <w:rPr>
          <w:rFonts w:ascii="Segoe UI Light" w:hAnsi="Segoe UI Light"/>
          <w:bCs/>
          <w:sz w:val="16"/>
          <w:szCs w:val="18"/>
        </w:rPr>
        <w:t xml:space="preserve"> bezdarbs pēc absolvēšanas vērojams</w:t>
      </w:r>
      <w:r>
        <w:rPr>
          <w:rFonts w:ascii="Segoe UI Light" w:hAnsi="Segoe UI Light"/>
          <w:bCs/>
          <w:sz w:val="16"/>
          <w:szCs w:val="18"/>
        </w:rPr>
        <w:t xml:space="preserve"> starp </w:t>
      </w:r>
      <w:r w:rsidRPr="003B4CDA">
        <w:rPr>
          <w:rFonts w:ascii="Segoe UI Light" w:hAnsi="Segoe UI Light"/>
          <w:bCs/>
          <w:sz w:val="16"/>
          <w:szCs w:val="18"/>
        </w:rPr>
        <w:t>veselības aprūpes un sociālās labklājības jom</w:t>
      </w:r>
      <w:r>
        <w:rPr>
          <w:rFonts w:ascii="Segoe UI Light" w:hAnsi="Segoe UI Light"/>
          <w:bCs/>
          <w:sz w:val="16"/>
          <w:szCs w:val="18"/>
        </w:rPr>
        <w:t>u beidzējiem.</w:t>
      </w:r>
    </w:p>
    <w:p w14:paraId="74F9FEDF" w14:textId="77777777" w:rsidR="00DC6DD4" w:rsidRPr="00055A00" w:rsidRDefault="00DC6DD4"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2"/>
          <w:szCs w:val="14"/>
        </w:rPr>
      </w:pPr>
    </w:p>
    <w:p w14:paraId="35B39557" w14:textId="77777777" w:rsidR="00DC6DD4" w:rsidRDefault="00DC6DD4" w:rsidP="00DC6DD4">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center"/>
        <w:rPr>
          <w:rFonts w:ascii="Segoe UI Light" w:hAnsi="Segoe UI Light"/>
          <w:bCs/>
          <w:sz w:val="16"/>
          <w:szCs w:val="18"/>
        </w:rPr>
      </w:pPr>
      <w:r>
        <w:rPr>
          <w:rFonts w:ascii="Segoe UI Light" w:hAnsi="Segoe UI Light"/>
          <w:bCs/>
          <w:noProof/>
          <w:sz w:val="16"/>
          <w:szCs w:val="18"/>
        </w:rPr>
        <w:drawing>
          <wp:inline distT="0" distB="0" distL="0" distR="0" wp14:anchorId="64DA33EC" wp14:editId="3B1E7CA9">
            <wp:extent cx="5760000" cy="1800000"/>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5750CD6" w14:textId="39564CDA" w:rsidR="00DC6DD4" w:rsidRPr="007F71A5" w:rsidRDefault="00DC6DD4" w:rsidP="007F71A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i/>
          <w:iCs/>
          <w:sz w:val="10"/>
          <w:szCs w:val="12"/>
          <w:highlight w:val="yellow"/>
        </w:rPr>
      </w:pPr>
      <w:r w:rsidRPr="007F71A5">
        <w:rPr>
          <w:rFonts w:ascii="Segoe UI Light" w:hAnsi="Segoe UI Light"/>
          <w:bCs/>
          <w:sz w:val="10"/>
          <w:szCs w:val="12"/>
        </w:rPr>
        <w:t>Avots:</w:t>
      </w:r>
      <w:r w:rsidRPr="007F71A5">
        <w:rPr>
          <w:rFonts w:ascii="Segoe UI Light" w:hAnsi="Segoe UI Light"/>
          <w:bCs/>
          <w:i/>
          <w:iCs/>
          <w:sz w:val="10"/>
          <w:szCs w:val="12"/>
        </w:rPr>
        <w:t xml:space="preserve"> Absolventu monitoringa dati; EM aprēķini, balstoties uz profesiju-izglītības atbilstības matricu</w:t>
      </w:r>
      <w:r w:rsidR="00055A00" w:rsidRPr="007F71A5">
        <w:rPr>
          <w:rFonts w:ascii="Segoe UI Light" w:hAnsi="Segoe UI Light"/>
          <w:bCs/>
          <w:sz w:val="10"/>
          <w:szCs w:val="10"/>
        </w:rPr>
        <w:t xml:space="preserve"> </w:t>
      </w:r>
      <w:r w:rsidR="00055A00" w:rsidRPr="007F71A5">
        <w:rPr>
          <w:rFonts w:ascii="Segoe UI Light" w:hAnsi="Segoe UI Light"/>
          <w:bCs/>
          <w:i/>
          <w:iCs/>
          <w:sz w:val="10"/>
          <w:szCs w:val="10"/>
        </w:rPr>
        <w:t>(skatīt informatīvā ziņojuma 3.1 apakšnodaļu)</w:t>
      </w:r>
      <w:r w:rsidRPr="007F71A5">
        <w:rPr>
          <w:rFonts w:ascii="Segoe UI Light" w:hAnsi="Segoe UI Light"/>
          <w:bCs/>
          <w:i/>
          <w:iCs/>
          <w:sz w:val="10"/>
          <w:szCs w:val="12"/>
        </w:rPr>
        <w:t xml:space="preserve"> profesiju klasifikācijas profesiju apakšgrupu griezumā.</w:t>
      </w:r>
    </w:p>
    <w:p w14:paraId="367A4C9A" w14:textId="77777777" w:rsidR="00DC6DD4" w:rsidRPr="00055A00" w:rsidRDefault="00DC6DD4" w:rsidP="00055A0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2"/>
          <w:szCs w:val="14"/>
        </w:rPr>
      </w:pPr>
    </w:p>
    <w:p w14:paraId="0CD98824" w14:textId="3D1BBF88" w:rsidR="00DC6DD4" w:rsidRPr="002500EB" w:rsidRDefault="5F38C56C"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Visaugstākais profesijas atbilstības līmenis augstākajā izglītībā, ņemot vērā absolvēto izglītības tematisko jomu, vērojams izglītībā (85%) un veselības aprūpē un sociālajā aprūpē (85%). Tāpat salīdzinoši augsta profesijas atbilstība ir dabaszinātnēs, matemātikā un informācijas tehnoloģijās (78%) un inženierzinātnēs, ražošanā un būvniecībā (77%). Viszemākā atbilstība vērojama humanitārajās zinātnēs un mākslā (51%), kas galvenokārt saistīts ar to, ka šīs izglītības tematiskās jomas absolventi darbojas arī daudzās citās profesijās, kas atbilstoši profesiju klasifikatoram pēc pamatuzdevumiem un kvalifikācijas pamatprasībām netiek vērtētas kā atbilstošas.</w:t>
      </w:r>
    </w:p>
    <w:p w14:paraId="3E2E1011" w14:textId="77777777" w:rsidR="00DC6DD4" w:rsidRPr="005A0AFF" w:rsidRDefault="00DC6DD4" w:rsidP="007F71A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0"/>
        <w:jc w:val="both"/>
        <w:rPr>
          <w:rFonts w:ascii="Segoe UI Light" w:hAnsi="Segoe UI Light"/>
          <w:bCs/>
          <w:sz w:val="4"/>
          <w:szCs w:val="4"/>
        </w:rPr>
      </w:pPr>
    </w:p>
    <w:p w14:paraId="2BE115B9" w14:textId="77777777" w:rsidR="002D43EA" w:rsidRDefault="002D43EA" w:rsidP="00DC6DD4">
      <w:pPr>
        <w:jc w:val="both"/>
      </w:pPr>
    </w:p>
    <w:p w14:paraId="7AC46024" w14:textId="29D001C8" w:rsidR="00DC6DD4" w:rsidRPr="003B4CDA" w:rsidRDefault="5F38C56C" w:rsidP="00DC6DD4">
      <w:pPr>
        <w:jc w:val="both"/>
      </w:pPr>
      <w:r>
        <w:lastRenderedPageBreak/>
        <w:t>Vienlaikus jāatzīmē, ka būtiskas strukturālas neatbilstības ir vērojamas arī profesiju grupu ietvaros. Visizteiktākā prasmju līmeņa nepietiekamība ir vērojama augstākās kvalifikācijas profesijās, kur tikai 3/4 no nodarbinātajiem 2021. gadā bija augstākā izglītība. Daļēji tas skaidrojams ar to, ka augstas kvalifikācijas profesijas grupā ir iekļauti visa veida iestāžu un to apakšvienību vadītāji, kā arī cita veida uzņēmumu un organizāciju amati, kur nodarbinātība bieži vien nav tiešā veidā saistīta ar iegūto izglītību/kvalifikāciju, bet drīzāk ar līdzdalību/īpašumtiesībām konkrētajā uzņēmumā vai organizācijā.</w:t>
      </w:r>
    </w:p>
    <w:p w14:paraId="5AA9497A" w14:textId="77777777" w:rsidR="00DC6DD4" w:rsidRPr="003B4CDA" w:rsidRDefault="00DC6DD4" w:rsidP="00DC6DD4">
      <w:pPr>
        <w:jc w:val="both"/>
        <w:rPr>
          <w:szCs w:val="26"/>
        </w:rPr>
      </w:pPr>
      <w:r w:rsidRPr="003B4CDA">
        <w:rPr>
          <w:szCs w:val="26"/>
        </w:rPr>
        <w:t>Vienlaikus visizteiktākais prasmju pārpalikums ir vērojams zemākās kvalifikācija</w:t>
      </w:r>
      <w:r>
        <w:rPr>
          <w:szCs w:val="26"/>
        </w:rPr>
        <w:t>s</w:t>
      </w:r>
      <w:r w:rsidRPr="003B4CDA">
        <w:rPr>
          <w:szCs w:val="26"/>
        </w:rPr>
        <w:t>/vienkāršās profesijās, kur vairāk nekā 4/5 no visiem nodarbinātajiem iegūtais izglītības līmenis ir augstāks nekā būtu nepieciešams darba pienākumu veikšanai.</w:t>
      </w:r>
    </w:p>
    <w:p w14:paraId="2B74A5AA" w14:textId="77777777" w:rsidR="00DC6DD4" w:rsidRPr="003B4CDA" w:rsidRDefault="00DC6DD4" w:rsidP="00DC6DD4">
      <w:pPr>
        <w:jc w:val="right"/>
        <w:rPr>
          <w:szCs w:val="26"/>
        </w:rPr>
      </w:pPr>
      <w:r w:rsidRPr="003B4CDA">
        <w:rPr>
          <w:szCs w:val="26"/>
        </w:rPr>
        <w:t>2.15. attēls</w:t>
      </w:r>
    </w:p>
    <w:p w14:paraId="35042427" w14:textId="77777777" w:rsidR="00DC6DD4" w:rsidRPr="003B4CDA" w:rsidRDefault="00DC6DD4" w:rsidP="00DA1677">
      <w:pPr>
        <w:spacing w:after="120"/>
        <w:jc w:val="center"/>
        <w:rPr>
          <w:rFonts w:ascii="Segoe UI Light" w:hAnsi="Segoe UI Light"/>
          <w:bCs/>
          <w:i/>
          <w:sz w:val="16"/>
        </w:rPr>
      </w:pPr>
      <w:r w:rsidRPr="003B4CDA">
        <w:rPr>
          <w:rFonts w:ascii="Segoe UI Light" w:hAnsi="Segoe UI Light"/>
          <w:b/>
          <w:bCs/>
          <w:sz w:val="18"/>
          <w:szCs w:val="26"/>
        </w:rPr>
        <w:t>Nodarbināto struktūra pa izglītības līmeņiem pēc profesiju kvalifikācijas pakāpes</w:t>
      </w:r>
      <w:r w:rsidRPr="003B4CDA">
        <w:rPr>
          <w:rFonts w:ascii="Segoe UI Light" w:hAnsi="Segoe UI Light"/>
          <w:b/>
          <w:bCs/>
          <w:sz w:val="18"/>
          <w:szCs w:val="26"/>
        </w:rPr>
        <w:br/>
      </w:r>
      <w:r w:rsidRPr="00CE060B">
        <w:rPr>
          <w:rFonts w:ascii="Segoe UI Light" w:hAnsi="Segoe UI Light"/>
          <w:bCs/>
          <w:i/>
          <w:sz w:val="16"/>
        </w:rPr>
        <w:t>2021. gads</w:t>
      </w:r>
      <w:r w:rsidRPr="003B4CDA">
        <w:rPr>
          <w:rFonts w:ascii="Segoe UI Light" w:hAnsi="Segoe UI Light"/>
          <w:bCs/>
          <w:i/>
          <w:sz w:val="16"/>
        </w:rPr>
        <w:t>, procentos</w:t>
      </w:r>
    </w:p>
    <w:p w14:paraId="7AEBCB40" w14:textId="77777777" w:rsidR="00DC6DD4" w:rsidRPr="003B4CDA" w:rsidRDefault="00DC6DD4" w:rsidP="00DC6DD4">
      <w:pPr>
        <w:spacing w:after="0"/>
        <w:jc w:val="center"/>
        <w:rPr>
          <w:sz w:val="24"/>
          <w:szCs w:val="26"/>
        </w:rPr>
      </w:pPr>
      <w:r w:rsidRPr="003B4CDA">
        <w:rPr>
          <w:rFonts w:ascii="Arial Narrow" w:hAnsi="Arial Narrow"/>
          <w:noProof/>
          <w:lang w:eastAsia="lv-LV"/>
        </w:rPr>
        <w:drawing>
          <wp:inline distT="0" distB="0" distL="0" distR="0" wp14:anchorId="7A1CE44D" wp14:editId="09349DC8">
            <wp:extent cx="4319905" cy="1940118"/>
            <wp:effectExtent l="0" t="0" r="4445" b="3175"/>
            <wp:docPr id="293" name="Chart 2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2E14359" w14:textId="5E2B8AFB" w:rsidR="00DC6DD4" w:rsidRPr="007F71A5" w:rsidRDefault="00DC6DD4" w:rsidP="00DC6DD4">
      <w:pPr>
        <w:spacing w:after="120"/>
        <w:ind w:firstLine="720"/>
        <w:jc w:val="both"/>
        <w:rPr>
          <w:sz w:val="12"/>
          <w:szCs w:val="12"/>
        </w:rPr>
      </w:pPr>
      <w:r w:rsidRPr="007F71A5">
        <w:rPr>
          <w:sz w:val="12"/>
          <w:szCs w:val="12"/>
        </w:rPr>
        <w:t>Avots: CSP, EM aprēķini</w:t>
      </w:r>
    </w:p>
    <w:p w14:paraId="477FB44C" w14:textId="77777777" w:rsidR="007F71A5" w:rsidRPr="00B47D96" w:rsidRDefault="007F71A5" w:rsidP="00DC6DD4">
      <w:pPr>
        <w:spacing w:after="120"/>
        <w:ind w:firstLine="720"/>
        <w:jc w:val="both"/>
        <w:rPr>
          <w:sz w:val="16"/>
          <w:szCs w:val="16"/>
        </w:rPr>
      </w:pPr>
    </w:p>
    <w:p w14:paraId="7DE0BD08" w14:textId="414A3728" w:rsidR="00D36DC0" w:rsidRPr="007F71A5" w:rsidRDefault="00D36DC0" w:rsidP="00DA1677">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7F71A5">
        <w:rPr>
          <w:rFonts w:ascii="Segoe UI Light" w:hAnsi="Segoe UI Light"/>
          <w:b/>
          <w:sz w:val="16"/>
          <w:szCs w:val="16"/>
        </w:rPr>
        <w:t xml:space="preserve">Eiropas Prasmju indekss </w:t>
      </w:r>
      <w:r w:rsidR="00450583" w:rsidRPr="007F71A5">
        <w:rPr>
          <w:rFonts w:ascii="Segoe UI Light" w:hAnsi="Segoe UI Light"/>
          <w:b/>
          <w:sz w:val="16"/>
          <w:szCs w:val="16"/>
        </w:rPr>
        <w:t>202</w:t>
      </w:r>
      <w:r w:rsidR="006C2D66" w:rsidRPr="007F71A5">
        <w:rPr>
          <w:rFonts w:ascii="Segoe UI Light" w:hAnsi="Segoe UI Light"/>
          <w:b/>
          <w:sz w:val="16"/>
          <w:szCs w:val="16"/>
        </w:rPr>
        <w:t>1</w:t>
      </w:r>
      <w:r w:rsidR="00450583" w:rsidRPr="007F71A5">
        <w:rPr>
          <w:rFonts w:ascii="Segoe UI Light" w:hAnsi="Segoe UI Light"/>
          <w:b/>
          <w:sz w:val="16"/>
          <w:szCs w:val="16"/>
        </w:rPr>
        <w:t xml:space="preserve"> </w:t>
      </w:r>
      <w:r w:rsidRPr="007F71A5">
        <w:rPr>
          <w:rFonts w:ascii="Segoe UI Light" w:hAnsi="Segoe UI Light"/>
          <w:b/>
          <w:sz w:val="16"/>
          <w:szCs w:val="16"/>
        </w:rPr>
        <w:t>– prasmju atbilstība</w:t>
      </w:r>
    </w:p>
    <w:p w14:paraId="30713472" w14:textId="178344C9" w:rsidR="00D36DC0" w:rsidRPr="006C2D66" w:rsidRDefault="00810318"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bCs/>
          <w:sz w:val="16"/>
          <w:szCs w:val="18"/>
        </w:rPr>
        <w:t xml:space="preserve">Saskaņā ar Eiropas prasmju indeksa prasmju atbilstības pīlāru starp ES valstīm joprojām pastāv lielas atšķirības prasmju neatbilstības ziņā. Saskaņā ar indeksu, vismazākās neatbilstības ir vērojamas tādās valstīs kā Čehija, Malta un Luksemburga, kas ir vistuvāk ideālajam izpildījumam, savukārt izteiktākas disproporcijas ir </w:t>
      </w:r>
      <w:r w:rsidR="00FD2BB8" w:rsidRPr="006C2D66">
        <w:rPr>
          <w:rFonts w:ascii="Segoe UI Light" w:hAnsi="Segoe UI Light"/>
          <w:bCs/>
          <w:sz w:val="16"/>
          <w:szCs w:val="18"/>
        </w:rPr>
        <w:t xml:space="preserve">Spānijā,  </w:t>
      </w:r>
      <w:r w:rsidRPr="006C2D66">
        <w:rPr>
          <w:rFonts w:ascii="Segoe UI Light" w:hAnsi="Segoe UI Light"/>
          <w:bCs/>
          <w:sz w:val="16"/>
          <w:szCs w:val="18"/>
        </w:rPr>
        <w:t xml:space="preserve">Grieķijā un Īrijā. Latvija kopumā prasmju atbilstības ziņā atrodas </w:t>
      </w:r>
      <w:r w:rsidR="00B9107E" w:rsidRPr="006C2D66">
        <w:rPr>
          <w:rFonts w:ascii="Segoe UI Light" w:hAnsi="Segoe UI Light"/>
          <w:bCs/>
          <w:sz w:val="16"/>
          <w:szCs w:val="18"/>
        </w:rPr>
        <w:t xml:space="preserve">zem </w:t>
      </w:r>
      <w:r w:rsidRPr="006C2D66">
        <w:rPr>
          <w:rFonts w:ascii="Segoe UI Light" w:hAnsi="Segoe UI Light"/>
          <w:bCs/>
          <w:sz w:val="16"/>
          <w:szCs w:val="18"/>
        </w:rPr>
        <w:t>vidējā rādītāja (5</w:t>
      </w:r>
      <w:r w:rsidR="00FD2BB8" w:rsidRPr="006C2D66">
        <w:rPr>
          <w:rFonts w:ascii="Segoe UI Light" w:hAnsi="Segoe UI Light"/>
          <w:bCs/>
          <w:sz w:val="16"/>
          <w:szCs w:val="18"/>
        </w:rPr>
        <w:t>0</w:t>
      </w:r>
      <w:r w:rsidRPr="006C2D66">
        <w:rPr>
          <w:rFonts w:ascii="Segoe UI Light" w:hAnsi="Segoe UI Light"/>
          <w:bCs/>
          <w:sz w:val="16"/>
          <w:szCs w:val="18"/>
        </w:rPr>
        <w:t>%, 1</w:t>
      </w:r>
      <w:r w:rsidR="00FD2BB8" w:rsidRPr="006C2D66">
        <w:rPr>
          <w:rFonts w:ascii="Segoe UI Light" w:hAnsi="Segoe UI Light"/>
          <w:bCs/>
          <w:sz w:val="16"/>
          <w:szCs w:val="18"/>
        </w:rPr>
        <w:t>9</w:t>
      </w:r>
      <w:r w:rsidR="00697B39" w:rsidRPr="006C2D66">
        <w:rPr>
          <w:rFonts w:ascii="Segoe UI Light" w:hAnsi="Segoe UI Light"/>
          <w:bCs/>
          <w:sz w:val="16"/>
          <w:szCs w:val="18"/>
        </w:rPr>
        <w:t>.</w:t>
      </w:r>
      <w:r w:rsidRPr="006C2D66">
        <w:rPr>
          <w:rFonts w:ascii="Segoe UI Light" w:hAnsi="Segoe UI Light"/>
          <w:bCs/>
          <w:sz w:val="16"/>
          <w:szCs w:val="18"/>
        </w:rPr>
        <w:t xml:space="preserve"> vieta no ES27 valstīm), </w:t>
      </w:r>
      <w:r w:rsidR="00B9107E" w:rsidRPr="006C2D66">
        <w:rPr>
          <w:rFonts w:ascii="Segoe UI Light" w:hAnsi="Segoe UI Light"/>
          <w:bCs/>
          <w:sz w:val="16"/>
          <w:szCs w:val="18"/>
        </w:rPr>
        <w:t>uzreiz zem</w:t>
      </w:r>
      <w:r w:rsidRPr="006C2D66">
        <w:rPr>
          <w:rFonts w:ascii="Segoe UI Light" w:hAnsi="Segoe UI Light"/>
          <w:bCs/>
          <w:sz w:val="16"/>
          <w:szCs w:val="18"/>
        </w:rPr>
        <w:t xml:space="preserve"> Lietuv</w:t>
      </w:r>
      <w:r w:rsidR="00B9107E" w:rsidRPr="006C2D66">
        <w:rPr>
          <w:rFonts w:ascii="Segoe UI Light" w:hAnsi="Segoe UI Light"/>
          <w:bCs/>
          <w:sz w:val="16"/>
          <w:szCs w:val="18"/>
        </w:rPr>
        <w:t>as</w:t>
      </w:r>
      <w:r w:rsidRPr="006C2D66">
        <w:rPr>
          <w:rFonts w:ascii="Segoe UI Light" w:hAnsi="Segoe UI Light"/>
          <w:bCs/>
          <w:sz w:val="16"/>
          <w:szCs w:val="18"/>
        </w:rPr>
        <w:t xml:space="preserve"> (</w:t>
      </w:r>
      <w:r w:rsidR="00B9107E" w:rsidRPr="006C2D66">
        <w:rPr>
          <w:rFonts w:ascii="Segoe UI Light" w:hAnsi="Segoe UI Light"/>
          <w:bCs/>
          <w:sz w:val="16"/>
          <w:szCs w:val="18"/>
        </w:rPr>
        <w:t>52</w:t>
      </w:r>
      <w:r w:rsidRPr="006C2D66">
        <w:rPr>
          <w:rFonts w:ascii="Segoe UI Light" w:hAnsi="Segoe UI Light"/>
          <w:bCs/>
          <w:sz w:val="16"/>
          <w:szCs w:val="18"/>
        </w:rPr>
        <w:t xml:space="preserve">%), </w:t>
      </w:r>
      <w:r w:rsidR="00B9107E" w:rsidRPr="006C2D66">
        <w:rPr>
          <w:rFonts w:ascii="Segoe UI Light" w:hAnsi="Segoe UI Light"/>
          <w:bCs/>
          <w:sz w:val="16"/>
          <w:szCs w:val="18"/>
        </w:rPr>
        <w:t xml:space="preserve">kā arī būtiski </w:t>
      </w:r>
      <w:r w:rsidRPr="006C2D66">
        <w:rPr>
          <w:rFonts w:ascii="Segoe UI Light" w:hAnsi="Segoe UI Light"/>
          <w:bCs/>
          <w:sz w:val="16"/>
          <w:szCs w:val="18"/>
        </w:rPr>
        <w:t>atpaliekot no Igaunijas (6</w:t>
      </w:r>
      <w:r w:rsidR="00B9107E" w:rsidRPr="006C2D66">
        <w:rPr>
          <w:rFonts w:ascii="Segoe UI Light" w:hAnsi="Segoe UI Light"/>
          <w:bCs/>
          <w:sz w:val="16"/>
          <w:szCs w:val="18"/>
        </w:rPr>
        <w:t>3</w:t>
      </w:r>
      <w:r w:rsidRPr="006C2D66">
        <w:rPr>
          <w:rFonts w:ascii="Segoe UI Light" w:hAnsi="Segoe UI Light"/>
          <w:bCs/>
          <w:sz w:val="16"/>
          <w:szCs w:val="18"/>
        </w:rPr>
        <w:t xml:space="preserve">%). </w:t>
      </w:r>
      <w:r w:rsidR="00B9107E" w:rsidRPr="006C2D66">
        <w:rPr>
          <w:rFonts w:ascii="Segoe UI Light" w:hAnsi="Segoe UI Light"/>
          <w:bCs/>
          <w:sz w:val="16"/>
          <w:szCs w:val="18"/>
        </w:rPr>
        <w:t>Tomēr j</w:t>
      </w:r>
      <w:r w:rsidRPr="006C2D66">
        <w:rPr>
          <w:rFonts w:ascii="Segoe UI Light" w:hAnsi="Segoe UI Light"/>
          <w:bCs/>
          <w:sz w:val="16"/>
          <w:szCs w:val="18"/>
        </w:rPr>
        <w:t xml:space="preserve">āatzīmē, ka Latvija apsteidz arī tādas augsti attīstītas valstis kā </w:t>
      </w:r>
      <w:r w:rsidR="00B9107E" w:rsidRPr="006C2D66">
        <w:rPr>
          <w:rFonts w:ascii="Segoe UI Light" w:hAnsi="Segoe UI Light"/>
          <w:bCs/>
          <w:sz w:val="16"/>
          <w:szCs w:val="18"/>
        </w:rPr>
        <w:t xml:space="preserve">Austriju, Franciju </w:t>
      </w:r>
      <w:r w:rsidRPr="006C2D66">
        <w:rPr>
          <w:rFonts w:ascii="Segoe UI Light" w:hAnsi="Segoe UI Light"/>
          <w:bCs/>
          <w:sz w:val="16"/>
          <w:szCs w:val="18"/>
        </w:rPr>
        <w:t xml:space="preserve"> un </w:t>
      </w:r>
      <w:r w:rsidR="00B9107E" w:rsidRPr="006C2D66">
        <w:rPr>
          <w:rFonts w:ascii="Segoe UI Light" w:hAnsi="Segoe UI Light"/>
          <w:bCs/>
          <w:sz w:val="16"/>
          <w:szCs w:val="18"/>
        </w:rPr>
        <w:t>Īriju</w:t>
      </w:r>
      <w:r w:rsidRPr="006C2D66">
        <w:rPr>
          <w:rFonts w:ascii="Segoe UI Light" w:hAnsi="Segoe UI Light"/>
          <w:bCs/>
          <w:sz w:val="16"/>
          <w:szCs w:val="18"/>
        </w:rPr>
        <w:t>, kuras prasmju attīstības un aktivizācijas ziņā ir soli priekšā Latvijai.</w:t>
      </w:r>
    </w:p>
    <w:p w14:paraId="01EDD121" w14:textId="413AE6E1" w:rsidR="00D36DC0" w:rsidRPr="006C2D66" w:rsidRDefault="00D36DC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center"/>
        <w:rPr>
          <w:rFonts w:ascii="Segoe UI Light" w:hAnsi="Segoe UI Light"/>
          <w:bCs/>
          <w:sz w:val="16"/>
          <w:szCs w:val="16"/>
        </w:rPr>
      </w:pPr>
      <w:r w:rsidRPr="006C2D66">
        <w:rPr>
          <w:rFonts w:asciiTheme="minorHAnsi" w:eastAsiaTheme="minorEastAsia" w:hAnsiTheme="minorHAnsi" w:cstheme="minorBidi"/>
          <w:noProof/>
          <w:sz w:val="21"/>
          <w:szCs w:val="21"/>
          <w:lang w:eastAsia="lv-LV"/>
        </w:rPr>
        <w:drawing>
          <wp:inline distT="0" distB="0" distL="0" distR="0" wp14:anchorId="67CB848E" wp14:editId="1317C4BB">
            <wp:extent cx="5486400" cy="2035534"/>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BB80AFA" w14:textId="387ABD40" w:rsidR="00D36DC0" w:rsidRPr="007F71A5" w:rsidRDefault="00D36DC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2"/>
          <w:szCs w:val="14"/>
        </w:rPr>
      </w:pPr>
      <w:r w:rsidRPr="007F71A5">
        <w:rPr>
          <w:rFonts w:ascii="Segoe UI Light" w:hAnsi="Segoe UI Light"/>
          <w:bCs/>
          <w:sz w:val="12"/>
          <w:szCs w:val="14"/>
        </w:rPr>
        <w:t xml:space="preserve">Avots: </w:t>
      </w:r>
      <w:proofErr w:type="spellStart"/>
      <w:r w:rsidRPr="007F71A5">
        <w:rPr>
          <w:rFonts w:ascii="Segoe UI Light" w:hAnsi="Segoe UI Light"/>
          <w:bCs/>
          <w:sz w:val="12"/>
          <w:szCs w:val="14"/>
        </w:rPr>
        <w:t>Cedefop</w:t>
      </w:r>
      <w:proofErr w:type="spellEnd"/>
    </w:p>
    <w:p w14:paraId="35B131BC" w14:textId="77777777" w:rsidR="007F71A5" w:rsidRDefault="007F71A5"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
          <w:i/>
          <w:iCs/>
          <w:spacing w:val="-2"/>
          <w:sz w:val="16"/>
          <w:szCs w:val="16"/>
        </w:rPr>
      </w:pPr>
    </w:p>
    <w:p w14:paraId="714F7CC3" w14:textId="77777777" w:rsidR="00DA1677" w:rsidRDefault="00D36DC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i/>
          <w:iCs/>
          <w:sz w:val="16"/>
          <w:szCs w:val="16"/>
        </w:rPr>
      </w:pPr>
      <w:r w:rsidRPr="006C2D66">
        <w:rPr>
          <w:rFonts w:ascii="Segoe UI Light" w:hAnsi="Segoe UI Light"/>
          <w:b/>
          <w:i/>
          <w:iCs/>
          <w:spacing w:val="-2"/>
          <w:sz w:val="16"/>
          <w:szCs w:val="16"/>
        </w:rPr>
        <w:t>* Eiropas Prasmju indekss (</w:t>
      </w:r>
      <w:proofErr w:type="spellStart"/>
      <w:r w:rsidRPr="006C2D66">
        <w:rPr>
          <w:rFonts w:ascii="Segoe UI Light" w:hAnsi="Segoe UI Light"/>
          <w:b/>
          <w:i/>
          <w:iCs/>
          <w:spacing w:val="-2"/>
          <w:sz w:val="16"/>
          <w:szCs w:val="16"/>
        </w:rPr>
        <w:t>European</w:t>
      </w:r>
      <w:proofErr w:type="spellEnd"/>
      <w:r w:rsidRPr="006C2D66">
        <w:rPr>
          <w:rFonts w:ascii="Segoe UI Light" w:hAnsi="Segoe UI Light"/>
          <w:b/>
          <w:i/>
          <w:iCs/>
          <w:spacing w:val="-2"/>
          <w:sz w:val="16"/>
          <w:szCs w:val="16"/>
        </w:rPr>
        <w:t xml:space="preserve"> </w:t>
      </w:r>
      <w:proofErr w:type="spellStart"/>
      <w:r w:rsidRPr="006C2D66">
        <w:rPr>
          <w:rFonts w:ascii="Segoe UI Light" w:hAnsi="Segoe UI Light"/>
          <w:b/>
          <w:i/>
          <w:iCs/>
          <w:spacing w:val="-2"/>
          <w:sz w:val="16"/>
          <w:szCs w:val="16"/>
        </w:rPr>
        <w:t>Skills</w:t>
      </w:r>
      <w:proofErr w:type="spellEnd"/>
      <w:r w:rsidRPr="006C2D66">
        <w:rPr>
          <w:rFonts w:ascii="Segoe UI Light" w:hAnsi="Segoe UI Light"/>
          <w:b/>
          <w:i/>
          <w:iCs/>
          <w:spacing w:val="-2"/>
          <w:sz w:val="16"/>
          <w:szCs w:val="16"/>
        </w:rPr>
        <w:t xml:space="preserve"> </w:t>
      </w:r>
      <w:proofErr w:type="spellStart"/>
      <w:r w:rsidRPr="006C2D66">
        <w:rPr>
          <w:rFonts w:ascii="Segoe UI Light" w:hAnsi="Segoe UI Light"/>
          <w:b/>
          <w:i/>
          <w:iCs/>
          <w:spacing w:val="-2"/>
          <w:sz w:val="16"/>
          <w:szCs w:val="16"/>
        </w:rPr>
        <w:t>Index</w:t>
      </w:r>
      <w:proofErr w:type="spellEnd"/>
      <w:r w:rsidRPr="006C2D66">
        <w:rPr>
          <w:rFonts w:ascii="Segoe UI Light" w:hAnsi="Segoe UI Light"/>
          <w:b/>
          <w:i/>
          <w:iCs/>
          <w:spacing w:val="-2"/>
          <w:sz w:val="16"/>
          <w:szCs w:val="16"/>
        </w:rPr>
        <w:t>) mēra ES prasmju sistēmas sniegumu</w:t>
      </w:r>
      <w:r w:rsidRPr="006C2D66">
        <w:rPr>
          <w:rFonts w:ascii="Segoe UI Light" w:hAnsi="Segoe UI Light"/>
          <w:bCs/>
          <w:i/>
          <w:iCs/>
          <w:spacing w:val="-2"/>
          <w:sz w:val="16"/>
          <w:szCs w:val="16"/>
        </w:rPr>
        <w:t xml:space="preserve"> – attālumu līdz ideālam sniegumam (100 punkti), kas ir augstākais sasniegtais pēdējo 7 gadu laikā. </w:t>
      </w:r>
      <w:r w:rsidRPr="006C2D66">
        <w:rPr>
          <w:rFonts w:ascii="Segoe UI Light" w:hAnsi="Segoe UI Light"/>
          <w:b/>
          <w:i/>
          <w:iCs/>
          <w:spacing w:val="-2"/>
          <w:sz w:val="16"/>
          <w:szCs w:val="16"/>
        </w:rPr>
        <w:t>Prasmju atbilstības pīlāru</w:t>
      </w:r>
      <w:r w:rsidRPr="006C2D66">
        <w:rPr>
          <w:rFonts w:ascii="Segoe UI Light" w:hAnsi="Segoe UI Light"/>
          <w:bCs/>
          <w:i/>
          <w:iCs/>
          <w:spacing w:val="-2"/>
          <w:sz w:val="16"/>
          <w:szCs w:val="16"/>
        </w:rPr>
        <w:t xml:space="preserve"> veido 3 rādītāji, kuru mērķis ir izmērīt dažādos prasmju izmantošanas </w:t>
      </w:r>
      <w:r w:rsidRPr="006C2D66">
        <w:rPr>
          <w:rFonts w:ascii="Segoe UI Light" w:hAnsi="Segoe UI Light"/>
          <w:bCs/>
          <w:i/>
          <w:iCs/>
          <w:sz w:val="16"/>
          <w:szCs w:val="16"/>
        </w:rPr>
        <w:t>līmeņus (</w:t>
      </w:r>
      <w:r w:rsidR="00045A9E" w:rsidRPr="006C2D66">
        <w:rPr>
          <w:rFonts w:ascii="Segoe UI Light" w:hAnsi="Segoe UI Light"/>
          <w:bCs/>
          <w:i/>
          <w:iCs/>
          <w:sz w:val="16"/>
          <w:szCs w:val="16"/>
        </w:rPr>
        <w:t xml:space="preserve">darbaspēka piedāvājums ar </w:t>
      </w:r>
      <w:r w:rsidR="00510EC8" w:rsidRPr="006C2D66">
        <w:rPr>
          <w:rFonts w:ascii="Segoe UI Light" w:hAnsi="Segoe UI Light"/>
          <w:bCs/>
          <w:i/>
          <w:iCs/>
          <w:sz w:val="16"/>
          <w:szCs w:val="16"/>
        </w:rPr>
        <w:t>augstāk</w:t>
      </w:r>
      <w:r w:rsidR="00045A9E" w:rsidRPr="006C2D66">
        <w:rPr>
          <w:rFonts w:ascii="Segoe UI Light" w:hAnsi="Segoe UI Light"/>
          <w:bCs/>
          <w:i/>
          <w:iCs/>
          <w:sz w:val="16"/>
          <w:szCs w:val="16"/>
        </w:rPr>
        <w:t>u</w:t>
      </w:r>
      <w:r w:rsidR="00510EC8" w:rsidRPr="006C2D66">
        <w:rPr>
          <w:rFonts w:ascii="Segoe UI Light" w:hAnsi="Segoe UI Light"/>
          <w:bCs/>
          <w:i/>
          <w:iCs/>
          <w:sz w:val="16"/>
          <w:szCs w:val="16"/>
        </w:rPr>
        <w:t xml:space="preserve"> vai zemāk</w:t>
      </w:r>
      <w:r w:rsidR="00045A9E" w:rsidRPr="006C2D66">
        <w:rPr>
          <w:rFonts w:ascii="Segoe UI Light" w:hAnsi="Segoe UI Light"/>
          <w:bCs/>
          <w:i/>
          <w:iCs/>
          <w:sz w:val="16"/>
          <w:szCs w:val="16"/>
        </w:rPr>
        <w:t>u</w:t>
      </w:r>
      <w:r w:rsidR="00510EC8" w:rsidRPr="006C2D66">
        <w:rPr>
          <w:rFonts w:ascii="Segoe UI Light" w:hAnsi="Segoe UI Light"/>
          <w:bCs/>
          <w:i/>
          <w:iCs/>
          <w:sz w:val="16"/>
          <w:szCs w:val="16"/>
        </w:rPr>
        <w:t xml:space="preserve"> prasmju līmeni nekā nepieciešams darba tirgū</w:t>
      </w:r>
      <w:r w:rsidRPr="006C2D66">
        <w:rPr>
          <w:rFonts w:ascii="Segoe UI Light" w:hAnsi="Segoe UI Light"/>
          <w:bCs/>
          <w:i/>
          <w:iCs/>
          <w:sz w:val="16"/>
          <w:szCs w:val="16"/>
        </w:rPr>
        <w:t>): augstākās izglītības neatbilstības (cilvēki ar augstāko izglītību, kas strādā darbā, kurā nav nepieciešama attiecīgā izglītība), zemo algu saņēmēji (cilvēki ar augstāko izglītību, kas saņem zemu algu) un kvalifikācijas neatbilstības (līmenis, kurš norāda, cik lielā mērā nodarbinātā iegūtās izglītības līmenis atbilst katrai profesijai katrā nozarē)</w:t>
      </w:r>
    </w:p>
    <w:p w14:paraId="731C7A77" w14:textId="11723B9B" w:rsidR="00612950" w:rsidRPr="00612950" w:rsidRDefault="0061295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8"/>
          <w:szCs w:val="8"/>
        </w:rPr>
      </w:pPr>
    </w:p>
    <w:p w14:paraId="090A3384" w14:textId="77777777" w:rsidR="0087629E" w:rsidRPr="00624D23" w:rsidRDefault="0087629E" w:rsidP="00624D23">
      <w:pPr>
        <w:spacing w:after="0"/>
        <w:rPr>
          <w:sz w:val="8"/>
          <w:szCs w:val="10"/>
          <w:highlight w:val="yellow"/>
        </w:rPr>
      </w:pPr>
    </w:p>
    <w:p w14:paraId="2EB09929" w14:textId="77777777" w:rsidR="00DA1677" w:rsidRDefault="00DA1677">
      <w:pPr>
        <w:spacing w:after="0"/>
        <w:rPr>
          <w:rFonts w:ascii="Segoe UI Light" w:hAnsi="Segoe UI Light"/>
          <w:b/>
          <w:sz w:val="16"/>
          <w:szCs w:val="16"/>
        </w:rPr>
      </w:pPr>
      <w:r>
        <w:rPr>
          <w:rFonts w:ascii="Segoe UI Light" w:hAnsi="Segoe UI Light"/>
          <w:b/>
          <w:sz w:val="16"/>
          <w:szCs w:val="16"/>
        </w:rPr>
        <w:br w:type="page"/>
      </w:r>
    </w:p>
    <w:p w14:paraId="538243DD" w14:textId="17A84D77" w:rsidR="0087629E" w:rsidRPr="00624D23" w:rsidRDefault="0087629E"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sz w:val="16"/>
          <w:szCs w:val="16"/>
        </w:rPr>
      </w:pPr>
      <w:r w:rsidRPr="00624D23">
        <w:rPr>
          <w:rFonts w:ascii="Segoe UI Light" w:hAnsi="Segoe UI Light"/>
          <w:b/>
          <w:sz w:val="16"/>
          <w:szCs w:val="16"/>
        </w:rPr>
        <w:lastRenderedPageBreak/>
        <w:t>Ielikuma turpinājums</w:t>
      </w:r>
    </w:p>
    <w:p w14:paraId="5BC79D91" w14:textId="631052A0" w:rsidR="00D36DC0" w:rsidRPr="006C2D66" w:rsidRDefault="00D36DC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sz w:val="16"/>
        </w:rPr>
        <w:t>Indivīdiem prasmju neatbilstība rada negatīvu ietekmi uz apmierinātību ar darbu un algām</w:t>
      </w:r>
      <w:r w:rsidR="00B043AE" w:rsidRPr="006C2D66">
        <w:rPr>
          <w:rFonts w:ascii="Segoe UI Light" w:hAnsi="Segoe UI Light"/>
          <w:sz w:val="16"/>
        </w:rPr>
        <w:t>,</w:t>
      </w:r>
      <w:r w:rsidR="00655174" w:rsidRPr="006C2D66">
        <w:rPr>
          <w:rFonts w:ascii="Segoe UI Light" w:hAnsi="Segoe UI Light"/>
          <w:sz w:val="16"/>
        </w:rPr>
        <w:t xml:space="preserve"> </w:t>
      </w:r>
      <w:r w:rsidR="00165110" w:rsidRPr="006C2D66">
        <w:rPr>
          <w:rFonts w:ascii="Segoe UI Light" w:hAnsi="Segoe UI Light"/>
          <w:sz w:val="16"/>
        </w:rPr>
        <w:t>piemēram, a</w:t>
      </w:r>
      <w:r w:rsidR="00B043AE" w:rsidRPr="006C2D66">
        <w:rPr>
          <w:rFonts w:ascii="Segoe UI Light" w:hAnsi="Segoe UI Light"/>
          <w:sz w:val="16"/>
        </w:rPr>
        <w:t xml:space="preserve">ugstākas kvalifikācijas </w:t>
      </w:r>
      <w:r w:rsidR="006802AF" w:rsidRPr="006C2D66">
        <w:rPr>
          <w:rFonts w:ascii="Segoe UI Light" w:hAnsi="Segoe UI Light"/>
          <w:sz w:val="16"/>
        </w:rPr>
        <w:t>speciālis</w:t>
      </w:r>
      <w:r w:rsidR="005D10A5" w:rsidRPr="006C2D66">
        <w:rPr>
          <w:rFonts w:ascii="Segoe UI Light" w:hAnsi="Segoe UI Light"/>
          <w:sz w:val="16"/>
        </w:rPr>
        <w:t>ts</w:t>
      </w:r>
      <w:r w:rsidR="00165110" w:rsidRPr="006C2D66">
        <w:rPr>
          <w:rFonts w:ascii="Segoe UI Light" w:hAnsi="Segoe UI Light"/>
          <w:sz w:val="16"/>
        </w:rPr>
        <w:t xml:space="preserve">, strādājot zemāka līmeņa darbos, saņems savām prasmēm neatbilstošu atalgojumu, tikmēr darbiniekiem ar </w:t>
      </w:r>
      <w:r w:rsidR="005D10A5" w:rsidRPr="006C2D66">
        <w:rPr>
          <w:rFonts w:ascii="Segoe UI Light" w:hAnsi="Segoe UI Light"/>
          <w:sz w:val="16"/>
        </w:rPr>
        <w:t xml:space="preserve">profesijai </w:t>
      </w:r>
      <w:r w:rsidR="00165110" w:rsidRPr="006C2D66">
        <w:rPr>
          <w:rFonts w:ascii="Segoe UI Light" w:hAnsi="Segoe UI Light"/>
          <w:sz w:val="16"/>
        </w:rPr>
        <w:t>nepietiekamām prasmēm</w:t>
      </w:r>
      <w:r w:rsidR="005D10A5" w:rsidRPr="006C2D66">
        <w:rPr>
          <w:rFonts w:ascii="Segoe UI Light" w:hAnsi="Segoe UI Light"/>
          <w:sz w:val="16"/>
        </w:rPr>
        <w:t>, var rasties problēmas veikt savus tiešos darba pienākumus</w:t>
      </w:r>
      <w:r w:rsidRPr="006C2D66">
        <w:rPr>
          <w:rFonts w:ascii="Segoe UI Light" w:hAnsi="Segoe UI Light"/>
          <w:sz w:val="16"/>
        </w:rPr>
        <w:t>.</w:t>
      </w:r>
      <w:r w:rsidRPr="006C2D66">
        <w:rPr>
          <w:rFonts w:ascii="Segoe UI Light" w:hAnsi="Segoe UI Light"/>
          <w:bCs/>
          <w:sz w:val="16"/>
          <w:szCs w:val="18"/>
        </w:rPr>
        <w:t xml:space="preserve"> Firmām, tā samazina produktivitāti, kamēr prasmju iztrūkums palielina darbā pieņemšanas izmaksas un kavē jaunu tehnoloģiju apgūšanu. Makroekonomikas līmenī, neatbilstības palielina bezdarbu</w:t>
      </w:r>
      <w:r w:rsidR="00BA65F0" w:rsidRPr="006C2D66">
        <w:rPr>
          <w:rFonts w:ascii="Segoe UI Light" w:hAnsi="Segoe UI Light"/>
          <w:bCs/>
          <w:sz w:val="16"/>
          <w:szCs w:val="18"/>
        </w:rPr>
        <w:t xml:space="preserve"> </w:t>
      </w:r>
      <w:r w:rsidRPr="006C2D66">
        <w:rPr>
          <w:rFonts w:ascii="Segoe UI Light" w:hAnsi="Segoe UI Light"/>
          <w:bCs/>
          <w:sz w:val="16"/>
          <w:szCs w:val="18"/>
        </w:rPr>
        <w:t xml:space="preserve">un samazina IKP pieaugumu caur neatbilstošu </w:t>
      </w:r>
      <w:proofErr w:type="spellStart"/>
      <w:r w:rsidRPr="006C2D66">
        <w:rPr>
          <w:rFonts w:ascii="Segoe UI Light" w:hAnsi="Segoe UI Light"/>
          <w:bCs/>
          <w:sz w:val="16"/>
          <w:szCs w:val="18"/>
        </w:rPr>
        <w:t>cilvēkkapitāla</w:t>
      </w:r>
      <w:proofErr w:type="spellEnd"/>
      <w:r w:rsidRPr="006C2D66">
        <w:rPr>
          <w:rFonts w:ascii="Segoe UI Light" w:hAnsi="Segoe UI Light"/>
          <w:bCs/>
          <w:sz w:val="16"/>
          <w:szCs w:val="18"/>
        </w:rPr>
        <w:t xml:space="preserve"> sadali un/vai produktivitātes sarukumu, ko tas rada, kamēr prasmju iztrūkums rada negatīvu ietekmi uz darbaspēka produktivitāti.</w:t>
      </w:r>
    </w:p>
    <w:p w14:paraId="13D8102D" w14:textId="74D0F546" w:rsidR="00D36DC0" w:rsidRPr="006C2D66" w:rsidRDefault="00D36DC0" w:rsidP="009E6DE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6C2D66">
        <w:rPr>
          <w:rFonts w:ascii="Segoe UI Light" w:hAnsi="Segoe UI Light"/>
          <w:bCs/>
          <w:sz w:val="16"/>
          <w:szCs w:val="18"/>
        </w:rPr>
        <w:t xml:space="preserve">Lai mazināta prasmju piedāvājuma un pieprasījuma neatbilstības svarīgi ir nodrošināt kvalitatīvas izglītības un apmācību programmas, kurās iespējams gan paaugstināt savas prasmes, gan pārkvalificēties. Tiek uzsvērta arī darba vidē balstītu </w:t>
      </w:r>
      <w:r w:rsidR="00532398" w:rsidRPr="006C2D66">
        <w:rPr>
          <w:rFonts w:ascii="Segoe UI Light" w:hAnsi="Segoe UI Light"/>
          <w:bCs/>
          <w:sz w:val="16"/>
          <w:szCs w:val="18"/>
        </w:rPr>
        <w:t xml:space="preserve">(DVB) </w:t>
      </w:r>
      <w:r w:rsidRPr="006C2D66">
        <w:rPr>
          <w:rFonts w:ascii="Segoe UI Light" w:hAnsi="Segoe UI Light"/>
          <w:bCs/>
          <w:sz w:val="16"/>
          <w:szCs w:val="18"/>
        </w:rPr>
        <w:t>mācību nozīmība. Prasmju iztrūkuma</w:t>
      </w:r>
      <w:r w:rsidR="00BA65F0" w:rsidRPr="006C2D66">
        <w:rPr>
          <w:rFonts w:ascii="Segoe UI Light" w:hAnsi="Segoe UI Light"/>
          <w:bCs/>
          <w:sz w:val="16"/>
          <w:szCs w:val="18"/>
        </w:rPr>
        <w:t xml:space="preserve"> </w:t>
      </w:r>
      <w:r w:rsidRPr="006C2D66">
        <w:rPr>
          <w:rFonts w:ascii="Segoe UI Light" w:hAnsi="Segoe UI Light"/>
          <w:bCs/>
          <w:sz w:val="16"/>
          <w:szCs w:val="18"/>
        </w:rPr>
        <w:t>mazināšanā var palīdzēt arī efektīga imigrācijas politikas īstenošana. Savukārt nepietiekamu kvalifikāciju var mazināt, samazinot zemu kvalificētu darbinieku īpatsvaru, novēršot priekšlaicīgu skolas pamešanu un nodrošinot kvalifikācijas celšanas iespējas. Līdz ar tehnoloģisko progresu, svarīgi ir arī jaunu darba vietu radīšana un darba devēju un izglītības sistēmas sadarbība atbilstošu prasmju nodrošināšanai. Lai palīdzētu darbiniekiem karjeras laikā pielāgot un atjaunināt savas prasmes, būtiski būs attīstīt modernu mūžizglītības sistēmu. Tāpat svarīga būs arī kvalitatīva prasmju novērtēšana un darba tirgus apsteidzošo pārkārtojumu sistēmas izveide.</w:t>
      </w:r>
    </w:p>
    <w:bookmarkEnd w:id="46"/>
    <w:p w14:paraId="28F1A350" w14:textId="77777777" w:rsidR="002B3523" w:rsidRPr="001231A9" w:rsidRDefault="002B3523" w:rsidP="00A408E7">
      <w:pPr>
        <w:pBdr>
          <w:top w:val="single" w:sz="4" w:space="6" w:color="auto" w:shadow="1"/>
          <w:left w:val="single" w:sz="4" w:space="6" w:color="auto" w:shadow="1"/>
          <w:bottom w:val="single" w:sz="4" w:space="0" w:color="auto" w:shadow="1"/>
          <w:right w:val="single" w:sz="4" w:space="6" w:color="auto" w:shadow="1"/>
        </w:pBdr>
        <w:shd w:val="clear" w:color="auto" w:fill="E5DFEC"/>
        <w:spacing w:after="60"/>
        <w:jc w:val="both"/>
        <w:rPr>
          <w:rFonts w:ascii="Segoe UI Light" w:hAnsi="Segoe UI Light"/>
          <w:bCs/>
          <w:sz w:val="8"/>
          <w:szCs w:val="8"/>
          <w:highlight w:val="yellow"/>
        </w:rPr>
      </w:pPr>
    </w:p>
    <w:p w14:paraId="310B2F18" w14:textId="151A8BB4" w:rsidR="00F4110B" w:rsidRPr="001231A9" w:rsidRDefault="00F4110B" w:rsidP="00620421">
      <w:pPr>
        <w:rPr>
          <w:highlight w:val="yellow"/>
        </w:rPr>
      </w:pPr>
      <w:bookmarkStart w:id="47" w:name="_Hlk40609818"/>
    </w:p>
    <w:p w14:paraId="5AEB9848" w14:textId="77777777" w:rsidR="00F4110B" w:rsidRPr="00216C3F" w:rsidRDefault="00F4110B" w:rsidP="00F4110B">
      <w:pPr>
        <w:pStyle w:val="Heading2"/>
        <w:rPr>
          <w:color w:val="000000" w:themeColor="text1"/>
        </w:rPr>
      </w:pPr>
      <w:bookmarkStart w:id="48" w:name="_Toc390350667"/>
      <w:bookmarkStart w:id="49" w:name="_Toc453924345"/>
      <w:bookmarkStart w:id="50" w:name="_Toc517876435"/>
      <w:bookmarkStart w:id="51" w:name="_Toc106366797"/>
      <w:bookmarkEnd w:id="47"/>
      <w:r w:rsidRPr="00216C3F">
        <w:rPr>
          <w:color w:val="000000" w:themeColor="text1"/>
        </w:rPr>
        <w:t>2.4. Izglītības piedāvājuma izmaiņas</w:t>
      </w:r>
      <w:bookmarkEnd w:id="48"/>
      <w:bookmarkEnd w:id="49"/>
      <w:bookmarkEnd w:id="50"/>
      <w:bookmarkEnd w:id="51"/>
    </w:p>
    <w:p w14:paraId="3D7C3114" w14:textId="77777777" w:rsidR="00216C3F" w:rsidRPr="003B4CDA" w:rsidRDefault="00216C3F" w:rsidP="00216C3F">
      <w:pPr>
        <w:jc w:val="both"/>
        <w:rPr>
          <w:szCs w:val="20"/>
        </w:rPr>
      </w:pPr>
      <w:r w:rsidRPr="003B4CDA">
        <w:rPr>
          <w:b/>
          <w:szCs w:val="20"/>
        </w:rPr>
        <w:t>Demogrāfijas tendenču ietekme uz audzēkņu un studentu skaitu</w:t>
      </w:r>
    </w:p>
    <w:p w14:paraId="6073A069" w14:textId="523DA7DF" w:rsidR="00216C3F" w:rsidRPr="007D0C2E" w:rsidRDefault="66518134" w:rsidP="00216C3F">
      <w:pPr>
        <w:jc w:val="both"/>
      </w:pPr>
      <w:r>
        <w:t xml:space="preserve">Vispārējās izglītības skolēnu skaits aizvadīto 10 gadu laikā kopumā ir samazinājies gan pamatskolas, gan vidusskolas līmenī. Tāpat </w:t>
      </w:r>
      <w:proofErr w:type="spellStart"/>
      <w:r>
        <w:t>lejupslīdoša</w:t>
      </w:r>
      <w:proofErr w:type="spellEnd"/>
      <w:r>
        <w:t xml:space="preserve"> tendence vērojama arī profesionālās vidējās izglītības audzēkņu skaitā. Galvenie iemesli audzēkņu skaita samazinājumam ir ilgstoši zemais dzimstības līmenis un iedzīvotāju emigrācija. Pateicoties dzimstības rādītāju uzlabojumiem periodā no 2004. līdz 2008. gadam, pēdējos gados vispārējās un profesionālās vidējās izglītības skolēnu un audzēkņu skaita kritums ir kļuvis lēnāks, tomēr neskatoties uz to izglītojamo skaita tendence joprojām saglabājās negatīva.</w:t>
      </w:r>
    </w:p>
    <w:p w14:paraId="4EDDB54F" w14:textId="77777777" w:rsidR="00216C3F" w:rsidRPr="003B4CDA" w:rsidRDefault="00216C3F" w:rsidP="00216C3F">
      <w:pPr>
        <w:jc w:val="right"/>
        <w:rPr>
          <w:szCs w:val="26"/>
        </w:rPr>
      </w:pPr>
      <w:r w:rsidRPr="003B4CDA">
        <w:rPr>
          <w:szCs w:val="26"/>
        </w:rPr>
        <w:t>2.16. attēls</w:t>
      </w:r>
    </w:p>
    <w:p w14:paraId="2A817762" w14:textId="77777777" w:rsidR="00216C3F" w:rsidRPr="003B4CDA" w:rsidRDefault="00216C3F" w:rsidP="00DA1677">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bCs/>
          <w:sz w:val="16"/>
          <w:szCs w:val="22"/>
        </w:rPr>
      </w:pPr>
      <w:r w:rsidRPr="003B4CDA">
        <w:rPr>
          <w:rFonts w:ascii="Segoe UI Light" w:eastAsia="Calibri" w:hAnsi="Segoe UI Light"/>
          <w:b/>
          <w:color w:val="auto"/>
          <w:szCs w:val="26"/>
        </w:rPr>
        <w:t>Uzņemtie audzēkņi un studenti izglītības iestādēs</w:t>
      </w:r>
      <w:r w:rsidRPr="003B4CDA">
        <w:rPr>
          <w:b/>
          <w:bCs/>
          <w:sz w:val="20"/>
          <w:szCs w:val="26"/>
        </w:rPr>
        <w:br/>
      </w:r>
      <w:r w:rsidRPr="003B4CDA">
        <w:rPr>
          <w:rFonts w:ascii="Segoe UI Light" w:eastAsia="Calibri" w:hAnsi="Segoe UI Light"/>
          <w:bCs/>
          <w:i/>
          <w:color w:val="auto"/>
          <w:sz w:val="16"/>
          <w:szCs w:val="22"/>
        </w:rPr>
        <w:t>tūkstošos</w:t>
      </w:r>
    </w:p>
    <w:p w14:paraId="43CDC2B8" w14:textId="77777777" w:rsidR="00216C3F" w:rsidRPr="003B4CDA" w:rsidRDefault="00216C3F" w:rsidP="00216C3F">
      <w:pPr>
        <w:jc w:val="center"/>
        <w:rPr>
          <w:szCs w:val="20"/>
        </w:rPr>
      </w:pPr>
      <w:r w:rsidRPr="003B4CDA">
        <w:rPr>
          <w:noProof/>
          <w:szCs w:val="20"/>
          <w:lang w:eastAsia="lv-LV"/>
        </w:rPr>
        <w:drawing>
          <wp:inline distT="0" distB="0" distL="0" distR="0" wp14:anchorId="70179572" wp14:editId="1236AC13">
            <wp:extent cx="5760000" cy="2160000"/>
            <wp:effectExtent l="0" t="0" r="0" b="0"/>
            <wp:docPr id="294"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7B3D7B2" w14:textId="77777777" w:rsidR="00216C3F" w:rsidRPr="00DA1677" w:rsidRDefault="00216C3F" w:rsidP="00216C3F">
      <w:pPr>
        <w:rPr>
          <w:rFonts w:eastAsia="Times New Roman" w:cs="Calibri Light"/>
          <w:bCs/>
          <w:color w:val="000000"/>
          <w:sz w:val="12"/>
          <w:szCs w:val="16"/>
        </w:rPr>
      </w:pPr>
      <w:r w:rsidRPr="00DA1677">
        <w:rPr>
          <w:rFonts w:eastAsia="Times New Roman" w:cs="Calibri Light"/>
          <w:bCs/>
          <w:color w:val="000000"/>
          <w:sz w:val="12"/>
          <w:szCs w:val="16"/>
        </w:rPr>
        <w:t>Avots: CSP</w:t>
      </w:r>
    </w:p>
    <w:p w14:paraId="5966B31C" w14:textId="381AF486" w:rsidR="00216C3F" w:rsidRPr="003B4CDA" w:rsidRDefault="00DA1677" w:rsidP="00216C3F">
      <w:pPr>
        <w:jc w:val="both"/>
        <w:rPr>
          <w:szCs w:val="20"/>
        </w:rPr>
      </w:pPr>
      <w:r>
        <w:rPr>
          <w:szCs w:val="20"/>
        </w:rPr>
        <w:br/>
      </w:r>
      <w:r w:rsidR="00216C3F" w:rsidRPr="003B4CDA">
        <w:rPr>
          <w:szCs w:val="20"/>
        </w:rPr>
        <w:t xml:space="preserve">Vidējās izglītības struktūra ir atkarīga no pamatskolu beidzēju izvēles par turpmāko izglītošanos. Jāatzīmē, ka būtiskākā problēma profesionālajā izglītībā joprojām ir tās zemā pievilcība, kas lielā mērā saistīta ar sabiedrības aizspriedumiem un novecojušiem </w:t>
      </w:r>
      <w:r w:rsidR="00216C3F" w:rsidRPr="002F347C">
        <w:rPr>
          <w:szCs w:val="20"/>
        </w:rPr>
        <w:t>stereotipiem – joprojām aptuveni 3/5 no jauniešiem pēc pamatizglītības beigšanas izvēlās turpināt mācības vispārējā vidējā izglītībā.</w:t>
      </w:r>
      <w:r w:rsidR="00216C3F" w:rsidRPr="003B4CDA">
        <w:rPr>
          <w:szCs w:val="20"/>
        </w:rPr>
        <w:t xml:space="preserve"> Lai arī pēdējo gados pamatskolu absolventi vairāk pievēršas profesionālai izglītībai, tomēr ar to nepietiek, lai nodrošinātu vidējās kvalifikācijas speciālistu </w:t>
      </w:r>
      <w:r w:rsidR="00364D64" w:rsidRPr="003B4CDA">
        <w:rPr>
          <w:szCs w:val="20"/>
        </w:rPr>
        <w:t>a</w:t>
      </w:r>
      <w:r w:rsidR="00364D64">
        <w:rPr>
          <w:szCs w:val="20"/>
        </w:rPr>
        <w:t xml:space="preserve">izvietošanu </w:t>
      </w:r>
      <w:r w:rsidR="00216C3F" w:rsidRPr="003B4CDA">
        <w:rPr>
          <w:szCs w:val="20"/>
        </w:rPr>
        <w:t>darba tirgū</w:t>
      </w:r>
      <w:r w:rsidR="00364D64">
        <w:rPr>
          <w:szCs w:val="20"/>
        </w:rPr>
        <w:t xml:space="preserve"> dēļ sabiedrības novecošanās.</w:t>
      </w:r>
    </w:p>
    <w:p w14:paraId="53F22525" w14:textId="4C51C488" w:rsidR="00216C3F" w:rsidRPr="003B4CDA" w:rsidRDefault="00216C3F" w:rsidP="00DA1677">
      <w:pPr>
        <w:rPr>
          <w:szCs w:val="20"/>
        </w:rPr>
      </w:pPr>
      <w:r w:rsidRPr="003B4CDA">
        <w:rPr>
          <w:szCs w:val="20"/>
        </w:rPr>
        <w:lastRenderedPageBreak/>
        <w:t xml:space="preserve">Pēdējos gados profesionālās izglītības iestādēs uzņemto audzēkņu skaits saglabājas aptuveni vienā līmenī, tikmēr jauniešu īpatsvars, kas pēc pamatizglītības un vispārējās vidējās izglītības turpina mācības profesionālajā izglītībā </w:t>
      </w:r>
      <w:r>
        <w:rPr>
          <w:szCs w:val="20"/>
        </w:rPr>
        <w:t>2020.</w:t>
      </w:r>
      <w:r w:rsidR="00055A00">
        <w:rPr>
          <w:szCs w:val="20"/>
        </w:rPr>
        <w:t> </w:t>
      </w:r>
      <w:r>
        <w:rPr>
          <w:szCs w:val="20"/>
        </w:rPr>
        <w:t>gadā ir pieaudzis gandrīz par 2 procentpunktiem</w:t>
      </w:r>
      <w:r w:rsidRPr="003B4CDA">
        <w:rPr>
          <w:szCs w:val="20"/>
        </w:rPr>
        <w:t>.</w:t>
      </w:r>
    </w:p>
    <w:p w14:paraId="0B87CC78" w14:textId="04A654AE" w:rsidR="00216C3F" w:rsidRPr="003B4CDA" w:rsidRDefault="00216C3F" w:rsidP="00216C3F">
      <w:pPr>
        <w:jc w:val="right"/>
        <w:rPr>
          <w:szCs w:val="20"/>
        </w:rPr>
      </w:pPr>
      <w:r w:rsidRPr="003B4CDA">
        <w:rPr>
          <w:szCs w:val="20"/>
        </w:rPr>
        <w:t>2.1</w:t>
      </w:r>
      <w:r w:rsidR="00A8389B">
        <w:rPr>
          <w:szCs w:val="20"/>
        </w:rPr>
        <w:t>7</w:t>
      </w:r>
      <w:r w:rsidRPr="003B4CDA">
        <w:rPr>
          <w:szCs w:val="20"/>
        </w:rPr>
        <w:t>. attēls</w:t>
      </w:r>
    </w:p>
    <w:p w14:paraId="73BBCAC4" w14:textId="77777777" w:rsidR="00216C3F" w:rsidRPr="003B4CDA" w:rsidRDefault="00216C3F" w:rsidP="00DA1677">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jc w:val="left"/>
        <w:rPr>
          <w:rFonts w:ascii="Segoe UI Light" w:hAnsi="Segoe UI Light"/>
          <w:bCs/>
          <w:sz w:val="16"/>
          <w:szCs w:val="16"/>
        </w:rPr>
      </w:pPr>
      <w:r w:rsidRPr="003B4CDA">
        <w:rPr>
          <w:rFonts w:ascii="Segoe UI Light" w:hAnsi="Segoe UI Light"/>
          <w:b/>
          <w:bCs/>
          <w:szCs w:val="26"/>
        </w:rPr>
        <w:tab/>
      </w:r>
      <w:r w:rsidRPr="003B4CDA">
        <w:rPr>
          <w:rFonts w:ascii="Segoe UI Light" w:hAnsi="Segoe UI Light"/>
          <w:b/>
          <w:bCs/>
          <w:szCs w:val="26"/>
        </w:rPr>
        <w:tab/>
        <w:t>Audzēkņi, kuri turpina mācības profesionālās izglītības iestādēs</w:t>
      </w:r>
      <w:r w:rsidRPr="003B4CDA">
        <w:rPr>
          <w:rFonts w:ascii="Segoe UI Light" w:hAnsi="Segoe UI Light"/>
          <w:b/>
          <w:bCs/>
          <w:szCs w:val="26"/>
        </w:rPr>
        <w:br/>
      </w:r>
      <w:r w:rsidRPr="003B4CDA">
        <w:rPr>
          <w:rFonts w:ascii="Segoe UI Light" w:hAnsi="Segoe UI Light"/>
          <w:bCs/>
          <w:i/>
          <w:sz w:val="16"/>
          <w:szCs w:val="16"/>
        </w:rPr>
        <w:tab/>
      </w:r>
      <w:r w:rsidRPr="003B4CDA">
        <w:rPr>
          <w:rFonts w:ascii="Segoe UI Light" w:hAnsi="Segoe UI Light"/>
          <w:bCs/>
          <w:i/>
          <w:sz w:val="16"/>
          <w:szCs w:val="16"/>
        </w:rPr>
        <w:tab/>
        <w:t>% no kopā beigušajiem</w:t>
      </w:r>
      <w:r w:rsidRPr="003B4CDA">
        <w:rPr>
          <w:rFonts w:ascii="Segoe UI Light" w:hAnsi="Segoe UI Light"/>
          <w:bCs/>
          <w:i/>
          <w:sz w:val="16"/>
          <w:szCs w:val="16"/>
        </w:rPr>
        <w:br/>
      </w:r>
      <w:r w:rsidRPr="003B4CDA">
        <w:rPr>
          <w:rFonts w:ascii="Segoe UI Light" w:hAnsi="Segoe UI Light"/>
          <w:bCs/>
          <w:sz w:val="16"/>
          <w:szCs w:val="16"/>
        </w:rPr>
        <w:tab/>
        <w:t xml:space="preserve">Pamatskolu beigušie </w:t>
      </w:r>
      <w:r w:rsidRPr="003B4CDA">
        <w:rPr>
          <w:rFonts w:ascii="Segoe UI Light" w:hAnsi="Segoe UI Light"/>
          <w:bCs/>
          <w:sz w:val="16"/>
          <w:szCs w:val="16"/>
        </w:rPr>
        <w:tab/>
      </w:r>
      <w:r w:rsidRPr="003B4CDA">
        <w:rPr>
          <w:rFonts w:ascii="Segoe UI Light" w:hAnsi="Segoe UI Light"/>
          <w:bCs/>
          <w:sz w:val="16"/>
          <w:szCs w:val="16"/>
        </w:rPr>
        <w:tab/>
        <w:t>Vidusskolu beigušie</w:t>
      </w:r>
    </w:p>
    <w:p w14:paraId="065EC3BB" w14:textId="77777777" w:rsidR="00216C3F" w:rsidRPr="003B4CDA" w:rsidRDefault="00216C3F" w:rsidP="00216C3F">
      <w:pPr>
        <w:rPr>
          <w:szCs w:val="20"/>
        </w:rPr>
      </w:pPr>
      <w:r w:rsidRPr="003B4CDA">
        <w:rPr>
          <w:noProof/>
          <w:szCs w:val="20"/>
          <w:lang w:eastAsia="lv-LV"/>
        </w:rPr>
        <w:drawing>
          <wp:inline distT="0" distB="0" distL="0" distR="0" wp14:anchorId="7EC42A76" wp14:editId="5915A328">
            <wp:extent cx="2880000" cy="2160000"/>
            <wp:effectExtent l="0" t="0" r="0" b="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Pr="003B4CDA">
        <w:rPr>
          <w:noProof/>
          <w:szCs w:val="20"/>
          <w:lang w:eastAsia="lv-LV"/>
        </w:rPr>
        <w:drawing>
          <wp:inline distT="0" distB="0" distL="0" distR="0" wp14:anchorId="3272C5AB" wp14:editId="2E211D29">
            <wp:extent cx="2880000" cy="2160000"/>
            <wp:effectExtent l="0" t="0" r="0" b="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C87A097" w14:textId="77777777" w:rsidR="00216C3F" w:rsidRPr="00DA1677" w:rsidRDefault="00216C3F" w:rsidP="00216C3F">
      <w:pPr>
        <w:rPr>
          <w:rFonts w:eastAsia="Times New Roman" w:cs="Calibri Light"/>
          <w:bCs/>
          <w:color w:val="000000"/>
          <w:sz w:val="12"/>
          <w:szCs w:val="16"/>
        </w:rPr>
      </w:pPr>
      <w:r w:rsidRPr="00DA1677">
        <w:rPr>
          <w:rFonts w:eastAsia="Times New Roman" w:cs="Calibri Light"/>
          <w:bCs/>
          <w:color w:val="000000"/>
          <w:sz w:val="12"/>
          <w:szCs w:val="16"/>
        </w:rPr>
        <w:t>Avots: CSP</w:t>
      </w:r>
    </w:p>
    <w:p w14:paraId="7A28C1E1" w14:textId="47686963" w:rsidR="00216C3F" w:rsidRPr="003B4CDA" w:rsidRDefault="00DA1677" w:rsidP="00216C3F">
      <w:pPr>
        <w:jc w:val="both"/>
      </w:pPr>
      <w:r>
        <w:br/>
      </w:r>
      <w:r w:rsidR="66518134">
        <w:t xml:space="preserve">Latvija ir noteikusi mērķi līdz 2024. gadam sasniegt, ka profesionālajā vidējā izglītībā mācās vismaz 39% (2027. gadā – 45%) no kopējā vidējā izglītības pakāpē esošo skolēnu skaita. Pēdējos gados profesionālās izglītības audzēkņu skaita īpatsvars nedaudz pieaudzis, 2019./2020. mācību gadā </w:t>
      </w:r>
      <w:bookmarkStart w:id="52" w:name="_Hlk40830688"/>
      <w:r w:rsidR="66518134">
        <w:t xml:space="preserve">visu izglītojamo skaita proporcija profesionālajā vidējā izglītībā </w:t>
      </w:r>
      <w:bookmarkEnd w:id="52"/>
      <w:r w:rsidR="66518134">
        <w:t>sasniedza 37,4%. Nepieciešams turpināt pasākumus profesionālās izglītības pievilcības veicināšanai, tostarp īstenot sabiedrības informēšanas kampaņas, lai kliedētu mītus un mainītu attieksmi pret profesionālo izglītību, tādējādi palielinātu jauniešu interesi par profesijas iegūšanu profesionālās vidējās izglītības iestādēs.</w:t>
      </w:r>
    </w:p>
    <w:p w14:paraId="08A2CCDA" w14:textId="0B9FDD59" w:rsidR="00216C3F" w:rsidRPr="003B4CDA" w:rsidRDefault="00DA1677" w:rsidP="00216C3F">
      <w:pPr>
        <w:jc w:val="both"/>
        <w:rPr>
          <w:b/>
          <w:szCs w:val="20"/>
        </w:rPr>
      </w:pPr>
      <w:r>
        <w:rPr>
          <w:b/>
          <w:szCs w:val="20"/>
        </w:rPr>
        <w:br/>
      </w:r>
      <w:r w:rsidR="00216C3F" w:rsidRPr="003B4CDA">
        <w:rPr>
          <w:b/>
          <w:szCs w:val="20"/>
        </w:rPr>
        <w:t>Izglītības piedāvājuma strukturālās izmaiņas</w:t>
      </w:r>
    </w:p>
    <w:p w14:paraId="68998143" w14:textId="58798CD5" w:rsidR="00216C3F" w:rsidRPr="0069025E" w:rsidRDefault="00216C3F" w:rsidP="00216C3F">
      <w:pPr>
        <w:jc w:val="both"/>
        <w:rPr>
          <w:szCs w:val="20"/>
        </w:rPr>
      </w:pPr>
      <w:r w:rsidRPr="003B4CDA">
        <w:rPr>
          <w:szCs w:val="20"/>
        </w:rPr>
        <w:t xml:space="preserve">Attiecībā uz studējošo īpatsvaru dabas un inženierzinātnēs (dabaszinātņu, matemātikas un informācijas tehnoloģiju tematiskā grupa un inženierzinātņu, ražošanas un būvniecības tematiskā grupa) </w:t>
      </w:r>
      <w:r>
        <w:rPr>
          <w:szCs w:val="20"/>
        </w:rPr>
        <w:t>tika</w:t>
      </w:r>
      <w:r w:rsidRPr="003B4CDA">
        <w:rPr>
          <w:szCs w:val="20"/>
        </w:rPr>
        <w:t xml:space="preserve"> izvirzīts mērķis 2020. gadā sasniegt 27% no kopējā absolventu skaita. Tomēr </w:t>
      </w:r>
      <w:proofErr w:type="spellStart"/>
      <w:r w:rsidRPr="003B4CDA">
        <w:rPr>
          <w:szCs w:val="20"/>
        </w:rPr>
        <w:t>mērķgrupas</w:t>
      </w:r>
      <w:proofErr w:type="spellEnd"/>
      <w:r w:rsidRPr="003B4CDA">
        <w:rPr>
          <w:szCs w:val="20"/>
        </w:rPr>
        <w:t xml:space="preserve"> absolventi 20</w:t>
      </w:r>
      <w:r>
        <w:rPr>
          <w:szCs w:val="20"/>
        </w:rPr>
        <w:t>21</w:t>
      </w:r>
      <w:r w:rsidRPr="003B4CDA">
        <w:rPr>
          <w:szCs w:val="20"/>
        </w:rPr>
        <w:t>. gadā sastādīja vien 1</w:t>
      </w:r>
      <w:r>
        <w:rPr>
          <w:szCs w:val="20"/>
        </w:rPr>
        <w:t>8</w:t>
      </w:r>
      <w:r w:rsidRPr="003B4CDA">
        <w:rPr>
          <w:szCs w:val="20"/>
        </w:rPr>
        <w:t>,</w:t>
      </w:r>
      <w:r>
        <w:rPr>
          <w:szCs w:val="20"/>
        </w:rPr>
        <w:t>6</w:t>
      </w:r>
      <w:r w:rsidRPr="003B4CDA">
        <w:rPr>
          <w:szCs w:val="20"/>
        </w:rPr>
        <w:t>%</w:t>
      </w:r>
      <w:r>
        <w:rPr>
          <w:szCs w:val="20"/>
        </w:rPr>
        <w:t xml:space="preserve"> (2020. gadā – 18,7%)</w:t>
      </w:r>
      <w:r w:rsidRPr="003B4CDA">
        <w:rPr>
          <w:szCs w:val="20"/>
        </w:rPr>
        <w:t xml:space="preserve"> no visiem absolventiem. Pēdējo gadu laikā šis rādītājs nav būtiski mainījies. Mērķa sasniegšanai ir nepieciešams aktīvāk īstenot mērķtiecīgus pasākumus vidējās izglītības absolventu piesaistei šiem studiju virzieniem. Jāatzīmē arī, ka </w:t>
      </w:r>
      <w:r w:rsidR="009D1EF6">
        <w:rPr>
          <w:szCs w:val="20"/>
        </w:rPr>
        <w:t xml:space="preserve">nepietiekamo </w:t>
      </w:r>
      <w:r w:rsidRPr="003B4CDA">
        <w:rPr>
          <w:szCs w:val="20"/>
        </w:rPr>
        <w:t>absolventu skait</w:t>
      </w:r>
      <w:r w:rsidR="009D1EF6">
        <w:rPr>
          <w:szCs w:val="20"/>
        </w:rPr>
        <w:t xml:space="preserve">u </w:t>
      </w:r>
      <w:r w:rsidRPr="003B4CDA">
        <w:rPr>
          <w:szCs w:val="20"/>
        </w:rPr>
        <w:t xml:space="preserve">eksaktajos studiju virzienos būtiski ietekmē arī lielais </w:t>
      </w:r>
      <w:r w:rsidR="009D1EF6">
        <w:rPr>
          <w:szCs w:val="20"/>
        </w:rPr>
        <w:t>studējošo</w:t>
      </w:r>
      <w:r w:rsidR="009D1EF6" w:rsidRPr="0069025E">
        <w:rPr>
          <w:szCs w:val="20"/>
        </w:rPr>
        <w:t xml:space="preserve"> </w:t>
      </w:r>
      <w:r w:rsidRPr="0069025E">
        <w:rPr>
          <w:szCs w:val="20"/>
        </w:rPr>
        <w:t>atbirums</w:t>
      </w:r>
      <w:r w:rsidR="009D1EF6">
        <w:rPr>
          <w:szCs w:val="20"/>
        </w:rPr>
        <w:t xml:space="preserve"> studiju laikā</w:t>
      </w:r>
      <w:r w:rsidRPr="0069025E">
        <w:rPr>
          <w:szCs w:val="20"/>
        </w:rPr>
        <w:t>.</w:t>
      </w:r>
    </w:p>
    <w:p w14:paraId="6400DEC6" w14:textId="49671BBD" w:rsidR="00216C3F" w:rsidRPr="003B4CDA" w:rsidRDefault="66518134" w:rsidP="00216C3F">
      <w:pPr>
        <w:jc w:val="both"/>
      </w:pPr>
      <w:r>
        <w:t xml:space="preserve">Pēdējos gados imatrikulēto studentu skaits samazinās, kas skaidrojams gan ar demogrāfiskiem, gan ekonomiskiem iemesliem. Samazinājumu nekompensē arī ārzemju studentu pieplūdums. </w:t>
      </w:r>
      <w:bookmarkStart w:id="53" w:name="_Hlk40689280"/>
      <w:r>
        <w:t xml:space="preserve">Līdz 2019. gadam salīdzinoši strauji pieauga ārzemju studentu skaits, kas vēlas studēt Latvijā. </w:t>
      </w:r>
      <w:bookmarkEnd w:id="53"/>
      <w:r>
        <w:t xml:space="preserve">Pēdējos trīs </w:t>
      </w:r>
      <w:r w:rsidRPr="000C5669">
        <w:t xml:space="preserve">gados </w:t>
      </w:r>
      <w:r w:rsidR="00977099">
        <w:t xml:space="preserve">ārvalstu </w:t>
      </w:r>
      <w:r w:rsidRPr="000C591A">
        <w:t>studentu skaits</w:t>
      </w:r>
      <w:r>
        <w:t xml:space="preserve"> Latvijā gan nav būtiski mainījies, un 2021. gadā ārzemju studenti veidoja gandrīz 13% no imatrikulēto studentu skaita.</w:t>
      </w:r>
    </w:p>
    <w:p w14:paraId="106F404D" w14:textId="6AADA5D8" w:rsidR="00216C3F" w:rsidRDefault="00216C3F" w:rsidP="00216C3F">
      <w:pPr>
        <w:jc w:val="both"/>
        <w:rPr>
          <w:szCs w:val="20"/>
        </w:rPr>
      </w:pPr>
      <w:r w:rsidRPr="003B4CDA">
        <w:rPr>
          <w:szCs w:val="20"/>
        </w:rPr>
        <w:t>Pasliktinoties ekonomiskajai situācijai 2009. gadā, lielāku nozīmi sāka iegūt iespēja studēt par valsts budžeta līdzekļiem, līdz ar to strauji samazinājās studentu īpatsvars sociālo zinātņu tematiskajā jomā, kur lielāko daļu veido maksas studiju vietas</w:t>
      </w:r>
      <w:r>
        <w:rPr>
          <w:szCs w:val="20"/>
        </w:rPr>
        <w:t>. 2021. gadā uzņemto studentu skaits sociālo zinātņu tematiskajā jomā sastādīja 36,1% no kopējā studentu skaita.</w:t>
      </w:r>
    </w:p>
    <w:p w14:paraId="170292CE" w14:textId="4E1CF366" w:rsidR="00216C3F" w:rsidRPr="003B4CDA" w:rsidRDefault="66518134" w:rsidP="00216C3F">
      <w:pPr>
        <w:jc w:val="both"/>
      </w:pPr>
      <w:r>
        <w:t xml:space="preserve">Vienlaikus kopš 2008. gada ievērojami samazinājies tematiskajā grupā „Izglītība” uzņemto studentu īpatsvars, kas pēdējos gados nav būtiski mainījies. Kopš 2015. gada uzņemto studentu skaits dabaszinātņu, matemātikas, IT kā arī inženierzinātņu, ražošanas un būvniecības izglītības tematiskajās jomās kopumā ir samazinājies. 2021. gadā, salīdzinot ar 2015. gadu, studentu skaits inženierzinātņu, ražošanas un būvniecības tematiskajā jomā samazinājies </w:t>
      </w:r>
      <w:r>
        <w:lastRenderedPageBreak/>
        <w:t>par 16,4% (2015. gadā – 5032 studenti; 2021. gadā – 4209 izglītojamie). Savukārt uzņemto studentu īpatsvars veselības aprūpes un sociālās labklājības tematiskajā grupā sasniedza 16,4% (2015. gadā – 12,9%).</w:t>
      </w:r>
    </w:p>
    <w:p w14:paraId="58C6B197" w14:textId="5845B338" w:rsidR="00216C3F" w:rsidRPr="003B4CDA" w:rsidRDefault="00216C3F" w:rsidP="00216C3F">
      <w:pPr>
        <w:jc w:val="right"/>
        <w:rPr>
          <w:szCs w:val="20"/>
        </w:rPr>
      </w:pPr>
      <w:r w:rsidRPr="003B4CDA">
        <w:rPr>
          <w:szCs w:val="20"/>
        </w:rPr>
        <w:t>2.1</w:t>
      </w:r>
      <w:r w:rsidR="00A8389B">
        <w:rPr>
          <w:szCs w:val="20"/>
        </w:rPr>
        <w:t>8</w:t>
      </w:r>
      <w:r w:rsidRPr="003B4CDA">
        <w:rPr>
          <w:szCs w:val="20"/>
        </w:rPr>
        <w:t>. attēls</w:t>
      </w:r>
    </w:p>
    <w:p w14:paraId="5997D601"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0"/>
        <w:rPr>
          <w:rFonts w:ascii="Segoe UI Light" w:hAnsi="Segoe UI Light"/>
          <w:b/>
          <w:bCs/>
          <w:szCs w:val="24"/>
        </w:rPr>
      </w:pPr>
      <w:r w:rsidRPr="003B4CDA">
        <w:rPr>
          <w:rFonts w:ascii="Segoe UI Light" w:hAnsi="Segoe UI Light"/>
          <w:b/>
          <w:bCs/>
          <w:szCs w:val="24"/>
        </w:rPr>
        <w:t>Studentu skaita sadalījums augstskolās un koledžās pa izglītības tematiskajām grupām akadēmiskajā gadā</w:t>
      </w:r>
    </w:p>
    <w:p w14:paraId="30F9D0A3" w14:textId="79808630" w:rsidR="00216C3F" w:rsidRPr="003B4CDA" w:rsidRDefault="00216C3F" w:rsidP="00DA1677">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4536"/>
          <w:tab w:val="center" w:pos="6804"/>
        </w:tabs>
        <w:suppressAutoHyphens/>
        <w:spacing w:after="120"/>
        <w:jc w:val="left"/>
        <w:rPr>
          <w:rFonts w:ascii="Segoe UI Light" w:hAnsi="Segoe UI Light"/>
          <w:b/>
          <w:bCs/>
          <w:i/>
          <w:sz w:val="16"/>
          <w:szCs w:val="22"/>
        </w:rPr>
      </w:pPr>
      <w:r w:rsidRPr="003B4CDA">
        <w:rPr>
          <w:rFonts w:ascii="Segoe UI Light" w:hAnsi="Segoe UI Light"/>
          <w:bCs/>
          <w:i/>
          <w:sz w:val="16"/>
          <w:szCs w:val="22"/>
        </w:rPr>
        <w:tab/>
        <w:t xml:space="preserve">uzņemto studentu </w:t>
      </w:r>
      <w:r w:rsidR="005F4242">
        <w:rPr>
          <w:rFonts w:ascii="Segoe UI Light" w:hAnsi="Segoe UI Light"/>
          <w:bCs/>
          <w:i/>
          <w:sz w:val="16"/>
          <w:szCs w:val="22"/>
        </w:rPr>
        <w:t>īpatsvars</w:t>
      </w:r>
      <w:r w:rsidRPr="003B4CDA">
        <w:rPr>
          <w:rFonts w:ascii="Segoe UI Light" w:hAnsi="Segoe UI Light"/>
          <w:bCs/>
          <w:i/>
          <w:sz w:val="16"/>
          <w:szCs w:val="22"/>
        </w:rPr>
        <w:t>, procentos</w:t>
      </w:r>
      <w:r w:rsidRPr="003B4CDA">
        <w:rPr>
          <w:rFonts w:ascii="Segoe UI Light" w:hAnsi="Segoe UI Light"/>
          <w:bCs/>
          <w:i/>
          <w:sz w:val="16"/>
          <w:szCs w:val="22"/>
        </w:rPr>
        <w:tab/>
      </w:r>
      <w:r w:rsidRPr="003B4CDA">
        <w:rPr>
          <w:rFonts w:ascii="Segoe UI Light" w:hAnsi="Segoe UI Light"/>
          <w:bCs/>
          <w:i/>
          <w:sz w:val="16"/>
          <w:szCs w:val="22"/>
        </w:rPr>
        <w:tab/>
        <w:t xml:space="preserve">grādu vai kvalifikāciju ieguvušo </w:t>
      </w:r>
      <w:r w:rsidR="005F4242">
        <w:rPr>
          <w:rFonts w:ascii="Segoe UI Light" w:hAnsi="Segoe UI Light"/>
          <w:bCs/>
          <w:i/>
          <w:sz w:val="16"/>
          <w:szCs w:val="22"/>
        </w:rPr>
        <w:t>īpatsvars</w:t>
      </w:r>
      <w:r w:rsidRPr="003B4CDA">
        <w:rPr>
          <w:rFonts w:ascii="Segoe UI Light" w:hAnsi="Segoe UI Light"/>
          <w:bCs/>
          <w:i/>
          <w:sz w:val="16"/>
          <w:szCs w:val="22"/>
        </w:rPr>
        <w:t>, procentos</w:t>
      </w:r>
    </w:p>
    <w:p w14:paraId="7AC5C2BF"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240"/>
        <w:jc w:val="left"/>
        <w:rPr>
          <w:rFonts w:ascii="Arial Narrow" w:hAnsi="Arial Narrow"/>
          <w:b/>
          <w:bCs/>
          <w:sz w:val="20"/>
        </w:rPr>
      </w:pPr>
      <w:r w:rsidRPr="003B4CDA">
        <w:rPr>
          <w:rFonts w:ascii="Arial Narrow" w:hAnsi="Arial Narrow"/>
          <w:noProof/>
          <w:sz w:val="20"/>
          <w:lang w:eastAsia="lv-LV"/>
        </w:rPr>
        <w:drawing>
          <wp:inline distT="0" distB="0" distL="0" distR="0" wp14:anchorId="7C2EA4E5" wp14:editId="2478E7F1">
            <wp:extent cx="2842260" cy="2142000"/>
            <wp:effectExtent l="0" t="0" r="0" b="0"/>
            <wp:docPr id="295"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Pr="003B4CDA">
        <w:rPr>
          <w:rFonts w:ascii="Arial Narrow" w:hAnsi="Arial Narrow"/>
          <w:noProof/>
          <w:sz w:val="20"/>
          <w:lang w:eastAsia="lv-LV"/>
        </w:rPr>
        <w:drawing>
          <wp:inline distT="0" distB="0" distL="0" distR="0" wp14:anchorId="4D66E10A" wp14:editId="7ED42A53">
            <wp:extent cx="2880000" cy="2142000"/>
            <wp:effectExtent l="0" t="0" r="0" b="0"/>
            <wp:docPr id="296"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FCD08CF" w14:textId="77777777" w:rsidR="00216C3F" w:rsidRPr="003B4CDA" w:rsidRDefault="00216C3F" w:rsidP="00624D23">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337"/>
        </w:tabs>
        <w:suppressAutoHyphens/>
        <w:spacing w:after="0"/>
        <w:jc w:val="left"/>
        <w:rPr>
          <w:rFonts w:ascii="Arial Narrow" w:hAnsi="Arial Narrow"/>
          <w:b/>
          <w:bCs/>
          <w:sz w:val="20"/>
        </w:rPr>
      </w:pPr>
      <w:r w:rsidRPr="003B4CDA">
        <w:rPr>
          <w:rFonts w:ascii="Arial Narrow" w:hAnsi="Arial Narrow"/>
          <w:noProof/>
          <w:sz w:val="20"/>
          <w:lang w:eastAsia="lv-LV"/>
        </w:rPr>
        <w:drawing>
          <wp:inline distT="0" distB="0" distL="0" distR="0" wp14:anchorId="2C68AF5C" wp14:editId="24AECFAE">
            <wp:extent cx="5760000" cy="720000"/>
            <wp:effectExtent l="0" t="0" r="0" b="4445"/>
            <wp:docPr id="297"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6D157CC" w14:textId="77777777" w:rsidR="00216C3F" w:rsidRPr="00624D23" w:rsidRDefault="00216C3F" w:rsidP="00DA1677">
      <w:pPr>
        <w:spacing w:line="365" w:lineRule="atLeast"/>
        <w:jc w:val="both"/>
        <w:rPr>
          <w:rFonts w:eastAsia="Times New Roman" w:cs="Calibri Light"/>
          <w:bCs/>
          <w:color w:val="000000"/>
          <w:sz w:val="12"/>
          <w:szCs w:val="16"/>
        </w:rPr>
      </w:pPr>
      <w:r w:rsidRPr="00624D23">
        <w:rPr>
          <w:rFonts w:eastAsia="Times New Roman" w:cs="Calibri Light"/>
          <w:bCs/>
          <w:color w:val="000000"/>
          <w:sz w:val="12"/>
          <w:szCs w:val="16"/>
        </w:rPr>
        <w:t>Avots: CSP</w:t>
      </w:r>
    </w:p>
    <w:p w14:paraId="6901D185" w14:textId="0EFB65C5" w:rsidR="00216C3F" w:rsidRPr="003B4CDA" w:rsidRDefault="00DA1677" w:rsidP="00216C3F">
      <w:pPr>
        <w:jc w:val="both"/>
        <w:rPr>
          <w:b/>
          <w:bCs/>
          <w:szCs w:val="20"/>
        </w:rPr>
      </w:pPr>
      <w:r>
        <w:rPr>
          <w:szCs w:val="20"/>
        </w:rPr>
        <w:br/>
      </w:r>
      <w:r w:rsidR="00216C3F" w:rsidRPr="003B4CDA">
        <w:rPr>
          <w:szCs w:val="20"/>
        </w:rPr>
        <w:t xml:space="preserve">Pozitīvi vērtējams fakts, ka pakāpeniski palielinās dabas zinātņu, matemātikas un informācijas tehnoloģiju tematiskā grupā un veselības aprūpes un sociālās labklājības tematiskā grupā studijas uzsākušo īpatsvars. </w:t>
      </w:r>
      <w:r w:rsidR="00216C3F">
        <w:rPr>
          <w:b/>
          <w:bCs/>
          <w:szCs w:val="20"/>
        </w:rPr>
        <w:t>K</w:t>
      </w:r>
      <w:r w:rsidR="00216C3F" w:rsidRPr="003B4CDA">
        <w:rPr>
          <w:b/>
          <w:bCs/>
          <w:szCs w:val="20"/>
        </w:rPr>
        <w:t>ritums savukārt vērojams inženierzinātņu, ražošanas un būvniecības izglītības tematiskajā jomā.</w:t>
      </w:r>
    </w:p>
    <w:p w14:paraId="05CFD621" w14:textId="77777777" w:rsidR="00216C3F" w:rsidRPr="003B4CDA" w:rsidRDefault="00216C3F" w:rsidP="00216C3F">
      <w:pPr>
        <w:jc w:val="both"/>
        <w:rPr>
          <w:szCs w:val="20"/>
        </w:rPr>
      </w:pPr>
      <w:r w:rsidRPr="003B4CDA">
        <w:rPr>
          <w:szCs w:val="20"/>
        </w:rPr>
        <w:t>Iepriekšējos gados notikušās izmaiņas izglītības politikā atspoguļojas ar laika nobīdi. 2009.</w:t>
      </w:r>
      <w:r>
        <w:rPr>
          <w:szCs w:val="20"/>
        </w:rPr>
        <w:t> </w:t>
      </w:r>
      <w:r w:rsidRPr="003B4CDA">
        <w:rPr>
          <w:szCs w:val="20"/>
        </w:rPr>
        <w:t>gadā notikušās straujās uzņemto studentu struktūras izmaiņas augstskolas absolvējušo struktūrā ir redzamas tikai pēc vairākiem gadiem. Šo gadu laikā vērojams būtisks sociālo zinātņu tematisko grupu absolvējušo īpatsvara sarukums, reaģējot uz izmaiņām uzņemto studentu struktūrā.</w:t>
      </w:r>
    </w:p>
    <w:p w14:paraId="1156584E" w14:textId="77777777" w:rsidR="00216C3F" w:rsidRPr="003B4CDA" w:rsidRDefault="00216C3F" w:rsidP="00216C3F">
      <w:pPr>
        <w:jc w:val="both"/>
        <w:rPr>
          <w:szCs w:val="20"/>
        </w:rPr>
      </w:pPr>
      <w:r w:rsidRPr="003B4CDA">
        <w:rPr>
          <w:szCs w:val="20"/>
        </w:rPr>
        <w:t>Salīdzinoši nelielais absolvējušo skaita īpatsvara pieaugums dabas zinātņu, matemātikas un informācijas tehnoloģiju tematiskajā grupā, kā arī kritums inženierzinātņu, ražošanas un būvniecības tematiskajā grupā skaidrojams ar salīdzinoši lielu studentu atbirumu studiju laikā.</w:t>
      </w:r>
    </w:p>
    <w:p w14:paraId="3886512C" w14:textId="140AF8AD" w:rsidR="00216C3F" w:rsidRPr="000B5263" w:rsidRDefault="00216C3F" w:rsidP="00216C3F">
      <w:pPr>
        <w:jc w:val="both"/>
        <w:rPr>
          <w:szCs w:val="20"/>
        </w:rPr>
      </w:pPr>
      <w:r w:rsidRPr="000B5263">
        <w:rPr>
          <w:szCs w:val="20"/>
        </w:rPr>
        <w:t>Viens no izglītības politikas vidēja termiņa mērķiem ir pārstrukturēt valsts atbalstu augstākās izglītības studiju virzieniem</w:t>
      </w:r>
      <w:r w:rsidRPr="00D86970">
        <w:rPr>
          <w:szCs w:val="20"/>
        </w:rPr>
        <w:t>. 2021.</w:t>
      </w:r>
      <w:r w:rsidR="0087629E">
        <w:rPr>
          <w:szCs w:val="20"/>
        </w:rPr>
        <w:t> </w:t>
      </w:r>
      <w:r w:rsidRPr="00D86970">
        <w:rPr>
          <w:szCs w:val="20"/>
        </w:rPr>
        <w:t xml:space="preserve">gadā uzņemto studentu skaits par budžeta līdzekļiem STEM (dabaszinātnes, matemātikas un informācijas tehnoloģijas, kā arī inženierzinātnes, ražošanas un būvniecības izglītības tematiskās grupas) programmās veidoja </w:t>
      </w:r>
      <w:r>
        <w:rPr>
          <w:szCs w:val="20"/>
        </w:rPr>
        <w:t>41</w:t>
      </w:r>
      <w:r w:rsidRPr="00D86970">
        <w:rPr>
          <w:szCs w:val="20"/>
        </w:rPr>
        <w:t>% no kopējā uzņemto studentu skaita budžeta vietās</w:t>
      </w:r>
      <w:r>
        <w:rPr>
          <w:szCs w:val="20"/>
        </w:rPr>
        <w:t xml:space="preserve"> (2020.</w:t>
      </w:r>
      <w:r w:rsidR="0087629E">
        <w:rPr>
          <w:szCs w:val="20"/>
        </w:rPr>
        <w:t> </w:t>
      </w:r>
      <w:r>
        <w:rPr>
          <w:szCs w:val="20"/>
        </w:rPr>
        <w:t>gada mērķis – 55%</w:t>
      </w:r>
      <w:r>
        <w:rPr>
          <w:rStyle w:val="FootnoteReference"/>
          <w:szCs w:val="20"/>
        </w:rPr>
        <w:footnoteReference w:id="3"/>
      </w:r>
      <w:r>
        <w:rPr>
          <w:szCs w:val="20"/>
        </w:rPr>
        <w:t>)</w:t>
      </w:r>
      <w:r w:rsidRPr="00D86970">
        <w:rPr>
          <w:szCs w:val="20"/>
        </w:rPr>
        <w:t>. Ir</w:t>
      </w:r>
      <w:r w:rsidRPr="000B5263">
        <w:rPr>
          <w:szCs w:val="20"/>
        </w:rPr>
        <w:t xml:space="preserve"> jāturpina īstenot pasākumus vidusskolu absolventu piesaistei valstij nozīmīgiem studiju virzieniem. Vienlaikus būtiski ir mazināt arī studentu atbirumu STEM virzienos, kas joprojām ir ievērojami augstāks nekā citos virzienos.</w:t>
      </w:r>
    </w:p>
    <w:p w14:paraId="1142BD94" w14:textId="77777777" w:rsidR="0087629E" w:rsidRDefault="0087629E">
      <w:pPr>
        <w:spacing w:after="0"/>
        <w:rPr>
          <w:szCs w:val="20"/>
        </w:rPr>
      </w:pPr>
      <w:r>
        <w:rPr>
          <w:szCs w:val="20"/>
        </w:rPr>
        <w:br w:type="page"/>
      </w:r>
    </w:p>
    <w:p w14:paraId="13E4DE9A" w14:textId="4EC872F0" w:rsidR="00216C3F" w:rsidRPr="003B4CDA" w:rsidRDefault="00216C3F" w:rsidP="00216C3F">
      <w:pPr>
        <w:jc w:val="right"/>
        <w:rPr>
          <w:szCs w:val="20"/>
        </w:rPr>
      </w:pPr>
      <w:r w:rsidRPr="003B4CDA">
        <w:rPr>
          <w:szCs w:val="20"/>
        </w:rPr>
        <w:lastRenderedPageBreak/>
        <w:t>2.</w:t>
      </w:r>
      <w:r w:rsidR="00A8389B">
        <w:rPr>
          <w:szCs w:val="20"/>
        </w:rPr>
        <w:t>19</w:t>
      </w:r>
      <w:r w:rsidRPr="003B4CDA">
        <w:rPr>
          <w:szCs w:val="20"/>
        </w:rPr>
        <w:t>. attēls</w:t>
      </w:r>
    </w:p>
    <w:p w14:paraId="4E3C76B6" w14:textId="77777777" w:rsidR="00216C3F" w:rsidRPr="003B4CDA" w:rsidRDefault="00216C3F" w:rsidP="00216C3F">
      <w:pPr>
        <w:spacing w:after="0"/>
        <w:jc w:val="center"/>
        <w:rPr>
          <w:rFonts w:ascii="Segoe UI Light" w:hAnsi="Segoe UI Light"/>
          <w:b/>
          <w:bCs/>
          <w:sz w:val="18"/>
          <w:szCs w:val="28"/>
        </w:rPr>
      </w:pPr>
      <w:r>
        <w:rPr>
          <w:rFonts w:ascii="Segoe UI Light" w:hAnsi="Segoe UI Light"/>
          <w:b/>
          <w:bCs/>
          <w:sz w:val="18"/>
          <w:szCs w:val="28"/>
        </w:rPr>
        <w:t>Augstskolās un koledžās studējošie pēc finansējuma veida</w:t>
      </w:r>
      <w:r w:rsidRPr="003B4CDA">
        <w:rPr>
          <w:rFonts w:ascii="Segoe UI Light" w:hAnsi="Segoe UI Light"/>
          <w:b/>
          <w:bCs/>
          <w:sz w:val="18"/>
          <w:szCs w:val="28"/>
        </w:rPr>
        <w:t xml:space="preserve"> pa izglītības tematiskajām grupām</w:t>
      </w:r>
    </w:p>
    <w:p w14:paraId="00A309E0" w14:textId="566AC67E" w:rsidR="00216C3F" w:rsidRPr="003B4CDA" w:rsidRDefault="00216C3F" w:rsidP="00DA1677">
      <w:pPr>
        <w:tabs>
          <w:tab w:val="center" w:pos="4253"/>
          <w:tab w:val="center" w:pos="7655"/>
        </w:tabs>
        <w:spacing w:after="0"/>
        <w:rPr>
          <w:rFonts w:ascii="Segoe UI Light" w:hAnsi="Segoe UI Light"/>
          <w:i/>
          <w:sz w:val="16"/>
        </w:rPr>
      </w:pPr>
      <w:r w:rsidRPr="003B4CDA">
        <w:rPr>
          <w:rFonts w:ascii="Segoe UI Light" w:hAnsi="Segoe UI Light"/>
          <w:bCs/>
          <w:i/>
          <w:sz w:val="16"/>
          <w:szCs w:val="28"/>
        </w:rPr>
        <w:tab/>
      </w:r>
      <w:r>
        <w:rPr>
          <w:rFonts w:ascii="Segoe UI Light" w:hAnsi="Segoe UI Light"/>
          <w:bCs/>
          <w:i/>
          <w:sz w:val="16"/>
          <w:szCs w:val="28"/>
        </w:rPr>
        <w:t>Studentu skaits,</w:t>
      </w:r>
      <w:r w:rsidRPr="003B4CDA">
        <w:rPr>
          <w:rFonts w:ascii="Segoe UI Light" w:hAnsi="Segoe UI Light"/>
          <w:bCs/>
          <w:i/>
          <w:sz w:val="16"/>
          <w:szCs w:val="28"/>
        </w:rPr>
        <w:tab/>
        <w:t>Atskaitītie studenti</w:t>
      </w:r>
      <w:r w:rsidRPr="003B4CDA">
        <w:rPr>
          <w:rFonts w:ascii="Segoe UI Light" w:hAnsi="Segoe UI Light"/>
          <w:bCs/>
          <w:i/>
          <w:sz w:val="16"/>
          <w:szCs w:val="28"/>
        </w:rPr>
        <w:br/>
      </w:r>
      <w:r w:rsidRPr="003B4CDA">
        <w:rPr>
          <w:rFonts w:ascii="Segoe UI Light" w:hAnsi="Segoe UI Light"/>
          <w:bCs/>
          <w:i/>
          <w:sz w:val="16"/>
        </w:rPr>
        <w:tab/>
        <w:t>20</w:t>
      </w:r>
      <w:r>
        <w:rPr>
          <w:rFonts w:ascii="Segoe UI Light" w:hAnsi="Segoe UI Light"/>
          <w:bCs/>
          <w:i/>
          <w:sz w:val="16"/>
        </w:rPr>
        <w:t>21</w:t>
      </w:r>
      <w:r w:rsidRPr="003B4CDA">
        <w:rPr>
          <w:rFonts w:ascii="Segoe UI Light" w:hAnsi="Segoe UI Light"/>
          <w:bCs/>
          <w:i/>
          <w:sz w:val="16"/>
        </w:rPr>
        <w:t>. gads, tūkstošos</w:t>
      </w:r>
      <w:r w:rsidRPr="003B4CDA">
        <w:rPr>
          <w:rFonts w:ascii="Segoe UI Light" w:hAnsi="Segoe UI Light"/>
          <w:bCs/>
          <w:i/>
          <w:sz w:val="16"/>
        </w:rPr>
        <w:tab/>
        <w:t>2018. gads,</w:t>
      </w:r>
      <w:r w:rsidR="00DA1677">
        <w:rPr>
          <w:rFonts w:ascii="Segoe UI Light" w:hAnsi="Segoe UI Light"/>
          <w:bCs/>
          <w:i/>
          <w:sz w:val="16"/>
        </w:rPr>
        <w:t xml:space="preserve"> </w:t>
      </w:r>
      <w:r w:rsidRPr="003B4CDA">
        <w:rPr>
          <w:rFonts w:ascii="Segoe UI Light" w:hAnsi="Segoe UI Light"/>
          <w:bCs/>
          <w:i/>
          <w:sz w:val="16"/>
        </w:rPr>
        <w:t>% no izglītības tematiskajā</w:t>
      </w:r>
      <w:r w:rsidRPr="003B4CDA">
        <w:rPr>
          <w:rFonts w:ascii="Segoe UI Light" w:hAnsi="Segoe UI Light"/>
          <w:bCs/>
          <w:i/>
          <w:sz w:val="16"/>
        </w:rPr>
        <w:br/>
      </w:r>
      <w:r w:rsidRPr="003B4CDA">
        <w:rPr>
          <w:rFonts w:ascii="Segoe UI Light" w:hAnsi="Segoe UI Light"/>
          <w:bCs/>
          <w:i/>
          <w:sz w:val="16"/>
        </w:rPr>
        <w:tab/>
      </w:r>
      <w:r w:rsidRPr="003B4CDA">
        <w:rPr>
          <w:rFonts w:ascii="Segoe UI Light" w:hAnsi="Segoe UI Light"/>
          <w:bCs/>
          <w:i/>
          <w:sz w:val="16"/>
        </w:rPr>
        <w:tab/>
        <w:t>grupā studējošo skaita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16C3F" w:rsidRPr="003B4CDA" w14:paraId="6BD297DA" w14:textId="77777777" w:rsidTr="00D209BD">
        <w:tc>
          <w:tcPr>
            <w:tcW w:w="9639" w:type="dxa"/>
          </w:tcPr>
          <w:p w14:paraId="09BE7D1E" w14:textId="77777777" w:rsidR="00216C3F" w:rsidRPr="003B4CDA" w:rsidRDefault="00216C3F" w:rsidP="00216C3F">
            <w:pPr>
              <w:spacing w:after="0"/>
              <w:ind w:left="-394"/>
              <w:jc w:val="both"/>
              <w:rPr>
                <w:rFonts w:ascii="Segoe UI Light" w:hAnsi="Segoe UI Light"/>
                <w:sz w:val="16"/>
                <w:szCs w:val="16"/>
              </w:rPr>
            </w:pPr>
            <w:r w:rsidRPr="003B4CDA">
              <w:rPr>
                <w:rFonts w:ascii="Segoe UI Light" w:hAnsi="Segoe UI Light"/>
                <w:noProof/>
                <w:sz w:val="16"/>
                <w:szCs w:val="16"/>
                <w:lang w:eastAsia="lv-LV"/>
              </w:rPr>
              <w:drawing>
                <wp:inline distT="0" distB="0" distL="0" distR="0" wp14:anchorId="1D9D1992" wp14:editId="7A1C27D2">
                  <wp:extent cx="4023360" cy="2159635"/>
                  <wp:effectExtent l="0" t="0" r="0" b="0"/>
                  <wp:docPr id="298"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3B4CDA">
              <w:rPr>
                <w:rFonts w:ascii="Segoe UI Light" w:hAnsi="Segoe UI Light"/>
                <w:sz w:val="16"/>
                <w:szCs w:val="16"/>
              </w:rPr>
              <w:t xml:space="preserve">   </w:t>
            </w:r>
            <w:r w:rsidRPr="003B4CDA">
              <w:rPr>
                <w:rFonts w:ascii="Segoe UI Light" w:hAnsi="Segoe UI Light"/>
                <w:noProof/>
                <w:sz w:val="16"/>
                <w:szCs w:val="16"/>
                <w:lang w:eastAsia="lv-LV"/>
              </w:rPr>
              <w:drawing>
                <wp:inline distT="0" distB="0" distL="0" distR="0" wp14:anchorId="7C9B316E" wp14:editId="319CA1D8">
                  <wp:extent cx="1896745" cy="2159635"/>
                  <wp:effectExtent l="0" t="0" r="8255" b="0"/>
                  <wp:docPr id="335"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r>
    </w:tbl>
    <w:p w14:paraId="09187521" w14:textId="77777777" w:rsidR="00216C3F" w:rsidRPr="00624D23" w:rsidRDefault="00216C3F" w:rsidP="00DA1677">
      <w:pPr>
        <w:spacing w:line="365" w:lineRule="atLeast"/>
        <w:jc w:val="both"/>
        <w:rPr>
          <w:rFonts w:eastAsia="Times New Roman" w:cs="Calibri Light"/>
          <w:bCs/>
          <w:color w:val="000000"/>
          <w:sz w:val="12"/>
          <w:szCs w:val="16"/>
        </w:rPr>
      </w:pPr>
      <w:r w:rsidRPr="00624D23">
        <w:rPr>
          <w:rFonts w:eastAsia="Times New Roman" w:cs="Calibri Light"/>
          <w:bCs/>
          <w:color w:val="000000"/>
          <w:sz w:val="12"/>
          <w:szCs w:val="16"/>
        </w:rPr>
        <w:t>Avots: CSP</w:t>
      </w:r>
    </w:p>
    <w:p w14:paraId="0F0758F9" w14:textId="2530A1B2" w:rsidR="00216C3F" w:rsidRPr="003B4CDA" w:rsidRDefault="00DA1677" w:rsidP="00216C3F">
      <w:pPr>
        <w:jc w:val="both"/>
      </w:pPr>
      <w:r>
        <w:br/>
      </w:r>
      <w:r w:rsidR="66518134">
        <w:t>Jāatzīmē, ka joprojām būtiska nozīme jauniešu izvēlei par labu studijām STEM jomās ir valsts atbalsts un budžeta vietu pieejamība. Uzņemto studentu īpatsvars par budžeta līdzekļiem inženierzinātnes, ražošanas un būvniecības izglītības tematiskajā jomā 2021. gadā veidoja aptuveni 75% no visiem uzņemtajiem studentiem attiecīgajās programmās. Tāpat augsts uzņemto studentu īpatsvars valsts finansētās studiju vietās vērojams dabaszinātnes, matemātikas un informācijas tehnoloģijas tematiskajās jomās – 62% no visiem studējošajiem uzņemti studijās par valsts budžeta līdzekļiem.</w:t>
      </w:r>
    </w:p>
    <w:p w14:paraId="27ECF3B1" w14:textId="77777777" w:rsidR="00216C3F" w:rsidRPr="003B4CDA" w:rsidRDefault="00216C3F" w:rsidP="00216C3F">
      <w:pPr>
        <w:jc w:val="both"/>
        <w:rPr>
          <w:szCs w:val="20"/>
        </w:rPr>
      </w:pPr>
      <w:r w:rsidRPr="003B4CDA">
        <w:rPr>
          <w:szCs w:val="20"/>
        </w:rPr>
        <w:t>Lai gan pēdējo gadu laikā proporcionāli palielinās to jauniešu īpatsvars, kas studē par budžeta līdzekļiem, tomēr joprojām lielākā daļa studijas uzsāk par saviem līdzekļiem. 20</w:t>
      </w:r>
      <w:r>
        <w:rPr>
          <w:szCs w:val="20"/>
        </w:rPr>
        <w:t>21</w:t>
      </w:r>
      <w:r w:rsidRPr="003B4CDA">
        <w:rPr>
          <w:szCs w:val="20"/>
        </w:rPr>
        <w:t>. gadā aptuveni 4</w:t>
      </w:r>
      <w:r>
        <w:rPr>
          <w:szCs w:val="20"/>
        </w:rPr>
        <w:t>3</w:t>
      </w:r>
      <w:r w:rsidRPr="003B4CDA">
        <w:rPr>
          <w:szCs w:val="20"/>
        </w:rPr>
        <w:t>% no kopējā studijas uzsākušo skaita studijas sāka par budžeta līdzekļiem.</w:t>
      </w:r>
    </w:p>
    <w:p w14:paraId="484D9FB9" w14:textId="22C55169" w:rsidR="00216C3F" w:rsidRPr="003B4CDA" w:rsidRDefault="00216C3F" w:rsidP="00216C3F">
      <w:pPr>
        <w:jc w:val="right"/>
        <w:rPr>
          <w:szCs w:val="20"/>
        </w:rPr>
      </w:pPr>
      <w:r w:rsidRPr="003B4CDA">
        <w:rPr>
          <w:szCs w:val="20"/>
        </w:rPr>
        <w:t>2.2</w:t>
      </w:r>
      <w:r w:rsidR="00A8389B">
        <w:rPr>
          <w:szCs w:val="20"/>
        </w:rPr>
        <w:t>0</w:t>
      </w:r>
      <w:r w:rsidRPr="003B4CDA">
        <w:rPr>
          <w:szCs w:val="20"/>
        </w:rPr>
        <w:t>. attēls</w:t>
      </w:r>
    </w:p>
    <w:p w14:paraId="64F54E8D"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0"/>
        <w:rPr>
          <w:rFonts w:ascii="Segoe UI Light" w:hAnsi="Segoe UI Light"/>
          <w:b/>
          <w:bCs/>
          <w:szCs w:val="26"/>
        </w:rPr>
      </w:pPr>
      <w:r w:rsidRPr="003B4CDA">
        <w:rPr>
          <w:rFonts w:ascii="Segoe UI Light" w:hAnsi="Segoe UI Light"/>
          <w:b/>
          <w:bCs/>
          <w:szCs w:val="26"/>
        </w:rPr>
        <w:t>Audzēkņu skaita sadalījums profesionālās izglītības iestādēs pa izglītības tematiskām grupām</w:t>
      </w:r>
    </w:p>
    <w:p w14:paraId="31D368F7"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center" w:pos="2268"/>
          <w:tab w:val="center" w:pos="6804"/>
        </w:tabs>
        <w:suppressAutoHyphens/>
        <w:spacing w:after="240"/>
        <w:jc w:val="left"/>
        <w:rPr>
          <w:rFonts w:ascii="Segoe UI Light" w:hAnsi="Segoe UI Light"/>
          <w:b/>
          <w:bCs/>
          <w:i/>
          <w:sz w:val="16"/>
          <w:szCs w:val="22"/>
        </w:rPr>
      </w:pPr>
      <w:r w:rsidRPr="003B4CDA">
        <w:rPr>
          <w:rFonts w:ascii="Segoe UI Light" w:hAnsi="Segoe UI Light"/>
          <w:bCs/>
          <w:i/>
          <w:sz w:val="16"/>
          <w:szCs w:val="22"/>
        </w:rPr>
        <w:tab/>
        <w:t>uzņemto audzēkņu skaits, procentos</w:t>
      </w:r>
      <w:r w:rsidRPr="003B4CDA">
        <w:rPr>
          <w:rFonts w:ascii="Segoe UI Light" w:hAnsi="Segoe UI Light"/>
          <w:b/>
          <w:bCs/>
          <w:i/>
          <w:sz w:val="16"/>
          <w:szCs w:val="22"/>
        </w:rPr>
        <w:tab/>
      </w:r>
      <w:r w:rsidRPr="003B4CDA">
        <w:rPr>
          <w:rFonts w:ascii="Segoe UI Light" w:hAnsi="Segoe UI Light"/>
          <w:bCs/>
          <w:i/>
          <w:sz w:val="16"/>
          <w:szCs w:val="22"/>
        </w:rPr>
        <w:t>kvalifikāciju ieguvušo skaits, procentos</w:t>
      </w:r>
    </w:p>
    <w:p w14:paraId="166E9B3B"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0"/>
        <w:jc w:val="left"/>
        <w:rPr>
          <w:rFonts w:asciiTheme="minorHAnsi" w:hAnsiTheme="minorHAnsi"/>
          <w:bCs/>
          <w:sz w:val="20"/>
        </w:rPr>
      </w:pPr>
      <w:r w:rsidRPr="003B4CDA">
        <w:rPr>
          <w:rFonts w:asciiTheme="minorHAnsi" w:hAnsiTheme="minorHAnsi"/>
          <w:noProof/>
          <w:sz w:val="20"/>
          <w:lang w:eastAsia="lv-LV"/>
        </w:rPr>
        <w:drawing>
          <wp:inline distT="0" distB="0" distL="0" distR="0" wp14:anchorId="4D659FEF" wp14:editId="4EB57EF9">
            <wp:extent cx="2880000" cy="1800000"/>
            <wp:effectExtent l="0" t="0" r="0" b="0"/>
            <wp:docPr id="299"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Pr="003B4CDA">
        <w:rPr>
          <w:rFonts w:asciiTheme="minorHAnsi" w:hAnsiTheme="minorHAnsi"/>
          <w:noProof/>
          <w:sz w:val="20"/>
          <w:lang w:eastAsia="lv-LV"/>
        </w:rPr>
        <w:drawing>
          <wp:inline distT="0" distB="0" distL="0" distR="0" wp14:anchorId="23D4E68F" wp14:editId="399DB618">
            <wp:extent cx="2880000" cy="1800000"/>
            <wp:effectExtent l="0" t="0" r="0" b="0"/>
            <wp:docPr id="300"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C45F58F" w14:textId="77777777" w:rsidR="00216C3F" w:rsidRPr="003B4CDA" w:rsidRDefault="00216C3F" w:rsidP="00216C3F">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 w:val="left" w:pos="3237"/>
        </w:tabs>
        <w:suppressAutoHyphens/>
        <w:spacing w:after="0"/>
        <w:jc w:val="left"/>
        <w:rPr>
          <w:rFonts w:asciiTheme="minorHAnsi" w:hAnsiTheme="minorHAnsi"/>
          <w:bCs/>
          <w:sz w:val="20"/>
        </w:rPr>
      </w:pPr>
      <w:r w:rsidRPr="003B4CDA">
        <w:rPr>
          <w:rFonts w:asciiTheme="minorHAnsi" w:hAnsiTheme="minorHAnsi"/>
          <w:noProof/>
          <w:sz w:val="20"/>
          <w:lang w:eastAsia="lv-LV"/>
        </w:rPr>
        <w:drawing>
          <wp:inline distT="0" distB="0" distL="0" distR="0" wp14:anchorId="725F8EC2" wp14:editId="56F492B9">
            <wp:extent cx="5760000" cy="720000"/>
            <wp:effectExtent l="0" t="0" r="0" b="4445"/>
            <wp:docPr id="301"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2EA4199" w14:textId="77777777" w:rsidR="00216C3F" w:rsidRPr="00624D23" w:rsidRDefault="00216C3F" w:rsidP="00216C3F">
      <w:pPr>
        <w:spacing w:after="0" w:line="365" w:lineRule="atLeast"/>
        <w:jc w:val="both"/>
        <w:rPr>
          <w:rFonts w:eastAsia="Times New Roman" w:cs="Calibri Light"/>
          <w:bCs/>
          <w:color w:val="000000"/>
          <w:sz w:val="12"/>
          <w:szCs w:val="16"/>
        </w:rPr>
      </w:pPr>
      <w:r w:rsidRPr="00624D23">
        <w:rPr>
          <w:rFonts w:eastAsia="Times New Roman" w:cs="Calibri Light"/>
          <w:bCs/>
          <w:color w:val="000000"/>
          <w:sz w:val="12"/>
          <w:szCs w:val="16"/>
        </w:rPr>
        <w:t>Avots: CSP</w:t>
      </w:r>
    </w:p>
    <w:p w14:paraId="3FE34B78" w14:textId="77777777" w:rsidR="00216C3F" w:rsidRPr="003B4CDA" w:rsidRDefault="00216C3F" w:rsidP="00216C3F">
      <w:pPr>
        <w:jc w:val="both"/>
        <w:rPr>
          <w:rFonts w:ascii="Segoe UI Light" w:eastAsia="Times New Roman" w:hAnsi="Segoe UI Light"/>
          <w:bCs/>
          <w:color w:val="000000"/>
          <w:sz w:val="16"/>
          <w:szCs w:val="20"/>
        </w:rPr>
      </w:pPr>
    </w:p>
    <w:p w14:paraId="0DD31FFA" w14:textId="117ADEF5" w:rsidR="00216C3F" w:rsidRPr="003B4CDA" w:rsidRDefault="00216C3F" w:rsidP="00216C3F">
      <w:pPr>
        <w:jc w:val="both"/>
        <w:rPr>
          <w:szCs w:val="20"/>
        </w:rPr>
      </w:pPr>
      <w:r w:rsidRPr="003B4CDA">
        <w:rPr>
          <w:szCs w:val="20"/>
        </w:rPr>
        <w:lastRenderedPageBreak/>
        <w:t xml:space="preserve">Profesionālās vidējās izglītības iestādēs </w:t>
      </w:r>
      <w:r>
        <w:rPr>
          <w:szCs w:val="20"/>
        </w:rPr>
        <w:t>jaunieši</w:t>
      </w:r>
      <w:r w:rsidRPr="003B4CDA">
        <w:rPr>
          <w:szCs w:val="20"/>
        </w:rPr>
        <w:t xml:space="preserve"> visvairāk izvēlas mācīties inženierzinātņu, ražošanas un būvniecības tematiskajā grupā (20</w:t>
      </w:r>
      <w:r>
        <w:rPr>
          <w:szCs w:val="20"/>
        </w:rPr>
        <w:t>21.</w:t>
      </w:r>
      <w:r w:rsidRPr="003B4CDA">
        <w:rPr>
          <w:szCs w:val="20"/>
        </w:rPr>
        <w:t xml:space="preserve"> gadā 33% no kopējā studentu skaita). Šī grupa skaitliski ir vislielākā, tomēr kopš 2008. gada tās īpatsvars ir samazinājies. </w:t>
      </w:r>
      <w:r>
        <w:rPr>
          <w:szCs w:val="20"/>
        </w:rPr>
        <w:t>Kopš 2018. gada būtiski ir samazinājies izglītības tematiskās grupas “pakalpojumi” uzņemto audzēkņu skaita īpatsvars (2018. gadā – 27% no uzņemto audzēkņu skaita; 2021. gadā –20%)</w:t>
      </w:r>
      <w:r w:rsidRPr="003B4CDA">
        <w:rPr>
          <w:szCs w:val="20"/>
        </w:rPr>
        <w:t>.</w:t>
      </w:r>
      <w:r>
        <w:rPr>
          <w:szCs w:val="20"/>
        </w:rPr>
        <w:t xml:space="preserve"> Vienlaikus šajā periodā ir pieaudzis studentu īpatsvars lauksaimniecības izglītības tematiskajā grupā (2021. gadā, salīdzinot ar 2018.</w:t>
      </w:r>
      <w:r w:rsidR="00C63179">
        <w:rPr>
          <w:szCs w:val="20"/>
        </w:rPr>
        <w:t> </w:t>
      </w:r>
      <w:r>
        <w:rPr>
          <w:szCs w:val="20"/>
        </w:rPr>
        <w:t>gadu, par 4 procentpunktiem).</w:t>
      </w:r>
    </w:p>
    <w:p w14:paraId="777E6414" w14:textId="6C6E9948" w:rsidR="00216C3F" w:rsidRPr="003B4CDA" w:rsidRDefault="00DC29DB" w:rsidP="00216C3F">
      <w:pPr>
        <w:jc w:val="both"/>
        <w:rPr>
          <w:b/>
          <w:szCs w:val="20"/>
        </w:rPr>
      </w:pPr>
      <w:r>
        <w:rPr>
          <w:b/>
          <w:szCs w:val="20"/>
        </w:rPr>
        <w:br/>
      </w:r>
      <w:r w:rsidR="00216C3F" w:rsidRPr="003B4CDA">
        <w:rPr>
          <w:b/>
          <w:szCs w:val="20"/>
        </w:rPr>
        <w:t>Pieaugušo izglītība</w:t>
      </w:r>
    </w:p>
    <w:p w14:paraId="0AA89913" w14:textId="01BBD12E" w:rsidR="00216C3F" w:rsidRPr="003B4CDA" w:rsidRDefault="093F2CED" w:rsidP="00DC29DB">
      <w:pPr>
        <w:jc w:val="both"/>
      </w:pPr>
      <w:r>
        <w:t>2021.</w:t>
      </w:r>
      <w:r w:rsidR="2B9E43B9">
        <w:t> </w:t>
      </w:r>
      <w:r>
        <w:t>gadā 8,6% Latvijas iedzīvotāju vecumā no 25 līdz 64 gadiem bija iesaistīti pieaugušo izglītības aktivitātēs, kamēr Ziemeļvalstīs šis rādītājs bija trīs un pat četras reizes augstāks. Lai arī pēdējā gada laikā pieaugušo dalība izglītības procesā ir pieaugusi (par 2,0 procentpunktiem, salīdzinot ar 2020.</w:t>
      </w:r>
      <w:r w:rsidR="2B9E43B9">
        <w:t> </w:t>
      </w:r>
      <w:r>
        <w:t>gadu), tā saglabājās zem ES vidējā līmeņa. Jāatzīmē, ka pēdējo 10 gadu laikā iedzīvotāju iesaiste pieaugušo izglītībā Latvijā nav būtiski mainījusies, un 2020.</w:t>
      </w:r>
      <w:r w:rsidR="2B9E43B9">
        <w:t> </w:t>
      </w:r>
      <w:r>
        <w:t>gadam definēto mērķi palielināt pieaugušo iesaisti mūžizglītībā līdz 15% neizdevās sasniegt. Politikas mērķis paredz līdz 2027.</w:t>
      </w:r>
      <w:r w:rsidR="2B9E43B9">
        <w:t> </w:t>
      </w:r>
      <w:r>
        <w:t>gadam sasniegt vismaz 12% (līdz 2024.</w:t>
      </w:r>
      <w:r w:rsidR="2B9E43B9">
        <w:t> </w:t>
      </w:r>
      <w:r>
        <w:t xml:space="preserve">gadam </w:t>
      </w:r>
      <w:r w:rsidR="2B9E43B9">
        <w:t xml:space="preserve">– </w:t>
      </w:r>
      <w:r>
        <w:t>8%) pieaugušo iedzīvotāju iesaisti pieaugušo izglītībā.</w:t>
      </w:r>
    </w:p>
    <w:p w14:paraId="01051505" w14:textId="1AD11634" w:rsidR="00216C3F" w:rsidRPr="003B4CDA" w:rsidRDefault="00216C3F" w:rsidP="00DC29DB">
      <w:pPr>
        <w:tabs>
          <w:tab w:val="left" w:pos="816"/>
          <w:tab w:val="right" w:pos="9072"/>
        </w:tabs>
        <w:jc w:val="right"/>
        <w:rPr>
          <w:szCs w:val="20"/>
        </w:rPr>
      </w:pPr>
      <w:bookmarkStart w:id="54" w:name="_Hlk103939026"/>
      <w:r w:rsidRPr="003B4CDA">
        <w:rPr>
          <w:szCs w:val="20"/>
        </w:rPr>
        <w:t>2.2</w:t>
      </w:r>
      <w:r w:rsidR="00A8389B">
        <w:rPr>
          <w:szCs w:val="20"/>
        </w:rPr>
        <w:t>1</w:t>
      </w:r>
      <w:r w:rsidRPr="003B4CDA">
        <w:rPr>
          <w:szCs w:val="20"/>
        </w:rPr>
        <w:t>. attēls</w:t>
      </w:r>
    </w:p>
    <w:p w14:paraId="3B040D40" w14:textId="3BE78FBB" w:rsidR="00216C3F" w:rsidRPr="003B4CDA" w:rsidRDefault="00216C3F" w:rsidP="00DC29DB">
      <w:pPr>
        <w:spacing w:after="120"/>
        <w:jc w:val="center"/>
        <w:rPr>
          <w:rFonts w:ascii="Segoe UI Light" w:hAnsi="Segoe UI Light"/>
          <w:i/>
          <w:iCs/>
          <w:sz w:val="16"/>
          <w:szCs w:val="16"/>
        </w:rPr>
      </w:pPr>
      <w:r w:rsidRPr="69EB23FD">
        <w:rPr>
          <w:rFonts w:ascii="Segoe UI Light" w:hAnsi="Segoe UI Light"/>
          <w:b/>
          <w:bCs/>
          <w:sz w:val="18"/>
          <w:szCs w:val="18"/>
        </w:rPr>
        <w:t xml:space="preserve">Iedzīvotāju līdzdalība pieaugušo izglītībā* </w:t>
      </w:r>
      <w:r>
        <w:br/>
      </w:r>
      <w:r w:rsidRPr="69EB23FD">
        <w:rPr>
          <w:rFonts w:ascii="Segoe UI Light" w:hAnsi="Segoe UI Light"/>
          <w:i/>
          <w:iCs/>
          <w:sz w:val="16"/>
          <w:szCs w:val="16"/>
        </w:rPr>
        <w:t>vecuma grupā 25-64 gadi, procentos</w:t>
      </w:r>
    </w:p>
    <w:p w14:paraId="6F5FB998" w14:textId="77777777" w:rsidR="002A5115" w:rsidRPr="003B4CDA" w:rsidRDefault="002A5115" w:rsidP="002A5115">
      <w:pPr>
        <w:spacing w:after="0"/>
        <w:ind w:right="-766"/>
        <w:jc w:val="center"/>
      </w:pPr>
      <w:r w:rsidRPr="003B4CDA">
        <w:rPr>
          <w:rFonts w:cs="Segoe UI"/>
          <w:noProof/>
          <w:szCs w:val="20"/>
          <w:lang w:eastAsia="lv-LV"/>
        </w:rPr>
        <w:drawing>
          <wp:inline distT="0" distB="0" distL="0" distR="0" wp14:anchorId="465FE199" wp14:editId="0120D42D">
            <wp:extent cx="5760000" cy="2160000"/>
            <wp:effectExtent l="0" t="0" r="0" b="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bookmarkEnd w:id="54"/>
    <w:p w14:paraId="4C1E0480" w14:textId="22E77E3F" w:rsidR="00216C3F" w:rsidRPr="00DC29DB" w:rsidRDefault="00216C3F" w:rsidP="00DC29DB">
      <w:pPr>
        <w:spacing w:before="120"/>
        <w:rPr>
          <w:sz w:val="12"/>
          <w:szCs w:val="12"/>
        </w:rPr>
      </w:pPr>
      <w:r w:rsidRPr="00DC29DB">
        <w:rPr>
          <w:sz w:val="12"/>
          <w:szCs w:val="12"/>
        </w:rPr>
        <w:t xml:space="preserve">Avots: </w:t>
      </w:r>
      <w:proofErr w:type="spellStart"/>
      <w:r w:rsidRPr="00DC29DB">
        <w:rPr>
          <w:i/>
          <w:sz w:val="12"/>
          <w:szCs w:val="12"/>
        </w:rPr>
        <w:t>Eurostat</w:t>
      </w:r>
      <w:proofErr w:type="spellEnd"/>
      <w:r w:rsidR="00C358BF" w:rsidRPr="00DC29DB">
        <w:rPr>
          <w:i/>
          <w:sz w:val="12"/>
          <w:szCs w:val="12"/>
        </w:rPr>
        <w:t xml:space="preserve"> (EU </w:t>
      </w:r>
      <w:r w:rsidR="00C358BF" w:rsidRPr="00DC29DB">
        <w:rPr>
          <w:i/>
          <w:sz w:val="12"/>
          <w:szCs w:val="12"/>
          <w:lang w:val="en-GB"/>
        </w:rPr>
        <w:t>Labour force survey</w:t>
      </w:r>
      <w:r w:rsidR="00C358BF" w:rsidRPr="00DC29DB">
        <w:rPr>
          <w:i/>
          <w:sz w:val="12"/>
          <w:szCs w:val="12"/>
        </w:rPr>
        <w:t>)</w:t>
      </w:r>
      <w:r w:rsidR="00DC29DB" w:rsidRPr="00DC29DB">
        <w:rPr>
          <w:i/>
          <w:sz w:val="12"/>
          <w:szCs w:val="12"/>
        </w:rPr>
        <w:br/>
      </w:r>
      <w:r w:rsidR="00DC29DB" w:rsidRPr="00DC29DB">
        <w:rPr>
          <w:sz w:val="12"/>
          <w:szCs w:val="12"/>
        </w:rPr>
        <w:t xml:space="preserve">* Četru nedēļu laikā pirms </w:t>
      </w:r>
      <w:proofErr w:type="spellStart"/>
      <w:r w:rsidR="00DC29DB" w:rsidRPr="00DC29DB">
        <w:rPr>
          <w:sz w:val="12"/>
          <w:szCs w:val="12"/>
        </w:rPr>
        <w:t>apsekojuma</w:t>
      </w:r>
      <w:proofErr w:type="spellEnd"/>
    </w:p>
    <w:p w14:paraId="38133042" w14:textId="25E2FF1F" w:rsidR="00216C3F" w:rsidRPr="003B4CDA" w:rsidRDefault="00DC29DB" w:rsidP="00216C3F">
      <w:pPr>
        <w:jc w:val="both"/>
      </w:pPr>
      <w:r>
        <w:br/>
      </w:r>
      <w:r w:rsidR="00216C3F">
        <w:t>Zemai iesaiste par pamatu ir vairāki iemesli un fundamentālas problēmas visās trīs pieaugušo izglītības procesā iesaistītajās pusēs</w:t>
      </w:r>
      <w:r w:rsidR="4E953595">
        <w:t xml:space="preserve"> - darba devēji, darba ņēmēji un izglītības pakalpojumu sniedzēji.</w:t>
      </w:r>
      <w:r w:rsidR="00216C3F">
        <w:t xml:space="preserve"> Sabiedrībā kopumā joprojām par pieaugušo izglītību ir zema interese. </w:t>
      </w:r>
      <w:r w:rsidR="4E953595">
        <w:t xml:space="preserve">Arī zemais atalgojums virknē profesiju un nozaru ir viens no būtiskiem </w:t>
      </w:r>
      <w:proofErr w:type="spellStart"/>
      <w:r w:rsidR="4E953595">
        <w:t>šķēšļiem</w:t>
      </w:r>
      <w:proofErr w:type="spellEnd"/>
      <w:r w:rsidR="4E953595">
        <w:t xml:space="preserve"> personu iesaistei ilgākos apmācības kursos. Iedzīvotāji pārsvarā</w:t>
      </w:r>
      <w:r w:rsidR="00216C3F">
        <w:t xml:space="preserve"> </w:t>
      </w:r>
      <w:r w:rsidR="4E953595">
        <w:t>sagaida kursus</w:t>
      </w:r>
      <w:r w:rsidR="00216C3F">
        <w:t xml:space="preserve"> un programmas individuālo kompetenču celšanai</w:t>
      </w:r>
      <w:r w:rsidR="4E953595">
        <w:t>,</w:t>
      </w:r>
      <w:r w:rsidR="00216C3F">
        <w:t xml:space="preserve"> un pieaugušo izglītība netiek aplūkota kā karjeras izaugsmes iespēja.  Kavējošs faktors  ir </w:t>
      </w:r>
      <w:r w:rsidR="4E953595">
        <w:t xml:space="preserve">ari  </w:t>
      </w:r>
      <w:r w:rsidR="00216C3F">
        <w:t xml:space="preserve">vājā reģionālā mobilitāte un iespēja apvienot mācības ar darbu. Tāpat uzņēmumu pusē ir virkne iemeslu, kāpēc esošā sistēma nedarbojas pilnvērtīgi. Ekonomikā dominē „zemo izmaksu” stratēģijas un  </w:t>
      </w:r>
      <w:r w:rsidR="4E953595">
        <w:t xml:space="preserve">investīcijas </w:t>
      </w:r>
      <w:r w:rsidR="00216C3F">
        <w:t>darbinieku izglītībā</w:t>
      </w:r>
      <w:r w:rsidR="4E953595">
        <w:t xml:space="preserve"> ir salīdzinoši nelielas</w:t>
      </w:r>
      <w:r w:rsidR="00216C3F">
        <w:t>, nav skaidrs izglītības piedāvājums vai arī izglītības piedāvājums nav atbilstošs vai nav pieejams laikā. Savukārt izglītības iestāžu pusē nav skaidrs, precīzs uzņēmumu un nozaru pieprasījums. Tirgū konkurē lēti, mazāk kvalitatīvi piedāvājumi, bet esošie administrēšanas un finansēšanas mehānismi nav atbalstoši un motivējoši.</w:t>
      </w:r>
    </w:p>
    <w:p w14:paraId="532F1C82" w14:textId="050008D1" w:rsidR="00216C3F" w:rsidRPr="003B4CDA" w:rsidRDefault="66518134" w:rsidP="00216C3F">
      <w:pPr>
        <w:jc w:val="both"/>
      </w:pPr>
      <w:r w:rsidRPr="00D7493B">
        <w:rPr>
          <w:szCs w:val="20"/>
        </w:rPr>
        <w:t>Ņemot vērā, ka darba tirgus kļūst aizvien mainīgāks, jau tuvākajā nākotnē nepieciešams virzīties uz funkcionālas pieaugušo izglītības sistēmas izveid</w:t>
      </w:r>
      <w:r w:rsidRPr="00125280">
        <w:rPr>
          <w:szCs w:val="20"/>
        </w:rPr>
        <w:t>i Covid-19 radītā bezdarba mazināšanai, digitālo prasmju pa</w:t>
      </w:r>
      <w:r w:rsidRPr="008A59E1">
        <w:rPr>
          <w:szCs w:val="20"/>
        </w:rPr>
        <w:t xml:space="preserve">lielināšanai sabiedrībai, </w:t>
      </w:r>
      <w:r w:rsidR="34C99A8F" w:rsidRPr="000C591A">
        <w:rPr>
          <w:szCs w:val="20"/>
        </w:rPr>
        <w:t xml:space="preserve">personu ar zemu izglītību </w:t>
      </w:r>
      <w:r w:rsidRPr="000C591A">
        <w:rPr>
          <w:szCs w:val="20"/>
        </w:rPr>
        <w:t>īpatsvara samazināšanai, nepārtrauktai prasmju, iemaņu un kompetenču attīstībai, sociālekonomiskās paradigmas pārmaiņām, prasmju un iemaņu apgūšanai, kas ir vai tiks pieprasītas darba tirgū, nodrošinot pēc krīzes augošās nozares ar nepieciešamajiem cilvēkresursiem.</w:t>
      </w:r>
    </w:p>
    <w:p w14:paraId="21995A7D" w14:textId="77777777" w:rsidR="00927285" w:rsidRDefault="00927285">
      <w:pPr>
        <w:spacing w:after="0"/>
        <w:rPr>
          <w:szCs w:val="20"/>
        </w:rPr>
      </w:pPr>
      <w:r>
        <w:rPr>
          <w:szCs w:val="20"/>
        </w:rPr>
        <w:br w:type="page"/>
      </w:r>
    </w:p>
    <w:p w14:paraId="51657A79" w14:textId="56323F92" w:rsidR="00216C3F" w:rsidRPr="003B4CDA" w:rsidRDefault="00216C3F" w:rsidP="00216C3F">
      <w:pPr>
        <w:jc w:val="right"/>
        <w:rPr>
          <w:szCs w:val="20"/>
        </w:rPr>
      </w:pPr>
      <w:r w:rsidRPr="003B4CDA">
        <w:rPr>
          <w:szCs w:val="20"/>
        </w:rPr>
        <w:lastRenderedPageBreak/>
        <w:t>2.2</w:t>
      </w:r>
      <w:r w:rsidR="00A8389B">
        <w:rPr>
          <w:szCs w:val="20"/>
        </w:rPr>
        <w:t>2</w:t>
      </w:r>
      <w:r w:rsidRPr="003B4CDA">
        <w:rPr>
          <w:szCs w:val="20"/>
        </w:rPr>
        <w:t>. attēls</w:t>
      </w:r>
    </w:p>
    <w:p w14:paraId="3D18463B" w14:textId="77777777" w:rsidR="00216C3F" w:rsidRPr="003B4CDA" w:rsidRDefault="00216C3F" w:rsidP="00927285">
      <w:pPr>
        <w:pStyle w:val="9pirmstab3"/>
        <w:tabs>
          <w:tab w:val="clear" w:pos="3259"/>
          <w:tab w:val="clear" w:pos="4200"/>
          <w:tab w:val="clear" w:pos="5141"/>
          <w:tab w:val="clear" w:pos="6082"/>
          <w:tab w:val="clear" w:pos="7022"/>
          <w:tab w:val="clear" w:pos="7963"/>
          <w:tab w:val="clear" w:pos="8870"/>
          <w:tab w:val="clear" w:pos="9794"/>
          <w:tab w:val="clear" w:pos="10718"/>
          <w:tab w:val="clear" w:pos="11659"/>
          <w:tab w:val="clear" w:pos="13171"/>
        </w:tabs>
        <w:suppressAutoHyphens/>
        <w:spacing w:after="120"/>
        <w:rPr>
          <w:rFonts w:ascii="Segoe UI Light" w:hAnsi="Segoe UI Light"/>
          <w:bCs/>
          <w:i/>
          <w:sz w:val="16"/>
          <w:szCs w:val="22"/>
        </w:rPr>
      </w:pPr>
      <w:r w:rsidRPr="003B4CDA">
        <w:rPr>
          <w:rFonts w:ascii="Segoe UI Light" w:hAnsi="Segoe UI Light"/>
          <w:b/>
          <w:bCs/>
          <w:szCs w:val="26"/>
        </w:rPr>
        <w:t>Iedzīvotāju iesaistīšanās līmenis mūžizglītībā</w:t>
      </w:r>
      <w:r w:rsidRPr="003B4CDA">
        <w:rPr>
          <w:rFonts w:ascii="Segoe UI Light" w:hAnsi="Segoe UI Light"/>
          <w:b/>
          <w:bCs/>
          <w:szCs w:val="26"/>
        </w:rPr>
        <w:br/>
      </w:r>
      <w:r w:rsidRPr="003B4CDA">
        <w:rPr>
          <w:rFonts w:ascii="Segoe UI Light" w:hAnsi="Segoe UI Light"/>
          <w:bCs/>
          <w:i/>
          <w:sz w:val="16"/>
          <w:szCs w:val="22"/>
        </w:rPr>
        <w:t>procentos no iedzīvotājiem vecuma grupā 25-64 gadi</w:t>
      </w:r>
    </w:p>
    <w:p w14:paraId="674B09D7" w14:textId="77777777" w:rsidR="00216C3F" w:rsidRPr="003B4CDA" w:rsidRDefault="00216C3F" w:rsidP="00927285">
      <w:pPr>
        <w:spacing w:after="120"/>
        <w:jc w:val="center"/>
        <w:rPr>
          <w:szCs w:val="20"/>
        </w:rPr>
      </w:pPr>
      <w:r w:rsidRPr="003B4CDA">
        <w:rPr>
          <w:rFonts w:ascii="Arial Narrow" w:hAnsi="Arial Narrow"/>
          <w:noProof/>
          <w:szCs w:val="20"/>
          <w:lang w:eastAsia="lv-LV"/>
        </w:rPr>
        <w:drawing>
          <wp:inline distT="0" distB="0" distL="0" distR="0" wp14:anchorId="725B7F84" wp14:editId="1044FC8E">
            <wp:extent cx="5040000" cy="2160000"/>
            <wp:effectExtent l="0" t="0" r="8255" b="0"/>
            <wp:docPr id="32"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4C57717" w14:textId="77777777" w:rsidR="00216C3F" w:rsidRPr="003B4CDA" w:rsidRDefault="00216C3F" w:rsidP="00216C3F">
      <w:pPr>
        <w:jc w:val="both"/>
        <w:rPr>
          <w:sz w:val="16"/>
          <w:szCs w:val="16"/>
        </w:rPr>
      </w:pPr>
      <w:r w:rsidRPr="003B4CDA">
        <w:rPr>
          <w:sz w:val="16"/>
          <w:szCs w:val="16"/>
        </w:rPr>
        <w:t xml:space="preserve">Avots: CSP, </w:t>
      </w:r>
      <w:proofErr w:type="spellStart"/>
      <w:r w:rsidRPr="003B4CDA">
        <w:rPr>
          <w:i/>
          <w:sz w:val="16"/>
          <w:szCs w:val="16"/>
        </w:rPr>
        <w:t>Eurostat</w:t>
      </w:r>
      <w:proofErr w:type="spellEnd"/>
    </w:p>
    <w:p w14:paraId="66767C1A" w14:textId="41999646" w:rsidR="00216C3F" w:rsidRDefault="00927285" w:rsidP="00216C3F">
      <w:pPr>
        <w:jc w:val="both"/>
        <w:rPr>
          <w:szCs w:val="20"/>
        </w:rPr>
      </w:pPr>
      <w:r>
        <w:rPr>
          <w:szCs w:val="20"/>
        </w:rPr>
        <w:br/>
      </w:r>
      <w:r w:rsidR="00216C3F" w:rsidRPr="00874586">
        <w:rPr>
          <w:szCs w:val="20"/>
        </w:rPr>
        <w:t>Iedzīvotāji ar augstāko izglītību aktīvāk izvēlas piedalīties pieaugušo izglītības pasākumos. 2021. gadā pieaugušo izglītības pasākumos iesaistījās 15,6% no iedzīvotājiem ar augstāko izglītību, t.i., par 4,4 procentpunktiem vairāk nekā gadu iepriekš (2020.</w:t>
      </w:r>
      <w:r w:rsidR="0087629E">
        <w:rPr>
          <w:szCs w:val="20"/>
        </w:rPr>
        <w:t> </w:t>
      </w:r>
      <w:r w:rsidR="00216C3F" w:rsidRPr="00874586">
        <w:rPr>
          <w:szCs w:val="20"/>
        </w:rPr>
        <w:t xml:space="preserve">gadā – 11,2%). </w:t>
      </w:r>
      <w:r w:rsidR="00216C3F">
        <w:rPr>
          <w:szCs w:val="20"/>
        </w:rPr>
        <w:t>Krietni zemāka iesaiste ir iedzīvotājiem ar pamatizglītību (2019.</w:t>
      </w:r>
      <w:r w:rsidR="0087629E">
        <w:rPr>
          <w:szCs w:val="20"/>
        </w:rPr>
        <w:t> </w:t>
      </w:r>
      <w:r w:rsidR="00216C3F">
        <w:rPr>
          <w:szCs w:val="20"/>
        </w:rPr>
        <w:t>g</w:t>
      </w:r>
      <w:r w:rsidR="0087629E">
        <w:rPr>
          <w:szCs w:val="20"/>
        </w:rPr>
        <w:t>adā</w:t>
      </w:r>
      <w:r w:rsidR="00216C3F">
        <w:rPr>
          <w:szCs w:val="20"/>
        </w:rPr>
        <w:t xml:space="preserve"> – 3,4%), vispārējo vidējo izglītību (2021.</w:t>
      </w:r>
      <w:r w:rsidR="0087629E">
        <w:rPr>
          <w:szCs w:val="20"/>
        </w:rPr>
        <w:t> </w:t>
      </w:r>
      <w:r w:rsidR="00216C3F">
        <w:rPr>
          <w:szCs w:val="20"/>
        </w:rPr>
        <w:t>g</w:t>
      </w:r>
      <w:r w:rsidR="0087629E">
        <w:rPr>
          <w:szCs w:val="20"/>
        </w:rPr>
        <w:t>adā</w:t>
      </w:r>
      <w:r w:rsidR="00216C3F">
        <w:rPr>
          <w:szCs w:val="20"/>
        </w:rPr>
        <w:t xml:space="preserve"> </w:t>
      </w:r>
      <w:r w:rsidR="0087629E" w:rsidRPr="00874586">
        <w:rPr>
          <w:szCs w:val="20"/>
        </w:rPr>
        <w:t>–</w:t>
      </w:r>
      <w:r w:rsidR="00216C3F">
        <w:rPr>
          <w:szCs w:val="20"/>
        </w:rPr>
        <w:t xml:space="preserve"> 5,7%) un arodizglītību vai profesionālo vidējo izglītību (2021.</w:t>
      </w:r>
      <w:r w:rsidR="0087629E">
        <w:rPr>
          <w:szCs w:val="20"/>
        </w:rPr>
        <w:t> </w:t>
      </w:r>
      <w:r w:rsidR="00216C3F">
        <w:rPr>
          <w:szCs w:val="20"/>
        </w:rPr>
        <w:t>g</w:t>
      </w:r>
      <w:r w:rsidR="0087629E">
        <w:rPr>
          <w:szCs w:val="20"/>
        </w:rPr>
        <w:t>adā</w:t>
      </w:r>
      <w:r w:rsidR="00216C3F">
        <w:rPr>
          <w:szCs w:val="20"/>
        </w:rPr>
        <w:t xml:space="preserve"> </w:t>
      </w:r>
      <w:r w:rsidR="0087629E">
        <w:rPr>
          <w:szCs w:val="20"/>
        </w:rPr>
        <w:t>–</w:t>
      </w:r>
      <w:r w:rsidR="00216C3F">
        <w:rPr>
          <w:szCs w:val="20"/>
        </w:rPr>
        <w:t xml:space="preserve"> 3,7%). </w:t>
      </w:r>
      <w:r w:rsidR="00216C3F" w:rsidRPr="00874586">
        <w:rPr>
          <w:szCs w:val="20"/>
        </w:rPr>
        <w:t>Sievietēm</w:t>
      </w:r>
      <w:r w:rsidR="00216C3F" w:rsidRPr="00D528E7">
        <w:rPr>
          <w:szCs w:val="20"/>
        </w:rPr>
        <w:t xml:space="preserve"> iesaistes rādītāji ir krietni augstāki nekā vīriešiem. Sieviešu iesaistes īpatsvars bija 11,5%, kas par 6,0 procentpunktiem pārsniedza vīriešu iesaistes īpatsvaru</w:t>
      </w:r>
      <w:r w:rsidR="00216C3F">
        <w:rPr>
          <w:szCs w:val="20"/>
        </w:rPr>
        <w:t>.</w:t>
      </w:r>
    </w:p>
    <w:p w14:paraId="54924857" w14:textId="4626D7FF" w:rsidR="0087629E" w:rsidRPr="00624D23" w:rsidRDefault="0087629E"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i/>
          <w:iCs/>
          <w:sz w:val="16"/>
          <w:szCs w:val="16"/>
        </w:rPr>
      </w:pPr>
      <w:r w:rsidRPr="00624D23">
        <w:rPr>
          <w:rFonts w:ascii="Segoe UI Light" w:hAnsi="Segoe UI Light" w:cs="Segoe UI Light"/>
          <w:b/>
          <w:color w:val="000000"/>
          <w:sz w:val="16"/>
          <w:szCs w:val="16"/>
        </w:rPr>
        <w:t>Mūžizglītības kultūras veidošanās Latvijas uzņēmumos</w:t>
      </w:r>
    </w:p>
    <w:p w14:paraId="699E818F" w14:textId="125E871B" w:rsidR="0087629E" w:rsidRPr="00CA6062" w:rsidRDefault="0087629E"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color w:val="000000"/>
          <w:sz w:val="16"/>
          <w:szCs w:val="16"/>
        </w:rPr>
      </w:pPr>
      <w:r w:rsidRPr="00CA6062">
        <w:rPr>
          <w:rFonts w:ascii="Segoe UI Light" w:hAnsi="Segoe UI Light" w:cs="Segoe UI Light"/>
          <w:color w:val="000000"/>
          <w:sz w:val="16"/>
          <w:szCs w:val="16"/>
        </w:rPr>
        <w:t xml:space="preserve">Daudzas nozarei, uzņēmumam vajadzīgas zināšanas, prasmes un iemaņas ir specifiskas, tās nevar apgūt tikai ar formālās izglītības palīdzību skolā (un tas arī nav formālās izglītības uzdevums). Turklāt arī iegūtās prasmes noveco arvien straujāk. </w:t>
      </w:r>
      <w:r w:rsidR="00CA6062" w:rsidRPr="00CA6062">
        <w:rPr>
          <w:rFonts w:ascii="Segoe UI Light" w:hAnsi="Segoe UI Light" w:cs="Segoe UI Light"/>
          <w:color w:val="000000"/>
          <w:sz w:val="16"/>
          <w:szCs w:val="16"/>
        </w:rPr>
        <w:t>Darba</w:t>
      </w:r>
      <w:r w:rsidRPr="00CA6062">
        <w:rPr>
          <w:rFonts w:ascii="Segoe UI Light" w:hAnsi="Segoe UI Light" w:cs="Segoe UI Light"/>
          <w:color w:val="000000"/>
          <w:sz w:val="16"/>
          <w:szCs w:val="16"/>
        </w:rPr>
        <w:t xml:space="preserve"> tirgū atrast darbinieku ar atbilstošām zināšanām un prasmēm, lai veicinātu uzņēmuma izaugsmi un ieviestu jauninājumus, ierobežota pieejamā darbaspēka apstākļos, kļūst arvien sarežģītāk un izmaksā dārgāk. Tam risinājums ir ieguldīt savu darbinieku mācībās un attīstībā. Izglītības sistēma nekad nespēs nodrošināt specifiskas prasmes un iemaņas uzņēmumu līmenī. Izglītības sistēmas uzdevums ir nodrošināt plašu zināšanu bāzi. Nozaru uzdevums sniegt signālus formālajai izglītībai kā arī investēt darbinieku zināšanu, prasmju un iemaņu paaugstināšanā.</w:t>
      </w:r>
    </w:p>
    <w:p w14:paraId="03924EB8" w14:textId="77777777" w:rsidR="00CA6062" w:rsidRDefault="788BBDF0" w:rsidP="00CA6062">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color w:val="000000"/>
          <w:sz w:val="16"/>
          <w:szCs w:val="16"/>
        </w:rPr>
      </w:pPr>
      <w:r w:rsidRPr="4398C881">
        <w:rPr>
          <w:rFonts w:ascii="Segoe UI Light" w:hAnsi="Segoe UI Light" w:cs="Segoe UI Light"/>
          <w:color w:val="000000"/>
          <w:sz w:val="16"/>
          <w:szCs w:val="16"/>
        </w:rPr>
        <w:t>Lai arī Latvijā uzņēmēji saskaras ar ievērojamām grūtībām darbaspēka pieejamībā, līdzšinējais uzņēmumu ieguldījums darbinieku mācībām nav bijis pietiekams, drīzāk zems. 2019. gadā  LDDK veiktā lielo un vidējo uzņēmumu aptauja</w:t>
      </w:r>
      <w:r w:rsidR="0087629E" w:rsidRPr="4398C881">
        <w:rPr>
          <w:rStyle w:val="FootnoteReference"/>
          <w:rFonts w:ascii="Segoe UI Light" w:hAnsi="Segoe UI Light" w:cs="Segoe UI Light"/>
          <w:color w:val="000000"/>
          <w:sz w:val="16"/>
          <w:szCs w:val="16"/>
        </w:rPr>
        <w:footnoteReference w:id="4"/>
      </w:r>
      <w:r w:rsidRPr="4398C881">
        <w:rPr>
          <w:rFonts w:ascii="Segoe UI Light" w:hAnsi="Segoe UI Light" w:cs="Segoe UI Light"/>
          <w:color w:val="000000"/>
          <w:sz w:val="16"/>
          <w:szCs w:val="16"/>
        </w:rPr>
        <w:t xml:space="preserve"> rāda ka tikai 36% darba devēju ir atsevišķi izdalīta pozīcija budžetā, kas ir paredzēta darbinieku izglītības nodrošināšanai. Vēl 57% darba devēju šādas iezīmētas pozīcijas budžetā nav, taču darbinieku izglītības izmaksas tiek segtas pēc nepieciešamības. EUROSTAT </w:t>
      </w:r>
      <w:proofErr w:type="spellStart"/>
      <w:r w:rsidRPr="4398C881">
        <w:rPr>
          <w:rFonts w:ascii="Segoe UI Light" w:hAnsi="Segoe UI Light" w:cs="Segoe UI Light"/>
          <w:color w:val="000000"/>
          <w:sz w:val="16"/>
          <w:szCs w:val="16"/>
        </w:rPr>
        <w:t>apsekojuma</w:t>
      </w:r>
      <w:proofErr w:type="spellEnd"/>
      <w:r w:rsidRPr="4398C881">
        <w:rPr>
          <w:rFonts w:ascii="Segoe UI Light" w:hAnsi="Segoe UI Light" w:cs="Segoe UI Light"/>
          <w:color w:val="000000"/>
          <w:sz w:val="16"/>
          <w:szCs w:val="16"/>
        </w:rPr>
        <w:t xml:space="preserve"> (</w:t>
      </w:r>
      <w:proofErr w:type="spellStart"/>
      <w:r w:rsidRPr="4398C881">
        <w:rPr>
          <w:rFonts w:ascii="Segoe UI Light" w:hAnsi="Segoe UI Light" w:cs="Segoe UI Light"/>
          <w:i/>
          <w:iCs/>
          <w:color w:val="000000"/>
          <w:sz w:val="16"/>
          <w:szCs w:val="16"/>
        </w:rPr>
        <w:t>Continuing</w:t>
      </w:r>
      <w:proofErr w:type="spellEnd"/>
      <w:r w:rsidRPr="4398C881">
        <w:rPr>
          <w:rFonts w:ascii="Segoe UI Light" w:hAnsi="Segoe UI Light" w:cs="Segoe UI Light"/>
          <w:i/>
          <w:iCs/>
          <w:color w:val="000000"/>
          <w:sz w:val="16"/>
          <w:szCs w:val="16"/>
        </w:rPr>
        <w:t xml:space="preserve"> </w:t>
      </w:r>
      <w:proofErr w:type="spellStart"/>
      <w:r w:rsidRPr="4398C881">
        <w:rPr>
          <w:rFonts w:ascii="Segoe UI Light" w:hAnsi="Segoe UI Light" w:cs="Segoe UI Light"/>
          <w:i/>
          <w:iCs/>
          <w:color w:val="000000"/>
          <w:sz w:val="16"/>
          <w:szCs w:val="16"/>
        </w:rPr>
        <w:t>Vocational</w:t>
      </w:r>
      <w:proofErr w:type="spellEnd"/>
      <w:r w:rsidRPr="4398C881">
        <w:rPr>
          <w:rFonts w:ascii="Segoe UI Light" w:hAnsi="Segoe UI Light" w:cs="Segoe UI Light"/>
          <w:i/>
          <w:iCs/>
          <w:color w:val="000000"/>
          <w:sz w:val="16"/>
          <w:szCs w:val="16"/>
        </w:rPr>
        <w:t xml:space="preserve"> </w:t>
      </w:r>
      <w:proofErr w:type="spellStart"/>
      <w:r w:rsidRPr="4398C881">
        <w:rPr>
          <w:rFonts w:ascii="Segoe UI Light" w:hAnsi="Segoe UI Light" w:cs="Segoe UI Light"/>
          <w:i/>
          <w:iCs/>
          <w:color w:val="000000"/>
          <w:sz w:val="16"/>
          <w:szCs w:val="16"/>
        </w:rPr>
        <w:t>Training</w:t>
      </w:r>
      <w:proofErr w:type="spellEnd"/>
      <w:r w:rsidRPr="4398C881">
        <w:rPr>
          <w:rFonts w:ascii="Segoe UI Light" w:hAnsi="Segoe UI Light" w:cs="Segoe UI Light"/>
          <w:i/>
          <w:iCs/>
          <w:color w:val="000000"/>
          <w:sz w:val="16"/>
          <w:szCs w:val="16"/>
        </w:rPr>
        <w:t xml:space="preserve"> </w:t>
      </w:r>
      <w:proofErr w:type="spellStart"/>
      <w:r w:rsidRPr="4398C881">
        <w:rPr>
          <w:rFonts w:ascii="Segoe UI Light" w:hAnsi="Segoe UI Light" w:cs="Segoe UI Light"/>
          <w:i/>
          <w:iCs/>
          <w:color w:val="000000"/>
          <w:sz w:val="16"/>
          <w:szCs w:val="16"/>
        </w:rPr>
        <w:t>Survey</w:t>
      </w:r>
      <w:proofErr w:type="spellEnd"/>
      <w:r w:rsidRPr="4398C881">
        <w:rPr>
          <w:rFonts w:ascii="Segoe UI Light" w:hAnsi="Segoe UI Light" w:cs="Segoe UI Light"/>
          <w:color w:val="000000"/>
          <w:sz w:val="16"/>
          <w:szCs w:val="16"/>
        </w:rPr>
        <w:t xml:space="preserve">) dati rāda, ka uzņēmumi Latvijā </w:t>
      </w:r>
      <w:r w:rsidRPr="00CA6062">
        <w:rPr>
          <w:rFonts w:ascii="Segoe UI Light" w:hAnsi="Segoe UI Light" w:cs="Segoe UI Light"/>
          <w:color w:val="000000"/>
          <w:sz w:val="16"/>
          <w:szCs w:val="16"/>
        </w:rPr>
        <w:t>kopumā atpaliek no Eiropas uzņēmumiem mūžizglītības kultūr</w:t>
      </w:r>
      <w:r w:rsidR="00CA6062" w:rsidRPr="00CA6062">
        <w:rPr>
          <w:rFonts w:ascii="Segoe UI Light" w:hAnsi="Segoe UI Light" w:cs="Segoe UI Light"/>
          <w:color w:val="000000"/>
          <w:sz w:val="16"/>
          <w:szCs w:val="16"/>
        </w:rPr>
        <w:t>ā</w:t>
      </w:r>
      <w:r w:rsidR="0087629E" w:rsidRPr="00CA6062">
        <w:rPr>
          <w:rStyle w:val="FootnoteReference"/>
          <w:rFonts w:ascii="Segoe UI Light" w:hAnsi="Segoe UI Light" w:cs="Segoe UI Light"/>
          <w:color w:val="000000"/>
          <w:sz w:val="16"/>
          <w:szCs w:val="16"/>
        </w:rPr>
        <w:footnoteReference w:id="5"/>
      </w:r>
      <w:r w:rsidRPr="00CA6062">
        <w:rPr>
          <w:rFonts w:ascii="Segoe UI Light" w:hAnsi="Segoe UI Light" w:cs="Segoe UI Light"/>
          <w:color w:val="000000"/>
          <w:sz w:val="16"/>
          <w:szCs w:val="16"/>
        </w:rPr>
        <w:t>.</w:t>
      </w:r>
    </w:p>
    <w:p w14:paraId="2900AE0C" w14:textId="0B9A79A8" w:rsidR="00CA6062" w:rsidRDefault="00CA6062" w:rsidP="00CA6062">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i/>
          <w:iCs/>
          <w:color w:val="000000"/>
          <w:sz w:val="16"/>
          <w:szCs w:val="16"/>
        </w:rPr>
      </w:pPr>
      <w:r w:rsidRPr="00B94AEA">
        <w:rPr>
          <w:rFonts w:ascii="Segoe UI Light" w:hAnsi="Segoe UI Light" w:cs="Segoe UI Light"/>
          <w:bCs/>
          <w:color w:val="000000"/>
          <w:sz w:val="16"/>
          <w:szCs w:val="16"/>
        </w:rPr>
        <w:t xml:space="preserve">Latvijas uzņēmumu īpatsvars (41%), kas pieņemot darbā jaunus darbiniekus nodrošina arī specifiskas apmācības, ir līdzīgs ES vidējam rādītājam (42%), taču pēc darba uzsākšanas darbiniekiem Latvijā ir mazāk iespēju tālāk attīstīt un izmantot prasmes. Latvijas uzņēmumu īpatsvars, kas iekšēji reorganizējas, lai labāk izmantotu strādājošo prasmes un kompetences, ir aptuveni 34%, kas ir zemāks par vidējo rādītāju Eiropā </w:t>
      </w:r>
      <w:r>
        <w:rPr>
          <w:rFonts w:ascii="Segoe UI Light" w:hAnsi="Segoe UI Light" w:cs="Segoe UI Light"/>
          <w:bCs/>
          <w:color w:val="000000"/>
          <w:sz w:val="16"/>
          <w:szCs w:val="16"/>
        </w:rPr>
        <w:t>–</w:t>
      </w:r>
      <w:r w:rsidRPr="00B94AEA">
        <w:rPr>
          <w:rFonts w:ascii="Segoe UI Light" w:hAnsi="Segoe UI Light" w:cs="Segoe UI Light"/>
          <w:bCs/>
          <w:color w:val="000000"/>
          <w:sz w:val="16"/>
          <w:szCs w:val="16"/>
        </w:rPr>
        <w:t xml:space="preserve"> 59%. Tāpat arī 27% Latvijas uzņēmumu nodrošina darbinieku profesionālo izglītību/arodizglītību (</w:t>
      </w:r>
      <w:proofErr w:type="spellStart"/>
      <w:r w:rsidRPr="00B94AEA">
        <w:rPr>
          <w:rFonts w:ascii="Segoe UI Light" w:hAnsi="Segoe UI Light" w:cs="Segoe UI Light"/>
          <w:bCs/>
          <w:i/>
          <w:iCs/>
          <w:color w:val="000000"/>
          <w:sz w:val="16"/>
          <w:szCs w:val="16"/>
        </w:rPr>
        <w:t>continuous</w:t>
      </w:r>
      <w:proofErr w:type="spellEnd"/>
      <w:r w:rsidRPr="00B94AEA">
        <w:rPr>
          <w:rFonts w:ascii="Segoe UI Light" w:hAnsi="Segoe UI Light" w:cs="Segoe UI Light"/>
          <w:bCs/>
          <w:i/>
          <w:iCs/>
          <w:color w:val="000000"/>
          <w:sz w:val="16"/>
          <w:szCs w:val="16"/>
        </w:rPr>
        <w:t xml:space="preserve"> </w:t>
      </w:r>
      <w:proofErr w:type="spellStart"/>
      <w:r w:rsidRPr="00B94AEA">
        <w:rPr>
          <w:rFonts w:ascii="Segoe UI Light" w:hAnsi="Segoe UI Light" w:cs="Segoe UI Light"/>
          <w:bCs/>
          <w:i/>
          <w:iCs/>
          <w:color w:val="000000"/>
          <w:sz w:val="16"/>
          <w:szCs w:val="16"/>
        </w:rPr>
        <w:t>vocational</w:t>
      </w:r>
      <w:proofErr w:type="spellEnd"/>
      <w:r w:rsidRPr="00B94AEA">
        <w:rPr>
          <w:rFonts w:ascii="Segoe UI Light" w:hAnsi="Segoe UI Light" w:cs="Segoe UI Light"/>
          <w:bCs/>
          <w:i/>
          <w:iCs/>
          <w:color w:val="000000"/>
          <w:sz w:val="16"/>
          <w:szCs w:val="16"/>
        </w:rPr>
        <w:t xml:space="preserve"> </w:t>
      </w:r>
      <w:proofErr w:type="spellStart"/>
      <w:r w:rsidRPr="00B94AEA">
        <w:rPr>
          <w:rFonts w:ascii="Segoe UI Light" w:hAnsi="Segoe UI Light" w:cs="Segoe UI Light"/>
          <w:bCs/>
          <w:i/>
          <w:iCs/>
          <w:color w:val="000000"/>
          <w:sz w:val="16"/>
          <w:szCs w:val="16"/>
        </w:rPr>
        <w:t>training</w:t>
      </w:r>
      <w:proofErr w:type="spellEnd"/>
      <w:r w:rsidRPr="00B94AEA">
        <w:rPr>
          <w:rFonts w:ascii="Segoe UI Light" w:hAnsi="Segoe UI Light" w:cs="Segoe UI Light"/>
          <w:bCs/>
          <w:color w:val="000000"/>
          <w:sz w:val="16"/>
          <w:szCs w:val="16"/>
        </w:rPr>
        <w:t>), kas ir vairāk kā 2 reizes zemāks par vidējo rādītāju Eiropā - 67%. Noteikta atbildīgā persona vai struktūrvienība, kas uzņēmumā būtu atbildīga par apmācību organizēšanu, vai apmācības plāna vai budžeta esamība, ir būtisks priekšnosacījums, lai uzņēmumā veidotos mūžizglītības kultūra. Tikai 16% Latvijas uzņēmumu ir noteikta šāda persona vai izveidota struktūrvienība, salīdzinot 52% uzņēmumu vidēji Eiropā.</w:t>
      </w:r>
    </w:p>
    <w:p w14:paraId="7D17A7C8" w14:textId="77777777" w:rsidR="003A70B1" w:rsidRPr="003A70B1" w:rsidRDefault="003A70B1"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cs="Segoe UI Light"/>
          <w:color w:val="000000"/>
          <w:sz w:val="4"/>
          <w:szCs w:val="4"/>
        </w:rPr>
      </w:pPr>
    </w:p>
    <w:p w14:paraId="38E9CFDB" w14:textId="77777777" w:rsidR="003A70B1" w:rsidRDefault="003A70B1">
      <w:pPr>
        <w:spacing w:after="0"/>
        <w:rPr>
          <w:rFonts w:ascii="Segoe UI Light" w:hAnsi="Segoe UI Light"/>
          <w:b/>
          <w:sz w:val="16"/>
          <w:szCs w:val="16"/>
        </w:rPr>
      </w:pPr>
      <w:r>
        <w:rPr>
          <w:rFonts w:ascii="Segoe UI Light" w:hAnsi="Segoe UI Light"/>
          <w:b/>
          <w:sz w:val="16"/>
          <w:szCs w:val="16"/>
        </w:rPr>
        <w:br w:type="page"/>
      </w:r>
    </w:p>
    <w:p w14:paraId="5EFAD73B" w14:textId="5A0590E7" w:rsidR="003A70B1" w:rsidRPr="00624D23" w:rsidRDefault="003A70B1"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sz w:val="16"/>
          <w:szCs w:val="16"/>
        </w:rPr>
      </w:pPr>
      <w:r w:rsidRPr="00624D23">
        <w:rPr>
          <w:rFonts w:ascii="Segoe UI Light" w:hAnsi="Segoe UI Light"/>
          <w:b/>
          <w:sz w:val="16"/>
          <w:szCs w:val="16"/>
        </w:rPr>
        <w:lastRenderedPageBreak/>
        <w:t>Ielikuma turpinājums</w:t>
      </w:r>
      <w:r w:rsidR="00927285" w:rsidRPr="00927285">
        <w:rPr>
          <w:rFonts w:ascii="Segoe UI Light" w:eastAsia="Segoe UI Light" w:hAnsi="Segoe UI Light" w:cs="Segoe UI Light"/>
          <w:color w:val="E5DFEC" w:themeColor="accent4" w:themeTint="33"/>
          <w:sz w:val="16"/>
          <w:szCs w:val="16"/>
          <w:vertAlign w:val="superscript"/>
        </w:rPr>
        <w:footnoteReference w:id="6"/>
      </w:r>
    </w:p>
    <w:p w14:paraId="14829EA8" w14:textId="422AB9F0" w:rsidR="007C6A6F" w:rsidRDefault="004001EB" w:rsidP="004001EB">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 w:val="center" w:pos="2268"/>
          <w:tab w:val="center" w:pos="6804"/>
        </w:tabs>
        <w:spacing w:after="120"/>
        <w:rPr>
          <w:rFonts w:ascii="Segoe UI Light" w:hAnsi="Segoe UI Light" w:cs="Segoe UI Light"/>
          <w:bCs/>
          <w:color w:val="000000"/>
          <w:sz w:val="16"/>
          <w:szCs w:val="16"/>
        </w:rPr>
      </w:pPr>
      <w:r>
        <w:rPr>
          <w:rFonts w:ascii="Segoe UI Light" w:hAnsi="Segoe UI Light" w:cs="Segoe UI Light"/>
          <w:b/>
          <w:color w:val="000000"/>
          <w:sz w:val="16"/>
          <w:szCs w:val="16"/>
        </w:rPr>
        <w:tab/>
      </w:r>
      <w:r w:rsidR="007C6A6F">
        <w:rPr>
          <w:rFonts w:ascii="Segoe UI Light" w:hAnsi="Segoe UI Light" w:cs="Segoe UI Light"/>
          <w:b/>
          <w:color w:val="000000"/>
          <w:sz w:val="16"/>
          <w:szCs w:val="16"/>
        </w:rPr>
        <w:t>Mūžizglītības kultūra uzņēmumos</w:t>
      </w:r>
      <w:r>
        <w:rPr>
          <w:rFonts w:ascii="Segoe UI Light" w:hAnsi="Segoe UI Light" w:cs="Segoe UI Light"/>
          <w:b/>
          <w:color w:val="000000"/>
          <w:sz w:val="16"/>
          <w:szCs w:val="16"/>
        </w:rPr>
        <w:tab/>
      </w:r>
      <w:r w:rsidRPr="00B94AEA">
        <w:rPr>
          <w:rFonts w:ascii="Segoe UI Light" w:hAnsi="Segoe UI Light" w:cs="Segoe UI Light"/>
          <w:b/>
          <w:bCs/>
          <w:color w:val="000000"/>
          <w:sz w:val="16"/>
          <w:szCs w:val="16"/>
        </w:rPr>
        <w:t>Izdevumi darbinieku mācībām pēc uzņēmuma lieluma un nozares</w:t>
      </w:r>
      <w:r w:rsidR="007C6A6F">
        <w:rPr>
          <w:rFonts w:ascii="Segoe UI Light" w:hAnsi="Segoe UI Light" w:cs="Segoe UI Light"/>
          <w:b/>
          <w:color w:val="000000"/>
          <w:sz w:val="16"/>
          <w:szCs w:val="16"/>
        </w:rPr>
        <w:br/>
      </w:r>
      <w:r>
        <w:rPr>
          <w:rFonts w:ascii="Segoe UI Light" w:hAnsi="Segoe UI Light" w:cs="Segoe UI Light"/>
          <w:bCs/>
          <w:color w:val="000000"/>
          <w:sz w:val="16"/>
          <w:szCs w:val="16"/>
        </w:rPr>
        <w:tab/>
      </w:r>
      <w:r w:rsidR="007C6A6F" w:rsidRPr="00927285">
        <w:rPr>
          <w:rFonts w:ascii="Segoe UI Light" w:hAnsi="Segoe UI Light" w:cs="Segoe UI Light"/>
          <w:bCs/>
          <w:i/>
          <w:iCs/>
          <w:color w:val="000000"/>
          <w:sz w:val="16"/>
          <w:szCs w:val="16"/>
        </w:rPr>
        <w:t>2015. gads, procentos</w:t>
      </w:r>
      <w:r w:rsidRPr="00927285">
        <w:rPr>
          <w:rFonts w:ascii="Segoe UI Light" w:hAnsi="Segoe UI Light" w:cs="Segoe UI Light"/>
          <w:bCs/>
          <w:i/>
          <w:iCs/>
          <w:color w:val="000000"/>
          <w:sz w:val="16"/>
          <w:szCs w:val="16"/>
        </w:rPr>
        <w:tab/>
        <w:t>2015. gads, % no kopējām darbaspēka izmaksām</w:t>
      </w:r>
      <w:r w:rsidR="007C6A6F" w:rsidRPr="007C6A6F">
        <w:rPr>
          <w:rFonts w:ascii="Segoe UI Light" w:hAnsi="Segoe UI Light" w:cs="Segoe UI Light"/>
          <w:bCs/>
          <w:color w:val="000000"/>
          <w:sz w:val="16"/>
          <w:szCs w:val="16"/>
        </w:rPr>
        <w:br/>
      </w:r>
      <w:r w:rsidR="007C6A6F" w:rsidRPr="003B4CDA">
        <w:rPr>
          <w:rFonts w:ascii="Arial Narrow" w:hAnsi="Arial Narrow"/>
          <w:noProof/>
          <w:szCs w:val="20"/>
          <w:lang w:eastAsia="lv-LV"/>
        </w:rPr>
        <w:drawing>
          <wp:inline distT="0" distB="0" distL="0" distR="0" wp14:anchorId="79C7D50C" wp14:editId="75C08C10">
            <wp:extent cx="2880000" cy="2160000"/>
            <wp:effectExtent l="0" t="0" r="0" b="0"/>
            <wp:docPr id="11"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Pr="003B4CDA">
        <w:rPr>
          <w:rFonts w:ascii="Arial Narrow" w:hAnsi="Arial Narrow"/>
          <w:noProof/>
          <w:szCs w:val="20"/>
          <w:lang w:eastAsia="lv-LV"/>
        </w:rPr>
        <w:drawing>
          <wp:inline distT="0" distB="0" distL="0" distR="0" wp14:anchorId="64CC3153" wp14:editId="451E7662">
            <wp:extent cx="2880000" cy="2160000"/>
            <wp:effectExtent l="0" t="0" r="0" b="0"/>
            <wp:docPr id="15" name="Objec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57917F2" w14:textId="3F603BA4" w:rsidR="004001EB" w:rsidRPr="00624D23" w:rsidRDefault="009C3742" w:rsidP="004001EB">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i/>
          <w:iCs/>
          <w:color w:val="000000"/>
          <w:sz w:val="12"/>
          <w:szCs w:val="12"/>
          <w:lang w:val="en-GB"/>
        </w:rPr>
      </w:pPr>
      <w:r w:rsidRPr="00624D23">
        <w:rPr>
          <w:rFonts w:ascii="Segoe UI Light" w:hAnsi="Segoe UI Light" w:cs="Segoe UI Light"/>
          <w:bCs/>
          <w:color w:val="000000"/>
          <w:sz w:val="12"/>
          <w:szCs w:val="12"/>
        </w:rPr>
        <w:t>Avots:</w:t>
      </w:r>
      <w:r w:rsidRPr="00624D23">
        <w:rPr>
          <w:rFonts w:ascii="Segoe UI Light" w:hAnsi="Segoe UI Light" w:cs="Segoe UI Light"/>
          <w:bCs/>
          <w:i/>
          <w:iCs/>
          <w:color w:val="000000"/>
          <w:sz w:val="12"/>
          <w:szCs w:val="12"/>
        </w:rPr>
        <w:t xml:space="preserve"> </w:t>
      </w:r>
      <w:r w:rsidR="00CA6062">
        <w:rPr>
          <w:rFonts w:ascii="Segoe UI Light" w:hAnsi="Segoe UI Light" w:cs="Segoe UI Light"/>
          <w:bCs/>
          <w:i/>
          <w:iCs/>
          <w:color w:val="000000"/>
          <w:sz w:val="12"/>
          <w:szCs w:val="12"/>
        </w:rPr>
        <w:t xml:space="preserve">EUROSTAT; </w:t>
      </w:r>
      <w:r w:rsidRPr="00624D23">
        <w:rPr>
          <w:rFonts w:ascii="Segoe UI Light" w:hAnsi="Segoe UI Light" w:cs="Segoe UI Light"/>
          <w:bCs/>
          <w:i/>
          <w:iCs/>
          <w:color w:val="000000"/>
          <w:sz w:val="12"/>
          <w:szCs w:val="12"/>
        </w:rPr>
        <w:t xml:space="preserve">OECD </w:t>
      </w:r>
      <w:proofErr w:type="spellStart"/>
      <w:r w:rsidRPr="00624D23">
        <w:rPr>
          <w:rFonts w:ascii="Segoe UI Light" w:hAnsi="Segoe UI Light" w:cs="Segoe UI Light"/>
          <w:bCs/>
          <w:i/>
          <w:iCs/>
          <w:color w:val="000000"/>
          <w:sz w:val="12"/>
          <w:szCs w:val="12"/>
        </w:rPr>
        <w:t>Skills</w:t>
      </w:r>
      <w:proofErr w:type="spellEnd"/>
      <w:r w:rsidRPr="00624D23">
        <w:rPr>
          <w:rFonts w:ascii="Segoe UI Light" w:hAnsi="Segoe UI Light" w:cs="Segoe UI Light"/>
          <w:bCs/>
          <w:i/>
          <w:iCs/>
          <w:color w:val="000000"/>
          <w:sz w:val="12"/>
          <w:szCs w:val="12"/>
        </w:rPr>
        <w:t xml:space="preserve"> </w:t>
      </w:r>
      <w:proofErr w:type="spellStart"/>
      <w:r w:rsidRPr="00624D23">
        <w:rPr>
          <w:rFonts w:ascii="Segoe UI Light" w:hAnsi="Segoe UI Light" w:cs="Segoe UI Light"/>
          <w:bCs/>
          <w:i/>
          <w:iCs/>
          <w:color w:val="000000"/>
          <w:sz w:val="12"/>
          <w:szCs w:val="12"/>
        </w:rPr>
        <w:t>Strategy</w:t>
      </w:r>
      <w:proofErr w:type="spellEnd"/>
      <w:r w:rsidRPr="00624D23">
        <w:rPr>
          <w:rFonts w:ascii="Segoe UI Light" w:hAnsi="Segoe UI Light" w:cs="Segoe UI Light"/>
          <w:bCs/>
          <w:i/>
          <w:iCs/>
          <w:color w:val="000000"/>
          <w:sz w:val="12"/>
          <w:szCs w:val="12"/>
        </w:rPr>
        <w:t xml:space="preserve"> Latvia: </w:t>
      </w:r>
      <w:proofErr w:type="spellStart"/>
      <w:r w:rsidRPr="00624D23">
        <w:rPr>
          <w:rFonts w:ascii="Segoe UI Light" w:hAnsi="Segoe UI Light" w:cs="Segoe UI Light"/>
          <w:bCs/>
          <w:i/>
          <w:iCs/>
          <w:color w:val="000000"/>
          <w:sz w:val="12"/>
          <w:szCs w:val="12"/>
        </w:rPr>
        <w:t>Assessment</w:t>
      </w:r>
      <w:proofErr w:type="spellEnd"/>
      <w:r w:rsidRPr="00624D23">
        <w:rPr>
          <w:rFonts w:ascii="Segoe UI Light" w:hAnsi="Segoe UI Light" w:cs="Segoe UI Light"/>
          <w:bCs/>
          <w:i/>
          <w:iCs/>
          <w:color w:val="000000"/>
          <w:sz w:val="12"/>
          <w:szCs w:val="12"/>
        </w:rPr>
        <w:t xml:space="preserve"> </w:t>
      </w:r>
      <w:proofErr w:type="spellStart"/>
      <w:r w:rsidRPr="00624D23">
        <w:rPr>
          <w:rFonts w:ascii="Segoe UI Light" w:hAnsi="Segoe UI Light" w:cs="Segoe UI Light"/>
          <w:bCs/>
          <w:i/>
          <w:iCs/>
          <w:color w:val="000000"/>
          <w:sz w:val="12"/>
          <w:szCs w:val="12"/>
        </w:rPr>
        <w:t>and</w:t>
      </w:r>
      <w:proofErr w:type="spellEnd"/>
      <w:r w:rsidRPr="00624D23">
        <w:rPr>
          <w:rFonts w:ascii="Segoe UI Light" w:hAnsi="Segoe UI Light" w:cs="Segoe UI Light"/>
          <w:bCs/>
          <w:i/>
          <w:iCs/>
          <w:color w:val="000000"/>
          <w:sz w:val="12"/>
          <w:szCs w:val="12"/>
        </w:rPr>
        <w:t xml:space="preserve"> </w:t>
      </w:r>
      <w:proofErr w:type="spellStart"/>
      <w:r w:rsidRPr="00624D23">
        <w:rPr>
          <w:rFonts w:ascii="Segoe UI Light" w:hAnsi="Segoe UI Light" w:cs="Segoe UI Light"/>
          <w:bCs/>
          <w:i/>
          <w:iCs/>
          <w:color w:val="000000"/>
          <w:sz w:val="12"/>
          <w:szCs w:val="12"/>
        </w:rPr>
        <w:t>Recommendations</w:t>
      </w:r>
      <w:proofErr w:type="spellEnd"/>
      <w:r w:rsidRPr="00624D23">
        <w:rPr>
          <w:rFonts w:ascii="Segoe UI Light" w:hAnsi="Segoe UI Light" w:cs="Segoe UI Light"/>
          <w:bCs/>
          <w:i/>
          <w:iCs/>
          <w:color w:val="000000"/>
          <w:sz w:val="12"/>
          <w:szCs w:val="12"/>
        </w:rPr>
        <w:t xml:space="preserve"> (2019)</w:t>
      </w:r>
      <w:r w:rsidR="004001EB">
        <w:rPr>
          <w:rFonts w:ascii="Segoe UI Light" w:hAnsi="Segoe UI Light" w:cs="Segoe UI Light"/>
          <w:bCs/>
          <w:i/>
          <w:iCs/>
          <w:color w:val="000000"/>
          <w:sz w:val="12"/>
          <w:szCs w:val="12"/>
        </w:rPr>
        <w:tab/>
      </w:r>
      <w:r w:rsidR="004001EB">
        <w:rPr>
          <w:rFonts w:ascii="Segoe UI Light" w:hAnsi="Segoe UI Light" w:cs="Segoe UI Light"/>
          <w:bCs/>
          <w:i/>
          <w:iCs/>
          <w:color w:val="000000"/>
          <w:sz w:val="12"/>
          <w:szCs w:val="12"/>
        </w:rPr>
        <w:tab/>
      </w:r>
    </w:p>
    <w:p w14:paraId="4F04790D" w14:textId="719890F4" w:rsidR="0087629E" w:rsidRPr="00624D23" w:rsidRDefault="0087629E"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i/>
          <w:iCs/>
          <w:color w:val="000000"/>
          <w:sz w:val="12"/>
          <w:szCs w:val="12"/>
        </w:rPr>
      </w:pPr>
    </w:p>
    <w:p w14:paraId="7859296D" w14:textId="77777777" w:rsidR="00927285" w:rsidRDefault="009C3742"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color w:val="000000"/>
          <w:sz w:val="16"/>
          <w:szCs w:val="16"/>
        </w:rPr>
      </w:pPr>
      <w:r w:rsidRPr="00B94AEA">
        <w:rPr>
          <w:rFonts w:ascii="Segoe UI Light" w:hAnsi="Segoe UI Light" w:cs="Segoe UI Light"/>
          <w:bCs/>
          <w:color w:val="000000"/>
          <w:sz w:val="16"/>
          <w:szCs w:val="16"/>
        </w:rPr>
        <w:t>Darba devējiem ir būtiska loma pieaugušo izglītības finansēšanā. Darbinieku profesionālās kvalifikācijas celšanas izmaksu īpatsvars kopējās uzņēmumu darbaspēka izmaksās Latvijā ir viszemākās (0,8%) starp ES valstīm. Vidēji ES tie ir 1,7%, bet, piemēram, Dānijā 2,7%, un Francijā 2,5 procenti.</w:t>
      </w:r>
    </w:p>
    <w:p w14:paraId="52AF789F" w14:textId="38BA5095" w:rsidR="00927285" w:rsidRDefault="155B5364"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color w:val="000000"/>
          <w:sz w:val="16"/>
          <w:szCs w:val="16"/>
        </w:rPr>
      </w:pPr>
      <w:r w:rsidRPr="00927285">
        <w:rPr>
          <w:rFonts w:ascii="Segoe UI Light" w:hAnsi="Segoe UI Light" w:cs="Segoe UI Light"/>
          <w:bCs/>
          <w:color w:val="000000"/>
          <w:sz w:val="16"/>
          <w:szCs w:val="16"/>
        </w:rPr>
        <w:t xml:space="preserve">Līdzīgi kā citās ES valstīs, arī Latvijā lielie uzņēmumi apmācībām tērē lielāku daļu no savām kopējām darbaspēka izmaksām nekā MVU. Tā kā MVU darbinieku dalības līmenis pieaugušo izglītības aktivitātēs ierasti ir zemāks, un lielākā daļa darbinieku Latvijā strādā mazajos un vidējos uzņēmumos, nozīmīga loma ir valsts politikai, lai atbalstītu MVU finansiālo kapacitāti nodrošināt pieaugušo izglītību. Kopumā izdevumu līmenis apmācībām Latvijas uzņēmumos neatkarīgi no to lieluma ir ievērojami zemāks nekā līdzīga lieluma uzņēmumos ES. Ir atšķirības arī starp nozarēm. Latvijā visvairāk no savām darbaspēka izmaksām mācībām tērē  IKT, finanšu un apdrošināšanas nozares uzņēmumi. Tam seko uzņēmumi zinātniskajā un pakalpojumu jomā; būvniecībā; tirdzniecībā, transportā un uzglabāšanā, izmitināšana un ēdināšanas pakalpojumos; un visbeidzot rūpniecība. Tomēr neatkarīgi no nozares, kurā darbojas Latvijas uzņēmumi, tie visi tērē mazāk nekā  uzņēmumi ES. </w:t>
      </w:r>
      <w:r w:rsidR="7A74AD50" w:rsidRPr="00927285">
        <w:rPr>
          <w:rFonts w:ascii="Segoe UI Light" w:hAnsi="Segoe UI Light" w:cs="Segoe UI Light"/>
          <w:bCs/>
          <w:color w:val="000000"/>
          <w:sz w:val="16"/>
          <w:szCs w:val="16"/>
        </w:rPr>
        <w:t>Turklāt Latvijas uzņēmumi visbiežāk izvēlas īsas, neformālas apmācību programmas, kas ir lētākas un īsākas. Parasti tajās var iegūt tikai apmeklējumu apliecinošu neoficiālu sertifikātu, kas nozīmē, ka darba ņēmēju iegūtās prasmes ne vienmēr tiek atzītas darba tirgū, vājinot viņu spēju pilnībā izmantot ieguvumus, ko sniedz viņu dalība apmācībā, un samazinot viņu motivāciju izmantot mācīšanās iespējas.</w:t>
      </w:r>
      <w:r w:rsidR="00927285" w:rsidRPr="00927285">
        <w:rPr>
          <w:rFonts w:ascii="Segoe UI Light" w:hAnsi="Segoe UI Light" w:cs="Segoe UI Light"/>
          <w:bCs/>
          <w:color w:val="000000"/>
          <w:sz w:val="16"/>
          <w:szCs w:val="16"/>
          <w:vertAlign w:val="superscript"/>
        </w:rPr>
        <w:t>1</w:t>
      </w:r>
    </w:p>
    <w:p w14:paraId="358CCA7F" w14:textId="3B5F50E7" w:rsidR="009C3742" w:rsidRDefault="009C3742"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color w:val="000000"/>
          <w:sz w:val="16"/>
          <w:szCs w:val="16"/>
        </w:rPr>
      </w:pPr>
      <w:r w:rsidRPr="00B94AEA">
        <w:rPr>
          <w:rFonts w:ascii="Segoe UI Light" w:hAnsi="Segoe UI Light" w:cs="Segoe UI Light"/>
          <w:bCs/>
          <w:color w:val="000000"/>
          <w:sz w:val="16"/>
          <w:szCs w:val="16"/>
        </w:rPr>
        <w:t>Uzņēmēji var tikt motivēti veikt ieguldījumus darbinieku zināšanu, prasmju un iemaņu attīstībā, lai nodrošinātu uzņēmuma produktivitāti, taču tas arī samazinās izmaksas saistībā ar jaunu darbinieku pieņemšanu darbā, sekmēs darbinieku motivāciju un pozitīvo attieksmi pret darba devēju, lojalitāti, paaugstinās uzņēmuma reputāciju, palīdzēs noturēt darbiniekus un, iespējams, nākotnē uzņēmumam būs vieglāk piesaistīt labus darbiniekus un talantus. Iegūstot jaunas zināšanas un prasmes, darbinieki kļūst daudzpusīgāki, spēj pildīt dažādākus pienākumus, uzdevumus. Nodrošinot un vai ieguldot mācībās, lai tās būtu efektīvas, tas liek arī uzņēmējam domāt par nākotnes tendencēm un plānot uzņēmuma attīstību, kā arī sekot līdzi mācību kvalitātei.</w:t>
      </w:r>
    </w:p>
    <w:p w14:paraId="10C9B3CE" w14:textId="0F97418C" w:rsidR="009C3742" w:rsidRDefault="5531B6E1"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cs="Segoe UI Light"/>
          <w:color w:val="000000"/>
          <w:sz w:val="16"/>
          <w:szCs w:val="16"/>
        </w:rPr>
      </w:pPr>
      <w:r w:rsidRPr="4398C881">
        <w:rPr>
          <w:rFonts w:ascii="Segoe UI Light" w:hAnsi="Segoe UI Light" w:cs="Segoe UI Light"/>
          <w:color w:val="000000"/>
          <w:sz w:val="16"/>
          <w:szCs w:val="16"/>
        </w:rPr>
        <w:t>Tomēr ieguldījumi darbinieku izaugsmē ir saistīti arī ar tādām izmaksām kā mācību maksa, laiks ārpus darba, izdevumi par mācību vietu un materiālu nodrošināšanu u.c. Tādēļ darbinieku mācībās vairāk iegulda lielie uzņēmumi, kur ir iespējams mācību izmaksas izdalīt uz lielāku darbinieku skaitu, ņemot vērā to, ka nereti līdzīgus darba uzdevumus veic vairāki uzņēmuma darbinieki. Savukārt mazos uzņēmumos šī iemesla dēļ ir lielākas izmaksas uz 1 darbinieku, un tas var atturēt darba devējus no ieguldījumiem darbinieku izglītībā. Turklāt darba devēji var vairīties ieguldīt darbinieku prasmju attīstībā, ja uzskata, ka tas nesniedz tūlītējus ieguvumus, vai arī ja nav pietiekami informēti par valsts atbalstu, kas pieejams šādam nolūkam</w:t>
      </w:r>
      <w:r w:rsidR="009C3742" w:rsidRPr="4398C881">
        <w:rPr>
          <w:rStyle w:val="FootnoteReference"/>
          <w:rFonts w:ascii="Segoe UI Light" w:hAnsi="Segoe UI Light" w:cs="Segoe UI Light"/>
          <w:color w:val="000000"/>
          <w:sz w:val="16"/>
          <w:szCs w:val="16"/>
        </w:rPr>
        <w:footnoteReference w:id="7"/>
      </w:r>
      <w:r w:rsidRPr="4398C881">
        <w:rPr>
          <w:rFonts w:ascii="Segoe UI Light" w:hAnsi="Segoe UI Light" w:cs="Segoe UI Light"/>
          <w:color w:val="000000"/>
          <w:sz w:val="16"/>
          <w:szCs w:val="16"/>
        </w:rPr>
        <w:t>.</w:t>
      </w:r>
      <w:r w:rsidR="00CA6062" w:rsidRPr="00CA6062">
        <w:rPr>
          <w:rFonts w:ascii="Segoe UI Light" w:hAnsi="Segoe UI Light" w:cs="Segoe UI Light"/>
          <w:color w:val="000000" w:themeColor="text1"/>
          <w:sz w:val="16"/>
          <w:szCs w:val="16"/>
        </w:rPr>
        <w:t xml:space="preserve"> </w:t>
      </w:r>
      <w:r w:rsidR="00CA6062" w:rsidRPr="4398C881">
        <w:rPr>
          <w:rFonts w:ascii="Segoe UI Light" w:hAnsi="Segoe UI Light" w:cs="Segoe UI Light"/>
          <w:color w:val="000000" w:themeColor="text1"/>
          <w:sz w:val="16"/>
          <w:szCs w:val="16"/>
        </w:rPr>
        <w:t>Arī OECD novērtējusi, ka lielos uzņēmumos, tai skaitā valsts kapitālsabiedrībās, ar lielāku cilvēkresursu kapacitāti, bieži vien mācības darbiniekiem tiek  nodrošinātas uzņēmumā. MVU mācības pēc vajadzības jeb pieprasījuma nodrošina ārējie izglītības pakalpojumu sniedzēji.</w:t>
      </w:r>
    </w:p>
    <w:p w14:paraId="77630D5E" w14:textId="1317D1D2" w:rsidR="009C3742" w:rsidRPr="003A70B1" w:rsidRDefault="009C3742" w:rsidP="0087629E">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both"/>
        <w:rPr>
          <w:rFonts w:ascii="Segoe UI Light" w:hAnsi="Segoe UI Light" w:cs="Segoe UI Light"/>
          <w:bCs/>
          <w:color w:val="000000"/>
          <w:sz w:val="4"/>
          <w:szCs w:val="4"/>
        </w:rPr>
      </w:pPr>
    </w:p>
    <w:p w14:paraId="4F584005" w14:textId="6B814A20" w:rsidR="005E175A" w:rsidRPr="001231A9" w:rsidRDefault="005E175A">
      <w:pPr>
        <w:spacing w:after="0"/>
        <w:rPr>
          <w:highlight w:val="yellow"/>
        </w:rPr>
      </w:pPr>
      <w:r w:rsidRPr="001231A9">
        <w:rPr>
          <w:highlight w:val="yellow"/>
        </w:rPr>
        <w:br w:type="page"/>
      </w:r>
    </w:p>
    <w:p w14:paraId="22E07C21" w14:textId="4076CBE0" w:rsidR="00667A1F" w:rsidRPr="00417159" w:rsidRDefault="00667A1F" w:rsidP="00667A1F">
      <w:pPr>
        <w:pStyle w:val="Heading1"/>
        <w:rPr>
          <w:color w:val="auto"/>
        </w:rPr>
      </w:pPr>
      <w:bookmarkStart w:id="55" w:name="_Toc106366798"/>
      <w:bookmarkStart w:id="56" w:name="_Toc517876437"/>
      <w:r w:rsidRPr="00417159">
        <w:rPr>
          <w:color w:val="auto"/>
        </w:rPr>
        <w:lastRenderedPageBreak/>
        <w:t xml:space="preserve">3. </w:t>
      </w:r>
      <w:r w:rsidR="00A42DA9" w:rsidRPr="00417159">
        <w:rPr>
          <w:caps w:val="0"/>
          <w:color w:val="auto"/>
        </w:rPr>
        <w:t>DARBA TIRGUS VIDĒJĀ UN ILGTERMIŅA PROGNOZES</w:t>
      </w:r>
      <w:bookmarkEnd w:id="55"/>
    </w:p>
    <w:p w14:paraId="5E701903" w14:textId="77777777" w:rsidR="005E175A" w:rsidRPr="00417159" w:rsidRDefault="005E175A" w:rsidP="005E175A">
      <w:pPr>
        <w:pStyle w:val="Heading2"/>
        <w:rPr>
          <w:color w:val="auto"/>
        </w:rPr>
      </w:pPr>
      <w:bookmarkStart w:id="57" w:name="_Toc106366799"/>
      <w:r w:rsidRPr="00417159">
        <w:rPr>
          <w:color w:val="auto"/>
        </w:rPr>
        <w:t>3.1. Ekonomikas ministrijas darba tirgus prognožu izstrādes metodoloģija</w:t>
      </w:r>
      <w:bookmarkEnd w:id="56"/>
      <w:bookmarkEnd w:id="57"/>
    </w:p>
    <w:p w14:paraId="3319E478" w14:textId="77777777" w:rsidR="00667A1F" w:rsidRPr="001231A9" w:rsidRDefault="00667A1F" w:rsidP="005E175A">
      <w:pPr>
        <w:jc w:val="both"/>
        <w:rPr>
          <w:b/>
          <w:szCs w:val="20"/>
          <w:highlight w:val="yellow"/>
        </w:rPr>
      </w:pPr>
    </w:p>
    <w:p w14:paraId="5EAF96E8" w14:textId="77777777" w:rsidR="001231A9" w:rsidRPr="003B4CDA" w:rsidRDefault="001231A9" w:rsidP="001231A9">
      <w:pPr>
        <w:jc w:val="both"/>
        <w:rPr>
          <w:b/>
          <w:szCs w:val="20"/>
        </w:rPr>
      </w:pPr>
      <w:r w:rsidRPr="003B4CDA">
        <w:rPr>
          <w:b/>
          <w:szCs w:val="20"/>
        </w:rPr>
        <w:t>EM darba tirgus prognozes</w:t>
      </w:r>
    </w:p>
    <w:p w14:paraId="113D3C7E" w14:textId="07876543" w:rsidR="001231A9" w:rsidRPr="003B4CDA" w:rsidRDefault="25D85A6B" w:rsidP="001231A9">
      <w:pPr>
        <w:jc w:val="both"/>
      </w:pPr>
      <w:r>
        <w:t>EM sagatavo un aktualizē vidēja termiņa darba tirgus prognozes kopš 2008. gada. Sākot ar 2011. gadu, tiek sagatavotas arī ilgtermiņa prognozes. Darba tirgus prognozes balstās uz EM izstrādātajiem tautsaimniecības attīstības un demogrāfijas scenārijiem, kuru pamatā ir Latvijas vidēja un ilgtermiņa izaugsmes mērķi, kas noteikti Latvijas stratēģiskos plānošanas dokumentos – Latvijas ilgtspējīgas attīstības stratēģijā „Latvija 2030” un Latvijas Nacionālajā attīstības plāns 2021.-2027. gadam.</w:t>
      </w:r>
    </w:p>
    <w:p w14:paraId="75466B10" w14:textId="77777777" w:rsidR="001231A9" w:rsidRPr="003B4CDA" w:rsidRDefault="001231A9" w:rsidP="001231A9">
      <w:pPr>
        <w:jc w:val="both"/>
        <w:rPr>
          <w:szCs w:val="20"/>
        </w:rPr>
      </w:pPr>
      <w:r w:rsidRPr="003B4CDA">
        <w:rPr>
          <w:szCs w:val="20"/>
        </w:rPr>
        <w:t>Prognožu izpildīšanās priekšnosacījumi ir cieši saistīti ar Latvijas spēju realizēt nospraustos mērķos un ieviest nepieciešamās strukturālās reformas, kas būtu vērstas uz izaugsmes potenciāla stiprināšanu. Tāpēc prognozes būtu jāaplūko tiešā kontekstā ar reformu progresu un jāņem vērā iespējamās politikas uzsvaru izmaiņas.</w:t>
      </w:r>
    </w:p>
    <w:p w14:paraId="298634FB" w14:textId="77777777" w:rsidR="001231A9" w:rsidRPr="003B4CDA" w:rsidRDefault="001231A9" w:rsidP="001231A9">
      <w:pPr>
        <w:jc w:val="both"/>
        <w:rPr>
          <w:szCs w:val="20"/>
        </w:rPr>
      </w:pPr>
      <w:r w:rsidRPr="003B4CDA">
        <w:rPr>
          <w:szCs w:val="20"/>
        </w:rPr>
        <w:t>Darba tirgus prognozes ir viens no instrumentiem, kas ļauj priekšlaicīgi paredzēt darba tirgus neatbilstību veidošanos nākotnē un ļauj nodrošināt efektīvāku darba resursu sadalījumu tautsaimniecībā. Tās parāda iespējamās darba tirgus attīstības tendences un iespējamos riskus, ņemot vērā paredzamās izmaiņas izglītības piedāvājuma struktūrā.</w:t>
      </w:r>
    </w:p>
    <w:p w14:paraId="1CAB57E1" w14:textId="77777777" w:rsidR="001231A9" w:rsidRPr="003B4CDA" w:rsidRDefault="001231A9" w:rsidP="001231A9">
      <w:pPr>
        <w:jc w:val="both"/>
        <w:rPr>
          <w:szCs w:val="20"/>
        </w:rPr>
      </w:pPr>
      <w:r>
        <w:rPr>
          <w:szCs w:val="20"/>
        </w:rPr>
        <w:t xml:space="preserve">EM </w:t>
      </w:r>
      <w:r w:rsidRPr="003B4CDA">
        <w:rPr>
          <w:szCs w:val="20"/>
        </w:rPr>
        <w:t xml:space="preserve">vidēja </w:t>
      </w:r>
      <w:r>
        <w:rPr>
          <w:szCs w:val="20"/>
        </w:rPr>
        <w:t xml:space="preserve">un ilgtermiņa </w:t>
      </w:r>
      <w:r w:rsidRPr="003B4CDA">
        <w:rPr>
          <w:szCs w:val="20"/>
        </w:rPr>
        <w:t>darba tirgus prognozes ir tikai viens no posmiem darbaspēka piedāvājuma pielāgošanas procesā. Tā ir kvantitatīva bāze tālākām diskusijām starp nodarbinātības, izglītības un struktūrpolitikas veidotājiem, sociālajiem partneriem, zinātniekiem un citām iesaistītām pusēm, lai savlaicīgi sagatavotos un pielāgotos sagaidāmajām strukturālajām izmaiņām tautsaimniecībā.</w:t>
      </w:r>
    </w:p>
    <w:p w14:paraId="4A7F132D" w14:textId="7B6B0253" w:rsidR="001231A9" w:rsidRPr="003B4CDA" w:rsidRDefault="00927285" w:rsidP="001231A9">
      <w:pPr>
        <w:jc w:val="both"/>
        <w:rPr>
          <w:b/>
          <w:szCs w:val="20"/>
        </w:rPr>
      </w:pPr>
      <w:r>
        <w:rPr>
          <w:b/>
          <w:szCs w:val="20"/>
        </w:rPr>
        <w:br/>
      </w:r>
      <w:r w:rsidR="001231A9" w:rsidRPr="003B4CDA">
        <w:rPr>
          <w:b/>
          <w:szCs w:val="20"/>
        </w:rPr>
        <w:t>Darba tirgus prognozēšanas modelis</w:t>
      </w:r>
    </w:p>
    <w:p w14:paraId="080F8A48" w14:textId="70447256" w:rsidR="001231A9" w:rsidRPr="003B4CDA" w:rsidRDefault="25D85A6B" w:rsidP="001231A9">
      <w:pPr>
        <w:jc w:val="both"/>
      </w:pPr>
      <w:r w:rsidRPr="4398C881">
        <w:t xml:space="preserve">EM darba tirgus prognozēšanas metodoloģijas pamati izriet no 2007. gadā ESF projekta </w:t>
      </w:r>
      <w:r w:rsidRPr="4398C881">
        <w:rPr>
          <w:i/>
          <w:iCs/>
        </w:rPr>
        <w:t>„Darba tirgus pieprasījuma ilgtermiņa prognozēšanas sistēmas izpēte un pilnveidošanas iespēju analīze”</w:t>
      </w:r>
      <w:r w:rsidRPr="4398C881">
        <w:t xml:space="preserve"> ietvaros izveidotā darba tirgus prognozēšanas dinamiskā optimizācijas modeļa (DOM)</w:t>
      </w:r>
      <w:r w:rsidR="001231A9" w:rsidRPr="4398C881">
        <w:rPr>
          <w:rStyle w:val="FootnoteReference"/>
        </w:rPr>
        <w:footnoteReference w:id="8"/>
      </w:r>
      <w:r w:rsidRPr="4398C881">
        <w:t>. Laika gaitā darba tirgus prognozēšanas metodoloģija un DOM modelis ir būtiski pilnveidoti. No 2011. līdz 2013. gadam, īstenojot ESF projekta aktivitāti „</w:t>
      </w:r>
      <w:r w:rsidRPr="4398C881">
        <w:rPr>
          <w:i/>
          <w:iCs/>
        </w:rPr>
        <w:t>Darba tirgus vidēja un ilgtermiņa prognozēšanas instrumentārija pilnveide</w:t>
      </w:r>
      <w:r w:rsidRPr="4398C881">
        <w:t>”, EM sadarbībā ar Rīgas Tehnisko universitāti ir pilnveidojusi sākotnējo darba tirgus prognozēšanas metodoloģiju un modeli.</w:t>
      </w:r>
      <w:r w:rsidR="001231A9" w:rsidRPr="4398C881">
        <w:rPr>
          <w:rStyle w:val="FootnoteReference"/>
        </w:rPr>
        <w:footnoteReference w:id="9"/>
      </w:r>
      <w:r w:rsidRPr="4398C881">
        <w:t xml:space="preserve"> Savukārt no 2017.-2019. gadam sadarbībā ar SIA </w:t>
      </w:r>
      <w:r w:rsidRPr="003B4CDA">
        <w:rPr>
          <w:iCs/>
          <w:szCs w:val="20"/>
        </w:rPr>
        <w:t>„</w:t>
      </w:r>
      <w:r w:rsidRPr="4398C881">
        <w:t xml:space="preserve">AC Konsultācijas” pētījuma </w:t>
      </w:r>
      <w:r w:rsidRPr="4398C881">
        <w:rPr>
          <w:i/>
          <w:iCs/>
        </w:rPr>
        <w:t xml:space="preserve">„Darba tirgus apsteidzošo pārkārtojumu sistēmas izveides iespējas un vidēja un ilgtermiņa darba tirgus prognožu sasaiste ar </w:t>
      </w:r>
      <w:proofErr w:type="spellStart"/>
      <w:r w:rsidRPr="4398C881">
        <w:rPr>
          <w:i/>
          <w:iCs/>
        </w:rPr>
        <w:t>rīcībpolitiku</w:t>
      </w:r>
      <w:proofErr w:type="spellEnd"/>
      <w:r w:rsidRPr="4398C881">
        <w:rPr>
          <w:i/>
          <w:iCs/>
        </w:rPr>
        <w:t>”</w:t>
      </w:r>
      <w:r w:rsidR="001231A9" w:rsidRPr="4398C881">
        <w:rPr>
          <w:rStyle w:val="FootnoteReference"/>
        </w:rPr>
        <w:footnoteReference w:id="10"/>
      </w:r>
      <w:r w:rsidRPr="4398C881">
        <w:t xml:space="preserve"> aktualizēti darba tirgus prognozēšanas modeļa pieņēmumi par profesiju standartiem atbilstošo izglītību (profesiju-izglītības atbilstības pieņēmumi). Jaunie profesiju-izglītības atbilstības pieņēmumi integrēti modelī un darba tirgus prognozēs sākot ar 2020. gadu. Profesiju-izglītības atbilstības pieņēmumus EM regulāri pārskata, ņemot vērā gan izmaiņas profesiju standartus, gan izglītības saturā, kā arī konsultējoties ar nozaru ekspertiem.</w:t>
      </w:r>
    </w:p>
    <w:p w14:paraId="573892F8" w14:textId="77777777" w:rsidR="001231A9" w:rsidRPr="003B4CDA" w:rsidRDefault="001231A9" w:rsidP="001231A9">
      <w:pPr>
        <w:jc w:val="both"/>
        <w:rPr>
          <w:szCs w:val="20"/>
        </w:rPr>
      </w:pPr>
      <w:r w:rsidRPr="003B4CDA">
        <w:rPr>
          <w:szCs w:val="20"/>
        </w:rPr>
        <w:t xml:space="preserve">Darba tirgus modelēšanā tiek izmantota </w:t>
      </w:r>
      <w:proofErr w:type="spellStart"/>
      <w:r w:rsidRPr="003B4CDA">
        <w:rPr>
          <w:szCs w:val="20"/>
        </w:rPr>
        <w:t>sistēmdinamikas</w:t>
      </w:r>
      <w:proofErr w:type="spellEnd"/>
      <w:r w:rsidRPr="003B4CDA">
        <w:rPr>
          <w:szCs w:val="20"/>
        </w:rPr>
        <w:t xml:space="preserve"> pieeja. Prognozēšanas metodoloģija balstīta uz daļēja līdzsvara principiem, kur darba tirgus pieprasījuma stimuli ir determinēti un izriet no nospraustiem ekonomikas izaugsmes mērķiem, bet darbaspēka piedāvājums ilgtermiņā pielāgojās darba tirgus pieprasījumam un relatīvā atalgojumā izmaiņām.</w:t>
      </w:r>
    </w:p>
    <w:p w14:paraId="306B1161" w14:textId="77777777" w:rsidR="001231A9" w:rsidRPr="003B4CDA" w:rsidRDefault="001231A9" w:rsidP="001231A9">
      <w:pPr>
        <w:jc w:val="both"/>
        <w:rPr>
          <w:szCs w:val="26"/>
        </w:rPr>
      </w:pPr>
      <w:r w:rsidRPr="003B4CDA">
        <w:rPr>
          <w:szCs w:val="26"/>
        </w:rPr>
        <w:t xml:space="preserve">Darba tirgus prognozēšanas modelis sastāv no trīs </w:t>
      </w:r>
      <w:proofErr w:type="spellStart"/>
      <w:r w:rsidRPr="003B4CDA">
        <w:rPr>
          <w:szCs w:val="26"/>
        </w:rPr>
        <w:t>pamatblokiem</w:t>
      </w:r>
      <w:proofErr w:type="spellEnd"/>
      <w:r w:rsidRPr="003B4CDA">
        <w:rPr>
          <w:szCs w:val="26"/>
        </w:rPr>
        <w:t xml:space="preserve">: pieprasījuma bloka, piedāvājuma bloka un darba tirgus bloka. Visi bloki ir savstarpēji saistīti un viens otru papildinoši (skatīt 3.1. attēlu). Modeļa darbības </w:t>
      </w:r>
      <w:r w:rsidRPr="003B4CDA">
        <w:rPr>
          <w:szCs w:val="26"/>
        </w:rPr>
        <w:lastRenderedPageBreak/>
        <w:t>pamatprincipi un loģika ir balstīta uz darba tirgus līdzsvara konceptu, t.i., ilgākā laika periodā dažādos darba tirgus segmentos darbaspēka pieprasījums un piedāvājums līdzsvarojas.</w:t>
      </w:r>
    </w:p>
    <w:p w14:paraId="1686958D" w14:textId="71FEBF96" w:rsidR="001231A9" w:rsidRDefault="001231A9" w:rsidP="001231A9">
      <w:pPr>
        <w:jc w:val="right"/>
        <w:rPr>
          <w:szCs w:val="20"/>
        </w:rPr>
      </w:pPr>
      <w:r w:rsidRPr="003B4CDA">
        <w:rPr>
          <w:szCs w:val="20"/>
        </w:rPr>
        <w:t>3.1. attēls</w:t>
      </w:r>
    </w:p>
    <w:p w14:paraId="03D179EE" w14:textId="77777777" w:rsidR="00A408E7" w:rsidRPr="003B4CDA" w:rsidRDefault="00A408E7" w:rsidP="00927285">
      <w:pPr>
        <w:spacing w:after="0"/>
        <w:jc w:val="center"/>
        <w:rPr>
          <w:rFonts w:ascii="Segoe UI Light" w:hAnsi="Segoe UI Light"/>
          <w:b/>
          <w:sz w:val="18"/>
          <w:szCs w:val="26"/>
        </w:rPr>
      </w:pPr>
      <w:r w:rsidRPr="003B4CDA">
        <w:rPr>
          <w:rFonts w:ascii="Segoe UI Light" w:hAnsi="Segoe UI Light"/>
          <w:b/>
          <w:sz w:val="18"/>
          <w:szCs w:val="26"/>
        </w:rPr>
        <w:t>Darba tirgus prognozēšanas modeļa loģiskā struktūra</w:t>
      </w:r>
    </w:p>
    <w:p w14:paraId="163F4E72" w14:textId="77777777" w:rsidR="00A408E7" w:rsidRPr="003B4CDA" w:rsidRDefault="00A408E7" w:rsidP="00A408E7">
      <w:pPr>
        <w:spacing w:after="0"/>
        <w:jc w:val="center"/>
        <w:rPr>
          <w:sz w:val="28"/>
          <w:szCs w:val="28"/>
        </w:rPr>
      </w:pPr>
      <w:r w:rsidRPr="003B4CDA">
        <w:rPr>
          <w:noProof/>
          <w:sz w:val="26"/>
          <w:szCs w:val="26"/>
          <w:lang w:eastAsia="lv-LV"/>
        </w:rPr>
        <mc:AlternateContent>
          <mc:Choice Requires="wps">
            <w:drawing>
              <wp:anchor distT="0" distB="0" distL="114300" distR="114300" simplePos="0" relativeHeight="251658258" behindDoc="0" locked="0" layoutInCell="1" allowOverlap="1" wp14:anchorId="14228E20" wp14:editId="0CB31A80">
                <wp:simplePos x="0" y="0"/>
                <wp:positionH relativeFrom="column">
                  <wp:posOffset>248333</wp:posOffset>
                </wp:positionH>
                <wp:positionV relativeFrom="paragraph">
                  <wp:posOffset>2793485</wp:posOffset>
                </wp:positionV>
                <wp:extent cx="5163820" cy="448945"/>
                <wp:effectExtent l="0" t="0" r="0" b="8255"/>
                <wp:wrapNone/>
                <wp:docPr id="178" name="Rounded 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3820" cy="448945"/>
                        </a:xfrm>
                        <a:prstGeom prst="roundRect">
                          <a:avLst>
                            <a:gd name="adj" fmla="val 7049"/>
                          </a:avLst>
                        </a:prstGeom>
                        <a:solidFill>
                          <a:schemeClr val="accent4">
                            <a:lumMod val="20000"/>
                            <a:lumOff val="80000"/>
                          </a:schemeClr>
                        </a:solidFill>
                        <a:ln w="9525">
                          <a:noFill/>
                          <a:round/>
                          <a:headEnd/>
                          <a:tailEnd/>
                        </a:ln>
                      </wps:spPr>
                      <wps:txbx>
                        <w:txbxContent>
                          <w:p w14:paraId="4E78DB11" w14:textId="77777777" w:rsidR="005A28CF" w:rsidRPr="002612A6" w:rsidRDefault="005A28CF" w:rsidP="00A408E7">
                            <w:pPr>
                              <w:shd w:val="clear" w:color="auto" w:fill="E5DFEC" w:themeFill="accent4" w:themeFillTint="33"/>
                              <w:spacing w:after="0"/>
                              <w:jc w:val="center"/>
                              <w:rPr>
                                <w:rFonts w:ascii="Segoe UI Light" w:hAnsi="Segoe UI Light"/>
                                <w:sz w:val="16"/>
                                <w:szCs w:val="16"/>
                              </w:rPr>
                            </w:pPr>
                            <w:r w:rsidRPr="002612A6">
                              <w:rPr>
                                <w:rFonts w:ascii="Segoe UI Light" w:hAnsi="Segoe UI Light"/>
                                <w:sz w:val="16"/>
                                <w:szCs w:val="16"/>
                              </w:rPr>
                              <w:t>Ārējā vide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228E20" id="Rounded Rectangle 114" o:spid="_x0000_s1032" style="position:absolute;left:0;text-align:left;margin-left:19.55pt;margin-top:219.95pt;width:406.6pt;height:35.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PhVwIAAJQEAAAOAAAAZHJzL2Uyb0RvYy54bWysVNty0zAQfWeGf9DonToOTpt46nQ6LWWY&#10;4dJp4QMUSY4FslaslDjl61nJTgnwxvDi0a6kszrn7Pry6tBbttcYDLiGl2czzrSToIzbNvzL57tX&#10;S85CFE4JC043/EkHfrV++eJy8LWeQwdWaWQE4kI9+IZ3Mfq6KILsdC/CGXjtaLMF7EWkELeFQjEQ&#10;em+L+Wx2XgyAyiNIHQJlb8dNvs74batl/NS2QUdmG05vi/mL+btJ32J9KeotCt8ZOT1D/MMremEc&#10;FX2GuhVRsB2av6B6IxECtPFMQl9A2xqpMwdiU87+YPPYCa8zFxIn+GeZwv+DlR/398iMIu8uyCon&#10;ejLpAXZOacUeSD7htlazsqySVIMPNd149PeYyAb/HuS3wBzcdHROXyPC0Gmh6IFlOl/8diEFga6y&#10;zfABFNURuwhZtUOLfQIkPdghm/P0bI4+RCYpuSjPXy/n5KGkvaparqpFLiHq422PIb7V0LO0aDgm&#10;FolCLiH270PMDqmJpVBfOWt7S37vhWUXs2o1AU5nC1EfITNbsEbdGWtzkBpU31hkdJeYSKldrHIl&#10;u+uJ3pinFp1NTUZpasUxvTymqURu9YREclF0WsQ6NjR8tZgvMrCDVD13bOaWV0nuN07ldRTGjmtC&#10;sm7SP0k+WhcPm0P2+vxo5gbUExmCMA4GDTItOsAfnA00FA0P33cCNWf2nSNTV2VVpSnKQbW4SHbg&#10;6c7mdEc4SVANlxE5G4ObOM7ezqPZdlSrnJhdUyu0Jh57ZnzXRIBaP2szjWmardM4n/r1M1n/BAAA&#10;//8DAFBLAwQUAAYACAAAACEAtMTM/OMAAAAKAQAADwAAAGRycy9kb3ducmV2LnhtbEyPy07DMBBF&#10;90j8gzVI7KidhkRNiFPxKAgWVGpBwNKNhyQiHofYbZO/x6xgObpH954plqPp2AEH11qSEM0EMKTK&#10;6pZqCa8v9xcLYM4r0qqzhBImdLAsT08KlWt7pA0etr5moYRcriQ03vc5565q0Cg3sz1SyD7tYJQP&#10;51BzPahjKDcdnwuRcqNaCguN6vG2wepruzcSVs8f+vvpPVlFjzfpwx2Z6W0tJinPz8brK2AeR/8H&#10;w69+UIcyOO3snrRjnYQ4iwIp4TLOMmABWCTzGNhOQhKJFHhZ8P8vlD8AAAD//wMAUEsBAi0AFAAG&#10;AAgAAAAhALaDOJL+AAAA4QEAABMAAAAAAAAAAAAAAAAAAAAAAFtDb250ZW50X1R5cGVzXS54bWxQ&#10;SwECLQAUAAYACAAAACEAOP0h/9YAAACUAQAACwAAAAAAAAAAAAAAAAAvAQAAX3JlbHMvLnJlbHNQ&#10;SwECLQAUAAYACAAAACEApd3z4VcCAACUBAAADgAAAAAAAAAAAAAAAAAuAgAAZHJzL2Uyb0RvYy54&#10;bWxQSwECLQAUAAYACAAAACEAtMTM/OMAAAAKAQAADwAAAAAAAAAAAAAAAACxBAAAZHJzL2Rvd25y&#10;ZXYueG1sUEsFBgAAAAAEAAQA8wAAAMEFAAAAAA==&#10;" fillcolor="#e5dfec [663]" stroked="f">
                <v:textbox>
                  <w:txbxContent>
                    <w:p w14:paraId="4E78DB11" w14:textId="77777777" w:rsidR="005A28CF" w:rsidRPr="002612A6" w:rsidRDefault="005A28CF" w:rsidP="00A408E7">
                      <w:pPr>
                        <w:shd w:val="clear" w:color="auto" w:fill="E5DFEC" w:themeFill="accent4" w:themeFillTint="33"/>
                        <w:spacing w:after="0"/>
                        <w:jc w:val="center"/>
                        <w:rPr>
                          <w:rFonts w:ascii="Segoe UI Light" w:hAnsi="Segoe UI Light"/>
                          <w:sz w:val="16"/>
                          <w:szCs w:val="16"/>
                        </w:rPr>
                      </w:pPr>
                      <w:r w:rsidRPr="002612A6">
                        <w:rPr>
                          <w:rFonts w:ascii="Segoe UI Light" w:hAnsi="Segoe UI Light"/>
                          <w:sz w:val="16"/>
                          <w:szCs w:val="16"/>
                        </w:rPr>
                        <w:t>Ārējā vide</w:t>
                      </w:r>
                    </w:p>
                  </w:txbxContent>
                </v:textbox>
              </v:roundrect>
            </w:pict>
          </mc:Fallback>
        </mc:AlternateContent>
      </w:r>
      <w:r w:rsidRPr="003B4CDA">
        <w:rPr>
          <w:noProof/>
          <w:sz w:val="26"/>
          <w:szCs w:val="26"/>
          <w:lang w:eastAsia="lv-LV"/>
        </w:rPr>
        <mc:AlternateContent>
          <mc:Choice Requires="wps">
            <w:drawing>
              <wp:anchor distT="0" distB="0" distL="114300" distR="114300" simplePos="0" relativeHeight="251658256" behindDoc="0" locked="0" layoutInCell="1" allowOverlap="1" wp14:anchorId="4E0C4ECE" wp14:editId="4938186A">
                <wp:simplePos x="0" y="0"/>
                <wp:positionH relativeFrom="column">
                  <wp:posOffset>402590</wp:posOffset>
                </wp:positionH>
                <wp:positionV relativeFrom="paragraph">
                  <wp:posOffset>1170940</wp:posOffset>
                </wp:positionV>
                <wp:extent cx="1268730" cy="619760"/>
                <wp:effectExtent l="0" t="0" r="64770" b="6604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619760"/>
                        </a:xfrm>
                        <a:prstGeom prst="rect">
                          <a:avLst/>
                        </a:prstGeom>
                        <a:solidFill>
                          <a:srgbClr val="FFFFFF"/>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0D790820"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Iedzīvotāju līdzdalība darba tirgū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0C4ECE" id="Text Box 115" o:spid="_x0000_s1033" type="#_x0000_t202" style="position:absolute;left:0;text-align:left;margin-left:31.7pt;margin-top:92.2pt;width:99.9pt;height:48.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jrkQIAACwFAAAOAAAAZHJzL2Uyb0RvYy54bWysVNtu2zAMfR+wfxD0vtpOm0uNOkXXrsOA&#10;7gK0w54ZWbaF6TZJid19/SipydL2bVgCGKJIHvFQh7q4nJQkO+68MLqh1UlJCdfMtEL3Df3+cPtu&#10;RYkPoFuQRvOGPnJPL9dv31yMtuYzMxjZckcQRPt6tA0dQrB1UXg2cAX+xFiu0dkZpyCg6fqidTAi&#10;upLFrCwXxWhca51h3HvcvclOuk74XcdZ+Np1ngciG4q1hfR16buJ32J9AXXvwA6CPZUB/1CFAqHx&#10;0APUDQQgWydeQSnBnPGmCyfMqMJ0nWA8cUA2VfmCzf0Alicu2BxvD23y/w+Wfdl9c0S0eHfVnBIN&#10;Ci/pgU+BvDcTiXvYodH6GgPvLYaGCR0Yndh6e2fYT0+0uR5A9/zKOTMOHFqssIqZxVFqxvERZDN+&#10;Ni0eBNtgEtDUORXbhw0hiI439Xi4nVgMi0fOFqvlKboY+hbV+XKRrq+Aep9tnQ8fuVEkLhrq8PYT&#10;OuzufIjVQL0PiYd5I0V7K6RMhus319KRHaBSbtMvEXgRJjUZYynLsswdeIYRVcsPKMAY12Ge4uRW&#10;IeWMvpyXmJ3rSUKPKam6ZxUpEXA0pFANXWFCToE6tveDbjEd6gBC5jVSkzpu8SR65BsNs0WI+6Ed&#10;SStiR05XFcKggRMQKURQArLH0WXBUeJM+CHCkHQX+/+qMasy/tM+SDtAJhT5HAjlPiY6h+OTdVRZ&#10;kkVUQtZEmDZT0uByr7aNaR9RJ1hPEgM+MLgYjPtNyYjD2lD/awuOUyI/adTaeXV2hkxCMs7myxka&#10;7tizOfaAZgj1RDkb1yG/CVvrRD/gWVnf2lyhQjuRxBOlnOtCOtHAkUzEnp6POPPHdor6+8it/wAA&#10;AP//AwBQSwMEFAAGAAgAAAAhAI5mEkHfAAAACgEAAA8AAABkcnMvZG93bnJldi54bWxMj81OwzAQ&#10;hO9IvIO1SFwq6pAWK0rjVKiIAydoQT278TaO8E8UO2l4e5YTvc3ujGa/rbazs2zCIXbBS3hcZsDQ&#10;N0F3vpXw9fn6UACLSXmtbPAo4QcjbOvbm0qVOlz8HqdDahmV+FgqCSalvuQ8NgadisvQoyfvHAan&#10;Eo1Dy/WgLlTuLM+zTHCnOk8XjOpxZ7D5PoxOwrRw+93ZPrXH9LEQon95H83bJOX93fy8AZZwTv9h&#10;+MMndKiJ6RRGryOzEsRqTUnaF2sSFMjFKgd2IlHkGfC64tcv1L8AAAD//wMAUEsBAi0AFAAGAAgA&#10;AAAhALaDOJL+AAAA4QEAABMAAAAAAAAAAAAAAAAAAAAAAFtDb250ZW50X1R5cGVzXS54bWxQSwEC&#10;LQAUAAYACAAAACEAOP0h/9YAAACUAQAACwAAAAAAAAAAAAAAAAAvAQAAX3JlbHMvLnJlbHNQSwEC&#10;LQAUAAYACAAAACEAJ0q465ECAAAsBQAADgAAAAAAAAAAAAAAAAAuAgAAZHJzL2Uyb0RvYy54bWxQ&#10;SwECLQAUAAYACAAAACEAjmYSQd8AAAAKAQAADwAAAAAAAAAAAAAAAADrBAAAZHJzL2Rvd25yZXYu&#10;eG1sUEsFBgAAAAAEAAQA8wAAAPcFAAAAAA==&#10;" strokecolor="#31849b [2408]" strokeweight="1pt">
                <v:shadow on="t" opacity=".5" offset=".74836mm,.74836mm"/>
                <v:textbox>
                  <w:txbxContent>
                    <w:p w14:paraId="0D790820"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Iedzīvotāju līdzdalība darba tirgū</w:t>
                      </w:r>
                    </w:p>
                  </w:txbxContent>
                </v:textbox>
              </v:shape>
            </w:pict>
          </mc:Fallback>
        </mc:AlternateContent>
      </w:r>
      <w:r w:rsidRPr="003B4CDA">
        <w:rPr>
          <w:noProof/>
          <w:sz w:val="26"/>
          <w:szCs w:val="26"/>
          <w:lang w:eastAsia="lv-LV"/>
        </w:rPr>
        <mc:AlternateContent>
          <mc:Choice Requires="wps">
            <w:drawing>
              <wp:anchor distT="0" distB="0" distL="114299" distR="114299" simplePos="0" relativeHeight="251658262" behindDoc="0" locked="0" layoutInCell="1" allowOverlap="1" wp14:anchorId="080D83B6" wp14:editId="0982917F">
                <wp:simplePos x="0" y="0"/>
                <wp:positionH relativeFrom="column">
                  <wp:posOffset>1024889</wp:posOffset>
                </wp:positionH>
                <wp:positionV relativeFrom="paragraph">
                  <wp:posOffset>2569845</wp:posOffset>
                </wp:positionV>
                <wp:extent cx="0" cy="224790"/>
                <wp:effectExtent l="76200" t="38100" r="57150" b="22860"/>
                <wp:wrapNone/>
                <wp:docPr id="179"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2135351D">
              <v:shapetype id="_x0000_t32" coordsize="21600,21600" o:oned="t" filled="f" o:spt="32" path="m,l21600,21600e" w14:anchorId="4AAAF166">
                <v:path fillok="f" arrowok="t" o:connecttype="none"/>
                <o:lock v:ext="edit" shapetype="t"/>
              </v:shapetype>
              <v:shape id="Straight Arrow Connector 179" style="position:absolute;margin-left:80.7pt;margin-top:202.35pt;width:0;height:17.7pt;flip:y;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U6wEAALoDAAAOAAAAZHJzL2Uyb0RvYy54bWysU8FuGyEQvVfqPyDu9dqrpqlXXkeV0/SS&#10;tpac9o6B3UUFBg3Yu/77DthykvZWlQMamJnHvDfD6m5ylh01RgO+5YvZnDPtJSjj+5b/eHp495Gz&#10;mIRXwoLXLT/pyO/Wb9+sxtDoGgawSiMjEB+bMbR8SCk0VRXloJ2IMwjak7MDdCLREftKoRgJ3dmq&#10;ns8/VCOgCghSx0i392cnXxf8rtMyfe+6qBOzLafaUtmx7Pu8V+uVaHoUYTDyUob4hyqcMJ4evULd&#10;iyTYAc1fUM5IhAhdmklwFXSdkbpwIDaL+R9sdoMIunAhcWK4yhT/H6z8dtwiM4p6d7vkzAtHTdol&#10;FKYfEvuECCPbgPckJCDLMaTYGGJDiRu/xcxZTn4XHkH+iszDZhC+16Xyp1MgsEXOqF6l5EMM9O5+&#10;/AqKYsQhQZFv6tCxzprwMydmcJKITaVfp2u/9JSYPF9Kuq3r97fL0spKNBkh5wWM6YsGx7LR8nih&#10;dOVyRhfHx5hyfc8JOdnDg7G2zIb1bGz58qa+KeVEsEZlZw6L2O83FtlR5Okqq5Alz8swhINXBWzQ&#10;Qn2+2EkYSzZLRaWEhnSzmufXnFacWU0fKlvn8qy/qJiFO7dgD+q0xezOgtKAFB6XYc4T+PJcop6/&#10;3Po3AAAA//8DAFBLAwQUAAYACAAAACEAJtCWBd4AAAALAQAADwAAAGRycy9kb3ducmV2LnhtbEyP&#10;wU7DMBBE70j8g7VIXBC1U4VShTgVAgonVBHK3Y2XJGq8jmK3Tf6eLRc4zuzT7Ey+Gl0njjiE1pOG&#10;ZKZAIFXetlRr2H6ub5cgQjRkTecJNUwYYFVcXuQms/5EH3gsYy04hEJmNDQx9pmUoWrQmTDzPRLf&#10;vv3gTGQ51NIO5sThrpNzpRbSmZb4Q2N6fGqw2pcHp+G53Nytv26243yq3t7L1+V+Q9OL1tdX4+MD&#10;iIhj/IPhXJ+rQ8Gddv5ANoiO9SJJGdWQqvQexJn4dXbspCoBWeTy/4biBwAA//8DAFBLAQItABQA&#10;BgAIAAAAIQC2gziS/gAAAOEBAAATAAAAAAAAAAAAAAAAAAAAAABbQ29udGVudF9UeXBlc10ueG1s&#10;UEsBAi0AFAAGAAgAAAAhADj9If/WAAAAlAEAAAsAAAAAAAAAAAAAAAAALwEAAF9yZWxzLy5yZWxz&#10;UEsBAi0AFAAGAAgAAAAhAL4tqRTrAQAAugMAAA4AAAAAAAAAAAAAAAAALgIAAGRycy9lMm9Eb2Mu&#10;eG1sUEsBAi0AFAAGAAgAAAAhACbQlgXeAAAACwEAAA8AAAAAAAAAAAAAAAAARQQAAGRycy9kb3du&#10;cmV2LnhtbFBLBQYAAAAABAAEAPMAAABQBQAAAAA=&#10;">
                <v:stroke endarrow="block"/>
              </v:shape>
            </w:pict>
          </mc:Fallback>
        </mc:AlternateContent>
      </w:r>
      <w:r w:rsidRPr="003B4CDA">
        <w:rPr>
          <w:noProof/>
          <w:sz w:val="26"/>
          <w:szCs w:val="26"/>
          <w:lang w:eastAsia="lv-LV"/>
        </w:rPr>
        <mc:AlternateContent>
          <mc:Choice Requires="wps">
            <w:drawing>
              <wp:anchor distT="0" distB="0" distL="114299" distR="114299" simplePos="0" relativeHeight="251658263" behindDoc="0" locked="0" layoutInCell="1" allowOverlap="1" wp14:anchorId="71146756" wp14:editId="36CD42E8">
                <wp:simplePos x="0" y="0"/>
                <wp:positionH relativeFrom="column">
                  <wp:posOffset>4613274</wp:posOffset>
                </wp:positionH>
                <wp:positionV relativeFrom="paragraph">
                  <wp:posOffset>2569845</wp:posOffset>
                </wp:positionV>
                <wp:extent cx="0" cy="224790"/>
                <wp:effectExtent l="76200" t="38100" r="57150" b="22860"/>
                <wp:wrapNone/>
                <wp:docPr id="180" name="Straight Arrow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27227C6E">
              <v:shape id="Straight Arrow Connector 180" style="position:absolute;margin-left:363.25pt;margin-top:202.35pt;width:0;height:17.7pt;flip:y;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4b6gEAALoDAAAOAAAAZHJzL2Uyb0RvYy54bWysU8FuGyEQvVfqPyDu9dqrpk1WXkeV0/SS&#10;tpac9I6B3UUFBg3Yu/77DthykvYWdQ8ImJnHe29ml7eTs+ygMRrwLV/M5pxpL0EZ37f86fH+wzVn&#10;MQmvhAWvW37Ukd+u3r9bjqHRNQxglUZGID42Y2j5kFJoqirKQTsRZxC0p2AH6ESiI/aVQjESurNV&#10;PZ9/qkZAFRCkjpFu705Bvir4Xadl+tl1USdmW07cUlmxrLu8VqulaHoUYTDyTEO8gYUTxtOjF6g7&#10;kQTbo/kHyhmJEKFLMwmugq4zUhcNpGYx/0vNdhBBFy1kTgwXm+L/g5U/DhtkRlHvrskfLxw1aZtQ&#10;mH5I7AsijGwN3pORgCznkGNjiA0Vrv0Gs2Y5+W14APk7Mg/rQfheF+aPx0Bgi1xRvSrJhxjo3d34&#10;HRTliH2CYt/UoWOdNeFXLszgZBGbSr+Ol37pKTF5upR0W9cfP98UYpVoMkKuCxjTNw2O5U3L41nS&#10;RcsJXRweYsr8ngtysYd7Y22ZDevZ2PKbq/qq0IlgjcrBnBax360tsoPI01W+IpYiL9MQ9l4VsEEL&#10;9fW8T8JY2rNUXEpoyDereX7NacWZ1fRD5d2JnvVnF7NxpxbsQB03mMPZUBqQouM8zHkCX55L1vMv&#10;t/oDAAD//wMAUEsDBBQABgAIAAAAIQAxKrT44AAAAAsBAAAPAAAAZHJzL2Rvd25yZXYueG1sTI9N&#10;T8MwDIbvSPyHyEhcEEtWdR8qTScEDE7TRLfds9a01RqnarKt/fcYcYCjXz96/ThdDbYVF+x940jD&#10;dKJAIBWubKjSsN+tH5cgfDBUmtYRahjRwyq7vUlNUrorfeIlD5XgEvKJ0VCH0CVS+qJGa/zEdUi8&#10;+3K9NYHHvpJlb65cblsZKTWX1jTEF2rT4UuNxSk/Ww2v+Xa2Pjzsh2gsPjb5+/K0pfFN6/u74fkJ&#10;RMAh/MHwo8/qkLHT0Z2p9KLVsIjmM0Y1xCpegGDiNzlyEqspyCyV/3/IvgEAAP//AwBQSwECLQAU&#10;AAYACAAAACEAtoM4kv4AAADhAQAAEwAAAAAAAAAAAAAAAAAAAAAAW0NvbnRlbnRfVHlwZXNdLnht&#10;bFBLAQItABQABgAIAAAAIQA4/SH/1gAAAJQBAAALAAAAAAAAAAAAAAAAAC8BAABfcmVscy8ucmVs&#10;c1BLAQItABQABgAIAAAAIQDcV34b6gEAALoDAAAOAAAAAAAAAAAAAAAAAC4CAABkcnMvZTJvRG9j&#10;LnhtbFBLAQItABQABgAIAAAAIQAxKrT44AAAAAsBAAAPAAAAAAAAAAAAAAAAAEQEAABkcnMvZG93&#10;bnJldi54bWxQSwUGAAAAAAQABADzAAAAUQUAAAAA&#10;" w14:anchorId="20457566">
                <v:stroke endarrow="block"/>
              </v:shape>
            </w:pict>
          </mc:Fallback>
        </mc:AlternateContent>
      </w:r>
      <w:r w:rsidRPr="003B4CDA">
        <w:rPr>
          <w:noProof/>
          <w:sz w:val="26"/>
          <w:szCs w:val="26"/>
          <w:lang w:eastAsia="lv-LV"/>
        </w:rPr>
        <mc:AlternateContent>
          <mc:Choice Requires="wps">
            <w:drawing>
              <wp:anchor distT="0" distB="0" distL="114300" distR="114300" simplePos="0" relativeHeight="251658261" behindDoc="0" locked="0" layoutInCell="1" allowOverlap="1" wp14:anchorId="7B8C9113" wp14:editId="5AA67B17">
                <wp:simplePos x="0" y="0"/>
                <wp:positionH relativeFrom="column">
                  <wp:posOffset>4233545</wp:posOffset>
                </wp:positionH>
                <wp:positionV relativeFrom="paragraph">
                  <wp:posOffset>2569845</wp:posOffset>
                </wp:positionV>
                <wp:extent cx="0" cy="86995"/>
                <wp:effectExtent l="55880" t="22860" r="58420" b="13970"/>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9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4172F656">
              <v:shape id="Straight Arrow Connector 181" style="position:absolute;margin-left:333.35pt;margin-top:202.35pt;width:0;height:6.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35S4wEAAK8DAAAOAAAAZHJzL2Uyb0RvYy54bWysU9uO0zAQfUfiHyy/07SVumqjpivUZXlZ&#10;oFKXD3BtJ7GwPdbYbdK/Z+xeYOENkQcrnsuZOWfG68fRWXbSGA34hs8mU860l6CM7xr+/fX5w5Kz&#10;mIRXwoLXDT/ryB8379+th1DrOfRglUZGID7WQ2h4n1KoqyrKXjsRJxC0J2cL6ESiK3aVQjEQurPV&#10;fDp9qAZAFRCkjpGsTxcn3xT8ttUyfWvbqBOzDafeUjmxnId8Vpu1qDsUoTfy2ob4hy6cMJ6K3qGe&#10;RBLsiOYvKGckQoQ2TSS4CtrWSF04EJvZ9A82+14EXbiQODHcZYr/D1Z+Pe2QGUWzW84488LRkPYJ&#10;hen6xD4iwsC24D0JCchyDCk2hFhT4tbvMHOWo9+HF5A/IvOw7YXvdOn89RwIrGRUb1LyJQaqexi+&#10;gKIYcUxQ5BtbdBmShGFjmdL5PiU9JiYvRknW5cNqtcjdVKK+pQWM6bMGx/JPw+OVx53ArBQRp5eY&#10;Lom3hFzTw7OxtiyE9Wxo+GoxX5SECNao7MxhEbvD1iI7ibxS5bt28SYM4ehVAeu1UJ+8YqnIkdCQ&#10;QFbzXMFpxZnV9HLyX4lOwliKvrRnPdG7qXXR/QDqvMPsznbaiiLAdYPz2v1+L1G/3tnmJwAAAP//&#10;AwBQSwMEFAAGAAgAAAAhAI/FItzcAAAACwEAAA8AAABkcnMvZG93bnJldi54bWxMj0FPwzAMhe9I&#10;/IfISNxYUlSFqTSdBtK4syHE0W1MW61JqibbWn49RhzgZr/39Py53MxuEGeaYh+8gWylQJBvgu19&#10;a+DtsLtbg4gJvcUheDKwUIRNdX1VYmHDxb/SeZ9awSU+FmigS2kspIxNRw7jKozk2fsMk8PE69RK&#10;O+GFy90g75XS0mHv+UKHIz131Bz3J2dgp+OYHY7q6Z3cy1cdPxaL28WY25t5+wgi0Zz+wvCDz+hQ&#10;MVMdTt5GMRjQWj9w1ECuch448avUrGTrHGRVyv8/VN8AAAD//wMAUEsBAi0AFAAGAAgAAAAhALaD&#10;OJL+AAAA4QEAABMAAAAAAAAAAAAAAAAAAAAAAFtDb250ZW50X1R5cGVzXS54bWxQSwECLQAUAAYA&#10;CAAAACEAOP0h/9YAAACUAQAACwAAAAAAAAAAAAAAAAAvAQAAX3JlbHMvLnJlbHNQSwECLQAUAAYA&#10;CAAAACEAkxd+UuMBAACvAwAADgAAAAAAAAAAAAAAAAAuAgAAZHJzL2Uyb0RvYy54bWxQSwECLQAU&#10;AAYACAAAACEAj8Ui3NwAAAALAQAADwAAAAAAAAAAAAAAAAA9BAAAZHJzL2Rvd25yZXYueG1sUEsF&#10;BgAAAAAEAAQA8wAAAEYFAAAAAA==&#10;" w14:anchorId="6201B923">
                <v:stroke startarrow="block"/>
              </v:shape>
            </w:pict>
          </mc:Fallback>
        </mc:AlternateContent>
      </w:r>
      <w:r w:rsidRPr="003B4CDA">
        <w:rPr>
          <w:noProof/>
          <w:sz w:val="26"/>
          <w:szCs w:val="26"/>
          <w:lang w:eastAsia="lv-LV"/>
        </w:rPr>
        <mc:AlternateContent>
          <mc:Choice Requires="wps">
            <w:drawing>
              <wp:anchor distT="0" distB="0" distL="114300" distR="114300" simplePos="0" relativeHeight="251658260" behindDoc="0" locked="0" layoutInCell="1" allowOverlap="1" wp14:anchorId="3FCCFE7E" wp14:editId="364BF925">
                <wp:simplePos x="0" y="0"/>
                <wp:positionH relativeFrom="column">
                  <wp:posOffset>1395730</wp:posOffset>
                </wp:positionH>
                <wp:positionV relativeFrom="paragraph">
                  <wp:posOffset>2569845</wp:posOffset>
                </wp:positionV>
                <wp:extent cx="0" cy="86995"/>
                <wp:effectExtent l="56515" t="22860" r="57785" b="13970"/>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99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4FC1EF9B">
              <v:shape id="Straight Arrow Connector 161" style="position:absolute;margin-left:109.9pt;margin-top:202.35pt;width:0;height:6.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4h84wEAAK8DAAAOAAAAZHJzL2Uyb0RvYy54bWysU9uO0zAQfUfiHyy/07SVWm2jpivUZXlZ&#10;oFKXD3BtJ7GwPdbYbdK/Z+xeYOENkQcrnsuZOWfG68fRWXbSGA34hs8mU860l6CM7xr+/fX5wwNn&#10;MQmvhAWvG37WkT9u3r9bD6HWc+jBKo2MQHysh9DwPqVQV1WUvXYiTiBoT84W0IlEV+wqhWIgdGer&#10;+XS6rAZAFRCkjpGsTxcn3xT8ttUyfWvbqBOzDafeUjmxnId8Vpu1qDsUoTfy2ob4hy6cMJ6K3qGe&#10;RBLsiOYvKGckQoQ2TSS4CtrWSF04EJvZ9A82+14EXbiQODHcZYr/D1Z+Pe2QGUWzW84488LRkPYJ&#10;hen6xD4iwsC24D0JCchyDCk2hFhT4tbvMHOWo9+HF5A/IvOw7YXvdOn89RwIrGRUb1LyJQaqexi+&#10;gKIYcUxQ5BtbdBmShGFjmdL5PiU9JiYvRknWh+VqtcjdVKK+pQWM6bMGx/JPw+OVx53ArBQRp5eY&#10;Lom3hFzTw7OxtiyE9Wxo+GoxX5SECNao7MxhEbvD1iI7ibxS5bt28SYM4ehVAeu1UJ+8YqnIkdCQ&#10;QFbzXMFpxZnV9HLyX4lOwliKvrRnPdG7qXXR/QDqvMPsznbaiiLAdYPz2v1+L1G/3tnmJwAAAP//&#10;AwBQSwMEFAAGAAgAAAAhAL5d8jPcAAAACwEAAA8AAABkcnMvZG93bnJldi54bWxMj01Lw0AQhu+C&#10;/2EZwZvdpIRaYzalCvVuK+Jxkh2T0OxsyG7bxF/viAc9vh+880yxmVyvzjSGzrOBdJGAIq697bgx&#10;8HbY3a1BhYhssfdMBmYKsCmvrwrMrb/wK533sVEywiFHA22MQ651qFtyGBZ+IJbs048Oo8ix0XbE&#10;i4y7Xi+TZKUddiwXWhzouaX6uD85A7tVGNLDMXl6J/fyVYWP2eJ2Nub2Zto+goo0xb8y/OALOpTC&#10;VPkT26B6A8v0QdCjgSzJ7kFJ49epxEnXGeiy0P9/KL8BAAD//wMAUEsBAi0AFAAGAAgAAAAhALaD&#10;OJL+AAAA4QEAABMAAAAAAAAAAAAAAAAAAAAAAFtDb250ZW50X1R5cGVzXS54bWxQSwECLQAUAAYA&#10;CAAAACEAOP0h/9YAAACUAQAACwAAAAAAAAAAAAAAAAAvAQAAX3JlbHMvLnJlbHNQSwECLQAUAAYA&#10;CAAAACEAw+eIfOMBAACvAwAADgAAAAAAAAAAAAAAAAAuAgAAZHJzL2Uyb0RvYy54bWxQSwECLQAU&#10;AAYACAAAACEAvl3yM9wAAAALAQAADwAAAAAAAAAAAAAAAAA9BAAAZHJzL2Rvd25yZXYueG1sUEsF&#10;BgAAAAAEAAQA8wAAAEYFAAAAAA==&#10;" w14:anchorId="395E329F">
                <v:stroke startarrow="block"/>
              </v:shape>
            </w:pict>
          </mc:Fallback>
        </mc:AlternateContent>
      </w:r>
      <w:r w:rsidRPr="003B4CDA">
        <w:rPr>
          <w:noProof/>
          <w:sz w:val="26"/>
          <w:szCs w:val="26"/>
          <w:lang w:eastAsia="lv-LV"/>
        </w:rPr>
        <mc:AlternateContent>
          <mc:Choice Requires="wps">
            <w:drawing>
              <wp:anchor distT="4294967295" distB="4294967295" distL="114300" distR="114300" simplePos="0" relativeHeight="251658259" behindDoc="0" locked="0" layoutInCell="1" allowOverlap="1" wp14:anchorId="1BA1E453" wp14:editId="2CC0FC80">
                <wp:simplePos x="0" y="0"/>
                <wp:positionH relativeFrom="column">
                  <wp:posOffset>1395730</wp:posOffset>
                </wp:positionH>
                <wp:positionV relativeFrom="paragraph">
                  <wp:posOffset>2656839</wp:posOffset>
                </wp:positionV>
                <wp:extent cx="2837815" cy="0"/>
                <wp:effectExtent l="0" t="0" r="19685" b="19050"/>
                <wp:wrapNone/>
                <wp:docPr id="18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6F70FDC7">
              <v:shape id="Straight Arrow Connector 182" style="position:absolute;margin-left:109.9pt;margin-top:209.2pt;width:223.45pt;height:0;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ZS0gEAAI8DAAAOAAAAZHJzL2Uyb0RvYy54bWysU8GOEzEMvSPxD1HudNqiQhl1ukJdlssC&#10;lbp8gJtkZiIyceSknfbvcbJtWeCGmEMUx/az37NndXcanDgaihZ9I2eTqRTGK9TWd438/vTwZilF&#10;TOA1OPSmkWcT5d369avVGGozxx6dNiQYxMd6DI3sUwp1VUXVmwHiBIPx7GyRBkhsUldpgpHRB1fN&#10;p9N31YikA6EyMfLr/bNTrgt+2xqVvrVtNEm4RnJvqZxUzn0+q/UK6o4g9FZd2oB/6GIA67noDeoe&#10;EogD2b+gBqsII7ZponCosG2tMoUDs5lN/2Cz6yGYwoXFieEmU/x/sOrrcUvCap7dci6Fh4GHtEsE&#10;tuuT+EiEo9ig9ywkksgxrNgYYs2JG7+lzFmd/C48ovoRhcdND74zpfOnc2CwWc6ofkvJRgxcdz9+&#10;Qc0xcEhY5Du1NGRIFkacypTOtymZUxKKH+fLt++Xs4UU6uqroL4mBorps8FB5Esj44XJjcKslIHj&#10;Y0y5LaivCbmqxwfrXFkJ58XYyA+L+aIkRHRWZ2cOi9TtN47EEfJSla9wZM/LMMKD1wWsN6A/Xe4J&#10;rHu+c3HnL9JkNZ513aM+b+kqGU+9dHnZ0LxWL+2S/es/Wv8EAAD//wMAUEsDBBQABgAIAAAAIQDh&#10;xkwM3wAAAAsBAAAPAAAAZHJzL2Rvd25yZXYueG1sTI9BS8NAEIXvgv9hGaEXsZuENrYxk1IKHjza&#10;Frxus2MSzc6G7KaJ/fWuUKjHefN473v5ZjKtOFPvGssI8TwCQVxa3XCFcDy8Pq1AOK9Yq9YyIfyQ&#10;g01xf5erTNuR3+m895UIIewyhVB732VSurImo9zcdsTh92l7o3w4+0rqXo0h3LQyiaJUGtVwaKhV&#10;R7uayu/9YBDIDcs42q5NdXy7jI8fyeVr7A6Is4dp+wLC0+RvZvjDD+hQBKaTHVg70SIk8Tqge4RF&#10;vFqACI40TZ9BnK6KLHL5f0PxCwAA//8DAFBLAQItABQABgAIAAAAIQC2gziS/gAAAOEBAAATAAAA&#10;AAAAAAAAAAAAAAAAAABbQ29udGVudF9UeXBlc10ueG1sUEsBAi0AFAAGAAgAAAAhADj9If/WAAAA&#10;lAEAAAsAAAAAAAAAAAAAAAAALwEAAF9yZWxzLy5yZWxzUEsBAi0AFAAGAAgAAAAhAOmnRlLSAQAA&#10;jwMAAA4AAAAAAAAAAAAAAAAALgIAAGRycy9lMm9Eb2MueG1sUEsBAi0AFAAGAAgAAAAhAOHGTAzf&#10;AAAACwEAAA8AAAAAAAAAAAAAAAAALAQAAGRycy9kb3ducmV2LnhtbFBLBQYAAAAABAAEAPMAAAA4&#10;BQAAAAA=&#10;" w14:anchorId="4D385452"/>
            </w:pict>
          </mc:Fallback>
        </mc:AlternateContent>
      </w:r>
      <w:r w:rsidRPr="003B4CDA">
        <w:rPr>
          <w:noProof/>
          <w:sz w:val="26"/>
          <w:szCs w:val="26"/>
          <w:lang w:eastAsia="lv-LV"/>
        </w:rPr>
        <mc:AlternateContent>
          <mc:Choice Requires="wps">
            <w:drawing>
              <wp:anchor distT="0" distB="0" distL="114300" distR="114300" simplePos="0" relativeHeight="251658257" behindDoc="0" locked="0" layoutInCell="1" allowOverlap="1" wp14:anchorId="02A384C2" wp14:editId="5628BA2D">
                <wp:simplePos x="0" y="0"/>
                <wp:positionH relativeFrom="column">
                  <wp:posOffset>402590</wp:posOffset>
                </wp:positionH>
                <wp:positionV relativeFrom="paragraph">
                  <wp:posOffset>1943735</wp:posOffset>
                </wp:positionV>
                <wp:extent cx="1268730" cy="431800"/>
                <wp:effectExtent l="0" t="0" r="64770" b="6350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431800"/>
                        </a:xfrm>
                        <a:prstGeom prst="rect">
                          <a:avLst/>
                        </a:prstGeom>
                        <a:solidFill>
                          <a:srgbClr val="FFFFFF"/>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77396B25"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Izglītība un prasmes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A384C2" id="Text Box 183" o:spid="_x0000_s1034" type="#_x0000_t202" style="position:absolute;left:0;text-align:left;margin-left:31.7pt;margin-top:153.05pt;width:99.9pt;height:3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t0jgIAACwFAAAOAAAAZHJzL2Uyb0RvYy54bWysVMtu2zAQvBfoPxC8N5IfiVUhcpAmTVEg&#10;fQBJ0fOaoiSiFMmStKX067tc2a6b3IragKAVl7Mzu0NeXo29Zjvpg7Km4rOznDNphK2VaSv+7fHu&#10;TcFZiGBq0NbIij/JwK/Wr19dDq6Uc9tZXUvPEMSEcnAV72J0ZZYF0ckewpl10uBiY30PEUPfZrWH&#10;AdF7nc3z/CIbrK+dt0KGgF9vp0W+JvymkSJ+aZogI9MVR26Rnp6em/TM1pdQth5cp8SeBvwDix6U&#10;waJHqFuIwLZevYDqlfA22CaeCdtntmmUkKQB1czyZ2oeOnCStGBzgju2Kfw/WPF599UzVePsigVn&#10;Bnoc0qMcI3tnR5a+YYcGF0pMfHCYGkdcwGxSG9y9FT8CM/amA9PKa+/t0EmokeEs7cxOtk44IYFs&#10;hk+2xkKwjZaAxsb3qX3YEIboOKmn43QSGZFKzi+K1QKXBK4tF7Mip/FlUB52Ox/iB2l7ll4q7nH6&#10;hA67+xATGygPKalYsFrVd0prCny7udGe7QCdckc/EvAsTRs2JCorLP4SI7lWHlFACGniOeXpbY+S&#10;J/TVeX6kTkZPW4jdX4x6FfFoaNVXHKXut0CZ2vve1GTcCEpP7yhNm0RIkulRbwrsFiEeunpgtUod&#10;WRQzrIwBnoAkIYEy0C0eXRE9Z97G7yp25LvU/xeNKfL0p++gXQeToKTnMIsw9ZHkHMtTdMKMbJGc&#10;MHkijpuRPFgc3Lax9RP6BPmQGfCCwZfO+l+cDXhYKx5+bsFLzvRHg157O1suUUmkYHm+mmPgT1c2&#10;pytgBELtJU/BTZzuhK3zqu2w1uRvY6/RoY0i8yQrT7xQTgrwSJKw/fWRzvxpTFl/Lrn1bwAAAP//&#10;AwBQSwMEFAAGAAgAAAAhAIxZDvvfAAAACgEAAA8AAABkcnMvZG93bnJldi54bWxMj8tOwzAQRfdI&#10;/IM1SGwq6jyKQSFOhYpYsIIWxNqNp3GEPY5iJw1/j1nBcmaO7pxbbxdn2Yxj6D1JyNcZMKTW6546&#10;CR/vzzf3wEJUpJX1hBK+McC2ubyoVaX9mfY4H2LHUgiFSkkwMQ4V56E16FRY+wEp3U5+dCqmcey4&#10;HtU5hTvLiywT3Kme0gejBtwZbL8Ok5Mwr9x+d7K33Wd8WwkxPL1O5mWW8vpqeXwAFnGJfzD86id1&#10;aJLT0U+kA7MSRLlJpIQyEzmwBBSiLIAd0+ZukwNvav6/QvMDAAD//wMAUEsBAi0AFAAGAAgAAAAh&#10;ALaDOJL+AAAA4QEAABMAAAAAAAAAAAAAAAAAAAAAAFtDb250ZW50X1R5cGVzXS54bWxQSwECLQAU&#10;AAYACAAAACEAOP0h/9YAAACUAQAACwAAAAAAAAAAAAAAAAAvAQAAX3JlbHMvLnJlbHNQSwECLQAU&#10;AAYACAAAACEAXCFrdI4CAAAsBQAADgAAAAAAAAAAAAAAAAAuAgAAZHJzL2Uyb0RvYy54bWxQSwEC&#10;LQAUAAYACAAAACEAjFkO+98AAAAKAQAADwAAAAAAAAAAAAAAAADoBAAAZHJzL2Rvd25yZXYueG1s&#10;UEsFBgAAAAAEAAQA8wAAAPQFAAAAAA==&#10;" strokecolor="#31849b [2408]" strokeweight="1pt">
                <v:shadow on="t" opacity=".5" offset=".74836mm,.74836mm"/>
                <v:textbox>
                  <w:txbxContent>
                    <w:p w14:paraId="77396B25"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Izglītība un prasmes</w:t>
                      </w:r>
                    </w:p>
                  </w:txbxContent>
                </v:textbox>
              </v:shape>
            </w:pict>
          </mc:Fallback>
        </mc:AlternateContent>
      </w:r>
      <w:r w:rsidRPr="003B4CDA">
        <w:rPr>
          <w:noProof/>
          <w:sz w:val="26"/>
          <w:szCs w:val="26"/>
          <w:lang w:eastAsia="lv-LV"/>
        </w:rPr>
        <mc:AlternateContent>
          <mc:Choice Requires="wps">
            <w:drawing>
              <wp:anchor distT="0" distB="0" distL="114300" distR="114300" simplePos="0" relativeHeight="251658255" behindDoc="0" locked="0" layoutInCell="1" allowOverlap="1" wp14:anchorId="737B36ED" wp14:editId="58F70620">
                <wp:simplePos x="0" y="0"/>
                <wp:positionH relativeFrom="column">
                  <wp:posOffset>402590</wp:posOffset>
                </wp:positionH>
                <wp:positionV relativeFrom="paragraph">
                  <wp:posOffset>628650</wp:posOffset>
                </wp:positionV>
                <wp:extent cx="1268730" cy="431800"/>
                <wp:effectExtent l="0" t="0" r="64770" b="6350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431800"/>
                        </a:xfrm>
                        <a:prstGeom prst="rect">
                          <a:avLst/>
                        </a:prstGeom>
                        <a:solidFill>
                          <a:srgbClr val="FFFFFF"/>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70D05B22"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Demogrāfija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7B36ED" id="Text Box 184" o:spid="_x0000_s1035" type="#_x0000_t202" style="position:absolute;left:0;text-align:left;margin-left:31.7pt;margin-top:49.5pt;width:99.9pt;height:3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AjgIAACwFAAAOAAAAZHJzL2Uyb0RvYy54bWysVMtu2zAQvBfoPxC8N5IfiR0hcpA6TVEg&#10;fQBJ0fOaoiSiFMmStKXk67tc2a6b3IragKAVl7Mzu0NeXQ+dZjvpg7Km5JOznDNphK2UaUr+/fHu&#10;3ZKzEMFUoK2RJX+SgV+v3r656l0hp7a1upKeIYgJRe9K3sboiiwLopUdhDPrpMHF2voOIoa+ySoP&#10;PaJ3Opvm+UXWW185b4UMAb/ejot8Rfh1LUX8WtdBRqZLjtwiPT09N+mZra6gaDy4Vok9DfgHFh0o&#10;g0WPULcQgW29egXVKeFtsHU8E7bLbF0rIUkDqpnkL9Q8tOAkacHmBHdsU/h/sOLL7ptnqsLZLeec&#10;GehwSI9yiOy9HVj6hh3qXSgw8cFhahxwAbNJbXD3VvwMzNh1C6aRN97bvpVQIcNJ2pmdbB1xQgLZ&#10;9J9thYVgGy0BDbXvUvuwIQzRcVJPx+kkMiKVnF4sFzNcErg2n02WOY0vg+Kw2/kQP0rbsfRSco/T&#10;J3TY3YeY2EBxSEnFgtWqulNaU+CbzVp7tgN0yh39SMCLNG1Yn6gssPhrjORaeUQBIaSJ55Sntx1K&#10;HtEX5/mROhk9bSF2fzHqVMSjoVVXcpS63wJFau8HU5FxIyg9vqM0bRIhSaZHvSmwW4R4aKueVSp1&#10;ZLacYGUM8AQkCQmUgW7w6IroOfM2/lCxJd+l/r9qzDJPf/oO2rUwCkp6DrMIYx9JzrE8RSfMyBbJ&#10;CaMn4rAZyIOXB7dtbPWEPkE+ZAa8YPCltf6Zsx4Pa8nDry14yZn+ZNBrl5P5HJVECubniykG/nRl&#10;c7oCRiDUXvIYrON4J2ydV02LtUZ/G3uDDq0VmSdZeeSFclKAR5KE7a+PdOZPY8r6c8mtfgMAAP//&#10;AwBQSwMEFAAGAAgAAAAhAFPj+OTeAAAACQEAAA8AAABkcnMvZG93bnJldi54bWxMj8FOwzAQRO9I&#10;/IO1SFwq6pCCoSFOhYo4cIIWxNmNt3FEvI5iJw1/z3KC42qeZt+Um9l3YsIhtoE0XC8zEEh1sC01&#10;Gj7en6/uQcRkyJouEGr4xgib6vysNIUNJ9rhtE+N4BKKhdHgUuoLKWPt0Ju4DD0SZ8cweJP4HBpp&#10;B3Pict/JPMuU9KYl/uBMj1uH9dd+9Bqmhd9tj91t85neFkr1T6+je5m0vryYHx9AJJzTHwy/+qwO&#10;FTsdwkg2ik6DWt0wqWG95kmc52qVgzgwqO4ykFUp/y+ofgAAAP//AwBQSwECLQAUAAYACAAAACEA&#10;toM4kv4AAADhAQAAEwAAAAAAAAAAAAAAAAAAAAAAW0NvbnRlbnRfVHlwZXNdLnhtbFBLAQItABQA&#10;BgAIAAAAIQA4/SH/1gAAAJQBAAALAAAAAAAAAAAAAAAAAC8BAABfcmVscy8ucmVsc1BLAQItABQA&#10;BgAIAAAAIQDFF/KAjgIAACwFAAAOAAAAAAAAAAAAAAAAAC4CAABkcnMvZTJvRG9jLnhtbFBLAQIt&#10;ABQABgAIAAAAIQBT4/jk3gAAAAkBAAAPAAAAAAAAAAAAAAAAAOgEAABkcnMvZG93bnJldi54bWxQ&#10;SwUGAAAAAAQABADzAAAA8wUAAAAA&#10;" strokecolor="#31849b [2408]" strokeweight="1pt">
                <v:shadow on="t" opacity=".5" offset=".74836mm,.74836mm"/>
                <v:textbox>
                  <w:txbxContent>
                    <w:p w14:paraId="70D05B22"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Demogrāfija</w:t>
                      </w:r>
                    </w:p>
                  </w:txbxContent>
                </v:textbox>
              </v:shape>
            </w:pict>
          </mc:Fallback>
        </mc:AlternateContent>
      </w:r>
      <w:r w:rsidRPr="003B4CDA">
        <w:rPr>
          <w:noProof/>
          <w:sz w:val="26"/>
          <w:szCs w:val="26"/>
          <w:lang w:eastAsia="lv-LV"/>
        </w:rPr>
        <mc:AlternateContent>
          <mc:Choice Requires="wps">
            <w:drawing>
              <wp:anchor distT="0" distB="0" distL="114300" distR="114300" simplePos="0" relativeHeight="251658248" behindDoc="0" locked="0" layoutInCell="1" allowOverlap="1" wp14:anchorId="17B2E659" wp14:editId="453BAD50">
                <wp:simplePos x="0" y="0"/>
                <wp:positionH relativeFrom="column">
                  <wp:posOffset>248920</wp:posOffset>
                </wp:positionH>
                <wp:positionV relativeFrom="paragraph">
                  <wp:posOffset>158115</wp:posOffset>
                </wp:positionV>
                <wp:extent cx="1593850" cy="2411730"/>
                <wp:effectExtent l="0" t="0" r="6350" b="7620"/>
                <wp:wrapNone/>
                <wp:docPr id="185" name="Rounded 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0" cy="2411730"/>
                        </a:xfrm>
                        <a:prstGeom prst="roundRect">
                          <a:avLst>
                            <a:gd name="adj" fmla="val 2819"/>
                          </a:avLst>
                        </a:prstGeom>
                        <a:solidFill>
                          <a:schemeClr val="accent4">
                            <a:lumMod val="60000"/>
                            <a:lumOff val="40000"/>
                          </a:schemeClr>
                        </a:solidFill>
                        <a:ln>
                          <a:noFill/>
                        </a:ln>
                      </wps:spPr>
                      <wps:txbx>
                        <w:txbxContent>
                          <w:p w14:paraId="04450863" w14:textId="77777777" w:rsidR="005A28CF" w:rsidRDefault="005A28CF" w:rsidP="00A408E7">
                            <w:pPr>
                              <w:jc w:val="center"/>
                              <w:rPr>
                                <w:rFonts w:ascii="Segoe UI Light" w:hAnsi="Segoe UI Light"/>
                                <w:sz w:val="16"/>
                                <w:szCs w:val="16"/>
                              </w:rPr>
                            </w:pPr>
                            <w:r w:rsidRPr="002612A6">
                              <w:rPr>
                                <w:rFonts w:ascii="Segoe UI Light" w:hAnsi="Segoe UI Light"/>
                                <w:sz w:val="16"/>
                                <w:szCs w:val="16"/>
                              </w:rPr>
                              <w:t>Piedāvājuma faktori</w:t>
                            </w:r>
                          </w:p>
                          <w:p w14:paraId="675F7A21" w14:textId="77777777" w:rsidR="005A28CF" w:rsidRDefault="005A28CF" w:rsidP="00A408E7">
                            <w:pPr>
                              <w:jc w:val="center"/>
                              <w:rPr>
                                <w:rFonts w:ascii="Segoe UI Light" w:hAnsi="Segoe UI Light"/>
                                <w:b/>
                                <w:sz w:val="16"/>
                                <w:szCs w:val="16"/>
                              </w:rPr>
                            </w:pPr>
                          </w:p>
                          <w:p w14:paraId="54DD3EB8" w14:textId="77777777" w:rsidR="005A28CF" w:rsidRDefault="005A28CF" w:rsidP="00A408E7">
                            <w:pPr>
                              <w:jc w:val="center"/>
                              <w:rPr>
                                <w:rFonts w:ascii="Segoe UI Light" w:hAnsi="Segoe UI Light"/>
                                <w:b/>
                                <w:sz w:val="16"/>
                                <w:szCs w:val="16"/>
                              </w:rPr>
                            </w:pPr>
                          </w:p>
                          <w:p w14:paraId="46BC06EA" w14:textId="77777777" w:rsidR="005A28CF" w:rsidRDefault="005A28CF" w:rsidP="00A408E7">
                            <w:pPr>
                              <w:jc w:val="center"/>
                              <w:rPr>
                                <w:rFonts w:ascii="Segoe UI Light" w:hAnsi="Segoe UI Light"/>
                                <w:b/>
                                <w:sz w:val="16"/>
                                <w:szCs w:val="16"/>
                              </w:rPr>
                            </w:pPr>
                          </w:p>
                          <w:p w14:paraId="36621254" w14:textId="77777777" w:rsidR="005A28CF" w:rsidRDefault="005A28CF" w:rsidP="00A408E7">
                            <w:pPr>
                              <w:jc w:val="center"/>
                              <w:rPr>
                                <w:rFonts w:ascii="Segoe UI Light" w:hAnsi="Segoe UI Light"/>
                                <w:b/>
                                <w:sz w:val="16"/>
                                <w:szCs w:val="16"/>
                              </w:rPr>
                            </w:pPr>
                          </w:p>
                          <w:p w14:paraId="6B65F9C1" w14:textId="77777777" w:rsidR="005A28CF" w:rsidRDefault="005A28CF" w:rsidP="00A408E7">
                            <w:pPr>
                              <w:jc w:val="center"/>
                              <w:rPr>
                                <w:rFonts w:ascii="Segoe UI Light" w:hAnsi="Segoe UI Light"/>
                                <w:b/>
                                <w:sz w:val="16"/>
                                <w:szCs w:val="16"/>
                              </w:rPr>
                            </w:pPr>
                          </w:p>
                          <w:p w14:paraId="422B47C4" w14:textId="77777777" w:rsidR="005A28CF" w:rsidRDefault="005A28CF" w:rsidP="00A408E7">
                            <w:pPr>
                              <w:jc w:val="center"/>
                              <w:rPr>
                                <w:rFonts w:ascii="Segoe UI Light" w:hAnsi="Segoe UI Light"/>
                                <w:b/>
                                <w:sz w:val="16"/>
                                <w:szCs w:val="16"/>
                              </w:rPr>
                            </w:pPr>
                          </w:p>
                          <w:p w14:paraId="116CFE5A" w14:textId="77777777" w:rsidR="005A28CF" w:rsidRPr="002612A6" w:rsidRDefault="005A28CF" w:rsidP="00A408E7">
                            <w:pPr>
                              <w:jc w:val="center"/>
                              <w:rPr>
                                <w:rFonts w:ascii="Segoe UI Light" w:hAnsi="Segoe UI Light"/>
                                <w:b/>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B2E659" id="Rounded Rectangle 106" o:spid="_x0000_s1036" style="position:absolute;left:0;text-align:left;margin-left:19.6pt;margin-top:12.45pt;width:125.5pt;height:189.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6A6NgIAAFIEAAAOAAAAZHJzL2Uyb0RvYy54bWysVFFv0zAQfkfiP1h+p0m6tGujphPaNIQ0&#10;YNrgB7i20wRsn7GdJuPXc3baUuANkQfLd2d/d99352xuRq3IQTrfgalpMcspkYaD6My+pl8+379Z&#10;UeIDM4IpMLKmL9LTm+3rV5vBVnIOLSghHUEQ46vB1rQNwVZZ5nkrNfMzsNJgsAGnWUDT7TPh2IDo&#10;WmXzPF9mAzhhHXDpPXrvpiDdJvymkTx8ahovA1E1xdpCWl1ad3HNthtW7R2zbcePZbB/qEKzzmDS&#10;M9QdC4z0rvsLSnfcgYcmzDjoDJqm4zJxQDZF/geb55ZZmbigON6eZfL/D5Z/PDw60gns3WpBiWEa&#10;m/QEvRFSkCeUj5m9kqTIl1GqwfoKbzzbRxfJevsA/JvHQPZbJBoez5Dd8AEEArI+QJJnbJyON5E4&#10;GVMXXs5dkGMgHJ3FYn21WmCzOMbmZVFcX6U+Zaw6XbfOh3cSNImbmrpYbyw25WCHBx9SL8SRDxNf&#10;KWm0ws4emCLzVbGObBDweBZ3J8jEC1Qn7julkhFHUd4qR/AuUuFcmlCmTKrXyG/yL3P8pnFCNw7d&#10;5C5PbkyRhjoipdT+MokyMZWBmHSqLHqSqlHISfkw7sapVSlRVHkH4gV1djANNj5E3LTgflAy4FDX&#10;1H/vmZOUqPcGp2ZdlGV8BckoF9dzNNxlZHcZYYYjVE0DJdP2Nkwvp7eu27eYqUgyGHiL/W26cBqE&#10;qapj/Ti4ie/xkcWXcWmnU79+BdufAAAA//8DAFBLAwQUAAYACAAAACEAglkAlt0AAAAJAQAADwAA&#10;AGRycy9kb3ducmV2LnhtbEyPwU7DMBBE70j8g7WVuFG7IYImZFMhJHotCXB3YyeOGq+j2G1Cvx5z&#10;guPsjGbeFrvFDuyiJ987QtisBTBNjVM9dQifH2/3W2A+SFJycKQRvrWHXXl7U8hcuZkqfalDx2IJ&#10;+VwimBDGnHPfGG2lX7tRU/RaN1kZopw6riY5x3I78ESIR25lT3HByFG/Gt2c6rNFqL4OphXv6jpv&#10;k73Z7FtzqK8V4t1qeXkGFvQS/sLwix/RoYxMR3cm5dmA8JAlMYmQpBmw6CeZiIcjQirSJ+Blwf9/&#10;UP4AAAD//wMAUEsBAi0AFAAGAAgAAAAhALaDOJL+AAAA4QEAABMAAAAAAAAAAAAAAAAAAAAAAFtD&#10;b250ZW50X1R5cGVzXS54bWxQSwECLQAUAAYACAAAACEAOP0h/9YAAACUAQAACwAAAAAAAAAAAAAA&#10;AAAvAQAAX3JlbHMvLnJlbHNQSwECLQAUAAYACAAAACEANEugOjYCAABSBAAADgAAAAAAAAAAAAAA&#10;AAAuAgAAZHJzL2Uyb0RvYy54bWxQSwECLQAUAAYACAAAACEAglkAlt0AAAAJAQAADwAAAAAAAAAA&#10;AAAAAACQBAAAZHJzL2Rvd25yZXYueG1sUEsFBgAAAAAEAAQA8wAAAJoFAAAAAA==&#10;" fillcolor="#b2a1c7 [1943]" stroked="f">
                <v:textbox>
                  <w:txbxContent>
                    <w:p w14:paraId="04450863" w14:textId="77777777" w:rsidR="005A28CF" w:rsidRDefault="005A28CF" w:rsidP="00A408E7">
                      <w:pPr>
                        <w:jc w:val="center"/>
                        <w:rPr>
                          <w:rFonts w:ascii="Segoe UI Light" w:hAnsi="Segoe UI Light"/>
                          <w:sz w:val="16"/>
                          <w:szCs w:val="16"/>
                        </w:rPr>
                      </w:pPr>
                      <w:r w:rsidRPr="002612A6">
                        <w:rPr>
                          <w:rFonts w:ascii="Segoe UI Light" w:hAnsi="Segoe UI Light"/>
                          <w:sz w:val="16"/>
                          <w:szCs w:val="16"/>
                        </w:rPr>
                        <w:t>Piedāvājuma faktori</w:t>
                      </w:r>
                    </w:p>
                    <w:p w14:paraId="675F7A21" w14:textId="77777777" w:rsidR="005A28CF" w:rsidRDefault="005A28CF" w:rsidP="00A408E7">
                      <w:pPr>
                        <w:jc w:val="center"/>
                        <w:rPr>
                          <w:rFonts w:ascii="Segoe UI Light" w:hAnsi="Segoe UI Light"/>
                          <w:b/>
                          <w:sz w:val="16"/>
                          <w:szCs w:val="16"/>
                        </w:rPr>
                      </w:pPr>
                    </w:p>
                    <w:p w14:paraId="54DD3EB8" w14:textId="77777777" w:rsidR="005A28CF" w:rsidRDefault="005A28CF" w:rsidP="00A408E7">
                      <w:pPr>
                        <w:jc w:val="center"/>
                        <w:rPr>
                          <w:rFonts w:ascii="Segoe UI Light" w:hAnsi="Segoe UI Light"/>
                          <w:b/>
                          <w:sz w:val="16"/>
                          <w:szCs w:val="16"/>
                        </w:rPr>
                      </w:pPr>
                    </w:p>
                    <w:p w14:paraId="46BC06EA" w14:textId="77777777" w:rsidR="005A28CF" w:rsidRDefault="005A28CF" w:rsidP="00A408E7">
                      <w:pPr>
                        <w:jc w:val="center"/>
                        <w:rPr>
                          <w:rFonts w:ascii="Segoe UI Light" w:hAnsi="Segoe UI Light"/>
                          <w:b/>
                          <w:sz w:val="16"/>
                          <w:szCs w:val="16"/>
                        </w:rPr>
                      </w:pPr>
                    </w:p>
                    <w:p w14:paraId="36621254" w14:textId="77777777" w:rsidR="005A28CF" w:rsidRDefault="005A28CF" w:rsidP="00A408E7">
                      <w:pPr>
                        <w:jc w:val="center"/>
                        <w:rPr>
                          <w:rFonts w:ascii="Segoe UI Light" w:hAnsi="Segoe UI Light"/>
                          <w:b/>
                          <w:sz w:val="16"/>
                          <w:szCs w:val="16"/>
                        </w:rPr>
                      </w:pPr>
                    </w:p>
                    <w:p w14:paraId="6B65F9C1" w14:textId="77777777" w:rsidR="005A28CF" w:rsidRDefault="005A28CF" w:rsidP="00A408E7">
                      <w:pPr>
                        <w:jc w:val="center"/>
                        <w:rPr>
                          <w:rFonts w:ascii="Segoe UI Light" w:hAnsi="Segoe UI Light"/>
                          <w:b/>
                          <w:sz w:val="16"/>
                          <w:szCs w:val="16"/>
                        </w:rPr>
                      </w:pPr>
                    </w:p>
                    <w:p w14:paraId="422B47C4" w14:textId="77777777" w:rsidR="005A28CF" w:rsidRDefault="005A28CF" w:rsidP="00A408E7">
                      <w:pPr>
                        <w:jc w:val="center"/>
                        <w:rPr>
                          <w:rFonts w:ascii="Segoe UI Light" w:hAnsi="Segoe UI Light"/>
                          <w:b/>
                          <w:sz w:val="16"/>
                          <w:szCs w:val="16"/>
                        </w:rPr>
                      </w:pPr>
                    </w:p>
                    <w:p w14:paraId="116CFE5A" w14:textId="77777777" w:rsidR="005A28CF" w:rsidRPr="002612A6" w:rsidRDefault="005A28CF" w:rsidP="00A408E7">
                      <w:pPr>
                        <w:jc w:val="center"/>
                        <w:rPr>
                          <w:rFonts w:ascii="Segoe UI Light" w:hAnsi="Segoe UI Light"/>
                          <w:b/>
                          <w:sz w:val="16"/>
                          <w:szCs w:val="16"/>
                        </w:rPr>
                      </w:pPr>
                    </w:p>
                  </w:txbxContent>
                </v:textbox>
              </v:roundrect>
            </w:pict>
          </mc:Fallback>
        </mc:AlternateContent>
      </w:r>
      <w:r w:rsidRPr="003B4CDA">
        <w:rPr>
          <w:noProof/>
          <w:sz w:val="26"/>
          <w:szCs w:val="26"/>
          <w:lang w:eastAsia="lv-LV"/>
        </w:rPr>
        <mc:AlternateContent>
          <mc:Choice Requires="wps">
            <w:drawing>
              <wp:anchor distT="0" distB="0" distL="114300" distR="114300" simplePos="0" relativeHeight="251658254" behindDoc="0" locked="0" layoutInCell="1" allowOverlap="1" wp14:anchorId="1D74ACC2" wp14:editId="20144806">
                <wp:simplePos x="0" y="0"/>
                <wp:positionH relativeFrom="column">
                  <wp:posOffset>3972560</wp:posOffset>
                </wp:positionH>
                <wp:positionV relativeFrom="paragraph">
                  <wp:posOffset>1640205</wp:posOffset>
                </wp:positionV>
                <wp:extent cx="1268730" cy="720090"/>
                <wp:effectExtent l="0" t="0" r="64770" b="6096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720090"/>
                        </a:xfrm>
                        <a:prstGeom prst="rect">
                          <a:avLst/>
                        </a:prstGeom>
                        <a:solidFill>
                          <a:srgbClr val="FFFFFF"/>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1D667580"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Produktivitāte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74ACC2" id="Text Box 186" o:spid="_x0000_s1037" type="#_x0000_t202" style="position:absolute;left:0;text-align:left;margin-left:312.8pt;margin-top:129.15pt;width:99.9pt;height:56.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BdkAIAAC0FAAAOAAAAZHJzL2Uyb0RvYy54bWysVNtu2zAMfR+wfxD0vtrpLakRp+jadRjQ&#10;XYB22DMjy7YwWdIkJXb79aOoNk3bt2EJYIgiecRDHml5Pg2abaUPypqazw5KzqQRtlGmq/nPu+sP&#10;C85CBNOAtkbW/F4Gfr56/245ukoe2t7qRnqGICZUo6t5H6OriiKIXg4QDqyTBp2t9QNENH1XNB5G&#10;RB90cViWp8VofeO8FTIE3L3KTr4i/LaVIn5v2yAj0zXH2iJ9PX3X6VusllB1HlyvxGMZ8A9VDKAM&#10;HrqDuoIIbOPVG6hBCW+DbeOBsENh21YJSRyQzax8xea2ByeJCzYnuF2bwv+DFd+2PzxTDc5uccqZ&#10;gQGHdCenyD7aiaU97NDoQoWBtw5D44QOjCa2wd1Y8TswYy97MJ288N6OvYQGK5ylzGIvNeOEBLIe&#10;v9oGD4JNtAQ0tX5I7cOGMETHSd3vppOKEenIw9PF/AhdAn1zHP4Zja+A6inb+RA/SzuwtKi5x+kT&#10;OmxvQkzVQPUUkg4LVqvmWmlNhu/Wl9qzLaBSrulHBF6FacPGVMq8LHMHXmAk1codCgghTTyhOL0Z&#10;kHJGn5+UmJ3rIaGnFKruRUWDing1tBpqvsCEnAJVau8n02A6VBGUzmukpk3akiR65JsMu0GI274Z&#10;WaNSR44WM4RBA29AopBAGegOr66InjNv4y8Ve9Jd6v+bxizK9Kd90K6HTCjx2RHKfSQ6u+PJ2quM&#10;ZJGUkDURp/WUNUiiSZpZ2+YehYIFkRrwhcFFb/0DZyPe1pqHPxvwkjP9xaDYzmbHx0glknF8gupA&#10;Mvue9b4HjECoR87ZuIz5Udg4r7oez8oCN/YCJdoqUs9zXcgnGXgnidnj+5Eu/b5NUc+v3OovAAAA&#10;//8DAFBLAwQUAAYACAAAACEAYnszC+EAAAALAQAADwAAAGRycy9kb3ducmV2LnhtbEyPwU7DMBBE&#10;70j8g7VIXCrqNCVuFOJUqIgDJ2ipenbjbRwRr6PYScPfY05wXM3TzNtyO9uOTTj41pGE1TIBhlQ7&#10;3VIj4fj5+pAD80GRVp0jlPCNHrbV7U2pCu2utMfpEBoWS8gXSoIJoS8497VBq/zS9Ugxu7jBqhDP&#10;oeF6UNdYbjueJongVrUUF4zqcWew/jqMVsK0sPvdpcuaU/hYCNG/vI/mbZLy/m5+fgIWcA5/MPzq&#10;R3WootPZjaQ96ySINBMRlZBm+RpYJPI0ewR2lrDerDbAq5L//6H6AQAA//8DAFBLAQItABQABgAI&#10;AAAAIQC2gziS/gAAAOEBAAATAAAAAAAAAAAAAAAAAAAAAABbQ29udGVudF9UeXBlc10ueG1sUEsB&#10;Ai0AFAAGAAgAAAAhADj9If/WAAAAlAEAAAsAAAAAAAAAAAAAAAAALwEAAF9yZWxzLy5yZWxzUEsB&#10;Ai0AFAAGAAgAAAAhALZ5EF2QAgAALQUAAA4AAAAAAAAAAAAAAAAALgIAAGRycy9lMm9Eb2MueG1s&#10;UEsBAi0AFAAGAAgAAAAhAGJ7MwvhAAAACwEAAA8AAAAAAAAAAAAAAAAA6gQAAGRycy9kb3ducmV2&#10;LnhtbFBLBQYAAAAABAAEAPMAAAD4BQAAAAA=&#10;" strokecolor="#31849b [2408]" strokeweight="1pt">
                <v:shadow on="t" opacity=".5" offset=".74836mm,.74836mm"/>
                <v:textbox>
                  <w:txbxContent>
                    <w:p w14:paraId="1D667580"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Produktivitāte</w:t>
                      </w:r>
                    </w:p>
                  </w:txbxContent>
                </v:textbox>
              </v:shape>
            </w:pict>
          </mc:Fallback>
        </mc:AlternateContent>
      </w:r>
      <w:r w:rsidRPr="003B4CDA">
        <w:rPr>
          <w:noProof/>
          <w:sz w:val="26"/>
          <w:szCs w:val="26"/>
          <w:lang w:eastAsia="lv-LV"/>
        </w:rPr>
        <mc:AlternateContent>
          <mc:Choice Requires="wps">
            <w:drawing>
              <wp:anchor distT="0" distB="0" distL="114300" distR="114300" simplePos="0" relativeHeight="251658253" behindDoc="0" locked="0" layoutInCell="1" allowOverlap="1" wp14:anchorId="451BD4D6" wp14:editId="57C0FA98">
                <wp:simplePos x="0" y="0"/>
                <wp:positionH relativeFrom="column">
                  <wp:posOffset>3972560</wp:posOffset>
                </wp:positionH>
                <wp:positionV relativeFrom="paragraph">
                  <wp:posOffset>628650</wp:posOffset>
                </wp:positionV>
                <wp:extent cx="1268730" cy="720090"/>
                <wp:effectExtent l="0" t="0" r="64770" b="6096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720090"/>
                        </a:xfrm>
                        <a:prstGeom prst="rect">
                          <a:avLst/>
                        </a:prstGeom>
                        <a:solidFill>
                          <a:srgbClr val="FFFFFF"/>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7EB668D1"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Izaugsme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1BD4D6" id="Text Box 187" o:spid="_x0000_s1038" type="#_x0000_t202" style="position:absolute;left:0;text-align:left;margin-left:312.8pt;margin-top:49.5pt;width:99.9pt;height:56.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h/kAIAAC0FAAAOAAAAZHJzL2Uyb0RvYy54bWysVNtu2zAMfR+wfxD0vtpJL0mNOkXXrsOA&#10;7gK0w54ZSbaF6TZJid19/SipydL2bVgCGKJIHvGQR7q4nLQiW+GDtKals6OaEmGY5dL0Lf3+cPtu&#10;SUmIYDgoa0RLH0Wgl6u3by5G14i5HaziwhMEMaEZXUuHGF1TVYENQkM4sk4YdHbWa4ho+r7iHkZE&#10;16qa1/VZNVrPnbdMhIC7N8VJVxm/6wSLX7suiEhUS7G2mL8+f9fpW60uoOk9uEGypzLgH6rQIA0e&#10;uoe6gQhk4+UrKC2Zt8F28YhZXdmuk0xkDshmVr9gcz+AE5kLNie4fZvC/4NlX7bfPJEcZ7dcUGJA&#10;45AexBTJezuRtIcdGl1oMPDeYWic0IHRmW1wd5b9DMTY6wFML668t+MggGOFs5RZHaQWnJBA1uNn&#10;y/Eg2ESbgabO69Q+bAhBdJzU4346qRiWjpyfLRfH6GLoW+Dwz/P4Kmh22c6H+FFYTdKipR6nn9Fh&#10;exdiqgaaXUg6LFgl+a1UKhu+X18rT7aASrnNv0zgRZgyZEylLOq6dOAZRlKt2KMAY8LE0xynNhop&#10;F/TFaY3ZpZ4s9JSSq3tWkZYRr4aSuqVLTCgp0KT2fjAc06GJIFVZIzVl0pbIoke+ybAbhLgf+Ei4&#10;TB05Xs4QBg28AYlCAiWgery6LHpKvI0/ZByy7lL/XzVmWad/3gflBiiEEp89odLHTGd/fLYOKsuy&#10;SEoomojTeioanO/ktrb8EYWCBWU14AuDi8H635SMeFtbGn5twAtK1CeDYjufnZwglZiNk1NUB5I5&#10;9KwPPWAYQj1xLsZ1LI/CxnnZD3hWEbixVyjRTmb1JC2XupBPMvBOZmZP70e69Id2jvr7yq3+AAAA&#10;//8DAFBLAwQUAAYACAAAACEAWNUV1OAAAAAKAQAADwAAAGRycy9kb3ducmV2LnhtbEyPwU7DMBBE&#10;70j8g7VIXCrq1GqsNmRToSIOnKAFcXZjN46I11HspOHvMSd6XO3TzJtyN7uOTWYIrSeE1TIDZqj2&#10;uqUG4fPj5WEDLERFWnWeDMKPCbCrbm9KVWh/oYOZjrFhKYRCoRBsjH3BeaitcSosfW8o/c5+cCqm&#10;c2i4HtQlhbuOiyyT3KmWUoNVvdlbU38fR4cwLdxhf+7y5iu+L6Tsn99G+zoh3t/NT4/AopnjPwx/&#10;+kkdquR08iPpwDoEKXKZUITtNm1KwEbka2AnBLESa+BVya8nVL8AAAD//wMAUEsBAi0AFAAGAAgA&#10;AAAhALaDOJL+AAAA4QEAABMAAAAAAAAAAAAAAAAAAAAAAFtDb250ZW50X1R5cGVzXS54bWxQSwEC&#10;LQAUAAYACAAAACEAOP0h/9YAAACUAQAACwAAAAAAAAAAAAAAAAAvAQAAX3JlbHMvLnJlbHNQSwEC&#10;LQAUAAYACAAAACEARgjYf5ACAAAtBQAADgAAAAAAAAAAAAAAAAAuAgAAZHJzL2Uyb0RvYy54bWxQ&#10;SwECLQAUAAYACAAAACEAWNUV1OAAAAAKAQAADwAAAAAAAAAAAAAAAADqBAAAZHJzL2Rvd25yZXYu&#10;eG1sUEsFBgAAAAAEAAQA8wAAAPcFAAAAAA==&#10;" strokecolor="#31849b [2408]" strokeweight="1pt">
                <v:shadow on="t" opacity=".5" offset=".74836mm,.74836mm"/>
                <v:textbox>
                  <w:txbxContent>
                    <w:p w14:paraId="7EB668D1" w14:textId="77777777" w:rsidR="005A28CF" w:rsidRPr="002612A6" w:rsidRDefault="005A28CF" w:rsidP="00A408E7">
                      <w:pPr>
                        <w:spacing w:after="0"/>
                        <w:jc w:val="center"/>
                        <w:rPr>
                          <w:rFonts w:ascii="Segoe UI Light" w:hAnsi="Segoe UI Light"/>
                          <w:sz w:val="16"/>
                          <w:szCs w:val="16"/>
                        </w:rPr>
                      </w:pPr>
                      <w:r w:rsidRPr="002612A6">
                        <w:rPr>
                          <w:rFonts w:ascii="Segoe UI Light" w:hAnsi="Segoe UI Light"/>
                          <w:sz w:val="16"/>
                          <w:szCs w:val="16"/>
                        </w:rPr>
                        <w:t>Izaugsme</w:t>
                      </w:r>
                    </w:p>
                  </w:txbxContent>
                </v:textbox>
              </v:shape>
            </w:pict>
          </mc:Fallback>
        </mc:AlternateContent>
      </w:r>
      <w:r w:rsidRPr="003B4CDA">
        <w:rPr>
          <w:noProof/>
          <w:sz w:val="26"/>
          <w:szCs w:val="26"/>
          <w:lang w:eastAsia="lv-LV"/>
        </w:rPr>
        <mc:AlternateContent>
          <mc:Choice Requires="wps">
            <w:drawing>
              <wp:anchor distT="0" distB="0" distL="114300" distR="114300" simplePos="0" relativeHeight="251658252" behindDoc="0" locked="0" layoutInCell="1" allowOverlap="1" wp14:anchorId="215A85CB" wp14:editId="28CB77CB">
                <wp:simplePos x="0" y="0"/>
                <wp:positionH relativeFrom="column">
                  <wp:posOffset>2207260</wp:posOffset>
                </wp:positionH>
                <wp:positionV relativeFrom="paragraph">
                  <wp:posOffset>2058035</wp:posOffset>
                </wp:positionV>
                <wp:extent cx="1268730" cy="317500"/>
                <wp:effectExtent l="0" t="0" r="26670" b="25400"/>
                <wp:wrapNone/>
                <wp:docPr id="188" name="Rounded 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317500"/>
                        </a:xfrm>
                        <a:prstGeom prst="roundRect">
                          <a:avLst>
                            <a:gd name="adj" fmla="val 31602"/>
                          </a:avLst>
                        </a:prstGeom>
                        <a:solidFill>
                          <a:srgbClr val="FFFFFF"/>
                        </a:solidFill>
                        <a:ln w="9525">
                          <a:solidFill>
                            <a:schemeClr val="accent5">
                              <a:lumMod val="75000"/>
                            </a:schemeClr>
                          </a:solidFill>
                          <a:round/>
                          <a:headEnd/>
                          <a:tailEnd/>
                        </a:ln>
                      </wps:spPr>
                      <wps:txbx>
                        <w:txbxContent>
                          <w:p w14:paraId="36E01868"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Piedāvājums</w:t>
                            </w:r>
                          </w:p>
                          <w:p w14:paraId="4E1518A2" w14:textId="77777777" w:rsidR="005A28CF" w:rsidRPr="002612A6" w:rsidRDefault="005A28CF" w:rsidP="00A408E7">
                            <w:pPr>
                              <w:spacing w:after="0"/>
                              <w:jc w:val="center"/>
                              <w:rPr>
                                <w:rFonts w:ascii="Segoe UI Light" w:hAnsi="Segoe UI Light"/>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5A85CB" id="Rounded Rectangle 103" o:spid="_x0000_s1039" style="position:absolute;left:0;text-align:left;margin-left:173.8pt;margin-top:162.05pt;width:99.9pt;height: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207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R5VgIAAKgEAAAOAAAAZHJzL2Uyb0RvYy54bWysVNtu2zAMfR+wfxD0vtpOml6MOkXRrsOA&#10;XYp2+wBFkmNtsqhRSpzu60fJTpZub8PyIIgmecjDI+bqetdbttUYDLiGVyclZ9pJUMatG/71y/2b&#10;C85CFE4JC043/FkHfr18/epq8LWeQQdWaWQE4kI9+IZ3Mfq6KILsdC/CCXjtyNkC9iKSietCoRgI&#10;vbfFrCzPigFQeQSpQ6Cvd6OTLzN+22oZP7dt0JHZhlNvMZ+Yz1U6i+WVqNcofGfk1Ib4hy56YRwV&#10;PUDdiSjYBs1fUL2RCAHaeCKhL6BtjdSZA7Gpyj/YPHXC68yFhhP8YUzh/8HKT9sHZEaRdhcklRM9&#10;ifQIG6e0Yo80PuHWVrOqnKdRDT7UlPHkHzCRDf4DyO+BObjtKE7fIMLQaaGowSrFFy8SkhEola2G&#10;j6CojthEyFPbtdgnQJoH22Vxng/i6F1kkj5Ws7OL8zlpKMk3r84XZVavEPU+22OI7zT0LF0ajolF&#10;opBLiO2HELNCamIp1DfO2t6S3lth2bw6K2e5aVFPwYS9x8x0wRp1b6zNBq5XtxYZpTb8Pv+m5HAc&#10;Zh0bGn65mC1yFy98+ZHrA4iQUrs4xtlNTyMawRPTPdVDCs2W5n9cKdPNzzkp8NapfI/C2PFO8dZN&#10;kiQVRjXjbrUb5T8IvAL1TCIhjMtCy02XDvAnZwMtSsPDj41AzZl970joy+r0NG1WNk4X5zMy8Niz&#10;OvYIJwmq4TIiZ6NxG8d93Hg0645qVXlUDm7oebQm7t/R2NfEgNYhj2Ba3bRvx3aO+v0Hs/wFAAD/&#10;/wMAUEsDBBQABgAIAAAAIQBQcE6B4gAAAAsBAAAPAAAAZHJzL2Rvd25yZXYueG1sTI/NTsMwEITv&#10;SLyDtUhcKuokhAZCnKpqhcSPQKLwAG68JFHjdWS7bXh7lhPcdmdGs99Wy8kO4og+9I4UpPMEBFLj&#10;TE+tgs+Ph6tbECFqMnpwhAq+McCyPj+rdGncid7xuI2t4BIKpVbQxTiWUoamQ6vD3I1I7H05b3Xk&#10;1bfSeH3icjvILEkW0uqe+EKnR1x32Oy3B6tghvu7t7V/Gl9mzy4NbbZZPb5ulLq8mFb3ICJO8S8M&#10;v/iMDjUz7dyBTBCDguu8WHCUhyxPQXDiJi9yEDtWClZkXcn/P9Q/AAAA//8DAFBLAQItABQABgAI&#10;AAAAIQC2gziS/gAAAOEBAAATAAAAAAAAAAAAAAAAAAAAAABbQ29udGVudF9UeXBlc10ueG1sUEsB&#10;Ai0AFAAGAAgAAAAhADj9If/WAAAAlAEAAAsAAAAAAAAAAAAAAAAALwEAAF9yZWxzLy5yZWxzUEsB&#10;Ai0AFAAGAAgAAAAhAAtcRHlWAgAAqAQAAA4AAAAAAAAAAAAAAAAALgIAAGRycy9lMm9Eb2MueG1s&#10;UEsBAi0AFAAGAAgAAAAhAFBwToHiAAAACwEAAA8AAAAAAAAAAAAAAAAAsAQAAGRycy9kb3ducmV2&#10;LnhtbFBLBQYAAAAABAAEAPMAAAC/BQAAAAA=&#10;" strokecolor="#31849b [2408]">
                <v:textbox>
                  <w:txbxContent>
                    <w:p w14:paraId="36E01868"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Piedāvājums</w:t>
                      </w:r>
                    </w:p>
                    <w:p w14:paraId="4E1518A2" w14:textId="77777777" w:rsidR="005A28CF" w:rsidRPr="002612A6" w:rsidRDefault="005A28CF" w:rsidP="00A408E7">
                      <w:pPr>
                        <w:spacing w:after="0"/>
                        <w:jc w:val="center"/>
                        <w:rPr>
                          <w:rFonts w:ascii="Segoe UI Light" w:hAnsi="Segoe UI Light"/>
                          <w:sz w:val="16"/>
                          <w:szCs w:val="16"/>
                        </w:rPr>
                      </w:pPr>
                    </w:p>
                  </w:txbxContent>
                </v:textbox>
              </v:roundrect>
            </w:pict>
          </mc:Fallback>
        </mc:AlternateContent>
      </w:r>
      <w:r w:rsidRPr="003B4CDA">
        <w:rPr>
          <w:noProof/>
          <w:sz w:val="26"/>
          <w:szCs w:val="26"/>
          <w:lang w:eastAsia="lv-LV"/>
        </w:rPr>
        <mc:AlternateContent>
          <mc:Choice Requires="wps">
            <w:drawing>
              <wp:anchor distT="0" distB="0" distL="114300" distR="114300" simplePos="0" relativeHeight="251658251" behindDoc="0" locked="0" layoutInCell="1" allowOverlap="1" wp14:anchorId="20BF5F52" wp14:editId="68B88595">
                <wp:simplePos x="0" y="0"/>
                <wp:positionH relativeFrom="column">
                  <wp:posOffset>2207260</wp:posOffset>
                </wp:positionH>
                <wp:positionV relativeFrom="paragraph">
                  <wp:posOffset>628650</wp:posOffset>
                </wp:positionV>
                <wp:extent cx="1268730" cy="317500"/>
                <wp:effectExtent l="0" t="0" r="26670" b="25400"/>
                <wp:wrapNone/>
                <wp:docPr id="224" name="Rounded 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730" cy="317500"/>
                        </a:xfrm>
                        <a:prstGeom prst="roundRect">
                          <a:avLst>
                            <a:gd name="adj" fmla="val 31602"/>
                          </a:avLst>
                        </a:prstGeom>
                        <a:solidFill>
                          <a:srgbClr val="FFFFFF"/>
                        </a:solidFill>
                        <a:ln w="9525">
                          <a:solidFill>
                            <a:schemeClr val="accent5">
                              <a:lumMod val="75000"/>
                            </a:schemeClr>
                          </a:solidFill>
                          <a:round/>
                          <a:headEnd/>
                          <a:tailEnd/>
                        </a:ln>
                      </wps:spPr>
                      <wps:txbx>
                        <w:txbxContent>
                          <w:p w14:paraId="1A5EEA4D"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Pieprasījums</w:t>
                            </w:r>
                          </w:p>
                          <w:p w14:paraId="464F5195" w14:textId="77777777" w:rsidR="005A28CF" w:rsidRPr="002612A6" w:rsidRDefault="005A28CF" w:rsidP="00A408E7">
                            <w:pPr>
                              <w:spacing w:after="0"/>
                              <w:jc w:val="center"/>
                              <w:rPr>
                                <w:rFonts w:ascii="Segoe UI Light" w:hAnsi="Segoe UI Light"/>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BF5F52" id="Rounded Rectangle 102" o:spid="_x0000_s1040" style="position:absolute;left:0;text-align:left;margin-left:173.8pt;margin-top:49.5pt;width:99.9pt;height: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7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OVQIAAKYEAAAOAAAAZHJzL2Uyb0RvYy54bWysVNtu2zAMfR+wfxD0vjp2kl6COEWRrsOA&#10;biva7QMUSY61yaJGKXG6rx8lJ1navQ3Lg0Ca5BEPj5j59a6zbKsxGHA1L89GnGknQRm3rvm3r3fv&#10;LjkLUTglLDhd82cd+PXi7Zt572e6ghas0sgIxIVZ72vexuhnRRFkqzsRzsBrR8EGsBORXFwXCkVP&#10;6J0tqtHovOgBlUeQOgT6ejsE+SLjN42W8UvTBB2ZrTn1FvOJ+Vyls1jMxWyNwrdG7tsQ/9BFJ4yj&#10;S49QtyIKtkHzF1RnJEKAJp5J6ApoGiN15kBsytErNk+t8DpzoeEEfxxT+H+w8vP2AZlRNa+qCWdO&#10;dCTSI2yc0oo90viEW1vNylGVRtX7MKOKJ/+AiWzw9yB/BOZg2VKevkGEvtVCUYNlyi9eFCQnUClb&#10;9Z9A0T1iEyFPbddglwBpHmyXxXk+iqN3kUn6WFbnlxdj0lBSbFxeTEdZvULMDtUeQ/ygoWPJqDkm&#10;FolCvkJs70PMCqk9S6G+c9Z0lvTeCsvG5flAkhD3yWQdMDNdsEbdGWuzg+vV0iKj0prf5V9mTFM5&#10;TbOO9TW/mlbT3MWLWH7k+ggipNQuDnl209GIBvDE9ED1WEKzfXVTppufc1LgvVPZjsLYwaZ86/aS&#10;JBUGNeNutcvyl5ODwCtQzyQSwrAstNxktIC/OOtpUWoefm4Eas7sR0dCX5WTSdqs7EymFxU5eBpZ&#10;nUaEkwRV88jZYC7jsI0bj2bd0k1lHpSDG3ocjYmHVzR0te+fliEPYL+4adtO/Zz15+9l8RsAAP//&#10;AwBQSwMEFAAGAAgAAAAhADEHCbnfAAAACgEAAA8AAABkcnMvZG93bnJldi54bWxMj01PwzAMhu9I&#10;/IfISNxYCpSWlqbTNPFx4bINJI5ZY9qKxOmadCv/HnOCo+1Hr5+3Ws7OiiOOofek4HqRgEBqvOmp&#10;VfC2e7q6BxGiJqOtJ1TwjQGW9flZpUvjT7TB4za2gkMolFpBF+NQShmaDp0OCz8g8e3Tj05HHsdW&#10;mlGfONxZeZMkmXS6J/7Q6QHXHTZf28kpaJ4PxWpnh5dN3h4es/Xr+5R8WKUuL+bVA4iIc/yD4Vef&#10;1aFmp72fyARhFdymecaogqLgTgzcpXkKYs9kyhtZV/J/hfoHAAD//wMAUEsBAi0AFAAGAAgAAAAh&#10;ALaDOJL+AAAA4QEAABMAAAAAAAAAAAAAAAAAAAAAAFtDb250ZW50X1R5cGVzXS54bWxQSwECLQAU&#10;AAYACAAAACEAOP0h/9YAAACUAQAACwAAAAAAAAAAAAAAAAAvAQAAX3JlbHMvLnJlbHNQSwECLQAU&#10;AAYACAAAACEAsZb/zlUCAACmBAAADgAAAAAAAAAAAAAAAAAuAgAAZHJzL2Uyb0RvYy54bWxQSwEC&#10;LQAUAAYACAAAACEAMQcJud8AAAAKAQAADwAAAAAAAAAAAAAAAACvBAAAZHJzL2Rvd25yZXYueG1s&#10;UEsFBgAAAAAEAAQA8wAAALsFAAAAAA==&#10;" strokecolor="#31849b [2408]">
                <v:textbox>
                  <w:txbxContent>
                    <w:p w14:paraId="1A5EEA4D"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Pieprasījums</w:t>
                      </w:r>
                    </w:p>
                    <w:p w14:paraId="464F5195" w14:textId="77777777" w:rsidR="005A28CF" w:rsidRPr="002612A6" w:rsidRDefault="005A28CF" w:rsidP="00A408E7">
                      <w:pPr>
                        <w:spacing w:after="0"/>
                        <w:jc w:val="center"/>
                        <w:rPr>
                          <w:rFonts w:ascii="Segoe UI Light" w:hAnsi="Segoe UI Light"/>
                          <w:sz w:val="16"/>
                          <w:szCs w:val="16"/>
                        </w:rPr>
                      </w:pPr>
                    </w:p>
                  </w:txbxContent>
                </v:textbox>
              </v:roundrect>
            </w:pict>
          </mc:Fallback>
        </mc:AlternateContent>
      </w:r>
      <w:r w:rsidRPr="003B4CDA">
        <w:rPr>
          <w:noProof/>
          <w:sz w:val="26"/>
          <w:szCs w:val="26"/>
          <w:lang w:eastAsia="lv-LV"/>
        </w:rPr>
        <mc:AlternateContent>
          <mc:Choice Requires="wps">
            <w:drawing>
              <wp:anchor distT="0" distB="0" distL="114300" distR="114300" simplePos="0" relativeHeight="251658250" behindDoc="0" locked="0" layoutInCell="1" allowOverlap="1" wp14:anchorId="09E99932" wp14:editId="61A6D480">
                <wp:simplePos x="0" y="0"/>
                <wp:positionH relativeFrom="column">
                  <wp:posOffset>2207260</wp:posOffset>
                </wp:positionH>
                <wp:positionV relativeFrom="paragraph">
                  <wp:posOffset>1170940</wp:posOffset>
                </wp:positionV>
                <wp:extent cx="1268730" cy="619760"/>
                <wp:effectExtent l="0" t="0" r="64770" b="6604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619760"/>
                        </a:xfrm>
                        <a:prstGeom prst="rect">
                          <a:avLst/>
                        </a:prstGeom>
                        <a:solidFill>
                          <a:schemeClr val="accent4">
                            <a:lumMod val="20000"/>
                            <a:lumOff val="80000"/>
                          </a:schemeClr>
                        </a:solidFill>
                        <a:ln w="12700">
                          <a:solidFill>
                            <a:schemeClr val="accent5">
                              <a:lumMod val="75000"/>
                            </a:schemeClr>
                          </a:solidFill>
                          <a:miter lim="800000"/>
                          <a:headEnd/>
                          <a:tailEnd/>
                        </a:ln>
                        <a:effectLst>
                          <a:outerShdw dist="38100" dir="2700000" algn="ctr" rotWithShape="0">
                            <a:srgbClr val="808080">
                              <a:alpha val="50000"/>
                            </a:srgbClr>
                          </a:outerShdw>
                        </a:effectLst>
                      </wps:spPr>
                      <wps:txbx>
                        <w:txbxContent>
                          <w:p w14:paraId="6BF99126" w14:textId="77777777" w:rsidR="005A28CF" w:rsidRPr="002612A6" w:rsidRDefault="005A28CF" w:rsidP="00A408E7">
                            <w:pPr>
                              <w:shd w:val="clear" w:color="auto" w:fill="E5DFEC" w:themeFill="accent4" w:themeFillTint="33"/>
                              <w:spacing w:after="0"/>
                              <w:jc w:val="center"/>
                              <w:rPr>
                                <w:rFonts w:ascii="Segoe UI Light" w:hAnsi="Segoe UI Light"/>
                                <w:sz w:val="16"/>
                                <w:szCs w:val="16"/>
                              </w:rPr>
                            </w:pPr>
                            <w:r w:rsidRPr="002612A6">
                              <w:rPr>
                                <w:rFonts w:ascii="Segoe UI Light" w:hAnsi="Segoe UI Light"/>
                                <w:sz w:val="16"/>
                                <w:szCs w:val="16"/>
                              </w:rPr>
                              <w:t>Pieprasījuma un piedāvājuma līdzsvarošanās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E99932" id="Text Box 225" o:spid="_x0000_s1041" type="#_x0000_t202" style="position:absolute;left:0;text-align:left;margin-left:173.8pt;margin-top:92.2pt;width:99.9pt;height:48.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TQnAIAAGsFAAAOAAAAZHJzL2Uyb0RvYy54bWysVG1v0zAQ/o7Ef7D8naXp+rZo6TQ2hpDG&#10;i7QhPl8dJ7FwbGO7Tcav53xpS2ESQghFsnJn+7nn7p7z5dXQabaTPihrSp6fTTiTRthKmabknx/v&#10;Xq04CxFMBdoaWfInGfjV+uWLy94VcmpbqyvpGYKYUPSu5G2MrsiyIFrZQTizThrcrK3vIKLpm6zy&#10;0CN6p7PpZLLIeusr562QIaD3dtzka8Kvaynix7oOMjJdcuQWafW0btKarS+haDy4Vok9DfgHFh0o&#10;g0GPULcQgW29egbVKeFtsHU8E7bLbF0rISkHzCaf/JbNQwtOUi5YnOCOZQr/D1Z82H3yTFUln07n&#10;nBnosEmPcojstR1Y8mGFehcKPPjg8GgccAM7TdkGd2/F18CMvWnBNPLae9u3EipkmKeb2cnVESck&#10;kE3/3lYYCLbREtBQ+y6VDwvCEB079XTsTiIjUsjpYrU8xy2Be4v8Yrmg9mVQHG47H+JbaTuWfkru&#10;sfuEDrv7EBMbKA5HUrBgtarulNZkJMXJG+3ZDlArIIQ0cUbX9bZDuqMfNTfZqwbdqK3RvTq4MQRp&#10;NyFRwF+CaMP6lMgSMf6OwfwZg+V8z+DPoToVcbC06kpO5PakU3PemIpkH0Hp8R+htEmEJI0MVisZ&#10;dosQD23Vs0qlep6vcuSNBs5PSiHxYKAbHHwRPWfexi8qtqTa1D3K0DebY1FXk/SRH7RrYaxdyufQ&#10;yTAep8odw5N1woxElXQ0KioOm4EUnB/FurHVE8oMCZGW8H3Cn9b675z1OOslD9+24CVn+p1BqV7k&#10;sxmmEsmYzZdTNPzpzuZ0B4xAqH3Oo3ETxydl67xqWow1joex1yjwWpH20iSMvDCfZOBEU2b71yc9&#10;Gac2nfr5Rq5/AAAA//8DAFBLAwQUAAYACAAAACEAxYpGv+AAAAALAQAADwAAAGRycy9kb3ducmV2&#10;LnhtbEyPwU7DMAyG70i8Q2QkLoil68pWStNpQuKEhKCgnb0mtBGNUzXpWt4ec4Kbrf/T78/lfnG9&#10;OJsxWE8K1qsEhKHGa0utgo/3p9scRIhIGntPRsG3CbCvLi9KLLSf6c2c69gKLqFQoIIuxqGQMjSd&#10;cRhWfjDE2acfHUZex1bqEWcud71Mk2QrHVriCx0O5rEzzVc9OQX5/et8pM3NS2rn9eHZ1kecBqfU&#10;9dVyeAARzRL/YPjVZ3Wo2OnkJ9JB9Ao22W7LKAd5loFg4i7b8XBSkOZpArIq5f8fqh8AAAD//wMA&#10;UEsBAi0AFAAGAAgAAAAhALaDOJL+AAAA4QEAABMAAAAAAAAAAAAAAAAAAAAAAFtDb250ZW50X1R5&#10;cGVzXS54bWxQSwECLQAUAAYACAAAACEAOP0h/9YAAACUAQAACwAAAAAAAAAAAAAAAAAvAQAAX3Jl&#10;bHMvLnJlbHNQSwECLQAUAAYACAAAACEAEXvE0JwCAABrBQAADgAAAAAAAAAAAAAAAAAuAgAAZHJz&#10;L2Uyb0RvYy54bWxQSwECLQAUAAYACAAAACEAxYpGv+AAAAALAQAADwAAAAAAAAAAAAAAAAD2BAAA&#10;ZHJzL2Rvd25yZXYueG1sUEsFBgAAAAAEAAQA8wAAAAMGAAAAAA==&#10;" fillcolor="#e5dfec [663]" strokecolor="#31849b [2408]" strokeweight="1pt">
                <v:shadow on="t" opacity=".5" offset=".74836mm,.74836mm"/>
                <v:textbox>
                  <w:txbxContent>
                    <w:p w14:paraId="6BF99126" w14:textId="77777777" w:rsidR="005A28CF" w:rsidRPr="002612A6" w:rsidRDefault="005A28CF" w:rsidP="00A408E7">
                      <w:pPr>
                        <w:shd w:val="clear" w:color="auto" w:fill="E5DFEC" w:themeFill="accent4" w:themeFillTint="33"/>
                        <w:spacing w:after="0"/>
                        <w:jc w:val="center"/>
                        <w:rPr>
                          <w:rFonts w:ascii="Segoe UI Light" w:hAnsi="Segoe UI Light"/>
                          <w:sz w:val="16"/>
                          <w:szCs w:val="16"/>
                        </w:rPr>
                      </w:pPr>
                      <w:r w:rsidRPr="002612A6">
                        <w:rPr>
                          <w:rFonts w:ascii="Segoe UI Light" w:hAnsi="Segoe UI Light"/>
                          <w:sz w:val="16"/>
                          <w:szCs w:val="16"/>
                        </w:rPr>
                        <w:t>Pieprasījuma un piedāvājuma līdzsvarošanās</w:t>
                      </w:r>
                    </w:p>
                  </w:txbxContent>
                </v:textbox>
              </v:shape>
            </w:pict>
          </mc:Fallback>
        </mc:AlternateContent>
      </w:r>
      <w:r w:rsidRPr="003B4CDA">
        <w:rPr>
          <w:noProof/>
          <w:sz w:val="26"/>
          <w:szCs w:val="26"/>
          <w:lang w:eastAsia="lv-LV"/>
        </w:rPr>
        <mc:AlternateContent>
          <mc:Choice Requires="wps">
            <w:drawing>
              <wp:anchor distT="0" distB="0" distL="114300" distR="114300" simplePos="0" relativeHeight="251658247" behindDoc="0" locked="0" layoutInCell="1" allowOverlap="1" wp14:anchorId="58331B53" wp14:editId="3BAC1D6A">
                <wp:simplePos x="0" y="0"/>
                <wp:positionH relativeFrom="column">
                  <wp:posOffset>2120900</wp:posOffset>
                </wp:positionH>
                <wp:positionV relativeFrom="paragraph">
                  <wp:posOffset>158115</wp:posOffset>
                </wp:positionV>
                <wp:extent cx="1440180" cy="2411730"/>
                <wp:effectExtent l="0" t="0" r="7620" b="7620"/>
                <wp:wrapNone/>
                <wp:docPr id="227" name="Rounded 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2411730"/>
                        </a:xfrm>
                        <a:prstGeom prst="roundRect">
                          <a:avLst>
                            <a:gd name="adj" fmla="val 2819"/>
                          </a:avLst>
                        </a:prstGeom>
                        <a:solidFill>
                          <a:schemeClr val="accent4">
                            <a:lumMod val="75000"/>
                          </a:schemeClr>
                        </a:solidFill>
                        <a:ln>
                          <a:noFill/>
                        </a:ln>
                      </wps:spPr>
                      <wps:txbx>
                        <w:txbxContent>
                          <w:p w14:paraId="60425EB5" w14:textId="77777777" w:rsidR="005A28CF" w:rsidRPr="00927285" w:rsidRDefault="005A28CF" w:rsidP="00A408E7">
                            <w:pPr>
                              <w:spacing w:after="0"/>
                              <w:jc w:val="center"/>
                              <w:rPr>
                                <w:rFonts w:ascii="Segoe UI Light" w:hAnsi="Segoe UI Light"/>
                                <w:color w:val="FFFFFF" w:themeColor="background1"/>
                                <w:sz w:val="16"/>
                                <w:szCs w:val="16"/>
                              </w:rPr>
                            </w:pPr>
                            <w:r w:rsidRPr="00927285">
                              <w:rPr>
                                <w:rFonts w:ascii="Segoe UI Light" w:hAnsi="Segoe UI Light"/>
                                <w:color w:val="FFFFFF" w:themeColor="background1"/>
                                <w:sz w:val="16"/>
                                <w:szCs w:val="16"/>
                              </w:rPr>
                              <w:t>Darba tirgus</w:t>
                            </w:r>
                          </w:p>
                          <w:p w14:paraId="6D3821FD" w14:textId="77777777" w:rsidR="005A28CF" w:rsidRDefault="005A28CF" w:rsidP="00A408E7">
                            <w:pPr>
                              <w:rPr>
                                <w:rFonts w:ascii="Arial Narrow" w:hAnsi="Arial Narrow"/>
                                <w:b/>
                                <w:szCs w:val="20"/>
                              </w:rPr>
                            </w:pPr>
                          </w:p>
                          <w:p w14:paraId="1D7CD7C1" w14:textId="77777777" w:rsidR="005A28CF" w:rsidRDefault="005A28CF" w:rsidP="00A408E7">
                            <w:pPr>
                              <w:rPr>
                                <w:rFonts w:ascii="Arial Narrow" w:hAnsi="Arial Narrow"/>
                                <w:b/>
                                <w:szCs w:val="20"/>
                              </w:rPr>
                            </w:pPr>
                          </w:p>
                          <w:p w14:paraId="596DCFDE" w14:textId="77777777" w:rsidR="005A28CF" w:rsidRDefault="005A28CF" w:rsidP="00A408E7">
                            <w:pPr>
                              <w:rPr>
                                <w:rFonts w:ascii="Arial Narrow" w:hAnsi="Arial Narrow"/>
                                <w:b/>
                                <w:szCs w:val="20"/>
                              </w:rPr>
                            </w:pPr>
                          </w:p>
                          <w:p w14:paraId="64CC5FCC" w14:textId="77777777" w:rsidR="005A28CF" w:rsidRDefault="005A28CF" w:rsidP="00A408E7">
                            <w:pPr>
                              <w:rPr>
                                <w:rFonts w:ascii="Arial Narrow" w:hAnsi="Arial Narrow"/>
                                <w:b/>
                                <w:szCs w:val="20"/>
                              </w:rPr>
                            </w:pPr>
                          </w:p>
                          <w:p w14:paraId="0F840162" w14:textId="77777777" w:rsidR="005A28CF" w:rsidRDefault="005A28CF" w:rsidP="00A408E7">
                            <w:pPr>
                              <w:rPr>
                                <w:rFonts w:ascii="Arial Narrow" w:hAnsi="Arial Narrow"/>
                                <w:b/>
                                <w:szCs w:val="20"/>
                              </w:rPr>
                            </w:pPr>
                          </w:p>
                          <w:p w14:paraId="5635D222" w14:textId="77777777" w:rsidR="005A28CF" w:rsidRDefault="005A28CF" w:rsidP="00A408E7">
                            <w:pPr>
                              <w:rPr>
                                <w:rFonts w:ascii="Arial Narrow" w:hAnsi="Arial Narrow"/>
                                <w:b/>
                                <w:szCs w:val="20"/>
                              </w:rPr>
                            </w:pPr>
                          </w:p>
                          <w:p w14:paraId="69CB51C5" w14:textId="77777777" w:rsidR="005A28CF" w:rsidRPr="005D0438" w:rsidRDefault="005A28CF" w:rsidP="00A408E7">
                            <w:pPr>
                              <w:rPr>
                                <w:rFonts w:ascii="Arial Narrow" w:hAnsi="Arial Narrow"/>
                                <w:b/>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331B53" id="Rounded Rectangle 100" o:spid="_x0000_s1042" style="position:absolute;left:0;text-align:left;margin-left:167pt;margin-top:12.45pt;width:113.4pt;height:189.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LVLAIAADsEAAAOAAAAZHJzL2Uyb0RvYy54bWysU9tuEzEQfUfiHyy/k72QNukqmwq1KkIq&#10;ULXwAY7tzRpsj7G92ZSv79ibhABviBfLM+M5M+fMeHW9N5rspA8KbEurWUmJtByEstuWfv1y92ZJ&#10;SYjMCqbBypY+y0Cv169frUbXyBp60EJ6giA2NKNraR+ja4oi8F4aFmbgpMVgB96wiKbfFsKzEdGN&#10;LuqyvCxG8MJ54DIE9N5OQbrO+F0nefzcdUFGoluKvcV8+nxu0lmsV6zZeuZ6xQ9tsH/owjBlsegJ&#10;6pZFRgav/oIyinsI0MUZB1NA1ykuMwdkU5V/sHnqmZOZC4oT3Emm8P9g+afdgydKtLSuF5RYZnBI&#10;jzBYIQV5RPmY3WpJqjJLNbrQYMaTe/CJbHD3wL8H1LD4LZKMgG/IZvwIAgHZECHLs++8SZlInOzz&#10;FJ5PU5D7SDg6q/m8rJY4LI6xel5Vi7e5eMGaY7rzIb6XYEi6tNSnflOzuQbb3YeYZyEOfJj4Rkln&#10;NE52xzSpl9VVGjwCHt7i7QiZeYFW4k5pnY20ivJGe4K5SIVzaeM8V9KDQX6Tf3FRThohVt7elJJr&#10;hHM0bROmhYQ+tZA8Wb6kWNrb0MT9Zp9nUl2mPpNrA+IZBfUwbTD+OLz04H9SMuL2tjT8GJiXlOgP&#10;FtfjKomI656N+cWiRsOfRzbnEWY5QrU0UjJdb+L0RQbn1bbHSlXma+EdDrJT8TjxqatD/7ihme/h&#10;N6UvcG7nV7/+/PoFAAD//wMAUEsDBBQABgAIAAAAIQDuv6h94QAAAAoBAAAPAAAAZHJzL2Rvd25y&#10;ZXYueG1sTI9BTsMwEEX3SNzBGiR21CYJJU3jVAgpG8qCFA7gxm4SEY+j2G0STs+wosvRfP3/Xr6b&#10;bc8uZvSdQwmPKwHMYO10h42Er8/yIQXmg0KteodGwmI87Irbm1xl2k1YmcshNIxK0GdKQhvCkHHu&#10;69ZY5VduMEi/kxutCnSODdejmqjc9jwSYs2t6pAWWjWY19bU34ezlVCVw37/kcZVtLz1P+/1tJzS&#10;spPy/m5+2QILZg7/YfjDJ3QoiOnozqg96yXEcUIuQUKUbIBR4GktyOUoIRHJM/Ai59cKxS8AAAD/&#10;/wMAUEsBAi0AFAAGAAgAAAAhALaDOJL+AAAA4QEAABMAAAAAAAAAAAAAAAAAAAAAAFtDb250ZW50&#10;X1R5cGVzXS54bWxQSwECLQAUAAYACAAAACEAOP0h/9YAAACUAQAACwAAAAAAAAAAAAAAAAAvAQAA&#10;X3JlbHMvLnJlbHNQSwECLQAUAAYACAAAACEAYajy1SwCAAA7BAAADgAAAAAAAAAAAAAAAAAuAgAA&#10;ZHJzL2Uyb0RvYy54bWxQSwECLQAUAAYACAAAACEA7r+ofeEAAAAKAQAADwAAAAAAAAAAAAAAAACG&#10;BAAAZHJzL2Rvd25yZXYueG1sUEsFBgAAAAAEAAQA8wAAAJQFAAAAAA==&#10;" fillcolor="#5f497a [2407]" stroked="f">
                <v:textbox>
                  <w:txbxContent>
                    <w:p w14:paraId="60425EB5" w14:textId="77777777" w:rsidR="005A28CF" w:rsidRPr="00927285" w:rsidRDefault="005A28CF" w:rsidP="00A408E7">
                      <w:pPr>
                        <w:spacing w:after="0"/>
                        <w:jc w:val="center"/>
                        <w:rPr>
                          <w:rFonts w:ascii="Segoe UI Light" w:hAnsi="Segoe UI Light"/>
                          <w:color w:val="FFFFFF" w:themeColor="background1"/>
                          <w:sz w:val="16"/>
                          <w:szCs w:val="16"/>
                        </w:rPr>
                      </w:pPr>
                      <w:r w:rsidRPr="00927285">
                        <w:rPr>
                          <w:rFonts w:ascii="Segoe UI Light" w:hAnsi="Segoe UI Light"/>
                          <w:color w:val="FFFFFF" w:themeColor="background1"/>
                          <w:sz w:val="16"/>
                          <w:szCs w:val="16"/>
                        </w:rPr>
                        <w:t>Darba tirgus</w:t>
                      </w:r>
                    </w:p>
                    <w:p w14:paraId="6D3821FD" w14:textId="77777777" w:rsidR="005A28CF" w:rsidRDefault="005A28CF" w:rsidP="00A408E7">
                      <w:pPr>
                        <w:rPr>
                          <w:rFonts w:ascii="Arial Narrow" w:hAnsi="Arial Narrow"/>
                          <w:b/>
                          <w:szCs w:val="20"/>
                        </w:rPr>
                      </w:pPr>
                    </w:p>
                    <w:p w14:paraId="1D7CD7C1" w14:textId="77777777" w:rsidR="005A28CF" w:rsidRDefault="005A28CF" w:rsidP="00A408E7">
                      <w:pPr>
                        <w:rPr>
                          <w:rFonts w:ascii="Arial Narrow" w:hAnsi="Arial Narrow"/>
                          <w:b/>
                          <w:szCs w:val="20"/>
                        </w:rPr>
                      </w:pPr>
                    </w:p>
                    <w:p w14:paraId="596DCFDE" w14:textId="77777777" w:rsidR="005A28CF" w:rsidRDefault="005A28CF" w:rsidP="00A408E7">
                      <w:pPr>
                        <w:rPr>
                          <w:rFonts w:ascii="Arial Narrow" w:hAnsi="Arial Narrow"/>
                          <w:b/>
                          <w:szCs w:val="20"/>
                        </w:rPr>
                      </w:pPr>
                    </w:p>
                    <w:p w14:paraId="64CC5FCC" w14:textId="77777777" w:rsidR="005A28CF" w:rsidRDefault="005A28CF" w:rsidP="00A408E7">
                      <w:pPr>
                        <w:rPr>
                          <w:rFonts w:ascii="Arial Narrow" w:hAnsi="Arial Narrow"/>
                          <w:b/>
                          <w:szCs w:val="20"/>
                        </w:rPr>
                      </w:pPr>
                    </w:p>
                    <w:p w14:paraId="0F840162" w14:textId="77777777" w:rsidR="005A28CF" w:rsidRDefault="005A28CF" w:rsidP="00A408E7">
                      <w:pPr>
                        <w:rPr>
                          <w:rFonts w:ascii="Arial Narrow" w:hAnsi="Arial Narrow"/>
                          <w:b/>
                          <w:szCs w:val="20"/>
                        </w:rPr>
                      </w:pPr>
                    </w:p>
                    <w:p w14:paraId="5635D222" w14:textId="77777777" w:rsidR="005A28CF" w:rsidRDefault="005A28CF" w:rsidP="00A408E7">
                      <w:pPr>
                        <w:rPr>
                          <w:rFonts w:ascii="Arial Narrow" w:hAnsi="Arial Narrow"/>
                          <w:b/>
                          <w:szCs w:val="20"/>
                        </w:rPr>
                      </w:pPr>
                    </w:p>
                    <w:p w14:paraId="69CB51C5" w14:textId="77777777" w:rsidR="005A28CF" w:rsidRPr="005D0438" w:rsidRDefault="005A28CF" w:rsidP="00A408E7">
                      <w:pPr>
                        <w:rPr>
                          <w:rFonts w:ascii="Arial Narrow" w:hAnsi="Arial Narrow"/>
                          <w:b/>
                          <w:szCs w:val="20"/>
                        </w:rPr>
                      </w:pPr>
                    </w:p>
                  </w:txbxContent>
                </v:textbox>
              </v:roundrect>
            </w:pict>
          </mc:Fallback>
        </mc:AlternateContent>
      </w:r>
      <w:r w:rsidRPr="003B4CDA">
        <w:rPr>
          <w:noProof/>
          <w:sz w:val="26"/>
          <w:szCs w:val="26"/>
          <w:lang w:eastAsia="lv-LV"/>
        </w:rPr>
        <mc:AlternateContent>
          <mc:Choice Requires="wps">
            <w:drawing>
              <wp:anchor distT="0" distB="0" distL="114300" distR="114300" simplePos="0" relativeHeight="251658246" behindDoc="0" locked="0" layoutInCell="1" allowOverlap="1" wp14:anchorId="54F13250" wp14:editId="442419DA">
                <wp:simplePos x="0" y="0"/>
                <wp:positionH relativeFrom="column">
                  <wp:posOffset>3818890</wp:posOffset>
                </wp:positionH>
                <wp:positionV relativeFrom="paragraph">
                  <wp:posOffset>158115</wp:posOffset>
                </wp:positionV>
                <wp:extent cx="1593850" cy="2411730"/>
                <wp:effectExtent l="0" t="0" r="6350" b="7620"/>
                <wp:wrapNone/>
                <wp:docPr id="189" name="Rounded 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0" cy="2411730"/>
                        </a:xfrm>
                        <a:prstGeom prst="roundRect">
                          <a:avLst>
                            <a:gd name="adj" fmla="val 2819"/>
                          </a:avLst>
                        </a:prstGeom>
                        <a:solidFill>
                          <a:schemeClr val="accent4">
                            <a:lumMod val="60000"/>
                            <a:lumOff val="40000"/>
                          </a:schemeClr>
                        </a:solidFill>
                        <a:ln>
                          <a:noFill/>
                        </a:ln>
                      </wps:spPr>
                      <wps:txbx>
                        <w:txbxContent>
                          <w:p w14:paraId="380CD03A"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Pieprasījuma faktori</w:t>
                            </w:r>
                          </w:p>
                          <w:p w14:paraId="5E9D1CDB" w14:textId="77777777" w:rsidR="005A28CF" w:rsidRDefault="005A28CF" w:rsidP="00A408E7">
                            <w:pPr>
                              <w:jc w:val="center"/>
                              <w:rPr>
                                <w:b/>
                              </w:rPr>
                            </w:pPr>
                          </w:p>
                          <w:p w14:paraId="4C68EAF4" w14:textId="77777777" w:rsidR="005A28CF" w:rsidRDefault="005A28CF" w:rsidP="00A408E7">
                            <w:pPr>
                              <w:jc w:val="center"/>
                              <w:rPr>
                                <w:b/>
                              </w:rPr>
                            </w:pPr>
                          </w:p>
                          <w:p w14:paraId="700A73F8" w14:textId="77777777" w:rsidR="005A28CF" w:rsidRDefault="005A28CF" w:rsidP="00A408E7">
                            <w:pPr>
                              <w:jc w:val="center"/>
                              <w:rPr>
                                <w:b/>
                              </w:rPr>
                            </w:pPr>
                          </w:p>
                          <w:p w14:paraId="5C0FEF6C" w14:textId="77777777" w:rsidR="005A28CF" w:rsidRDefault="005A28CF" w:rsidP="00A408E7">
                            <w:pPr>
                              <w:jc w:val="center"/>
                              <w:rPr>
                                <w:b/>
                              </w:rPr>
                            </w:pPr>
                          </w:p>
                          <w:p w14:paraId="6A60E5A9" w14:textId="77777777" w:rsidR="005A28CF" w:rsidRDefault="005A28CF" w:rsidP="00A408E7">
                            <w:pPr>
                              <w:jc w:val="center"/>
                              <w:rPr>
                                <w:b/>
                              </w:rPr>
                            </w:pPr>
                          </w:p>
                          <w:p w14:paraId="22578606" w14:textId="77777777" w:rsidR="005A28CF" w:rsidRDefault="005A28CF" w:rsidP="00A408E7">
                            <w:pPr>
                              <w:jc w:val="center"/>
                              <w:rPr>
                                <w:b/>
                              </w:rPr>
                            </w:pPr>
                          </w:p>
                          <w:p w14:paraId="12BD50CD" w14:textId="77777777" w:rsidR="005A28CF" w:rsidRPr="00230498" w:rsidRDefault="005A28CF" w:rsidP="00A408E7">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F13250" id="Rounded Rectangle 99" o:spid="_x0000_s1043" style="position:absolute;left:0;text-align:left;margin-left:300.7pt;margin-top:12.45pt;width:125.5pt;height:189.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HBNgIAAFEEAAAOAAAAZHJzL2Uyb0RvYy54bWysVFFv0zAQfkfiP1h+p2m6dGujphPaNIQ0&#10;YNrgB7i20xhsn7GdpuXXc3baUuANkQfLd2ff3fd956xu90aTnfRBgW1oOZlSIi0Hoey2oV8+P7xZ&#10;UBIis4JpsLKhBxno7fr1q9XgajmDDrSQnmASG+rBNbSL0dVFEXgnDQsTcNJisAVvWETTbwvh2YDZ&#10;jS5m0+l1MYAXzgOXIaD3fgzSdc7ftpLHT20bZCS6odhbzKvP6yatxXrF6q1nrlP82Ab7hy4MUxaL&#10;nlPds8hI79VfqYziHgK0ccLBFNC2isuMAdGU0z/QvHTMyYwFyQnuTFP4f2n5x92TJ0qgdoslJZYZ&#10;FOkZeiukIM9IH7NbLclymZgaXKjxwot78glrcI/AvwUMFL9FkhHwDNkMH0BgPtZHyOzsW2/STcRN&#10;9lmEw1kEuY+Eo7OcL68Wc9SKY2xWleXNVZapYPXpuvMhvpNgSNo01Kd2U6+5Bts9hpilEEc4THyl&#10;pDUahd0xTWaLMqPBhMezuDulzLhAK/GgtM5GmkR5pz3BuwiFc2ljlSvp3iC+0X89xW+cJnTjzI3u&#10;6uTGEnmmUybkC63LItqmUhZS0UQnq5Mns5qIHJmP+81+VOrmJMYGxAF59jDONb5D3HTgf1Ay4Ew3&#10;NHzvmZeU6PcWh2ZZVlV6BNmo5jczNPxlZHMZYZZjqoZGSsbtXRwfTu+82nZYqcw0WHiL+rYqngZh&#10;7OrYP85tBnR8Y+lhXNr51K8/wfonAAAA//8DAFBLAwQUAAYACAAAACEAREH4vt0AAAAKAQAADwAA&#10;AGRycy9kb3ducmV2LnhtbEyPwU6EMBCG7ya+QzMm3twWgisiw8aYuNcV1HuXDpRIW0K7C+7TW096&#10;nJkv/3x/uVvNyM40+8FZhGQjgJFtnRpsj/Dx/nqXA/NBWiVHZwnhmzzsquurUhbKLbamcxN6FkOs&#10;LySCDmEqOPetJiP9xk1k461zs5EhjnPP1SyXGG5Gngqx5UYONn7QcqIXTe1XczII9edBd+JNXZY8&#10;3etk3+lDc6kRb2/W5ydggdbwB8OvflSHKjod3ckqz0aErUiyiCKk2SOwCOT3aVwcETKRPQCvSv6/&#10;QvUDAAD//wMAUEsBAi0AFAAGAAgAAAAhALaDOJL+AAAA4QEAABMAAAAAAAAAAAAAAAAAAAAAAFtD&#10;b250ZW50X1R5cGVzXS54bWxQSwECLQAUAAYACAAAACEAOP0h/9YAAACUAQAACwAAAAAAAAAAAAAA&#10;AAAvAQAAX3JlbHMvLnJlbHNQSwECLQAUAAYACAAAACEADnxBwTYCAABRBAAADgAAAAAAAAAAAAAA&#10;AAAuAgAAZHJzL2Uyb0RvYy54bWxQSwECLQAUAAYACAAAACEAREH4vt0AAAAKAQAADwAAAAAAAAAA&#10;AAAAAACQBAAAZHJzL2Rvd25yZXYueG1sUEsFBgAAAAAEAAQA8wAAAJoFAAAAAA==&#10;" fillcolor="#b2a1c7 [1943]" stroked="f">
                <v:textbox>
                  <w:txbxContent>
                    <w:p w14:paraId="380CD03A" w14:textId="77777777" w:rsidR="005A28CF" w:rsidRDefault="005A28CF" w:rsidP="00A408E7">
                      <w:pPr>
                        <w:spacing w:after="0"/>
                        <w:jc w:val="center"/>
                        <w:rPr>
                          <w:rFonts w:ascii="Segoe UI Light" w:hAnsi="Segoe UI Light"/>
                          <w:sz w:val="16"/>
                          <w:szCs w:val="16"/>
                        </w:rPr>
                      </w:pPr>
                      <w:r w:rsidRPr="002612A6">
                        <w:rPr>
                          <w:rFonts w:ascii="Segoe UI Light" w:hAnsi="Segoe UI Light"/>
                          <w:sz w:val="16"/>
                          <w:szCs w:val="16"/>
                        </w:rPr>
                        <w:t>Pieprasījuma faktori</w:t>
                      </w:r>
                    </w:p>
                    <w:p w14:paraId="5E9D1CDB" w14:textId="77777777" w:rsidR="005A28CF" w:rsidRDefault="005A28CF" w:rsidP="00A408E7">
                      <w:pPr>
                        <w:jc w:val="center"/>
                        <w:rPr>
                          <w:b/>
                        </w:rPr>
                      </w:pPr>
                    </w:p>
                    <w:p w14:paraId="4C68EAF4" w14:textId="77777777" w:rsidR="005A28CF" w:rsidRDefault="005A28CF" w:rsidP="00A408E7">
                      <w:pPr>
                        <w:jc w:val="center"/>
                        <w:rPr>
                          <w:b/>
                        </w:rPr>
                      </w:pPr>
                    </w:p>
                    <w:p w14:paraId="700A73F8" w14:textId="77777777" w:rsidR="005A28CF" w:rsidRDefault="005A28CF" w:rsidP="00A408E7">
                      <w:pPr>
                        <w:jc w:val="center"/>
                        <w:rPr>
                          <w:b/>
                        </w:rPr>
                      </w:pPr>
                    </w:p>
                    <w:p w14:paraId="5C0FEF6C" w14:textId="77777777" w:rsidR="005A28CF" w:rsidRDefault="005A28CF" w:rsidP="00A408E7">
                      <w:pPr>
                        <w:jc w:val="center"/>
                        <w:rPr>
                          <w:b/>
                        </w:rPr>
                      </w:pPr>
                    </w:p>
                    <w:p w14:paraId="6A60E5A9" w14:textId="77777777" w:rsidR="005A28CF" w:rsidRDefault="005A28CF" w:rsidP="00A408E7">
                      <w:pPr>
                        <w:jc w:val="center"/>
                        <w:rPr>
                          <w:b/>
                        </w:rPr>
                      </w:pPr>
                    </w:p>
                    <w:p w14:paraId="22578606" w14:textId="77777777" w:rsidR="005A28CF" w:rsidRDefault="005A28CF" w:rsidP="00A408E7">
                      <w:pPr>
                        <w:jc w:val="center"/>
                        <w:rPr>
                          <w:b/>
                        </w:rPr>
                      </w:pPr>
                    </w:p>
                    <w:p w14:paraId="12BD50CD" w14:textId="77777777" w:rsidR="005A28CF" w:rsidRPr="00230498" w:rsidRDefault="005A28CF" w:rsidP="00A408E7">
                      <w:pPr>
                        <w:jc w:val="center"/>
                        <w:rPr>
                          <w:b/>
                        </w:rPr>
                      </w:pPr>
                    </w:p>
                  </w:txbxContent>
                </v:textbox>
              </v:roundrect>
            </w:pict>
          </mc:Fallback>
        </mc:AlternateContent>
      </w:r>
      <w:r w:rsidRPr="003B4CDA">
        <w:rPr>
          <w:noProof/>
          <w:sz w:val="26"/>
          <w:szCs w:val="26"/>
          <w:lang w:eastAsia="lv-LV"/>
        </w:rPr>
        <mc:AlternateContent>
          <mc:Choice Requires="wpg">
            <w:drawing>
              <wp:anchor distT="0" distB="0" distL="114300" distR="114300" simplePos="0" relativeHeight="251658249" behindDoc="0" locked="0" layoutInCell="1" allowOverlap="1" wp14:anchorId="3800A486" wp14:editId="0BB48AD7">
                <wp:simplePos x="0" y="0"/>
                <wp:positionH relativeFrom="column">
                  <wp:posOffset>1671320</wp:posOffset>
                </wp:positionH>
                <wp:positionV relativeFrom="paragraph">
                  <wp:posOffset>781050</wp:posOffset>
                </wp:positionV>
                <wp:extent cx="2298065" cy="1442085"/>
                <wp:effectExtent l="38100" t="76200" r="0" b="100965"/>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065" cy="1442085"/>
                          <a:chOff x="4333" y="11870"/>
                          <a:chExt cx="3619" cy="2271"/>
                        </a:xfrm>
                      </wpg:grpSpPr>
                      <wps:wsp>
                        <wps:cNvPr id="191" name="AutoShape 120"/>
                        <wps:cNvCnPr>
                          <a:cxnSpLocks noChangeShapeType="1"/>
                        </wps:cNvCnPr>
                        <wps:spPr bwMode="auto">
                          <a:xfrm flipH="1">
                            <a:off x="4333" y="13793"/>
                            <a:ext cx="482" cy="0"/>
                          </a:xfrm>
                          <a:prstGeom prst="straightConnector1">
                            <a:avLst/>
                          </a:prstGeom>
                          <a:noFill/>
                          <a:ln w="9525">
                            <a:solidFill>
                              <a:srgbClr val="4E6128"/>
                            </a:solidFill>
                            <a:prstDash val="sysDot"/>
                            <a:round/>
                            <a:headEnd/>
                            <a:tailEnd type="triangle" w="med" len="med"/>
                          </a:ln>
                          <a:extLst>
                            <a:ext uri="{909E8E84-426E-40DD-AFC4-6F175D3DCCD1}">
                              <a14:hiddenFill xmlns:a14="http://schemas.microsoft.com/office/drawing/2010/main">
                                <a:noFill/>
                              </a14:hiddenFill>
                            </a:ext>
                          </a:extLst>
                        </wps:spPr>
                        <wps:bodyPr/>
                      </wps:wsp>
                      <wpg:grpSp>
                        <wpg:cNvPr id="192" name="Group 121"/>
                        <wpg:cNvGrpSpPr>
                          <a:grpSpLocks/>
                        </wpg:cNvGrpSpPr>
                        <wpg:grpSpPr bwMode="auto">
                          <a:xfrm>
                            <a:off x="4333" y="11870"/>
                            <a:ext cx="3619" cy="2271"/>
                            <a:chOff x="4333" y="11870"/>
                            <a:chExt cx="3619" cy="2271"/>
                          </a:xfrm>
                        </wpg:grpSpPr>
                        <wps:wsp>
                          <wps:cNvPr id="193" name="AutoShape 122"/>
                          <wps:cNvCnPr>
                            <a:cxnSpLocks noChangeShapeType="1"/>
                          </wps:cNvCnPr>
                          <wps:spPr bwMode="auto">
                            <a:xfrm>
                              <a:off x="4333" y="14140"/>
                              <a:ext cx="844"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94" name="Group 123"/>
                          <wpg:cNvGrpSpPr>
                            <a:grpSpLocks/>
                          </wpg:cNvGrpSpPr>
                          <wpg:grpSpPr bwMode="auto">
                            <a:xfrm>
                              <a:off x="4333" y="11870"/>
                              <a:ext cx="3619" cy="2270"/>
                              <a:chOff x="4113" y="11870"/>
                              <a:chExt cx="3619" cy="2270"/>
                            </a:xfrm>
                          </wpg:grpSpPr>
                          <wps:wsp>
                            <wps:cNvPr id="195" name="AutoShape 124"/>
                            <wps:cNvCnPr>
                              <a:cxnSpLocks noChangeShapeType="1"/>
                            </wps:cNvCnPr>
                            <wps:spPr bwMode="auto">
                              <a:xfrm>
                                <a:off x="5923" y="12134"/>
                                <a:ext cx="0"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AutoShape 125"/>
                            <wps:cNvCnPr>
                              <a:cxnSpLocks noChangeShapeType="1"/>
                            </wps:cNvCnPr>
                            <wps:spPr bwMode="auto">
                              <a:xfrm flipV="1">
                                <a:off x="5923" y="13460"/>
                                <a:ext cx="0"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7" name="AutoShape 126"/>
                            <wps:cNvCnPr>
                              <a:cxnSpLocks noChangeShapeType="1"/>
                            </wps:cNvCnPr>
                            <wps:spPr bwMode="auto">
                              <a:xfrm flipH="1">
                                <a:off x="6965" y="11873"/>
                                <a:ext cx="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AutoShape 127"/>
                            <wps:cNvCnPr>
                              <a:cxnSpLocks noChangeShapeType="1"/>
                            </wps:cNvCnPr>
                            <wps:spPr bwMode="auto">
                              <a:xfrm flipH="1">
                                <a:off x="7278" y="13793"/>
                                <a:ext cx="4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128"/>
                            <wps:cNvCnPr>
                              <a:cxnSpLocks noChangeShapeType="1"/>
                            </wps:cNvCnPr>
                            <wps:spPr bwMode="auto">
                              <a:xfrm flipV="1">
                                <a:off x="7279" y="11873"/>
                                <a:ext cx="0" cy="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AutoShape 129"/>
                            <wps:cNvCnPr>
                              <a:cxnSpLocks noChangeShapeType="1"/>
                            </wps:cNvCnPr>
                            <wps:spPr bwMode="auto">
                              <a:xfrm flipH="1">
                                <a:off x="4113" y="11976"/>
                                <a:ext cx="35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130"/>
                            <wps:cNvCnPr>
                              <a:cxnSpLocks noChangeShapeType="1"/>
                            </wps:cNvCnPr>
                            <wps:spPr bwMode="auto">
                              <a:xfrm flipH="1">
                                <a:off x="4113" y="13017"/>
                                <a:ext cx="35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131"/>
                            <wps:cNvCnPr>
                              <a:cxnSpLocks noChangeShapeType="1"/>
                            </wps:cNvCnPr>
                            <wps:spPr bwMode="auto">
                              <a:xfrm flipV="1">
                                <a:off x="4471" y="11980"/>
                                <a:ext cx="1" cy="2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132"/>
                            <wps:cNvCnPr>
                              <a:cxnSpLocks noChangeShapeType="1"/>
                            </wps:cNvCnPr>
                            <wps:spPr bwMode="auto">
                              <a:xfrm flipH="1">
                                <a:off x="4611" y="11870"/>
                                <a:ext cx="346" cy="0"/>
                              </a:xfrm>
                              <a:prstGeom prst="straightConnector1">
                                <a:avLst/>
                              </a:prstGeom>
                              <a:noFill/>
                              <a:ln w="9525">
                                <a:solidFill>
                                  <a:srgbClr val="4E6128"/>
                                </a:solidFill>
                                <a:prstDash val="sysDot"/>
                                <a:round/>
                                <a:headEnd/>
                                <a:tailEnd/>
                              </a:ln>
                              <a:extLst>
                                <a:ext uri="{909E8E84-426E-40DD-AFC4-6F175D3DCCD1}">
                                  <a14:hiddenFill xmlns:a14="http://schemas.microsoft.com/office/drawing/2010/main">
                                    <a:noFill/>
                                  </a14:hiddenFill>
                                </a:ext>
                              </a:extLst>
                            </wps:spPr>
                            <wps:bodyPr/>
                          </wps:wsp>
                          <wps:wsp>
                            <wps:cNvPr id="204" name="AutoShape 133"/>
                            <wps:cNvCnPr>
                              <a:cxnSpLocks noChangeShapeType="1"/>
                            </wps:cNvCnPr>
                            <wps:spPr bwMode="auto">
                              <a:xfrm>
                                <a:off x="4611" y="11870"/>
                                <a:ext cx="0" cy="1923"/>
                              </a:xfrm>
                              <a:prstGeom prst="straightConnector1">
                                <a:avLst/>
                              </a:prstGeom>
                              <a:noFill/>
                              <a:ln w="9525">
                                <a:solidFill>
                                  <a:srgbClr val="4E6128"/>
                                </a:solidFill>
                                <a:prstDash val="sysDot"/>
                                <a:round/>
                                <a:headEnd/>
                                <a:tailEnd/>
                              </a:ln>
                              <a:extLst>
                                <a:ext uri="{909E8E84-426E-40DD-AFC4-6F175D3DCCD1}">
                                  <a14:hiddenFill xmlns:a14="http://schemas.microsoft.com/office/drawing/2010/main">
                                    <a:noFill/>
                                  </a14:hiddenFill>
                                </a:ext>
                              </a:extLst>
                            </wps:spPr>
                            <wps:bodyPr/>
                          </wps:wsp>
                          <wps:wsp>
                            <wps:cNvPr id="205" name="AutoShape 134"/>
                            <wps:cNvCnPr>
                              <a:cxnSpLocks noChangeShapeType="1"/>
                            </wps:cNvCnPr>
                            <wps:spPr bwMode="auto">
                              <a:xfrm>
                                <a:off x="4745" y="13223"/>
                                <a:ext cx="1" cy="742"/>
                              </a:xfrm>
                              <a:prstGeom prst="straightConnector1">
                                <a:avLst/>
                              </a:prstGeom>
                              <a:noFill/>
                              <a:ln w="9525">
                                <a:solidFill>
                                  <a:srgbClr val="4E6128"/>
                                </a:solidFill>
                                <a:prstDash val="sysDot"/>
                                <a:round/>
                                <a:headEnd/>
                                <a:tailEnd/>
                              </a:ln>
                              <a:extLst>
                                <a:ext uri="{909E8E84-426E-40DD-AFC4-6F175D3DCCD1}">
                                  <a14:hiddenFill xmlns:a14="http://schemas.microsoft.com/office/drawing/2010/main">
                                    <a:noFill/>
                                  </a14:hiddenFill>
                                </a:ext>
                              </a:extLst>
                            </wps:spPr>
                            <wps:bodyPr/>
                          </wps:wsp>
                          <wps:wsp>
                            <wps:cNvPr id="206" name="AutoShape 135"/>
                            <wps:cNvCnPr>
                              <a:cxnSpLocks noChangeShapeType="1"/>
                            </wps:cNvCnPr>
                            <wps:spPr bwMode="auto">
                              <a:xfrm flipH="1">
                                <a:off x="4113" y="13965"/>
                                <a:ext cx="632" cy="1"/>
                              </a:xfrm>
                              <a:prstGeom prst="straightConnector1">
                                <a:avLst/>
                              </a:prstGeom>
                              <a:noFill/>
                              <a:ln w="9525">
                                <a:solidFill>
                                  <a:srgbClr val="4E6128"/>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07" name="AutoShape 136"/>
                            <wps:cNvCnPr>
                              <a:cxnSpLocks noChangeShapeType="1"/>
                            </wps:cNvCnPr>
                            <wps:spPr bwMode="auto">
                              <a:xfrm flipH="1">
                                <a:off x="4113" y="12808"/>
                                <a:ext cx="482" cy="0"/>
                              </a:xfrm>
                              <a:prstGeom prst="straightConnector1">
                                <a:avLst/>
                              </a:prstGeom>
                              <a:noFill/>
                              <a:ln w="9525">
                                <a:solidFill>
                                  <a:srgbClr val="4E6128"/>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208" name="AutoShape 137"/>
                            <wps:cNvCnPr>
                              <a:cxnSpLocks noChangeShapeType="1"/>
                            </wps:cNvCnPr>
                            <wps:spPr bwMode="auto">
                              <a:xfrm flipH="1">
                                <a:off x="4113" y="13224"/>
                                <a:ext cx="844" cy="0"/>
                              </a:xfrm>
                              <a:prstGeom prst="straightConnector1">
                                <a:avLst/>
                              </a:prstGeom>
                              <a:noFill/>
                              <a:ln w="9525">
                                <a:solidFill>
                                  <a:srgbClr val="4E6128"/>
                                </a:solidFill>
                                <a:prstDash val="sysDot"/>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5CD7391E">
              <v:group id="Group 190" style="position:absolute;margin-left:131.6pt;margin-top:61.5pt;width:180.95pt;height:113.55pt;z-index:251795456" coordsize="3619,2271" coordorigin="4333,11870" o:spid="_x0000_s1026" w14:anchorId="5351A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GSxQQAAJUmAAAOAAAAZHJzL2Uyb0RvYy54bWzsWltvozgUfl9p/4PF+zZgSAio6WjVdroP&#10;s7uVZnbfXTAXLWBk0yb993t8AXJBo7kkkM4kDxFgMPZ3znfO8Weu323KAr1QLnJWrSznyrYQrSIW&#10;51W6sv759P63pYVEQ6qYFKyiK+uVCuvdza+/XK/rkGKWsSKmHEEnlQjX9crKmqYOZzMRZbQk4orV&#10;tILGhPGSNHDK01nMyRp6L4sZtu3FbM14XHMWUSHg6p1utG5U/0lCo+bvJBG0QcXKgrE16p+r/yf5&#10;P7u5JmHKSZ3lkRkG+YZRlCSv4KVdV3ekIeiZ5wddlXnEmWBJcxWxcsaSJI+omgPMxrH3ZvPA2XOt&#10;5pKG67TuYAJo93D65m6jv14eOcpjsF0A+FSkBCOp9yJ5AeBZ12kIdz3w+mP9yPUc4fADi/4T0Dzb&#10;b5fnqb4ZPa3/ZDF0SJ4bpuDZJLyUXcDE0UZZ4bWzAt00KIKLGAdLezG3UARtjudheznXdooyMKZ8&#10;znNd10Ky2Vn6xohRdm86cBdOoJ/G2HfkozMS6jer0ZrRyamB04keV/F9uH7MSE2VuYRErMPVaXH9&#10;HWBQNyEHG2zVnbeVBjbaVAZYVLHbjFQpVbd/eq0BRD0TOWboXD8iTwRYZRholBR5/Yd8cAvyHjrX&#10;D1yNa4u8t8QaNzW4DjQS1lw0D5SVSB6sLNFwkqdZc8uqChjGuH4DefkgGo12+4B8ccXe50UB10lY&#10;VGi9soI5nqshCVbksWyUbYKnT7cFRy8EqOrdLxy8NKbbuU32fEdEpu8Tr+KONXoWQJYqVq/JKInv&#10;zXFD8gKOUaMwbHgOqBbUkuMoaWyhgkLckkd64EWlXFrDqj3kicWvj1w2G3/RnFBe1NGjMzYguEMi&#10;rMy2TxIZKI5Fot6iPRlaix5SgYRvlEVAeA3sNouwNNsOJWB+x2XRIHc8xzNhp0V66XkmYhlPakNd&#10;S4XRuGOrnxnFDnfOgyGA0y5DVBQ6C4Z0qaTNM47zpXlmN2ROkmcgZR4yxBuVIfMAG8Cw46pXk7Bl&#10;CJQXMqO7mjlTZpczYcgoxcdiyClUPXXasKmKj3/3io/ePVxvsRdAjXt4OmFe3GOc2tQfco/F6WPG&#10;YG26CGTZb8r6vdrUb1cEu4F2gtr0Z4oesHo/TCn+RO7hYx/GI91jYOkyN+XXW3WPr1t+jJI6YBF9&#10;aHy1KJsgdYDxYTzDscGkDifQq+o3mDvOzvqgrQ1ZP5iI+l5fiAe+Sk99XenOISoorUgO7mL8r1EY&#10;hyUrkCIHjO+q0DoC9Q8kq874ru2o5HMxvpLLT6JXYruTsLaUFtfIWFvi49GVlsElg+eBhKvjPsjC&#10;kuG98aFB8h47ei1xof4xqD+ks7kj6GyDKwJv4bTW74T+Vk+AJaS2/+Ql39HV6jMsBzrVbjsoGOXu&#10;lEFhW379jDP0JaAa05Sh4GfwhiGpUet9p60Ptr3B94xY4GIQHYcSg++puHVxBrO9fqJ6YUhidMeS&#10;GD9TLEo1acctFpDHzmOlcPQYcez9zREEBmwPiY/uVOJjv8TES1upHH2hedkYh637L9sYH8VxhmRJ&#10;dypZsnccSER7e17drvCPV6MeN+L0G6bKzcwnROYYvn1Swo75Tkt+XLV9ru7qvya7+R8AAP//AwBQ&#10;SwMEFAAGAAgAAAAhAP18BgTgAAAACwEAAA8AAABkcnMvZG93bnJldi54bWxMj8FqwzAQRO+F/oPY&#10;Qm+NLBmb4loOIbQ9hUKTQOlNsTa2iSUZS7Gdv+/21B6Xecy+KdeL7dmEY+i8UyBWCTB0tTedaxQc&#10;D29Pz8BC1M7o3jtUcMMA6+r+rtSF8bP7xGkfG0YlLhRaQRvjUHAe6hatDis/oKPs7EerI51jw82o&#10;Zyq3PZdJknOrO0cfWj3gtsX6sr9aBe+znjepeJ12l/P29n3IPr52ApV6fFg2L8AiLvEPhl99UoeK&#10;nE7+6kxgvQKZp5JQCmRKo4jIZSaAnRSkWSKAVyX/v6H6AQAA//8DAFBLAQItABQABgAIAAAAIQC2&#10;gziS/gAAAOEBAAATAAAAAAAAAAAAAAAAAAAAAABbQ29udGVudF9UeXBlc10ueG1sUEsBAi0AFAAG&#10;AAgAAAAhADj9If/WAAAAlAEAAAsAAAAAAAAAAAAAAAAALwEAAF9yZWxzLy5yZWxzUEsBAi0AFAAG&#10;AAgAAAAhAFW2IZLFBAAAlSYAAA4AAAAAAAAAAAAAAAAALgIAAGRycy9lMm9Eb2MueG1sUEsBAi0A&#10;FAAGAAgAAAAhAP18BgTgAAAACwEAAA8AAAAAAAAAAAAAAAAAHwcAAGRycy9kb3ducmV2LnhtbFBL&#10;BQYAAAAABAAEAPMAAAAsCAAAAAA=&#10;">
                <v:shape id="AutoShape 120" style="position:absolute;left:4333;top:13793;width:482;height:0;flip:x;visibility:visible;mso-wrap-style:square" o:spid="_x0000_s1027"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XwAAAANwAAAAPAAAAZHJzL2Rvd25yZXYueG1sRE9Li8Iw&#10;EL4v7H8Is+BtTZVVbDXKsuyCePNx8Dg0Y1NsJiXJtvXfG0HwNh/fc1abwTaiIx9qxwom4wwEcel0&#10;zZWC0/HvcwEiRGSNjWNScKMAm/X72woL7XreU3eIlUghHApUYGJsCylDachiGLuWOHEX5y3GBH0l&#10;tcc+hdtGTrNsLi3WnBoMtvRjqLwe/q2C3PV0Dl8488fprt92Jsvj6Vep0cfwvQQRaYgv8dO91Wl+&#10;PoHHM+kCub4DAAD//wMAUEsBAi0AFAAGAAgAAAAhANvh9svuAAAAhQEAABMAAAAAAAAAAAAAAAAA&#10;AAAAAFtDb250ZW50X1R5cGVzXS54bWxQSwECLQAUAAYACAAAACEAWvQsW78AAAAVAQAACwAAAAAA&#10;AAAAAAAAAAAfAQAAX3JlbHMvLnJlbHNQSwECLQAUAAYACAAAACEAKW3/l8AAAADcAAAADwAAAAAA&#10;AAAAAAAAAAAHAgAAZHJzL2Rvd25yZXYueG1sUEsFBgAAAAADAAMAtwAAAPQCAAAAAA==&#10;">
                  <v:stroke dashstyle="1 1" endarrow="block"/>
                </v:shape>
                <v:group id="Group 121" style="position:absolute;left:4333;top:11870;width:3619;height:2271" coordsize="3619,2271" coordorigin="4333,1187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AutoShape 122" style="position:absolute;left:4333;top:14140;width:844;height:1;visibility:visible;mso-wrap-style:square" o:spid="_x0000_s102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VkxAAAANwAAAAPAAAAZHJzL2Rvd25yZXYueG1sRE9La8JA&#10;EL4X+h+WEbzVjR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O9nJWTEAAAA3AAAAA8A&#10;AAAAAAAAAAAAAAAABwIAAGRycy9kb3ducmV2LnhtbFBLBQYAAAAAAwADALcAAAD4AgAAAAA=&#10;">
                    <v:stroke endarrow="block"/>
                  </v:shape>
                  <v:group id="Group 123" style="position:absolute;left:4333;top:11870;width:3619;height:2270" coordsize="3619,2270" coordorigin="4113,1187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AutoShape 124" style="position:absolute;left:5923;top:12134;width:0;height:340;visibility:visible;mso-wrap-style:square" o:spid="_x0000_s103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iLxAAAANwAAAAPAAAAZHJzL2Rvd25yZXYueG1sRE9La8JA&#10;EL4X+h+WEbzVjQWL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A/CGIvEAAAA3AAAAA8A&#10;AAAAAAAAAAAAAAAABwIAAGRycy9kb3ducmV2LnhtbFBLBQYAAAAAAwADALcAAAD4AgAAAAA=&#10;">
                      <v:stroke endarrow="block"/>
                    </v:shape>
                    <v:shape id="AutoShape 125" style="position:absolute;left:5923;top:13460;width:0;height:421;flip:y;visibility:visible;mso-wrap-style:square" o:spid="_x0000_s103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2/wQAAANwAAAAPAAAAZHJzL2Rvd25yZXYueG1sRE/fa8Iw&#10;EH4f7H8IN/BtTR0oW2csrjAQX0Q32B6P5myDzaU0WVP/eyMIe7uP7+etysl2YqTBG8cK5lkOgrh2&#10;2nCj4Pvr8/kVhA/IGjvHpOBCHsr148MKC+0iH2g8hkakEPYFKmhD6Aspfd2SRZ+5njhxJzdYDAkO&#10;jdQDxhRuO/mS50tp0XBqaLGnqqX6fPyzCkzcm7HfVvFj9/PrdSRzWTij1Oxp2ryDCDSFf/HdvdVp&#10;/tsSbs+kC+T6CgAA//8DAFBLAQItABQABgAIAAAAIQDb4fbL7gAAAIUBAAATAAAAAAAAAAAAAAAA&#10;AAAAAABbQ29udGVudF9UeXBlc10ueG1sUEsBAi0AFAAGAAgAAAAhAFr0LFu/AAAAFQEAAAsAAAAA&#10;AAAAAAAAAAAAHwEAAF9yZWxzLy5yZWxzUEsBAi0AFAAGAAgAAAAhAO4Bzb/BAAAA3AAAAA8AAAAA&#10;AAAAAAAAAAAABwIAAGRycy9kb3ducmV2LnhtbFBLBQYAAAAAAwADALcAAAD1AgAAAAA=&#10;">
                      <v:stroke endarrow="block"/>
                    </v:shape>
                    <v:shape id="AutoShape 126" style="position:absolute;left:6965;top:11873;width:765;height:0;flip:x;visibility:visible;mso-wrap-style:square" o:spid="_x0000_s103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gkwQAAANwAAAAPAAAAZHJzL2Rvd25yZXYueG1sRE9NawIx&#10;EL0L/ocwQm+atWDVrVFUEKQXUQv1OGymu8HNZNmkm/XfN0Kht3m8z1lteluLjlpvHCuYTjIQxIXT&#10;hksFn9fDeAHCB2SNtWNS8CAPm/VwsMJcu8hn6i6hFCmEfY4KqhCaXEpfVGTRT1xDnLhv11oMCbal&#10;1C3GFG5r+Zplb9Ki4dRQYUP7ior75ccqMPFkuua4j7uPr5vXkcxj5oxSL6N++w4iUB/+xX/uo07z&#10;l3N4PpMukOtfAAAA//8DAFBLAQItABQABgAIAAAAIQDb4fbL7gAAAIUBAAATAAAAAAAAAAAAAAAA&#10;AAAAAABbQ29udGVudF9UeXBlc10ueG1sUEsBAi0AFAAGAAgAAAAhAFr0LFu/AAAAFQEAAAsAAAAA&#10;AAAAAAAAAAAAHwEAAF9yZWxzLy5yZWxzUEsBAi0AFAAGAAgAAAAhAIFNaCTBAAAA3AAAAA8AAAAA&#10;AAAAAAAAAAAABwIAAGRycy9kb3ducmV2LnhtbFBLBQYAAAAAAwADALcAAAD1AgAAAAA=&#10;">
                      <v:stroke endarrow="block"/>
                    </v:shape>
                    <v:shape id="AutoShape 127" style="position:absolute;left:7278;top:13793;width:454;height:0;flip:x;visibility:visible;mso-wrap-style:square" o:spid="_x0000_s103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ZspxQAAANwAAAAPAAAAZHJzL2Rvd25yZXYueG1sRI9Ba8Mw&#10;DIXvhf0Ho8EupXWyw2izumUMCqOHQdscehS2loTFcma7afbvp0NhN4n39N6nzW7yvRoppi6wgXJZ&#10;gCK2wXXcGKjP+8UKVMrIDvvAZOCXEuy2D7MNVi7c+EjjKTdKQjhVaKDNeai0TrYlj2kZBmLRvkL0&#10;mGWNjXYRbxLue/1cFC/aY8fS0OJA7y3Z79PVG+gO9Wc9zn9ytKtDeYllOl96a8zT4/T2CirTlP/N&#10;9+sPJ/hroZVnZAK9/QMAAP//AwBQSwECLQAUAAYACAAAACEA2+H2y+4AAACFAQAAEwAAAAAAAAAA&#10;AAAAAAAAAAAAW0NvbnRlbnRfVHlwZXNdLnhtbFBLAQItABQABgAIAAAAIQBa9CxbvwAAABUBAAAL&#10;AAAAAAAAAAAAAAAAAB8BAABfcmVscy8ucmVsc1BLAQItABQABgAIAAAAIQA89ZspxQAAANwAAAAP&#10;AAAAAAAAAAAAAAAAAAcCAABkcnMvZG93bnJldi54bWxQSwUGAAAAAAMAAwC3AAAA+QIAAAAA&#10;"/>
                    <v:shape id="AutoShape 128" style="position:absolute;left:7279;top:11873;width:0;height:1920;flip:y;visibility:visible;mso-wrap-style:square" o:spid="_x0000_s10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6ywgAAANwAAAAPAAAAZHJzL2Rvd25yZXYueG1sRE9Ni8Iw&#10;EL0L/ocwghdZ03oQ7RpFFhYWDwtqDx6HZGyLzaQm2dr995sFwds83udsdoNtRU8+NI4V5PMMBLF2&#10;puFKQXn+fFuBCBHZYOuYFPxSgN12PNpgYdyDj9SfYiVSCIcCFdQxdoWUQddkMcxdR5y4q/MWY4K+&#10;ksbjI4XbVi6ybCktNpwaauzooyZ9O/1YBc2h/C772T16vTrkF5+H86XVSk0nw/4dRKQhvsRP95dJ&#10;89dr+H8mXSC3fwAAAP//AwBQSwECLQAUAAYACAAAACEA2+H2y+4AAACFAQAAEwAAAAAAAAAAAAAA&#10;AAAAAAAAW0NvbnRlbnRfVHlwZXNdLnhtbFBLAQItABQABgAIAAAAIQBa9CxbvwAAABUBAAALAAAA&#10;AAAAAAAAAAAAAB8BAABfcmVscy8ucmVsc1BLAQItABQABgAIAAAAIQBTuT6ywgAAANwAAAAPAAAA&#10;AAAAAAAAAAAAAAcCAABkcnMvZG93bnJldi54bWxQSwUGAAAAAAMAAwC3AAAA9gIAAAAA&#10;"/>
                    <v:shape id="AutoShape 129" style="position:absolute;left:4113;top:11976;width:358;height:1;flip:x;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PUxAAAANwAAAAPAAAAZHJzL2Rvd25yZXYueG1sRI/BasMw&#10;EETvhfyD2EAupZadQwluZFMCgZJDoIkPOS7S1ja1Vq6k2s7fV4VCj8PMvGH29WIHMZEPvWMFRZaD&#10;INbO9NwqaK7Hpx2IEJENDo5JwZ0C1NXqYY+lcTO/03SJrUgQDiUq6GIcSymD7shiyNxInLwP5y3G&#10;JH0rjcc5we0gt3n+LC32nBY6HOnQkf68fFsF/ak5N9PjV/R6dypuvgjX26CV2qyX1xcQkZb4H/5r&#10;vxkFiQi/Z9IRkNUPAAAA//8DAFBLAQItABQABgAIAAAAIQDb4fbL7gAAAIUBAAATAAAAAAAAAAAA&#10;AAAAAAAAAABbQ29udGVudF9UeXBlc10ueG1sUEsBAi0AFAAGAAgAAAAhAFr0LFu/AAAAFQEAAAsA&#10;AAAAAAAAAAAAAAAAHwEAAF9yZWxzLy5yZWxzUEsBAi0AFAAGAAgAAAAhAPGsY9TEAAAA3AAAAA8A&#10;AAAAAAAAAAAAAAAABwIAAGRycy9kb3ducmV2LnhtbFBLBQYAAAAAAwADALcAAAD4AgAAAAA=&#10;"/>
                    <v:shape id="AutoShape 130" style="position:absolute;left:4113;top:13017;width:358;height:1;flip:x;visibility:visible;mso-wrap-style:square" o:spid="_x0000_s103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ZPwwAAANwAAAAPAAAAZHJzL2Rvd25yZXYueG1sRI9Bi8Iw&#10;FITvC/6H8AQvi6b1sEg1igiCeBBWe/D4SJ5tsXmpSaz1328WFvY4zMw3zGoz2Fb05EPjWEE+y0AQ&#10;a2carhSUl/10ASJEZIOtY1LwpgCb9ehjhYVxL/6m/hwrkSAcClRQx9gVUgZdk8Uwcx1x8m7OW4xJ&#10;+koaj68Et62cZ9mXtNhwWqixo11N+n5+WgXNsTyV/ecjer045lefh8u11UpNxsN2CSLSEP/Df+2D&#10;UTDPcvg9k46AXP8AAAD//wMAUEsBAi0AFAAGAAgAAAAhANvh9svuAAAAhQEAABMAAAAAAAAAAAAA&#10;AAAAAAAAAFtDb250ZW50X1R5cGVzXS54bWxQSwECLQAUAAYACAAAACEAWvQsW78AAAAVAQAACwAA&#10;AAAAAAAAAAAAAAAfAQAAX3JlbHMvLnJlbHNQSwECLQAUAAYACAAAACEAnuDGT8MAAADcAAAADwAA&#10;AAAAAAAAAAAAAAAHAgAAZHJzL2Rvd25yZXYueG1sUEsFBgAAAAADAAMAtwAAAPcCAAAAAA==&#10;"/>
                    <v:shape id="AutoShape 131" style="position:absolute;left:4471;top:11980;width:1;height:2160;flip:y;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g4xAAAANwAAAAPAAAAZHJzL2Rvd25yZXYueG1sRI9Bi8Iw&#10;FITvgv8hPMGLaNoeFqlGWRaExYOg9uDxkTzbss1LN4m1++/NwsIeh5n5htnuR9uJgXxoHSvIVxkI&#10;Yu1My7WC6npYrkGEiGywc0wKfijAfjedbLE07slnGi6xFgnCoUQFTYx9KWXQDVkMK9cTJ+/uvMWY&#10;pK+l8fhMcNvJIsvepMWW00KDPX00pL8uD6ugPVanalh8R6/Xx/zm83C9dVqp+Wx834CINMb/8F/7&#10;0ygosgJ+z6QjIHcvAAAA//8DAFBLAQItABQABgAIAAAAIQDb4fbL7gAAAIUBAAATAAAAAAAAAAAA&#10;AAAAAAAAAABbQ29udGVudF9UeXBlc10ueG1sUEsBAi0AFAAGAAgAAAAhAFr0LFu/AAAAFQEAAAsA&#10;AAAAAAAAAAAAAAAAHwEAAF9yZWxzLy5yZWxzUEsBAi0AFAAGAAgAAAAhAG4yWDjEAAAA3AAAAA8A&#10;AAAAAAAAAAAAAAAABwIAAGRycy9kb3ducmV2LnhtbFBLBQYAAAAAAwADALcAAAD4AgAAAAA=&#10;"/>
                    <v:shape id="AutoShape 132" style="position:absolute;left:4611;top:11870;width:346;height:0;flip:x;visibility:visible;mso-wrap-style:square" o:spid="_x0000_s1039"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HxQAAANwAAAAPAAAAZHJzL2Rvd25yZXYueG1sRI9BawIx&#10;FITvhf6H8ITealZrbVk3SmkRPHhxtYfenptnsrh5WTbpuv33Rih4HGbmG6ZYDa4RPXWh9qxgMs5A&#10;EFde12wUHPbr53cQISJrbDyTgj8KsFo+PhSYa3/hHfVlNCJBOOSowMbY5lKGypLDMPYtcfJOvnMY&#10;k+yM1B1eEtw1cpplc+mw5rRgsaVPS9W5/HUKUB7ar22525i4/nmbHV/Nd2WNUk+j4WMBItIQ7+H/&#10;9kYrmGYvcDuTjoBcXgEAAP//AwBQSwECLQAUAAYACAAAACEA2+H2y+4AAACFAQAAEwAAAAAAAAAA&#10;AAAAAAAAAAAAW0NvbnRlbnRfVHlwZXNdLnhtbFBLAQItABQABgAIAAAAIQBa9CxbvwAAABUBAAAL&#10;AAAAAAAAAAAAAAAAAB8BAABfcmVscy8ucmVsc1BLAQItABQABgAIAAAAIQAee/hHxQAAANwAAAAP&#10;AAAAAAAAAAAAAAAAAAcCAABkcnMvZG93bnJldi54bWxQSwUGAAAAAAMAAwC3AAAA+QIAAAAA&#10;">
                      <v:stroke dashstyle="1 1"/>
                    </v:shape>
                    <v:shape id="AutoShape 133" style="position:absolute;left:4611;top:11870;width:0;height:1923;visibility:visible;mso-wrap-style:square" o:spid="_x0000_s1040"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mNwwAAANwAAAAPAAAAZHJzL2Rvd25yZXYueG1sRI9Ra4NA&#10;EITfA/0PxxbyEupZKaFYLyEUQvsQCJr+gMXbqtTbFe+q9t/nAoE+DjPzDVPsF9eriUbfCRt4TlJQ&#10;xLXYjhsDX5fj0ysoH5At9sJk4I887HcPqwJzKzOXNFWhURHCPkcDbQhDrrWvW3LoExmIo/cto8MQ&#10;5dhoO+Ic4a7XWZputcOO40KLA723VP9Uv87Alt0wn6uNz06SfRwPpbDMYsz6cTm8gQq0hP/wvf1p&#10;DWTpC9zOxCOgd1cAAAD//wMAUEsBAi0AFAAGAAgAAAAhANvh9svuAAAAhQEAABMAAAAAAAAAAAAA&#10;AAAAAAAAAFtDb250ZW50X1R5cGVzXS54bWxQSwECLQAUAAYACAAAACEAWvQsW78AAAAVAQAACwAA&#10;AAAAAAAAAAAAAAAfAQAAX3JlbHMvLnJlbHNQSwECLQAUAAYACAAAACEAJk7JjcMAAADcAAAADwAA&#10;AAAAAAAAAAAAAAAHAgAAZHJzL2Rvd25yZXYueG1sUEsFBgAAAAADAAMAtwAAAPcCAAAAAA==&#10;">
                      <v:stroke dashstyle="1 1"/>
                    </v:shape>
                    <v:shape id="AutoShape 134" style="position:absolute;left:4745;top:13223;width:1;height:742;visibility:visible;mso-wrap-style:square" o:spid="_x0000_s1041"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wWwwAAANwAAAAPAAAAZHJzL2Rvd25yZXYueG1sRI9Ra4NA&#10;EITfA/0PxxbyEupZoaFYLyEUQvsQCJr+gMXbqtTbFe+q9t/nAoE+DjPzDVPsF9eriUbfCRt4TlJQ&#10;xLXYjhsDX5fj0ysoH5At9sJk4I887HcPqwJzKzOXNFWhURHCPkcDbQhDrrWvW3LoExmIo/cto8MQ&#10;5dhoO+Ic4a7XWZputcOO40KLA723VP9Uv87Alt0wn6uNz06SfRwPpbDMYsz6cTm8gQq0hP/wvf1p&#10;DWTpC9zOxCOgd1cAAAD//wMAUEsBAi0AFAAGAAgAAAAhANvh9svuAAAAhQEAABMAAAAAAAAAAAAA&#10;AAAAAAAAAFtDb250ZW50X1R5cGVzXS54bWxQSwECLQAUAAYACAAAACEAWvQsW78AAAAVAQAACwAA&#10;AAAAAAAAAAAAAAAfAQAAX3JlbHMvLnJlbHNQSwECLQAUAAYACAAAACEASQJsFsMAAADcAAAADwAA&#10;AAAAAAAAAAAAAAAHAgAAZHJzL2Rvd25yZXYueG1sUEsFBgAAAAADAAMAtwAAAPcCAAAAAA==&#10;">
                      <v:stroke dashstyle="1 1"/>
                    </v:shape>
                    <v:shape id="AutoShape 135" style="position:absolute;left:4113;top:13965;width:632;height:1;flip:x;visibility:visible;mso-wrap-style:square" o:spid="_x0000_s1042"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5MYwwAAANwAAAAPAAAAZHJzL2Rvd25yZXYueG1sRI/BasMw&#10;EETvgf6D2EJviVTThsSJEkpoIeTWOIceF2trmVgrIym2+/dVoNDjMDNvmO1+cp0YKMTWs4bnhQJB&#10;XHvTcqPhUn3MVyBiQjbYeSYNPxRhv3uYbbE0fuRPGs6pERnCsUQNNqW+lDLWlhzGhe+Js/ftg8OU&#10;ZWikCThmuOtkodRSOmw5L1js6WCpvp5vTsPaj/QVX/A1VMVpPA5WrdPlXeunx+ltAyLRlP7Df+2j&#10;0VCoJdzP5CMgd78AAAD//wMAUEsBAi0AFAAGAAgAAAAhANvh9svuAAAAhQEAABMAAAAAAAAAAAAA&#10;AAAAAAAAAFtDb250ZW50X1R5cGVzXS54bWxQSwECLQAUAAYACAAAACEAWvQsW78AAAAVAQAACwAA&#10;AAAAAAAAAAAAAAAfAQAAX3JlbHMvLnJlbHNQSwECLQAUAAYACAAAACEAlauTGMMAAADcAAAADwAA&#10;AAAAAAAAAAAAAAAHAgAAZHJzL2Rvd25yZXYueG1sUEsFBgAAAAADAAMAtwAAAPcCAAAAAA==&#10;">
                      <v:stroke dashstyle="1 1" endarrow="block"/>
                    </v:shape>
                    <v:shape id="AutoShape 136" style="position:absolute;left:4113;top:12808;width:482;height:0;flip:x;visibility:visible;mso-wrap-style:square" o:spid="_x0000_s1043"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zaDwwAAANwAAAAPAAAAZHJzL2Rvd25yZXYueG1sRI9BawIx&#10;FITvBf9DeIK3mnSxVVejlNKC9Fb14PGxeW6Wbl6WJN3d/vtGEHocZuYbZrsfXSt6CrHxrOFprkAQ&#10;V940XGs4nz4eVyBiQjbYeiYNvxRhv5s8bLE0fuAv6o+pFhnCsUQNNqWulDJWlhzGue+Is3f1wWHK&#10;MtTSBBwy3LWyUOpFOmw4L1js6M1S9X38cRrWfqBLXOBzOBWfw6G3ap3O71rPpuPrBkSiMf2H7+2D&#10;0VCoJdzO5CMgd38AAAD//wMAUEsBAi0AFAAGAAgAAAAhANvh9svuAAAAhQEAABMAAAAAAAAAAAAA&#10;AAAAAAAAAFtDb250ZW50X1R5cGVzXS54bWxQSwECLQAUAAYACAAAACEAWvQsW78AAAAVAQAACwAA&#10;AAAAAAAAAAAAAAAfAQAAX3JlbHMvLnJlbHNQSwECLQAUAAYACAAAACEA+uc2g8MAAADcAAAADwAA&#10;AAAAAAAAAAAAAAAHAgAAZHJzL2Rvd25yZXYueG1sUEsFBgAAAAADAAMAtwAAAPcCAAAAAA==&#10;">
                      <v:stroke dashstyle="1 1" endarrow="block"/>
                    </v:shape>
                    <v:shape id="AutoShape 137" style="position:absolute;left:4113;top:13224;width:844;height:0;flip:x;visibility:visible;mso-wrap-style:square" o:spid="_x0000_s1044" strokecolor="#4e61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LxwAAAANwAAAAPAAAAZHJzL2Rvd25yZXYueG1sRE/LagIx&#10;FN0X+g/hCu5q4mCLjkYpRUG687Ho8jK5nQxOboYknRn/3iwKLg/nvdmNrhU9hdh41jCfKRDElTcN&#10;1xqul8PbEkRMyAZbz6ThThF229eXDZbGD3yi/pxqkUM4lqjBptSVUsbKksM48x1x5n59cJgyDLU0&#10;AYcc7lpZKPUhHTacGyx29GWpup3/nIaVH+gnLvA9XIrv4dhbtUrXvdbTyfi5BpFoTE/xv/toNBQq&#10;r81n8hGQ2wcAAAD//wMAUEsBAi0AFAAGAAgAAAAhANvh9svuAAAAhQEAABMAAAAAAAAAAAAAAAAA&#10;AAAAAFtDb250ZW50X1R5cGVzXS54bWxQSwECLQAUAAYACAAAACEAWvQsW78AAAAVAQAACwAAAAAA&#10;AAAAAAAAAAAfAQAAX3JlbHMvLnJlbHNQSwECLQAUAAYACAAAACEAi3ii8cAAAADcAAAADwAAAAAA&#10;AAAAAAAAAAAHAgAAZHJzL2Rvd25yZXYueG1sUEsFBgAAAAADAAMAtwAAAPQCAAAAAA==&#10;">
                      <v:stroke dashstyle="1 1" endarrow="block"/>
                    </v:shape>
                  </v:group>
                </v:group>
              </v:group>
            </w:pict>
          </mc:Fallback>
        </mc:AlternateContent>
      </w:r>
      <w:r w:rsidRPr="003B4CDA">
        <w:rPr>
          <w:b/>
          <w:bCs/>
          <w:noProof/>
          <w:sz w:val="26"/>
          <w:szCs w:val="26"/>
          <w:lang w:eastAsia="lv-LV"/>
        </w:rPr>
        <mc:AlternateContent>
          <mc:Choice Requires="wps">
            <w:drawing>
              <wp:inline distT="0" distB="0" distL="0" distR="0" wp14:anchorId="283F0BA3" wp14:editId="15AE222B">
                <wp:extent cx="5760085" cy="2960370"/>
                <wp:effectExtent l="0" t="0" r="0" b="0"/>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296037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72B3C968">
              <v:rect id="Rectangle 209" style="width:453.55pt;height:233.1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d="f" strokeweight=".5pt" w14:anchorId="15CB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YOmwIAAIMFAAAOAAAAZHJzL2Uyb0RvYy54bWysVE1v2zAMvQ/YfxB0X+2kTdoadYqgRYcB&#10;QRu0HXpmZSkxJouapMTJfv0o2XE/T8N8EEyRfCSfSF5c7hrNttL5Gk3JR0c5Z9IIrGqzKvnPx5tv&#10;Z5z5AKYCjUaWfC89v5x9/XLR2kKOcY26ko4RiPFFa0u+DsEWWebFWjbgj9BKQ0qFroFAoltllYOW&#10;0BudjfN8mrXoKutQSO/p9rpT8lnCV0qKcKeUl4HpklNuIZ0unc/xzGYXUKwc2HUt+jTgH7JooDYU&#10;dIC6hgBs4+oPUE0tHHpU4Uhgk6FStZCpBqpmlL+r5mENVqZaiBxvB5r8/4MVt9ulY3VV8nF+zpmB&#10;hh7pnmgDs9KSxUuiqLW+IMsHu3SxSG8XKH55UmRvNFHwvc1OuSbaUolsl/jeD3zLXWCCLien0zw/&#10;m3AmSDc+n+bHp+lFMigO7tb58F1iw+JPyR1llniG7cKHmAAUB5MYzeBNrXV6VG1YW/Lp8SRPDoOG&#10;PLTpM++STWmHvZYRQZt7qYgQSm+cHFMryivt2BaoiUAIacKoU62hkt31JKcvUkXwg0eSEmBEVpTZ&#10;gN0DxDb/iN3B9PbRVaZOHpy7ioYwbxPrnAePFBlNGJyb2qD7rDJNVfWRO/sDSR01kaVnrPbULg67&#10;OfJW3NT0LgvwYQmOBodGjJZBuKNDaST+sf/jbI3uz2f30Z76mbSctTSIJfe/N+AkZ/qHoU4/H52c&#10;xMlNwsnkdEyCe615fq0xm+YK6ZlGtHasSL/RPujDr3LYPNHOmMeopAIjKHbJRXAH4Sp0C4K2jpDz&#10;eTKjabUQFubBiggeWY1997h7Amf75gzU17d4GFoo3vVoZxs9Dc43AVWdGviF155vmvTUOP1Wiqvk&#10;tZysXnbn7C8AAAD//wMAUEsDBBQABgAIAAAAIQAj6Brv3gAAAAUBAAAPAAAAZHJzL2Rvd25yZXYu&#10;eG1sTI/BTsMwEETvSPyDtUjcqJMKhTbEqdoKxAnRlKqImxsvsdV4HWK3Tf8e0wtcVhrNaOZtMRts&#10;y47Ye+NIQDpKgCHVThlqBGzen+8mwHyQpGTrCAWc0cOsvL4qZK7ciSo8rkPDYgn5XArQIXQ5577W&#10;aKUfuQ4pel+utzJE2Tdc9fIUy23Lx0mScSsNxQUtO1xqrPfrgxXwulktlKne9Pn7Zfm0TT86s6g+&#10;hbi9GeaPwAIO4S8Mv/gRHcrItHMHUp61AuIj4XKjN00eUmA7AfdZNgZeFvw/ffkDAAD//wMAUEsB&#10;Ai0AFAAGAAgAAAAhALaDOJL+AAAA4QEAABMAAAAAAAAAAAAAAAAAAAAAAFtDb250ZW50X1R5cGVz&#10;XS54bWxQSwECLQAUAAYACAAAACEAOP0h/9YAAACUAQAACwAAAAAAAAAAAAAAAAAvAQAAX3JlbHMv&#10;LnJlbHNQSwECLQAUAAYACAAAACEAMie2DpsCAACDBQAADgAAAAAAAAAAAAAAAAAuAgAAZHJzL2Uy&#10;b0RvYy54bWxQSwECLQAUAAYACAAAACEAI+ga794AAAAFAQAADwAAAAAAAAAAAAAAAAD1BAAAZHJz&#10;L2Rvd25yZXYueG1sUEsFBgAAAAAEAAQA8wAAAAAGAAAAAA==&#10;">
                <w10:anchorlock/>
              </v:rect>
            </w:pict>
          </mc:Fallback>
        </mc:AlternateContent>
      </w:r>
    </w:p>
    <w:p w14:paraId="15B11A9F" w14:textId="77777777" w:rsidR="00A408E7" w:rsidRPr="003B4CDA" w:rsidRDefault="00A408E7" w:rsidP="00A408E7">
      <w:pPr>
        <w:jc w:val="center"/>
        <w:rPr>
          <w:rFonts w:ascii="Segoe UI Semibold" w:hAnsi="Segoe UI Semibold"/>
          <w:b/>
          <w:szCs w:val="26"/>
        </w:rPr>
      </w:pPr>
    </w:p>
    <w:p w14:paraId="3A13C23D" w14:textId="77777777" w:rsidR="00A408E7" w:rsidRDefault="00A408E7" w:rsidP="001231A9">
      <w:pPr>
        <w:jc w:val="both"/>
        <w:rPr>
          <w:szCs w:val="26"/>
        </w:rPr>
      </w:pPr>
    </w:p>
    <w:p w14:paraId="307F1BB1" w14:textId="546176B4" w:rsidR="001231A9" w:rsidRPr="003B4CDA" w:rsidRDefault="001231A9" w:rsidP="001231A9">
      <w:pPr>
        <w:jc w:val="both"/>
        <w:rPr>
          <w:szCs w:val="26"/>
        </w:rPr>
      </w:pPr>
      <w:r w:rsidRPr="003B4CDA">
        <w:rPr>
          <w:szCs w:val="26"/>
        </w:rPr>
        <w:t>Darbaspēka pieprasījumu nozaru griezumā nosaka tautsaimniecības attīstības scenāriji – tautsaimniecības nozaru izaugsme un sagaidāmās produktivitātes izmaiņas. Profesiju pieprasījums izriet no nozares darbaspēka pieprasījuma un sagaidāmām nozares profesiju struktūras izmaiņām. Savukārt izglītības pieprasījumu nosaka pieprasīto profesiju pienākumu veikšanai nepieciešamās prasmes/izglītība.</w:t>
      </w:r>
    </w:p>
    <w:p w14:paraId="1756258D" w14:textId="77777777" w:rsidR="001231A9" w:rsidRPr="003B4CDA" w:rsidRDefault="001231A9" w:rsidP="001231A9">
      <w:pPr>
        <w:spacing w:after="120"/>
        <w:jc w:val="both"/>
        <w:rPr>
          <w:szCs w:val="26"/>
        </w:rPr>
      </w:pPr>
      <w:r w:rsidRPr="003B4CDA">
        <w:rPr>
          <w:szCs w:val="26"/>
        </w:rPr>
        <w:t>Darba tirgus piedāvājuma prognozes izriet no:</w:t>
      </w:r>
    </w:p>
    <w:p w14:paraId="5EEB5A4D" w14:textId="77777777" w:rsidR="001231A9" w:rsidRPr="003B4CDA" w:rsidRDefault="001231A9" w:rsidP="001231A9">
      <w:pPr>
        <w:numPr>
          <w:ilvl w:val="0"/>
          <w:numId w:val="1"/>
        </w:numPr>
        <w:spacing w:after="120"/>
        <w:ind w:left="568" w:hanging="284"/>
        <w:jc w:val="both"/>
        <w:rPr>
          <w:szCs w:val="26"/>
        </w:rPr>
      </w:pPr>
      <w:r w:rsidRPr="003B4CDA">
        <w:rPr>
          <w:szCs w:val="26"/>
        </w:rPr>
        <w:t>detalizētām demogrāfijas prognozēm;</w:t>
      </w:r>
    </w:p>
    <w:p w14:paraId="05F43223" w14:textId="77777777" w:rsidR="001231A9" w:rsidRPr="003B4CDA" w:rsidRDefault="001231A9" w:rsidP="001231A9">
      <w:pPr>
        <w:numPr>
          <w:ilvl w:val="0"/>
          <w:numId w:val="1"/>
        </w:numPr>
        <w:spacing w:after="120"/>
        <w:ind w:left="568" w:hanging="284"/>
        <w:jc w:val="both"/>
        <w:rPr>
          <w:szCs w:val="26"/>
        </w:rPr>
      </w:pPr>
      <w:r w:rsidRPr="003B4CDA">
        <w:rPr>
          <w:szCs w:val="26"/>
        </w:rPr>
        <w:t>līdzdalības līmeņu prognozēm dažādās iedzīvotāju vecuma grupās;</w:t>
      </w:r>
    </w:p>
    <w:p w14:paraId="04342D5A" w14:textId="77777777" w:rsidR="001231A9" w:rsidRPr="003B4CDA" w:rsidRDefault="001231A9" w:rsidP="001231A9">
      <w:pPr>
        <w:numPr>
          <w:ilvl w:val="0"/>
          <w:numId w:val="1"/>
        </w:numPr>
        <w:spacing w:after="120"/>
        <w:ind w:left="568" w:hanging="284"/>
        <w:jc w:val="both"/>
        <w:rPr>
          <w:szCs w:val="26"/>
        </w:rPr>
      </w:pPr>
      <w:r w:rsidRPr="003B4CDA">
        <w:rPr>
          <w:szCs w:val="26"/>
        </w:rPr>
        <w:t>esošā darbaspēka sadalījuma pēc vecuma, profesionālās pieredzes (esošās vai iepriekšējās profesijas), iegūtās izglītības;</w:t>
      </w:r>
    </w:p>
    <w:p w14:paraId="60BC97DB" w14:textId="77777777" w:rsidR="001231A9" w:rsidRPr="003B4CDA" w:rsidRDefault="001231A9" w:rsidP="001231A9">
      <w:pPr>
        <w:numPr>
          <w:ilvl w:val="0"/>
          <w:numId w:val="1"/>
        </w:numPr>
        <w:spacing w:after="120"/>
        <w:ind w:left="568" w:hanging="284"/>
        <w:jc w:val="both"/>
        <w:rPr>
          <w:szCs w:val="26"/>
        </w:rPr>
      </w:pPr>
      <w:r w:rsidRPr="003B4CDA">
        <w:rPr>
          <w:szCs w:val="26"/>
        </w:rPr>
        <w:t>esošās izglītības sistēmas un izglītības piedāvājuma (studējošo skaita, kopējo un budžeta vietu sadalījuma pa izglītības līmeņiem un jomām).</w:t>
      </w:r>
    </w:p>
    <w:p w14:paraId="1E2FA66F" w14:textId="77777777" w:rsidR="003A70B1" w:rsidRDefault="003A70B1" w:rsidP="001231A9">
      <w:pPr>
        <w:jc w:val="both"/>
        <w:rPr>
          <w:szCs w:val="26"/>
        </w:rPr>
      </w:pPr>
    </w:p>
    <w:p w14:paraId="3E1A954F" w14:textId="0F8C8DFC" w:rsidR="001231A9" w:rsidRPr="003B4CDA" w:rsidRDefault="001231A9" w:rsidP="001231A9">
      <w:pPr>
        <w:jc w:val="both"/>
        <w:rPr>
          <w:szCs w:val="26"/>
        </w:rPr>
      </w:pPr>
      <w:r w:rsidRPr="003B4CDA">
        <w:rPr>
          <w:szCs w:val="26"/>
        </w:rPr>
        <w:t xml:space="preserve">Vienlaikus darbaspēka piedāvājuma prognozes nosaka darba tirgus vispārēja tiekšanās uz līdzsvaru un piedāvājuma pakāpeniska pielāgošanās pieprasījumam. Izglītības preferences galvenokārt izriet no darba tirgus pieprasījuma un piedāvājuma attiecības, t.i., mācīties gribētāju nākotnes izglītības izvēle būs vērsta uz tām jomām, kuras lēmuma pieņemšanas brīdī būs visperspektīvākās – relatīvi lielākas darba iespējas un augstāka sagaidāmā </w:t>
      </w:r>
      <w:proofErr w:type="spellStart"/>
      <w:r w:rsidRPr="003B4CDA">
        <w:rPr>
          <w:szCs w:val="26"/>
        </w:rPr>
        <w:t>atdeve</w:t>
      </w:r>
      <w:proofErr w:type="spellEnd"/>
      <w:r w:rsidRPr="003B4CDA">
        <w:rPr>
          <w:szCs w:val="26"/>
        </w:rPr>
        <w:t xml:space="preserve"> no individuāliem ieguldījumiem izglītībā. Tāpat bāzes scenārijā tiek pieņemts, ka izglītības sistēma un izglītības piedāvājums (budžetu un studiju vietu sadalījums) prognožu pārskata periodā būtiski nemainās. Tas nozīmē, ka darbaspēka piedāvājuma prognozes atspoguļo izglītības politikas izmaiņu neitrālu situāciju darba tirgū.</w:t>
      </w:r>
    </w:p>
    <w:p w14:paraId="1CDECEFE" w14:textId="77777777" w:rsidR="001231A9" w:rsidRPr="003B4CDA" w:rsidRDefault="001231A9" w:rsidP="001231A9">
      <w:pPr>
        <w:jc w:val="both"/>
        <w:rPr>
          <w:szCs w:val="26"/>
        </w:rPr>
      </w:pPr>
      <w:r w:rsidRPr="003B4CDA">
        <w:rPr>
          <w:szCs w:val="26"/>
        </w:rPr>
        <w:t>Jāatzīmē, ka prognozes balstītas uz ideāla darba tirgus piemēra, t.i., noteiktu līmeņu un jomu profesiju pieprasījums darba tirgū, nosaka atbilstoša līmeņa un jomas izglītības pieprasījumu.</w:t>
      </w:r>
      <w:r w:rsidRPr="003B4CDA">
        <w:rPr>
          <w:color w:val="FF0000"/>
          <w:szCs w:val="26"/>
        </w:rPr>
        <w:t xml:space="preserve"> </w:t>
      </w:r>
      <w:r w:rsidRPr="003B4CDA">
        <w:rPr>
          <w:szCs w:val="26"/>
        </w:rPr>
        <w:t>Tas nozīmē, ka paplašinošais un aizvietojošais darbaspēka pieprasījums nākotnē noteiktās profesijās var tikt apmierināts tikai ar profesijai atbilstošas kvalifikācijas (izglītības) darbaspēka piedāvājumu.</w:t>
      </w:r>
    </w:p>
    <w:p w14:paraId="2AB7B134" w14:textId="77777777" w:rsidR="001231A9" w:rsidRPr="003B4CDA" w:rsidRDefault="001231A9" w:rsidP="001231A9">
      <w:pPr>
        <w:jc w:val="both"/>
        <w:rPr>
          <w:szCs w:val="20"/>
        </w:rPr>
      </w:pPr>
      <w:r w:rsidRPr="003B4CDA">
        <w:rPr>
          <w:szCs w:val="20"/>
        </w:rPr>
        <w:lastRenderedPageBreak/>
        <w:t>Darbaspēka piedāvājuma prognozēs tiek ņemtas vērā darbaspēka novecošanās tendences, kā arī darbaspēka profesionālā mobilitāte, ko nosaka prasmju un kompetenču līdzība profesiju šķērsgriezumā.</w:t>
      </w:r>
    </w:p>
    <w:p w14:paraId="6415E3F1" w14:textId="53452D5A" w:rsidR="001231A9" w:rsidRPr="003B4CDA" w:rsidRDefault="00927285" w:rsidP="001231A9">
      <w:pPr>
        <w:jc w:val="both"/>
        <w:rPr>
          <w:b/>
          <w:szCs w:val="26"/>
        </w:rPr>
      </w:pPr>
      <w:r>
        <w:rPr>
          <w:b/>
          <w:szCs w:val="26"/>
        </w:rPr>
        <w:br/>
      </w:r>
      <w:r w:rsidR="001231A9" w:rsidRPr="003B4CDA">
        <w:rPr>
          <w:b/>
          <w:szCs w:val="26"/>
        </w:rPr>
        <w:t xml:space="preserve">Prognožu </w:t>
      </w:r>
      <w:r w:rsidR="001231A9">
        <w:rPr>
          <w:b/>
          <w:szCs w:val="26"/>
        </w:rPr>
        <w:t xml:space="preserve">klasifikācijas un </w:t>
      </w:r>
      <w:r w:rsidR="001231A9" w:rsidRPr="003B4CDA">
        <w:rPr>
          <w:b/>
          <w:szCs w:val="26"/>
        </w:rPr>
        <w:t>agregācija</w:t>
      </w:r>
    </w:p>
    <w:p w14:paraId="36D67C67" w14:textId="77777777" w:rsidR="001231A9" w:rsidRPr="003B4CDA" w:rsidRDefault="001231A9" w:rsidP="001231A9">
      <w:pPr>
        <w:jc w:val="both"/>
        <w:rPr>
          <w:szCs w:val="26"/>
        </w:rPr>
      </w:pPr>
      <w:r w:rsidRPr="003B4CDA">
        <w:rPr>
          <w:szCs w:val="26"/>
        </w:rPr>
        <w:t xml:space="preserve">EM darba tirgus prognozes tiek sagatavotas tautsaimniecības nozaru, profesiju grupu un izglītības griezumā. Prognozes balstītas uz Latvijā adaptētām starptautiskām klasifikāciju sistēmām un ir starptautiski salīdzināmas. Tautsaimniecības nozaru prognožu pamatā ir Eiropas Kopienas saimniecisko darbību statistiskā klasifikācija </w:t>
      </w:r>
      <w:r w:rsidRPr="003B4CDA">
        <w:rPr>
          <w:i/>
          <w:szCs w:val="26"/>
        </w:rPr>
        <w:t>NACE 2.red.</w:t>
      </w:r>
      <w:r w:rsidRPr="003B4CDA">
        <w:rPr>
          <w:szCs w:val="26"/>
        </w:rPr>
        <w:t xml:space="preserve"> Tautsaimniecības nozares tiek </w:t>
      </w:r>
      <w:proofErr w:type="spellStart"/>
      <w:r w:rsidRPr="003B4CDA">
        <w:rPr>
          <w:szCs w:val="26"/>
        </w:rPr>
        <w:t>agregētas</w:t>
      </w:r>
      <w:proofErr w:type="spellEnd"/>
      <w:r w:rsidRPr="003B4CDA">
        <w:rPr>
          <w:szCs w:val="26"/>
        </w:rPr>
        <w:t xml:space="preserve"> 8 tautsaimniecības sektoros.</w:t>
      </w:r>
    </w:p>
    <w:p w14:paraId="5D6F4BD1" w14:textId="754F7B8F" w:rsidR="001231A9" w:rsidRDefault="001231A9" w:rsidP="001231A9">
      <w:pPr>
        <w:jc w:val="both"/>
        <w:rPr>
          <w:szCs w:val="26"/>
        </w:rPr>
      </w:pPr>
      <w:r w:rsidRPr="003B4CDA">
        <w:rPr>
          <w:szCs w:val="26"/>
        </w:rPr>
        <w:t>Profesiju prognožu agregācija balstīta uz Latvijas profesiju klasifikāciju, kas veidota, piemērojot Starptautisko standartizēto profesiju klasifikāciju (ISCO</w:t>
      </w:r>
      <w:r>
        <w:rPr>
          <w:szCs w:val="26"/>
        </w:rPr>
        <w:t>-</w:t>
      </w:r>
      <w:r w:rsidRPr="003B4CDA">
        <w:rPr>
          <w:szCs w:val="26"/>
        </w:rPr>
        <w:t xml:space="preserve">08). Darbaspēka pieprasījuma un piedāvājuma prognozes tiek sagatavotas </w:t>
      </w:r>
      <w:r>
        <w:rPr>
          <w:szCs w:val="26"/>
        </w:rPr>
        <w:t>125</w:t>
      </w:r>
      <w:r w:rsidRPr="003B4CDA">
        <w:rPr>
          <w:szCs w:val="26"/>
        </w:rPr>
        <w:t xml:space="preserve"> profesiju klasifikatora profesiju </w:t>
      </w:r>
      <w:r>
        <w:rPr>
          <w:szCs w:val="26"/>
        </w:rPr>
        <w:t>mazo grupu</w:t>
      </w:r>
      <w:r w:rsidRPr="003B4CDA">
        <w:rPr>
          <w:szCs w:val="26"/>
        </w:rPr>
        <w:t xml:space="preserve"> griezumā, kas </w:t>
      </w:r>
      <w:r>
        <w:rPr>
          <w:szCs w:val="26"/>
        </w:rPr>
        <w:t xml:space="preserve">tiek </w:t>
      </w:r>
      <w:r w:rsidRPr="003B4CDA">
        <w:rPr>
          <w:szCs w:val="26"/>
        </w:rPr>
        <w:t xml:space="preserve">apkopotas </w:t>
      </w:r>
      <w:r>
        <w:rPr>
          <w:szCs w:val="26"/>
        </w:rPr>
        <w:t xml:space="preserve">41 profesiju apakšgrupa, 10 profesiju </w:t>
      </w:r>
      <w:proofErr w:type="spellStart"/>
      <w:r>
        <w:rPr>
          <w:szCs w:val="26"/>
        </w:rPr>
        <w:t>pamatgrupās</w:t>
      </w:r>
      <w:proofErr w:type="spellEnd"/>
      <w:r>
        <w:rPr>
          <w:szCs w:val="26"/>
        </w:rPr>
        <w:t xml:space="preserve">, kā arī </w:t>
      </w:r>
      <w:r w:rsidRPr="003B4CDA">
        <w:rPr>
          <w:szCs w:val="26"/>
        </w:rPr>
        <w:t>trijos profesiju kvalifikācijas līmeņos.</w:t>
      </w:r>
    </w:p>
    <w:p w14:paraId="0227E981" w14:textId="4A2CA8B2" w:rsidR="001231A9" w:rsidRDefault="001231A9" w:rsidP="001231A9">
      <w:pPr>
        <w:jc w:val="right"/>
        <w:rPr>
          <w:color w:val="000000"/>
          <w:szCs w:val="26"/>
        </w:rPr>
      </w:pPr>
      <w:r w:rsidRPr="001231A9">
        <w:rPr>
          <w:color w:val="000000"/>
          <w:szCs w:val="26"/>
        </w:rPr>
        <w:t>3.2. attēls</w:t>
      </w:r>
    </w:p>
    <w:p w14:paraId="666E9A64" w14:textId="77777777" w:rsidR="00A408E7" w:rsidRPr="003B4CDA" w:rsidRDefault="00A408E7" w:rsidP="00927285">
      <w:pPr>
        <w:spacing w:after="120"/>
        <w:jc w:val="center"/>
        <w:rPr>
          <w:rFonts w:ascii="Segoe UI Light" w:hAnsi="Segoe UI Light"/>
          <w:b/>
          <w:sz w:val="18"/>
        </w:rPr>
      </w:pPr>
      <w:r w:rsidRPr="003B4CDA">
        <w:rPr>
          <w:rFonts w:ascii="Segoe UI Light" w:hAnsi="Segoe UI Light"/>
          <w:b/>
          <w:sz w:val="18"/>
        </w:rPr>
        <w:t xml:space="preserve">Darba tirgus prognožu </w:t>
      </w:r>
      <w:r>
        <w:rPr>
          <w:rFonts w:ascii="Segoe UI Light" w:hAnsi="Segoe UI Light"/>
          <w:b/>
          <w:sz w:val="18"/>
        </w:rPr>
        <w:t xml:space="preserve">klasifikācijas un </w:t>
      </w:r>
      <w:r w:rsidRPr="003B4CDA">
        <w:rPr>
          <w:rFonts w:ascii="Segoe UI Light" w:hAnsi="Segoe UI Light"/>
          <w:b/>
          <w:sz w:val="18"/>
        </w:rPr>
        <w:t>agregācijas sistēma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20"/>
        <w:gridCol w:w="3658"/>
      </w:tblGrid>
      <w:tr w:rsidR="00A408E7" w:rsidRPr="003B4CDA" w14:paraId="5097362E" w14:textId="77777777" w:rsidTr="00D209BD">
        <w:trPr>
          <w:trHeight w:val="1302"/>
          <w:jc w:val="center"/>
        </w:trPr>
        <w:tc>
          <w:tcPr>
            <w:tcW w:w="2268" w:type="dxa"/>
            <w:shd w:val="clear" w:color="auto" w:fill="CCC0D9" w:themeFill="accent4" w:themeFillTint="66"/>
            <w:vAlign w:val="center"/>
          </w:tcPr>
          <w:p w14:paraId="3C25E04B" w14:textId="77777777" w:rsidR="00A408E7" w:rsidRPr="00647B26" w:rsidRDefault="00A408E7" w:rsidP="00D209BD">
            <w:pPr>
              <w:spacing w:after="0"/>
              <w:jc w:val="center"/>
              <w:rPr>
                <w:rFonts w:ascii="Segoe UI Light" w:hAnsi="Segoe UI Light"/>
                <w:b/>
                <w:bCs/>
                <w:sz w:val="16"/>
                <w:szCs w:val="16"/>
              </w:rPr>
            </w:pPr>
            <w:r w:rsidRPr="00647B26">
              <w:rPr>
                <w:rFonts w:ascii="Segoe UI Light" w:hAnsi="Segoe UI Light"/>
                <w:b/>
                <w:bCs/>
                <w:sz w:val="16"/>
                <w:szCs w:val="16"/>
              </w:rPr>
              <w:t xml:space="preserve">Profesiju klasifikators </w:t>
            </w:r>
            <w:r w:rsidRPr="00647B26">
              <w:rPr>
                <w:rFonts w:ascii="Segoe UI Light" w:hAnsi="Segoe UI Light"/>
                <w:b/>
                <w:bCs/>
                <w:sz w:val="16"/>
                <w:szCs w:val="16"/>
              </w:rPr>
              <w:br/>
              <w:t>(ISCO08)</w:t>
            </w:r>
          </w:p>
        </w:tc>
        <w:tc>
          <w:tcPr>
            <w:tcW w:w="1020" w:type="dxa"/>
            <w:vAlign w:val="center"/>
          </w:tcPr>
          <w:p w14:paraId="141A81A7"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2FFE2543" wp14:editId="43E8564E">
                      <wp:extent cx="0" cy="288000"/>
                      <wp:effectExtent l="8572" t="105728" r="0" b="141922"/>
                      <wp:docPr id="349" name="Straight Arrow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0" cy="288000"/>
                              </a:xfrm>
                              <a:prstGeom prst="straightConnector1">
                                <a:avLst/>
                              </a:prstGeom>
                              <a:noFill/>
                              <a:ln w="50800">
                                <a:solidFill>
                                  <a:schemeClr val="accent4">
                                    <a:lumMod val="75000"/>
                                  </a:schemeClr>
                                </a:solidFill>
                                <a:round/>
                                <a:headEnd type="non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18E33360">
                    <v:shape id="Straight Arrow Connector 349" style="width:0;height:22.7pt;rotation:90;flip:x y;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cDQIAABYEAAAOAAAAZHJzL2Uyb0RvYy54bWysU8GOEzEMvSPxD1HudNrShTLqdIW6LByW&#10;pVIX7mmS6UQkceSknfbvcTKlZYETIococeznZz9ncXt0lh00RgO+4ZPRmDPtJSjjdw3/+nT/as5Z&#10;TMIrYcHrhp905LfLly8Wfaj1FDqwSiMjEB/rPjS8SynUVRVlp52IIwja02ML6ESiK+4qhaIndGer&#10;6Xj8puoBVUCQOkay3g2PfFnw21bL9KVto07MNpy4pbJj2bd5r5YLUe9QhM7IMw3xDyycMJ6SXqDu&#10;RBJsj+YPKGckQoQ2jSS4CtrWSF1qoGom49+q2XQi6FILNSeGS5vi/4OVj4c1MqMa/nr2jjMvHIm0&#10;SSjMrkvsPSL0bAXeUyMBWfahjvUh1hS48mvMNcuj34QHkN8j87DqhN/pwvzpFAhskiOqZyH5EgPl&#10;3fafQZGP2Cco7Tu26BgCyXQzG+fFWWtN+JRhyulbPuWk1Dp2LDqeLjrqY2JyMEqyTufzjJDTizoj&#10;57iAMX3U4Fg+NDyeS73UOKCLw0NMQ+DPgBzs4d5YS3ZRW896YjmmFIVPBGtUfs2PZXz1yiI7CBo8&#10;IaX2aVb87N5RzYP97c2V3yWksH2GhrD3qiTttFAfvGKpdNbTj+KZhdOKM6vpA0Y3THQSxl4dExoS&#10;xf7dmXpj/VmhLMog7xbUaY25A1ksGr5C6/xR8nT/ei9e1++8/AEAAP//AwBQSwMEFAAGAAgAAAAh&#10;AMJG0DTaAAAAAQEAAA8AAABkcnMvZG93bnJldi54bWxMj09Lw0AQxe+C32EZwZvdqLVqzKYERSj0&#10;UKx/j5PsmMRmZ0N228Zv79SLXh483vDeb7L56Dq1oyG0ng2cTxJQxJW3LdcGXp4fz25AhYhssfNM&#10;Br4pwDw/PsowtX7PT7Rbx1pJCYcUDTQx9qnWoWrIYZj4nliyTz84jGKHWtsB91LuOn2RJDPtsGVZ&#10;aLCn+4aqzXrrDPBD+T5bXS6Xi7ev6naxui5ePzaFMacnY3EHKtIY/47hgC/okAtT6bdsg+oMyCPx&#10;VyWbXk1BlQen80z/J89/AAAA//8DAFBLAQItABQABgAIAAAAIQC2gziS/gAAAOEBAAATAAAAAAAA&#10;AAAAAAAAAAAAAABbQ29udGVudF9UeXBlc10ueG1sUEsBAi0AFAAGAAgAAAAhADj9If/WAAAAlAEA&#10;AAsAAAAAAAAAAAAAAAAALwEAAF9yZWxzLy5yZWxzUEsBAi0AFAAGAAgAAAAhAPxr4FwNAgAAFgQA&#10;AA4AAAAAAAAAAAAAAAAALgIAAGRycy9lMm9Eb2MueG1sUEsBAi0AFAAGAAgAAAAhAMJG0DTaAAAA&#10;AQEAAA8AAAAAAAAAAAAAAAAAZwQAAGRycy9kb3ducmV2LnhtbFBLBQYAAAAABAAEAPMAAABuBQAA&#10;AAA=&#10;" w14:anchorId="2B810C5E">
                      <v:stroke startarrowlength="short" endarrow="block" endarrowlength="short"/>
                      <w10:anchorlock/>
                    </v:shape>
                  </w:pict>
                </mc:Fallback>
              </mc:AlternateContent>
            </w:r>
          </w:p>
        </w:tc>
        <w:tc>
          <w:tcPr>
            <w:tcW w:w="3658" w:type="dxa"/>
            <w:shd w:val="clear" w:color="auto" w:fill="CCC0D9" w:themeFill="accent4" w:themeFillTint="66"/>
            <w:vAlign w:val="center"/>
          </w:tcPr>
          <w:p w14:paraId="57ECA66E" w14:textId="77777777" w:rsidR="00A408E7" w:rsidRDefault="00A408E7" w:rsidP="00D209BD">
            <w:pPr>
              <w:spacing w:after="60"/>
              <w:jc w:val="center"/>
              <w:rPr>
                <w:rFonts w:ascii="Segoe UI Light" w:hAnsi="Segoe UI Light"/>
                <w:sz w:val="16"/>
                <w:szCs w:val="16"/>
              </w:rPr>
            </w:pPr>
            <w:r>
              <w:rPr>
                <w:rFonts w:ascii="Segoe UI Light" w:hAnsi="Segoe UI Light"/>
                <w:sz w:val="16"/>
                <w:szCs w:val="16"/>
              </w:rPr>
              <w:t>125</w:t>
            </w:r>
            <w:r w:rsidRPr="003B4CDA">
              <w:rPr>
                <w:rFonts w:ascii="Segoe UI Light" w:hAnsi="Segoe UI Light"/>
                <w:sz w:val="16"/>
                <w:szCs w:val="16"/>
              </w:rPr>
              <w:t xml:space="preserve"> profesiju </w:t>
            </w:r>
            <w:r>
              <w:rPr>
                <w:rFonts w:ascii="Segoe UI Light" w:hAnsi="Segoe UI Light"/>
                <w:sz w:val="16"/>
                <w:szCs w:val="16"/>
              </w:rPr>
              <w:t xml:space="preserve">mazās </w:t>
            </w:r>
            <w:r w:rsidRPr="003B4CDA">
              <w:rPr>
                <w:rFonts w:ascii="Segoe UI Light" w:hAnsi="Segoe UI Light"/>
                <w:sz w:val="16"/>
                <w:szCs w:val="16"/>
              </w:rPr>
              <w:t>grupas</w:t>
            </w:r>
          </w:p>
          <w:p w14:paraId="2CB99DBB" w14:textId="77777777" w:rsidR="00A408E7" w:rsidRDefault="00A408E7" w:rsidP="00D209BD">
            <w:pPr>
              <w:spacing w:after="60"/>
              <w:jc w:val="center"/>
              <w:rPr>
                <w:rFonts w:ascii="Segoe UI Light" w:hAnsi="Segoe UI Light"/>
                <w:sz w:val="16"/>
                <w:szCs w:val="16"/>
              </w:rPr>
            </w:pPr>
            <w:r>
              <w:rPr>
                <w:rFonts w:ascii="Segoe UI Light" w:hAnsi="Segoe UI Light"/>
                <w:sz w:val="16"/>
                <w:szCs w:val="16"/>
              </w:rPr>
              <w:t>41 profesiju apakšgrupa</w:t>
            </w:r>
          </w:p>
          <w:p w14:paraId="67E4EB9E" w14:textId="77777777" w:rsidR="00A408E7" w:rsidRDefault="00A408E7" w:rsidP="00D209BD">
            <w:pPr>
              <w:spacing w:after="60"/>
              <w:jc w:val="center"/>
              <w:rPr>
                <w:rFonts w:ascii="Segoe UI Light" w:hAnsi="Segoe UI Light"/>
                <w:sz w:val="16"/>
                <w:szCs w:val="16"/>
              </w:rPr>
            </w:pPr>
            <w:r>
              <w:rPr>
                <w:rFonts w:ascii="Segoe UI Light" w:hAnsi="Segoe UI Light"/>
                <w:sz w:val="16"/>
                <w:szCs w:val="16"/>
              </w:rPr>
              <w:t>10 profesiju pamatgrupas</w:t>
            </w:r>
          </w:p>
          <w:p w14:paraId="543000B0" w14:textId="77777777" w:rsidR="00A408E7" w:rsidRPr="003B4CDA" w:rsidRDefault="00A408E7" w:rsidP="00D209BD">
            <w:pPr>
              <w:spacing w:after="60"/>
              <w:jc w:val="center"/>
              <w:rPr>
                <w:rFonts w:ascii="Segoe UI Light" w:hAnsi="Segoe UI Light"/>
                <w:sz w:val="16"/>
                <w:szCs w:val="16"/>
              </w:rPr>
            </w:pPr>
            <w:r w:rsidRPr="003B4CDA">
              <w:rPr>
                <w:rFonts w:ascii="Segoe UI Light" w:hAnsi="Segoe UI Light"/>
                <w:sz w:val="16"/>
                <w:szCs w:val="16"/>
              </w:rPr>
              <w:t>3 profesiju grupu kvalifikācijas līmeņi</w:t>
            </w:r>
            <w:r>
              <w:rPr>
                <w:rFonts w:ascii="Segoe UI Light" w:hAnsi="Segoe UI Light"/>
                <w:sz w:val="16"/>
                <w:szCs w:val="16"/>
              </w:rPr>
              <w:t xml:space="preserve"> </w:t>
            </w:r>
          </w:p>
        </w:tc>
      </w:tr>
      <w:tr w:rsidR="00A408E7" w:rsidRPr="003B4CDA" w14:paraId="4A412973" w14:textId="77777777" w:rsidTr="00D209BD">
        <w:trPr>
          <w:trHeight w:val="680"/>
          <w:jc w:val="center"/>
        </w:trPr>
        <w:tc>
          <w:tcPr>
            <w:tcW w:w="2268" w:type="dxa"/>
            <w:shd w:val="clear" w:color="auto" w:fill="auto"/>
            <w:vAlign w:val="center"/>
          </w:tcPr>
          <w:p w14:paraId="54065F2C"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4343B571" wp14:editId="1794985B">
                      <wp:extent cx="0" cy="288000"/>
                      <wp:effectExtent l="114300" t="38100" r="57150" b="55245"/>
                      <wp:docPr id="347" name="Straight Arrow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88000"/>
                              </a:xfrm>
                              <a:prstGeom prst="straightConnector1">
                                <a:avLst/>
                              </a:prstGeom>
                              <a:noFill/>
                              <a:ln w="50800">
                                <a:solidFill>
                                  <a:schemeClr val="accent4">
                                    <a:lumMod val="75000"/>
                                  </a:schemeClr>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290EE82B">
                    <v:shape id="Straight Arrow Connector 347" style="width:0;height:22.7pt;flip:x y;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aAAIAAAwEAAAOAAAAZHJzL2Uyb0RvYy54bWysU01vEzEQvSPxHyzfyW5CS6NVNxVKKRwK&#10;jZTC3bG9WQvbY42dbPLvGXtDQuGCEBfLH/PevDczvr07OMv2GqMB3/LppOZMewnK+G3Lvz4/vJlz&#10;FpPwSljwuuVHHfnd4vWr2yE0egY9WKWREYmPzRBa3qcUmqqKstdOxAkE7emxA3Qi0RG3lUIxELuz&#10;1ayu31UDoAoIUsdIt/fjI18U/q7TMj11XdSJ2ZaTtlRWLOsmr9XiVjRbFKE38iRD/IMKJ4ynpGeq&#10;e5EE26H5g8oZiRChSxMJroKuM1IXD+RmWv/mZt2LoIsXKk4M5zLF/0crv+xXyIxq+durG868cNSk&#10;dUJhtn1i7xFhYEvwngoJyHIMVWwIsSHg0q8we5YHvw6PIL9H5mHZC7/VRfnzMRDZNCOqF5B8iIHy&#10;bobPoChG7BKU8h06dKyzJnzKwLL7lnc5DRWLHUrnjufO6UNicryUdDubz+u6NLUSTebKuIAxfdTg&#10;WN60PJ7MnV2N7GL/GFNWegFksIcHY22ZEuvZ0PLrmlIUPRGsUfk1x5WB1UuLbC9o1ISU2qerEmd3&#10;jlyO9zfXF31nSEn6gg1h51VJ2muhPnjFUqllQkPVtZpnJU4rzqymbxfdOMdJGPuXwWTT+lNfcivG&#10;pm5AHVf4s180ckXa6Xvkmf71XNCXT7z4AQAA//8DAFBLAwQUAAYACAAAACEAHzLLG9oAAAABAQAA&#10;DwAAAGRycy9kb3ducmV2LnhtbEyPQUvDQBCF74L/YRnBm92obZA0m6IFQVCwxtLzJjtNotnZsLtt&#10;0n/v2Itehje84b1v8tVke3FEHzpHCm5nCQik2pmOGgXbz+ebBxAhajK6d4QKThhgVVxe5DozbqQP&#10;PJaxERxCIdMK2hiHTMpQt2h1mLkBib2981ZHXn0jjdcjh9te3iVJKq3uiBtaPeC6xfq7PFgF3eZ0&#10;/7J5SrdjufNf6f7tdf2+qJS6vpoelyAiTvHvGH7xGR0KZqrcgUwQvQJ+JJ4ne6wrBfPFHGSRy//k&#10;xQ8AAAD//wMAUEsBAi0AFAAGAAgAAAAhALaDOJL+AAAA4QEAABMAAAAAAAAAAAAAAAAAAAAAAFtD&#10;b250ZW50X1R5cGVzXS54bWxQSwECLQAUAAYACAAAACEAOP0h/9YAAACUAQAACwAAAAAAAAAAAAAA&#10;AAAvAQAAX3JlbHMvLnJlbHNQSwECLQAUAAYACAAAACEAghv8GgACAAAMBAAADgAAAAAAAAAAAAAA&#10;AAAuAgAAZHJzL2Uyb0RvYy54bWxQSwECLQAUAAYACAAAACEAHzLLG9oAAAABAQAADwAAAAAAAAAA&#10;AAAAAABaBAAAZHJzL2Rvd25yZXYueG1sUEsFBgAAAAAEAAQA8wAAAGEFAAAAAA==&#10;" w14:anchorId="1F408E60">
                      <v:stroke startarrow="block" startarrowlength="short" endarrow="block" endarrowlength="short"/>
                      <w10:anchorlock/>
                    </v:shape>
                  </w:pict>
                </mc:Fallback>
              </mc:AlternateContent>
            </w:r>
          </w:p>
        </w:tc>
        <w:tc>
          <w:tcPr>
            <w:tcW w:w="1020" w:type="dxa"/>
            <w:shd w:val="clear" w:color="auto" w:fill="auto"/>
            <w:vAlign w:val="center"/>
          </w:tcPr>
          <w:p w14:paraId="137DFA5F" w14:textId="77777777" w:rsidR="00A408E7" w:rsidRPr="003B4CDA" w:rsidRDefault="00A408E7" w:rsidP="00D209BD">
            <w:pPr>
              <w:spacing w:after="0"/>
              <w:jc w:val="center"/>
              <w:rPr>
                <w:rFonts w:ascii="Segoe UI Light" w:hAnsi="Segoe UI Light"/>
                <w:sz w:val="16"/>
                <w:szCs w:val="16"/>
              </w:rPr>
            </w:pPr>
          </w:p>
        </w:tc>
        <w:tc>
          <w:tcPr>
            <w:tcW w:w="3658" w:type="dxa"/>
            <w:shd w:val="clear" w:color="auto" w:fill="auto"/>
            <w:vAlign w:val="center"/>
          </w:tcPr>
          <w:p w14:paraId="62FACAC1"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3AA5888A" wp14:editId="7B73F9C9">
                      <wp:extent cx="0" cy="288000"/>
                      <wp:effectExtent l="114300" t="0" r="76200" b="55245"/>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8000"/>
                              </a:xfrm>
                              <a:prstGeom prst="straightConnector1">
                                <a:avLst/>
                              </a:prstGeom>
                              <a:noFill/>
                              <a:ln w="50800">
                                <a:solidFill>
                                  <a:schemeClr val="accent4">
                                    <a:lumMod val="75000"/>
                                  </a:schemeClr>
                                </a:solidFill>
                                <a:round/>
                                <a:headEnd type="non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78586BAA">
                    <v:shape id="Straight Arrow Connector 352" style="width:0;height:22.7pt;flip:x;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77/wEAAP4DAAAOAAAAZHJzL2Uyb0RvYy54bWysU8uOEzEQvCPxD5bvZCaBQDTKZIWyLBwW&#10;iJTlAxzbk7Gw3VbbySR/T9sTEhY4IS6WH93VVdXt5d3JWXbUGA34lk8nNWfaS1DG71v+7enh1YKz&#10;mIRXwoLXLT/ryO9WL18sh9DoGfRglUZGID42Q2h5n1JoqirKXjsRJxC0p8cO0IlER9xXCsVA6M5W&#10;s7p+Ww2AKiBIHSPd3o+PfFXwu07L9LXrok7Mtpy4pbJiWXd5rVZL0exRhN7ICw3xDyycMJ6KXqHu&#10;RRLsgOYPKGckQoQuTSS4CrrOSF00kJpp/ZuabS+CLlrInBiuNsX/Byu/HDfIjGr56/mMMy8cNWmb&#10;UJh9n9h7RBjYGrwnIwFZjiHHhhAbSlz7DWbN8uS34RHk98g8rHvh97owfzoHApvmjOpZSj7EQHV3&#10;w2dQFCMOCYp9pw4d66wJn3JiBieL2Kn063ztlz4lJsdLSbezxaKuSysr0WSEnBcwpo8aHMublseL&#10;pKuWEV0cH2PK/G4JOdnDg7G2zIb1bGj5vKYShU8Ea1R+zXFlTPXaIjsKGjAhpfbpTYmzB0faxvt3&#10;8xu/a0op+gwN4eBVKdproT54xVJx0NPP4ZmF04ozq+mjRTdObhLG3gITGjLf/j2YJFp/6UQ2f2zj&#10;DtR5gz87RENWaF0+RJ7iX88l+/ZtVz8AAAD//wMAUEsDBBQABgAIAAAAIQDIEefu1wAAAAEBAAAP&#10;AAAAZHJzL2Rvd25yZXYueG1sTI9BT8MwDIXvSPyHyEjcWDo0xlSaTmjaTuNCx4Wb13httcSpmqwr&#10;/x7DBS7Ws5713udiPXmnRhpiF9jAfJaBIq6D7bgx8HHYPaxAxYRs0QUmA18UYV3e3hSY23Dldxqr&#10;1CgJ4ZijgTalPtc61i15jLPQE4t3CoPHJOvQaDvgVcK9049ZttQeO5aGFnvatFSfq4s3sF/unvef&#10;b9s4zMctuVVTTYQbY+7vptcXUImm9HcMP/iCDqUwHcOFbVTOgDySfqd4oo8GFk8L0GWh/5OX3wAA&#10;AP//AwBQSwECLQAUAAYACAAAACEAtoM4kv4AAADhAQAAEwAAAAAAAAAAAAAAAAAAAAAAW0NvbnRl&#10;bnRfVHlwZXNdLnhtbFBLAQItABQABgAIAAAAIQA4/SH/1gAAAJQBAAALAAAAAAAAAAAAAAAAAC8B&#10;AABfcmVscy8ucmVsc1BLAQItABQABgAIAAAAIQCk8m77/wEAAP4DAAAOAAAAAAAAAAAAAAAAAC4C&#10;AABkcnMvZTJvRG9jLnhtbFBLAQItABQABgAIAAAAIQDIEefu1wAAAAEBAAAPAAAAAAAAAAAAAAAA&#10;AFkEAABkcnMvZG93bnJldi54bWxQSwUGAAAAAAQABADzAAAAXQUAAAAA&#10;" w14:anchorId="2641841C">
                      <v:stroke startarrowlength="short" endarrow="block" endarrowlength="short"/>
                      <w10:anchorlock/>
                    </v:shape>
                  </w:pict>
                </mc:Fallback>
              </mc:AlternateContent>
            </w:r>
          </w:p>
        </w:tc>
      </w:tr>
      <w:tr w:rsidR="00A408E7" w:rsidRPr="003B4CDA" w14:paraId="38DA5C06" w14:textId="77777777" w:rsidTr="00D209BD">
        <w:trPr>
          <w:trHeight w:val="850"/>
          <w:jc w:val="center"/>
        </w:trPr>
        <w:tc>
          <w:tcPr>
            <w:tcW w:w="2268" w:type="dxa"/>
            <w:shd w:val="clear" w:color="auto" w:fill="CCC0D9" w:themeFill="accent4" w:themeFillTint="66"/>
            <w:vAlign w:val="center"/>
          </w:tcPr>
          <w:p w14:paraId="40E00ABA" w14:textId="77777777" w:rsidR="00A408E7" w:rsidRPr="00647B26" w:rsidRDefault="00A408E7" w:rsidP="00D209BD">
            <w:pPr>
              <w:spacing w:after="0"/>
              <w:jc w:val="center"/>
              <w:rPr>
                <w:rFonts w:ascii="Segoe UI Light" w:hAnsi="Segoe UI Light"/>
                <w:b/>
                <w:bCs/>
                <w:sz w:val="16"/>
                <w:szCs w:val="16"/>
              </w:rPr>
            </w:pPr>
            <w:r w:rsidRPr="00647B26">
              <w:rPr>
                <w:rFonts w:ascii="Segoe UI Light" w:hAnsi="Segoe UI Light"/>
                <w:b/>
                <w:bCs/>
                <w:sz w:val="16"/>
                <w:szCs w:val="16"/>
              </w:rPr>
              <w:t xml:space="preserve">Profesiju un izglītības </w:t>
            </w:r>
            <w:r w:rsidRPr="00647B26">
              <w:rPr>
                <w:rFonts w:ascii="Segoe UI Light" w:hAnsi="Segoe UI Light"/>
                <w:b/>
                <w:bCs/>
                <w:sz w:val="16"/>
                <w:szCs w:val="16"/>
              </w:rPr>
              <w:br/>
              <w:t>atbilstības tabulas</w:t>
            </w:r>
          </w:p>
        </w:tc>
        <w:tc>
          <w:tcPr>
            <w:tcW w:w="1020" w:type="dxa"/>
            <w:vAlign w:val="center"/>
          </w:tcPr>
          <w:p w14:paraId="6E085543" w14:textId="77777777" w:rsidR="00A408E7" w:rsidRPr="003B4CDA" w:rsidRDefault="00A408E7" w:rsidP="00D209BD">
            <w:pPr>
              <w:spacing w:after="0"/>
              <w:jc w:val="center"/>
              <w:rPr>
                <w:rFonts w:ascii="Segoe UI Light" w:hAnsi="Segoe UI Light"/>
                <w:sz w:val="16"/>
                <w:szCs w:val="16"/>
              </w:rPr>
            </w:pPr>
          </w:p>
        </w:tc>
        <w:tc>
          <w:tcPr>
            <w:tcW w:w="3658" w:type="dxa"/>
            <w:shd w:val="clear" w:color="auto" w:fill="CCC0D9" w:themeFill="accent4" w:themeFillTint="66"/>
            <w:vAlign w:val="center"/>
          </w:tcPr>
          <w:p w14:paraId="50BBE76C" w14:textId="77777777" w:rsidR="00A408E7" w:rsidRDefault="00A408E7" w:rsidP="00D209BD">
            <w:pPr>
              <w:spacing w:after="0"/>
              <w:jc w:val="center"/>
              <w:rPr>
                <w:rFonts w:ascii="Segoe UI Light" w:hAnsi="Segoe UI Light"/>
                <w:sz w:val="16"/>
                <w:szCs w:val="16"/>
              </w:rPr>
            </w:pPr>
            <w:r w:rsidRPr="003B4CDA">
              <w:rPr>
                <w:rFonts w:ascii="Segoe UI Light" w:hAnsi="Segoe UI Light"/>
                <w:sz w:val="16"/>
                <w:szCs w:val="16"/>
              </w:rPr>
              <w:t>15 tautsaimniecības nozares</w:t>
            </w:r>
          </w:p>
          <w:p w14:paraId="53A9EC48" w14:textId="77777777" w:rsidR="00A408E7" w:rsidRPr="003B4CDA" w:rsidRDefault="00A408E7" w:rsidP="00D209BD">
            <w:pPr>
              <w:spacing w:after="0"/>
              <w:jc w:val="center"/>
              <w:rPr>
                <w:rFonts w:ascii="Segoe UI Light" w:hAnsi="Segoe UI Light"/>
                <w:sz w:val="16"/>
                <w:szCs w:val="16"/>
              </w:rPr>
            </w:pPr>
            <w:r>
              <w:rPr>
                <w:rFonts w:ascii="Segoe UI Light" w:hAnsi="Segoe UI Light"/>
                <w:sz w:val="16"/>
                <w:szCs w:val="16"/>
              </w:rPr>
              <w:t>8 tautsaimniecības sektori</w:t>
            </w:r>
          </w:p>
        </w:tc>
      </w:tr>
      <w:tr w:rsidR="00A408E7" w:rsidRPr="003B4CDA" w14:paraId="6F4FB066" w14:textId="77777777" w:rsidTr="00D209BD">
        <w:trPr>
          <w:trHeight w:val="680"/>
          <w:jc w:val="center"/>
        </w:trPr>
        <w:tc>
          <w:tcPr>
            <w:tcW w:w="2268" w:type="dxa"/>
            <w:shd w:val="clear" w:color="auto" w:fill="auto"/>
            <w:vAlign w:val="center"/>
          </w:tcPr>
          <w:p w14:paraId="2C09322A"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2B428430" wp14:editId="31D5FC21">
                      <wp:extent cx="0" cy="288000"/>
                      <wp:effectExtent l="114300" t="38100" r="57150" b="55245"/>
                      <wp:docPr id="348" name="Straight Arrow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88000"/>
                              </a:xfrm>
                              <a:prstGeom prst="straightConnector1">
                                <a:avLst/>
                              </a:prstGeom>
                              <a:noFill/>
                              <a:ln w="50800">
                                <a:solidFill>
                                  <a:schemeClr val="accent4">
                                    <a:lumMod val="75000"/>
                                  </a:schemeClr>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6F4E51B9">
                    <v:shape id="Straight Arrow Connector 348" style="width:0;height:22.7pt;flip:x y;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VZAAIAAAwEAAAOAAAAZHJzL2Uyb0RvYy54bWysU02P0zAQvSPxHyzfadKyC1XUdIW6LBwW&#10;qNSFu2s7jYXtscZu0/57xk5pWbggxMXyx7w3b+aNF3dHZ9lBYzTgWz6d1JxpL0EZv2v516eHV3PO&#10;YhJeCQtet/ykI79bvnyxGEKjZ9CDVRoZkfjYDKHlfUqhqaooe+1EnEDQnh47QCcSHXFXKRQDsTtb&#10;zer6TTUAqoAgdYx0ez8+8mXh7zot05euizox23LSlsqKZd3mtVouRLNDEXojzzLEP6hwwnhKeqG6&#10;F0mwPZo/qJyRCBG6NJHgKug6I3WpgaqZ1r9Vs+lF0KUWak4MlzbF/0crPx/WyIxq+esbssoLRyZt&#10;Egqz6xN7hwgDW4H31EhAlmOoY0OIDQFXfo25Znn0m/AI8ntkHla98DtdlD+dApFNM6J6BsmHGCjv&#10;dvgEimLEPkFp37FDxzprwscMLLtveZfTULPYsTh3ujinj4nJ8VLS7Ww+r+tiaiWazJVxAWP6oMGx&#10;vGl5PBd3qWpkF4fHmLLSKyCDPTwYa8uUWM+Glt/WlKLoiWCNyq85rgysXllkB0GjJqTUPt2UOLt3&#10;VOV4//b2qu8CKUmfsSHsvSpJey3Ue69YKr1MaKi7VvOsxGnFmdX07aIb5zgJY/8ymMq0/uxLtmI0&#10;dQvqtMafftHIFWnn75Fn+tdzQV8/8fIHAAAA//8DAFBLAwQUAAYACAAAACEAHzLLG9oAAAABAQAA&#10;DwAAAGRycy9kb3ducmV2LnhtbEyPQUvDQBCF74L/YRnBm92obZA0m6IFQVCwxtLzJjtNotnZsLtt&#10;0n/v2Itehje84b1v8tVke3FEHzpHCm5nCQik2pmOGgXbz+ebBxAhajK6d4QKThhgVVxe5DozbqQP&#10;PJaxERxCIdMK2hiHTMpQt2h1mLkBib2981ZHXn0jjdcjh9te3iVJKq3uiBtaPeC6xfq7PFgF3eZ0&#10;/7J5SrdjufNf6f7tdf2+qJS6vpoelyAiTvHvGH7xGR0KZqrcgUwQvQJ+JJ4ne6wrBfPFHGSRy//k&#10;xQ8AAAD//wMAUEsBAi0AFAAGAAgAAAAhALaDOJL+AAAA4QEAABMAAAAAAAAAAAAAAAAAAAAAAFtD&#10;b250ZW50X1R5cGVzXS54bWxQSwECLQAUAAYACAAAACEAOP0h/9YAAACUAQAACwAAAAAAAAAAAAAA&#10;AAAvAQAAX3JlbHMvLnJlbHNQSwECLQAUAAYACAAAACEAYxIlWQACAAAMBAAADgAAAAAAAAAAAAAA&#10;AAAuAgAAZHJzL2Uyb0RvYy54bWxQSwECLQAUAAYACAAAACEAHzLLG9oAAAABAQAADwAAAAAAAAAA&#10;AAAAAABaBAAAZHJzL2Rvd25yZXYueG1sUEsFBgAAAAAEAAQA8wAAAGEFAAAAAA==&#10;" w14:anchorId="40D00177">
                      <v:stroke startarrow="block" startarrowlength="short" endarrow="block" endarrowlength="short"/>
                      <w10:anchorlock/>
                    </v:shape>
                  </w:pict>
                </mc:Fallback>
              </mc:AlternateContent>
            </w:r>
          </w:p>
        </w:tc>
        <w:tc>
          <w:tcPr>
            <w:tcW w:w="1020" w:type="dxa"/>
            <w:shd w:val="clear" w:color="auto" w:fill="auto"/>
            <w:vAlign w:val="center"/>
          </w:tcPr>
          <w:p w14:paraId="77D642E1" w14:textId="77777777" w:rsidR="00A408E7" w:rsidRPr="003B4CDA" w:rsidRDefault="00A408E7" w:rsidP="00D209BD">
            <w:pPr>
              <w:spacing w:after="0"/>
              <w:jc w:val="center"/>
              <w:rPr>
                <w:rFonts w:ascii="Segoe UI Light" w:hAnsi="Segoe UI Light"/>
                <w:sz w:val="16"/>
                <w:szCs w:val="16"/>
              </w:rPr>
            </w:pPr>
          </w:p>
        </w:tc>
        <w:tc>
          <w:tcPr>
            <w:tcW w:w="3658" w:type="dxa"/>
            <w:shd w:val="clear" w:color="auto" w:fill="auto"/>
            <w:vAlign w:val="center"/>
          </w:tcPr>
          <w:p w14:paraId="71D0B8D5"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79365DE5" wp14:editId="35BD0737">
                      <wp:extent cx="0" cy="288000"/>
                      <wp:effectExtent l="114300" t="38100" r="76200" b="17145"/>
                      <wp:docPr id="351" name="Straight Arrow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88000"/>
                              </a:xfrm>
                              <a:prstGeom prst="straightConnector1">
                                <a:avLst/>
                              </a:prstGeom>
                              <a:noFill/>
                              <a:ln w="50800">
                                <a:solidFill>
                                  <a:schemeClr val="accent4">
                                    <a:lumMod val="75000"/>
                                  </a:schemeClr>
                                </a:solidFill>
                                <a:round/>
                                <a:headEnd type="non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5246403E">
                    <v:shape id="Straight Arrow Connector 351" style="width:0;height:22.7pt;flip:x y;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BQIAAAgEAAAOAAAAZHJzL2Uyb0RvYy54bWysU02P0zAQvSPxHyzfadJCoYo2XaEuC4cF&#10;KnXh7tpOY2F7rLHbtP+esdNtWeCEuFj2eN6befNxc3t0lh00RgO+5dNJzZn2EpTxu5Z/e7x/teAs&#10;JuGVsOB1y0868tvlyxc3Q2j0DHqwSiMjEh+bIbS8Tyk0VRVlr52IEwja02cH6ESiJ+4qhWIgdmer&#10;WV2/rQZAFRCkjpGsd+MnXxb+rtMyfe26qBOzLafcUjmxnNt8Vssb0exQhN7IcxriH7JwwngKeqG6&#10;E0mwPZo/qJyRCBG6NJHgKug6I3XRQGqm9W9qNr0Iumih4sRwKVP8f7Tyy2GNzKiWv55POfPCUZM2&#10;CYXZ9Ym9R4SBrcB7KiQgyz5UsSHEhoArv8asWR79JjyA/BGZh1Uv/E6XzB9PgcgKonoGyY8YKO52&#10;+AyKfMQ+QSnfsUPHOmvCpwwst+/5lsNQsdixdO506Zw+JiZHoyTrbLGo69LUSjSZK+MCxvRRg2P5&#10;0vJ4FndRNbKLw0NMpI2AT4AM9nBvrC1TYj0bWj6vKUTJJ4I1Kv9mvzKwemWRHQSNmpBS+/Sm+Nm9&#10;I5Wj/d38mt8FUoI+Y0PYe1WC9lqoD16xVGrpaYd4zsJpxZnVtHLRjTOchLFXx4SG2mD/7kwSraeg&#10;T20YG7oFdVpjrkC207iVtM6rkef513fxui7w8icAAAD//wMAUEsDBBQABgAIAAAAIQDYUMaR2QAA&#10;AAEBAAAPAAAAZHJzL2Rvd25yZXYueG1sTI9BS8NAEIXvgv9hGcGb3SjR1jSbokIFhRZsa8+b7DQb&#10;zM6G7KaN/97RS70Mb3jDe9/ki9G14oh9aDwpuJ0kIJAqbxqqFey2y5sZiBA1Gd16QgXfGGBRXF7k&#10;OjP+RB943MRacAiFTCuwMXaZlKGy6HSY+A6JvYPvnY689rU0vT5xuGvlXZI8SKcb4garO3yxWH1t&#10;Bqdg+T6Ur9P1895O0/D5+Laa7VMblLq+Gp/mICKO8XwMv/iMDgUzlX4gE0SrgB+Jf5M91qWC9D4F&#10;WeTyP3nxAwAA//8DAFBLAQItABQABgAIAAAAIQC2gziS/gAAAOEBAAATAAAAAAAAAAAAAAAAAAAA&#10;AABbQ29udGVudF9UeXBlc10ueG1sUEsBAi0AFAAGAAgAAAAhADj9If/WAAAAlAEAAAsAAAAAAAAA&#10;AAAAAAAALwEAAF9yZWxzLy5yZWxzUEsBAi0AFAAGAAgAAAAhAH+Q78oFAgAACAQAAA4AAAAAAAAA&#10;AAAAAAAALgIAAGRycy9lMm9Eb2MueG1sUEsBAi0AFAAGAAgAAAAhANhQxpHZAAAAAQEAAA8AAAAA&#10;AAAAAAAAAAAAXwQAAGRycy9kb3ducmV2LnhtbFBLBQYAAAAABAAEAPMAAABlBQAAAAA=&#10;" w14:anchorId="6C0DADAD">
                      <v:stroke startarrowlength="short" endarrow="block" endarrowlength="short"/>
                      <w10:anchorlock/>
                    </v:shape>
                  </w:pict>
                </mc:Fallback>
              </mc:AlternateContent>
            </w:r>
          </w:p>
        </w:tc>
      </w:tr>
      <w:tr w:rsidR="00A408E7" w:rsidRPr="003B4CDA" w14:paraId="74244A5F" w14:textId="77777777" w:rsidTr="00D209BD">
        <w:trPr>
          <w:trHeight w:val="1196"/>
          <w:jc w:val="center"/>
        </w:trPr>
        <w:tc>
          <w:tcPr>
            <w:tcW w:w="2268" w:type="dxa"/>
            <w:shd w:val="clear" w:color="auto" w:fill="CCC0D9" w:themeFill="accent4" w:themeFillTint="66"/>
            <w:vAlign w:val="center"/>
          </w:tcPr>
          <w:p w14:paraId="5F2F1DFB" w14:textId="77777777" w:rsidR="00A408E7" w:rsidRPr="00647B26" w:rsidRDefault="00A408E7" w:rsidP="00D209BD">
            <w:pPr>
              <w:spacing w:after="0"/>
              <w:jc w:val="center"/>
              <w:rPr>
                <w:rFonts w:ascii="Segoe UI Light" w:hAnsi="Segoe UI Light"/>
                <w:b/>
                <w:bCs/>
                <w:sz w:val="16"/>
                <w:szCs w:val="16"/>
              </w:rPr>
            </w:pPr>
            <w:r w:rsidRPr="00647B26">
              <w:rPr>
                <w:rFonts w:ascii="Segoe UI Light" w:hAnsi="Segoe UI Light"/>
                <w:b/>
                <w:bCs/>
                <w:sz w:val="16"/>
                <w:szCs w:val="16"/>
              </w:rPr>
              <w:t xml:space="preserve">Izglītības klasifikators </w:t>
            </w:r>
            <w:r w:rsidRPr="00647B26">
              <w:rPr>
                <w:rFonts w:ascii="Segoe UI Light" w:hAnsi="Segoe UI Light"/>
                <w:b/>
                <w:bCs/>
                <w:sz w:val="16"/>
                <w:szCs w:val="16"/>
              </w:rPr>
              <w:br/>
              <w:t>(ISCED2011)</w:t>
            </w:r>
          </w:p>
        </w:tc>
        <w:tc>
          <w:tcPr>
            <w:tcW w:w="1020" w:type="dxa"/>
            <w:vAlign w:val="center"/>
          </w:tcPr>
          <w:p w14:paraId="2D9E19CD" w14:textId="77777777" w:rsidR="00A408E7" w:rsidRPr="003B4CDA" w:rsidRDefault="00A408E7" w:rsidP="00D209BD">
            <w:pPr>
              <w:spacing w:after="0"/>
              <w:jc w:val="center"/>
              <w:rPr>
                <w:rFonts w:ascii="Segoe UI Light" w:hAnsi="Segoe UI Light"/>
                <w:sz w:val="16"/>
                <w:szCs w:val="16"/>
              </w:rPr>
            </w:pPr>
            <w:r w:rsidRPr="003B4CDA">
              <w:rPr>
                <w:rFonts w:ascii="Segoe UI Light" w:hAnsi="Segoe UI Light"/>
                <w:noProof/>
                <w:sz w:val="16"/>
                <w:szCs w:val="16"/>
                <w:lang w:eastAsia="lv-LV"/>
              </w:rPr>
              <mc:AlternateContent>
                <mc:Choice Requires="wps">
                  <w:drawing>
                    <wp:inline distT="0" distB="0" distL="0" distR="0" wp14:anchorId="2FCA878C" wp14:editId="07BED30A">
                      <wp:extent cx="0" cy="288000"/>
                      <wp:effectExtent l="8572" t="105728" r="0" b="141922"/>
                      <wp:docPr id="350" name="Straight Arrow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0" cy="288000"/>
                              </a:xfrm>
                              <a:prstGeom prst="straightConnector1">
                                <a:avLst/>
                              </a:prstGeom>
                              <a:noFill/>
                              <a:ln w="50800">
                                <a:solidFill>
                                  <a:schemeClr val="accent4">
                                    <a:lumMod val="75000"/>
                                  </a:schemeClr>
                                </a:solidFill>
                                <a:round/>
                                <a:headEnd type="none" w="med" len="sm"/>
                                <a:tailEnd type="triangle" w="med" len="sm"/>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3628BCE7">
                    <v:shape id="Straight Arrow Connector 350" style="width:0;height:22.7pt;rotation:90;flip:x y;visibility:visible;mso-wrap-style:square;mso-left-percent:-10001;mso-top-percent:-10001;mso-position-horizontal:absolute;mso-position-horizontal-relative:char;mso-position-vertical:absolute;mso-position-vertical-relative:line;mso-left-percent:-10001;mso-top-percent:-10001" o:spid="_x0000_s1026" strokecolor="#5f497a [2407]" strokeweight="4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7ZDQIAABYEAAAOAAAAZHJzL2Uyb0RvYy54bWysU8GOEzEMvSPxD1HudKZlC9VopyvUZeGw&#10;QKUu3NMk04lI4shJO+3f42RKywInRA5R4tjPz8/O7d3RWXbQGA34lk8nNWfaS1DG71r+9enh1YKz&#10;mIRXwoLXLT/pyO+WL1/cDqHRM+jBKo2MQHxshtDyPqXQVFWUvXYiTiBoT48doBOJrrirFIqB0J2t&#10;ZnX9phoAVUCQOkay3o+PfFnwu07L9KXrok7Mtpy4pbJj2bd5r5a3otmhCL2RZxriH1g4YTwlvUDd&#10;iyTYHs0fUM5IhAhdmkhwFXSdkbrUQNVM69+q2fQi6FILiRPDRab4/2Dl58MamVEtfz0nfbxw1KRN&#10;QmF2fWLvEGFgK/CehARk2YcUG0JsKHDl15hrlke/CY8gv0fmYdULv9OF+dMpENg0R1TPQvIlBsq7&#10;HT6BIh+xT1DkO3boGAK1aX5T58VZZ034mGHK6Vs+5aQkHTuWPp4ufdTHxORolGSdLRYZIacXTUbO&#10;cQFj+qDBsXxoeTyXeqlxRBeHx5jGwJ8BOdjDg7GW7KKxng3EsqYUhU8Ea1R+zY9lfPXKIjsIGjwh&#10;pfbppvjZvaOaR/vb+ZXfJaSwfYaGsPeqJO21UO+9Yqko6+lH8czCacWZ1fQBoxsnOgljr44JDTXF&#10;/t2ZtLH+3KHclLG9W1CnNWYFcrNo+Aqt80fJ0/3rvXhdv/PyBwAAAP//AwBQSwMEFAAGAAgAAAAh&#10;AMJG0DTaAAAAAQEAAA8AAABkcnMvZG93bnJldi54bWxMj09Lw0AQxe+C32EZwZvdqLVqzKYERSj0&#10;UKx/j5PsmMRmZ0N228Zv79SLXh483vDeb7L56Dq1oyG0ng2cTxJQxJW3LdcGXp4fz25AhYhssfNM&#10;Br4pwDw/PsowtX7PT7Rbx1pJCYcUDTQx9qnWoWrIYZj4nliyTz84jGKHWtsB91LuOn2RJDPtsGVZ&#10;aLCn+4aqzXrrDPBD+T5bXS6Xi7ev6naxui5ePzaFMacnY3EHKtIY/47hgC/okAtT6bdsg+oMyCPx&#10;VyWbXk1BlQen80z/J89/AAAA//8DAFBLAQItABQABgAIAAAAIQC2gziS/gAAAOEBAAATAAAAAAAA&#10;AAAAAAAAAAAAAABbQ29udGVudF9UeXBlc10ueG1sUEsBAi0AFAAGAAgAAAAhADj9If/WAAAAlAEA&#10;AAsAAAAAAAAAAAAAAAAALwEAAF9yZWxzLy5yZWxzUEsBAi0AFAAGAAgAAAAhAFIJjtkNAgAAFgQA&#10;AA4AAAAAAAAAAAAAAAAALgIAAGRycy9lMm9Eb2MueG1sUEsBAi0AFAAGAAgAAAAhAMJG0DTaAAAA&#10;AQEAAA8AAAAAAAAAAAAAAAAAZwQAAGRycy9kb3ducmV2LnhtbFBLBQYAAAAABAAEAPMAAABuBQAA&#10;AAA=&#10;" w14:anchorId="4BD15EFF">
                      <v:stroke startarrowlength="short" endarrow="block" endarrowlength="short"/>
                      <w10:anchorlock/>
                    </v:shape>
                  </w:pict>
                </mc:Fallback>
              </mc:AlternateContent>
            </w:r>
          </w:p>
        </w:tc>
        <w:tc>
          <w:tcPr>
            <w:tcW w:w="3658" w:type="dxa"/>
            <w:shd w:val="clear" w:color="auto" w:fill="CCC0D9" w:themeFill="accent4" w:themeFillTint="66"/>
            <w:vAlign w:val="center"/>
          </w:tcPr>
          <w:p w14:paraId="25508B5E" w14:textId="77777777" w:rsidR="00A408E7" w:rsidRDefault="00A408E7" w:rsidP="00D209BD">
            <w:pPr>
              <w:spacing w:after="60"/>
              <w:jc w:val="center"/>
              <w:rPr>
                <w:rFonts w:ascii="Segoe UI Light" w:hAnsi="Segoe UI Light"/>
                <w:sz w:val="16"/>
                <w:szCs w:val="16"/>
              </w:rPr>
            </w:pPr>
            <w:r w:rsidRPr="003B4CDA">
              <w:rPr>
                <w:rFonts w:ascii="Segoe UI Light" w:hAnsi="Segoe UI Light"/>
                <w:sz w:val="16"/>
                <w:szCs w:val="16"/>
              </w:rPr>
              <w:t>3 izglītības līmeņi</w:t>
            </w:r>
          </w:p>
          <w:p w14:paraId="1DFF49FA" w14:textId="77777777" w:rsidR="00A408E7" w:rsidRPr="003B4CDA" w:rsidRDefault="00A408E7" w:rsidP="00D209BD">
            <w:pPr>
              <w:spacing w:after="60"/>
              <w:jc w:val="center"/>
              <w:rPr>
                <w:rFonts w:ascii="Segoe UI Light" w:hAnsi="Segoe UI Light"/>
                <w:sz w:val="16"/>
                <w:szCs w:val="16"/>
              </w:rPr>
            </w:pPr>
            <w:r>
              <w:rPr>
                <w:rFonts w:ascii="Segoe UI Light" w:hAnsi="Segoe UI Light"/>
                <w:sz w:val="16"/>
                <w:szCs w:val="16"/>
              </w:rPr>
              <w:t>77 izglītības programmu grupas</w:t>
            </w:r>
          </w:p>
          <w:p w14:paraId="65C5B178" w14:textId="77777777" w:rsidR="00A408E7" w:rsidRDefault="00A408E7" w:rsidP="00D209BD">
            <w:pPr>
              <w:spacing w:after="60"/>
              <w:jc w:val="center"/>
              <w:rPr>
                <w:rFonts w:ascii="Segoe UI Light" w:hAnsi="Segoe UI Light"/>
                <w:sz w:val="16"/>
                <w:szCs w:val="16"/>
              </w:rPr>
            </w:pPr>
            <w:r w:rsidRPr="003B4CDA">
              <w:rPr>
                <w:rFonts w:ascii="Segoe UI Light" w:hAnsi="Segoe UI Light"/>
                <w:sz w:val="16"/>
                <w:szCs w:val="16"/>
              </w:rPr>
              <w:t xml:space="preserve">23 izglītības tematiskās </w:t>
            </w:r>
            <w:r>
              <w:rPr>
                <w:rFonts w:ascii="Segoe UI Light" w:hAnsi="Segoe UI Light"/>
                <w:sz w:val="16"/>
                <w:szCs w:val="16"/>
              </w:rPr>
              <w:t>jomas</w:t>
            </w:r>
          </w:p>
          <w:p w14:paraId="6C362487" w14:textId="77777777" w:rsidR="00A408E7" w:rsidRPr="003B4CDA" w:rsidRDefault="00A408E7" w:rsidP="00D209BD">
            <w:pPr>
              <w:spacing w:after="60"/>
              <w:jc w:val="center"/>
              <w:rPr>
                <w:rFonts w:ascii="Segoe UI Light" w:hAnsi="Segoe UI Light"/>
                <w:sz w:val="16"/>
                <w:szCs w:val="16"/>
              </w:rPr>
            </w:pPr>
            <w:r>
              <w:rPr>
                <w:rFonts w:ascii="Segoe UI Light" w:hAnsi="Segoe UI Light"/>
                <w:sz w:val="16"/>
                <w:szCs w:val="16"/>
              </w:rPr>
              <w:t xml:space="preserve">9 </w:t>
            </w:r>
            <w:r w:rsidRPr="003B4CDA">
              <w:rPr>
                <w:rFonts w:ascii="Segoe UI Light" w:hAnsi="Segoe UI Light"/>
                <w:sz w:val="16"/>
                <w:szCs w:val="16"/>
              </w:rPr>
              <w:t xml:space="preserve">izglītības tematiskās </w:t>
            </w:r>
            <w:r>
              <w:rPr>
                <w:rFonts w:ascii="Segoe UI Light" w:hAnsi="Segoe UI Light"/>
                <w:sz w:val="16"/>
                <w:szCs w:val="16"/>
              </w:rPr>
              <w:t>grupas</w:t>
            </w:r>
          </w:p>
        </w:tc>
      </w:tr>
    </w:tbl>
    <w:p w14:paraId="6EEA6FE4" w14:textId="77777777" w:rsidR="00A408E7" w:rsidRDefault="00A408E7" w:rsidP="001231A9">
      <w:pPr>
        <w:jc w:val="both"/>
        <w:rPr>
          <w:rFonts w:ascii="Segoe UI Light" w:hAnsi="Segoe UI Light"/>
          <w:b/>
          <w:sz w:val="18"/>
        </w:rPr>
      </w:pPr>
    </w:p>
    <w:p w14:paraId="32C4D6A3" w14:textId="3EB2DD8E" w:rsidR="001231A9" w:rsidRPr="003B4CDA" w:rsidRDefault="001231A9" w:rsidP="001231A9">
      <w:pPr>
        <w:jc w:val="both"/>
        <w:rPr>
          <w:szCs w:val="26"/>
        </w:rPr>
      </w:pPr>
      <w:r w:rsidRPr="003B4CDA">
        <w:rPr>
          <w:szCs w:val="26"/>
        </w:rPr>
        <w:t>Profesiju prognozes ir cieši saistītas ar darbaspēka pieprasījuma un piedāvājuma prognozēm sadalījumā pēc iegūtās izglītības. Izglītības prognožu agregācijas pamatā ir Latvijas izglītības klasifikators, kas balstīts uz starptautisko standartizēto izglītības klasifikāciju (ISCED2011). Izglītības pieprasījuma un piedāvājuma prognozes tiek sniegtas trīs izglītības līmeņu (pamata, vidējā un augstākā) un 23 izglītības tematisko jomu dalījumā katrā no izglītības līmeņiem.</w:t>
      </w:r>
    </w:p>
    <w:p w14:paraId="446AF1CC" w14:textId="033C4CE9" w:rsidR="001231A9" w:rsidRDefault="25D85A6B" w:rsidP="001231A9">
      <w:pPr>
        <w:jc w:val="both"/>
      </w:pPr>
      <w:r>
        <w:t xml:space="preserve">Darba tirgus prognozes profesiju un izglītības griezumā tiek sinhronizētas izmantojot profesiju-izglītības atbilstības matricu, ko 2011. gadā EM, sadarbībā ar IZM un Labklājības ministriju, izveidoja darba tirgus vidēja un ilgtermiņa prognozēšanas vajadzībām. Matricas pamatā ir Latvijas profesiju standarti un Starptautiskās standartizēto profesiju klasifikācijas (ISCO08) ietvars un tajā izmantotie pieņēmumi par profesiju prasmju līmeņiem un tiem atbilstošo izglītību. No 2017. līdz 2019. gadam ESF projekta Nr. 7.1.2.2./16/I/001 „Darba tirgus prognozēšanas sistēmas pilnveide” pētījuma „Darba tirgus apsteidzošo pārkārtojumu sistēmas izveides iespējas un vidēja un ilgtermiņa darba tirgus prognožu sasaiste ar </w:t>
      </w:r>
      <w:proofErr w:type="spellStart"/>
      <w:r>
        <w:t>rīcībpolitiku</w:t>
      </w:r>
      <w:proofErr w:type="spellEnd"/>
      <w:r>
        <w:t>” ietvaros, sadarbībā ar SIA „AC Konsultācijas”, ir aktualizēta profesiju-izglītības atbilstības matrica. Profesiju-izglītības atbilstības pieņēmumus EM regulāri pārskata, ņemot vērā gan izmaiņas profesiju standartus, gan izglītības saturā, kā arī konsultējoties ar nozaru ekspertiem.</w:t>
      </w:r>
    </w:p>
    <w:p w14:paraId="315CAF77" w14:textId="77777777" w:rsidR="00417159" w:rsidRPr="003B4CDA" w:rsidRDefault="00417159" w:rsidP="001231A9">
      <w:pPr>
        <w:jc w:val="both"/>
        <w:rPr>
          <w:szCs w:val="26"/>
        </w:rPr>
      </w:pPr>
    </w:p>
    <w:p w14:paraId="0D7F3D95" w14:textId="77777777" w:rsidR="003A70B1" w:rsidRDefault="003A70B1">
      <w:pPr>
        <w:spacing w:after="0"/>
        <w:rPr>
          <w:b/>
          <w:szCs w:val="26"/>
        </w:rPr>
      </w:pPr>
      <w:r>
        <w:rPr>
          <w:b/>
          <w:szCs w:val="26"/>
        </w:rPr>
        <w:br w:type="page"/>
      </w:r>
    </w:p>
    <w:p w14:paraId="55CAFCFE" w14:textId="2510B868" w:rsidR="001231A9" w:rsidRPr="003B4CDA" w:rsidRDefault="001231A9" w:rsidP="001231A9">
      <w:pPr>
        <w:jc w:val="both"/>
        <w:rPr>
          <w:b/>
          <w:szCs w:val="26"/>
        </w:rPr>
      </w:pPr>
      <w:r w:rsidRPr="003B4CDA">
        <w:rPr>
          <w:b/>
          <w:szCs w:val="26"/>
        </w:rPr>
        <w:lastRenderedPageBreak/>
        <w:t>Prognožu izstrādē izmantotā informācija un datu avoti</w:t>
      </w:r>
    </w:p>
    <w:p w14:paraId="67588CF7" w14:textId="166331B8" w:rsidR="001231A9" w:rsidRPr="003B4CDA" w:rsidRDefault="001231A9" w:rsidP="001231A9">
      <w:pPr>
        <w:jc w:val="both"/>
        <w:rPr>
          <w:szCs w:val="26"/>
        </w:rPr>
      </w:pPr>
      <w:r w:rsidRPr="003B4CDA">
        <w:rPr>
          <w:szCs w:val="26"/>
        </w:rPr>
        <w:t xml:space="preserve">Darba tirgus prognožu izstrādē izmantoti galvenokārt valsts statistikas programmā iekļautie un regulāri CSP apkopotie dati. Nozīmīgākais informācijas avots ir Darbaspēka </w:t>
      </w:r>
      <w:proofErr w:type="spellStart"/>
      <w:r w:rsidRPr="003B4CDA">
        <w:rPr>
          <w:szCs w:val="26"/>
        </w:rPr>
        <w:t>izlasveida</w:t>
      </w:r>
      <w:proofErr w:type="spellEnd"/>
      <w:r w:rsidRPr="003B4CDA">
        <w:rPr>
          <w:szCs w:val="26"/>
        </w:rPr>
        <w:t xml:space="preserve"> </w:t>
      </w:r>
      <w:proofErr w:type="spellStart"/>
      <w:r w:rsidRPr="003B4CDA">
        <w:rPr>
          <w:szCs w:val="26"/>
        </w:rPr>
        <w:t>apsekojums</w:t>
      </w:r>
      <w:proofErr w:type="spellEnd"/>
      <w:r w:rsidRPr="003B4CDA">
        <w:rPr>
          <w:szCs w:val="26"/>
        </w:rPr>
        <w:t xml:space="preserve"> (DSA). Uz DSA balstīti galvenie prognožu pieņēmumi par darbaspēka pieprasījuma un piedāvājuma struktūru.</w:t>
      </w:r>
      <w:r>
        <w:rPr>
          <w:szCs w:val="26"/>
        </w:rPr>
        <w:t xml:space="preserve"> 2022.</w:t>
      </w:r>
      <w:r w:rsidR="008F563C">
        <w:rPr>
          <w:szCs w:val="26"/>
        </w:rPr>
        <w:t> </w:t>
      </w:r>
      <w:r>
        <w:rPr>
          <w:szCs w:val="26"/>
        </w:rPr>
        <w:t xml:space="preserve">gada EM vidēja un ilgtermiņa darba tirgus prognozēs izmantoti 2020. gada DSA </w:t>
      </w:r>
      <w:proofErr w:type="spellStart"/>
      <w:r w:rsidRPr="00230DAA">
        <w:rPr>
          <w:szCs w:val="26"/>
        </w:rPr>
        <w:t>anonimizēti</w:t>
      </w:r>
      <w:r>
        <w:rPr>
          <w:szCs w:val="26"/>
        </w:rPr>
        <w:t>e</w:t>
      </w:r>
      <w:proofErr w:type="spellEnd"/>
      <w:r w:rsidRPr="00230DAA">
        <w:rPr>
          <w:szCs w:val="26"/>
        </w:rPr>
        <w:t xml:space="preserve"> </w:t>
      </w:r>
      <w:proofErr w:type="spellStart"/>
      <w:r>
        <w:rPr>
          <w:szCs w:val="26"/>
        </w:rPr>
        <w:t>mikrodati</w:t>
      </w:r>
      <w:proofErr w:type="spellEnd"/>
      <w:r>
        <w:rPr>
          <w:szCs w:val="26"/>
        </w:rPr>
        <w:t xml:space="preserve"> un 2021.</w:t>
      </w:r>
      <w:r w:rsidR="008F563C">
        <w:rPr>
          <w:szCs w:val="26"/>
        </w:rPr>
        <w:t> </w:t>
      </w:r>
      <w:r>
        <w:rPr>
          <w:szCs w:val="26"/>
        </w:rPr>
        <w:t>gada DSA apkopotie (</w:t>
      </w:r>
      <w:proofErr w:type="spellStart"/>
      <w:r>
        <w:rPr>
          <w:szCs w:val="26"/>
        </w:rPr>
        <w:t>agregētie</w:t>
      </w:r>
      <w:proofErr w:type="spellEnd"/>
      <w:r>
        <w:rPr>
          <w:szCs w:val="26"/>
        </w:rPr>
        <w:t>) dati.</w:t>
      </w:r>
    </w:p>
    <w:p w14:paraId="4B24C0C3" w14:textId="3B5F4715" w:rsidR="001231A9" w:rsidRPr="003B4CDA" w:rsidRDefault="25D85A6B" w:rsidP="001231A9">
      <w:pPr>
        <w:jc w:val="both"/>
      </w:pPr>
      <w:r>
        <w:t>EM demogrāfijas prognozes balstītas uz CSP sniegto informāciju par iedzīvotāju skaitu un sastāvu 2021. gadā un 2022. gada sākumā, kā arī demogrāfijas tendencēm pēdējo divu dekāžu laikā. Pieņēmumi par dzimstības un mirstības rādītāju ilgtermiņa tendencēm daļēji balstīti uz ES Statistikas biroja (</w:t>
      </w:r>
      <w:proofErr w:type="spellStart"/>
      <w:r w:rsidRPr="4398C881">
        <w:rPr>
          <w:i/>
          <w:iCs/>
        </w:rPr>
        <w:t>Eurostat</w:t>
      </w:r>
      <w:proofErr w:type="spellEnd"/>
      <w:r>
        <w:t>) demogrāfijas prognožu EUROPOP2019 bāzes scenāriju. Iedzīvotāju starptautiskās migrācijas scenāriji ir cieši saistīti ar Latvijas izaugsmes mērķiem un turpmāko situācijas attīstību darba tirgū.</w:t>
      </w:r>
    </w:p>
    <w:p w14:paraId="5C03DB4B" w14:textId="79D11587" w:rsidR="001231A9" w:rsidRPr="003B4CDA" w:rsidRDefault="001231A9" w:rsidP="001231A9">
      <w:pPr>
        <w:jc w:val="both"/>
        <w:rPr>
          <w:szCs w:val="26"/>
        </w:rPr>
      </w:pPr>
      <w:r w:rsidRPr="003B4CDA">
        <w:rPr>
          <w:szCs w:val="26"/>
        </w:rPr>
        <w:t>Izglītības sistēmas struktūras un darba tirgū ienākošā darbaspēka modelēšanā tiek izmantoti izglītības statistikas dati. Izglītības statistikas galvenie avoti ir CSP Pārskats par profesionālajām izglītības iestādēm (prof-1) un Pārskats par augstskolām, koledžām (1-augstskola, koledža)</w:t>
      </w:r>
      <w:r>
        <w:rPr>
          <w:szCs w:val="26"/>
        </w:rPr>
        <w:t>, kā arī vispārējās izglītības statistika.</w:t>
      </w:r>
    </w:p>
    <w:p w14:paraId="6995845C" w14:textId="77777777" w:rsidR="005E175A" w:rsidRPr="001231A9" w:rsidRDefault="005E175A" w:rsidP="005E175A">
      <w:pPr>
        <w:rPr>
          <w:highlight w:val="yellow"/>
        </w:rPr>
      </w:pPr>
    </w:p>
    <w:p w14:paraId="07F8026D" w14:textId="280F8E86" w:rsidR="00667A1F" w:rsidRPr="008F563C" w:rsidRDefault="00667A1F" w:rsidP="00667A1F">
      <w:pPr>
        <w:pStyle w:val="Heading2"/>
        <w:rPr>
          <w:color w:val="000000" w:themeColor="text1"/>
        </w:rPr>
      </w:pPr>
      <w:bookmarkStart w:id="58" w:name="_Toc106366800"/>
      <w:r w:rsidRPr="008F563C">
        <w:rPr>
          <w:color w:val="000000" w:themeColor="text1"/>
        </w:rPr>
        <w:t xml:space="preserve">3.2. Ekonomikas </w:t>
      </w:r>
      <w:r w:rsidR="003751AF" w:rsidRPr="008F563C">
        <w:rPr>
          <w:color w:val="000000" w:themeColor="text1"/>
        </w:rPr>
        <w:t>izaugsmes pieņēmumi un demogrāfijas prognozes</w:t>
      </w:r>
      <w:bookmarkEnd w:id="58"/>
    </w:p>
    <w:p w14:paraId="260BD099" w14:textId="395C6CA1" w:rsidR="00667A1F" w:rsidRPr="00AE74F0" w:rsidRDefault="00667A1F" w:rsidP="00667A1F">
      <w:pPr>
        <w:pStyle w:val="Heading3"/>
        <w:rPr>
          <w:sz w:val="24"/>
        </w:rPr>
      </w:pPr>
      <w:bookmarkStart w:id="59" w:name="_Toc106366801"/>
      <w:r w:rsidRPr="00AE74F0">
        <w:rPr>
          <w:sz w:val="24"/>
        </w:rPr>
        <w:t>3.2.1. Ekonomikas izaugsmes mērķa scenārijs</w:t>
      </w:r>
      <w:bookmarkEnd w:id="59"/>
    </w:p>
    <w:p w14:paraId="28CBEA6E" w14:textId="3F38B84D" w:rsidR="00AE74F0" w:rsidRPr="00AE74F0" w:rsidRDefault="6F5752F9" w:rsidP="00AE74F0">
      <w:pPr>
        <w:jc w:val="both"/>
      </w:pPr>
      <w:bookmarkStart w:id="60" w:name="_Toc517876440"/>
      <w:r>
        <w:t xml:space="preserve">EM ir sagatavojusi tautsaimniecības izaugsmes Mērķa scenāriju un tam atbilstošu makroekonomisko prognozi. Lai arī Covid-19 pandēmija un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EEK uzsāktās iniciatīvas kā, piemēram, zaļais kurss un </w:t>
      </w:r>
      <w:proofErr w:type="spellStart"/>
      <w:r>
        <w:t>digitalizācija</w:t>
      </w:r>
      <w:proofErr w:type="spellEnd"/>
      <w:r>
        <w:t>.</w:t>
      </w:r>
    </w:p>
    <w:p w14:paraId="31ED4FB5" w14:textId="649DF23B" w:rsidR="00AE74F0" w:rsidRPr="00AE74F0" w:rsidRDefault="00AE74F0" w:rsidP="00AE74F0">
      <w:pPr>
        <w:jc w:val="both"/>
        <w:rPr>
          <w:szCs w:val="26"/>
        </w:rPr>
      </w:pPr>
      <w:r w:rsidRPr="7A74AD50">
        <w:t>Scenārijs izstrādāts, atbilstoši Latvijas struktūrpolitikas uzstādījumiem, kas noteikti politikas dokumentos – Latvijas ilgtspējīgas attīstības stratēģija „Latvija 2030”</w:t>
      </w:r>
      <w:r w:rsidRPr="7A74AD50">
        <w:rPr>
          <w:vertAlign w:val="superscript"/>
        </w:rPr>
        <w:footnoteReference w:id="11"/>
      </w:r>
      <w:r w:rsidRPr="7A74AD50">
        <w:t>, Latvijas Nacionālajā attīstības plānā 2027.</w:t>
      </w:r>
      <w:r w:rsidR="008F563C">
        <w:rPr>
          <w:szCs w:val="26"/>
        </w:rPr>
        <w:t> </w:t>
      </w:r>
      <w:r w:rsidRPr="7A74AD50">
        <w:t>gadam</w:t>
      </w:r>
      <w:r w:rsidRPr="7A74AD50">
        <w:rPr>
          <w:vertAlign w:val="superscript"/>
        </w:rPr>
        <w:footnoteReference w:id="12"/>
      </w:r>
      <w:r w:rsidRPr="7A74AD50">
        <w:t>, Nacionālās industriālās politikas pamatnostādnēs 2027.</w:t>
      </w:r>
      <w:r>
        <w:rPr>
          <w:szCs w:val="26"/>
        </w:rPr>
        <w:t> </w:t>
      </w:r>
      <w:r w:rsidRPr="7A74AD50">
        <w:t>gadam</w:t>
      </w:r>
      <w:r w:rsidRPr="7A74AD50">
        <w:rPr>
          <w:vertAlign w:val="superscript"/>
        </w:rPr>
        <w:footnoteReference w:id="13"/>
      </w:r>
      <w:r w:rsidRPr="7A74AD50">
        <w:t>. Tāpat arī analizēti globālās ekonomikas attīstību noteicošie procesi</w:t>
      </w:r>
      <w:r w:rsidRPr="7A74AD50">
        <w:rPr>
          <w:vertAlign w:val="superscript"/>
        </w:rPr>
        <w:footnoteReference w:id="14"/>
      </w:r>
      <w:r w:rsidRPr="00AE74F0">
        <w:rPr>
          <w:szCs w:val="26"/>
        </w:rPr>
        <w:t>.</w:t>
      </w:r>
    </w:p>
    <w:p w14:paraId="7817B31C" w14:textId="77777777" w:rsidR="00AE74F0" w:rsidRPr="003B4CDA" w:rsidRDefault="00AE74F0" w:rsidP="00927285">
      <w:pPr>
        <w:jc w:val="right"/>
        <w:rPr>
          <w:szCs w:val="20"/>
        </w:rPr>
      </w:pPr>
      <w:r w:rsidRPr="003B4CDA">
        <w:rPr>
          <w:szCs w:val="20"/>
        </w:rPr>
        <w:t>3.1. tabula</w:t>
      </w:r>
    </w:p>
    <w:p w14:paraId="403F29A4" w14:textId="77777777" w:rsidR="00AE74F0" w:rsidRPr="00AE74F0" w:rsidRDefault="00AE74F0" w:rsidP="00927285">
      <w:pPr>
        <w:spacing w:after="120"/>
        <w:jc w:val="center"/>
        <w:rPr>
          <w:rFonts w:cs="Calibri Light"/>
          <w:i/>
          <w:sz w:val="16"/>
          <w:szCs w:val="20"/>
        </w:rPr>
      </w:pPr>
      <w:r w:rsidRPr="00AE74F0">
        <w:rPr>
          <w:rFonts w:cs="Calibri Light"/>
          <w:b/>
          <w:sz w:val="18"/>
          <w:szCs w:val="20"/>
        </w:rPr>
        <w:t>Mērķa scenārija ietvars</w:t>
      </w:r>
      <w:r w:rsidRPr="00AE74F0">
        <w:rPr>
          <w:rFonts w:cs="Calibri Light"/>
          <w:b/>
          <w:sz w:val="18"/>
          <w:szCs w:val="20"/>
        </w:rPr>
        <w:br/>
      </w:r>
      <w:r w:rsidRPr="00AE74F0">
        <w:rPr>
          <w:rFonts w:cs="Calibri Light"/>
          <w:i/>
          <w:sz w:val="16"/>
          <w:szCs w:val="20"/>
        </w:rPr>
        <w:t>izmaiņas procentos</w:t>
      </w:r>
    </w:p>
    <w:tbl>
      <w:tblPr>
        <w:tblStyle w:val="GridTable5Dark-Accent31"/>
        <w:tblW w:w="75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127"/>
        <w:gridCol w:w="1347"/>
        <w:gridCol w:w="1347"/>
        <w:gridCol w:w="1347"/>
        <w:gridCol w:w="1348"/>
      </w:tblGrid>
      <w:tr w:rsidR="00343BAC" w:rsidRPr="005441D6" w14:paraId="6391692F" w14:textId="786077AD" w:rsidTr="001179C2">
        <w:trPr>
          <w:cnfStyle w:val="100000000000" w:firstRow="1" w:lastRow="0" w:firstColumn="0" w:lastColumn="0" w:oddVBand="0" w:evenVBand="0" w:oddHBand="0" w:evenHBand="0" w:firstRowFirstColumn="0" w:firstRowLastColumn="0" w:lastRowFirstColumn="0" w:lastRowLastColumn="0"/>
          <w:trHeight w:val="454"/>
          <w:jc w:val="center"/>
        </w:trPr>
        <w:tc>
          <w:tcPr>
            <w:tcW w:w="2127" w:type="dxa"/>
            <w:tcBorders>
              <w:top w:val="none" w:sz="0" w:space="0" w:color="auto"/>
              <w:left w:val="none" w:sz="0" w:space="0" w:color="auto"/>
              <w:right w:val="none" w:sz="0" w:space="0" w:color="auto"/>
            </w:tcBorders>
            <w:shd w:val="clear" w:color="auto" w:fill="5F497A" w:themeFill="accent4" w:themeFillShade="BF"/>
          </w:tcPr>
          <w:p w14:paraId="75B918B6" w14:textId="77777777" w:rsidR="005441D6" w:rsidRPr="005441D6" w:rsidRDefault="005441D6" w:rsidP="005441D6">
            <w:pPr>
              <w:numPr>
                <w:ilvl w:val="12"/>
                <w:numId w:val="0"/>
              </w:numPr>
              <w:spacing w:before="40" w:after="40"/>
              <w:jc w:val="center"/>
              <w:rPr>
                <w:rFonts w:ascii="Segoe UI Light" w:hAnsi="Segoe UI Light"/>
                <w:b w:val="0"/>
                <w:sz w:val="16"/>
                <w:szCs w:val="16"/>
              </w:rPr>
            </w:pPr>
          </w:p>
        </w:tc>
        <w:tc>
          <w:tcPr>
            <w:tcW w:w="1347" w:type="dxa"/>
            <w:tcBorders>
              <w:top w:val="none" w:sz="0" w:space="0" w:color="auto"/>
              <w:left w:val="none" w:sz="0" w:space="0" w:color="auto"/>
              <w:right w:val="none" w:sz="0" w:space="0" w:color="auto"/>
            </w:tcBorders>
            <w:shd w:val="clear" w:color="auto" w:fill="5F497A" w:themeFill="accent4" w:themeFillShade="BF"/>
            <w:vAlign w:val="center"/>
          </w:tcPr>
          <w:p w14:paraId="58F5FCD2" w14:textId="041EE67A" w:rsidR="005441D6" w:rsidRPr="005441D6" w:rsidRDefault="005441D6" w:rsidP="00C67918">
            <w:pPr>
              <w:spacing w:after="0"/>
              <w:jc w:val="center"/>
              <w:rPr>
                <w:rFonts w:ascii="Segoe UI Light" w:hAnsi="Segoe UI Light"/>
                <w:sz w:val="16"/>
                <w:szCs w:val="16"/>
              </w:rPr>
            </w:pPr>
            <w:r w:rsidRPr="005441D6">
              <w:rPr>
                <w:rFonts w:eastAsia="Times New Roman" w:cs="Calibri Light"/>
                <w:sz w:val="16"/>
                <w:szCs w:val="16"/>
                <w:lang w:eastAsia="lv-LV"/>
              </w:rPr>
              <w:t xml:space="preserve">2011-2019 </w:t>
            </w:r>
            <w:r>
              <w:rPr>
                <w:rFonts w:eastAsia="Times New Roman" w:cs="Calibri Light"/>
                <w:sz w:val="16"/>
                <w:szCs w:val="16"/>
                <w:lang w:eastAsia="lv-LV"/>
              </w:rPr>
              <w:br/>
            </w:r>
            <w:r w:rsidRPr="005441D6">
              <w:rPr>
                <w:rFonts w:eastAsia="Times New Roman" w:cs="Calibri Light"/>
                <w:sz w:val="16"/>
                <w:szCs w:val="16"/>
                <w:lang w:eastAsia="lv-LV"/>
              </w:rPr>
              <w:t>vidēji gadā</w:t>
            </w:r>
          </w:p>
        </w:tc>
        <w:tc>
          <w:tcPr>
            <w:tcW w:w="1347" w:type="dxa"/>
            <w:tcBorders>
              <w:top w:val="none" w:sz="0" w:space="0" w:color="auto"/>
              <w:left w:val="none" w:sz="0" w:space="0" w:color="auto"/>
              <w:right w:val="none" w:sz="0" w:space="0" w:color="auto"/>
            </w:tcBorders>
            <w:shd w:val="clear" w:color="auto" w:fill="5F497A" w:themeFill="accent4" w:themeFillShade="BF"/>
            <w:vAlign w:val="center"/>
          </w:tcPr>
          <w:p w14:paraId="6FF0E41F" w14:textId="3648F711" w:rsidR="005441D6" w:rsidRPr="005441D6" w:rsidRDefault="005441D6" w:rsidP="00C67918">
            <w:pPr>
              <w:spacing w:after="0"/>
              <w:jc w:val="center"/>
              <w:rPr>
                <w:rFonts w:ascii="Segoe UI Light" w:hAnsi="Segoe UI Light"/>
                <w:sz w:val="16"/>
                <w:szCs w:val="16"/>
              </w:rPr>
            </w:pPr>
            <w:r w:rsidRPr="005441D6">
              <w:rPr>
                <w:rFonts w:eastAsia="Times New Roman" w:cs="Calibri Light"/>
                <w:sz w:val="16"/>
                <w:szCs w:val="16"/>
                <w:lang w:eastAsia="lv-LV"/>
              </w:rPr>
              <w:t xml:space="preserve">2020-2021 </w:t>
            </w:r>
            <w:r>
              <w:rPr>
                <w:rFonts w:eastAsia="Times New Roman" w:cs="Calibri Light"/>
                <w:sz w:val="16"/>
                <w:szCs w:val="16"/>
                <w:lang w:eastAsia="lv-LV"/>
              </w:rPr>
              <w:br/>
            </w:r>
            <w:r w:rsidRPr="005441D6">
              <w:rPr>
                <w:rFonts w:eastAsia="Times New Roman" w:cs="Calibri Light"/>
                <w:sz w:val="16"/>
                <w:szCs w:val="16"/>
                <w:lang w:eastAsia="lv-LV"/>
              </w:rPr>
              <w:t>vidēji gadā</w:t>
            </w:r>
          </w:p>
        </w:tc>
        <w:tc>
          <w:tcPr>
            <w:tcW w:w="1347" w:type="dxa"/>
            <w:tcBorders>
              <w:top w:val="none" w:sz="0" w:space="0" w:color="auto"/>
              <w:left w:val="none" w:sz="0" w:space="0" w:color="auto"/>
              <w:right w:val="none" w:sz="0" w:space="0" w:color="auto"/>
            </w:tcBorders>
            <w:shd w:val="clear" w:color="auto" w:fill="5F497A" w:themeFill="accent4" w:themeFillShade="BF"/>
            <w:vAlign w:val="center"/>
          </w:tcPr>
          <w:p w14:paraId="076C5F51" w14:textId="7B3E385C" w:rsidR="005441D6" w:rsidRPr="005441D6" w:rsidRDefault="005441D6" w:rsidP="00C67918">
            <w:pPr>
              <w:spacing w:after="0"/>
              <w:jc w:val="center"/>
              <w:rPr>
                <w:rFonts w:ascii="Segoe UI Light" w:hAnsi="Segoe UI Light"/>
                <w:sz w:val="16"/>
                <w:szCs w:val="16"/>
              </w:rPr>
            </w:pPr>
            <w:r w:rsidRPr="005441D6">
              <w:rPr>
                <w:rFonts w:eastAsia="Times New Roman" w:cs="Calibri Light"/>
                <w:sz w:val="16"/>
                <w:szCs w:val="16"/>
                <w:lang w:eastAsia="lv-LV"/>
              </w:rPr>
              <w:t xml:space="preserve">2022-2030 </w:t>
            </w:r>
            <w:r>
              <w:rPr>
                <w:rFonts w:eastAsia="Times New Roman" w:cs="Calibri Light"/>
                <w:sz w:val="16"/>
                <w:szCs w:val="16"/>
                <w:lang w:eastAsia="lv-LV"/>
              </w:rPr>
              <w:br/>
            </w:r>
            <w:r w:rsidRPr="005441D6">
              <w:rPr>
                <w:rFonts w:eastAsia="Times New Roman" w:cs="Calibri Light"/>
                <w:sz w:val="16"/>
                <w:szCs w:val="16"/>
                <w:lang w:eastAsia="lv-LV"/>
              </w:rPr>
              <w:t>vidēji gadā</w:t>
            </w:r>
          </w:p>
        </w:tc>
        <w:tc>
          <w:tcPr>
            <w:tcW w:w="1348" w:type="dxa"/>
            <w:tcBorders>
              <w:top w:val="none" w:sz="0" w:space="0" w:color="auto"/>
              <w:left w:val="none" w:sz="0" w:space="0" w:color="auto"/>
              <w:right w:val="none" w:sz="0" w:space="0" w:color="auto"/>
            </w:tcBorders>
            <w:shd w:val="clear" w:color="auto" w:fill="5F497A" w:themeFill="accent4" w:themeFillShade="BF"/>
            <w:vAlign w:val="center"/>
          </w:tcPr>
          <w:p w14:paraId="27DC335E" w14:textId="693B250B" w:rsidR="005441D6" w:rsidRPr="005441D6" w:rsidRDefault="005441D6" w:rsidP="00C67918">
            <w:pPr>
              <w:spacing w:after="0"/>
              <w:jc w:val="center"/>
              <w:rPr>
                <w:rFonts w:ascii="Segoe UI Light" w:hAnsi="Segoe UI Light"/>
                <w:sz w:val="16"/>
                <w:szCs w:val="16"/>
              </w:rPr>
            </w:pPr>
            <w:r w:rsidRPr="005441D6">
              <w:rPr>
                <w:rFonts w:eastAsia="Times New Roman" w:cs="Calibri Light"/>
                <w:sz w:val="16"/>
                <w:szCs w:val="16"/>
                <w:lang w:eastAsia="lv-LV"/>
              </w:rPr>
              <w:t xml:space="preserve">2031-2040 </w:t>
            </w:r>
            <w:r>
              <w:rPr>
                <w:rFonts w:eastAsia="Times New Roman" w:cs="Calibri Light"/>
                <w:sz w:val="16"/>
                <w:szCs w:val="16"/>
                <w:lang w:eastAsia="lv-LV"/>
              </w:rPr>
              <w:br/>
            </w:r>
            <w:r w:rsidRPr="005441D6">
              <w:rPr>
                <w:rFonts w:eastAsia="Times New Roman" w:cs="Calibri Light"/>
                <w:sz w:val="16"/>
                <w:szCs w:val="16"/>
                <w:lang w:eastAsia="lv-LV"/>
              </w:rPr>
              <w:t>vidēji gadā</w:t>
            </w:r>
          </w:p>
        </w:tc>
      </w:tr>
      <w:tr w:rsidR="00A36BBF" w:rsidRPr="003B4CDA" w14:paraId="3C7124C6" w14:textId="45AB5904" w:rsidTr="005441D6">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E5DFEC" w:themeFill="accent4" w:themeFillTint="33"/>
          </w:tcPr>
          <w:p w14:paraId="5C7D2A35" w14:textId="41C60121" w:rsidR="005441D6" w:rsidRPr="003B4CDA" w:rsidRDefault="005441D6" w:rsidP="005441D6">
            <w:pPr>
              <w:numPr>
                <w:ilvl w:val="12"/>
                <w:numId w:val="0"/>
              </w:numPr>
              <w:spacing w:before="40" w:after="40"/>
              <w:rPr>
                <w:rFonts w:ascii="Segoe UI Light" w:hAnsi="Segoe UI Light"/>
                <w:sz w:val="16"/>
                <w:szCs w:val="16"/>
              </w:rPr>
            </w:pPr>
          </w:p>
        </w:tc>
        <w:tc>
          <w:tcPr>
            <w:tcW w:w="2694" w:type="dxa"/>
            <w:gridSpan w:val="2"/>
            <w:shd w:val="clear" w:color="auto" w:fill="E5DFEC" w:themeFill="accent4" w:themeFillTint="33"/>
          </w:tcPr>
          <w:p w14:paraId="64755E79" w14:textId="53D33C9E" w:rsidR="005441D6" w:rsidRPr="00BF47AA" w:rsidRDefault="005441D6" w:rsidP="005441D6">
            <w:pPr>
              <w:spacing w:before="40" w:after="40"/>
              <w:jc w:val="center"/>
              <w:rPr>
                <w:rFonts w:ascii="Segoe UI Light" w:hAnsi="Segoe UI Light"/>
                <w:bCs/>
                <w:sz w:val="16"/>
                <w:szCs w:val="16"/>
              </w:rPr>
            </w:pPr>
            <w:r w:rsidRPr="005441D6">
              <w:rPr>
                <w:rFonts w:eastAsia="Times New Roman" w:cs="Calibri Light"/>
                <w:color w:val="000000"/>
                <w:sz w:val="16"/>
                <w:szCs w:val="16"/>
                <w:lang w:eastAsia="lv-LV"/>
              </w:rPr>
              <w:t>Fakts</w:t>
            </w:r>
          </w:p>
        </w:tc>
        <w:tc>
          <w:tcPr>
            <w:tcW w:w="2695" w:type="dxa"/>
            <w:gridSpan w:val="2"/>
            <w:shd w:val="clear" w:color="auto" w:fill="E5DFEC" w:themeFill="accent4" w:themeFillTint="33"/>
          </w:tcPr>
          <w:p w14:paraId="5982CD50" w14:textId="1CEDC743" w:rsidR="005441D6" w:rsidRPr="00BF47AA" w:rsidRDefault="005441D6" w:rsidP="005441D6">
            <w:pPr>
              <w:spacing w:before="40" w:after="40"/>
              <w:jc w:val="center"/>
              <w:rPr>
                <w:rFonts w:ascii="Segoe UI Light" w:hAnsi="Segoe UI Light"/>
                <w:bCs/>
                <w:sz w:val="16"/>
                <w:szCs w:val="16"/>
              </w:rPr>
            </w:pPr>
            <w:r w:rsidRPr="005441D6">
              <w:rPr>
                <w:rFonts w:eastAsia="Times New Roman" w:cs="Calibri Light"/>
                <w:color w:val="000000"/>
                <w:sz w:val="16"/>
                <w:szCs w:val="16"/>
                <w:lang w:eastAsia="lv-LV"/>
              </w:rPr>
              <w:t>Prognoze</w:t>
            </w:r>
          </w:p>
        </w:tc>
      </w:tr>
      <w:tr w:rsidR="00343BAC" w:rsidRPr="003B4CDA" w14:paraId="6AAA5CD5" w14:textId="0A0B4E42" w:rsidTr="005441D6">
        <w:trPr>
          <w:jc w:val="center"/>
        </w:trPr>
        <w:tc>
          <w:tcPr>
            <w:tcW w:w="2127" w:type="dxa"/>
            <w:shd w:val="clear" w:color="auto" w:fill="CCC0D9" w:themeFill="accent4" w:themeFillTint="66"/>
          </w:tcPr>
          <w:p w14:paraId="5B9C9F50" w14:textId="778409A4" w:rsidR="005441D6" w:rsidRPr="003B4CDA" w:rsidRDefault="005441D6" w:rsidP="005441D6">
            <w:pPr>
              <w:numPr>
                <w:ilvl w:val="12"/>
                <w:numId w:val="0"/>
              </w:numPr>
              <w:spacing w:before="40" w:after="40"/>
              <w:rPr>
                <w:rFonts w:ascii="Segoe UI Light" w:hAnsi="Segoe UI Light"/>
                <w:sz w:val="16"/>
                <w:szCs w:val="16"/>
              </w:rPr>
            </w:pPr>
            <w:r w:rsidRPr="005441D6">
              <w:rPr>
                <w:rFonts w:eastAsia="Times New Roman" w:cs="Calibri Light"/>
                <w:color w:val="000000"/>
                <w:sz w:val="16"/>
                <w:szCs w:val="16"/>
                <w:lang w:eastAsia="lv-LV"/>
              </w:rPr>
              <w:t>Iedzīvotāju skaits</w:t>
            </w:r>
          </w:p>
        </w:tc>
        <w:tc>
          <w:tcPr>
            <w:tcW w:w="1347" w:type="dxa"/>
            <w:shd w:val="clear" w:color="auto" w:fill="CCC0D9" w:themeFill="accent4" w:themeFillTint="66"/>
            <w:vAlign w:val="bottom"/>
          </w:tcPr>
          <w:p w14:paraId="2298A2AC" w14:textId="1F72DDF4"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-1,1</w:t>
            </w:r>
          </w:p>
        </w:tc>
        <w:tc>
          <w:tcPr>
            <w:tcW w:w="1347" w:type="dxa"/>
            <w:shd w:val="clear" w:color="auto" w:fill="CCC0D9" w:themeFill="accent4" w:themeFillTint="66"/>
            <w:vAlign w:val="bottom"/>
          </w:tcPr>
          <w:p w14:paraId="54A55575" w14:textId="14B99968"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-0,7</w:t>
            </w:r>
          </w:p>
        </w:tc>
        <w:tc>
          <w:tcPr>
            <w:tcW w:w="1347" w:type="dxa"/>
            <w:shd w:val="clear" w:color="auto" w:fill="CCC0D9" w:themeFill="accent4" w:themeFillTint="66"/>
            <w:vAlign w:val="bottom"/>
          </w:tcPr>
          <w:p w14:paraId="65CC5373" w14:textId="2F3EF45D"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-0,7</w:t>
            </w:r>
          </w:p>
        </w:tc>
        <w:tc>
          <w:tcPr>
            <w:tcW w:w="1348" w:type="dxa"/>
            <w:shd w:val="clear" w:color="auto" w:fill="CCC0D9" w:themeFill="accent4" w:themeFillTint="66"/>
            <w:vAlign w:val="bottom"/>
          </w:tcPr>
          <w:p w14:paraId="6EC5E56F" w14:textId="1D315580"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-0,3</w:t>
            </w:r>
          </w:p>
        </w:tc>
      </w:tr>
      <w:tr w:rsidR="00343BAC" w:rsidRPr="003B4CDA" w14:paraId="0EA27D0D" w14:textId="38FFBAA7" w:rsidTr="005441D6">
        <w:trPr>
          <w:cnfStyle w:val="000000100000" w:firstRow="0" w:lastRow="0" w:firstColumn="0" w:lastColumn="0" w:oddVBand="0" w:evenVBand="0" w:oddHBand="1" w:evenHBand="0" w:firstRowFirstColumn="0" w:firstRowLastColumn="0" w:lastRowFirstColumn="0" w:lastRowLastColumn="0"/>
          <w:jc w:val="center"/>
        </w:trPr>
        <w:tc>
          <w:tcPr>
            <w:tcW w:w="2127" w:type="dxa"/>
            <w:shd w:val="clear" w:color="auto" w:fill="E5DFEC" w:themeFill="accent4" w:themeFillTint="33"/>
          </w:tcPr>
          <w:p w14:paraId="24B85376" w14:textId="08A9CE72" w:rsidR="005441D6" w:rsidRPr="005441D6" w:rsidRDefault="005441D6" w:rsidP="005441D6">
            <w:pPr>
              <w:numPr>
                <w:ilvl w:val="12"/>
                <w:numId w:val="0"/>
              </w:numPr>
              <w:spacing w:before="40" w:after="40"/>
              <w:rPr>
                <w:rFonts w:eastAsia="Times New Roman" w:cs="Calibri Light"/>
                <w:color w:val="000000"/>
                <w:sz w:val="16"/>
                <w:szCs w:val="16"/>
                <w:lang w:eastAsia="lv-LV"/>
              </w:rPr>
            </w:pPr>
            <w:r w:rsidRPr="005441D6">
              <w:rPr>
                <w:rFonts w:eastAsia="Times New Roman" w:cs="Calibri Light"/>
                <w:color w:val="000000"/>
                <w:sz w:val="16"/>
                <w:szCs w:val="16"/>
                <w:lang w:eastAsia="lv-LV"/>
              </w:rPr>
              <w:t>IKP faktiskajās cenās</w:t>
            </w:r>
          </w:p>
        </w:tc>
        <w:tc>
          <w:tcPr>
            <w:tcW w:w="1347" w:type="dxa"/>
            <w:shd w:val="clear" w:color="auto" w:fill="E5DFEC" w:themeFill="accent4" w:themeFillTint="33"/>
          </w:tcPr>
          <w:p w14:paraId="4E66A7EA" w14:textId="75618EB4"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6,0</w:t>
            </w:r>
          </w:p>
        </w:tc>
        <w:tc>
          <w:tcPr>
            <w:tcW w:w="1347" w:type="dxa"/>
            <w:shd w:val="clear" w:color="auto" w:fill="E5DFEC" w:themeFill="accent4" w:themeFillTint="33"/>
          </w:tcPr>
          <w:p w14:paraId="534491E0" w14:textId="3AAC7E6F"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3,6</w:t>
            </w:r>
          </w:p>
        </w:tc>
        <w:tc>
          <w:tcPr>
            <w:tcW w:w="1347" w:type="dxa"/>
            <w:shd w:val="clear" w:color="auto" w:fill="E5DFEC" w:themeFill="accent4" w:themeFillTint="33"/>
          </w:tcPr>
          <w:p w14:paraId="089D1E5D" w14:textId="067B49A9"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7,1</w:t>
            </w:r>
          </w:p>
        </w:tc>
        <w:tc>
          <w:tcPr>
            <w:tcW w:w="1348" w:type="dxa"/>
            <w:shd w:val="clear" w:color="auto" w:fill="E5DFEC" w:themeFill="accent4" w:themeFillTint="33"/>
          </w:tcPr>
          <w:p w14:paraId="45A85EBA" w14:textId="42C589FF"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4,7</w:t>
            </w:r>
          </w:p>
        </w:tc>
      </w:tr>
      <w:tr w:rsidR="00343BAC" w:rsidRPr="003B4CDA" w14:paraId="7C0FA247" w14:textId="6746D90A" w:rsidTr="005441D6">
        <w:trPr>
          <w:jc w:val="center"/>
        </w:trPr>
        <w:tc>
          <w:tcPr>
            <w:tcW w:w="2127" w:type="dxa"/>
            <w:shd w:val="clear" w:color="auto" w:fill="CCC0D9" w:themeFill="accent4" w:themeFillTint="66"/>
          </w:tcPr>
          <w:p w14:paraId="0AA41618" w14:textId="2F4BDEEB" w:rsidR="005441D6" w:rsidRPr="005441D6" w:rsidRDefault="005441D6" w:rsidP="005441D6">
            <w:pPr>
              <w:numPr>
                <w:ilvl w:val="12"/>
                <w:numId w:val="0"/>
              </w:numPr>
              <w:spacing w:before="40" w:after="40"/>
              <w:rPr>
                <w:rFonts w:eastAsia="Times New Roman" w:cs="Calibri Light"/>
                <w:color w:val="000000"/>
                <w:sz w:val="16"/>
                <w:szCs w:val="16"/>
                <w:lang w:eastAsia="lv-LV"/>
              </w:rPr>
            </w:pPr>
            <w:r w:rsidRPr="005441D6">
              <w:rPr>
                <w:rFonts w:eastAsia="Times New Roman" w:cs="Calibri Light"/>
                <w:color w:val="000000"/>
                <w:sz w:val="16"/>
                <w:szCs w:val="16"/>
                <w:lang w:eastAsia="lv-LV"/>
              </w:rPr>
              <w:t>IKP salīdzināmās cenās</w:t>
            </w:r>
          </w:p>
        </w:tc>
        <w:tc>
          <w:tcPr>
            <w:tcW w:w="1347" w:type="dxa"/>
            <w:shd w:val="clear" w:color="auto" w:fill="CCC0D9" w:themeFill="accent4" w:themeFillTint="66"/>
          </w:tcPr>
          <w:p w14:paraId="53F05D4D" w14:textId="0CB3AAB3"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3,3</w:t>
            </w:r>
          </w:p>
        </w:tc>
        <w:tc>
          <w:tcPr>
            <w:tcW w:w="1347" w:type="dxa"/>
            <w:shd w:val="clear" w:color="auto" w:fill="CCC0D9" w:themeFill="accent4" w:themeFillTint="66"/>
          </w:tcPr>
          <w:p w14:paraId="473830DC" w14:textId="63A859E2"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0,3</w:t>
            </w:r>
          </w:p>
        </w:tc>
        <w:tc>
          <w:tcPr>
            <w:tcW w:w="1347" w:type="dxa"/>
            <w:shd w:val="clear" w:color="auto" w:fill="CCC0D9" w:themeFill="accent4" w:themeFillTint="66"/>
          </w:tcPr>
          <w:p w14:paraId="51B73240" w14:textId="4C8D3088"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4,2</w:t>
            </w:r>
          </w:p>
        </w:tc>
        <w:tc>
          <w:tcPr>
            <w:tcW w:w="1348" w:type="dxa"/>
            <w:shd w:val="clear" w:color="auto" w:fill="CCC0D9" w:themeFill="accent4" w:themeFillTint="66"/>
          </w:tcPr>
          <w:p w14:paraId="24013BD0" w14:textId="5F8BADCB" w:rsidR="005441D6" w:rsidRPr="00BF47AA" w:rsidRDefault="005441D6" w:rsidP="005441D6">
            <w:pPr>
              <w:tabs>
                <w:tab w:val="decimal" w:pos="560"/>
              </w:tabs>
              <w:spacing w:before="40" w:after="40"/>
              <w:rPr>
                <w:rFonts w:ascii="Segoe UI Light" w:hAnsi="Segoe UI Light"/>
                <w:bCs/>
                <w:sz w:val="16"/>
                <w:szCs w:val="16"/>
              </w:rPr>
            </w:pPr>
            <w:r w:rsidRPr="005441D6">
              <w:rPr>
                <w:rFonts w:eastAsia="Times New Roman" w:cs="Calibri Light"/>
                <w:color w:val="000000"/>
                <w:sz w:val="16"/>
                <w:szCs w:val="16"/>
                <w:lang w:eastAsia="lv-LV"/>
              </w:rPr>
              <w:t>3,0</w:t>
            </w:r>
          </w:p>
        </w:tc>
      </w:tr>
    </w:tbl>
    <w:p w14:paraId="68ECE095" w14:textId="662B8F8B" w:rsidR="00AE74F0" w:rsidRPr="00927285" w:rsidRDefault="00AE74F0" w:rsidP="00927285">
      <w:pPr>
        <w:spacing w:before="120" w:after="120"/>
        <w:ind w:firstLine="709"/>
        <w:jc w:val="both"/>
        <w:rPr>
          <w:rFonts w:cs="Calibri Light"/>
          <w:sz w:val="12"/>
          <w:szCs w:val="12"/>
        </w:rPr>
      </w:pPr>
      <w:r w:rsidRPr="00927285">
        <w:rPr>
          <w:rFonts w:cs="Calibri Light"/>
          <w:sz w:val="12"/>
          <w:szCs w:val="12"/>
        </w:rPr>
        <w:t>Avots: CSP dati periodā no 2011.-2021.</w:t>
      </w:r>
      <w:r w:rsidR="00E029D7" w:rsidRPr="00927285">
        <w:rPr>
          <w:rFonts w:cs="Calibri Light"/>
          <w:sz w:val="12"/>
          <w:szCs w:val="12"/>
        </w:rPr>
        <w:t> </w:t>
      </w:r>
      <w:r w:rsidRPr="00927285">
        <w:rPr>
          <w:rFonts w:cs="Calibri Light"/>
          <w:sz w:val="12"/>
          <w:szCs w:val="12"/>
        </w:rPr>
        <w:t>gadam, EM prognozes sākot ar 2022.</w:t>
      </w:r>
      <w:r w:rsidR="00E029D7" w:rsidRPr="00927285">
        <w:rPr>
          <w:rFonts w:cs="Calibri Light"/>
          <w:sz w:val="12"/>
          <w:szCs w:val="12"/>
        </w:rPr>
        <w:t> </w:t>
      </w:r>
      <w:r w:rsidRPr="00927285">
        <w:rPr>
          <w:rFonts w:cs="Calibri Light"/>
          <w:sz w:val="12"/>
          <w:szCs w:val="12"/>
        </w:rPr>
        <w:t>gadu</w:t>
      </w:r>
    </w:p>
    <w:p w14:paraId="62709828" w14:textId="41AD9DDE" w:rsidR="00AE74F0" w:rsidRDefault="00AE74F0">
      <w:pPr>
        <w:spacing w:after="0"/>
        <w:rPr>
          <w:rFonts w:cs="Calibri Light"/>
          <w:szCs w:val="20"/>
        </w:rPr>
      </w:pPr>
      <w:r>
        <w:rPr>
          <w:rFonts w:cs="Calibri Light"/>
          <w:szCs w:val="20"/>
        </w:rPr>
        <w:br w:type="page"/>
      </w:r>
    </w:p>
    <w:p w14:paraId="3C8E1521" w14:textId="77777777" w:rsidR="00AE74F0" w:rsidRPr="00AE74F0" w:rsidRDefault="00AE74F0" w:rsidP="00AE74F0">
      <w:pPr>
        <w:spacing w:after="0"/>
        <w:jc w:val="both"/>
        <w:rPr>
          <w:rFonts w:cs="Calibri Light"/>
          <w:sz w:val="2"/>
          <w:szCs w:val="2"/>
        </w:rPr>
      </w:pPr>
    </w:p>
    <w:p w14:paraId="12745DBA" w14:textId="094BC9F8" w:rsidR="00AE74F0" w:rsidRPr="00C67918" w:rsidRDefault="00AE74F0" w:rsidP="00C67918">
      <w:pPr>
        <w:pBdr>
          <w:top w:val="single" w:sz="4" w:space="6" w:color="auto" w:shadow="1"/>
          <w:left w:val="single" w:sz="4" w:space="6" w:color="auto" w:shadow="1"/>
          <w:bottom w:val="single" w:sz="4" w:space="0" w:color="auto" w:shadow="1"/>
          <w:right w:val="single" w:sz="4" w:space="6" w:color="auto" w:shadow="1"/>
        </w:pBdr>
        <w:shd w:val="clear" w:color="auto" w:fill="E5DFEC"/>
        <w:jc w:val="right"/>
        <w:rPr>
          <w:rFonts w:ascii="Segoe UI Light" w:hAnsi="Segoe UI Light"/>
          <w:b/>
          <w:sz w:val="16"/>
          <w:szCs w:val="16"/>
        </w:rPr>
      </w:pPr>
      <w:proofErr w:type="spellStart"/>
      <w:r w:rsidRPr="00C67918">
        <w:rPr>
          <w:rFonts w:ascii="Segoe UI Light" w:hAnsi="Segoe UI Light"/>
          <w:b/>
          <w:sz w:val="16"/>
          <w:szCs w:val="16"/>
        </w:rPr>
        <w:t>Pamatpieņēmumi</w:t>
      </w:r>
      <w:proofErr w:type="spellEnd"/>
      <w:r w:rsidRPr="00C67918">
        <w:rPr>
          <w:rFonts w:ascii="Segoe UI Light" w:hAnsi="Segoe UI Light"/>
          <w:b/>
          <w:sz w:val="16"/>
          <w:szCs w:val="16"/>
        </w:rPr>
        <w:t xml:space="preserve"> par Covid-19 pandēmijas un ģeopolitiskās situācijas ietekmi uz Latvijas ekonomiku</w:t>
      </w:r>
    </w:p>
    <w:p w14:paraId="47C9685A" w14:textId="77777777" w:rsidR="00AE74F0" w:rsidRPr="00AE74F0" w:rsidRDefault="00AE74F0"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
          <w:sz w:val="16"/>
          <w:szCs w:val="18"/>
        </w:rPr>
      </w:pPr>
      <w:r w:rsidRPr="00AE74F0">
        <w:rPr>
          <w:rFonts w:ascii="Segoe UI Light" w:hAnsi="Segoe UI Light"/>
          <w:b/>
          <w:sz w:val="16"/>
          <w:szCs w:val="18"/>
        </w:rPr>
        <w:t>Covid-19 ietekme uz tautsaimniecību</w:t>
      </w:r>
    </w:p>
    <w:p w14:paraId="14B50EE1" w14:textId="3B64AF00" w:rsidR="00AE74F0" w:rsidRPr="00AE74F0" w:rsidRDefault="00AE74F0"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sz w:val="16"/>
          <w:szCs w:val="18"/>
        </w:rPr>
      </w:pPr>
      <w:r w:rsidRPr="00AE74F0">
        <w:rPr>
          <w:rFonts w:ascii="Segoe UI Light" w:hAnsi="Segoe UI Light"/>
          <w:bCs/>
          <w:sz w:val="16"/>
          <w:szCs w:val="18"/>
        </w:rPr>
        <w:t>Covid-19 pandēmija ir spēcīgi un paliekoši ietekmējusi sociālekonomisko situāciju globālā mērogā un arī Latvijā. Pandēmijas ierobežojumu ietekmē visbūtiskākais apjomu samazinājums bija izmitināšanas un ēdināšanas, mākslas, izklaides un atpūtas nozarēs. Tāpat ieviestie Covid-19 ierobežojumi būtiski ietekmēja aviācijas, sauszemes transporta un dzelzceļa uzņēmumus. Lai arī kopumā 2021.</w:t>
      </w:r>
      <w:r w:rsidR="005441D6">
        <w:rPr>
          <w:rFonts w:ascii="Segoe UI Light" w:hAnsi="Segoe UI Light"/>
          <w:bCs/>
          <w:sz w:val="16"/>
          <w:szCs w:val="18"/>
        </w:rPr>
        <w:t> </w:t>
      </w:r>
      <w:r w:rsidRPr="00AE74F0">
        <w:rPr>
          <w:rFonts w:ascii="Segoe UI Light" w:hAnsi="Segoe UI Light"/>
          <w:bCs/>
          <w:sz w:val="16"/>
          <w:szCs w:val="18"/>
        </w:rPr>
        <w:t xml:space="preserve">gadā IKP nedaudz pārsniedza </w:t>
      </w:r>
      <w:proofErr w:type="spellStart"/>
      <w:r w:rsidRPr="00AE74F0">
        <w:rPr>
          <w:rFonts w:ascii="Segoe UI Light" w:hAnsi="Segoe UI Light"/>
          <w:bCs/>
          <w:sz w:val="16"/>
          <w:szCs w:val="18"/>
        </w:rPr>
        <w:t>pirmskrīzes</w:t>
      </w:r>
      <w:proofErr w:type="spellEnd"/>
      <w:r w:rsidRPr="00AE74F0">
        <w:rPr>
          <w:rFonts w:ascii="Segoe UI Light" w:hAnsi="Segoe UI Light"/>
          <w:bCs/>
          <w:sz w:val="16"/>
          <w:szCs w:val="18"/>
        </w:rPr>
        <w:t xml:space="preserve"> 2019.</w:t>
      </w:r>
      <w:r w:rsidR="005441D6">
        <w:rPr>
          <w:rFonts w:ascii="Segoe UI Light" w:hAnsi="Segoe UI Light"/>
          <w:bCs/>
          <w:sz w:val="16"/>
          <w:szCs w:val="18"/>
        </w:rPr>
        <w:t> </w:t>
      </w:r>
      <w:r w:rsidRPr="00AE74F0">
        <w:rPr>
          <w:rFonts w:ascii="Segoe UI Light" w:hAnsi="Segoe UI Light"/>
          <w:bCs/>
          <w:sz w:val="16"/>
          <w:szCs w:val="18"/>
        </w:rPr>
        <w:t>gada līmeni, vairākās nozarēs ekonomiskā aktivitāte bija krietni zem šī līmeņa.</w:t>
      </w:r>
    </w:p>
    <w:p w14:paraId="01087A7A" w14:textId="3F8DE8CE" w:rsidR="00AE74F0" w:rsidRPr="00AE74F0" w:rsidRDefault="00AE74F0"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sz w:val="16"/>
          <w:szCs w:val="18"/>
        </w:rPr>
      </w:pPr>
      <w:r w:rsidRPr="00AE74F0">
        <w:rPr>
          <w:rFonts w:ascii="Segoe UI Light" w:hAnsi="Segoe UI Light"/>
          <w:bCs/>
          <w:sz w:val="16"/>
          <w:szCs w:val="18"/>
        </w:rPr>
        <w:t xml:space="preserve">Covid-19 ierobežojošo pasākumu ieviešana būtiski ietekmēja situāciju darba tirgū </w:t>
      </w:r>
      <w:r w:rsidR="005441D6">
        <w:rPr>
          <w:rFonts w:ascii="Segoe UI Light" w:hAnsi="Segoe UI Light"/>
          <w:bCs/>
          <w:sz w:val="16"/>
          <w:szCs w:val="18"/>
        </w:rPr>
        <w:t>–</w:t>
      </w:r>
      <w:r w:rsidRPr="00AE74F0">
        <w:rPr>
          <w:rFonts w:ascii="Segoe UI Light" w:hAnsi="Segoe UI Light"/>
          <w:bCs/>
          <w:sz w:val="16"/>
          <w:szCs w:val="18"/>
        </w:rPr>
        <w:t xml:space="preserve"> visvairāk negatīvi tika skartas darbaspēka intensīvās nozares, kas tiešā veidā saistītas ar iedzīvotāju pārvietošanos un pulcēšanos. 2021.</w:t>
      </w:r>
      <w:r w:rsidR="005441D6">
        <w:rPr>
          <w:rFonts w:ascii="Segoe UI Light" w:hAnsi="Segoe UI Light"/>
          <w:bCs/>
          <w:sz w:val="16"/>
          <w:szCs w:val="18"/>
        </w:rPr>
        <w:t> </w:t>
      </w:r>
      <w:r w:rsidRPr="00AE74F0">
        <w:rPr>
          <w:rFonts w:ascii="Segoe UI Light" w:hAnsi="Segoe UI Light"/>
          <w:bCs/>
          <w:sz w:val="16"/>
          <w:szCs w:val="18"/>
        </w:rPr>
        <w:t>gadā, pakāpeniski uzlabojoties epidemioloģiskajai situācijai, bija vērojami uzlabojumi darba tirgū. Tomēr krīze ir atstājusi redzamas “pēdas” darba tirgū. Nodarbināto skaits un nodarbinātības līmenis joprojām ir būtiski zemāks nekā 2019.</w:t>
      </w:r>
      <w:r w:rsidR="005441D6">
        <w:rPr>
          <w:rFonts w:ascii="Segoe UI Light" w:hAnsi="Segoe UI Light"/>
          <w:bCs/>
          <w:sz w:val="16"/>
          <w:szCs w:val="18"/>
        </w:rPr>
        <w:t> </w:t>
      </w:r>
      <w:r w:rsidRPr="00AE74F0">
        <w:rPr>
          <w:rFonts w:ascii="Segoe UI Light" w:hAnsi="Segoe UI Light"/>
          <w:bCs/>
          <w:sz w:val="16"/>
          <w:szCs w:val="18"/>
        </w:rPr>
        <w:t>gadā. Krīze ir ietekmējusi iedzīvotāju ekonomisko aktivitāti, kas līdztekus demogrāfiskiem procesiem sašaurina darbaspēka piedāvājumu darba tirgū un paaugstina darbaspēka nepietiekamības riskus.</w:t>
      </w:r>
    </w:p>
    <w:p w14:paraId="3D4F384B" w14:textId="5FDDFF4F" w:rsidR="00AE74F0" w:rsidRPr="00AE74F0" w:rsidRDefault="00AE74F0"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Cs/>
          <w:sz w:val="16"/>
          <w:szCs w:val="18"/>
        </w:rPr>
      </w:pPr>
      <w:r w:rsidRPr="00AE74F0">
        <w:rPr>
          <w:rFonts w:ascii="Segoe UI Light" w:hAnsi="Segoe UI Light"/>
          <w:bCs/>
          <w:sz w:val="16"/>
          <w:szCs w:val="18"/>
        </w:rPr>
        <w:t>Covid-19 krīze ir veicinājusi pārmaiņas, kas visdrīzāk saglabāsies arī pēc pandēmijas, piemēram, e-komercijas un citu digitālo risinājumu aizvien plašāka pielietošana, attālinātā darba formas u.c., aizvien vairāk lokalizētas globālās vērtību ķēdes.</w:t>
      </w:r>
    </w:p>
    <w:p w14:paraId="232F61E7" w14:textId="7E034194" w:rsidR="00AE74F0" w:rsidRDefault="6F5752F9"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Ņemot vērā situāciju Eiropā un vakcinācijas aptveri, mērķa scenārijs neparedz jaunus, un būtiskus Covid-19 ierobežojumus, tomēr saglabājas augsta nenoteiktība par situāciju 2022.</w:t>
      </w:r>
      <w:r w:rsidR="73E41C7A" w:rsidRPr="4398C881">
        <w:rPr>
          <w:rFonts w:ascii="Segoe UI Light" w:hAnsi="Segoe UI Light"/>
          <w:sz w:val="16"/>
          <w:szCs w:val="16"/>
        </w:rPr>
        <w:t> </w:t>
      </w:r>
      <w:r w:rsidRPr="4398C881">
        <w:rPr>
          <w:rFonts w:ascii="Segoe UI Light" w:hAnsi="Segoe UI Light"/>
          <w:sz w:val="16"/>
          <w:szCs w:val="16"/>
        </w:rPr>
        <w:t>gada rudenī saistībā ar iespējamu vīrusa mutāciju un jaunu pandēmijas uzplaiksnījumu.</w:t>
      </w:r>
    </w:p>
    <w:p w14:paraId="6BCB92E3" w14:textId="13CDBE99" w:rsidR="00AE74F0" w:rsidRPr="00AE74F0" w:rsidRDefault="00927285"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b/>
          <w:sz w:val="16"/>
          <w:szCs w:val="18"/>
        </w:rPr>
      </w:pPr>
      <w:r>
        <w:rPr>
          <w:rFonts w:ascii="Segoe UI Light" w:hAnsi="Segoe UI Light"/>
          <w:b/>
          <w:sz w:val="16"/>
          <w:szCs w:val="18"/>
        </w:rPr>
        <w:br/>
      </w:r>
      <w:r w:rsidR="00AE74F0" w:rsidRPr="00AE74F0">
        <w:rPr>
          <w:rFonts w:ascii="Segoe UI Light" w:hAnsi="Segoe UI Light"/>
          <w:b/>
          <w:sz w:val="16"/>
          <w:szCs w:val="18"/>
        </w:rPr>
        <w:t>Krievijas iebrukuma Ukrainā ietekme uz tautsaimniecību</w:t>
      </w:r>
    </w:p>
    <w:p w14:paraId="7BCF029A" w14:textId="5DF7C246" w:rsidR="00AE74F0" w:rsidRPr="00AE74F0" w:rsidRDefault="6F5752F9"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2022.</w:t>
      </w:r>
      <w:r w:rsidR="73E41C7A" w:rsidRPr="4398C881">
        <w:rPr>
          <w:rFonts w:ascii="Segoe UI Light" w:hAnsi="Segoe UI Light"/>
          <w:sz w:val="16"/>
          <w:szCs w:val="16"/>
        </w:rPr>
        <w:t> </w:t>
      </w:r>
      <w:r w:rsidRPr="4398C881">
        <w:rPr>
          <w:rFonts w:ascii="Segoe UI Light" w:hAnsi="Segoe UI Light"/>
          <w:sz w:val="16"/>
          <w:szCs w:val="16"/>
        </w:rPr>
        <w:t>gada 24.</w:t>
      </w:r>
      <w:r w:rsidR="73E41C7A" w:rsidRPr="4398C881">
        <w:rPr>
          <w:rFonts w:ascii="Segoe UI Light" w:hAnsi="Segoe UI Light"/>
          <w:sz w:val="16"/>
          <w:szCs w:val="16"/>
        </w:rPr>
        <w:t> </w:t>
      </w:r>
      <w:r w:rsidRPr="4398C881">
        <w:rPr>
          <w:rFonts w:ascii="Segoe UI Light" w:hAnsi="Segoe UI Light"/>
          <w:sz w:val="16"/>
          <w:szCs w:val="16"/>
        </w:rPr>
        <w:t>februārī Krievijai iebrūkot Ukrainā, ir pasliktinājusies ģeopolitiskā situācija un pastāv liela nenoteiktība attiecībā uz to, kā karš un ar to saistītās sankcijas un piegādes ķēžu pārrāvumi ietekmēs ekonomisko attīstību. EM prognozē, ka 2022.</w:t>
      </w:r>
      <w:r w:rsidR="73E41C7A" w:rsidRPr="4398C881">
        <w:rPr>
          <w:rFonts w:ascii="Segoe UI Light" w:hAnsi="Segoe UI Light"/>
          <w:sz w:val="16"/>
          <w:szCs w:val="16"/>
        </w:rPr>
        <w:t> </w:t>
      </w:r>
      <w:r w:rsidRPr="4398C881">
        <w:rPr>
          <w:rFonts w:ascii="Segoe UI Light" w:hAnsi="Segoe UI Light"/>
          <w:sz w:val="16"/>
          <w:szCs w:val="16"/>
        </w:rPr>
        <w:t>gadā ekonomikas izaugsme ģeopolitisko faktoru dēļ samazināsies par vismaz 3 procentpunktiem, salīdzinājumā ar iepriekš prognozēto. Lielā nenoteiktība ietekmēs gan iedzīvotāju patēriņu, gan uzņēmumu investīcijas un ārējo tirdzniecību. Vienlaikus konflikta ekonomiskās ietekmes apmērs ir ļoti neskaidrs un būs atkarīgs no kara ilguma un politiskajām reakcijām. Taču ir skaidrs, ka kara rezultātā tiks būtiski kavēta izaugsme un palielināsies inflācijas spiediens.</w:t>
      </w:r>
    </w:p>
    <w:p w14:paraId="4FA3BCC3" w14:textId="1821E1BB" w:rsidR="00AE74F0" w:rsidRDefault="6F5752F9"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2021.</w:t>
      </w:r>
      <w:r w:rsidR="73E41C7A" w:rsidRPr="4398C881">
        <w:rPr>
          <w:rFonts w:ascii="Segoe UI Light" w:hAnsi="Segoe UI Light"/>
          <w:sz w:val="16"/>
          <w:szCs w:val="16"/>
        </w:rPr>
        <w:t> </w:t>
      </w:r>
      <w:r w:rsidRPr="4398C881">
        <w:rPr>
          <w:rFonts w:ascii="Segoe UI Light" w:hAnsi="Segoe UI Light"/>
          <w:sz w:val="16"/>
          <w:szCs w:val="16"/>
        </w:rPr>
        <w:t>gadā Latvijas preču eksports uz Krieviju, Baltkrieviju un Ukrainu veidoja 9,5%, bet imports no šīm trim valstīm bija 12,7%. Ir vairākas preču grupas, kas veido gandrīz vienu trešdaļu no kopējā Latvijas importa no šīm valstīm – pārsvarā tās ir izejvielas, piemēram, metāli, koks, minerālmēsli. Ukrainas konflikts neietekmēs visus uzņēmumus vienādi, bet vairāk tos, kuri eksportē/importē un kuriem grūtāk mainīt/atrast jaunus sadarbības partnerus un noieta tirgus. Jauni un diversificēti izejmateriālu piegādes tirgi, valsts enerģētiskās neatkarības stiprināšana un pārorientēšanas no Krievijas uz maksātspējīgākiem rietumvalstu tirgiem palielinās Latvijas ekonomikas nākotnes potenciālu.</w:t>
      </w:r>
    </w:p>
    <w:p w14:paraId="27F1D1CD" w14:textId="77777777" w:rsidR="00612950" w:rsidRPr="00C67918" w:rsidRDefault="00612950" w:rsidP="00AE74F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4"/>
          <w:szCs w:val="4"/>
        </w:rPr>
      </w:pPr>
    </w:p>
    <w:p w14:paraId="7FDDAD30" w14:textId="20345C83" w:rsidR="00AE74F0" w:rsidRPr="00AE74F0" w:rsidRDefault="00927285" w:rsidP="00AE74F0">
      <w:pPr>
        <w:jc w:val="both"/>
        <w:rPr>
          <w:rFonts w:cs="Calibri Light"/>
          <w:szCs w:val="20"/>
        </w:rPr>
      </w:pPr>
      <w:r>
        <w:rPr>
          <w:rFonts w:cs="Calibri Light"/>
          <w:b/>
          <w:szCs w:val="20"/>
        </w:rPr>
        <w:br/>
      </w:r>
      <w:r w:rsidR="00AE74F0" w:rsidRPr="00AE74F0">
        <w:rPr>
          <w:rFonts w:cs="Calibri Light"/>
          <w:b/>
          <w:szCs w:val="20"/>
        </w:rPr>
        <w:t>Vidēja un ilgtermiņa makroekonomiskais ietvars</w:t>
      </w:r>
    </w:p>
    <w:p w14:paraId="764A0850" w14:textId="77777777" w:rsidR="00AE74F0" w:rsidRPr="00AE74F0" w:rsidRDefault="00AE74F0" w:rsidP="00AE74F0">
      <w:pPr>
        <w:jc w:val="both"/>
        <w:rPr>
          <w:rFonts w:cs="Calibri Light"/>
          <w:szCs w:val="20"/>
        </w:rPr>
      </w:pPr>
      <w:r w:rsidRPr="00AE74F0">
        <w:rPr>
          <w:rFonts w:cs="Calibri Light"/>
          <w:szCs w:val="20"/>
        </w:rPr>
        <w:t xml:space="preserve">Sagaidāmo demogrāfijas tendenču dēļ ekonomiskās izaugsmes noteicošais priekšnosacījums ir produktivitātes līmeņa paaugstināšana. Viens no galvenajiem izaicinājumiem ir jauno konkurētspējas priekšrocību veidošana, kas ir saistīts ar investīcijām </w:t>
      </w:r>
      <w:proofErr w:type="spellStart"/>
      <w:r w:rsidRPr="00AE74F0">
        <w:rPr>
          <w:rFonts w:cs="Calibri Light"/>
          <w:szCs w:val="20"/>
        </w:rPr>
        <w:t>cilvēkkapitālā</w:t>
      </w:r>
      <w:proofErr w:type="spellEnd"/>
      <w:r w:rsidRPr="00AE74F0">
        <w:rPr>
          <w:rFonts w:cs="Calibri Light"/>
          <w:szCs w:val="20"/>
        </w:rPr>
        <w:t xml:space="preserve">, tehnoloģijās, inovācijā, pētniecībā, </w:t>
      </w:r>
      <w:proofErr w:type="spellStart"/>
      <w:r w:rsidRPr="00AE74F0">
        <w:rPr>
          <w:rFonts w:cs="Calibri Light"/>
          <w:szCs w:val="20"/>
        </w:rPr>
        <w:t>digitalizācijā</w:t>
      </w:r>
      <w:proofErr w:type="spellEnd"/>
      <w:r w:rsidRPr="00AE74F0">
        <w:rPr>
          <w:rFonts w:cs="Calibri Light"/>
          <w:szCs w:val="20"/>
        </w:rPr>
        <w:t>. Jaunu konkurētspējas priekšrocību veidošana ir svarīgs nosacījums eksporta noietu tirgus paplašināšanai un eksporta apjomu 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procesa vadības pilnveidošana, bet arī esošo resursu pārdale augstākās pievienotās vērtības produktu ražošanai.</w:t>
      </w:r>
    </w:p>
    <w:p w14:paraId="112DEB43" w14:textId="77777777" w:rsidR="00AE74F0" w:rsidRPr="00AE74F0" w:rsidRDefault="00AE74F0" w:rsidP="00AE74F0">
      <w:pPr>
        <w:jc w:val="both"/>
        <w:rPr>
          <w:rFonts w:cs="Calibri Light"/>
          <w:szCs w:val="20"/>
        </w:rPr>
      </w:pPr>
      <w:r w:rsidRPr="00AE74F0">
        <w:rPr>
          <w:rFonts w:cs="Calibri Light"/>
          <w:szCs w:val="20"/>
        </w:rPr>
        <w:t>Mērķa scenārijā vidējā termiņā (no 2022. līdz 2030. gadam) paredzēta IKP izaugsme par vidēji 4,2% ik gadu, kam fundamentāls priekšnosacījums ir ekonomikas konkurētspējas priekšrocību balstīšana uz tehnoloģiskiem faktoriem, ražošanas efektivitāti, inovācijām, kā arī spējai pielāgoties un izmantot globālo pārmaiņu radītās iespējas. Ilgtermiņā (no 2031. līdz 2040. gadam), ekonomikas ikgadējie izaugsmes tempi kļūs lēnāki un var būt 3% robežās.</w:t>
      </w:r>
    </w:p>
    <w:p w14:paraId="29A7291B" w14:textId="77777777" w:rsidR="00AE74F0" w:rsidRPr="00AE74F0" w:rsidRDefault="00AE74F0" w:rsidP="00AE74F0">
      <w:pPr>
        <w:jc w:val="both"/>
        <w:rPr>
          <w:rFonts w:cs="Calibri Light"/>
          <w:szCs w:val="20"/>
        </w:rPr>
      </w:pPr>
      <w:r w:rsidRPr="00AE74F0">
        <w:rPr>
          <w:rFonts w:cs="Calibri Light"/>
          <w:szCs w:val="20"/>
        </w:rPr>
        <w:t>Atvērta darba tirgus apstākļos turpināsies algu konverģence, kas negatīvi ietekmēs uzņēmumu konkurētspēju zemas pievienotās vērtības segmentos. Iedzīvotāju skaita samazināšanās un paaugstinoties bāzei lēnāki ienākuma pieauguma tempi ilgtermiņā ietekmēs privātā patēriņa pieaugumu.</w:t>
      </w:r>
    </w:p>
    <w:p w14:paraId="2F40DB1C" w14:textId="77777777" w:rsidR="00AE74F0" w:rsidRDefault="00AE74F0">
      <w:pPr>
        <w:spacing w:after="0"/>
        <w:rPr>
          <w:rFonts w:eastAsia="SimSun" w:cs="Calibri Light"/>
          <w:szCs w:val="20"/>
          <w:lang w:eastAsia="zh-CN" w:bidi="lo-LA"/>
        </w:rPr>
      </w:pPr>
      <w:r>
        <w:rPr>
          <w:rFonts w:eastAsia="SimSun" w:cs="Calibri Light"/>
          <w:szCs w:val="20"/>
          <w:lang w:eastAsia="zh-CN" w:bidi="lo-LA"/>
        </w:rPr>
        <w:br w:type="page"/>
      </w:r>
    </w:p>
    <w:p w14:paraId="245B500B" w14:textId="29975FBF" w:rsidR="00AE74F0" w:rsidRPr="00AE74F0" w:rsidRDefault="00AE74F0" w:rsidP="00927285">
      <w:pPr>
        <w:ind w:left="-34"/>
        <w:jc w:val="right"/>
        <w:rPr>
          <w:rFonts w:eastAsia="SimSun" w:cs="Calibri Light"/>
          <w:szCs w:val="20"/>
          <w:lang w:eastAsia="zh-CN" w:bidi="lo-LA"/>
        </w:rPr>
      </w:pPr>
      <w:r w:rsidRPr="00AE74F0">
        <w:rPr>
          <w:rFonts w:eastAsia="SimSun" w:cs="Calibri Light"/>
          <w:szCs w:val="20"/>
          <w:lang w:eastAsia="zh-CN" w:bidi="lo-LA"/>
        </w:rPr>
        <w:lastRenderedPageBreak/>
        <w:t>3.3. attēls</w:t>
      </w:r>
    </w:p>
    <w:p w14:paraId="5E1A74EF" w14:textId="77777777" w:rsidR="00AE74F0" w:rsidRPr="00AE74F0" w:rsidRDefault="00AE74F0" w:rsidP="00927285">
      <w:pPr>
        <w:spacing w:after="120"/>
        <w:ind w:left="-34"/>
        <w:jc w:val="center"/>
        <w:rPr>
          <w:rFonts w:eastAsia="SimSun" w:cs="Calibri Light"/>
          <w:sz w:val="16"/>
          <w:szCs w:val="16"/>
          <w:lang w:eastAsia="zh-CN" w:bidi="lo-LA"/>
        </w:rPr>
      </w:pPr>
      <w:r w:rsidRPr="00AE74F0">
        <w:rPr>
          <w:rFonts w:eastAsia="SimSun" w:cs="Calibri Light"/>
          <w:b/>
          <w:sz w:val="18"/>
          <w:szCs w:val="18"/>
          <w:lang w:eastAsia="zh-CN" w:bidi="lo-LA"/>
        </w:rPr>
        <w:t>Latvijas tautsaimniecības izaugsme</w:t>
      </w:r>
      <w:r w:rsidRPr="00AE74F0">
        <w:rPr>
          <w:rFonts w:eastAsia="SimSun" w:cs="Calibri Light"/>
          <w:sz w:val="18"/>
          <w:szCs w:val="18"/>
          <w:lang w:eastAsia="zh-CN" w:bidi="lo-LA"/>
        </w:rPr>
        <w:br/>
      </w:r>
      <w:r w:rsidRPr="00AE74F0">
        <w:rPr>
          <w:rFonts w:eastAsia="SimSun" w:cs="Calibri Light"/>
          <w:sz w:val="16"/>
          <w:szCs w:val="16"/>
          <w:lang w:eastAsia="zh-CN" w:bidi="lo-LA"/>
        </w:rPr>
        <w:t>IKP dinamika, 2004. gads = 100</w:t>
      </w:r>
    </w:p>
    <w:p w14:paraId="3804E4D8" w14:textId="77777777" w:rsidR="00AE74F0" w:rsidRPr="00AE74F0" w:rsidRDefault="00AE74F0" w:rsidP="00AE74F0">
      <w:pPr>
        <w:jc w:val="center"/>
        <w:rPr>
          <w:rFonts w:cs="Calibri Light"/>
          <w:szCs w:val="20"/>
        </w:rPr>
      </w:pPr>
      <w:r w:rsidRPr="00AE74F0">
        <w:rPr>
          <w:rFonts w:cs="Calibri Light"/>
          <w:noProof/>
          <w:lang w:eastAsia="lv-LV"/>
        </w:rPr>
        <w:drawing>
          <wp:inline distT="0" distB="0" distL="0" distR="0" wp14:anchorId="6922A124" wp14:editId="40A9FF28">
            <wp:extent cx="5753100" cy="2640788"/>
            <wp:effectExtent l="0" t="0" r="0" b="762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ECBFB27" w14:textId="77777777" w:rsidR="00AE74F0" w:rsidRPr="00C67918" w:rsidRDefault="00AE74F0" w:rsidP="00927285">
      <w:pPr>
        <w:jc w:val="both"/>
        <w:rPr>
          <w:rFonts w:cs="Calibri Light"/>
          <w:sz w:val="12"/>
          <w:szCs w:val="10"/>
        </w:rPr>
      </w:pPr>
      <w:r w:rsidRPr="00C67918">
        <w:rPr>
          <w:rFonts w:cs="Calibri Light"/>
          <w:sz w:val="12"/>
          <w:szCs w:val="10"/>
        </w:rPr>
        <w:t>Avots: CSP dati līdz 2021. gadam, EM prognozes sākot ar 2022. gadu</w:t>
      </w:r>
    </w:p>
    <w:p w14:paraId="0FA072B6" w14:textId="67C08C40" w:rsidR="00AE74F0" w:rsidRPr="00AE74F0" w:rsidRDefault="00AE74F0" w:rsidP="00894177">
      <w:pPr>
        <w:spacing w:after="0"/>
        <w:jc w:val="right"/>
        <w:rPr>
          <w:rFonts w:cs="Calibri Light"/>
          <w:szCs w:val="24"/>
        </w:rPr>
      </w:pPr>
      <w:r w:rsidRPr="00AE74F0">
        <w:rPr>
          <w:rFonts w:eastAsia="SimSun" w:cs="Calibri Light"/>
          <w:szCs w:val="20"/>
          <w:lang w:eastAsia="zh-CN" w:bidi="lo-LA"/>
        </w:rPr>
        <w:t>3.1.</w:t>
      </w:r>
      <w:r w:rsidR="00C2231E">
        <w:rPr>
          <w:rFonts w:eastAsia="SimSun" w:cs="Calibri Light"/>
          <w:szCs w:val="20"/>
          <w:lang w:eastAsia="zh-CN" w:bidi="lo-LA"/>
        </w:rPr>
        <w:t> </w:t>
      </w:r>
      <w:r w:rsidRPr="00AE74F0">
        <w:rPr>
          <w:rFonts w:eastAsia="SimSun" w:cs="Calibri Light"/>
          <w:szCs w:val="20"/>
          <w:lang w:eastAsia="zh-CN" w:bidi="lo-LA"/>
        </w:rPr>
        <w:t>tabula</w:t>
      </w:r>
    </w:p>
    <w:p w14:paraId="32858491" w14:textId="54F027F5" w:rsidR="00AE74F0" w:rsidRDefault="00AE74F0" w:rsidP="00894177">
      <w:pPr>
        <w:spacing w:after="120"/>
        <w:jc w:val="center"/>
        <w:rPr>
          <w:rFonts w:eastAsia="SimSun" w:cs="Calibri Light"/>
          <w:b/>
          <w:szCs w:val="20"/>
          <w:lang w:eastAsia="zh-CN" w:bidi="lo-LA"/>
        </w:rPr>
      </w:pPr>
      <w:r w:rsidRPr="00AE74F0">
        <w:rPr>
          <w:rFonts w:eastAsia="SimSun" w:cs="Calibri Light"/>
          <w:b/>
          <w:szCs w:val="20"/>
          <w:lang w:eastAsia="zh-CN" w:bidi="lo-LA"/>
        </w:rPr>
        <w:t xml:space="preserve">Mērķa scenārija </w:t>
      </w:r>
      <w:proofErr w:type="spellStart"/>
      <w:r w:rsidRPr="00AE74F0">
        <w:rPr>
          <w:rFonts w:eastAsia="SimSun" w:cs="Calibri Light"/>
          <w:b/>
          <w:szCs w:val="20"/>
          <w:lang w:eastAsia="zh-CN" w:bidi="lo-LA"/>
        </w:rPr>
        <w:t>pamatpieņēmumi</w:t>
      </w:r>
      <w:proofErr w:type="spellEnd"/>
      <w:r w:rsidRPr="00AE74F0">
        <w:rPr>
          <w:rFonts w:eastAsia="SimSun" w:cs="Calibri Light"/>
          <w:b/>
          <w:szCs w:val="20"/>
          <w:lang w:eastAsia="zh-CN" w:bidi="lo-LA"/>
        </w:rPr>
        <w:t>.</w:t>
      </w:r>
      <w:r w:rsidR="00894177">
        <w:rPr>
          <w:rFonts w:eastAsia="SimSun" w:cs="Calibri Light"/>
          <w:b/>
          <w:szCs w:val="20"/>
          <w:lang w:eastAsia="zh-CN" w:bidi="lo-LA"/>
        </w:rPr>
        <w:t xml:space="preserve"> </w:t>
      </w:r>
      <w:r w:rsidRPr="00AE74F0">
        <w:rPr>
          <w:rFonts w:eastAsia="SimSun" w:cs="Calibri Light"/>
          <w:b/>
          <w:szCs w:val="20"/>
          <w:lang w:eastAsia="zh-CN" w:bidi="lo-LA"/>
        </w:rPr>
        <w:t>Kopsavilkums</w:t>
      </w:r>
    </w:p>
    <w:tbl>
      <w:tblPr>
        <w:tblStyle w:val="GridTable1Light-Accent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384"/>
        <w:gridCol w:w="4496"/>
        <w:gridCol w:w="2345"/>
      </w:tblGrid>
      <w:tr w:rsidR="00894177" w:rsidRPr="00894177" w14:paraId="1DD88A1E" w14:textId="77777777" w:rsidTr="001179C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67" w:type="pct"/>
            <w:tcBorders>
              <w:bottom w:val="none" w:sz="0" w:space="0" w:color="auto"/>
            </w:tcBorders>
            <w:shd w:val="clear" w:color="auto" w:fill="5F497A" w:themeFill="accent4" w:themeFillShade="BF"/>
            <w:vAlign w:val="center"/>
          </w:tcPr>
          <w:p w14:paraId="473B8897" w14:textId="77777777" w:rsidR="00AE74F0" w:rsidRPr="00894177" w:rsidRDefault="00AE74F0" w:rsidP="00C67918">
            <w:pPr>
              <w:tabs>
                <w:tab w:val="left" w:pos="1701"/>
                <w:tab w:val="left" w:pos="4678"/>
                <w:tab w:val="left" w:pos="6237"/>
              </w:tabs>
              <w:spacing w:after="0"/>
              <w:jc w:val="center"/>
              <w:rPr>
                <w:rFonts w:eastAsia="Microsoft GothicNeo Light" w:cs="Calibri Light"/>
                <w:color w:val="FFFFFF" w:themeColor="background1"/>
                <w:sz w:val="18"/>
                <w:szCs w:val="18"/>
              </w:rPr>
            </w:pPr>
          </w:p>
        </w:tc>
        <w:tc>
          <w:tcPr>
            <w:tcW w:w="712" w:type="pct"/>
            <w:tcBorders>
              <w:bottom w:val="none" w:sz="0" w:space="0" w:color="auto"/>
            </w:tcBorders>
            <w:shd w:val="clear" w:color="auto" w:fill="5F497A" w:themeFill="accent4" w:themeFillShade="BF"/>
            <w:vAlign w:val="center"/>
          </w:tcPr>
          <w:p w14:paraId="51F3E17F" w14:textId="77777777" w:rsidR="00AE74F0" w:rsidRPr="00894177" w:rsidRDefault="00AE74F0" w:rsidP="00D209BD">
            <w:pPr>
              <w:tabs>
                <w:tab w:val="left" w:pos="1701"/>
                <w:tab w:val="left" w:pos="4678"/>
                <w:tab w:val="left" w:pos="6237"/>
              </w:tabs>
              <w:spacing w:after="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894177">
              <w:rPr>
                <w:rFonts w:eastAsia="Microsoft GothicNeo Light" w:cs="Calibri Light"/>
                <w:color w:val="FFFFFF" w:themeColor="background1"/>
                <w:sz w:val="18"/>
                <w:szCs w:val="18"/>
              </w:rPr>
              <w:t>FAKTORS</w:t>
            </w:r>
          </w:p>
        </w:tc>
        <w:tc>
          <w:tcPr>
            <w:tcW w:w="2512" w:type="pct"/>
            <w:tcBorders>
              <w:bottom w:val="none" w:sz="0" w:space="0" w:color="auto"/>
            </w:tcBorders>
            <w:shd w:val="clear" w:color="auto" w:fill="5F497A" w:themeFill="accent4" w:themeFillShade="BF"/>
            <w:vAlign w:val="center"/>
          </w:tcPr>
          <w:p w14:paraId="141E9A68" w14:textId="77777777" w:rsidR="00AE74F0" w:rsidRPr="00894177" w:rsidRDefault="00AE74F0" w:rsidP="00D209BD">
            <w:pPr>
              <w:spacing w:after="0"/>
              <w:ind w:left="-57" w:right="-57"/>
              <w:jc w:val="center"/>
              <w:cnfStyle w:val="100000000000" w:firstRow="1" w:lastRow="0" w:firstColumn="0" w:lastColumn="0" w:oddVBand="0" w:evenVBand="0" w:oddHBand="0" w:evenHBand="0" w:firstRowFirstColumn="0" w:firstRowLastColumn="0" w:lastRowFirstColumn="0" w:lastRowLastColumn="0"/>
              <w:rPr>
                <w:rFonts w:eastAsia="Microsoft GothicNeo Light" w:cs="Calibri Light"/>
                <w:color w:val="FFFFFF" w:themeColor="background1"/>
                <w:sz w:val="18"/>
                <w:szCs w:val="18"/>
              </w:rPr>
            </w:pPr>
            <w:r w:rsidRPr="00894177">
              <w:rPr>
                <w:rFonts w:eastAsia="Microsoft GothicNeo Light" w:cs="Calibri Light"/>
                <w:color w:val="FFFFFF" w:themeColor="background1"/>
                <w:sz w:val="18"/>
                <w:szCs w:val="18"/>
              </w:rPr>
              <w:t>MĒRĶA SCENĀRIJS</w:t>
            </w:r>
          </w:p>
          <w:p w14:paraId="75165661" w14:textId="77777777" w:rsidR="00AE74F0" w:rsidRPr="00894177" w:rsidRDefault="00AE74F0" w:rsidP="00D209BD">
            <w:pPr>
              <w:tabs>
                <w:tab w:val="left" w:pos="1701"/>
                <w:tab w:val="left" w:pos="4678"/>
                <w:tab w:val="left" w:pos="6237"/>
              </w:tabs>
              <w:spacing w:after="0"/>
              <w:jc w:val="center"/>
              <w:cnfStyle w:val="100000000000" w:firstRow="1" w:lastRow="0" w:firstColumn="0" w:lastColumn="0" w:oddVBand="0" w:evenVBand="0" w:oddHBand="0" w:evenHBand="0" w:firstRowFirstColumn="0" w:firstRowLastColumn="0" w:lastRowFirstColumn="0" w:lastRowLastColumn="0"/>
              <w:rPr>
                <w:rFonts w:cs="Calibri Light"/>
                <w:b w:val="0"/>
                <w:bCs w:val="0"/>
                <w:color w:val="FFFFFF" w:themeColor="background1"/>
                <w:sz w:val="18"/>
                <w:szCs w:val="18"/>
              </w:rPr>
            </w:pPr>
            <w:r w:rsidRPr="00894177">
              <w:rPr>
                <w:rFonts w:eastAsia="Microsoft GothicNeo Light" w:cs="Calibri Light"/>
                <w:b w:val="0"/>
                <w:bCs w:val="0"/>
                <w:i/>
                <w:iCs/>
                <w:color w:val="FFFFFF" w:themeColor="background1"/>
                <w:sz w:val="16"/>
                <w:szCs w:val="16"/>
              </w:rPr>
              <w:t>ieguldījumi un valsts atbalsts sekmē pāreju uz augstāku produktivitātes līmeni</w:t>
            </w:r>
          </w:p>
        </w:tc>
        <w:tc>
          <w:tcPr>
            <w:tcW w:w="1309" w:type="pct"/>
            <w:tcBorders>
              <w:bottom w:val="none" w:sz="0" w:space="0" w:color="auto"/>
            </w:tcBorders>
            <w:shd w:val="clear" w:color="auto" w:fill="5F497A" w:themeFill="accent4" w:themeFillShade="BF"/>
            <w:vAlign w:val="center"/>
          </w:tcPr>
          <w:p w14:paraId="74FCB5D4" w14:textId="77777777" w:rsidR="00AE74F0" w:rsidRPr="00894177" w:rsidRDefault="00AE74F0" w:rsidP="00D209BD">
            <w:pPr>
              <w:spacing w:after="0"/>
              <w:ind w:left="-57" w:right="-57"/>
              <w:jc w:val="center"/>
              <w:cnfStyle w:val="100000000000" w:firstRow="1" w:lastRow="0" w:firstColumn="0" w:lastColumn="0" w:oddVBand="0" w:evenVBand="0" w:oddHBand="0" w:evenHBand="0" w:firstRowFirstColumn="0" w:firstRowLastColumn="0" w:lastRowFirstColumn="0" w:lastRowLastColumn="0"/>
              <w:rPr>
                <w:rFonts w:eastAsia="Microsoft GothicNeo Light" w:cs="Calibri Light"/>
                <w:color w:val="FFFFFF" w:themeColor="background1"/>
                <w:sz w:val="18"/>
                <w:szCs w:val="18"/>
              </w:rPr>
            </w:pPr>
            <w:r w:rsidRPr="00894177">
              <w:rPr>
                <w:rFonts w:eastAsia="Microsoft GothicNeo Light" w:cs="Calibri Light"/>
                <w:color w:val="FFFFFF" w:themeColor="background1"/>
                <w:sz w:val="18"/>
                <w:szCs w:val="18"/>
              </w:rPr>
              <w:t>RISKI</w:t>
            </w:r>
          </w:p>
        </w:tc>
      </w:tr>
      <w:tr w:rsidR="00894177" w:rsidRPr="00AE74F0" w14:paraId="2ED7C55B" w14:textId="77777777" w:rsidTr="001179C2">
        <w:tc>
          <w:tcPr>
            <w:cnfStyle w:val="001000000000" w:firstRow="0" w:lastRow="0" w:firstColumn="1" w:lastColumn="0" w:oddVBand="0" w:evenVBand="0" w:oddHBand="0" w:evenHBand="0" w:firstRowFirstColumn="0" w:firstRowLastColumn="0" w:lastRowFirstColumn="0" w:lastRowLastColumn="0"/>
            <w:tcW w:w="467" w:type="pct"/>
            <w:shd w:val="clear" w:color="auto" w:fill="E5DFEC" w:themeFill="accent4" w:themeFillTint="33"/>
            <w:vAlign w:val="center"/>
          </w:tcPr>
          <w:p w14:paraId="17375D5E"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67395CAE" wp14:editId="1EA57347">
                  <wp:extent cx="355975" cy="360000"/>
                  <wp:effectExtent l="0" t="0" r="6350" b="2540"/>
                  <wp:docPr id="64" name="Picture 64" descr="Department of Co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Correction"/>
                          <pic:cNvPicPr>
                            <a:picLocks noChangeAspect="1" noChangeArrowheads="1"/>
                          </pic:cNvPicPr>
                        </pic:nvPicPr>
                        <pic:blipFill rotWithShape="1">
                          <a:blip r:embed="rId102" cstate="print">
                            <a:duotone>
                              <a:schemeClr val="accent1">
                                <a:shade val="45000"/>
                                <a:satMod val="135000"/>
                              </a:schemeClr>
                              <a:prstClr val="white"/>
                            </a:duotone>
                            <a:extLst>
                              <a:ext uri="{28A0092B-C50C-407E-A947-70E740481C1C}">
                                <a14:useLocalDpi xmlns:a14="http://schemas.microsoft.com/office/drawing/2010/main" val="0"/>
                              </a:ext>
                            </a:extLst>
                          </a:blip>
                          <a:srcRect l="22505" r="21980"/>
                          <a:stretch/>
                        </pic:blipFill>
                        <pic:spPr bwMode="auto">
                          <a:xfrm>
                            <a:off x="0" y="0"/>
                            <a:ext cx="35597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2" w:type="pct"/>
            <w:shd w:val="clear" w:color="auto" w:fill="E5DFEC" w:themeFill="accent4" w:themeFillTint="33"/>
            <w:vAlign w:val="center"/>
          </w:tcPr>
          <w:p w14:paraId="4205A907"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COVID-19</w:t>
            </w:r>
          </w:p>
        </w:tc>
        <w:tc>
          <w:tcPr>
            <w:tcW w:w="2512" w:type="pct"/>
            <w:shd w:val="clear" w:color="auto" w:fill="E5DFEC" w:themeFill="accent4" w:themeFillTint="33"/>
          </w:tcPr>
          <w:p w14:paraId="6E324F20"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Vakcinācijas rezultātā situācija normalizējas 2022. gadā. Rudenī jauni ierobežojumi nav nepieciešami. Tirdzniecībā attīstās e-komercijas prakse. Saglabājas elastīgas darba formas.</w:t>
            </w:r>
          </w:p>
        </w:tc>
        <w:tc>
          <w:tcPr>
            <w:tcW w:w="1309" w:type="pct"/>
            <w:shd w:val="clear" w:color="auto" w:fill="E5DFEC" w:themeFill="accent4" w:themeFillTint="33"/>
          </w:tcPr>
          <w:p w14:paraId="1B1279CF"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Covid-19 izplatība saglabājas viļņveidīga. Iespējami jauni ierobežojumi.</w:t>
            </w:r>
          </w:p>
        </w:tc>
      </w:tr>
      <w:tr w:rsidR="00894177" w:rsidRPr="00AE74F0" w14:paraId="75636099"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CCC0D9" w:themeFill="accent4" w:themeFillTint="66"/>
            <w:vAlign w:val="center"/>
          </w:tcPr>
          <w:p w14:paraId="26BAEEA8" w14:textId="77777777" w:rsidR="00AE74F0" w:rsidRPr="00AE74F0" w:rsidRDefault="00AE74F0" w:rsidP="00C67918">
            <w:pPr>
              <w:tabs>
                <w:tab w:val="left" w:pos="1701"/>
                <w:tab w:val="left" w:pos="4678"/>
                <w:tab w:val="left" w:pos="6237"/>
              </w:tabs>
              <w:spacing w:after="0"/>
              <w:jc w:val="center"/>
              <w:rPr>
                <w:rFonts w:eastAsia="Microsoft GothicNeo Light" w:cs="Calibri Light"/>
                <w:sz w:val="18"/>
                <w:szCs w:val="18"/>
              </w:rPr>
            </w:pPr>
            <w:r w:rsidRPr="00AE74F0">
              <w:rPr>
                <w:rFonts w:cs="Calibri Light"/>
                <w:noProof/>
              </w:rPr>
              <w:drawing>
                <wp:inline distT="0" distB="0" distL="0" distR="0" wp14:anchorId="4C442C21" wp14:editId="6E5DD6CF">
                  <wp:extent cx="288000" cy="288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inline>
              </w:drawing>
            </w:r>
          </w:p>
        </w:tc>
        <w:tc>
          <w:tcPr>
            <w:tcW w:w="712" w:type="pct"/>
            <w:shd w:val="clear" w:color="auto" w:fill="CCC0D9" w:themeFill="accent4" w:themeFillTint="66"/>
            <w:vAlign w:val="center"/>
          </w:tcPr>
          <w:p w14:paraId="6C625827"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eastAsia="Microsoft GothicNeo Light" w:cs="Calibri Light"/>
                <w:sz w:val="18"/>
                <w:szCs w:val="18"/>
              </w:rPr>
              <w:t>ĀRĒJĀ VIDE</w:t>
            </w:r>
          </w:p>
        </w:tc>
        <w:tc>
          <w:tcPr>
            <w:tcW w:w="2512" w:type="pct"/>
            <w:shd w:val="clear" w:color="auto" w:fill="CCC0D9" w:themeFill="accent4" w:themeFillTint="66"/>
          </w:tcPr>
          <w:p w14:paraId="13DCC80E"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 xml:space="preserve">Ģeopolitiskā situācija </w:t>
            </w:r>
            <w:proofErr w:type="spellStart"/>
            <w:r w:rsidRPr="00AE74F0">
              <w:rPr>
                <w:rFonts w:cs="Calibri Light"/>
                <w:sz w:val="16"/>
                <w:szCs w:val="16"/>
              </w:rPr>
              <w:t>neeskalējas</w:t>
            </w:r>
            <w:proofErr w:type="spellEnd"/>
            <w:r w:rsidRPr="00AE74F0">
              <w:rPr>
                <w:rFonts w:cs="Calibri Light"/>
                <w:sz w:val="16"/>
                <w:szCs w:val="16"/>
              </w:rPr>
              <w:t>. Uzņēmumi meklē risinājumus pārorientēt darbību no vissmagāk skartām jomām uz jaunām uzņēmējdarbības nišām un jauniem preču noieta tirgiem. Piegāžu ķēdes relatīvi ātri pielāgojas jaunajiem apstākļiem.</w:t>
            </w:r>
          </w:p>
        </w:tc>
        <w:tc>
          <w:tcPr>
            <w:tcW w:w="1309" w:type="pct"/>
            <w:shd w:val="clear" w:color="auto" w:fill="CCC0D9" w:themeFill="accent4" w:themeFillTint="66"/>
          </w:tcPr>
          <w:p w14:paraId="17F38C8B"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 xml:space="preserve">Smagāk skartās nozares atkopjas lēni. </w:t>
            </w:r>
            <w:proofErr w:type="spellStart"/>
            <w:r w:rsidRPr="00AE74F0">
              <w:rPr>
                <w:rFonts w:cs="Calibri Light"/>
                <w:sz w:val="16"/>
                <w:szCs w:val="16"/>
              </w:rPr>
              <w:t>Pirmskrīzes</w:t>
            </w:r>
            <w:proofErr w:type="spellEnd"/>
            <w:r w:rsidRPr="00AE74F0">
              <w:rPr>
                <w:rFonts w:cs="Calibri Light"/>
                <w:sz w:val="16"/>
                <w:szCs w:val="16"/>
              </w:rPr>
              <w:t xml:space="preserve"> apjomu sasniegšana dažās nozarēs var prasīt vairākus gadus. Ilgstošas problēmas piegāžu ķēdēs.</w:t>
            </w:r>
          </w:p>
        </w:tc>
      </w:tr>
      <w:tr w:rsidR="00894177" w:rsidRPr="00AE74F0" w14:paraId="7F159804"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E5DFEC" w:themeFill="accent4" w:themeFillTint="33"/>
            <w:vAlign w:val="center"/>
          </w:tcPr>
          <w:p w14:paraId="007DBEF4"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2106C7D3" wp14:editId="1C2CB09D">
                  <wp:extent cx="324000" cy="324000"/>
                  <wp:effectExtent l="0" t="0" r="0" b="0"/>
                  <wp:docPr id="66" name="Picture 66" descr="Technology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hnology - Free technology icons"/>
                          <pic:cNvPicPr>
                            <a:picLocks noChangeAspect="1" noChangeArrowheads="1"/>
                          </pic:cNvPicPr>
                        </pic:nvPicPr>
                        <pic:blipFill>
                          <a:blip r:embed="rId10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712" w:type="pct"/>
            <w:shd w:val="clear" w:color="auto" w:fill="E5DFEC" w:themeFill="accent4" w:themeFillTint="33"/>
            <w:vAlign w:val="center"/>
          </w:tcPr>
          <w:p w14:paraId="7313435F"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INVESTĪCIJAS, TEHNOLOĢIJAS</w:t>
            </w:r>
          </w:p>
        </w:tc>
        <w:tc>
          <w:tcPr>
            <w:tcW w:w="2512" w:type="pct"/>
            <w:shd w:val="clear" w:color="auto" w:fill="E5DFEC" w:themeFill="accent4" w:themeFillTint="33"/>
          </w:tcPr>
          <w:p w14:paraId="450C7E36" w14:textId="367D39A6" w:rsidR="00AE74F0" w:rsidRPr="00894177" w:rsidRDefault="6F5752F9"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pacing w:val="-2"/>
                <w:sz w:val="16"/>
                <w:szCs w:val="16"/>
              </w:rPr>
            </w:pPr>
            <w:r w:rsidRPr="00894177">
              <w:rPr>
                <w:rFonts w:cs="Calibri Light"/>
                <w:spacing w:val="-2"/>
                <w:sz w:val="16"/>
                <w:szCs w:val="16"/>
              </w:rPr>
              <w:t>Pieejamie finanšu līdzekļi pārsvarā tiek ieguldīti</w:t>
            </w:r>
            <w:r w:rsidR="00C67918">
              <w:rPr>
                <w:rFonts w:cs="Calibri Light"/>
                <w:spacing w:val="-2"/>
                <w:sz w:val="16"/>
                <w:szCs w:val="16"/>
              </w:rPr>
              <w:t xml:space="preserve"> </w:t>
            </w:r>
            <w:r w:rsidRPr="00894177">
              <w:rPr>
                <w:rFonts w:cs="Calibri Light"/>
                <w:spacing w:val="-2"/>
                <w:sz w:val="16"/>
                <w:szCs w:val="16"/>
              </w:rPr>
              <w:t>produktivitātes plaisas mazināšanā ar tehnoloģiski attīstītajām valstīm. Ieguldījumi ne tikai tehnoloģiskās novitātes, ražošanas procesa vadības pilnveidošanai, bet arī esošo resursu pārdalei augstākās pievienotās vērtības produktu ražošanai. Būtisks privāto investīciju pieaugums.</w:t>
            </w:r>
          </w:p>
        </w:tc>
        <w:tc>
          <w:tcPr>
            <w:tcW w:w="1309" w:type="pct"/>
            <w:shd w:val="clear" w:color="auto" w:fill="E5DFEC" w:themeFill="accent4" w:themeFillTint="33"/>
          </w:tcPr>
          <w:p w14:paraId="0B52B5D0"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Investēšanas aktivitātes mērenas. Investīcijas pārsvarā esošo biznesa modeļu saglabāšanā.</w:t>
            </w:r>
          </w:p>
        </w:tc>
      </w:tr>
      <w:tr w:rsidR="00894177" w:rsidRPr="00AE74F0" w14:paraId="6589395D"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CCC0D9" w:themeFill="accent4" w:themeFillTint="66"/>
            <w:vAlign w:val="center"/>
          </w:tcPr>
          <w:p w14:paraId="7A75DF24"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79802B08" wp14:editId="44FFD45B">
                  <wp:extent cx="383135" cy="360000"/>
                  <wp:effectExtent l="0" t="0" r="0" b="2540"/>
                  <wp:docPr id="67" name="Picture 67" descr="Science Icon #75284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ience Icon #75284 - Free Icons Library"/>
                          <pic:cNvPicPr>
                            <a:picLocks noChangeAspect="1" noChangeArrowheads="1"/>
                          </pic:cNvPicPr>
                        </pic:nvPicPr>
                        <pic:blipFill rotWithShape="1">
                          <a:blip r:embed="rId105" cstate="print">
                            <a:duotone>
                              <a:schemeClr val="accent1">
                                <a:shade val="45000"/>
                                <a:satMod val="135000"/>
                              </a:schemeClr>
                              <a:prstClr val="white"/>
                            </a:duotone>
                            <a:extLst>
                              <a:ext uri="{28A0092B-C50C-407E-A947-70E740481C1C}">
                                <a14:useLocalDpi xmlns:a14="http://schemas.microsoft.com/office/drawing/2010/main" val="0"/>
                              </a:ext>
                            </a:extLst>
                          </a:blip>
                          <a:srcRect l="5001" t="8080" r="5352" b="7686"/>
                          <a:stretch/>
                        </pic:blipFill>
                        <pic:spPr bwMode="auto">
                          <a:xfrm>
                            <a:off x="0" y="0"/>
                            <a:ext cx="38313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2" w:type="pct"/>
            <w:shd w:val="clear" w:color="auto" w:fill="CCC0D9" w:themeFill="accent4" w:themeFillTint="66"/>
            <w:vAlign w:val="center"/>
          </w:tcPr>
          <w:p w14:paraId="16FE5481"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INOVĀCIJA, PĒTNIECĪBA</w:t>
            </w:r>
          </w:p>
        </w:tc>
        <w:tc>
          <w:tcPr>
            <w:tcW w:w="2512" w:type="pct"/>
            <w:shd w:val="clear" w:color="auto" w:fill="CCC0D9" w:themeFill="accent4" w:themeFillTint="66"/>
          </w:tcPr>
          <w:p w14:paraId="35FC860C" w14:textId="7D732F9C" w:rsidR="00AE74F0" w:rsidRPr="00AE74F0" w:rsidRDefault="6F5752F9"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4398C881">
              <w:rPr>
                <w:rFonts w:cs="Calibri Light"/>
                <w:sz w:val="16"/>
                <w:szCs w:val="16"/>
              </w:rPr>
              <w:t xml:space="preserve">Būtiski palielinās finansējums </w:t>
            </w:r>
            <w:r w:rsidR="00C67918">
              <w:rPr>
                <w:rFonts w:cs="Calibri Light"/>
                <w:sz w:val="16"/>
                <w:szCs w:val="16"/>
              </w:rPr>
              <w:t>P&amp;A</w:t>
            </w:r>
            <w:r w:rsidRPr="4398C881">
              <w:rPr>
                <w:rFonts w:cs="Calibri Light"/>
                <w:sz w:val="16"/>
                <w:szCs w:val="16"/>
              </w:rPr>
              <w:t>, 2027. gadā sasniedzot 1,5% no IKP. Pieaug biznesa ieguldījumi pētniecībā un inovācijās.</w:t>
            </w:r>
          </w:p>
        </w:tc>
        <w:tc>
          <w:tcPr>
            <w:tcW w:w="1309" w:type="pct"/>
            <w:shd w:val="clear" w:color="auto" w:fill="CCC0D9" w:themeFill="accent4" w:themeFillTint="66"/>
          </w:tcPr>
          <w:p w14:paraId="33AF4224"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Ieguldījumi pētniecībā un attīstībā palielinās lēni. Latvija ilgstoši saglabā vāju pozīciju starp ES dalībvalstīm.</w:t>
            </w:r>
          </w:p>
        </w:tc>
      </w:tr>
      <w:tr w:rsidR="00894177" w:rsidRPr="00AE74F0" w14:paraId="3051D781"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E5DFEC" w:themeFill="accent4" w:themeFillTint="33"/>
            <w:vAlign w:val="center"/>
          </w:tcPr>
          <w:p w14:paraId="5C6AA044"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25828A0A" wp14:editId="5D5EE625">
                  <wp:extent cx="324000" cy="324000"/>
                  <wp:effectExtent l="0" t="0" r="0" b="0"/>
                  <wp:docPr id="69" name="Picture 69" descr="Line icon for digitalisation 312705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ne icon for digitalisation 3127057 Vector Art at Vecteezy"/>
                          <pic:cNvPicPr>
                            <a:picLocks noChangeAspect="1" noChangeArrowheads="1"/>
                          </pic:cNvPicPr>
                        </pic:nvPicPr>
                        <pic:blipFill>
                          <a:blip r:embed="rId106"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712" w:type="pct"/>
            <w:shd w:val="clear" w:color="auto" w:fill="E5DFEC" w:themeFill="accent4" w:themeFillTint="33"/>
            <w:vAlign w:val="center"/>
          </w:tcPr>
          <w:p w14:paraId="019337BC"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DIGITALIZĀCIJA</w:t>
            </w:r>
          </w:p>
        </w:tc>
        <w:tc>
          <w:tcPr>
            <w:tcW w:w="2512" w:type="pct"/>
            <w:shd w:val="clear" w:color="auto" w:fill="E5DFEC" w:themeFill="accent4" w:themeFillTint="33"/>
          </w:tcPr>
          <w:p w14:paraId="07CDD169"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Pastiprinās pašreizējā tendence pieaugt digitālo pakalpojumu izplatībai. Atbilstoši katra uzņēmuma digitālā brieduma pakāpei notiek nepārtraukts digitālo tehnoloģiju ieviešanas process. Veidojas jauni produkti un tirgus nišas.</w:t>
            </w:r>
          </w:p>
        </w:tc>
        <w:tc>
          <w:tcPr>
            <w:tcW w:w="1309" w:type="pct"/>
            <w:shd w:val="clear" w:color="auto" w:fill="E5DFEC" w:themeFill="accent4" w:themeFillTint="33"/>
          </w:tcPr>
          <w:p w14:paraId="7DE75FC4" w14:textId="77777777" w:rsidR="00AE74F0" w:rsidRPr="00894177"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pacing w:val="-4"/>
                <w:sz w:val="16"/>
                <w:szCs w:val="16"/>
              </w:rPr>
            </w:pPr>
            <w:r w:rsidRPr="00894177">
              <w:rPr>
                <w:rFonts w:cs="Calibri Light"/>
                <w:spacing w:val="-4"/>
                <w:sz w:val="16"/>
                <w:szCs w:val="16"/>
              </w:rPr>
              <w:t>Digitālo risinājumu ieviešana, īpaši MVU ir lēna. Dažādu digitālo risinājumu izmantošanā Latvija ilgstoši saglabā vājas pozīcijas ES.</w:t>
            </w:r>
          </w:p>
        </w:tc>
      </w:tr>
      <w:tr w:rsidR="00894177" w:rsidRPr="00AE74F0" w14:paraId="63505F8C"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CCC0D9" w:themeFill="accent4" w:themeFillTint="66"/>
            <w:vAlign w:val="center"/>
          </w:tcPr>
          <w:p w14:paraId="4EC5444F"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599E061F" wp14:editId="1E5DA8D5">
                  <wp:extent cx="394858" cy="360000"/>
                  <wp:effectExtent l="0" t="0" r="5715" b="2540"/>
                  <wp:docPr id="70" name="Picture 70" descr="1725900-200 - The Beechfield Reclamation 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25900-200 - The Beechfield Reclamation Co"/>
                          <pic:cNvPicPr>
                            <a:picLocks noChangeAspect="1" noChangeArrowheads="1"/>
                          </pic:cNvPicPr>
                        </pic:nvPicPr>
                        <pic:blipFill rotWithShape="1">
                          <a:blip r:embed="rId107" cstate="print">
                            <a:duotone>
                              <a:schemeClr val="accent1">
                                <a:shade val="45000"/>
                                <a:satMod val="135000"/>
                              </a:schemeClr>
                              <a:prstClr val="white"/>
                            </a:duotone>
                            <a:extLst>
                              <a:ext uri="{28A0092B-C50C-407E-A947-70E740481C1C}">
                                <a14:useLocalDpi xmlns:a14="http://schemas.microsoft.com/office/drawing/2010/main" val="0"/>
                              </a:ext>
                            </a:extLst>
                          </a:blip>
                          <a:srcRect l="13847" t="17697" r="11905" b="14610"/>
                          <a:stretch/>
                        </pic:blipFill>
                        <pic:spPr bwMode="auto">
                          <a:xfrm>
                            <a:off x="0" y="0"/>
                            <a:ext cx="39485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2" w:type="pct"/>
            <w:shd w:val="clear" w:color="auto" w:fill="CCC0D9" w:themeFill="accent4" w:themeFillTint="66"/>
            <w:vAlign w:val="center"/>
          </w:tcPr>
          <w:p w14:paraId="00DA5961"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ZAĻAIS KURSS</w:t>
            </w:r>
          </w:p>
        </w:tc>
        <w:tc>
          <w:tcPr>
            <w:tcW w:w="2512" w:type="pct"/>
            <w:shd w:val="clear" w:color="auto" w:fill="CCC0D9" w:themeFill="accent4" w:themeFillTint="66"/>
          </w:tcPr>
          <w:p w14:paraId="53A38713"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Savlaicīga pārorientācija un sagatavošanās pārmaiņām. Jaunu biznesa nišu meklēšana zaļo tehnoloģiju izstrādei un eksportam.</w:t>
            </w:r>
          </w:p>
        </w:tc>
        <w:tc>
          <w:tcPr>
            <w:tcW w:w="1309" w:type="pct"/>
            <w:shd w:val="clear" w:color="auto" w:fill="CCC0D9" w:themeFill="accent4" w:themeFillTint="66"/>
          </w:tcPr>
          <w:p w14:paraId="4381BD85"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Virzība uz klimata neitralitāti un papildus izmaksas negatīvi ietekmē Latvijas uzņēmumu konkurētspēju globālajā tirgū.</w:t>
            </w:r>
          </w:p>
        </w:tc>
      </w:tr>
      <w:tr w:rsidR="00894177" w:rsidRPr="00AE74F0" w14:paraId="685A30ED" w14:textId="77777777" w:rsidTr="00C67918">
        <w:tc>
          <w:tcPr>
            <w:cnfStyle w:val="001000000000" w:firstRow="0" w:lastRow="0" w:firstColumn="1" w:lastColumn="0" w:oddVBand="0" w:evenVBand="0" w:oddHBand="0" w:evenHBand="0" w:firstRowFirstColumn="0" w:firstRowLastColumn="0" w:lastRowFirstColumn="0" w:lastRowLastColumn="0"/>
            <w:tcW w:w="467" w:type="pct"/>
            <w:shd w:val="clear" w:color="auto" w:fill="E5DFEC" w:themeFill="accent4" w:themeFillTint="33"/>
            <w:vAlign w:val="center"/>
          </w:tcPr>
          <w:p w14:paraId="1D6E5B99" w14:textId="77777777" w:rsidR="00AE74F0" w:rsidRPr="00AE74F0" w:rsidRDefault="00AE74F0" w:rsidP="00C67918">
            <w:pPr>
              <w:tabs>
                <w:tab w:val="left" w:pos="1701"/>
                <w:tab w:val="left" w:pos="4678"/>
                <w:tab w:val="left" w:pos="6237"/>
              </w:tabs>
              <w:spacing w:after="0"/>
              <w:jc w:val="center"/>
              <w:rPr>
                <w:rFonts w:cs="Calibri Light"/>
                <w:sz w:val="18"/>
                <w:szCs w:val="18"/>
              </w:rPr>
            </w:pPr>
            <w:r w:rsidRPr="00AE74F0">
              <w:rPr>
                <w:rFonts w:cs="Calibri Light"/>
                <w:noProof/>
              </w:rPr>
              <w:drawing>
                <wp:inline distT="0" distB="0" distL="0" distR="0" wp14:anchorId="0A22B77E" wp14:editId="04E4ECD9">
                  <wp:extent cx="378353" cy="360000"/>
                  <wp:effectExtent l="0" t="0" r="3175" b="2540"/>
                  <wp:docPr id="71" name="Picture 71" descr="Human resources icon on white background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uman resources icon on white background Vector Image"/>
                          <pic:cNvPicPr>
                            <a:picLocks noChangeAspect="1" noChangeArrowheads="1"/>
                          </pic:cNvPicPr>
                        </pic:nvPicPr>
                        <pic:blipFill rotWithShape="1">
                          <a:blip r:embed="rId108" cstate="print">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t="1" b="14124"/>
                          <a:stretch/>
                        </pic:blipFill>
                        <pic:spPr bwMode="auto">
                          <a:xfrm>
                            <a:off x="0" y="0"/>
                            <a:ext cx="378353"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2" w:type="pct"/>
            <w:shd w:val="clear" w:color="auto" w:fill="E5DFEC" w:themeFill="accent4" w:themeFillTint="33"/>
            <w:vAlign w:val="center"/>
          </w:tcPr>
          <w:p w14:paraId="2DBCB8FA" w14:textId="77777777" w:rsidR="00AE74F0" w:rsidRPr="00AE74F0" w:rsidRDefault="00AE74F0" w:rsidP="00C67918">
            <w:pPr>
              <w:tabs>
                <w:tab w:val="left" w:pos="1701"/>
                <w:tab w:val="left" w:pos="4678"/>
                <w:tab w:val="left" w:pos="6237"/>
              </w:tabs>
              <w:spacing w:after="0"/>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E74F0">
              <w:rPr>
                <w:rFonts w:cs="Calibri Light"/>
                <w:sz w:val="18"/>
                <w:szCs w:val="18"/>
              </w:rPr>
              <w:t>CILVĒKKAPITĀLS</w:t>
            </w:r>
          </w:p>
        </w:tc>
        <w:tc>
          <w:tcPr>
            <w:tcW w:w="2512" w:type="pct"/>
            <w:shd w:val="clear" w:color="auto" w:fill="E5DFEC" w:themeFill="accent4" w:themeFillTint="33"/>
          </w:tcPr>
          <w:p w14:paraId="3C1111BB" w14:textId="77777777"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Papildus publiskie un privātie ieguldījumi prasmju pilnveidei, darbaspēka pārkvalificēšana uz nozarēm ar lielāko izaugsmes potenciālu. Pieaugušo izglītības piedāvājums jauno digitālo tehnoloģiju kontekstā visām sabiedrības grupām, tādējādi mazinot nevienlīdzības pieauguma riskus. Darba devēju aktīva iesaiste esošo darbinieku kompetenču paaugstināšanā, kā arī jaunu prasmju kopu izveide, lai cilvēki varētu kvalificēties jaunām profesijām ekonomikas transformācijas un robotizācijas apstākļos.</w:t>
            </w:r>
          </w:p>
        </w:tc>
        <w:tc>
          <w:tcPr>
            <w:tcW w:w="1309" w:type="pct"/>
            <w:shd w:val="clear" w:color="auto" w:fill="E5DFEC" w:themeFill="accent4" w:themeFillTint="33"/>
          </w:tcPr>
          <w:p w14:paraId="7D3EAC05" w14:textId="1ED73F18" w:rsidR="00AE74F0" w:rsidRPr="00AE74F0" w:rsidRDefault="00AE74F0" w:rsidP="00D209BD">
            <w:pPr>
              <w:tabs>
                <w:tab w:val="left" w:pos="1701"/>
                <w:tab w:val="left" w:pos="4678"/>
                <w:tab w:val="left" w:pos="6237"/>
              </w:tabs>
              <w:spacing w:before="60" w:after="60"/>
              <w:cnfStyle w:val="000000000000" w:firstRow="0" w:lastRow="0" w:firstColumn="0" w:lastColumn="0" w:oddVBand="0" w:evenVBand="0" w:oddHBand="0" w:evenHBand="0" w:firstRowFirstColumn="0" w:firstRowLastColumn="0" w:lastRowFirstColumn="0" w:lastRowLastColumn="0"/>
              <w:rPr>
                <w:rFonts w:cs="Calibri Light"/>
                <w:sz w:val="16"/>
                <w:szCs w:val="16"/>
              </w:rPr>
            </w:pPr>
            <w:r w:rsidRPr="00AE74F0">
              <w:rPr>
                <w:rFonts w:cs="Calibri Light"/>
                <w:sz w:val="16"/>
                <w:szCs w:val="16"/>
              </w:rPr>
              <w:t>Pakāpeniski aug darbaspēka un prasmju piedāvājuma un pieprasījuma neatbilstības. Atbilstošu prasmju trūkums kavē uz zināšanām un tehnoloģijām orientētu nozaru un uzņēmumu izaugsmi.</w:t>
            </w:r>
          </w:p>
        </w:tc>
      </w:tr>
    </w:tbl>
    <w:p w14:paraId="191B5B95" w14:textId="77777777" w:rsidR="00AE74F0" w:rsidRPr="00AE74F0" w:rsidRDefault="00AE74F0" w:rsidP="00AE74F0">
      <w:pPr>
        <w:jc w:val="both"/>
        <w:rPr>
          <w:rFonts w:cs="Calibri Light"/>
          <w:b/>
          <w:szCs w:val="20"/>
        </w:rPr>
      </w:pPr>
      <w:r w:rsidRPr="00AE74F0">
        <w:rPr>
          <w:rFonts w:cs="Calibri Light"/>
          <w:b/>
          <w:szCs w:val="20"/>
        </w:rPr>
        <w:lastRenderedPageBreak/>
        <w:t>Nozaru attīstības tendences</w:t>
      </w:r>
    </w:p>
    <w:p w14:paraId="49951F60" w14:textId="3B30B689" w:rsidR="00AE74F0" w:rsidRPr="00AE74F0" w:rsidRDefault="6F5752F9" w:rsidP="4398C881">
      <w:pPr>
        <w:jc w:val="both"/>
        <w:rPr>
          <w:rFonts w:cs="Calibri Light"/>
        </w:rPr>
      </w:pPr>
      <w:r w:rsidRPr="4398C881">
        <w:rPr>
          <w:rFonts w:cs="Calibri Light"/>
        </w:rPr>
        <w:t xml:space="preserve">Atbilstoši Mērķa scenārija pieņēmumiem līdz 2040. gadam, pamazām mainīsies tautsaimniecības nozaru struktūra salīdzinājumā ar pašreizējo situāciju par labu nozarēm ar augstāku pievienoto vērtību. </w:t>
      </w:r>
      <w:proofErr w:type="spellStart"/>
      <w:r w:rsidRPr="4398C881">
        <w:rPr>
          <w:rFonts w:cs="Calibri Light"/>
        </w:rPr>
        <w:t>Pamatnozaru</w:t>
      </w:r>
      <w:proofErr w:type="spellEnd"/>
      <w:r w:rsidRPr="4398C881">
        <w:rPr>
          <w:rFonts w:cs="Calibri Light"/>
        </w:rPr>
        <w:t xml:space="preserve"> </w:t>
      </w:r>
      <w:r w:rsidRPr="00C67918">
        <w:rPr>
          <w:rFonts w:cs="Calibri Light"/>
        </w:rPr>
        <w:t>griez</w:t>
      </w:r>
      <w:r w:rsidR="00C67918" w:rsidRPr="00C67918">
        <w:rPr>
          <w:rFonts w:cs="Calibri Light"/>
        </w:rPr>
        <w:t>umā</w:t>
      </w:r>
      <w:r w:rsidRPr="4398C881">
        <w:rPr>
          <w:rFonts w:cs="Calibri Light"/>
        </w:rPr>
        <w:t xml:space="preserve"> komercpakalpojumu nozaru īpatsvars līdz 2040. gadam varētu palielināties. Pieaugs arī IT un rūpniecības nozaru īpatsvars tautsaimniecībā. Savukārt lauksaimniecības, transporta, finanšu pakalpojumu un sabiedrisko pakalpojumu nozaru īpatsvars varētu nedaudz samazināties.</w:t>
      </w:r>
    </w:p>
    <w:p w14:paraId="78E171D9" w14:textId="77777777" w:rsidR="00AE74F0" w:rsidRPr="00AE74F0" w:rsidRDefault="00AE74F0" w:rsidP="00AE74F0">
      <w:pPr>
        <w:jc w:val="both"/>
        <w:rPr>
          <w:rFonts w:cs="Calibri Light"/>
          <w:szCs w:val="20"/>
        </w:rPr>
      </w:pPr>
      <w:r w:rsidRPr="00AE74F0">
        <w:rPr>
          <w:rFonts w:cs="Calibri Light"/>
          <w:szCs w:val="20"/>
        </w:rPr>
        <w:t>Lauksaimniecības nozarē vidējā un ilgtermiņā izaugsmes tempi varētu būt lēnāki nekā bija vērojami iepriekšējā desmitgadē. Nozarē aizvien lielāka loma būs lielajiem uzņēmumiem, kuru izaugsmi pamatā noteiks produktivitātes pieaugums.</w:t>
      </w:r>
    </w:p>
    <w:p w14:paraId="65D268DC" w14:textId="77777777" w:rsidR="00AE74F0" w:rsidRPr="00AE74F0" w:rsidRDefault="00AE74F0" w:rsidP="00927285">
      <w:pPr>
        <w:jc w:val="right"/>
        <w:rPr>
          <w:rFonts w:cs="Calibri Light"/>
          <w:szCs w:val="24"/>
        </w:rPr>
      </w:pPr>
      <w:r w:rsidRPr="00AE74F0">
        <w:rPr>
          <w:rFonts w:eastAsia="SimSun" w:cs="Calibri Light"/>
          <w:szCs w:val="20"/>
          <w:lang w:eastAsia="zh-CN" w:bidi="lo-LA"/>
        </w:rPr>
        <w:t>3.2.tabula</w:t>
      </w:r>
    </w:p>
    <w:p w14:paraId="540D9C9B" w14:textId="77777777" w:rsidR="00AE74F0" w:rsidRPr="00AE74F0" w:rsidRDefault="00AE74F0" w:rsidP="00AE74F0">
      <w:pPr>
        <w:spacing w:after="0"/>
        <w:jc w:val="center"/>
        <w:rPr>
          <w:rFonts w:cs="Calibri Light"/>
          <w:b/>
          <w:szCs w:val="20"/>
        </w:rPr>
      </w:pPr>
      <w:r w:rsidRPr="00AE74F0">
        <w:rPr>
          <w:rFonts w:cs="Calibri Light"/>
          <w:b/>
          <w:szCs w:val="20"/>
        </w:rPr>
        <w:t>Nozaru attīstības tendences</w:t>
      </w:r>
    </w:p>
    <w:p w14:paraId="293DDA99" w14:textId="77777777" w:rsidR="00AE74F0" w:rsidRPr="00AE74F0" w:rsidRDefault="00AE74F0" w:rsidP="00927285">
      <w:pPr>
        <w:spacing w:after="120"/>
        <w:jc w:val="center"/>
        <w:rPr>
          <w:rFonts w:cs="Calibri Light"/>
          <w:i/>
          <w:sz w:val="16"/>
          <w:szCs w:val="20"/>
        </w:rPr>
      </w:pPr>
      <w:r w:rsidRPr="00AE74F0">
        <w:rPr>
          <w:rFonts w:cs="Calibri Light"/>
          <w:i/>
          <w:sz w:val="16"/>
          <w:szCs w:val="20"/>
        </w:rPr>
        <w:t>izmaiņas procentos</w:t>
      </w:r>
    </w:p>
    <w:tbl>
      <w:tblPr>
        <w:tblStyle w:val="GridTable1Light-Accent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4329"/>
        <w:gridCol w:w="1011"/>
        <w:gridCol w:w="1012"/>
        <w:gridCol w:w="1011"/>
        <w:gridCol w:w="1007"/>
      </w:tblGrid>
      <w:tr w:rsidR="00811083" w:rsidRPr="00811083" w14:paraId="406FF79A" w14:textId="77777777" w:rsidTr="001179C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86" w:type="pct"/>
            <w:tcBorders>
              <w:bottom w:val="none" w:sz="0" w:space="0" w:color="auto"/>
            </w:tcBorders>
            <w:shd w:val="clear" w:color="auto" w:fill="5F497A"/>
            <w:vAlign w:val="center"/>
          </w:tcPr>
          <w:p w14:paraId="779E7C1C" w14:textId="77777777" w:rsidR="00AE74F0" w:rsidRPr="00811083" w:rsidRDefault="00AE74F0" w:rsidP="00C67918">
            <w:pPr>
              <w:spacing w:after="0"/>
              <w:jc w:val="center"/>
              <w:rPr>
                <w:rFonts w:eastAsia="Times New Roman" w:cs="Calibri Light"/>
                <w:b w:val="0"/>
                <w:bCs w:val="0"/>
                <w:color w:val="FFFFFF" w:themeColor="background1"/>
                <w:sz w:val="16"/>
                <w:szCs w:val="16"/>
                <w:lang w:eastAsia="lv-LV"/>
              </w:rPr>
            </w:pPr>
          </w:p>
        </w:tc>
        <w:tc>
          <w:tcPr>
            <w:tcW w:w="2386" w:type="pct"/>
            <w:tcBorders>
              <w:bottom w:val="none" w:sz="0" w:space="0" w:color="auto"/>
            </w:tcBorders>
            <w:shd w:val="clear" w:color="auto" w:fill="5F497A"/>
            <w:vAlign w:val="center"/>
          </w:tcPr>
          <w:p w14:paraId="160C43EC" w14:textId="77777777"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p>
        </w:tc>
        <w:tc>
          <w:tcPr>
            <w:tcW w:w="557" w:type="pct"/>
            <w:tcBorders>
              <w:bottom w:val="none" w:sz="0" w:space="0" w:color="auto"/>
            </w:tcBorders>
            <w:shd w:val="clear" w:color="auto" w:fill="5F497A"/>
            <w:noWrap/>
            <w:vAlign w:val="center"/>
            <w:hideMark/>
          </w:tcPr>
          <w:p w14:paraId="6F96710D" w14:textId="2209426C"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2011-2019</w:t>
            </w:r>
          </w:p>
          <w:p w14:paraId="797BE207" w14:textId="77777777"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vidēji gadā</w:t>
            </w:r>
          </w:p>
        </w:tc>
        <w:tc>
          <w:tcPr>
            <w:tcW w:w="558" w:type="pct"/>
            <w:tcBorders>
              <w:bottom w:val="none" w:sz="0" w:space="0" w:color="auto"/>
            </w:tcBorders>
            <w:shd w:val="clear" w:color="auto" w:fill="5F497A"/>
            <w:noWrap/>
            <w:vAlign w:val="center"/>
            <w:hideMark/>
          </w:tcPr>
          <w:p w14:paraId="209B0C5F" w14:textId="5845FF1A"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2020-2021</w:t>
            </w:r>
          </w:p>
          <w:p w14:paraId="77366CA7" w14:textId="77777777"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vidēji gadā</w:t>
            </w:r>
          </w:p>
        </w:tc>
        <w:tc>
          <w:tcPr>
            <w:tcW w:w="557" w:type="pct"/>
            <w:tcBorders>
              <w:bottom w:val="none" w:sz="0" w:space="0" w:color="auto"/>
            </w:tcBorders>
            <w:shd w:val="clear" w:color="auto" w:fill="5F497A"/>
            <w:noWrap/>
            <w:vAlign w:val="center"/>
            <w:hideMark/>
          </w:tcPr>
          <w:p w14:paraId="7DF34231" w14:textId="105873EF"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2022-2030</w:t>
            </w:r>
          </w:p>
          <w:p w14:paraId="783F57FF" w14:textId="77777777"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vidēji gadā</w:t>
            </w:r>
          </w:p>
        </w:tc>
        <w:tc>
          <w:tcPr>
            <w:tcW w:w="555" w:type="pct"/>
            <w:tcBorders>
              <w:bottom w:val="none" w:sz="0" w:space="0" w:color="auto"/>
            </w:tcBorders>
            <w:shd w:val="clear" w:color="auto" w:fill="5F497A"/>
            <w:noWrap/>
            <w:vAlign w:val="center"/>
            <w:hideMark/>
          </w:tcPr>
          <w:p w14:paraId="311FB7C4" w14:textId="2C644DC6"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2031-2040</w:t>
            </w:r>
          </w:p>
          <w:p w14:paraId="28D9A3DC" w14:textId="77777777" w:rsidR="00AE74F0" w:rsidRPr="00811083" w:rsidRDefault="00AE74F0" w:rsidP="00C6791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Calibri Light"/>
                <w:b w:val="0"/>
                <w:bCs w:val="0"/>
                <w:color w:val="FFFFFF" w:themeColor="background1"/>
                <w:sz w:val="16"/>
                <w:szCs w:val="16"/>
                <w:lang w:eastAsia="lv-LV"/>
              </w:rPr>
            </w:pPr>
            <w:r w:rsidRPr="00811083">
              <w:rPr>
                <w:rFonts w:eastAsia="Times New Roman" w:cs="Calibri Light"/>
                <w:color w:val="FFFFFF" w:themeColor="background1"/>
                <w:sz w:val="16"/>
                <w:szCs w:val="16"/>
                <w:lang w:eastAsia="lv-LV"/>
              </w:rPr>
              <w:t>vidēji gadā</w:t>
            </w:r>
          </w:p>
        </w:tc>
      </w:tr>
      <w:tr w:rsidR="00811083" w:rsidRPr="00811083" w14:paraId="2D4F6303" w14:textId="77777777" w:rsidTr="001179C2">
        <w:trPr>
          <w:trHeight w:val="270"/>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227AB021" w14:textId="77777777" w:rsidR="00811083" w:rsidRPr="00811083" w:rsidRDefault="00811083" w:rsidP="00D209BD">
            <w:pPr>
              <w:spacing w:after="0"/>
              <w:jc w:val="center"/>
              <w:rPr>
                <w:rFonts w:eastAsia="Times New Roman" w:cs="Calibri Light"/>
                <w:b w:val="0"/>
                <w:bCs w:val="0"/>
                <w:color w:val="000000"/>
                <w:sz w:val="16"/>
                <w:szCs w:val="16"/>
                <w:lang w:eastAsia="lv-LV"/>
              </w:rPr>
            </w:pPr>
          </w:p>
        </w:tc>
        <w:tc>
          <w:tcPr>
            <w:tcW w:w="2386" w:type="pct"/>
            <w:shd w:val="clear" w:color="auto" w:fill="E5DFEC"/>
          </w:tcPr>
          <w:p w14:paraId="57C3AC04" w14:textId="77777777" w:rsidR="00811083" w:rsidRPr="00811083" w:rsidRDefault="00811083" w:rsidP="00D209BD">
            <w:pPr>
              <w:spacing w:after="0"/>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0000"/>
                <w:sz w:val="16"/>
                <w:szCs w:val="16"/>
                <w:lang w:eastAsia="lv-LV"/>
              </w:rPr>
            </w:pPr>
          </w:p>
        </w:tc>
        <w:tc>
          <w:tcPr>
            <w:tcW w:w="1115" w:type="pct"/>
            <w:gridSpan w:val="2"/>
            <w:shd w:val="clear" w:color="auto" w:fill="E5DFEC"/>
            <w:noWrap/>
          </w:tcPr>
          <w:p w14:paraId="23514366" w14:textId="63DC3146" w:rsidR="00811083" w:rsidRPr="00811083" w:rsidRDefault="00811083" w:rsidP="00D209B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Fakts</w:t>
            </w:r>
          </w:p>
        </w:tc>
        <w:tc>
          <w:tcPr>
            <w:tcW w:w="1112" w:type="pct"/>
            <w:gridSpan w:val="2"/>
            <w:shd w:val="clear" w:color="auto" w:fill="E5DFEC"/>
            <w:noWrap/>
          </w:tcPr>
          <w:p w14:paraId="55A16FEB" w14:textId="0648317D" w:rsidR="00811083" w:rsidRPr="00811083" w:rsidRDefault="00811083" w:rsidP="00D209BD">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Prognoze</w:t>
            </w:r>
          </w:p>
        </w:tc>
      </w:tr>
      <w:tr w:rsidR="00811083" w:rsidRPr="00811083" w14:paraId="21654111"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9963F5B"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A</w:t>
            </w:r>
          </w:p>
        </w:tc>
        <w:tc>
          <w:tcPr>
            <w:tcW w:w="2386" w:type="pct"/>
            <w:shd w:val="clear" w:color="auto" w:fill="CCC0D9"/>
          </w:tcPr>
          <w:p w14:paraId="74097B05"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Lauksaimniecība, mežsaimniecība, zvejniecība</w:t>
            </w:r>
          </w:p>
        </w:tc>
        <w:tc>
          <w:tcPr>
            <w:tcW w:w="557" w:type="pct"/>
            <w:shd w:val="clear" w:color="auto" w:fill="CCC0D9"/>
            <w:noWrap/>
            <w:vAlign w:val="bottom"/>
            <w:hideMark/>
          </w:tcPr>
          <w:p w14:paraId="2AC15D6A" w14:textId="55C494B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3,3</w:t>
            </w:r>
          </w:p>
        </w:tc>
        <w:tc>
          <w:tcPr>
            <w:tcW w:w="558" w:type="pct"/>
            <w:shd w:val="clear" w:color="auto" w:fill="CCC0D9"/>
            <w:noWrap/>
            <w:vAlign w:val="bottom"/>
            <w:hideMark/>
          </w:tcPr>
          <w:p w14:paraId="572962E1" w14:textId="7C69B6F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c>
          <w:tcPr>
            <w:tcW w:w="557" w:type="pct"/>
            <w:shd w:val="clear" w:color="auto" w:fill="CCC0D9"/>
            <w:noWrap/>
            <w:vAlign w:val="bottom"/>
            <w:hideMark/>
          </w:tcPr>
          <w:p w14:paraId="69C3347E" w14:textId="566BE59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c>
          <w:tcPr>
            <w:tcW w:w="555" w:type="pct"/>
            <w:shd w:val="clear" w:color="auto" w:fill="CCC0D9"/>
            <w:noWrap/>
            <w:vAlign w:val="bottom"/>
            <w:hideMark/>
          </w:tcPr>
          <w:p w14:paraId="00C1AF0D" w14:textId="12152C3A"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2,3</w:t>
            </w:r>
          </w:p>
        </w:tc>
      </w:tr>
      <w:tr w:rsidR="00811083" w:rsidRPr="00811083" w14:paraId="361C84B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47DFD9F"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BDE</w:t>
            </w:r>
          </w:p>
        </w:tc>
        <w:tc>
          <w:tcPr>
            <w:tcW w:w="2386" w:type="pct"/>
            <w:shd w:val="clear" w:color="auto" w:fill="E5DFEC"/>
          </w:tcPr>
          <w:p w14:paraId="307796F0"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Pārējā rūpniecība</w:t>
            </w:r>
          </w:p>
        </w:tc>
        <w:tc>
          <w:tcPr>
            <w:tcW w:w="557" w:type="pct"/>
            <w:shd w:val="clear" w:color="auto" w:fill="E5DFEC"/>
            <w:noWrap/>
            <w:vAlign w:val="bottom"/>
            <w:hideMark/>
          </w:tcPr>
          <w:p w14:paraId="76E652FF" w14:textId="49D18A6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-3,3</w:t>
            </w:r>
          </w:p>
        </w:tc>
        <w:tc>
          <w:tcPr>
            <w:tcW w:w="558" w:type="pct"/>
            <w:shd w:val="clear" w:color="auto" w:fill="E5DFEC"/>
            <w:noWrap/>
            <w:vAlign w:val="bottom"/>
            <w:hideMark/>
          </w:tcPr>
          <w:p w14:paraId="7D0AEA5B" w14:textId="323933D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0,3</w:t>
            </w:r>
          </w:p>
        </w:tc>
        <w:tc>
          <w:tcPr>
            <w:tcW w:w="557" w:type="pct"/>
            <w:shd w:val="clear" w:color="auto" w:fill="E5DFEC"/>
            <w:noWrap/>
            <w:vAlign w:val="bottom"/>
            <w:hideMark/>
          </w:tcPr>
          <w:p w14:paraId="26CDB0A7" w14:textId="066F25E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3,6</w:t>
            </w:r>
          </w:p>
        </w:tc>
        <w:tc>
          <w:tcPr>
            <w:tcW w:w="555" w:type="pct"/>
            <w:shd w:val="clear" w:color="auto" w:fill="E5DFEC"/>
            <w:noWrap/>
            <w:vAlign w:val="bottom"/>
            <w:hideMark/>
          </w:tcPr>
          <w:p w14:paraId="3BFEB96E" w14:textId="4F53A097"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3,8</w:t>
            </w:r>
          </w:p>
        </w:tc>
      </w:tr>
      <w:tr w:rsidR="00811083" w:rsidRPr="00811083" w14:paraId="14A71C74"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F1CD69E"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B</w:t>
            </w:r>
          </w:p>
        </w:tc>
        <w:tc>
          <w:tcPr>
            <w:tcW w:w="2386" w:type="pct"/>
            <w:shd w:val="clear" w:color="auto" w:fill="CCC0D9"/>
          </w:tcPr>
          <w:p w14:paraId="10625FB1"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Ieguves rūpniecība</w:t>
            </w:r>
          </w:p>
        </w:tc>
        <w:tc>
          <w:tcPr>
            <w:tcW w:w="557" w:type="pct"/>
            <w:shd w:val="clear" w:color="auto" w:fill="CCC0D9"/>
            <w:noWrap/>
            <w:vAlign w:val="bottom"/>
            <w:hideMark/>
          </w:tcPr>
          <w:p w14:paraId="28FDB92F" w14:textId="2065768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1,7</w:t>
            </w:r>
          </w:p>
        </w:tc>
        <w:tc>
          <w:tcPr>
            <w:tcW w:w="558" w:type="pct"/>
            <w:shd w:val="clear" w:color="auto" w:fill="CCC0D9"/>
            <w:noWrap/>
            <w:vAlign w:val="bottom"/>
            <w:hideMark/>
          </w:tcPr>
          <w:p w14:paraId="28B5F62D" w14:textId="58C6475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6,9</w:t>
            </w:r>
          </w:p>
        </w:tc>
        <w:tc>
          <w:tcPr>
            <w:tcW w:w="557" w:type="pct"/>
            <w:shd w:val="clear" w:color="auto" w:fill="CCC0D9"/>
            <w:noWrap/>
            <w:vAlign w:val="bottom"/>
            <w:hideMark/>
          </w:tcPr>
          <w:p w14:paraId="67B1D55E" w14:textId="6049584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2,2</w:t>
            </w:r>
          </w:p>
        </w:tc>
        <w:tc>
          <w:tcPr>
            <w:tcW w:w="555" w:type="pct"/>
            <w:shd w:val="clear" w:color="auto" w:fill="CCC0D9"/>
            <w:noWrap/>
            <w:vAlign w:val="bottom"/>
            <w:hideMark/>
          </w:tcPr>
          <w:p w14:paraId="2C5359C1" w14:textId="615D5FB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2,4</w:t>
            </w:r>
          </w:p>
        </w:tc>
      </w:tr>
      <w:tr w:rsidR="00811083" w:rsidRPr="00811083" w14:paraId="0835F1A1"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69FB51B9"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D</w:t>
            </w:r>
          </w:p>
        </w:tc>
        <w:tc>
          <w:tcPr>
            <w:tcW w:w="2386" w:type="pct"/>
            <w:shd w:val="clear" w:color="auto" w:fill="E5DFEC"/>
          </w:tcPr>
          <w:p w14:paraId="697B2043"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Elektroenerģija, gāze, siltumapgāde</w:t>
            </w:r>
          </w:p>
        </w:tc>
        <w:tc>
          <w:tcPr>
            <w:tcW w:w="557" w:type="pct"/>
            <w:shd w:val="clear" w:color="auto" w:fill="E5DFEC"/>
            <w:noWrap/>
            <w:vAlign w:val="bottom"/>
            <w:hideMark/>
          </w:tcPr>
          <w:p w14:paraId="3391A66C" w14:textId="1D6736C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-5,8</w:t>
            </w:r>
          </w:p>
        </w:tc>
        <w:tc>
          <w:tcPr>
            <w:tcW w:w="558" w:type="pct"/>
            <w:shd w:val="clear" w:color="auto" w:fill="E5DFEC"/>
            <w:noWrap/>
            <w:vAlign w:val="bottom"/>
            <w:hideMark/>
          </w:tcPr>
          <w:p w14:paraId="75AA4F47" w14:textId="576E05D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-1,6</w:t>
            </w:r>
          </w:p>
        </w:tc>
        <w:tc>
          <w:tcPr>
            <w:tcW w:w="557" w:type="pct"/>
            <w:shd w:val="clear" w:color="auto" w:fill="E5DFEC"/>
            <w:noWrap/>
            <w:vAlign w:val="bottom"/>
            <w:hideMark/>
          </w:tcPr>
          <w:p w14:paraId="21B05307" w14:textId="51B11F4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4,4</w:t>
            </w:r>
          </w:p>
        </w:tc>
        <w:tc>
          <w:tcPr>
            <w:tcW w:w="555" w:type="pct"/>
            <w:shd w:val="clear" w:color="auto" w:fill="E5DFEC"/>
            <w:noWrap/>
            <w:vAlign w:val="bottom"/>
            <w:hideMark/>
          </w:tcPr>
          <w:p w14:paraId="046DED51" w14:textId="5C0C5C9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4,4</w:t>
            </w:r>
          </w:p>
        </w:tc>
      </w:tr>
      <w:tr w:rsidR="00811083" w:rsidRPr="00811083" w14:paraId="090513E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18835F9E"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E</w:t>
            </w:r>
          </w:p>
        </w:tc>
        <w:tc>
          <w:tcPr>
            <w:tcW w:w="2386" w:type="pct"/>
            <w:shd w:val="clear" w:color="auto" w:fill="CCC0D9"/>
          </w:tcPr>
          <w:p w14:paraId="02F7F7BC"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Ūdens apgāde, notekūdeņu, atkritumu apsaimniekošana</w:t>
            </w:r>
          </w:p>
        </w:tc>
        <w:tc>
          <w:tcPr>
            <w:tcW w:w="557" w:type="pct"/>
            <w:shd w:val="clear" w:color="auto" w:fill="CCC0D9"/>
            <w:noWrap/>
            <w:vAlign w:val="bottom"/>
            <w:hideMark/>
          </w:tcPr>
          <w:p w14:paraId="7DE797C6" w14:textId="685972A1"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0,7</w:t>
            </w:r>
          </w:p>
        </w:tc>
        <w:tc>
          <w:tcPr>
            <w:tcW w:w="558" w:type="pct"/>
            <w:shd w:val="clear" w:color="auto" w:fill="CCC0D9"/>
            <w:noWrap/>
            <w:vAlign w:val="bottom"/>
            <w:hideMark/>
          </w:tcPr>
          <w:p w14:paraId="38B674C7" w14:textId="7DEB4F7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0,1</w:t>
            </w:r>
          </w:p>
        </w:tc>
        <w:tc>
          <w:tcPr>
            <w:tcW w:w="557" w:type="pct"/>
            <w:shd w:val="clear" w:color="auto" w:fill="CCC0D9"/>
            <w:noWrap/>
            <w:vAlign w:val="bottom"/>
            <w:hideMark/>
          </w:tcPr>
          <w:p w14:paraId="4AAACBC9" w14:textId="67BC377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2,7</w:t>
            </w:r>
          </w:p>
        </w:tc>
        <w:tc>
          <w:tcPr>
            <w:tcW w:w="555" w:type="pct"/>
            <w:shd w:val="clear" w:color="auto" w:fill="CCC0D9"/>
            <w:noWrap/>
            <w:vAlign w:val="bottom"/>
            <w:hideMark/>
          </w:tcPr>
          <w:p w14:paraId="1558C187" w14:textId="7F5E5E4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r>
      <w:tr w:rsidR="00811083" w:rsidRPr="00811083" w14:paraId="0C43D1B5"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22D9B081"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C</w:t>
            </w:r>
          </w:p>
        </w:tc>
        <w:tc>
          <w:tcPr>
            <w:tcW w:w="2386" w:type="pct"/>
            <w:shd w:val="clear" w:color="auto" w:fill="E5DFEC"/>
          </w:tcPr>
          <w:p w14:paraId="14551D0F"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Apstrādes rūpniecība</w:t>
            </w:r>
          </w:p>
        </w:tc>
        <w:tc>
          <w:tcPr>
            <w:tcW w:w="557" w:type="pct"/>
            <w:shd w:val="clear" w:color="auto" w:fill="E5DFEC"/>
            <w:noWrap/>
            <w:vAlign w:val="bottom"/>
            <w:hideMark/>
          </w:tcPr>
          <w:p w14:paraId="204873E9" w14:textId="4F79E30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3,2</w:t>
            </w:r>
          </w:p>
        </w:tc>
        <w:tc>
          <w:tcPr>
            <w:tcW w:w="558" w:type="pct"/>
            <w:shd w:val="clear" w:color="auto" w:fill="E5DFEC"/>
            <w:noWrap/>
            <w:vAlign w:val="bottom"/>
            <w:hideMark/>
          </w:tcPr>
          <w:p w14:paraId="1693729C" w14:textId="6E774E5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3,2</w:t>
            </w:r>
          </w:p>
        </w:tc>
        <w:tc>
          <w:tcPr>
            <w:tcW w:w="557" w:type="pct"/>
            <w:shd w:val="clear" w:color="auto" w:fill="E5DFEC"/>
            <w:noWrap/>
            <w:vAlign w:val="bottom"/>
            <w:hideMark/>
          </w:tcPr>
          <w:p w14:paraId="31A090A8" w14:textId="4A9C9D1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4,4</w:t>
            </w:r>
          </w:p>
        </w:tc>
        <w:tc>
          <w:tcPr>
            <w:tcW w:w="555" w:type="pct"/>
            <w:shd w:val="clear" w:color="auto" w:fill="E5DFEC"/>
            <w:noWrap/>
            <w:vAlign w:val="bottom"/>
            <w:hideMark/>
          </w:tcPr>
          <w:p w14:paraId="77DA4988" w14:textId="0D1D66F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r>
      <w:tr w:rsidR="00811083" w:rsidRPr="00811083" w14:paraId="4B99A68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20D0C46E"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c10-12</w:t>
            </w:r>
          </w:p>
        </w:tc>
        <w:tc>
          <w:tcPr>
            <w:tcW w:w="2386" w:type="pct"/>
            <w:shd w:val="clear" w:color="auto" w:fill="CCC0D9"/>
          </w:tcPr>
          <w:p w14:paraId="040C61DE"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Pārtika, dzērieni</w:t>
            </w:r>
          </w:p>
        </w:tc>
        <w:tc>
          <w:tcPr>
            <w:tcW w:w="557" w:type="pct"/>
            <w:shd w:val="clear" w:color="auto" w:fill="CCC0D9"/>
            <w:noWrap/>
            <w:vAlign w:val="bottom"/>
            <w:hideMark/>
          </w:tcPr>
          <w:p w14:paraId="6A133413" w14:textId="2553465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-0,1</w:t>
            </w:r>
          </w:p>
        </w:tc>
        <w:tc>
          <w:tcPr>
            <w:tcW w:w="558" w:type="pct"/>
            <w:shd w:val="clear" w:color="auto" w:fill="CCC0D9"/>
            <w:noWrap/>
            <w:vAlign w:val="bottom"/>
            <w:hideMark/>
          </w:tcPr>
          <w:p w14:paraId="7DC1A01B" w14:textId="5679B5A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-1,4</w:t>
            </w:r>
          </w:p>
        </w:tc>
        <w:tc>
          <w:tcPr>
            <w:tcW w:w="557" w:type="pct"/>
            <w:shd w:val="clear" w:color="auto" w:fill="CCC0D9"/>
            <w:noWrap/>
            <w:vAlign w:val="bottom"/>
            <w:hideMark/>
          </w:tcPr>
          <w:p w14:paraId="08281889" w14:textId="081896DA"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4,2</w:t>
            </w:r>
          </w:p>
        </w:tc>
        <w:tc>
          <w:tcPr>
            <w:tcW w:w="555" w:type="pct"/>
            <w:shd w:val="clear" w:color="auto" w:fill="CCC0D9"/>
            <w:noWrap/>
            <w:vAlign w:val="bottom"/>
            <w:hideMark/>
          </w:tcPr>
          <w:p w14:paraId="0541E277" w14:textId="2073DD3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3,0</w:t>
            </w:r>
          </w:p>
        </w:tc>
      </w:tr>
      <w:tr w:rsidR="00811083" w:rsidRPr="00811083" w14:paraId="425FD455"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609664D4"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c13-15</w:t>
            </w:r>
          </w:p>
        </w:tc>
        <w:tc>
          <w:tcPr>
            <w:tcW w:w="2386" w:type="pct"/>
            <w:shd w:val="clear" w:color="auto" w:fill="E5DFEC"/>
          </w:tcPr>
          <w:p w14:paraId="04A7066A"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Vieglā rūpniecība</w:t>
            </w:r>
          </w:p>
        </w:tc>
        <w:tc>
          <w:tcPr>
            <w:tcW w:w="557" w:type="pct"/>
            <w:shd w:val="clear" w:color="auto" w:fill="E5DFEC"/>
            <w:noWrap/>
            <w:vAlign w:val="bottom"/>
            <w:hideMark/>
          </w:tcPr>
          <w:p w14:paraId="16ADCB7B" w14:textId="286223A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-1,2</w:t>
            </w:r>
          </w:p>
        </w:tc>
        <w:tc>
          <w:tcPr>
            <w:tcW w:w="558" w:type="pct"/>
            <w:shd w:val="clear" w:color="auto" w:fill="E5DFEC"/>
            <w:noWrap/>
            <w:vAlign w:val="bottom"/>
            <w:hideMark/>
          </w:tcPr>
          <w:p w14:paraId="2463DF4A" w14:textId="3192DC6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0,3</w:t>
            </w:r>
          </w:p>
        </w:tc>
        <w:tc>
          <w:tcPr>
            <w:tcW w:w="557" w:type="pct"/>
            <w:shd w:val="clear" w:color="auto" w:fill="E5DFEC"/>
            <w:noWrap/>
            <w:vAlign w:val="bottom"/>
            <w:hideMark/>
          </w:tcPr>
          <w:p w14:paraId="2679D6CD" w14:textId="1105507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3,6</w:t>
            </w:r>
          </w:p>
        </w:tc>
        <w:tc>
          <w:tcPr>
            <w:tcW w:w="555" w:type="pct"/>
            <w:shd w:val="clear" w:color="auto" w:fill="E5DFEC"/>
            <w:noWrap/>
            <w:vAlign w:val="bottom"/>
            <w:hideMark/>
          </w:tcPr>
          <w:p w14:paraId="2B3243CD" w14:textId="4DC6406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2,6</w:t>
            </w:r>
          </w:p>
        </w:tc>
      </w:tr>
      <w:tr w:rsidR="00811083" w:rsidRPr="00811083" w14:paraId="4DBC2E2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16197F1"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c16</w:t>
            </w:r>
          </w:p>
        </w:tc>
        <w:tc>
          <w:tcPr>
            <w:tcW w:w="2386" w:type="pct"/>
            <w:shd w:val="clear" w:color="auto" w:fill="CCC0D9"/>
          </w:tcPr>
          <w:p w14:paraId="480EFB4D"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Kokapstrāde</w:t>
            </w:r>
          </w:p>
        </w:tc>
        <w:tc>
          <w:tcPr>
            <w:tcW w:w="557" w:type="pct"/>
            <w:shd w:val="clear" w:color="auto" w:fill="CCC0D9"/>
            <w:noWrap/>
            <w:vAlign w:val="bottom"/>
            <w:hideMark/>
          </w:tcPr>
          <w:p w14:paraId="01CB9178" w14:textId="7E9B9CA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4,1</w:t>
            </w:r>
          </w:p>
        </w:tc>
        <w:tc>
          <w:tcPr>
            <w:tcW w:w="558" w:type="pct"/>
            <w:shd w:val="clear" w:color="auto" w:fill="CCC0D9"/>
            <w:noWrap/>
            <w:vAlign w:val="bottom"/>
            <w:hideMark/>
          </w:tcPr>
          <w:p w14:paraId="7998498F" w14:textId="50BC676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5,7</w:t>
            </w:r>
          </w:p>
        </w:tc>
        <w:tc>
          <w:tcPr>
            <w:tcW w:w="557" w:type="pct"/>
            <w:shd w:val="clear" w:color="auto" w:fill="CCC0D9"/>
            <w:noWrap/>
            <w:vAlign w:val="bottom"/>
            <w:hideMark/>
          </w:tcPr>
          <w:p w14:paraId="624AF028" w14:textId="683CDF3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4,5</w:t>
            </w:r>
          </w:p>
        </w:tc>
        <w:tc>
          <w:tcPr>
            <w:tcW w:w="555" w:type="pct"/>
            <w:shd w:val="clear" w:color="auto" w:fill="CCC0D9"/>
            <w:noWrap/>
            <w:vAlign w:val="bottom"/>
            <w:hideMark/>
          </w:tcPr>
          <w:p w14:paraId="6FEC0D03" w14:textId="297D38F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3,1</w:t>
            </w:r>
          </w:p>
        </w:tc>
      </w:tr>
      <w:tr w:rsidR="00811083" w:rsidRPr="00811083" w14:paraId="4912D7A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743E7AF"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c17-19</w:t>
            </w:r>
          </w:p>
        </w:tc>
        <w:tc>
          <w:tcPr>
            <w:tcW w:w="2386" w:type="pct"/>
            <w:shd w:val="clear" w:color="auto" w:fill="E5DFEC"/>
          </w:tcPr>
          <w:p w14:paraId="131C0A08"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Papīra ražošana, poligrāfija</w:t>
            </w:r>
          </w:p>
        </w:tc>
        <w:tc>
          <w:tcPr>
            <w:tcW w:w="557" w:type="pct"/>
            <w:shd w:val="clear" w:color="auto" w:fill="E5DFEC"/>
            <w:noWrap/>
            <w:vAlign w:val="bottom"/>
            <w:hideMark/>
          </w:tcPr>
          <w:p w14:paraId="35B98623" w14:textId="45407E2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3,6</w:t>
            </w:r>
          </w:p>
        </w:tc>
        <w:tc>
          <w:tcPr>
            <w:tcW w:w="558" w:type="pct"/>
            <w:shd w:val="clear" w:color="auto" w:fill="E5DFEC"/>
            <w:noWrap/>
            <w:vAlign w:val="bottom"/>
            <w:hideMark/>
          </w:tcPr>
          <w:p w14:paraId="295BAD28" w14:textId="5A0356B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8,0</w:t>
            </w:r>
          </w:p>
        </w:tc>
        <w:tc>
          <w:tcPr>
            <w:tcW w:w="557" w:type="pct"/>
            <w:shd w:val="clear" w:color="auto" w:fill="E5DFEC"/>
            <w:noWrap/>
            <w:vAlign w:val="bottom"/>
            <w:hideMark/>
          </w:tcPr>
          <w:p w14:paraId="3D0E931A" w14:textId="6CB20F5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3,8</w:t>
            </w:r>
          </w:p>
        </w:tc>
        <w:tc>
          <w:tcPr>
            <w:tcW w:w="555" w:type="pct"/>
            <w:shd w:val="clear" w:color="auto" w:fill="E5DFEC"/>
            <w:noWrap/>
            <w:vAlign w:val="bottom"/>
            <w:hideMark/>
          </w:tcPr>
          <w:p w14:paraId="732E0F6E" w14:textId="3B48843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2,4</w:t>
            </w:r>
          </w:p>
        </w:tc>
      </w:tr>
      <w:tr w:rsidR="00811083" w:rsidRPr="00811083" w14:paraId="69266826"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2E7589C"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c20-21</w:t>
            </w:r>
          </w:p>
        </w:tc>
        <w:tc>
          <w:tcPr>
            <w:tcW w:w="2386" w:type="pct"/>
            <w:shd w:val="clear" w:color="auto" w:fill="CCC0D9"/>
          </w:tcPr>
          <w:p w14:paraId="303F550E"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Ķīmija, farmācija</w:t>
            </w:r>
          </w:p>
        </w:tc>
        <w:tc>
          <w:tcPr>
            <w:tcW w:w="557" w:type="pct"/>
            <w:shd w:val="clear" w:color="auto" w:fill="CCC0D9"/>
            <w:noWrap/>
            <w:vAlign w:val="bottom"/>
            <w:hideMark/>
          </w:tcPr>
          <w:p w14:paraId="08AEC1A5" w14:textId="3D5A0C51"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1,5</w:t>
            </w:r>
          </w:p>
        </w:tc>
        <w:tc>
          <w:tcPr>
            <w:tcW w:w="558" w:type="pct"/>
            <w:shd w:val="clear" w:color="auto" w:fill="CCC0D9"/>
            <w:noWrap/>
            <w:vAlign w:val="bottom"/>
            <w:hideMark/>
          </w:tcPr>
          <w:p w14:paraId="33479C53" w14:textId="40B614F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4,8</w:t>
            </w:r>
          </w:p>
        </w:tc>
        <w:tc>
          <w:tcPr>
            <w:tcW w:w="557" w:type="pct"/>
            <w:shd w:val="clear" w:color="auto" w:fill="CCC0D9"/>
            <w:noWrap/>
            <w:vAlign w:val="bottom"/>
            <w:hideMark/>
          </w:tcPr>
          <w:p w14:paraId="5D44FDA2" w14:textId="30A75B7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3,8</w:t>
            </w:r>
          </w:p>
        </w:tc>
        <w:tc>
          <w:tcPr>
            <w:tcW w:w="555" w:type="pct"/>
            <w:shd w:val="clear" w:color="auto" w:fill="CCC0D9"/>
            <w:noWrap/>
            <w:vAlign w:val="bottom"/>
            <w:hideMark/>
          </w:tcPr>
          <w:p w14:paraId="3AC315C1" w14:textId="55C5AF6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2,4</w:t>
            </w:r>
          </w:p>
        </w:tc>
      </w:tr>
      <w:tr w:rsidR="00811083" w:rsidRPr="00811083" w14:paraId="0B72A93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1766E3F"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c22</w:t>
            </w:r>
          </w:p>
        </w:tc>
        <w:tc>
          <w:tcPr>
            <w:tcW w:w="2386" w:type="pct"/>
            <w:shd w:val="clear" w:color="auto" w:fill="E5DFEC"/>
          </w:tcPr>
          <w:p w14:paraId="377024B4"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Gumija un plastmasa</w:t>
            </w:r>
          </w:p>
        </w:tc>
        <w:tc>
          <w:tcPr>
            <w:tcW w:w="557" w:type="pct"/>
            <w:shd w:val="clear" w:color="auto" w:fill="E5DFEC"/>
            <w:noWrap/>
            <w:vAlign w:val="bottom"/>
            <w:hideMark/>
          </w:tcPr>
          <w:p w14:paraId="643CE19C" w14:textId="65E0CC97"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3,9</w:t>
            </w:r>
          </w:p>
        </w:tc>
        <w:tc>
          <w:tcPr>
            <w:tcW w:w="558" w:type="pct"/>
            <w:shd w:val="clear" w:color="auto" w:fill="E5DFEC"/>
            <w:noWrap/>
            <w:vAlign w:val="bottom"/>
            <w:hideMark/>
          </w:tcPr>
          <w:p w14:paraId="0EA80946" w14:textId="6853620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6,7</w:t>
            </w:r>
          </w:p>
        </w:tc>
        <w:tc>
          <w:tcPr>
            <w:tcW w:w="557" w:type="pct"/>
            <w:shd w:val="clear" w:color="auto" w:fill="E5DFEC"/>
            <w:noWrap/>
            <w:vAlign w:val="bottom"/>
            <w:hideMark/>
          </w:tcPr>
          <w:p w14:paraId="5F786F9C" w14:textId="7C7E686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4,0</w:t>
            </w:r>
          </w:p>
        </w:tc>
        <w:tc>
          <w:tcPr>
            <w:tcW w:w="555" w:type="pct"/>
            <w:shd w:val="clear" w:color="auto" w:fill="E5DFEC"/>
            <w:noWrap/>
            <w:vAlign w:val="bottom"/>
            <w:hideMark/>
          </w:tcPr>
          <w:p w14:paraId="2A5EA1D1" w14:textId="46735EE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2,5</w:t>
            </w:r>
          </w:p>
        </w:tc>
      </w:tr>
      <w:tr w:rsidR="00811083" w:rsidRPr="00811083" w14:paraId="3683CB36"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48D27819"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c23</w:t>
            </w:r>
          </w:p>
        </w:tc>
        <w:tc>
          <w:tcPr>
            <w:tcW w:w="2386" w:type="pct"/>
            <w:shd w:val="clear" w:color="auto" w:fill="CCC0D9"/>
          </w:tcPr>
          <w:p w14:paraId="4D563E1C"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Nemetāliskie minerāli</w:t>
            </w:r>
          </w:p>
        </w:tc>
        <w:tc>
          <w:tcPr>
            <w:tcW w:w="557" w:type="pct"/>
            <w:shd w:val="clear" w:color="auto" w:fill="CCC0D9"/>
            <w:noWrap/>
            <w:vAlign w:val="bottom"/>
            <w:hideMark/>
          </w:tcPr>
          <w:p w14:paraId="009988A6" w14:textId="7F80C91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5,7</w:t>
            </w:r>
          </w:p>
        </w:tc>
        <w:tc>
          <w:tcPr>
            <w:tcW w:w="558" w:type="pct"/>
            <w:shd w:val="clear" w:color="auto" w:fill="CCC0D9"/>
            <w:noWrap/>
            <w:vAlign w:val="bottom"/>
            <w:hideMark/>
          </w:tcPr>
          <w:p w14:paraId="1D1BFEEE" w14:textId="3532584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0,4</w:t>
            </w:r>
          </w:p>
        </w:tc>
        <w:tc>
          <w:tcPr>
            <w:tcW w:w="557" w:type="pct"/>
            <w:shd w:val="clear" w:color="auto" w:fill="CCC0D9"/>
            <w:noWrap/>
            <w:vAlign w:val="bottom"/>
            <w:hideMark/>
          </w:tcPr>
          <w:p w14:paraId="560FB3E6" w14:textId="1C693FC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4,2</w:t>
            </w:r>
          </w:p>
        </w:tc>
        <w:tc>
          <w:tcPr>
            <w:tcW w:w="555" w:type="pct"/>
            <w:shd w:val="clear" w:color="auto" w:fill="CCC0D9"/>
            <w:noWrap/>
            <w:vAlign w:val="bottom"/>
            <w:hideMark/>
          </w:tcPr>
          <w:p w14:paraId="33754FD1" w14:textId="6C720F4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2,9</w:t>
            </w:r>
          </w:p>
        </w:tc>
      </w:tr>
      <w:tr w:rsidR="00811083" w:rsidRPr="00811083" w14:paraId="4384A28E"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91798A0"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c25</w:t>
            </w:r>
          </w:p>
        </w:tc>
        <w:tc>
          <w:tcPr>
            <w:tcW w:w="2386" w:type="pct"/>
            <w:shd w:val="clear" w:color="auto" w:fill="E5DFEC"/>
          </w:tcPr>
          <w:p w14:paraId="1947334E"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Gatavie metālizstrādājumi</w:t>
            </w:r>
          </w:p>
        </w:tc>
        <w:tc>
          <w:tcPr>
            <w:tcW w:w="557" w:type="pct"/>
            <w:shd w:val="clear" w:color="auto" w:fill="E5DFEC"/>
            <w:noWrap/>
            <w:vAlign w:val="bottom"/>
            <w:hideMark/>
          </w:tcPr>
          <w:p w14:paraId="5B87F081" w14:textId="253F807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8,9</w:t>
            </w:r>
          </w:p>
        </w:tc>
        <w:tc>
          <w:tcPr>
            <w:tcW w:w="558" w:type="pct"/>
            <w:shd w:val="clear" w:color="auto" w:fill="E5DFEC"/>
            <w:noWrap/>
            <w:vAlign w:val="bottom"/>
            <w:hideMark/>
          </w:tcPr>
          <w:p w14:paraId="09227569" w14:textId="2858DFD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0,8</w:t>
            </w:r>
          </w:p>
        </w:tc>
        <w:tc>
          <w:tcPr>
            <w:tcW w:w="557" w:type="pct"/>
            <w:shd w:val="clear" w:color="auto" w:fill="E5DFEC"/>
            <w:noWrap/>
            <w:vAlign w:val="bottom"/>
            <w:hideMark/>
          </w:tcPr>
          <w:p w14:paraId="09FEE9E1" w14:textId="73504DB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5,0</w:t>
            </w:r>
          </w:p>
        </w:tc>
        <w:tc>
          <w:tcPr>
            <w:tcW w:w="555" w:type="pct"/>
            <w:shd w:val="clear" w:color="auto" w:fill="E5DFEC"/>
            <w:noWrap/>
            <w:vAlign w:val="bottom"/>
            <w:hideMark/>
          </w:tcPr>
          <w:p w14:paraId="135F2113" w14:textId="57BC9CB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3,6</w:t>
            </w:r>
          </w:p>
        </w:tc>
      </w:tr>
      <w:tr w:rsidR="00811083" w:rsidRPr="00811083" w14:paraId="0847578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25CF475"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c26-28</w:t>
            </w:r>
          </w:p>
        </w:tc>
        <w:tc>
          <w:tcPr>
            <w:tcW w:w="2386" w:type="pct"/>
            <w:shd w:val="clear" w:color="auto" w:fill="CCC0D9"/>
          </w:tcPr>
          <w:p w14:paraId="531B024C"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Elektriskās ierīces, mašīnas un iekārtas</w:t>
            </w:r>
          </w:p>
        </w:tc>
        <w:tc>
          <w:tcPr>
            <w:tcW w:w="557" w:type="pct"/>
            <w:shd w:val="clear" w:color="auto" w:fill="CCC0D9"/>
            <w:noWrap/>
            <w:vAlign w:val="bottom"/>
            <w:hideMark/>
          </w:tcPr>
          <w:p w14:paraId="4E33F6A0" w14:textId="63E61CD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11,1</w:t>
            </w:r>
          </w:p>
        </w:tc>
        <w:tc>
          <w:tcPr>
            <w:tcW w:w="558" w:type="pct"/>
            <w:shd w:val="clear" w:color="auto" w:fill="CCC0D9"/>
            <w:noWrap/>
            <w:vAlign w:val="bottom"/>
            <w:hideMark/>
          </w:tcPr>
          <w:p w14:paraId="3A8929DF" w14:textId="00FB932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14,8</w:t>
            </w:r>
          </w:p>
        </w:tc>
        <w:tc>
          <w:tcPr>
            <w:tcW w:w="557" w:type="pct"/>
            <w:shd w:val="clear" w:color="auto" w:fill="CCC0D9"/>
            <w:noWrap/>
            <w:vAlign w:val="bottom"/>
            <w:hideMark/>
          </w:tcPr>
          <w:p w14:paraId="3B18305F" w14:textId="0E52DB1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5,5</w:t>
            </w:r>
          </w:p>
        </w:tc>
        <w:tc>
          <w:tcPr>
            <w:tcW w:w="555" w:type="pct"/>
            <w:shd w:val="clear" w:color="auto" w:fill="CCC0D9"/>
            <w:noWrap/>
            <w:vAlign w:val="bottom"/>
            <w:hideMark/>
          </w:tcPr>
          <w:p w14:paraId="2A04769E" w14:textId="3C2A395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4,0</w:t>
            </w:r>
          </w:p>
        </w:tc>
      </w:tr>
      <w:tr w:rsidR="00811083" w:rsidRPr="00811083" w14:paraId="4EA101AF"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33F59E80"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c29-30</w:t>
            </w:r>
          </w:p>
        </w:tc>
        <w:tc>
          <w:tcPr>
            <w:tcW w:w="2386" w:type="pct"/>
            <w:shd w:val="clear" w:color="auto" w:fill="E5DFEC"/>
          </w:tcPr>
          <w:p w14:paraId="70CE60C6"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Transportlīdzekļu ražošana</w:t>
            </w:r>
          </w:p>
        </w:tc>
        <w:tc>
          <w:tcPr>
            <w:tcW w:w="557" w:type="pct"/>
            <w:shd w:val="clear" w:color="auto" w:fill="E5DFEC"/>
            <w:noWrap/>
            <w:vAlign w:val="bottom"/>
            <w:hideMark/>
          </w:tcPr>
          <w:p w14:paraId="386388B0" w14:textId="522FF93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7,2</w:t>
            </w:r>
          </w:p>
        </w:tc>
        <w:tc>
          <w:tcPr>
            <w:tcW w:w="558" w:type="pct"/>
            <w:shd w:val="clear" w:color="auto" w:fill="E5DFEC"/>
            <w:noWrap/>
            <w:vAlign w:val="bottom"/>
            <w:hideMark/>
          </w:tcPr>
          <w:p w14:paraId="5D7F8C0C" w14:textId="3863B06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7,2</w:t>
            </w:r>
          </w:p>
        </w:tc>
        <w:tc>
          <w:tcPr>
            <w:tcW w:w="557" w:type="pct"/>
            <w:shd w:val="clear" w:color="auto" w:fill="E5DFEC"/>
            <w:noWrap/>
            <w:vAlign w:val="bottom"/>
            <w:hideMark/>
          </w:tcPr>
          <w:p w14:paraId="012C8679" w14:textId="7D2E0C15"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4,1</w:t>
            </w:r>
          </w:p>
        </w:tc>
        <w:tc>
          <w:tcPr>
            <w:tcW w:w="555" w:type="pct"/>
            <w:shd w:val="clear" w:color="auto" w:fill="E5DFEC"/>
            <w:noWrap/>
            <w:vAlign w:val="bottom"/>
            <w:hideMark/>
          </w:tcPr>
          <w:p w14:paraId="242F88D4" w14:textId="11E4B63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3,0</w:t>
            </w:r>
          </w:p>
        </w:tc>
      </w:tr>
      <w:tr w:rsidR="00811083" w:rsidRPr="00811083" w14:paraId="34AE0FD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11CA85A9"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c31-32</w:t>
            </w:r>
          </w:p>
        </w:tc>
        <w:tc>
          <w:tcPr>
            <w:tcW w:w="2386" w:type="pct"/>
            <w:shd w:val="clear" w:color="auto" w:fill="CCC0D9"/>
          </w:tcPr>
          <w:p w14:paraId="21764F8E"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Mēbeļu ražošana u.c.</w:t>
            </w:r>
          </w:p>
        </w:tc>
        <w:tc>
          <w:tcPr>
            <w:tcW w:w="557" w:type="pct"/>
            <w:shd w:val="clear" w:color="auto" w:fill="CCC0D9"/>
            <w:noWrap/>
            <w:vAlign w:val="bottom"/>
            <w:hideMark/>
          </w:tcPr>
          <w:p w14:paraId="52D6C60A" w14:textId="21D1B6D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3,6</w:t>
            </w:r>
          </w:p>
        </w:tc>
        <w:tc>
          <w:tcPr>
            <w:tcW w:w="558" w:type="pct"/>
            <w:shd w:val="clear" w:color="auto" w:fill="CCC0D9"/>
            <w:noWrap/>
            <w:vAlign w:val="bottom"/>
            <w:hideMark/>
          </w:tcPr>
          <w:p w14:paraId="1478441A" w14:textId="43C05C0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6,3</w:t>
            </w:r>
          </w:p>
        </w:tc>
        <w:tc>
          <w:tcPr>
            <w:tcW w:w="557" w:type="pct"/>
            <w:shd w:val="clear" w:color="auto" w:fill="CCC0D9"/>
            <w:noWrap/>
            <w:vAlign w:val="bottom"/>
            <w:hideMark/>
          </w:tcPr>
          <w:p w14:paraId="64D96472" w14:textId="6294FFC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3,5</w:t>
            </w:r>
          </w:p>
        </w:tc>
        <w:tc>
          <w:tcPr>
            <w:tcW w:w="555" w:type="pct"/>
            <w:shd w:val="clear" w:color="auto" w:fill="CCC0D9"/>
            <w:noWrap/>
            <w:vAlign w:val="bottom"/>
            <w:hideMark/>
          </w:tcPr>
          <w:p w14:paraId="02EF62CD" w14:textId="1DFCC00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2,1</w:t>
            </w:r>
          </w:p>
        </w:tc>
      </w:tr>
      <w:tr w:rsidR="00811083" w:rsidRPr="00811083" w14:paraId="4B440D77"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14A27BE2" w14:textId="77777777" w:rsidR="00AE74F0" w:rsidRPr="00811083" w:rsidRDefault="00AE74F0" w:rsidP="00D209BD">
            <w:pPr>
              <w:spacing w:before="20" w:after="20"/>
              <w:jc w:val="right"/>
              <w:rPr>
                <w:rFonts w:eastAsia="Times New Roman" w:cs="Calibri Light"/>
                <w:b w:val="0"/>
                <w:bCs w:val="0"/>
                <w:i/>
                <w:iCs/>
                <w:color w:val="000000"/>
                <w:sz w:val="16"/>
                <w:szCs w:val="16"/>
                <w:lang w:eastAsia="lv-LV"/>
              </w:rPr>
            </w:pPr>
            <w:r w:rsidRPr="00811083">
              <w:rPr>
                <w:rFonts w:eastAsia="Times New Roman" w:cs="Calibri Light"/>
                <w:b w:val="0"/>
                <w:bCs w:val="0"/>
                <w:i/>
                <w:iCs/>
                <w:color w:val="000000"/>
                <w:sz w:val="16"/>
                <w:szCs w:val="16"/>
                <w:lang w:eastAsia="lv-LV"/>
              </w:rPr>
              <w:t>c33</w:t>
            </w:r>
          </w:p>
        </w:tc>
        <w:tc>
          <w:tcPr>
            <w:tcW w:w="2386" w:type="pct"/>
            <w:shd w:val="clear" w:color="auto" w:fill="E5DFEC"/>
          </w:tcPr>
          <w:p w14:paraId="3877503D" w14:textId="77777777" w:rsidR="00AE74F0" w:rsidRPr="00811083" w:rsidRDefault="00AE74F0" w:rsidP="00D209BD">
            <w:pPr>
              <w:spacing w:before="20" w:after="20"/>
              <w:ind w:left="254"/>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Iekārtu remonts</w:t>
            </w:r>
          </w:p>
        </w:tc>
        <w:tc>
          <w:tcPr>
            <w:tcW w:w="557" w:type="pct"/>
            <w:shd w:val="clear" w:color="auto" w:fill="E5DFEC"/>
            <w:noWrap/>
            <w:vAlign w:val="bottom"/>
            <w:hideMark/>
          </w:tcPr>
          <w:p w14:paraId="544E0468" w14:textId="4F8260F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3,2</w:t>
            </w:r>
          </w:p>
        </w:tc>
        <w:tc>
          <w:tcPr>
            <w:tcW w:w="558" w:type="pct"/>
            <w:shd w:val="clear" w:color="auto" w:fill="E5DFEC"/>
            <w:noWrap/>
            <w:vAlign w:val="bottom"/>
            <w:hideMark/>
          </w:tcPr>
          <w:p w14:paraId="500BF83A" w14:textId="4CA8808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3,2</w:t>
            </w:r>
          </w:p>
        </w:tc>
        <w:tc>
          <w:tcPr>
            <w:tcW w:w="557" w:type="pct"/>
            <w:shd w:val="clear" w:color="auto" w:fill="E5DFEC"/>
            <w:noWrap/>
            <w:vAlign w:val="bottom"/>
            <w:hideMark/>
          </w:tcPr>
          <w:p w14:paraId="763E98DE" w14:textId="0E1E7D9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4,4</w:t>
            </w:r>
          </w:p>
        </w:tc>
        <w:tc>
          <w:tcPr>
            <w:tcW w:w="555" w:type="pct"/>
            <w:shd w:val="clear" w:color="auto" w:fill="E5DFEC"/>
            <w:noWrap/>
            <w:vAlign w:val="bottom"/>
            <w:hideMark/>
          </w:tcPr>
          <w:p w14:paraId="5A7B67A5" w14:textId="1BB2780A"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i/>
                <w:iCs/>
                <w:color w:val="000000"/>
                <w:sz w:val="16"/>
                <w:szCs w:val="16"/>
                <w:lang w:eastAsia="lv-LV"/>
              </w:rPr>
            </w:pPr>
            <w:r w:rsidRPr="00811083">
              <w:rPr>
                <w:rFonts w:eastAsia="Times New Roman" w:cs="Calibri Light"/>
                <w:i/>
                <w:iCs/>
                <w:color w:val="000000"/>
                <w:sz w:val="16"/>
                <w:szCs w:val="16"/>
                <w:lang w:eastAsia="lv-LV"/>
              </w:rPr>
              <w:t>3,1</w:t>
            </w:r>
          </w:p>
        </w:tc>
      </w:tr>
      <w:tr w:rsidR="00811083" w:rsidRPr="00811083" w14:paraId="6629F07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0CC576FC"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F</w:t>
            </w:r>
          </w:p>
        </w:tc>
        <w:tc>
          <w:tcPr>
            <w:tcW w:w="2386" w:type="pct"/>
            <w:shd w:val="clear" w:color="auto" w:fill="CCC0D9"/>
          </w:tcPr>
          <w:p w14:paraId="0E72527A"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Būvniecība</w:t>
            </w:r>
          </w:p>
        </w:tc>
        <w:tc>
          <w:tcPr>
            <w:tcW w:w="557" w:type="pct"/>
            <w:shd w:val="clear" w:color="auto" w:fill="CCC0D9"/>
            <w:noWrap/>
            <w:vAlign w:val="bottom"/>
            <w:hideMark/>
          </w:tcPr>
          <w:p w14:paraId="52D2DD3F" w14:textId="14EB3E31"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6,3</w:t>
            </w:r>
          </w:p>
        </w:tc>
        <w:tc>
          <w:tcPr>
            <w:tcW w:w="558" w:type="pct"/>
            <w:shd w:val="clear" w:color="auto" w:fill="CCC0D9"/>
            <w:noWrap/>
            <w:vAlign w:val="bottom"/>
            <w:hideMark/>
          </w:tcPr>
          <w:p w14:paraId="7E7EAC4C" w14:textId="472D5A7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c>
          <w:tcPr>
            <w:tcW w:w="557" w:type="pct"/>
            <w:shd w:val="clear" w:color="auto" w:fill="CCC0D9"/>
            <w:noWrap/>
            <w:vAlign w:val="bottom"/>
            <w:hideMark/>
          </w:tcPr>
          <w:p w14:paraId="5CA4EDD2" w14:textId="6C60F68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5,7</w:t>
            </w:r>
          </w:p>
        </w:tc>
        <w:tc>
          <w:tcPr>
            <w:tcW w:w="555" w:type="pct"/>
            <w:shd w:val="clear" w:color="auto" w:fill="CCC0D9"/>
            <w:noWrap/>
            <w:vAlign w:val="bottom"/>
            <w:hideMark/>
          </w:tcPr>
          <w:p w14:paraId="3E448833" w14:textId="4491CC0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2,8</w:t>
            </w:r>
          </w:p>
        </w:tc>
      </w:tr>
      <w:tr w:rsidR="00811083" w:rsidRPr="00811083" w14:paraId="7BBB45B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1FB845C"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G</w:t>
            </w:r>
          </w:p>
        </w:tc>
        <w:tc>
          <w:tcPr>
            <w:tcW w:w="2386" w:type="pct"/>
            <w:shd w:val="clear" w:color="auto" w:fill="E5DFEC"/>
          </w:tcPr>
          <w:p w14:paraId="5911A9EB"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Vairumtirdzniecība un mazumtirdzniecība</w:t>
            </w:r>
          </w:p>
        </w:tc>
        <w:tc>
          <w:tcPr>
            <w:tcW w:w="557" w:type="pct"/>
            <w:shd w:val="clear" w:color="auto" w:fill="E5DFEC"/>
            <w:noWrap/>
            <w:vAlign w:val="bottom"/>
            <w:hideMark/>
          </w:tcPr>
          <w:p w14:paraId="15B076D0" w14:textId="12E44C5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3,8</w:t>
            </w:r>
          </w:p>
        </w:tc>
        <w:tc>
          <w:tcPr>
            <w:tcW w:w="558" w:type="pct"/>
            <w:shd w:val="clear" w:color="auto" w:fill="E5DFEC"/>
            <w:noWrap/>
            <w:vAlign w:val="bottom"/>
            <w:hideMark/>
          </w:tcPr>
          <w:p w14:paraId="2DCAC641" w14:textId="7419C92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2,8</w:t>
            </w:r>
          </w:p>
        </w:tc>
        <w:tc>
          <w:tcPr>
            <w:tcW w:w="557" w:type="pct"/>
            <w:shd w:val="clear" w:color="auto" w:fill="E5DFEC"/>
            <w:noWrap/>
            <w:vAlign w:val="bottom"/>
            <w:hideMark/>
          </w:tcPr>
          <w:p w14:paraId="57248A65" w14:textId="14B09971"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4,3</w:t>
            </w:r>
          </w:p>
        </w:tc>
        <w:tc>
          <w:tcPr>
            <w:tcW w:w="555" w:type="pct"/>
            <w:shd w:val="clear" w:color="auto" w:fill="E5DFEC"/>
            <w:noWrap/>
            <w:vAlign w:val="bottom"/>
            <w:hideMark/>
          </w:tcPr>
          <w:p w14:paraId="2FDE3C47" w14:textId="218B27D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2,7</w:t>
            </w:r>
          </w:p>
        </w:tc>
      </w:tr>
      <w:tr w:rsidR="00811083" w:rsidRPr="00811083" w14:paraId="673C3BF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5A6F243F"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H</w:t>
            </w:r>
          </w:p>
        </w:tc>
        <w:tc>
          <w:tcPr>
            <w:tcW w:w="2386" w:type="pct"/>
            <w:shd w:val="clear" w:color="auto" w:fill="CCC0D9"/>
          </w:tcPr>
          <w:p w14:paraId="74CE74E7"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Transports un uzglabāšana</w:t>
            </w:r>
          </w:p>
        </w:tc>
        <w:tc>
          <w:tcPr>
            <w:tcW w:w="557" w:type="pct"/>
            <w:shd w:val="clear" w:color="auto" w:fill="CCC0D9"/>
            <w:noWrap/>
            <w:vAlign w:val="bottom"/>
            <w:hideMark/>
          </w:tcPr>
          <w:p w14:paraId="2F67B0F7" w14:textId="5C6F790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3,9</w:t>
            </w:r>
          </w:p>
        </w:tc>
        <w:tc>
          <w:tcPr>
            <w:tcW w:w="558" w:type="pct"/>
            <w:shd w:val="clear" w:color="auto" w:fill="CCC0D9"/>
            <w:noWrap/>
            <w:vAlign w:val="bottom"/>
            <w:hideMark/>
          </w:tcPr>
          <w:p w14:paraId="37FCAEB3" w14:textId="30141DF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-4,9</w:t>
            </w:r>
          </w:p>
        </w:tc>
        <w:tc>
          <w:tcPr>
            <w:tcW w:w="557" w:type="pct"/>
            <w:shd w:val="clear" w:color="auto" w:fill="CCC0D9"/>
            <w:noWrap/>
            <w:vAlign w:val="bottom"/>
            <w:hideMark/>
          </w:tcPr>
          <w:p w14:paraId="73C6E0FE" w14:textId="086B07C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4,0</w:t>
            </w:r>
          </w:p>
        </w:tc>
        <w:tc>
          <w:tcPr>
            <w:tcW w:w="555" w:type="pct"/>
            <w:shd w:val="clear" w:color="auto" w:fill="CCC0D9"/>
            <w:noWrap/>
            <w:vAlign w:val="bottom"/>
            <w:hideMark/>
          </w:tcPr>
          <w:p w14:paraId="2FB2538E" w14:textId="0E581007"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2,7</w:t>
            </w:r>
          </w:p>
        </w:tc>
      </w:tr>
      <w:tr w:rsidR="00811083" w:rsidRPr="00811083" w14:paraId="6B91A01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CD624BE"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I</w:t>
            </w:r>
          </w:p>
        </w:tc>
        <w:tc>
          <w:tcPr>
            <w:tcW w:w="2386" w:type="pct"/>
            <w:shd w:val="clear" w:color="auto" w:fill="E5DFEC"/>
          </w:tcPr>
          <w:p w14:paraId="0E4C399C"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Izmitināšanas un ēdināšanas apkalpojumi</w:t>
            </w:r>
          </w:p>
        </w:tc>
        <w:tc>
          <w:tcPr>
            <w:tcW w:w="557" w:type="pct"/>
            <w:shd w:val="clear" w:color="auto" w:fill="E5DFEC"/>
            <w:noWrap/>
            <w:vAlign w:val="bottom"/>
            <w:hideMark/>
          </w:tcPr>
          <w:p w14:paraId="1D4ACC12" w14:textId="32808A78"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4,3</w:t>
            </w:r>
          </w:p>
        </w:tc>
        <w:tc>
          <w:tcPr>
            <w:tcW w:w="558" w:type="pct"/>
            <w:shd w:val="clear" w:color="auto" w:fill="E5DFEC"/>
            <w:noWrap/>
            <w:vAlign w:val="bottom"/>
            <w:hideMark/>
          </w:tcPr>
          <w:p w14:paraId="5983A36E" w14:textId="0AF9B7CB"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-25,8</w:t>
            </w:r>
          </w:p>
        </w:tc>
        <w:tc>
          <w:tcPr>
            <w:tcW w:w="557" w:type="pct"/>
            <w:shd w:val="clear" w:color="auto" w:fill="E5DFEC"/>
            <w:noWrap/>
            <w:vAlign w:val="bottom"/>
            <w:hideMark/>
          </w:tcPr>
          <w:p w14:paraId="2A21AB73" w14:textId="65347AFA"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7,5</w:t>
            </w:r>
          </w:p>
        </w:tc>
        <w:tc>
          <w:tcPr>
            <w:tcW w:w="555" w:type="pct"/>
            <w:shd w:val="clear" w:color="auto" w:fill="E5DFEC"/>
            <w:noWrap/>
            <w:vAlign w:val="bottom"/>
            <w:hideMark/>
          </w:tcPr>
          <w:p w14:paraId="68BB1140" w14:textId="339AC521"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2,8</w:t>
            </w:r>
          </w:p>
        </w:tc>
      </w:tr>
      <w:tr w:rsidR="00811083" w:rsidRPr="00811083" w14:paraId="787F280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4CB84689"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J</w:t>
            </w:r>
          </w:p>
        </w:tc>
        <w:tc>
          <w:tcPr>
            <w:tcW w:w="2386" w:type="pct"/>
            <w:shd w:val="clear" w:color="auto" w:fill="CCC0D9"/>
          </w:tcPr>
          <w:p w14:paraId="5476D30E"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Informācijas un komunikācijas pakalpojumi</w:t>
            </w:r>
          </w:p>
        </w:tc>
        <w:tc>
          <w:tcPr>
            <w:tcW w:w="557" w:type="pct"/>
            <w:shd w:val="clear" w:color="auto" w:fill="CCC0D9"/>
            <w:noWrap/>
            <w:vAlign w:val="bottom"/>
            <w:hideMark/>
          </w:tcPr>
          <w:p w14:paraId="6D8B9F64" w14:textId="56F1CBB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4,6</w:t>
            </w:r>
          </w:p>
        </w:tc>
        <w:tc>
          <w:tcPr>
            <w:tcW w:w="558" w:type="pct"/>
            <w:shd w:val="clear" w:color="auto" w:fill="CCC0D9"/>
            <w:noWrap/>
            <w:vAlign w:val="bottom"/>
            <w:hideMark/>
          </w:tcPr>
          <w:p w14:paraId="206EC155" w14:textId="543FBD8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1,6</w:t>
            </w:r>
          </w:p>
        </w:tc>
        <w:tc>
          <w:tcPr>
            <w:tcW w:w="557" w:type="pct"/>
            <w:shd w:val="clear" w:color="auto" w:fill="CCC0D9"/>
            <w:noWrap/>
            <w:vAlign w:val="bottom"/>
            <w:hideMark/>
          </w:tcPr>
          <w:p w14:paraId="53FB930C" w14:textId="33D449D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5,5</w:t>
            </w:r>
          </w:p>
        </w:tc>
        <w:tc>
          <w:tcPr>
            <w:tcW w:w="555" w:type="pct"/>
            <w:shd w:val="clear" w:color="auto" w:fill="CCC0D9"/>
            <w:noWrap/>
            <w:vAlign w:val="bottom"/>
            <w:hideMark/>
          </w:tcPr>
          <w:p w14:paraId="754523E6" w14:textId="6F90EE2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4,2</w:t>
            </w:r>
          </w:p>
        </w:tc>
      </w:tr>
      <w:tr w:rsidR="00811083" w:rsidRPr="00811083" w14:paraId="3D0B8358"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412EE5DD"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K</w:t>
            </w:r>
          </w:p>
        </w:tc>
        <w:tc>
          <w:tcPr>
            <w:tcW w:w="2386" w:type="pct"/>
            <w:shd w:val="clear" w:color="auto" w:fill="E5DFEC"/>
          </w:tcPr>
          <w:p w14:paraId="3F3522FB"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Finanšu un apdrošināšanas darbības</w:t>
            </w:r>
          </w:p>
        </w:tc>
        <w:tc>
          <w:tcPr>
            <w:tcW w:w="557" w:type="pct"/>
            <w:shd w:val="clear" w:color="auto" w:fill="E5DFEC"/>
            <w:noWrap/>
            <w:vAlign w:val="bottom"/>
            <w:hideMark/>
          </w:tcPr>
          <w:p w14:paraId="748BCCE6" w14:textId="09565EB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-2,3</w:t>
            </w:r>
          </w:p>
        </w:tc>
        <w:tc>
          <w:tcPr>
            <w:tcW w:w="558" w:type="pct"/>
            <w:shd w:val="clear" w:color="auto" w:fill="E5DFEC"/>
            <w:noWrap/>
            <w:vAlign w:val="bottom"/>
            <w:hideMark/>
          </w:tcPr>
          <w:p w14:paraId="32408BF7" w14:textId="421D081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8,4</w:t>
            </w:r>
          </w:p>
        </w:tc>
        <w:tc>
          <w:tcPr>
            <w:tcW w:w="557" w:type="pct"/>
            <w:shd w:val="clear" w:color="auto" w:fill="E5DFEC"/>
            <w:noWrap/>
            <w:vAlign w:val="bottom"/>
            <w:hideMark/>
          </w:tcPr>
          <w:p w14:paraId="714658AC" w14:textId="1A99508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4,1</w:t>
            </w:r>
          </w:p>
        </w:tc>
        <w:tc>
          <w:tcPr>
            <w:tcW w:w="555" w:type="pct"/>
            <w:shd w:val="clear" w:color="auto" w:fill="E5DFEC"/>
            <w:noWrap/>
            <w:vAlign w:val="bottom"/>
            <w:hideMark/>
          </w:tcPr>
          <w:p w14:paraId="32C4A570" w14:textId="1A3D189D"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2,2</w:t>
            </w:r>
          </w:p>
        </w:tc>
      </w:tr>
      <w:tr w:rsidR="00811083" w:rsidRPr="00811083" w14:paraId="059D30AA"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DBA8FA5"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L</w:t>
            </w:r>
          </w:p>
        </w:tc>
        <w:tc>
          <w:tcPr>
            <w:tcW w:w="2386" w:type="pct"/>
            <w:shd w:val="clear" w:color="auto" w:fill="CCC0D9"/>
          </w:tcPr>
          <w:p w14:paraId="7925B47C"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Operācijas ar nekustamo īpašumu</w:t>
            </w:r>
          </w:p>
        </w:tc>
        <w:tc>
          <w:tcPr>
            <w:tcW w:w="557" w:type="pct"/>
            <w:shd w:val="clear" w:color="auto" w:fill="CCC0D9"/>
            <w:noWrap/>
            <w:vAlign w:val="bottom"/>
            <w:hideMark/>
          </w:tcPr>
          <w:p w14:paraId="3689E984" w14:textId="7735FEF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1,4</w:t>
            </w:r>
          </w:p>
        </w:tc>
        <w:tc>
          <w:tcPr>
            <w:tcW w:w="558" w:type="pct"/>
            <w:shd w:val="clear" w:color="auto" w:fill="CCC0D9"/>
            <w:noWrap/>
            <w:vAlign w:val="bottom"/>
            <w:hideMark/>
          </w:tcPr>
          <w:p w14:paraId="63D03927" w14:textId="0DDB9FA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-1,1</w:t>
            </w:r>
          </w:p>
        </w:tc>
        <w:tc>
          <w:tcPr>
            <w:tcW w:w="557" w:type="pct"/>
            <w:shd w:val="clear" w:color="auto" w:fill="CCC0D9"/>
            <w:noWrap/>
            <w:vAlign w:val="bottom"/>
            <w:hideMark/>
          </w:tcPr>
          <w:p w14:paraId="462D82F5" w14:textId="68221E2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2,9</w:t>
            </w:r>
          </w:p>
        </w:tc>
        <w:tc>
          <w:tcPr>
            <w:tcW w:w="555" w:type="pct"/>
            <w:shd w:val="clear" w:color="auto" w:fill="CCC0D9"/>
            <w:noWrap/>
            <w:vAlign w:val="bottom"/>
            <w:hideMark/>
          </w:tcPr>
          <w:p w14:paraId="5B05B929" w14:textId="0964B6B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3,0</w:t>
            </w:r>
          </w:p>
        </w:tc>
      </w:tr>
      <w:tr w:rsidR="00811083" w:rsidRPr="00811083" w14:paraId="4749BDFB"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A60AA45"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MNS</w:t>
            </w:r>
          </w:p>
        </w:tc>
        <w:tc>
          <w:tcPr>
            <w:tcW w:w="2386" w:type="pct"/>
            <w:shd w:val="clear" w:color="auto" w:fill="E5DFEC"/>
          </w:tcPr>
          <w:p w14:paraId="697101F7"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Komercpakalpojumi</w:t>
            </w:r>
          </w:p>
        </w:tc>
        <w:tc>
          <w:tcPr>
            <w:tcW w:w="557" w:type="pct"/>
            <w:shd w:val="clear" w:color="auto" w:fill="E5DFEC"/>
            <w:noWrap/>
            <w:vAlign w:val="bottom"/>
            <w:hideMark/>
          </w:tcPr>
          <w:p w14:paraId="2F6545F6" w14:textId="0DA870F3"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3,5</w:t>
            </w:r>
          </w:p>
        </w:tc>
        <w:tc>
          <w:tcPr>
            <w:tcW w:w="558" w:type="pct"/>
            <w:shd w:val="clear" w:color="auto" w:fill="E5DFEC"/>
            <w:noWrap/>
            <w:vAlign w:val="bottom"/>
            <w:hideMark/>
          </w:tcPr>
          <w:p w14:paraId="5B39B10D" w14:textId="6D9D8FFC"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-0,6</w:t>
            </w:r>
          </w:p>
        </w:tc>
        <w:tc>
          <w:tcPr>
            <w:tcW w:w="557" w:type="pct"/>
            <w:shd w:val="clear" w:color="auto" w:fill="E5DFEC"/>
            <w:noWrap/>
            <w:vAlign w:val="bottom"/>
            <w:hideMark/>
          </w:tcPr>
          <w:p w14:paraId="4F4A32E3" w14:textId="18760547"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5,0</w:t>
            </w:r>
          </w:p>
        </w:tc>
        <w:tc>
          <w:tcPr>
            <w:tcW w:w="555" w:type="pct"/>
            <w:shd w:val="clear" w:color="auto" w:fill="E5DFEC"/>
            <w:noWrap/>
            <w:vAlign w:val="bottom"/>
            <w:hideMark/>
          </w:tcPr>
          <w:p w14:paraId="6C8F0F45" w14:textId="7C6BFE8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3,0</w:t>
            </w:r>
          </w:p>
        </w:tc>
      </w:tr>
      <w:tr w:rsidR="00811083" w:rsidRPr="00811083" w14:paraId="1A34B792"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730A2005"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O</w:t>
            </w:r>
          </w:p>
        </w:tc>
        <w:tc>
          <w:tcPr>
            <w:tcW w:w="2386" w:type="pct"/>
            <w:shd w:val="clear" w:color="auto" w:fill="CCC0D9"/>
          </w:tcPr>
          <w:p w14:paraId="667B57D9"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Valsts pārvalde</w:t>
            </w:r>
          </w:p>
        </w:tc>
        <w:tc>
          <w:tcPr>
            <w:tcW w:w="557" w:type="pct"/>
            <w:shd w:val="clear" w:color="auto" w:fill="CCC0D9"/>
            <w:noWrap/>
            <w:vAlign w:val="bottom"/>
            <w:hideMark/>
          </w:tcPr>
          <w:p w14:paraId="24E61FBD" w14:textId="2914309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2,0</w:t>
            </w:r>
          </w:p>
        </w:tc>
        <w:tc>
          <w:tcPr>
            <w:tcW w:w="558" w:type="pct"/>
            <w:shd w:val="clear" w:color="auto" w:fill="CCC0D9"/>
            <w:noWrap/>
            <w:vAlign w:val="bottom"/>
            <w:hideMark/>
          </w:tcPr>
          <w:p w14:paraId="2B5C4B76" w14:textId="5995290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2,2</w:t>
            </w:r>
          </w:p>
        </w:tc>
        <w:tc>
          <w:tcPr>
            <w:tcW w:w="557" w:type="pct"/>
            <w:shd w:val="clear" w:color="auto" w:fill="CCC0D9"/>
            <w:noWrap/>
            <w:vAlign w:val="bottom"/>
            <w:hideMark/>
          </w:tcPr>
          <w:p w14:paraId="0EC7B162" w14:textId="7ADF21D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2,8</w:t>
            </w:r>
          </w:p>
        </w:tc>
        <w:tc>
          <w:tcPr>
            <w:tcW w:w="555" w:type="pct"/>
            <w:shd w:val="clear" w:color="auto" w:fill="CCC0D9"/>
            <w:noWrap/>
            <w:vAlign w:val="bottom"/>
            <w:hideMark/>
          </w:tcPr>
          <w:p w14:paraId="1DECA2F8" w14:textId="3139C4F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2,7</w:t>
            </w:r>
          </w:p>
        </w:tc>
      </w:tr>
      <w:tr w:rsidR="00811083" w:rsidRPr="00811083" w14:paraId="768A21C0"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73732DB5"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P</w:t>
            </w:r>
          </w:p>
        </w:tc>
        <w:tc>
          <w:tcPr>
            <w:tcW w:w="2386" w:type="pct"/>
            <w:shd w:val="clear" w:color="auto" w:fill="E5DFEC"/>
          </w:tcPr>
          <w:p w14:paraId="24AD7882"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Izglītība</w:t>
            </w:r>
          </w:p>
        </w:tc>
        <w:tc>
          <w:tcPr>
            <w:tcW w:w="557" w:type="pct"/>
            <w:shd w:val="clear" w:color="auto" w:fill="E5DFEC"/>
            <w:noWrap/>
            <w:vAlign w:val="bottom"/>
            <w:hideMark/>
          </w:tcPr>
          <w:p w14:paraId="2DF4E187" w14:textId="76E9F7C9"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2,5</w:t>
            </w:r>
          </w:p>
        </w:tc>
        <w:tc>
          <w:tcPr>
            <w:tcW w:w="558" w:type="pct"/>
            <w:shd w:val="clear" w:color="auto" w:fill="E5DFEC"/>
            <w:noWrap/>
            <w:vAlign w:val="bottom"/>
            <w:hideMark/>
          </w:tcPr>
          <w:p w14:paraId="267CCAC4" w14:textId="42E8E88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1,9</w:t>
            </w:r>
          </w:p>
        </w:tc>
        <w:tc>
          <w:tcPr>
            <w:tcW w:w="557" w:type="pct"/>
            <w:shd w:val="clear" w:color="auto" w:fill="E5DFEC"/>
            <w:noWrap/>
            <w:vAlign w:val="bottom"/>
            <w:hideMark/>
          </w:tcPr>
          <w:p w14:paraId="1C7B8910" w14:textId="22321FD7"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3,1</w:t>
            </w:r>
          </w:p>
        </w:tc>
        <w:tc>
          <w:tcPr>
            <w:tcW w:w="555" w:type="pct"/>
            <w:shd w:val="clear" w:color="auto" w:fill="E5DFEC"/>
            <w:noWrap/>
            <w:vAlign w:val="bottom"/>
            <w:hideMark/>
          </w:tcPr>
          <w:p w14:paraId="4A45E5B5" w14:textId="23797A7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3,0</w:t>
            </w:r>
          </w:p>
        </w:tc>
      </w:tr>
      <w:tr w:rsidR="00811083" w:rsidRPr="00811083" w14:paraId="4130DEF3"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2C3DAA27"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Q</w:t>
            </w:r>
          </w:p>
        </w:tc>
        <w:tc>
          <w:tcPr>
            <w:tcW w:w="2386" w:type="pct"/>
            <w:shd w:val="clear" w:color="auto" w:fill="CCC0D9"/>
          </w:tcPr>
          <w:p w14:paraId="54B5671E"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Veselība un sociālā aprūpe</w:t>
            </w:r>
          </w:p>
        </w:tc>
        <w:tc>
          <w:tcPr>
            <w:tcW w:w="557" w:type="pct"/>
            <w:shd w:val="clear" w:color="auto" w:fill="CCC0D9"/>
            <w:noWrap/>
            <w:vAlign w:val="bottom"/>
            <w:hideMark/>
          </w:tcPr>
          <w:p w14:paraId="4E41D8A4" w14:textId="663660D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5,4</w:t>
            </w:r>
          </w:p>
        </w:tc>
        <w:tc>
          <w:tcPr>
            <w:tcW w:w="558" w:type="pct"/>
            <w:shd w:val="clear" w:color="auto" w:fill="CCC0D9"/>
            <w:noWrap/>
            <w:vAlign w:val="bottom"/>
            <w:hideMark/>
          </w:tcPr>
          <w:p w14:paraId="4F20F740" w14:textId="195DEECF"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13,0</w:t>
            </w:r>
          </w:p>
        </w:tc>
        <w:tc>
          <w:tcPr>
            <w:tcW w:w="557" w:type="pct"/>
            <w:shd w:val="clear" w:color="auto" w:fill="CCC0D9"/>
            <w:noWrap/>
            <w:vAlign w:val="bottom"/>
            <w:hideMark/>
          </w:tcPr>
          <w:p w14:paraId="3EBA2CC4" w14:textId="514C40CA"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3,2</w:t>
            </w:r>
          </w:p>
        </w:tc>
        <w:tc>
          <w:tcPr>
            <w:tcW w:w="555" w:type="pct"/>
            <w:shd w:val="clear" w:color="auto" w:fill="CCC0D9"/>
            <w:noWrap/>
            <w:vAlign w:val="bottom"/>
            <w:hideMark/>
          </w:tcPr>
          <w:p w14:paraId="07541EDE" w14:textId="40949E1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3,0</w:t>
            </w:r>
          </w:p>
        </w:tc>
      </w:tr>
      <w:tr w:rsidR="00811083" w:rsidRPr="00811083" w14:paraId="349D2C7C"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E5DFEC"/>
          </w:tcPr>
          <w:p w14:paraId="0AE5E1E1"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R</w:t>
            </w:r>
          </w:p>
        </w:tc>
        <w:tc>
          <w:tcPr>
            <w:tcW w:w="2386" w:type="pct"/>
            <w:shd w:val="clear" w:color="auto" w:fill="E5DFEC"/>
          </w:tcPr>
          <w:p w14:paraId="301720CC"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Māksla, izklaide un atpūta</w:t>
            </w:r>
          </w:p>
        </w:tc>
        <w:tc>
          <w:tcPr>
            <w:tcW w:w="557" w:type="pct"/>
            <w:shd w:val="clear" w:color="auto" w:fill="E5DFEC"/>
            <w:noWrap/>
            <w:vAlign w:val="bottom"/>
            <w:hideMark/>
          </w:tcPr>
          <w:p w14:paraId="02520476" w14:textId="245FC1BE"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4,7</w:t>
            </w:r>
          </w:p>
        </w:tc>
        <w:tc>
          <w:tcPr>
            <w:tcW w:w="558" w:type="pct"/>
            <w:shd w:val="clear" w:color="auto" w:fill="E5DFEC"/>
            <w:noWrap/>
            <w:vAlign w:val="bottom"/>
            <w:hideMark/>
          </w:tcPr>
          <w:p w14:paraId="1F81C7E2" w14:textId="596495D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-16,9</w:t>
            </w:r>
          </w:p>
        </w:tc>
        <w:tc>
          <w:tcPr>
            <w:tcW w:w="557" w:type="pct"/>
            <w:shd w:val="clear" w:color="auto" w:fill="E5DFEC"/>
            <w:noWrap/>
            <w:vAlign w:val="bottom"/>
            <w:hideMark/>
          </w:tcPr>
          <w:p w14:paraId="50DDF89A" w14:textId="462D5550"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7,4</w:t>
            </w:r>
          </w:p>
        </w:tc>
        <w:tc>
          <w:tcPr>
            <w:tcW w:w="555" w:type="pct"/>
            <w:shd w:val="clear" w:color="auto" w:fill="E5DFEC"/>
            <w:noWrap/>
            <w:vAlign w:val="bottom"/>
            <w:hideMark/>
          </w:tcPr>
          <w:p w14:paraId="6E971212" w14:textId="1F85BF44"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3,3</w:t>
            </w:r>
          </w:p>
        </w:tc>
      </w:tr>
      <w:tr w:rsidR="00811083" w:rsidRPr="00811083" w14:paraId="5374B6FD" w14:textId="77777777" w:rsidTr="00811083">
        <w:trPr>
          <w:trHeight w:val="255"/>
        </w:trPr>
        <w:tc>
          <w:tcPr>
            <w:cnfStyle w:val="001000000000" w:firstRow="0" w:lastRow="0" w:firstColumn="1" w:lastColumn="0" w:oddVBand="0" w:evenVBand="0" w:oddHBand="0" w:evenHBand="0" w:firstRowFirstColumn="0" w:firstRowLastColumn="0" w:lastRowFirstColumn="0" w:lastRowLastColumn="0"/>
            <w:tcW w:w="386" w:type="pct"/>
            <w:shd w:val="clear" w:color="auto" w:fill="CCC0D9"/>
          </w:tcPr>
          <w:p w14:paraId="0CC052EA" w14:textId="77777777" w:rsidR="00AE74F0" w:rsidRPr="00811083" w:rsidRDefault="00AE74F0" w:rsidP="00D209BD">
            <w:pPr>
              <w:spacing w:before="20" w:after="20"/>
              <w:jc w:val="right"/>
              <w:rPr>
                <w:rFonts w:eastAsia="Times New Roman" w:cs="Calibri Light"/>
                <w:b w:val="0"/>
                <w:bCs w:val="0"/>
                <w:color w:val="000000"/>
                <w:sz w:val="16"/>
                <w:szCs w:val="16"/>
                <w:lang w:eastAsia="lv-LV"/>
              </w:rPr>
            </w:pPr>
            <w:r w:rsidRPr="00811083">
              <w:rPr>
                <w:rFonts w:eastAsia="Times New Roman" w:cs="Calibri Light"/>
                <w:b w:val="0"/>
                <w:bCs w:val="0"/>
                <w:color w:val="000000"/>
                <w:sz w:val="16"/>
                <w:szCs w:val="16"/>
                <w:lang w:eastAsia="lv-LV"/>
              </w:rPr>
              <w:t>B1G</w:t>
            </w:r>
          </w:p>
        </w:tc>
        <w:tc>
          <w:tcPr>
            <w:tcW w:w="2386" w:type="pct"/>
            <w:shd w:val="clear" w:color="auto" w:fill="CCC0D9"/>
          </w:tcPr>
          <w:p w14:paraId="49398185" w14:textId="77777777" w:rsidR="00AE74F0" w:rsidRPr="00811083" w:rsidRDefault="00AE74F0" w:rsidP="00D209BD">
            <w:pPr>
              <w:spacing w:before="20" w:after="20"/>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IKP</w:t>
            </w:r>
          </w:p>
        </w:tc>
        <w:tc>
          <w:tcPr>
            <w:tcW w:w="557" w:type="pct"/>
            <w:shd w:val="clear" w:color="auto" w:fill="CCC0D9"/>
            <w:noWrap/>
            <w:vAlign w:val="bottom"/>
            <w:hideMark/>
          </w:tcPr>
          <w:p w14:paraId="3E2AB318" w14:textId="5BF6EB32"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3,3</w:t>
            </w:r>
          </w:p>
        </w:tc>
        <w:tc>
          <w:tcPr>
            <w:tcW w:w="558" w:type="pct"/>
            <w:shd w:val="clear" w:color="auto" w:fill="CCC0D9"/>
            <w:noWrap/>
            <w:vAlign w:val="bottom"/>
            <w:hideMark/>
          </w:tcPr>
          <w:p w14:paraId="07256927" w14:textId="4BBED475"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0,3</w:t>
            </w:r>
          </w:p>
        </w:tc>
        <w:tc>
          <w:tcPr>
            <w:tcW w:w="557" w:type="pct"/>
            <w:shd w:val="clear" w:color="auto" w:fill="CCC0D9"/>
            <w:noWrap/>
            <w:vAlign w:val="bottom"/>
            <w:hideMark/>
          </w:tcPr>
          <w:p w14:paraId="413FB0F2" w14:textId="00022465"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4,2</w:t>
            </w:r>
          </w:p>
        </w:tc>
        <w:tc>
          <w:tcPr>
            <w:tcW w:w="555" w:type="pct"/>
            <w:shd w:val="clear" w:color="auto" w:fill="CCC0D9"/>
            <w:noWrap/>
            <w:vAlign w:val="bottom"/>
            <w:hideMark/>
          </w:tcPr>
          <w:p w14:paraId="4373FB19" w14:textId="062B1CD6" w:rsidR="00AE74F0" w:rsidRPr="00811083" w:rsidRDefault="00AE74F0" w:rsidP="00D209BD">
            <w:pPr>
              <w:spacing w:before="20" w:after="20"/>
              <w:jc w:val="center"/>
              <w:cnfStyle w:val="000000000000" w:firstRow="0" w:lastRow="0" w:firstColumn="0" w:lastColumn="0" w:oddVBand="0" w:evenVBand="0" w:oddHBand="0" w:evenHBand="0" w:firstRowFirstColumn="0" w:firstRowLastColumn="0" w:lastRowFirstColumn="0" w:lastRowLastColumn="0"/>
              <w:rPr>
                <w:rFonts w:eastAsia="Times New Roman" w:cs="Calibri Light"/>
                <w:color w:val="000000"/>
                <w:sz w:val="16"/>
                <w:szCs w:val="16"/>
                <w:lang w:eastAsia="lv-LV"/>
              </w:rPr>
            </w:pPr>
            <w:r w:rsidRPr="00811083">
              <w:rPr>
                <w:rFonts w:eastAsia="Times New Roman" w:cs="Calibri Light"/>
                <w:color w:val="000000"/>
                <w:sz w:val="16"/>
                <w:szCs w:val="16"/>
                <w:lang w:eastAsia="lv-LV"/>
              </w:rPr>
              <w:t>3,0</w:t>
            </w:r>
          </w:p>
        </w:tc>
      </w:tr>
    </w:tbl>
    <w:p w14:paraId="49089707" w14:textId="77777777" w:rsidR="00C67918" w:rsidRDefault="00C67918" w:rsidP="00AE74F0">
      <w:pPr>
        <w:jc w:val="both"/>
        <w:rPr>
          <w:rFonts w:cs="Calibri Light"/>
          <w:szCs w:val="20"/>
        </w:rPr>
      </w:pPr>
    </w:p>
    <w:p w14:paraId="6996C02E" w14:textId="77777777" w:rsidR="00C67918" w:rsidRPr="00AE74F0" w:rsidRDefault="00C67918" w:rsidP="00C67918">
      <w:pPr>
        <w:jc w:val="both"/>
        <w:rPr>
          <w:rFonts w:cs="Calibri Light"/>
        </w:rPr>
      </w:pPr>
      <w:r w:rsidRPr="4398C881">
        <w:rPr>
          <w:rFonts w:cs="Calibri Light"/>
        </w:rPr>
        <w:t xml:space="preserve">Mērķa scenārijā vidējā un ilgtermiņā apstrādes rūpniecībai saglabājas straujāki pieauguma tempi nekā vidēji tautsaimniecībā. Vienlaikus izaugsme ne tik daudz būs saistīta ar ekstensīvu materiālietilpīgu ražošanas apjomu kāpināšanu, cik jaunāko tehnoloģisko procesu izmantošanu, </w:t>
      </w:r>
      <w:proofErr w:type="spellStart"/>
      <w:r w:rsidRPr="4398C881">
        <w:rPr>
          <w:rFonts w:cs="Calibri Light"/>
        </w:rPr>
        <w:t>digitalizāciju</w:t>
      </w:r>
      <w:proofErr w:type="spellEnd"/>
      <w:r w:rsidRPr="4398C881">
        <w:rPr>
          <w:rFonts w:cs="Calibri Light"/>
        </w:rPr>
        <w:t xml:space="preserve">, procesu optimizēšanu utt. Straujāka attīstība iepriekšminēto faktoru dēļ ir sagaidāma augsto un vidēji augsto tehnoloģiju nozarēs (piemēram, elektronikā). Salīdzinoši strauji izaugsmes tempi tiek prognozēti arī lielākajā apstrādes rūpniecības nozarē – kokapstrādē. Vairāk uz iekšējo tirgu orientēto nozaru (piemēram, pārtikas rūpniecība) attīstību galvenokārt </w:t>
      </w:r>
      <w:r w:rsidRPr="4398C881">
        <w:rPr>
          <w:rFonts w:cs="Calibri Light"/>
        </w:rPr>
        <w:lastRenderedPageBreak/>
        <w:t>ietekmēs iekšzemes pieprasījuma dinamika. Nemetālisko minerālu ražošanas nozare būs cieši saistīta ar būvniecības tendencēm.</w:t>
      </w:r>
    </w:p>
    <w:p w14:paraId="7F0945E1" w14:textId="71AB05C0" w:rsidR="00AE74F0" w:rsidRPr="00AE74F0" w:rsidRDefault="00AE74F0" w:rsidP="00AE74F0">
      <w:pPr>
        <w:jc w:val="both"/>
        <w:rPr>
          <w:rFonts w:cs="Calibri Light"/>
          <w:szCs w:val="20"/>
        </w:rPr>
      </w:pPr>
      <w:r w:rsidRPr="00AE74F0">
        <w:rPr>
          <w:rFonts w:cs="Calibri Light"/>
          <w:szCs w:val="20"/>
        </w:rPr>
        <w:t xml:space="preserve">No tautsaimniecības </w:t>
      </w:r>
      <w:proofErr w:type="spellStart"/>
      <w:r w:rsidRPr="00AE74F0">
        <w:rPr>
          <w:rFonts w:cs="Calibri Light"/>
          <w:szCs w:val="20"/>
        </w:rPr>
        <w:t>pamatnozarēm</w:t>
      </w:r>
      <w:proofErr w:type="spellEnd"/>
      <w:r w:rsidRPr="00AE74F0">
        <w:rPr>
          <w:rFonts w:cs="Calibri Light"/>
          <w:szCs w:val="20"/>
        </w:rPr>
        <w:t xml:space="preserve"> viena no straujākajām izaugsmēm Mērķa scenārijā gan vidējā, gan ilgtermiņā ir informācijas un komunikācijas pakalpojamiem. Tas ir saistīts ar aizvien pieaugošo pieprasījumu pēc ražošanas un pakalpojumu procesu </w:t>
      </w:r>
      <w:proofErr w:type="spellStart"/>
      <w:r w:rsidRPr="00AE74F0">
        <w:rPr>
          <w:rFonts w:cs="Calibri Light"/>
          <w:szCs w:val="20"/>
        </w:rPr>
        <w:t>digitalizācijas</w:t>
      </w:r>
      <w:proofErr w:type="spellEnd"/>
      <w:r w:rsidRPr="00AE74F0">
        <w:rPr>
          <w:rFonts w:cs="Calibri Light"/>
          <w:szCs w:val="20"/>
        </w:rPr>
        <w:t>, kā arī globālajām IT nozares attīstības tendencēm. Salīdzinoši strauji pieauguma tempi sagaidāmi arī izmitināšanas un ēdināšanas nozarē, kas turpinās atgūties no Covid-19 negatīvās ietekmes.</w:t>
      </w:r>
    </w:p>
    <w:p w14:paraId="21CAB563" w14:textId="77777777" w:rsidR="00AE74F0" w:rsidRPr="00AE74F0" w:rsidRDefault="00AE74F0" w:rsidP="00AE74F0">
      <w:pPr>
        <w:jc w:val="both"/>
        <w:rPr>
          <w:rFonts w:cs="Calibri Light"/>
          <w:szCs w:val="20"/>
        </w:rPr>
      </w:pPr>
      <w:r w:rsidRPr="00AE74F0">
        <w:rPr>
          <w:rFonts w:cs="Calibri Light"/>
          <w:szCs w:val="20"/>
        </w:rPr>
        <w:t xml:space="preserve">Būvniecības nozarē vidējā termiņā sagaidāma strauja izaugsme, ko sekmēs gan lielo investīciju projektu īstenošana (piemēram, </w:t>
      </w:r>
      <w:r w:rsidRPr="00232506">
        <w:rPr>
          <w:rFonts w:cs="Calibri Light"/>
          <w:i/>
          <w:iCs/>
          <w:szCs w:val="20"/>
        </w:rPr>
        <w:t xml:space="preserve">Rail </w:t>
      </w:r>
      <w:proofErr w:type="spellStart"/>
      <w:r w:rsidRPr="00232506">
        <w:rPr>
          <w:rFonts w:cs="Calibri Light"/>
          <w:i/>
          <w:iCs/>
          <w:szCs w:val="20"/>
        </w:rPr>
        <w:t>Baltica</w:t>
      </w:r>
      <w:proofErr w:type="spellEnd"/>
      <w:r w:rsidRPr="00AE74F0">
        <w:rPr>
          <w:rFonts w:cs="Calibri Light"/>
          <w:szCs w:val="20"/>
        </w:rPr>
        <w:t>), gan nepieciešamība pakāpeniski atjaunot pašreizējo dzīvojamo fondu.</w:t>
      </w:r>
    </w:p>
    <w:p w14:paraId="789D5920" w14:textId="2388F916" w:rsidR="00AE74F0" w:rsidRPr="009B08CE" w:rsidRDefault="00AE74F0" w:rsidP="00AE74F0">
      <w:pPr>
        <w:jc w:val="both"/>
        <w:rPr>
          <w:rFonts w:cs="Calibri Light"/>
          <w:szCs w:val="20"/>
        </w:rPr>
      </w:pPr>
      <w:r w:rsidRPr="00AE74F0">
        <w:rPr>
          <w:rFonts w:cs="Calibri Light"/>
          <w:szCs w:val="20"/>
        </w:rPr>
        <w:t xml:space="preserve">Transporta un uzglabāšanas nozares izaugsmi lielā mērā sekmēs gaisa transporta un autotransporta nozaru attīstība. Savukārt tranzīta nozarē dinamika būs ievērojami lēnāka, ko noteiks nepieciešamība meklēt jaunus kravu veidus un piegādes ceļus, lai aizstātu Krievijas naftas produktu un akmeņogļu kravu apjomus. Nozīmīga loma būs </w:t>
      </w:r>
      <w:proofErr w:type="spellStart"/>
      <w:r w:rsidRPr="00AE74F0">
        <w:rPr>
          <w:rFonts w:cs="Calibri Light"/>
          <w:i/>
          <w:iCs/>
          <w:szCs w:val="20"/>
        </w:rPr>
        <w:t>RailBaltic</w:t>
      </w:r>
      <w:proofErr w:type="spellEnd"/>
      <w:r w:rsidRPr="00AE74F0">
        <w:rPr>
          <w:rFonts w:cs="Calibri Light"/>
          <w:i/>
          <w:iCs/>
          <w:szCs w:val="20"/>
        </w:rPr>
        <w:t xml:space="preserve"> </w:t>
      </w:r>
      <w:r w:rsidRPr="00AE74F0">
        <w:rPr>
          <w:rFonts w:cs="Calibri Light"/>
          <w:szCs w:val="20"/>
        </w:rPr>
        <w:t xml:space="preserve">projekta īstenošanai </w:t>
      </w:r>
      <w:r w:rsidRPr="009B08CE">
        <w:rPr>
          <w:rFonts w:cs="Calibri Light"/>
          <w:szCs w:val="20"/>
        </w:rPr>
        <w:t>ilgtermiņā</w:t>
      </w:r>
      <w:r w:rsidR="009B08CE" w:rsidRPr="009B08CE">
        <w:rPr>
          <w:rFonts w:cs="Calibri Light"/>
          <w:szCs w:val="20"/>
        </w:rPr>
        <w:t xml:space="preserve">, </w:t>
      </w:r>
      <w:r w:rsidR="009B08CE" w:rsidRPr="009B08CE">
        <w:t>tai skaitā paredzama ietekme uz dzelzceļa nozares izglītību.</w:t>
      </w:r>
    </w:p>
    <w:p w14:paraId="47710960" w14:textId="236542CC" w:rsidR="00AE74F0" w:rsidRPr="00AE74F0" w:rsidRDefault="00AE74F0" w:rsidP="00AE74F0">
      <w:pPr>
        <w:jc w:val="both"/>
        <w:rPr>
          <w:rFonts w:cs="Calibri Light"/>
          <w:szCs w:val="20"/>
        </w:rPr>
      </w:pPr>
      <w:r w:rsidRPr="00AE74F0">
        <w:rPr>
          <w:rFonts w:cs="Calibri Light"/>
          <w:szCs w:val="20"/>
        </w:rPr>
        <w:t xml:space="preserve">Uz iekšējo pieprasījumu orientēto nozaru – tirdzniecība un citi komercpakalpojumi – attīstība </w:t>
      </w:r>
      <w:proofErr w:type="spellStart"/>
      <w:r w:rsidRPr="00AE74F0">
        <w:rPr>
          <w:rFonts w:cs="Calibri Light"/>
          <w:szCs w:val="20"/>
        </w:rPr>
        <w:t>būs</w:t>
      </w:r>
      <w:r w:rsidR="00AF08D9">
        <w:rPr>
          <w:rFonts w:cs="Calibri Light"/>
          <w:szCs w:val="20"/>
        </w:rPr>
        <w:t>s</w:t>
      </w:r>
      <w:proofErr w:type="spellEnd"/>
      <w:r w:rsidRPr="00AE74F0">
        <w:rPr>
          <w:rFonts w:cs="Calibri Light"/>
          <w:szCs w:val="20"/>
        </w:rPr>
        <w:t xml:space="preserve"> cieši saistīta ar privātā patēriņa dinamiku un pārējo tautsaimniecības nozaru radīto pieprasījumu. Sabiedrisko pakalpojumu nozares (valsts pārvalde un aizsardzība, izglītība, veselības un sociālā aprūpe) ir cieši saistītas ar demogrāfijas tendencēm.</w:t>
      </w:r>
    </w:p>
    <w:p w14:paraId="40FE1F4A" w14:textId="4D2578D8" w:rsidR="00AE74F0" w:rsidRPr="00C67918" w:rsidRDefault="00AE74F0" w:rsidP="00927285">
      <w:pPr>
        <w:pBdr>
          <w:top w:val="single" w:sz="4" w:space="6" w:color="auto" w:shadow="1"/>
          <w:left w:val="single" w:sz="4" w:space="6" w:color="auto" w:shadow="1"/>
          <w:bottom w:val="single" w:sz="4" w:space="0" w:color="auto" w:shadow="1"/>
          <w:right w:val="single" w:sz="4" w:space="6" w:color="auto" w:shadow="1"/>
        </w:pBdr>
        <w:shd w:val="clear" w:color="auto" w:fill="E5DFEC"/>
        <w:spacing w:after="120"/>
        <w:jc w:val="right"/>
        <w:rPr>
          <w:rFonts w:ascii="Segoe UI Light" w:hAnsi="Segoe UI Light"/>
          <w:b/>
          <w:sz w:val="16"/>
          <w:szCs w:val="16"/>
        </w:rPr>
      </w:pPr>
      <w:r w:rsidRPr="00C67918">
        <w:rPr>
          <w:rFonts w:ascii="Segoe UI Light" w:hAnsi="Segoe UI Light"/>
          <w:b/>
          <w:sz w:val="16"/>
          <w:szCs w:val="16"/>
        </w:rPr>
        <w:t>Globālās tehnoloģiju pārmaiņas un to ietekme uz Latvijas tautsaimniecību</w:t>
      </w:r>
    </w:p>
    <w:p w14:paraId="7003440E" w14:textId="751D9B58"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 xml:space="preserve">Pēdējos gados pasaules tirgū notiek straujas un visaptverošas pārmaiņas, paātrinās tehnoloģisko jauninājumu un inovāciju attīstība. Sabiedrības dzīves aspektos arvien pieaugošu lomu ieņem procesu </w:t>
      </w:r>
      <w:proofErr w:type="spellStart"/>
      <w:r w:rsidRPr="005441D6">
        <w:rPr>
          <w:rFonts w:ascii="Segoe UI Light" w:hAnsi="Segoe UI Light"/>
          <w:bCs/>
          <w:sz w:val="16"/>
          <w:szCs w:val="18"/>
        </w:rPr>
        <w:t>digitalizācija</w:t>
      </w:r>
      <w:proofErr w:type="spellEnd"/>
      <w:r w:rsidRPr="005441D6">
        <w:rPr>
          <w:rFonts w:ascii="Segoe UI Light" w:hAnsi="Segoe UI Light"/>
          <w:bCs/>
          <w:sz w:val="16"/>
          <w:szCs w:val="18"/>
        </w:rPr>
        <w:t xml:space="preserve"> un jaunās tehnoloģijas, kā arī saasinās globālo klimata pārmaiņu radītā ietekme. Tādēļ aizvien nozīmīgāka kļūs valsts spēja pielāgot ekonomiku nākotnes vajadzībām, gūstot lielāko iespējamo labumu no jaunajām ražošanas iespējām un tirgus nišām, vienlaikus mazinot riskus, un saglabājot spēju elastīgi reaģēt uz jauniem izaicinājumiem. </w:t>
      </w:r>
    </w:p>
    <w:p w14:paraId="4856B5B0" w14:textId="5757A057" w:rsidR="00AE74F0" w:rsidRPr="005441D6" w:rsidRDefault="6F5752F9"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sz w:val="16"/>
          <w:szCs w:val="16"/>
        </w:rPr>
      </w:pPr>
      <w:r w:rsidRPr="4398C881">
        <w:rPr>
          <w:rFonts w:ascii="Segoe UI Light" w:hAnsi="Segoe UI Light"/>
          <w:sz w:val="16"/>
          <w:szCs w:val="16"/>
        </w:rPr>
        <w:t xml:space="preserve">Galvenie globālie tehnoloģiju trendi pamatā ir saistīti ar IT attīstību, </w:t>
      </w:r>
      <w:proofErr w:type="spellStart"/>
      <w:r w:rsidRPr="4398C881">
        <w:rPr>
          <w:rFonts w:ascii="Segoe UI Light" w:hAnsi="Segoe UI Light"/>
          <w:sz w:val="16"/>
          <w:szCs w:val="16"/>
        </w:rPr>
        <w:t>digitalizāciju</w:t>
      </w:r>
      <w:proofErr w:type="spellEnd"/>
      <w:r w:rsidRPr="4398C881">
        <w:rPr>
          <w:rFonts w:ascii="Segoe UI Light" w:hAnsi="Segoe UI Light"/>
          <w:sz w:val="16"/>
          <w:szCs w:val="16"/>
        </w:rPr>
        <w:t xml:space="preserve"> un mobilo internetu – mākslīgais intelekts un </w:t>
      </w:r>
      <w:proofErr w:type="spellStart"/>
      <w:r w:rsidRPr="4398C881">
        <w:rPr>
          <w:rFonts w:ascii="Segoe UI Light" w:hAnsi="Segoe UI Light"/>
          <w:sz w:val="16"/>
          <w:szCs w:val="16"/>
        </w:rPr>
        <w:t>mašīnmācīšanās</w:t>
      </w:r>
      <w:proofErr w:type="spellEnd"/>
      <w:r w:rsidRPr="4398C881">
        <w:rPr>
          <w:rFonts w:ascii="Segoe UI Light" w:hAnsi="Segoe UI Light"/>
          <w:sz w:val="16"/>
          <w:szCs w:val="16"/>
        </w:rPr>
        <w:t>, lietu internets (</w:t>
      </w:r>
      <w:proofErr w:type="spellStart"/>
      <w:r w:rsidRPr="4398C881">
        <w:rPr>
          <w:rFonts w:ascii="Segoe UI Light" w:hAnsi="Segoe UI Light"/>
          <w:sz w:val="16"/>
          <w:szCs w:val="16"/>
        </w:rPr>
        <w:t>IoT</w:t>
      </w:r>
      <w:proofErr w:type="spellEnd"/>
      <w:r w:rsidRPr="4398C881">
        <w:rPr>
          <w:rFonts w:ascii="Segoe UI Light" w:hAnsi="Segoe UI Light"/>
          <w:sz w:val="16"/>
          <w:szCs w:val="16"/>
        </w:rPr>
        <w:t xml:space="preserve">), lielie dati un paplašinātā analīze, viedās pilsētas, </w:t>
      </w:r>
      <w:proofErr w:type="spellStart"/>
      <w:r w:rsidRPr="4398C881">
        <w:rPr>
          <w:rFonts w:ascii="Segoe UI Light" w:hAnsi="Segoe UI Light"/>
          <w:sz w:val="16"/>
          <w:szCs w:val="16"/>
        </w:rPr>
        <w:t>blokķēžu</w:t>
      </w:r>
      <w:proofErr w:type="spellEnd"/>
      <w:r w:rsidRPr="4398C881">
        <w:rPr>
          <w:rFonts w:ascii="Segoe UI Light" w:hAnsi="Segoe UI Light"/>
          <w:sz w:val="16"/>
          <w:szCs w:val="16"/>
        </w:rPr>
        <w:t xml:space="preserve"> tehnoloģijas, </w:t>
      </w:r>
      <w:proofErr w:type="spellStart"/>
      <w:r w:rsidRPr="4398C881">
        <w:rPr>
          <w:rFonts w:ascii="Segoe UI Light" w:hAnsi="Segoe UI Light"/>
          <w:sz w:val="16"/>
          <w:szCs w:val="16"/>
        </w:rPr>
        <w:t>mākoņskaitļošana</w:t>
      </w:r>
      <w:proofErr w:type="spellEnd"/>
      <w:r w:rsidRPr="4398C881">
        <w:rPr>
          <w:rFonts w:ascii="Segoe UI Light" w:hAnsi="Segoe UI Light"/>
          <w:sz w:val="16"/>
          <w:szCs w:val="16"/>
        </w:rPr>
        <w:t xml:space="preserve">, digitāli paplašināta realitāte, valodas </w:t>
      </w:r>
      <w:proofErr w:type="spellStart"/>
      <w:r w:rsidRPr="4398C881">
        <w:rPr>
          <w:rFonts w:ascii="Segoe UI Light" w:hAnsi="Segoe UI Light"/>
          <w:sz w:val="16"/>
          <w:szCs w:val="16"/>
        </w:rPr>
        <w:t>digitalizācija</w:t>
      </w:r>
      <w:proofErr w:type="spellEnd"/>
      <w:r w:rsidRPr="4398C881">
        <w:rPr>
          <w:rFonts w:ascii="Segoe UI Light" w:hAnsi="Segoe UI Light"/>
          <w:sz w:val="16"/>
          <w:szCs w:val="16"/>
        </w:rPr>
        <w:t xml:space="preserve"> un apstrāde, balss </w:t>
      </w:r>
      <w:proofErr w:type="spellStart"/>
      <w:r w:rsidRPr="4398C881">
        <w:rPr>
          <w:rFonts w:ascii="Segoe UI Light" w:hAnsi="Segoe UI Light"/>
          <w:sz w:val="16"/>
          <w:szCs w:val="16"/>
        </w:rPr>
        <w:t>saskarnes</w:t>
      </w:r>
      <w:proofErr w:type="spellEnd"/>
      <w:r w:rsidRPr="4398C881">
        <w:rPr>
          <w:rFonts w:ascii="Segoe UI Light" w:hAnsi="Segoe UI Light"/>
          <w:sz w:val="16"/>
          <w:szCs w:val="16"/>
        </w:rPr>
        <w:t xml:space="preserve">, datora redze un sejas atpazīšana, roboti, autonomie transportlīdzekļi, 5G tehnoloģijas, ģenētika un gēnu sekvencēšana, mašīnu radošums un dizains, digitālās platformas, bezpilota lidaparāti un bezpilota lidaparāti, 3D un 4D printeri, </w:t>
      </w:r>
      <w:proofErr w:type="spellStart"/>
      <w:r w:rsidRPr="4398C881">
        <w:rPr>
          <w:rFonts w:ascii="Segoe UI Light" w:hAnsi="Segoe UI Light"/>
          <w:sz w:val="16"/>
          <w:szCs w:val="16"/>
        </w:rPr>
        <w:t>kiberdrošība</w:t>
      </w:r>
      <w:proofErr w:type="spellEnd"/>
      <w:r w:rsidRPr="4398C881">
        <w:rPr>
          <w:rFonts w:ascii="Segoe UI Light" w:hAnsi="Segoe UI Light"/>
          <w:sz w:val="16"/>
          <w:szCs w:val="16"/>
        </w:rPr>
        <w:t>, kvantu skaitļošana. Teju visas apkārtējās lietas un ierīces būs savienotas, kas viennozīmīgi mainīs gan biznesu modeļus, vienlaikus šī savienojamība atbalstīs efektīvāku un ilgtspējīgāku resursu izmantošanu un pārvaldību, savukārt tehnoloģiju ietekme tuvākajā nākotnē var iespaidot līdz 50% no pasaules ekonomikas</w:t>
      </w:r>
      <w:r w:rsidR="00AE74F0" w:rsidRPr="4398C881">
        <w:rPr>
          <w:rFonts w:ascii="Segoe UI Light" w:hAnsi="Segoe UI Light"/>
          <w:sz w:val="16"/>
          <w:szCs w:val="16"/>
          <w:vertAlign w:val="superscript"/>
        </w:rPr>
        <w:footnoteReference w:id="15"/>
      </w:r>
      <w:r w:rsidRPr="4398C881">
        <w:rPr>
          <w:rFonts w:ascii="Segoe UI Light" w:hAnsi="Segoe UI Light"/>
          <w:sz w:val="16"/>
          <w:szCs w:val="16"/>
        </w:rPr>
        <w:t xml:space="preserve">. Mainīsies arī pieprasījuma struktūra, piemēram, cilvēki aizvien vairāk izmantos sev saistošus/piemērotus pakalpojumus, balstoties uz liela apjoma datu analīzi. </w:t>
      </w:r>
      <w:proofErr w:type="spellStart"/>
      <w:r w:rsidRPr="4398C881">
        <w:rPr>
          <w:rFonts w:ascii="Segoe UI Light" w:hAnsi="Segoe UI Light"/>
          <w:sz w:val="16"/>
          <w:szCs w:val="16"/>
        </w:rPr>
        <w:t>Digitalizācija</w:t>
      </w:r>
      <w:proofErr w:type="spellEnd"/>
      <w:r w:rsidRPr="4398C881">
        <w:rPr>
          <w:rFonts w:ascii="Segoe UI Light" w:hAnsi="Segoe UI Light"/>
          <w:sz w:val="16"/>
          <w:szCs w:val="16"/>
        </w:rPr>
        <w:t xml:space="preserve"> ir nozīmīgs faktoru kopums, kam ir būtiska nozīme produktivitātes pieaugumā.</w:t>
      </w:r>
    </w:p>
    <w:p w14:paraId="4184EA4B" w14:textId="77777777"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7A74AD50">
        <w:rPr>
          <w:rFonts w:ascii="Segoe UI Light" w:hAnsi="Segoe UI Light"/>
          <w:sz w:val="16"/>
          <w:szCs w:val="16"/>
        </w:rPr>
        <w:t>Arī Latvijā jaunās tehnoloģijas ietekmēs praktiski visas tautsaimniecības nozares. Tas izpaudīsies kā jauno tehnoloģiju izmantošana esošo biznesa procesu uzlabošanā, fiziska roku darba aizstāšana ar viedajām iekārtām, lielo datu izmantošanu lēmumu pieņemšanā un pieprasījuma apmierināšanā. Papildus digitālo tehnoloģiju attīstība rada jaunas produktu un pakalpojumu nišas. Nākamajos gados tiek sagaidīts, ka vairāk kā 1 triljons sensoru tiks pieslēgti internetam. Līdz 2025. gadam ap 10% no planētas iedzīvotājiem ikdienā valkās apģērbu, kas ir savienots ar internetu un tiek sagaidīts, ka pirmie implantējamie mobilie telefoni būs pieejami tirgū. Mūsdienās viedie materiāli ir ar dažādām dzīves situācijām un vajadzībām pielāgotas dinamiskas funkcijas, kas ļauj tiem pielāgoties videi. Viedie materiāli sastopami gan sensoros, izpildmehānismus, t.sk. tie nākotnē ieņems ar vien būtiskāku lomu dažādos veselības aprūpes tehnoloģiskos risinājumos.</w:t>
      </w:r>
      <w:r w:rsidRPr="7A74AD50">
        <w:rPr>
          <w:rFonts w:ascii="Segoe UI Light" w:hAnsi="Segoe UI Light"/>
          <w:sz w:val="16"/>
          <w:szCs w:val="16"/>
        </w:rPr>
        <w:footnoteReference w:id="16"/>
      </w:r>
      <w:r w:rsidRPr="7A74AD50">
        <w:rPr>
          <w:rFonts w:ascii="Segoe UI Light" w:hAnsi="Segoe UI Light"/>
          <w:sz w:val="16"/>
          <w:szCs w:val="16"/>
        </w:rPr>
        <w:t xml:space="preserve"> Nākotnē mēs, iespējams, varēsim ražot </w:t>
      </w:r>
      <w:proofErr w:type="spellStart"/>
      <w:r w:rsidRPr="7A74AD50">
        <w:rPr>
          <w:rFonts w:ascii="Segoe UI Light" w:hAnsi="Segoe UI Light"/>
          <w:sz w:val="16"/>
          <w:szCs w:val="16"/>
        </w:rPr>
        <w:t>nanodaļiņas</w:t>
      </w:r>
      <w:proofErr w:type="spellEnd"/>
      <w:r w:rsidRPr="7A74AD50">
        <w:rPr>
          <w:rFonts w:ascii="Segoe UI Light" w:hAnsi="Segoe UI Light"/>
          <w:sz w:val="16"/>
          <w:szCs w:val="16"/>
        </w:rPr>
        <w:t xml:space="preserve">, kuras var iestrādāt krāsās, lai efektīvi uztvertu saules gaismu un ar zemām izmaksām to pārveidotu elektroenerģijā; vai </w:t>
      </w:r>
      <w:proofErr w:type="spellStart"/>
      <w:r w:rsidRPr="7A74AD50">
        <w:rPr>
          <w:rFonts w:ascii="Segoe UI Light" w:hAnsi="Segoe UI Light"/>
          <w:sz w:val="16"/>
          <w:szCs w:val="16"/>
        </w:rPr>
        <w:t>nanomateriāli</w:t>
      </w:r>
      <w:proofErr w:type="spellEnd"/>
      <w:r w:rsidRPr="7A74AD50">
        <w:rPr>
          <w:rFonts w:ascii="Segoe UI Light" w:hAnsi="Segoe UI Light"/>
          <w:sz w:val="16"/>
          <w:szCs w:val="16"/>
        </w:rPr>
        <w:t xml:space="preserve">, kas var radīt jaunas iespējas akumulatoriem ar lielu enerģijas ietilpību un mazu svaru. </w:t>
      </w:r>
      <w:proofErr w:type="spellStart"/>
      <w:r w:rsidRPr="7A74AD50">
        <w:rPr>
          <w:rFonts w:ascii="Segoe UI Light" w:hAnsi="Segoe UI Light"/>
          <w:sz w:val="16"/>
          <w:szCs w:val="16"/>
        </w:rPr>
        <w:t>Nanoelektroniskās</w:t>
      </w:r>
      <w:proofErr w:type="spellEnd"/>
      <w:r w:rsidRPr="7A74AD50">
        <w:rPr>
          <w:rFonts w:ascii="Segoe UI Light" w:hAnsi="Segoe UI Light"/>
          <w:sz w:val="16"/>
          <w:szCs w:val="16"/>
        </w:rPr>
        <w:t xml:space="preserve"> ierīces, piemēram, </w:t>
      </w:r>
      <w:proofErr w:type="spellStart"/>
      <w:r w:rsidRPr="7A74AD50">
        <w:rPr>
          <w:rFonts w:ascii="Segoe UI Light" w:hAnsi="Segoe UI Light"/>
          <w:sz w:val="16"/>
          <w:szCs w:val="16"/>
        </w:rPr>
        <w:t>nanodatori</w:t>
      </w:r>
      <w:proofErr w:type="spellEnd"/>
      <w:r w:rsidRPr="7A74AD50">
        <w:rPr>
          <w:rFonts w:ascii="Segoe UI Light" w:hAnsi="Segoe UI Light"/>
          <w:sz w:val="16"/>
          <w:szCs w:val="16"/>
        </w:rPr>
        <w:t xml:space="preserve">, kurus var iestrādāt tekstilizstrādājumos un apģērbā un, kas trieciena rezultātā nodrošina funkciju dažādību – piemēram, cietības izmaiņas. Viedajiem </w:t>
      </w:r>
      <w:proofErr w:type="spellStart"/>
      <w:r w:rsidRPr="7A74AD50">
        <w:rPr>
          <w:rFonts w:ascii="Segoe UI Light" w:hAnsi="Segoe UI Light"/>
          <w:sz w:val="16"/>
          <w:szCs w:val="16"/>
        </w:rPr>
        <w:t>nanomateriāliem</w:t>
      </w:r>
      <w:proofErr w:type="spellEnd"/>
      <w:r w:rsidRPr="7A74AD50">
        <w:rPr>
          <w:rFonts w:ascii="Segoe UI Light" w:hAnsi="Segoe UI Light"/>
          <w:sz w:val="16"/>
          <w:szCs w:val="16"/>
        </w:rPr>
        <w:t xml:space="preserve"> vislielākā ietekme ir veselības aprūpē un medicīnā – implanti, protēzes, kas izgatavotas no materiāliem, kas var mainīt to virsmas un </w:t>
      </w:r>
      <w:proofErr w:type="spellStart"/>
      <w:r w:rsidRPr="7A74AD50">
        <w:rPr>
          <w:rFonts w:ascii="Segoe UI Light" w:hAnsi="Segoe UI Light"/>
          <w:sz w:val="16"/>
          <w:szCs w:val="16"/>
        </w:rPr>
        <w:t>biofunkcionalitāti</w:t>
      </w:r>
      <w:proofErr w:type="spellEnd"/>
      <w:r w:rsidRPr="7A74AD50">
        <w:rPr>
          <w:rFonts w:ascii="Segoe UI Light" w:hAnsi="Segoe UI Light"/>
          <w:sz w:val="16"/>
          <w:szCs w:val="16"/>
        </w:rPr>
        <w:t>, lai palielinātu bioloģisko savietojamību; vai sintētiskas šūnas, kas var radīt olbaltumvielu zāles, kad tās iedarbina ar gaismu utt.</w:t>
      </w:r>
      <w:r w:rsidRPr="7A74AD50">
        <w:rPr>
          <w:rFonts w:ascii="Segoe UI Light" w:hAnsi="Segoe UI Light"/>
          <w:sz w:val="16"/>
          <w:szCs w:val="16"/>
          <w:vertAlign w:val="superscript"/>
        </w:rPr>
        <w:footnoteReference w:id="17"/>
      </w:r>
      <w:r w:rsidRPr="7A74AD50">
        <w:rPr>
          <w:rFonts w:ascii="Segoe UI Light" w:hAnsi="Segoe UI Light"/>
          <w:sz w:val="16"/>
          <w:szCs w:val="16"/>
        </w:rPr>
        <w:t xml:space="preserve">.Atsevišķās tehnoloģiju jomās Latvijā jau ir vērā ņemami sasniegumi, piemēram, 5G, bezpilota lidaparāti, viedā pilsēta, gēnu sekvencēšana, valodas </w:t>
      </w:r>
      <w:proofErr w:type="spellStart"/>
      <w:r w:rsidRPr="7A74AD50">
        <w:rPr>
          <w:rFonts w:ascii="Segoe UI Light" w:hAnsi="Segoe UI Light"/>
          <w:sz w:val="16"/>
          <w:szCs w:val="16"/>
        </w:rPr>
        <w:t>digitalizācija</w:t>
      </w:r>
      <w:proofErr w:type="spellEnd"/>
      <w:r w:rsidRPr="7A74AD50">
        <w:rPr>
          <w:rFonts w:ascii="Segoe UI Light" w:hAnsi="Segoe UI Light"/>
          <w:sz w:val="16"/>
          <w:szCs w:val="16"/>
        </w:rPr>
        <w:t>, lielie dati. Savukārt mākslīgā intelekta un kvantu skaitļošanas jomā ir iestrādes un zinātnes bāze.</w:t>
      </w:r>
    </w:p>
    <w:p w14:paraId="231D126B" w14:textId="031FA4F6" w:rsidR="00C67918"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Strauja tehnoloģiskā attīstība palielinās pārmaiņu tempu un radīs jaunas iespējas, bet saasinās sašķeltību starp uzvarētājiem un zaudētājiem. Automatizācija un mākslīgais intelekts draud mainīt nozares ātrāk, nekā ekonomika spēj pielāgoties, potenciāli pārvietojot darbiniekus un ierobežojot nabadzīgo valstu ierasto attīstības ceļu.</w:t>
      </w:r>
    </w:p>
    <w:p w14:paraId="70082B22" w14:textId="77777777" w:rsidR="00C67918" w:rsidRPr="00C67918" w:rsidRDefault="00C67918"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4"/>
          <w:szCs w:val="6"/>
        </w:rPr>
      </w:pPr>
    </w:p>
    <w:p w14:paraId="00E1B630" w14:textId="77777777" w:rsidR="00C67918" w:rsidRDefault="00C67918">
      <w:pPr>
        <w:spacing w:after="0"/>
        <w:rPr>
          <w:rFonts w:ascii="Segoe UI Light" w:hAnsi="Segoe UI Light"/>
          <w:bCs/>
          <w:sz w:val="16"/>
          <w:szCs w:val="18"/>
        </w:rPr>
      </w:pPr>
      <w:r>
        <w:rPr>
          <w:rFonts w:ascii="Segoe UI Light" w:hAnsi="Segoe UI Light"/>
          <w:bCs/>
          <w:sz w:val="16"/>
          <w:szCs w:val="18"/>
        </w:rPr>
        <w:br w:type="page"/>
      </w:r>
    </w:p>
    <w:p w14:paraId="451B685F" w14:textId="77777777" w:rsidR="00C67918" w:rsidRPr="00C67918" w:rsidRDefault="00C67918" w:rsidP="00927285">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tabs>
          <w:tab w:val="left" w:pos="0"/>
        </w:tabs>
        <w:spacing w:after="120"/>
        <w:jc w:val="right"/>
        <w:rPr>
          <w:rFonts w:ascii="Segoe UI Light" w:hAnsi="Segoe UI Light"/>
          <w:b/>
          <w:sz w:val="16"/>
          <w:szCs w:val="16"/>
        </w:rPr>
      </w:pPr>
      <w:r w:rsidRPr="00C67918">
        <w:rPr>
          <w:rFonts w:ascii="Segoe UI Light" w:hAnsi="Segoe UI Light"/>
          <w:b/>
          <w:sz w:val="16"/>
          <w:szCs w:val="16"/>
        </w:rPr>
        <w:lastRenderedPageBreak/>
        <w:t>Ielikuma turpinājums</w:t>
      </w:r>
    </w:p>
    <w:p w14:paraId="2D585E2D" w14:textId="030A6491" w:rsidR="00AE74F0"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7A74AD50">
        <w:rPr>
          <w:rFonts w:ascii="Segoe UI Light" w:hAnsi="Segoe UI Light"/>
          <w:sz w:val="16"/>
          <w:szCs w:val="16"/>
        </w:rPr>
        <w:t xml:space="preserve">Latvijas ekonomikas attīstību ietekmē arī Eiropas kopējā klimata politika. ES mērķis ir panākt, ka līdz 2050. gadam Eiropa kļūst </w:t>
      </w:r>
      <w:proofErr w:type="spellStart"/>
      <w:r w:rsidRPr="7A74AD50">
        <w:rPr>
          <w:rFonts w:ascii="Segoe UI Light" w:hAnsi="Segoe UI Light"/>
          <w:sz w:val="16"/>
          <w:szCs w:val="16"/>
        </w:rPr>
        <w:t>klimatneitrāla</w:t>
      </w:r>
      <w:proofErr w:type="spellEnd"/>
      <w:r w:rsidR="005441D6" w:rsidRPr="7A74AD50">
        <w:rPr>
          <w:rFonts w:ascii="Segoe UI Light" w:hAnsi="Segoe UI Light"/>
          <w:sz w:val="16"/>
          <w:szCs w:val="16"/>
        </w:rPr>
        <w:t xml:space="preserve"> – </w:t>
      </w:r>
      <w:r w:rsidRPr="7A74AD50">
        <w:rPr>
          <w:rFonts w:ascii="Segoe UI Light" w:hAnsi="Segoe UI Light"/>
          <w:sz w:val="16"/>
          <w:szCs w:val="16"/>
        </w:rPr>
        <w:t>ka tās ekonomika sasniedz siltumnīcefekta gāzu neto emisiju nulles līmeni. Zaļais kurss paredz darbības resursu efektīvas izmantošanas veicināšanai, pārejot uz tīru, aprites ekonomiku, un klimata pārmaiņu, bioloģiskās daudzveidības zuduma un piesārņošanas mazināšanu</w:t>
      </w:r>
      <w:r w:rsidRPr="7A74AD50">
        <w:rPr>
          <w:rFonts w:ascii="Segoe UI Light" w:hAnsi="Segoe UI Light"/>
          <w:sz w:val="16"/>
          <w:szCs w:val="16"/>
          <w:vertAlign w:val="superscript"/>
        </w:rPr>
        <w:footnoteReference w:id="18"/>
      </w:r>
      <w:r w:rsidRPr="7A74AD50">
        <w:rPr>
          <w:rFonts w:ascii="Segoe UI Light" w:hAnsi="Segoe UI Light"/>
          <w:sz w:val="16"/>
          <w:szCs w:val="16"/>
        </w:rPr>
        <w:t xml:space="preserve">. Eiropas zaļais kurss ietekmēs </w:t>
      </w:r>
      <w:r w:rsidRPr="7A74AD50">
        <w:rPr>
          <w:rFonts w:ascii="Segoe UI Light" w:hAnsi="Segoe UI Light"/>
          <w:b/>
          <w:sz w:val="16"/>
          <w:szCs w:val="16"/>
        </w:rPr>
        <w:t>visas ekonomikas nozares</w:t>
      </w:r>
      <w:r w:rsidRPr="7A74AD50">
        <w:rPr>
          <w:rFonts w:ascii="Segoe UI Light" w:hAnsi="Segoe UI Light"/>
          <w:sz w:val="16"/>
          <w:szCs w:val="16"/>
        </w:rPr>
        <w:t>, jo sevišķi transportu, enerģētiku, lauksaimniecību un rūpniecību.</w:t>
      </w:r>
    </w:p>
    <w:p w14:paraId="3221ACE1" w14:textId="2B891795"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Enerģētikas sektorā lielākais izaicinājums ir saistīts ar dekarbonizāciju. Enerģijas ražošanā daudz lielāks uzsvars būs jāliek uz atjaunojamiem un alternatīvajiem energoresursiem. Savukārt fosilo resursu aizstāšana Zaļā kursu konceptā nozīmēs būtisku naftas, dabasgāzes un akmeņogļu patēriņa ierobežošanu visā ES. Esošā ģeopolitiskā situācija to tikai paātrinās.</w:t>
      </w:r>
    </w:p>
    <w:p w14:paraId="50F206FC" w14:textId="77777777"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 xml:space="preserve">Piesārņojuma ziņā tīrāku privātā un sabiedriskā transporta veidu ieviešana ietekmēs pastāvošās piegāžu ķēdes </w:t>
      </w:r>
      <w:proofErr w:type="spellStart"/>
      <w:r w:rsidRPr="005441D6">
        <w:rPr>
          <w:rFonts w:ascii="Segoe UI Light" w:hAnsi="Segoe UI Light"/>
          <w:bCs/>
          <w:sz w:val="16"/>
          <w:szCs w:val="18"/>
        </w:rPr>
        <w:t>iekšdedzes</w:t>
      </w:r>
      <w:proofErr w:type="spellEnd"/>
      <w:r w:rsidRPr="005441D6">
        <w:rPr>
          <w:rFonts w:ascii="Segoe UI Light" w:hAnsi="Segoe UI Light"/>
          <w:bCs/>
          <w:sz w:val="16"/>
          <w:szCs w:val="18"/>
        </w:rPr>
        <w:t xml:space="preserve"> dzinēju automobiļu ražotājiem. Tajā pašā laikā šāda pāreja var veidot jaunas uzņēmējdarbības nišas alternatīvo degvielu transportlīdzekļu ražošanas ķēdēs. Transporta sektora transformācija radīs nepieciešamību pēc alternatīvo degvielu viedās infrastruktūras izveides, piemēram, viedos tīklus, ūdeņraža tīklus vai oglekļa uztveršanu, glabāšanu un izmantošanu, kā arī enerģijas uzglabāšanas risinājumu izstrādes.</w:t>
      </w:r>
    </w:p>
    <w:p w14:paraId="7002C3D1" w14:textId="246ECC3A"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Lai mazinātu enerģijas patēriņu un izmaksas, būtisks virziens ir ēku renovācija un siltināšana. Ēku renovācija nozīmē gan celtniecības materiālu ražošanas pieaugumu, inovatīvu produktu izstrādes iespējas, gan papildus pieprasījumu būvniecības nozarei.</w:t>
      </w:r>
    </w:p>
    <w:p w14:paraId="351F13B3" w14:textId="77777777"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Būtiska pārorientācija sagaida lauksaimniecības nozari, kas ietver tādas aktivitātes kā oglekļa pārvaldību un uzglabāšanu augsnē, minerālmēslu labāku pārvaldību, novatoriskus veidus, lai aizvietotu līdzšinējos augu aizsardzībā izmantotos ķīmijas līdzekļus.</w:t>
      </w:r>
    </w:p>
    <w:p w14:paraId="04438DBA" w14:textId="77777777" w:rsidR="00AE74F0" w:rsidRPr="005441D6"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7A74AD50">
        <w:rPr>
          <w:rFonts w:ascii="Segoe UI Light" w:hAnsi="Segoe UI Light"/>
          <w:sz w:val="16"/>
          <w:szCs w:val="16"/>
        </w:rPr>
        <w:t>Pāreja uz klimata neitralitāti cieši skar arī rūpniecības nozari. Būs nepieciešams aizvien lielāku uzmanību pievērst inovācijām, lai palīdzētu uzņēmumiem transformēt esošās darbības un palīdzētu veikt veco iekārtu nomaiņu ar jaunākām, energoefektīvākām iekārtām, kas, savukārt pozitīvi ietekmēs produktivitāti. Jo īpaši tas skar cementa ražošanu, kam augstās energoietilpības dēļ pievērsta īpaša uzmanība. Vienas rūpniecības nozares un visu tās vērtības ķēžu pārveidei vajadzīgi 25 gadi</w:t>
      </w:r>
      <w:r w:rsidRPr="7A74AD50">
        <w:rPr>
          <w:rFonts w:ascii="Segoe UI Light" w:hAnsi="Segoe UI Light"/>
          <w:sz w:val="16"/>
          <w:szCs w:val="16"/>
        </w:rPr>
        <w:footnoteReference w:id="19"/>
      </w:r>
      <w:r w:rsidRPr="7A74AD50">
        <w:rPr>
          <w:rFonts w:ascii="Segoe UI Light" w:hAnsi="Segoe UI Light"/>
          <w:sz w:val="16"/>
          <w:szCs w:val="16"/>
        </w:rPr>
        <w:t>. Tāpēc jau tagad nozarēm, plānojot savu ilgtermiņa attīstību, jāņem vērā klimata pārmaiņu iespējamie efekti. Zaļais kurss prasīs lielus finansiālus ieguldījumus un tas būs darbietilpīgs process, vienlaikus tas var radīt jaunas uzņēmējdarbības iespējas.</w:t>
      </w:r>
    </w:p>
    <w:p w14:paraId="2EA0C7ED" w14:textId="49BED71D" w:rsidR="00AE74F0" w:rsidRDefault="00AE74F0"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16"/>
          <w:szCs w:val="18"/>
        </w:rPr>
      </w:pPr>
      <w:r w:rsidRPr="005441D6">
        <w:rPr>
          <w:rFonts w:ascii="Segoe UI Light" w:hAnsi="Segoe UI Light"/>
          <w:bCs/>
          <w:sz w:val="16"/>
          <w:szCs w:val="18"/>
        </w:rPr>
        <w:t>Ņemot vērā tehnoloģiju straujo attīstību un jaunās iniciatīvas klimata jomā, nepieciešams gudri ieguldīt publiskos līdzekļus ekonomikas kapacitātes noturēšanai īstermiņā un ekonomikas transformācijas pasākumiem vidējā un ilgtermiņā. Lai panāktu straujāku produktivitātes pieaugumu un nodrošinātu stabilu ekonomikas izaugsmi, ir vitāli svarīgi ir ne vien ilgtspējīgi ieguldīt pieejamos publiskos finanšu līdzekļus, bet arī veicināt privāto investīciju apjoma pieaugumu, stimulējot kreditēšanas pieaugumu, kapitāla tirgus attīstību un finanšu instrumentu izmantošanu.</w:t>
      </w:r>
    </w:p>
    <w:p w14:paraId="394F3CE4" w14:textId="77777777" w:rsidR="00232506" w:rsidRPr="00232506" w:rsidRDefault="00232506" w:rsidP="005441D6">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Cs/>
          <w:sz w:val="8"/>
          <w:szCs w:val="10"/>
        </w:rPr>
      </w:pPr>
    </w:p>
    <w:p w14:paraId="5C991760" w14:textId="277B2FB8" w:rsidR="005A5A6D" w:rsidRPr="00612950" w:rsidRDefault="005A5A6D" w:rsidP="00927285">
      <w:pPr>
        <w:rPr>
          <w:bCs/>
          <w:szCs w:val="20"/>
          <w:highlight w:val="yellow"/>
        </w:rPr>
      </w:pPr>
    </w:p>
    <w:p w14:paraId="2908DF68" w14:textId="77777777" w:rsidR="00367E78" w:rsidRPr="005441D6" w:rsidRDefault="00367E78" w:rsidP="00367E78">
      <w:pPr>
        <w:pStyle w:val="Heading3"/>
        <w:rPr>
          <w:color w:val="000000" w:themeColor="text1"/>
          <w:sz w:val="24"/>
        </w:rPr>
      </w:pPr>
      <w:bookmarkStart w:id="61" w:name="_Toc106366802"/>
      <w:r w:rsidRPr="005441D6">
        <w:rPr>
          <w:color w:val="000000" w:themeColor="text1"/>
          <w:sz w:val="24"/>
        </w:rPr>
        <w:t>3.2.2. Demogrāfijas prognozes</w:t>
      </w:r>
      <w:bookmarkEnd w:id="60"/>
      <w:bookmarkEnd w:id="61"/>
    </w:p>
    <w:p w14:paraId="1EA23D45" w14:textId="79A65D04" w:rsidR="000629C8" w:rsidRDefault="2827AC4A" w:rsidP="4398C881">
      <w:pPr>
        <w:jc w:val="both"/>
        <w:rPr>
          <w:color w:val="000000"/>
        </w:rPr>
      </w:pPr>
      <w:bookmarkStart w:id="62" w:name="_Toc517876441"/>
      <w:r>
        <w:t>Saskaņā ar EM demogrāfijas prognožu Mērķa scenāriju, iedzīvotāju skaits Latvijā līdz 2040.</w:t>
      </w:r>
      <w:r w:rsidR="09F936DA">
        <w:t> </w:t>
      </w:r>
      <w:r>
        <w:t>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w:t>
      </w:r>
      <w:r w:rsidR="73E41C7A">
        <w:t> </w:t>
      </w:r>
      <w:r>
        <w:t xml:space="preserve">gadam. Būtiskākais iedzīvotāju skaita samazinājums prognozējams starp iedzīvotājiem darbaspējas vecumā, līdz ar to demogrāfiskie procesi atstās jūtamu ietekmi uz darba tirgu. Vienlaikus ņemot vērā Ukrainas kara bēgļu skaita pieaugumu, imigrējošo skaits varētu pārsniegt emigrējošos jau 2023.gadā. Tomēr šādas izmaiņas migrācijas plūsmā vārētu būt īslaicīgas, ņemot vērā bēgļu </w:t>
      </w:r>
      <w:proofErr w:type="spellStart"/>
      <w:r>
        <w:t>atplūdes</w:t>
      </w:r>
      <w:proofErr w:type="spellEnd"/>
      <w:r>
        <w:t xml:space="preserve"> efektu pēc kara beigām, līdz ar to noturīgs pozitīvs migrācijas saldo sagaidāms vien </w:t>
      </w:r>
      <w:r w:rsidRPr="4398C881">
        <w:rPr>
          <w:color w:val="000000" w:themeColor="text1"/>
        </w:rPr>
        <w:t>ap 2026./2027.</w:t>
      </w:r>
      <w:r w:rsidR="73E41C7A" w:rsidRPr="4398C881">
        <w:rPr>
          <w:color w:val="000000" w:themeColor="text1"/>
        </w:rPr>
        <w:t> </w:t>
      </w:r>
      <w:r w:rsidRPr="4398C881">
        <w:rPr>
          <w:color w:val="000000" w:themeColor="text1"/>
        </w:rPr>
        <w:t>gadu.</w:t>
      </w:r>
    </w:p>
    <w:p w14:paraId="5115491F" w14:textId="7F7A9140" w:rsidR="000629C8" w:rsidRPr="000629C8" w:rsidRDefault="00927285" w:rsidP="000629C8">
      <w:pPr>
        <w:jc w:val="both"/>
        <w:rPr>
          <w:b/>
          <w:szCs w:val="26"/>
        </w:rPr>
      </w:pPr>
      <w:r>
        <w:rPr>
          <w:b/>
          <w:szCs w:val="26"/>
        </w:rPr>
        <w:br/>
      </w:r>
      <w:r w:rsidR="000629C8" w:rsidRPr="000629C8">
        <w:rPr>
          <w:b/>
          <w:szCs w:val="26"/>
        </w:rPr>
        <w:t>Iedzīvotāju skaita un vecumstruktūras izmaiņas</w:t>
      </w:r>
    </w:p>
    <w:p w14:paraId="38A307EC" w14:textId="3C70619C" w:rsidR="000629C8" w:rsidRPr="000629C8" w:rsidRDefault="2827AC4A" w:rsidP="000629C8">
      <w:pPr>
        <w:jc w:val="both"/>
      </w:pPr>
      <w:r w:rsidRPr="4398C881">
        <w:t>Kopumā sagaidāms, ka iedzīvotāju skaits 2040. gadā Latvijā varētu samazināties līdz 1,73 milj., kas ir par aptuveni 8,6% jeb 163,5 tūkst. mazāk nekā 2021. gada sākumā. Jāatzīmē, salīdzinot ar 2020.</w:t>
      </w:r>
      <w:r w:rsidR="3C53C722">
        <w:rPr>
          <w:szCs w:val="26"/>
        </w:rPr>
        <w:t> </w:t>
      </w:r>
      <w:r w:rsidRPr="4398C881">
        <w:t>gada EM demogrāfijas prognožu mērķa scenāriju</w:t>
      </w:r>
      <w:r w:rsidR="000629C8" w:rsidRPr="4398C881">
        <w:rPr>
          <w:vertAlign w:val="superscript"/>
        </w:rPr>
        <w:footnoteReference w:id="20"/>
      </w:r>
      <w:r w:rsidRPr="4398C881">
        <w:t>, iedzīvotāju skaita prognozes kopumā pārskatītas uz leju (2040.</w:t>
      </w:r>
      <w:r w:rsidR="3C53C722">
        <w:rPr>
          <w:szCs w:val="26"/>
        </w:rPr>
        <w:t> </w:t>
      </w:r>
      <w:r w:rsidRPr="4398C881">
        <w:t>gadā par 56,5 tūkst. mazāk nekā 2020.</w:t>
      </w:r>
      <w:r w:rsidR="3C53C722">
        <w:rPr>
          <w:szCs w:val="26"/>
        </w:rPr>
        <w:t> </w:t>
      </w:r>
      <w:r w:rsidRPr="4398C881">
        <w:t>gada prognozēs), ko ietekmējuši gan augstāki iedzīvotāju mirstības rādītāji Covid-19 pandēmijas laikā un zemāka dzimstība, gan arī ilgtermiņa migrācijas bilancei gan 2020.</w:t>
      </w:r>
      <w:r w:rsidR="3C53C722">
        <w:rPr>
          <w:szCs w:val="26"/>
        </w:rPr>
        <w:t> </w:t>
      </w:r>
      <w:r w:rsidRPr="4398C881">
        <w:t>gadā, gan 2021.</w:t>
      </w:r>
      <w:r w:rsidR="3C53C722">
        <w:rPr>
          <w:szCs w:val="26"/>
        </w:rPr>
        <w:t> </w:t>
      </w:r>
      <w:r w:rsidRPr="4398C881">
        <w:t>gadā (EM novērtējums) saglabājoties jūtami negatīvākai nekā iepriekš prognozēts.</w:t>
      </w:r>
    </w:p>
    <w:p w14:paraId="6173C485" w14:textId="78A0A7EC" w:rsidR="000629C8" w:rsidRPr="000629C8" w:rsidRDefault="2827AC4A" w:rsidP="000629C8">
      <w:pPr>
        <w:jc w:val="both"/>
      </w:pPr>
      <w:r>
        <w:t>Jāatzīmē, ka Latvijā jau ilgstoši turpina samazināties iedzīvotāju skaits, turklāt būtiskākais iedzīvotāju skaita samazinājums pēdējo 10 gadu laikā vērojams starp iedzīvotājiem darbaspējas vecumā. Iedzīvotāju skaita samazinājumu darbaspējas vecumā lielā mērā ietekmējusi iedzīvotāju ekonomiskā emigrācija, jo īpaši laikā pēc 2008.</w:t>
      </w:r>
      <w:r w:rsidR="09F936DA">
        <w:t> </w:t>
      </w:r>
      <w:r>
        <w:t xml:space="preserve">gada globālās finanšu krīzes. Jāņem vērā, ka ekonomisko emigrantu plūsmu galvenokārt veido iedzīvotāji </w:t>
      </w:r>
      <w:r>
        <w:lastRenderedPageBreak/>
        <w:t>ekonomiski aktīvākajās vecuma grupās, līdz ar to pastiprinot sabiedrības novecošanās tendences, gan arī  kopumā negatīvi ietekmēju iedzīvotāju ataudzi.</w:t>
      </w:r>
    </w:p>
    <w:p w14:paraId="31470FB7" w14:textId="58492969" w:rsidR="000629C8" w:rsidRPr="000629C8" w:rsidRDefault="000629C8" w:rsidP="000629C8">
      <w:pPr>
        <w:jc w:val="right"/>
        <w:rPr>
          <w:szCs w:val="20"/>
        </w:rPr>
      </w:pPr>
      <w:r w:rsidRPr="000629C8">
        <w:rPr>
          <w:szCs w:val="20"/>
        </w:rPr>
        <w:t>3.3. tabula</w:t>
      </w:r>
    </w:p>
    <w:p w14:paraId="4A936FD3" w14:textId="77777777" w:rsidR="00A408E7" w:rsidRPr="003B4CDA" w:rsidRDefault="00A408E7" w:rsidP="00927285">
      <w:pPr>
        <w:pStyle w:val="9pirmstab3"/>
        <w:tabs>
          <w:tab w:val="left" w:pos="720"/>
        </w:tabs>
        <w:suppressAutoHyphens/>
        <w:spacing w:after="120"/>
        <w:rPr>
          <w:rFonts w:ascii="Segoe UI Light" w:hAnsi="Segoe UI Light"/>
          <w:bCs/>
          <w:i/>
          <w:sz w:val="16"/>
          <w:szCs w:val="18"/>
        </w:rPr>
      </w:pPr>
      <w:r w:rsidRPr="0011170E">
        <w:rPr>
          <w:rFonts w:ascii="Segoe UI Light" w:hAnsi="Segoe UI Light"/>
          <w:b/>
          <w:bCs/>
          <w:szCs w:val="18"/>
        </w:rPr>
        <w:t>Iedzīvotāju dabiskās kustības galvenie rādītāji</w:t>
      </w:r>
      <w:r w:rsidRPr="0011170E">
        <w:rPr>
          <w:rFonts w:ascii="Segoe UI Light" w:hAnsi="Segoe UI Light"/>
          <w:b/>
          <w:bCs/>
          <w:szCs w:val="18"/>
        </w:rPr>
        <w:br/>
      </w:r>
      <w:r w:rsidRPr="0011170E">
        <w:rPr>
          <w:rFonts w:ascii="Segoe UI Light" w:hAnsi="Segoe UI Light"/>
          <w:bCs/>
          <w:i/>
          <w:sz w:val="16"/>
          <w:szCs w:val="18"/>
        </w:rPr>
        <w:t>tūkstošos</w:t>
      </w:r>
    </w:p>
    <w:tbl>
      <w:tblPr>
        <w:tblStyle w:val="GridTable5Dark-Accent31"/>
        <w:tblW w:w="6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969"/>
        <w:gridCol w:w="850"/>
        <w:gridCol w:w="850"/>
        <w:gridCol w:w="850"/>
      </w:tblGrid>
      <w:tr w:rsidR="00C51D16" w:rsidRPr="003B4CDA" w14:paraId="6C5C7491" w14:textId="77777777" w:rsidTr="00C67918">
        <w:trPr>
          <w:cnfStyle w:val="100000000000" w:firstRow="1" w:lastRow="0" w:firstColumn="0" w:lastColumn="0" w:oddVBand="0" w:evenVBand="0" w:oddHBand="0" w:evenHBand="0" w:firstRowFirstColumn="0" w:firstRowLastColumn="0" w:lastRowFirstColumn="0" w:lastRowLastColumn="0"/>
          <w:jc w:val="center"/>
        </w:trPr>
        <w:tc>
          <w:tcPr>
            <w:tcW w:w="3969" w:type="dxa"/>
            <w:shd w:val="clear" w:color="auto" w:fill="5F497A" w:themeFill="accent4" w:themeFillShade="BF"/>
          </w:tcPr>
          <w:p w14:paraId="1535D982" w14:textId="77777777" w:rsidR="00A408E7" w:rsidRPr="003B4CDA" w:rsidRDefault="00A408E7" w:rsidP="00D209BD">
            <w:pPr>
              <w:numPr>
                <w:ilvl w:val="12"/>
                <w:numId w:val="0"/>
              </w:numPr>
              <w:spacing w:before="40" w:after="40"/>
              <w:jc w:val="center"/>
              <w:rPr>
                <w:rFonts w:ascii="Segoe UI Light" w:hAnsi="Segoe UI Light"/>
                <w:b w:val="0"/>
                <w:sz w:val="16"/>
                <w:szCs w:val="16"/>
              </w:rPr>
            </w:pPr>
          </w:p>
        </w:tc>
        <w:tc>
          <w:tcPr>
            <w:tcW w:w="850" w:type="dxa"/>
            <w:shd w:val="clear" w:color="auto" w:fill="5F497A" w:themeFill="accent4" w:themeFillShade="BF"/>
          </w:tcPr>
          <w:p w14:paraId="4DE5FA43" w14:textId="77777777" w:rsidR="00A408E7" w:rsidRPr="003B4CDA" w:rsidRDefault="00A408E7" w:rsidP="00D209BD">
            <w:pPr>
              <w:keepLines/>
              <w:numPr>
                <w:ilvl w:val="12"/>
                <w:numId w:val="0"/>
              </w:numPr>
              <w:spacing w:before="40" w:after="40"/>
              <w:ind w:left="-79" w:right="-56"/>
              <w:jc w:val="center"/>
              <w:rPr>
                <w:rFonts w:ascii="Segoe UI Light" w:hAnsi="Segoe UI Light"/>
                <w:sz w:val="16"/>
                <w:szCs w:val="16"/>
              </w:rPr>
            </w:pPr>
            <w:r>
              <w:rPr>
                <w:rFonts w:ascii="Segoe UI Light" w:hAnsi="Segoe UI Light"/>
                <w:sz w:val="16"/>
                <w:szCs w:val="16"/>
              </w:rPr>
              <w:t>2021</w:t>
            </w:r>
          </w:p>
        </w:tc>
        <w:tc>
          <w:tcPr>
            <w:tcW w:w="850" w:type="dxa"/>
            <w:shd w:val="clear" w:color="auto" w:fill="5F497A" w:themeFill="accent4" w:themeFillShade="BF"/>
          </w:tcPr>
          <w:p w14:paraId="0ABEB25C" w14:textId="77777777" w:rsidR="00A408E7" w:rsidRPr="003B4CDA" w:rsidRDefault="00A408E7" w:rsidP="00D209BD">
            <w:pPr>
              <w:keepLines/>
              <w:numPr>
                <w:ilvl w:val="12"/>
                <w:numId w:val="0"/>
              </w:numPr>
              <w:spacing w:before="40" w:after="40"/>
              <w:ind w:left="-79" w:right="-56"/>
              <w:jc w:val="center"/>
              <w:rPr>
                <w:rFonts w:ascii="Segoe UI Light" w:hAnsi="Segoe UI Light"/>
                <w:sz w:val="16"/>
                <w:szCs w:val="16"/>
              </w:rPr>
            </w:pPr>
            <w:r w:rsidRPr="003B4CDA">
              <w:rPr>
                <w:rFonts w:ascii="Segoe UI Light" w:hAnsi="Segoe UI Light"/>
                <w:sz w:val="16"/>
                <w:szCs w:val="16"/>
              </w:rPr>
              <w:t>20</w:t>
            </w:r>
            <w:r>
              <w:rPr>
                <w:rFonts w:ascii="Segoe UI Light" w:hAnsi="Segoe UI Light"/>
                <w:sz w:val="16"/>
                <w:szCs w:val="16"/>
              </w:rPr>
              <w:t>30</w:t>
            </w:r>
          </w:p>
        </w:tc>
        <w:tc>
          <w:tcPr>
            <w:tcW w:w="850" w:type="dxa"/>
            <w:shd w:val="clear" w:color="auto" w:fill="5F497A" w:themeFill="accent4" w:themeFillShade="BF"/>
          </w:tcPr>
          <w:p w14:paraId="50CD3AFA" w14:textId="77777777" w:rsidR="00A408E7" w:rsidRPr="003B4CDA" w:rsidRDefault="00A408E7" w:rsidP="00D209BD">
            <w:pPr>
              <w:keepLines/>
              <w:numPr>
                <w:ilvl w:val="12"/>
                <w:numId w:val="0"/>
              </w:numPr>
              <w:spacing w:before="40" w:after="40"/>
              <w:ind w:left="-79" w:right="-56"/>
              <w:jc w:val="center"/>
              <w:rPr>
                <w:rFonts w:ascii="Segoe UI Light" w:hAnsi="Segoe UI Light"/>
                <w:sz w:val="16"/>
                <w:szCs w:val="16"/>
              </w:rPr>
            </w:pPr>
            <w:r w:rsidRPr="003B4CDA">
              <w:rPr>
                <w:rFonts w:ascii="Segoe UI Light" w:hAnsi="Segoe UI Light"/>
                <w:sz w:val="16"/>
                <w:szCs w:val="16"/>
              </w:rPr>
              <w:t>2040</w:t>
            </w:r>
          </w:p>
        </w:tc>
      </w:tr>
      <w:tr w:rsidR="00C51D16" w:rsidRPr="003B4CDA" w14:paraId="19FA2E62" w14:textId="77777777" w:rsidTr="00C67918">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E5DFEC" w:themeFill="accent4" w:themeFillTint="33"/>
            <w:hideMark/>
          </w:tcPr>
          <w:p w14:paraId="31F0C029" w14:textId="77777777" w:rsidR="00A408E7" w:rsidRPr="003B4CDA" w:rsidRDefault="00A408E7" w:rsidP="00D209BD">
            <w:pPr>
              <w:numPr>
                <w:ilvl w:val="12"/>
                <w:numId w:val="0"/>
              </w:numPr>
              <w:spacing w:before="40" w:after="40"/>
              <w:rPr>
                <w:rFonts w:ascii="Segoe UI Light" w:hAnsi="Segoe UI Light"/>
                <w:sz w:val="16"/>
                <w:szCs w:val="16"/>
              </w:rPr>
            </w:pPr>
            <w:r w:rsidRPr="003B4CDA">
              <w:rPr>
                <w:rFonts w:ascii="Segoe UI Light" w:hAnsi="Segoe UI Light"/>
                <w:sz w:val="16"/>
                <w:szCs w:val="16"/>
              </w:rPr>
              <w:t>Iedzīvotāju skaits gada sākumā</w:t>
            </w:r>
          </w:p>
        </w:tc>
        <w:tc>
          <w:tcPr>
            <w:tcW w:w="850" w:type="dxa"/>
            <w:shd w:val="clear" w:color="auto" w:fill="E5DFEC" w:themeFill="accent4" w:themeFillTint="33"/>
            <w:hideMark/>
          </w:tcPr>
          <w:p w14:paraId="7C08A481" w14:textId="301CD0E5"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1893</w:t>
            </w:r>
            <w:r>
              <w:rPr>
                <w:rFonts w:ascii="Segoe UI Light" w:hAnsi="Segoe UI Light"/>
                <w:bCs/>
                <w:sz w:val="16"/>
                <w:szCs w:val="16"/>
              </w:rPr>
              <w:t>,</w:t>
            </w:r>
            <w:r w:rsidRPr="00BF47AA">
              <w:rPr>
                <w:rFonts w:ascii="Segoe UI Light" w:hAnsi="Segoe UI Light"/>
                <w:bCs/>
                <w:sz w:val="16"/>
                <w:szCs w:val="16"/>
              </w:rPr>
              <w:t>2</w:t>
            </w:r>
          </w:p>
        </w:tc>
        <w:tc>
          <w:tcPr>
            <w:tcW w:w="850" w:type="dxa"/>
            <w:shd w:val="clear" w:color="auto" w:fill="E5DFEC" w:themeFill="accent4" w:themeFillTint="33"/>
            <w:hideMark/>
          </w:tcPr>
          <w:p w14:paraId="729BF13B" w14:textId="348338F4"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1776</w:t>
            </w:r>
            <w:r>
              <w:rPr>
                <w:rFonts w:ascii="Segoe UI Light" w:hAnsi="Segoe UI Light"/>
                <w:bCs/>
                <w:sz w:val="16"/>
                <w:szCs w:val="16"/>
              </w:rPr>
              <w:t>,</w:t>
            </w:r>
            <w:r w:rsidRPr="00BF47AA">
              <w:rPr>
                <w:rFonts w:ascii="Segoe UI Light" w:hAnsi="Segoe UI Light"/>
                <w:bCs/>
                <w:sz w:val="16"/>
                <w:szCs w:val="16"/>
              </w:rPr>
              <w:t>9</w:t>
            </w:r>
          </w:p>
        </w:tc>
        <w:tc>
          <w:tcPr>
            <w:tcW w:w="850" w:type="dxa"/>
            <w:shd w:val="clear" w:color="auto" w:fill="E5DFEC" w:themeFill="accent4" w:themeFillTint="33"/>
            <w:hideMark/>
          </w:tcPr>
          <w:p w14:paraId="638254C0" w14:textId="355E9828"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1729</w:t>
            </w:r>
            <w:r>
              <w:rPr>
                <w:rFonts w:ascii="Segoe UI Light" w:hAnsi="Segoe UI Light"/>
                <w:bCs/>
                <w:sz w:val="16"/>
                <w:szCs w:val="16"/>
              </w:rPr>
              <w:t>,</w:t>
            </w:r>
            <w:r w:rsidRPr="00BF47AA">
              <w:rPr>
                <w:rFonts w:ascii="Segoe UI Light" w:hAnsi="Segoe UI Light"/>
                <w:bCs/>
                <w:sz w:val="16"/>
                <w:szCs w:val="16"/>
              </w:rPr>
              <w:t>7</w:t>
            </w:r>
          </w:p>
        </w:tc>
      </w:tr>
      <w:tr w:rsidR="00C51D16" w:rsidRPr="003B4CDA" w14:paraId="5D396E53" w14:textId="77777777" w:rsidTr="00D209BD">
        <w:trPr>
          <w:jc w:val="center"/>
        </w:trPr>
        <w:tc>
          <w:tcPr>
            <w:tcW w:w="3969" w:type="dxa"/>
            <w:shd w:val="clear" w:color="auto" w:fill="CCC0D9" w:themeFill="accent4" w:themeFillTint="66"/>
            <w:hideMark/>
          </w:tcPr>
          <w:p w14:paraId="2DD216E8" w14:textId="77777777" w:rsidR="00A408E7" w:rsidRPr="003B4CDA" w:rsidRDefault="00A408E7" w:rsidP="00D209BD">
            <w:pPr>
              <w:numPr>
                <w:ilvl w:val="12"/>
                <w:numId w:val="0"/>
              </w:numPr>
              <w:spacing w:before="40" w:after="40"/>
              <w:rPr>
                <w:rFonts w:ascii="Segoe UI Light" w:hAnsi="Segoe UI Light"/>
                <w:sz w:val="16"/>
                <w:szCs w:val="16"/>
              </w:rPr>
            </w:pPr>
            <w:r w:rsidRPr="003B4CDA">
              <w:rPr>
                <w:rFonts w:ascii="Segoe UI Light" w:hAnsi="Segoe UI Light"/>
                <w:sz w:val="16"/>
                <w:szCs w:val="16"/>
              </w:rPr>
              <w:t xml:space="preserve">Iedzīvotāju skaita izmaiņas, salīdzinot ar </w:t>
            </w:r>
            <w:r>
              <w:rPr>
                <w:rFonts w:ascii="Segoe UI Light" w:hAnsi="Segoe UI Light"/>
                <w:sz w:val="16"/>
                <w:szCs w:val="16"/>
              </w:rPr>
              <w:t>2021</w:t>
            </w:r>
            <w:r w:rsidRPr="003B4CDA">
              <w:rPr>
                <w:rFonts w:ascii="Segoe UI Light" w:hAnsi="Segoe UI Light"/>
                <w:sz w:val="16"/>
                <w:szCs w:val="16"/>
              </w:rPr>
              <w:t>. gadu</w:t>
            </w:r>
          </w:p>
        </w:tc>
        <w:tc>
          <w:tcPr>
            <w:tcW w:w="850" w:type="dxa"/>
            <w:shd w:val="clear" w:color="auto" w:fill="CCC0D9" w:themeFill="accent4" w:themeFillTint="66"/>
          </w:tcPr>
          <w:p w14:paraId="6FC589AF" w14:textId="77777777" w:rsidR="00A408E7" w:rsidRPr="00BF47AA" w:rsidRDefault="00A408E7" w:rsidP="00D209BD">
            <w:pPr>
              <w:tabs>
                <w:tab w:val="decimal" w:pos="453"/>
              </w:tabs>
              <w:spacing w:before="40" w:after="40"/>
              <w:rPr>
                <w:rFonts w:ascii="Segoe UI Light" w:hAnsi="Segoe UI Light"/>
                <w:bCs/>
                <w:sz w:val="16"/>
                <w:szCs w:val="16"/>
              </w:rPr>
            </w:pPr>
            <w:r w:rsidRPr="00BF47AA">
              <w:rPr>
                <w:rFonts w:ascii="Segoe UI Light" w:hAnsi="Segoe UI Light"/>
                <w:bCs/>
                <w:sz w:val="16"/>
                <w:szCs w:val="16"/>
              </w:rPr>
              <w:t>–</w:t>
            </w:r>
          </w:p>
        </w:tc>
        <w:tc>
          <w:tcPr>
            <w:tcW w:w="850" w:type="dxa"/>
            <w:shd w:val="clear" w:color="auto" w:fill="CCC0D9" w:themeFill="accent4" w:themeFillTint="66"/>
            <w:hideMark/>
          </w:tcPr>
          <w:p w14:paraId="084002C0" w14:textId="636F7373"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-116</w:t>
            </w:r>
            <w:r>
              <w:rPr>
                <w:rFonts w:ascii="Segoe UI Light" w:hAnsi="Segoe UI Light"/>
                <w:bCs/>
                <w:sz w:val="16"/>
                <w:szCs w:val="16"/>
              </w:rPr>
              <w:t>,</w:t>
            </w:r>
            <w:r w:rsidRPr="00BF47AA">
              <w:rPr>
                <w:rFonts w:ascii="Segoe UI Light" w:hAnsi="Segoe UI Light"/>
                <w:bCs/>
                <w:sz w:val="16"/>
                <w:szCs w:val="16"/>
              </w:rPr>
              <w:t>4</w:t>
            </w:r>
          </w:p>
        </w:tc>
        <w:tc>
          <w:tcPr>
            <w:tcW w:w="850" w:type="dxa"/>
            <w:shd w:val="clear" w:color="auto" w:fill="CCC0D9" w:themeFill="accent4" w:themeFillTint="66"/>
            <w:hideMark/>
          </w:tcPr>
          <w:p w14:paraId="1AB6431D" w14:textId="1402C64A"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-163</w:t>
            </w:r>
            <w:r>
              <w:rPr>
                <w:rFonts w:ascii="Segoe UI Light" w:hAnsi="Segoe UI Light"/>
                <w:bCs/>
                <w:sz w:val="16"/>
                <w:szCs w:val="16"/>
              </w:rPr>
              <w:t>,</w:t>
            </w:r>
            <w:r w:rsidRPr="00BF47AA">
              <w:rPr>
                <w:rFonts w:ascii="Segoe UI Light" w:hAnsi="Segoe UI Light"/>
                <w:bCs/>
                <w:sz w:val="16"/>
                <w:szCs w:val="16"/>
              </w:rPr>
              <w:t>5</w:t>
            </w:r>
          </w:p>
        </w:tc>
      </w:tr>
      <w:tr w:rsidR="00C51D16" w:rsidRPr="003B4CDA" w14:paraId="138E49A8" w14:textId="77777777" w:rsidTr="00D209BD">
        <w:trPr>
          <w:cnfStyle w:val="000000100000" w:firstRow="0" w:lastRow="0" w:firstColumn="0" w:lastColumn="0" w:oddVBand="0" w:evenVBand="0" w:oddHBand="1" w:evenHBand="0" w:firstRowFirstColumn="0" w:firstRowLastColumn="0" w:lastRowFirstColumn="0" w:lastRowLastColumn="0"/>
          <w:jc w:val="center"/>
        </w:trPr>
        <w:tc>
          <w:tcPr>
            <w:tcW w:w="3969" w:type="dxa"/>
            <w:shd w:val="clear" w:color="auto" w:fill="E5DFEC" w:themeFill="accent4" w:themeFillTint="33"/>
            <w:hideMark/>
          </w:tcPr>
          <w:p w14:paraId="7F4A483B" w14:textId="77777777" w:rsidR="00A408E7" w:rsidRPr="003B4CDA" w:rsidRDefault="00A408E7" w:rsidP="00D209BD">
            <w:pPr>
              <w:numPr>
                <w:ilvl w:val="12"/>
                <w:numId w:val="0"/>
              </w:numPr>
              <w:spacing w:before="40" w:after="40"/>
              <w:ind w:left="199"/>
              <w:rPr>
                <w:rFonts w:ascii="Segoe UI Light" w:hAnsi="Segoe UI Light"/>
                <w:sz w:val="16"/>
                <w:szCs w:val="16"/>
              </w:rPr>
            </w:pPr>
            <w:r w:rsidRPr="003B4CDA">
              <w:rPr>
                <w:rFonts w:ascii="Segoe UI Light" w:hAnsi="Segoe UI Light"/>
                <w:sz w:val="16"/>
                <w:szCs w:val="16"/>
              </w:rPr>
              <w:t>t.sk. migrācijas ietekme</w:t>
            </w:r>
          </w:p>
        </w:tc>
        <w:tc>
          <w:tcPr>
            <w:tcW w:w="850" w:type="dxa"/>
            <w:shd w:val="clear" w:color="auto" w:fill="E5DFEC" w:themeFill="accent4" w:themeFillTint="33"/>
          </w:tcPr>
          <w:p w14:paraId="5FC1F6B8" w14:textId="77777777" w:rsidR="00A408E7" w:rsidRPr="00BF47AA" w:rsidRDefault="00A408E7" w:rsidP="00D209BD">
            <w:pPr>
              <w:tabs>
                <w:tab w:val="decimal" w:pos="453"/>
              </w:tabs>
              <w:spacing w:before="40" w:after="40"/>
              <w:rPr>
                <w:rFonts w:ascii="Segoe UI Light" w:hAnsi="Segoe UI Light"/>
                <w:bCs/>
                <w:sz w:val="16"/>
                <w:szCs w:val="16"/>
              </w:rPr>
            </w:pPr>
            <w:r w:rsidRPr="00BF47AA">
              <w:rPr>
                <w:rFonts w:ascii="Segoe UI Light" w:hAnsi="Segoe UI Light"/>
                <w:bCs/>
                <w:sz w:val="16"/>
                <w:szCs w:val="16"/>
              </w:rPr>
              <w:t>–</w:t>
            </w:r>
          </w:p>
        </w:tc>
        <w:tc>
          <w:tcPr>
            <w:tcW w:w="850" w:type="dxa"/>
            <w:shd w:val="clear" w:color="auto" w:fill="E5DFEC" w:themeFill="accent4" w:themeFillTint="33"/>
            <w:hideMark/>
          </w:tcPr>
          <w:p w14:paraId="2F22D147" w14:textId="772A922F"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-0</w:t>
            </w:r>
            <w:r>
              <w:rPr>
                <w:rFonts w:ascii="Segoe UI Light" w:hAnsi="Segoe UI Light"/>
                <w:bCs/>
                <w:sz w:val="16"/>
                <w:szCs w:val="16"/>
              </w:rPr>
              <w:t>,</w:t>
            </w:r>
            <w:r w:rsidRPr="00BF47AA">
              <w:rPr>
                <w:rFonts w:ascii="Segoe UI Light" w:hAnsi="Segoe UI Light"/>
                <w:bCs/>
                <w:sz w:val="16"/>
                <w:szCs w:val="16"/>
              </w:rPr>
              <w:t>3</w:t>
            </w:r>
          </w:p>
        </w:tc>
        <w:tc>
          <w:tcPr>
            <w:tcW w:w="850" w:type="dxa"/>
            <w:shd w:val="clear" w:color="auto" w:fill="E5DFEC" w:themeFill="accent4" w:themeFillTint="33"/>
            <w:hideMark/>
          </w:tcPr>
          <w:p w14:paraId="65C361DD" w14:textId="5893E6D1"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43</w:t>
            </w:r>
            <w:r>
              <w:rPr>
                <w:rFonts w:ascii="Segoe UI Light" w:hAnsi="Segoe UI Light"/>
                <w:bCs/>
                <w:sz w:val="16"/>
                <w:szCs w:val="16"/>
              </w:rPr>
              <w:t>,</w:t>
            </w:r>
            <w:r w:rsidRPr="00BF47AA">
              <w:rPr>
                <w:rFonts w:ascii="Segoe UI Light" w:hAnsi="Segoe UI Light"/>
                <w:bCs/>
                <w:sz w:val="16"/>
                <w:szCs w:val="16"/>
              </w:rPr>
              <w:t>7</w:t>
            </w:r>
          </w:p>
        </w:tc>
      </w:tr>
      <w:tr w:rsidR="00C51D16" w:rsidRPr="003B4CDA" w14:paraId="203FFFBD" w14:textId="77777777" w:rsidTr="00D209BD">
        <w:trPr>
          <w:jc w:val="center"/>
        </w:trPr>
        <w:tc>
          <w:tcPr>
            <w:tcW w:w="3969" w:type="dxa"/>
            <w:shd w:val="clear" w:color="auto" w:fill="CCC0D9" w:themeFill="accent4" w:themeFillTint="66"/>
            <w:hideMark/>
          </w:tcPr>
          <w:p w14:paraId="54AC7ADC" w14:textId="77777777" w:rsidR="00A408E7" w:rsidRPr="003B4CDA" w:rsidRDefault="00A408E7" w:rsidP="00D209BD">
            <w:pPr>
              <w:numPr>
                <w:ilvl w:val="12"/>
                <w:numId w:val="0"/>
              </w:numPr>
              <w:spacing w:before="40" w:after="40"/>
              <w:ind w:left="199"/>
              <w:rPr>
                <w:rFonts w:ascii="Segoe UI Light" w:hAnsi="Segoe UI Light"/>
                <w:sz w:val="16"/>
                <w:szCs w:val="16"/>
              </w:rPr>
            </w:pPr>
            <w:r w:rsidRPr="003B4CDA">
              <w:rPr>
                <w:rFonts w:ascii="Segoe UI Light" w:hAnsi="Segoe UI Light"/>
                <w:sz w:val="16"/>
                <w:szCs w:val="16"/>
              </w:rPr>
              <w:t>t.sk. dabiskā pieauguma ietekme</w:t>
            </w:r>
          </w:p>
        </w:tc>
        <w:tc>
          <w:tcPr>
            <w:tcW w:w="850" w:type="dxa"/>
            <w:shd w:val="clear" w:color="auto" w:fill="CCC0D9" w:themeFill="accent4" w:themeFillTint="66"/>
          </w:tcPr>
          <w:p w14:paraId="77F2390A" w14:textId="77777777" w:rsidR="00A408E7" w:rsidRPr="00BF47AA" w:rsidRDefault="00A408E7" w:rsidP="00D209BD">
            <w:pPr>
              <w:tabs>
                <w:tab w:val="decimal" w:pos="453"/>
              </w:tabs>
              <w:spacing w:before="40" w:after="40"/>
              <w:rPr>
                <w:rFonts w:ascii="Segoe UI Light" w:hAnsi="Segoe UI Light"/>
                <w:bCs/>
                <w:sz w:val="16"/>
                <w:szCs w:val="16"/>
              </w:rPr>
            </w:pPr>
            <w:r w:rsidRPr="00BF47AA">
              <w:rPr>
                <w:rFonts w:ascii="Segoe UI Light" w:hAnsi="Segoe UI Light"/>
                <w:bCs/>
                <w:sz w:val="16"/>
                <w:szCs w:val="16"/>
              </w:rPr>
              <w:t>–</w:t>
            </w:r>
          </w:p>
        </w:tc>
        <w:tc>
          <w:tcPr>
            <w:tcW w:w="850" w:type="dxa"/>
            <w:shd w:val="clear" w:color="auto" w:fill="CCC0D9" w:themeFill="accent4" w:themeFillTint="66"/>
            <w:hideMark/>
          </w:tcPr>
          <w:p w14:paraId="22831CC9" w14:textId="5F770685"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-116</w:t>
            </w:r>
            <w:r>
              <w:rPr>
                <w:rFonts w:ascii="Segoe UI Light" w:hAnsi="Segoe UI Light"/>
                <w:bCs/>
                <w:sz w:val="16"/>
                <w:szCs w:val="16"/>
              </w:rPr>
              <w:t>,</w:t>
            </w:r>
            <w:r w:rsidRPr="00BF47AA">
              <w:rPr>
                <w:rFonts w:ascii="Segoe UI Light" w:hAnsi="Segoe UI Light"/>
                <w:bCs/>
                <w:sz w:val="16"/>
                <w:szCs w:val="16"/>
              </w:rPr>
              <w:t>1</w:t>
            </w:r>
          </w:p>
        </w:tc>
        <w:tc>
          <w:tcPr>
            <w:tcW w:w="850" w:type="dxa"/>
            <w:shd w:val="clear" w:color="auto" w:fill="CCC0D9" w:themeFill="accent4" w:themeFillTint="66"/>
            <w:hideMark/>
          </w:tcPr>
          <w:p w14:paraId="1AF41114" w14:textId="24926B6B" w:rsidR="00A408E7" w:rsidRPr="00BF47AA" w:rsidRDefault="00A408E7" w:rsidP="00D209BD">
            <w:pPr>
              <w:spacing w:before="40" w:after="40"/>
              <w:jc w:val="right"/>
              <w:rPr>
                <w:rFonts w:ascii="Segoe UI Light" w:hAnsi="Segoe UI Light"/>
                <w:bCs/>
                <w:sz w:val="16"/>
                <w:szCs w:val="16"/>
              </w:rPr>
            </w:pPr>
            <w:r w:rsidRPr="00BF47AA">
              <w:rPr>
                <w:rFonts w:ascii="Segoe UI Light" w:hAnsi="Segoe UI Light"/>
                <w:bCs/>
                <w:sz w:val="16"/>
                <w:szCs w:val="16"/>
              </w:rPr>
              <w:t>-207</w:t>
            </w:r>
            <w:r>
              <w:rPr>
                <w:rFonts w:ascii="Segoe UI Light" w:hAnsi="Segoe UI Light"/>
                <w:bCs/>
                <w:sz w:val="16"/>
                <w:szCs w:val="16"/>
              </w:rPr>
              <w:t>,</w:t>
            </w:r>
            <w:r w:rsidRPr="00BF47AA">
              <w:rPr>
                <w:rFonts w:ascii="Segoe UI Light" w:hAnsi="Segoe UI Light"/>
                <w:bCs/>
                <w:sz w:val="16"/>
                <w:szCs w:val="16"/>
              </w:rPr>
              <w:t>2</w:t>
            </w:r>
          </w:p>
        </w:tc>
      </w:tr>
    </w:tbl>
    <w:p w14:paraId="5242B679" w14:textId="77777777" w:rsidR="00A408E7" w:rsidRPr="00C67918" w:rsidRDefault="00A408E7" w:rsidP="00A408E7">
      <w:pPr>
        <w:spacing w:before="120"/>
        <w:ind w:left="720" w:firstLine="697"/>
        <w:jc w:val="both"/>
        <w:rPr>
          <w:rFonts w:cs="Calibri Light"/>
          <w:sz w:val="12"/>
          <w:szCs w:val="10"/>
        </w:rPr>
      </w:pPr>
      <w:r w:rsidRPr="00C67918">
        <w:rPr>
          <w:rFonts w:cs="Calibri Light"/>
          <w:sz w:val="12"/>
          <w:szCs w:val="10"/>
        </w:rPr>
        <w:t>Avots: CSP dati 2021. gadam, EM prognozes 2030. un 2040. gadam</w:t>
      </w:r>
    </w:p>
    <w:p w14:paraId="149FABAA" w14:textId="1C233911" w:rsidR="000629C8" w:rsidRPr="000629C8" w:rsidRDefault="00927285" w:rsidP="4398C881">
      <w:pPr>
        <w:spacing w:before="120"/>
        <w:jc w:val="both"/>
        <w:rPr>
          <w:rFonts w:cs="Segoe UI"/>
        </w:rPr>
      </w:pPr>
      <w:r>
        <w:rPr>
          <w:rFonts w:cs="Segoe UI"/>
        </w:rPr>
        <w:br/>
      </w:r>
      <w:r w:rsidR="2827AC4A" w:rsidRPr="4398C881">
        <w:rPr>
          <w:rFonts w:cs="Segoe UI"/>
        </w:rPr>
        <w:t>Kopumā paredzamas, ka iedzīvotāju skaits vecuma grupā no 15 līdz 64 gadiem līdz 2040. gadam samazināsies par 144,8 tūkst. jeb aptuveni 12%, salīdzinot ar 2021.</w:t>
      </w:r>
      <w:r w:rsidR="17EA8A89" w:rsidRPr="4398C881">
        <w:rPr>
          <w:rFonts w:cs="Segoe UI"/>
        </w:rPr>
        <w:t> </w:t>
      </w:r>
      <w:r w:rsidR="2827AC4A" w:rsidRPr="4398C881">
        <w:rPr>
          <w:rFonts w:cs="Segoe UI"/>
        </w:rPr>
        <w:t>gada sākumu, vienlaikus iedzīvotāju skaits vecumā no 65 gadiem palielināsies par gandrīz 54 tūkst. jeb 13,6%. Šīs tendences kopumā noteiks, ka iedzīvotāju īpatsvars vecumā no 15 līdz 64 gadiem iedzīvotāju kopskaitā samazināsies no 63% 2021. gadā līdz 61% 2040. gadā.</w:t>
      </w:r>
    </w:p>
    <w:p w14:paraId="4C89445E" w14:textId="6A043552" w:rsidR="000629C8" w:rsidRPr="000629C8" w:rsidRDefault="000629C8" w:rsidP="000629C8">
      <w:pPr>
        <w:jc w:val="both"/>
        <w:rPr>
          <w:szCs w:val="26"/>
        </w:rPr>
      </w:pPr>
      <w:r w:rsidRPr="000629C8">
        <w:rPr>
          <w:szCs w:val="26"/>
        </w:rPr>
        <w:t>Ņemot vērā sabiedrības novecošanās tendences, sagaidāms, ka iedzīvotāju vidējais vecums līdz 2040.</w:t>
      </w:r>
      <w:r w:rsidR="00807D21">
        <w:rPr>
          <w:szCs w:val="26"/>
        </w:rPr>
        <w:t> </w:t>
      </w:r>
      <w:r w:rsidRPr="000629C8">
        <w:rPr>
          <w:szCs w:val="26"/>
        </w:rPr>
        <w:t xml:space="preserve">gada varētu pieaugt līdz 45,5 gadiem </w:t>
      </w:r>
      <w:r w:rsidRPr="000629C8">
        <w:rPr>
          <w:rFonts w:ascii="Segoe UI Light" w:hAnsi="Segoe UI Light"/>
          <w:sz w:val="16"/>
          <w:szCs w:val="16"/>
        </w:rPr>
        <w:t xml:space="preserve">– </w:t>
      </w:r>
      <w:r w:rsidRPr="000629C8">
        <w:rPr>
          <w:szCs w:val="26"/>
        </w:rPr>
        <w:t>par vidēji 2,6 gadiem, salīdzinot ar 2021.</w:t>
      </w:r>
      <w:r w:rsidR="00807D21">
        <w:rPr>
          <w:szCs w:val="26"/>
        </w:rPr>
        <w:t> </w:t>
      </w:r>
      <w:r w:rsidRPr="000629C8">
        <w:rPr>
          <w:szCs w:val="26"/>
        </w:rPr>
        <w:t>gada sākumu.</w:t>
      </w:r>
    </w:p>
    <w:p w14:paraId="674A2760" w14:textId="77777777" w:rsidR="000629C8" w:rsidRPr="000629C8" w:rsidRDefault="000629C8" w:rsidP="000629C8">
      <w:pPr>
        <w:jc w:val="right"/>
        <w:rPr>
          <w:color w:val="000000"/>
          <w:szCs w:val="20"/>
        </w:rPr>
      </w:pPr>
      <w:r w:rsidRPr="000629C8">
        <w:rPr>
          <w:color w:val="000000"/>
          <w:szCs w:val="20"/>
        </w:rPr>
        <w:t>3.4. attēls</w:t>
      </w:r>
    </w:p>
    <w:p w14:paraId="22D569E4" w14:textId="77777777" w:rsidR="000629C8" w:rsidRPr="000629C8" w:rsidRDefault="000629C8" w:rsidP="00EA05F6">
      <w:pPr>
        <w:spacing w:after="120"/>
        <w:jc w:val="center"/>
        <w:rPr>
          <w:rFonts w:ascii="Segoe UI Light" w:hAnsi="Segoe UI Light"/>
          <w:color w:val="000000"/>
          <w:sz w:val="16"/>
          <w:szCs w:val="20"/>
        </w:rPr>
      </w:pPr>
      <w:r w:rsidRPr="000629C8">
        <w:rPr>
          <w:rFonts w:ascii="Segoe UI Light" w:hAnsi="Segoe UI Light"/>
          <w:noProof/>
          <w:color w:val="000000"/>
          <w:sz w:val="18"/>
          <w:szCs w:val="20"/>
          <w:lang w:eastAsia="lv-LV"/>
        </w:rPr>
        <mc:AlternateContent>
          <mc:Choice Requires="wps">
            <w:drawing>
              <wp:anchor distT="0" distB="0" distL="114300" distR="114300" simplePos="0" relativeHeight="251658243" behindDoc="0" locked="0" layoutInCell="1" allowOverlap="1" wp14:anchorId="3CC68185" wp14:editId="2663932D">
                <wp:simplePos x="0" y="0"/>
                <wp:positionH relativeFrom="column">
                  <wp:posOffset>182283</wp:posOffset>
                </wp:positionH>
                <wp:positionV relativeFrom="paragraph">
                  <wp:posOffset>293484</wp:posOffset>
                </wp:positionV>
                <wp:extent cx="1140056" cy="300250"/>
                <wp:effectExtent l="0" t="0" r="0" b="0"/>
                <wp:wrapNone/>
                <wp:docPr id="230" name="Rectangle 21"/>
                <wp:cNvGraphicFramePr/>
                <a:graphic xmlns:a="http://schemas.openxmlformats.org/drawingml/2006/main">
                  <a:graphicData uri="http://schemas.microsoft.com/office/word/2010/wordprocessingShape">
                    <wps:wsp>
                      <wps:cNvSpPr/>
                      <wps:spPr>
                        <a:xfrm>
                          <a:off x="0" y="0"/>
                          <a:ext cx="1140056" cy="300250"/>
                        </a:xfrm>
                        <a:prstGeom prst="rect">
                          <a:avLst/>
                        </a:prstGeom>
                      </wps:spPr>
                      <wps:txbx>
                        <w:txbxContent>
                          <w:p w14:paraId="005637B7"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2,28 milj.</w:t>
                            </w:r>
                          </w:p>
                          <w:p w14:paraId="06A4145E"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5FAE060E"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V relativeFrom="margin">
                  <wp14:pctHeight>0</wp14:pctHeight>
                </wp14:sizeRelV>
              </wp:anchor>
            </w:drawing>
          </mc:Choice>
          <mc:Fallback>
            <w:pict>
              <v:rect w14:anchorId="3CC68185" id="Rectangle 21" o:spid="_x0000_s1044" style="position:absolute;left:0;text-align:left;margin-left:14.35pt;margin-top:23.1pt;width:89.75pt;height:23.65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5lOhQEAAPgCAAAOAAAAZHJzL2Uyb0RvYy54bWysUttOAyEQfTfxHwjvdi+1jdl025g0+mK0&#10;sfoBlIUuycIQoN3t3zvQm9E348swwwxn5hxmthh0R/bCeQWmpsUop0QYDo0y25p+fjzdPVDiAzMN&#10;68CImh6Ep4v57c2st5UooYWuEY4giPFVb2vahmCrLPO8FZr5EVhhMCnBaRYwdNuscaxHdN1lZZ5P&#10;sx5cYx1w4T3eLo9JOk/4Ugoe3qT0IpCupjhbSNYlu4k2m89YtXXMtoqfxmB/mEIzZbDpBWrJAiM7&#10;p35BacUdeJBhxEFnIKXiInFANkX+g826ZVYkLiiOtxeZ/P/B8tf9yhHV1LQcoz6Gafykd5SNmW0n&#10;SFlEhXrrKyxc25U7RR7dSHeQTscTiZAhqXq4qCqGQDheFsV9nk+mlHDMjfO8nCTZs+tr63x4FqBJ&#10;dGrqsH0Sk+1ffMCOWHouwSBOc+wfvTBshjR/8XAedQPNAUn1+Ks1Nbh2CczA4y6AVAkwvjyWnQBR&#10;3tTntArx/77Hqeq6sPMvAAAA//8DAFBLAwQUAAYACAAAACEALSQpld4AAAAIAQAADwAAAGRycy9k&#10;b3ducmV2LnhtbEyPzU7DMBCE70i8g7VI3KhNSksIcSpAQkJcKsLf1Y2XJMJeW7bTpm+POcFtVjOa&#10;+bbezNawPYY4OpJwuRDAkDqnR+olvL0+XpTAYlKklXGEEo4YYdOcntSq0u5AL7hvU89yCcVKSRhS&#10;8hXnsRvQqrhwHil7Xy5YlfIZeq6DOuRya3ghxJpbNVJeGJTHhwG773ayEqbl82ze23vtt+Lp09qw&#10;+jgqL+X52Xx3CyzhnP7C8Iuf0aHJTDs3kY7MSCjK65yUcLUugGW/EGUWOwk3yxXwpub/H2h+AAAA&#10;//8DAFBLAQItABQABgAIAAAAIQC2gziS/gAAAOEBAAATAAAAAAAAAAAAAAAAAAAAAABbQ29udGVu&#10;dF9UeXBlc10ueG1sUEsBAi0AFAAGAAgAAAAhADj9If/WAAAAlAEAAAsAAAAAAAAAAAAAAAAALwEA&#10;AF9yZWxzLy5yZWxzUEsBAi0AFAAGAAgAAAAhADR3mU6FAQAA+AIAAA4AAAAAAAAAAAAAAAAALgIA&#10;AGRycy9lMm9Eb2MueG1sUEsBAi0AFAAGAAgAAAAhAC0kKZXeAAAACAEAAA8AAAAAAAAAAAAAAAAA&#10;3wMAAGRycy9kb3ducmV2LnhtbFBLBQYAAAAABAAEAPMAAADqBAAAAAA=&#10;" filled="f" stroked="f">
                <v:textbox>
                  <w:txbxContent>
                    <w:p w14:paraId="005637B7"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2,28 milj.</w:t>
                      </w:r>
                    </w:p>
                    <w:p w14:paraId="06A4145E"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5FAE060E"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v:textbox>
              </v:rect>
            </w:pict>
          </mc:Fallback>
        </mc:AlternateContent>
      </w:r>
      <w:r w:rsidRPr="000629C8">
        <w:rPr>
          <w:rFonts w:ascii="Segoe UI Light" w:hAnsi="Segoe UI Light"/>
          <w:b/>
          <w:color w:val="000000"/>
          <w:sz w:val="18"/>
          <w:szCs w:val="20"/>
        </w:rPr>
        <w:t>Iedzīvotāju skaita sadalījums pa vecuma grupām</w:t>
      </w:r>
      <w:r w:rsidRPr="000629C8">
        <w:rPr>
          <w:rFonts w:ascii="Segoe UI Light" w:hAnsi="Segoe UI Light"/>
          <w:b/>
          <w:color w:val="000000"/>
          <w:sz w:val="18"/>
          <w:szCs w:val="20"/>
        </w:rPr>
        <w:br/>
      </w:r>
      <w:r w:rsidRPr="000629C8">
        <w:rPr>
          <w:rFonts w:ascii="Segoe UI Light" w:hAnsi="Segoe UI Light"/>
          <w:i/>
          <w:color w:val="000000"/>
          <w:sz w:val="16"/>
          <w:szCs w:val="20"/>
        </w:rPr>
        <w:t>milj. un procentos</w:t>
      </w:r>
    </w:p>
    <w:p w14:paraId="704C0566" w14:textId="6A9A0AA1" w:rsidR="000629C8" w:rsidRPr="000629C8" w:rsidRDefault="00051F55" w:rsidP="000629C8">
      <w:pPr>
        <w:jc w:val="both"/>
        <w:rPr>
          <w:rFonts w:ascii="Segoe UI Light" w:hAnsi="Segoe UI Light" w:cs="Segoe UI"/>
          <w:sz w:val="18"/>
          <w:szCs w:val="20"/>
        </w:rPr>
      </w:pPr>
      <w:r w:rsidRPr="000629C8">
        <w:rPr>
          <w:rFonts w:ascii="Segoe UI Light" w:hAnsi="Segoe UI Light"/>
          <w:noProof/>
          <w:color w:val="000000"/>
          <w:sz w:val="18"/>
          <w:szCs w:val="20"/>
          <w:lang w:eastAsia="lv-LV"/>
        </w:rPr>
        <mc:AlternateContent>
          <mc:Choice Requires="wps">
            <w:drawing>
              <wp:anchor distT="0" distB="0" distL="114300" distR="114300" simplePos="0" relativeHeight="251658242" behindDoc="0" locked="0" layoutInCell="1" allowOverlap="1" wp14:anchorId="1E36817E" wp14:editId="0D300F53">
                <wp:simplePos x="0" y="0"/>
                <wp:positionH relativeFrom="page">
                  <wp:posOffset>3987388</wp:posOffset>
                </wp:positionH>
                <wp:positionV relativeFrom="paragraph">
                  <wp:posOffset>589280</wp:posOffset>
                </wp:positionV>
                <wp:extent cx="0" cy="1870710"/>
                <wp:effectExtent l="0" t="0" r="38100" b="34290"/>
                <wp:wrapNone/>
                <wp:docPr id="22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70710"/>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39CAA3A4">
              <v:line id="Straight Connector 5" style="position:absolute;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595959" strokeweight="1.5pt" from="313.95pt,46.4pt" to="313.95pt,193.7pt" w14:anchorId="1668A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nZAAIAAPQDAAAOAAAAZHJzL2Uyb0RvYy54bWysU01v2zAMvQ/YfxB0X5xkSNsYcXpI0F26&#10;LUDaH8DKsi1MXxDVOPn3o6QkbbfbMB8M6pF84iOp1f3RaHaQAZWzDZ9NppxJK1yrbN/w56eHL3ec&#10;YQTbgnZWNvwkkd+vP39ajb6Wczc43crAiMRiPfqGDzH6uqpQDNIATpyXlpydCwYiHUNftQFGYje6&#10;mk+nN9XoQuuDExKR0G1x8nXm7zop4s+uQxmZbjjVFvM/5P9L+lfrFdR9AD8ocS4D/qEKA8rSpVeq&#10;LURgr0H9RWWUCA5dFyfCmcp1nRIyayA1s+kfavYDeJm1UHPQX9uE/49W/DjsAlNtw+fzJWcWDA1p&#10;HwOofohs46ylFrrAFqlTo8eaEjZ2F5JWcbR7/+jELyRf9cGZDuhL2LELJoWTWHbMnT9dOy+PkYkC&#10;CkJnd7fT21meSgX1JdEHjN+kMywZDdfKpqZADYdHjOlqqC8hCbbuQWmdB6stG4l1OV3Q7AXQfnUa&#10;IpnGk2K0PWege1pcEUOmRKdVm9ITEZ5wowM7AO0OrVzrxieqlzMNGMlBIvKXE/Wr+e7aEnuzILxs&#10;FsG0fwX++gaD9gMUdLE8B5OKcmEW9KGQpG4LOJSMlqzCblSkx6OVafhdKaV0Q9tUvszrf27R20CS&#10;9eLa0y5cpkarle88P4O0u+/PZL9/rOvfAAAA//8DAFBLAwQUAAYACAAAACEAyWZuueEAAAAKAQAA&#10;DwAAAGRycy9kb3ducmV2LnhtbEyPy07DMBBF90j8gzVIbFBrN6A+QpwqAnUBKqAWPsCNhyQiHkex&#10;mzr9eoxYwHJmju6cm62DadmAvWssSZhNBTCk0uqGKgkf75vJEpjzirRqLaGEER2s88uLTKXanmiH&#10;w95XLIaQS5WE2vsu5dyVNRrlprZDirdP2xvl49hXXPfqFMNNyxMh5tyohuKHWnX4UGP5tT8aCZsQ&#10;BvFyfjsXz0/FbDuK1/HmEaW8vgrFPTCPwf/B8KMf1SGPTgd7JO1YK2GeLFYRlbBKYoUI/C4OEm6X&#10;izvgecb/V8i/AQAA//8DAFBLAQItABQABgAIAAAAIQC2gziS/gAAAOEBAAATAAAAAAAAAAAAAAAA&#10;AAAAAABbQ29udGVudF9UeXBlc10ueG1sUEsBAi0AFAAGAAgAAAAhADj9If/WAAAAlAEAAAsAAAAA&#10;AAAAAAAAAAAALwEAAF9yZWxzLy5yZWxzUEsBAi0AFAAGAAgAAAAhABq4mdkAAgAA9AMAAA4AAAAA&#10;AAAAAAAAAAAALgIAAGRycy9lMm9Eb2MueG1sUEsBAi0AFAAGAAgAAAAhAMlmbrnhAAAACgEAAA8A&#10;AAAAAAAAAAAAAAAAWgQAAGRycy9kb3ducmV2LnhtbFBLBQYAAAAABAAEAPMAAABoBQAAAAA=&#10;">
                <v:stroke opacity="38550f" joinstyle="miter" dashstyle="dash"/>
                <o:lock v:ext="edit" shapetype="f"/>
                <w10:wrap anchorx="page"/>
              </v:line>
            </w:pict>
          </mc:Fallback>
        </mc:AlternateContent>
      </w:r>
      <w:r w:rsidR="000629C8" w:rsidRPr="000629C8">
        <w:rPr>
          <w:rFonts w:ascii="Segoe UI Light" w:hAnsi="Segoe UI Light"/>
          <w:noProof/>
          <w:color w:val="000000"/>
          <w:sz w:val="18"/>
          <w:szCs w:val="20"/>
          <w:lang w:eastAsia="lv-LV"/>
        </w:rPr>
        <mc:AlternateContent>
          <mc:Choice Requires="wps">
            <w:drawing>
              <wp:anchor distT="0" distB="0" distL="114300" distR="114300" simplePos="0" relativeHeight="251658240" behindDoc="0" locked="0" layoutInCell="1" allowOverlap="1" wp14:anchorId="5511E03E" wp14:editId="3296AFF6">
                <wp:simplePos x="0" y="0"/>
                <wp:positionH relativeFrom="page">
                  <wp:posOffset>3717925</wp:posOffset>
                </wp:positionH>
                <wp:positionV relativeFrom="paragraph">
                  <wp:posOffset>265430</wp:posOffset>
                </wp:positionV>
                <wp:extent cx="1140056" cy="259307"/>
                <wp:effectExtent l="0" t="0" r="0" b="0"/>
                <wp:wrapNone/>
                <wp:docPr id="30" name="Rectangle 21"/>
                <wp:cNvGraphicFramePr/>
                <a:graphic xmlns:a="http://schemas.openxmlformats.org/drawingml/2006/main">
                  <a:graphicData uri="http://schemas.microsoft.com/office/word/2010/wordprocessingShape">
                    <wps:wsp>
                      <wps:cNvSpPr/>
                      <wps:spPr>
                        <a:xfrm>
                          <a:off x="0" y="0"/>
                          <a:ext cx="1140056" cy="259307"/>
                        </a:xfrm>
                        <a:prstGeom prst="rect">
                          <a:avLst/>
                        </a:prstGeom>
                      </wps:spPr>
                      <wps:txbx>
                        <w:txbxContent>
                          <w:p w14:paraId="322B403B"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1,89 milj.</w:t>
                            </w:r>
                          </w:p>
                          <w:p w14:paraId="404BF5C5"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3D205458"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V relativeFrom="margin">
                  <wp14:pctHeight>0</wp14:pctHeight>
                </wp14:sizeRelV>
              </wp:anchor>
            </w:drawing>
          </mc:Choice>
          <mc:Fallback>
            <w:pict>
              <v:rect w14:anchorId="5511E03E" id="_x0000_s1045" style="position:absolute;left:0;text-align:left;margin-left:292.75pt;margin-top:20.9pt;width:89.75pt;height:20.4pt;z-index:25165824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u7lhQEAAPcCAAAOAAAAZHJzL2Uyb0RvYy54bWysUstOwzAQvCPxD5bvNElLC42aVkgVXBBU&#10;FD7AdezGUuy1bLdJ/561+wDBDXFZP3Y9OzPr2aLXLdkL5xWYihaDnBJhONTKbCv68f54c0+JD8zU&#10;rAUjKnoQni7m11ezzpZiCA20tXAEQYwvO1vRJgRbZpnnjdDMD8AKg0kJTrOAR7fNasc6RNdtNszz&#10;SdaBq60DLrzH2+UxSecJX0rBw6uUXgTSVhS5hRRdipsYs/mMlVvHbKP4iQb7AwvNlMGmF6glC4zs&#10;nPoFpRV34EGGAQedgZSKi6QB1RT5DzXrhlmRtKA53l5s8v8Hy1/2K0dUXdER2mOYxhm9oWvMbFtB&#10;hkU0qLO+xLq1XbnTyeM2qu2l03FFHaRPph4upoo+EI6XRXGb5+MJJRxzw/F0lN9F0OzrtXU+PAnQ&#10;JG4q6rB98pLtn304lp5L8F1kc+wfd6Hf9Il+MT1T3UB9QE0dDrWiBn9dAjPwsAsgVQKML49lJ0B0&#10;N1E6/YQ4vu/nVPX1X+efAAAA//8DAFBLAwQUAAYACAAAACEAXB81T94AAAAJAQAADwAAAGRycy9k&#10;b3ducmV2LnhtbEyPTUvEMBRF94L/ITzBnZPOaGqpTQcVBHEj1q9tpoltMXkJSTrT+fc+V7p8vMu9&#10;5zTbxVm2NzFNHiWsVwUwg73XEw4S3l4fLipgKSvUyno0Eo4mwbY9PWlUrf0BX8y+ywOjEky1kjDm&#10;HGrOUz8ap9LKB4P0+/LRqUxnHLiO6kDlzvJNUZTcqQlpYVTB3I+m/+5mJ2G+fFrse3enw3Px+Olc&#10;FB9HFaQ8P1tub4Bls+S/MPziEzq0xLTzM+rErARRCUFRCVdrUqDAdSlIbieh2pTA24b/N2h/AAAA&#10;//8DAFBLAQItABQABgAIAAAAIQC2gziS/gAAAOEBAAATAAAAAAAAAAAAAAAAAAAAAABbQ29udGVu&#10;dF9UeXBlc10ueG1sUEsBAi0AFAAGAAgAAAAhADj9If/WAAAAlAEAAAsAAAAAAAAAAAAAAAAALwEA&#10;AF9yZWxzLy5yZWxzUEsBAi0AFAAGAAgAAAAhALTq7uWFAQAA9wIAAA4AAAAAAAAAAAAAAAAALgIA&#10;AGRycy9lMm9Eb2MueG1sUEsBAi0AFAAGAAgAAAAhAFwfNU/eAAAACQEAAA8AAAAAAAAAAAAAAAAA&#10;3wMAAGRycy9kb3ducmV2LnhtbFBLBQYAAAAABAAEAPMAAADqBAAAAAA=&#10;" filled="f" stroked="f">
                <v:textbox>
                  <w:txbxContent>
                    <w:p w14:paraId="322B403B"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1,89 milj.</w:t>
                      </w:r>
                    </w:p>
                    <w:p w14:paraId="404BF5C5"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3D205458"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v:textbox>
                <w10:wrap anchorx="page"/>
              </v:rect>
            </w:pict>
          </mc:Fallback>
        </mc:AlternateContent>
      </w:r>
      <w:r w:rsidR="000629C8" w:rsidRPr="000629C8">
        <w:rPr>
          <w:rFonts w:ascii="Segoe UI Light" w:hAnsi="Segoe UI Light"/>
          <w:noProof/>
          <w:color w:val="000000"/>
          <w:sz w:val="18"/>
          <w:szCs w:val="20"/>
          <w:lang w:eastAsia="lv-LV"/>
        </w:rPr>
        <mc:AlternateContent>
          <mc:Choice Requires="wps">
            <w:drawing>
              <wp:anchor distT="0" distB="0" distL="114300" distR="114300" simplePos="0" relativeHeight="251658241" behindDoc="0" locked="0" layoutInCell="1" allowOverlap="1" wp14:anchorId="577E071C" wp14:editId="37861BE3">
                <wp:simplePos x="0" y="0"/>
                <wp:positionH relativeFrom="margin">
                  <wp:posOffset>5183638</wp:posOffset>
                </wp:positionH>
                <wp:positionV relativeFrom="paragraph">
                  <wp:posOffset>406239</wp:posOffset>
                </wp:positionV>
                <wp:extent cx="1139825" cy="252484"/>
                <wp:effectExtent l="0" t="0" r="0" b="0"/>
                <wp:wrapNone/>
                <wp:docPr id="231" name="Rectangle 21"/>
                <wp:cNvGraphicFramePr/>
                <a:graphic xmlns:a="http://schemas.openxmlformats.org/drawingml/2006/main">
                  <a:graphicData uri="http://schemas.microsoft.com/office/word/2010/wordprocessingShape">
                    <wps:wsp>
                      <wps:cNvSpPr/>
                      <wps:spPr>
                        <a:xfrm>
                          <a:off x="0" y="0"/>
                          <a:ext cx="1139825" cy="252484"/>
                        </a:xfrm>
                        <a:prstGeom prst="rect">
                          <a:avLst/>
                        </a:prstGeom>
                      </wps:spPr>
                      <wps:txbx>
                        <w:txbxContent>
                          <w:p w14:paraId="00C32AEE"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1,73 milj.</w:t>
                            </w:r>
                          </w:p>
                          <w:p w14:paraId="5A5290F3"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2C8FA5BA"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wps:txbx>
                      <wps:bodyPr wrap="none">
                        <a:noAutofit/>
                      </wps:bodyPr>
                    </wps:wsp>
                  </a:graphicData>
                </a:graphic>
                <wp14:sizeRelV relativeFrom="margin">
                  <wp14:pctHeight>0</wp14:pctHeight>
                </wp14:sizeRelV>
              </wp:anchor>
            </w:drawing>
          </mc:Choice>
          <mc:Fallback>
            <w:pict>
              <v:rect w14:anchorId="577E071C" id="_x0000_s1046" style="position:absolute;left:0;text-align:left;margin-left:408.15pt;margin-top:32pt;width:89.75pt;height:19.9pt;z-index:251658241;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2tihAEAAPgCAAAOAAAAZHJzL2Uyb0RvYy54bWysUstuwjAQvFfqP1i+l5AAFY0IqBJqL1WL&#10;+vgA49jEUuy1bEPC33ftUKjaW9XL2vvw7M6sF6tet+QgnFdgKpqPxpQIw6FWZlfRj/eHmzklPjBT&#10;sxaMqOhReLpaXl8tOluKAhpoa+EIghhfdraiTQi2zDLPG6GZH4EVBpMSnGYBXbfLasc6RNdtVozH&#10;t1kHrrYOuPAeo+shSZcJX0rBw4uUXgTSVhRnC8m6ZLfRZssFK3eO2Ubx0xjsD1Nopgw2PUOtWWBk&#10;79QvKK24Aw8yjDjoDKRUXCQOyCYf/2Dz1jArEhcUx9uzTP7/YPnzYeOIqitaTHJKDNO4pFeUjZld&#10;K0iRR4U660ssfLMbd/I8XiPdXjodTyRC+qTq8ayq6APhGMzzyd28mFHCMVfMiul8GkGzy2vrfHgU&#10;oEm8VNRh+yQmOzz5MJR+leC7OM3QP95Cv+2H+dMyY2gL9RFJdbjVihr8dgnMwP0+gFQJ8FJ2AkR5&#10;00inrxD3991PVZcPu/wEAAD//wMAUEsDBBQABgAIAAAAIQACt0bC3wAAAAoBAAAPAAAAZHJzL2Rv&#10;d25yZXYueG1sTI/LTsMwEEX3SPyDNUjsqF1CozTEqQAJCbFBDdBup7FJIvyIbKdN/55hBcvRHN17&#10;brWZrWFHHeLgnYTlQgDTrvVqcJ2Ej/fnmwJYTOgUGu+0hLOOsKkvLyoslT+5rT42qWMU4mKJEvqU&#10;xpLz2PbaYlz4UTv6fflgMdEZOq4CnijcGn4rRM4tDo4aehz1U6/b72ayEqbsdTafzaMa38TL3tqw&#10;2p1xlPL6an64B5b0nP5g+NUndajJ6eAnpyIzEoplnhEqIb+jTQSs1yvaciBSZAXwuuL/J9Q/AAAA&#10;//8DAFBLAQItABQABgAIAAAAIQC2gziS/gAAAOEBAAATAAAAAAAAAAAAAAAAAAAAAABbQ29udGVu&#10;dF9UeXBlc10ueG1sUEsBAi0AFAAGAAgAAAAhADj9If/WAAAAlAEAAAsAAAAAAAAAAAAAAAAALwEA&#10;AF9yZWxzLy5yZWxzUEsBAi0AFAAGAAgAAAAhACZXa2KEAQAA+AIAAA4AAAAAAAAAAAAAAAAALgIA&#10;AGRycy9lMm9Eb2MueG1sUEsBAi0AFAAGAAgAAAAhAAK3RsLfAAAACgEAAA8AAAAAAAAAAAAAAAAA&#10;3gMAAGRycy9kb3ducmV2LnhtbFBLBQYAAAAABAAEAPMAAADqBAAAAAA=&#10;" filled="f" stroked="f">
                <v:textbox>
                  <w:txbxContent>
                    <w:p w14:paraId="00C32AEE" w14:textId="77777777" w:rsidR="005A28CF" w:rsidRPr="000629C8" w:rsidRDefault="005A28CF" w:rsidP="000629C8">
                      <w:pPr>
                        <w:pStyle w:val="NormalWeb"/>
                        <w:spacing w:before="0" w:beforeAutospacing="0" w:after="0" w:afterAutospacing="0"/>
                        <w:textAlignment w:val="baseline"/>
                        <w:rPr>
                          <w:rFonts w:ascii="Segoe UI Light" w:hAnsi="Segoe UI Light" w:cs="Aharoni"/>
                          <w:color w:val="404040"/>
                          <w:kern w:val="24"/>
                          <w:sz w:val="16"/>
                          <w:szCs w:val="16"/>
                        </w:rPr>
                      </w:pPr>
                      <w:r w:rsidRPr="000629C8">
                        <w:rPr>
                          <w:rFonts w:ascii="Segoe UI Light" w:hAnsi="Segoe UI Light" w:cs="Aharoni"/>
                          <w:color w:val="404040"/>
                          <w:kern w:val="24"/>
                          <w:sz w:val="16"/>
                          <w:szCs w:val="16"/>
                        </w:rPr>
                        <w:t>1,73 milj.</w:t>
                      </w:r>
                    </w:p>
                    <w:p w14:paraId="5A5290F3" w14:textId="77777777" w:rsidR="005A28CF" w:rsidRDefault="005A28CF" w:rsidP="000629C8">
                      <w:pPr>
                        <w:pStyle w:val="NormalWeb"/>
                        <w:spacing w:before="0" w:beforeAutospacing="0" w:after="0" w:afterAutospacing="0"/>
                        <w:textAlignment w:val="baseline"/>
                        <w:rPr>
                          <w:rFonts w:ascii="Segoe UI Light" w:hAnsi="Segoe UI Light"/>
                          <w:sz w:val="16"/>
                          <w:szCs w:val="16"/>
                        </w:rPr>
                      </w:pPr>
                    </w:p>
                    <w:p w14:paraId="2C8FA5BA" w14:textId="77777777" w:rsidR="005A28CF" w:rsidRPr="00973B07" w:rsidRDefault="005A28CF" w:rsidP="000629C8">
                      <w:pPr>
                        <w:pStyle w:val="NormalWeb"/>
                        <w:spacing w:before="0" w:beforeAutospacing="0" w:after="0" w:afterAutospacing="0"/>
                        <w:textAlignment w:val="baseline"/>
                        <w:rPr>
                          <w:rFonts w:ascii="Segoe UI Light" w:hAnsi="Segoe UI Light"/>
                          <w:sz w:val="16"/>
                          <w:szCs w:val="16"/>
                        </w:rPr>
                      </w:pPr>
                    </w:p>
                  </w:txbxContent>
                </v:textbox>
                <w10:wrap anchorx="margin"/>
              </v:rect>
            </w:pict>
          </mc:Fallback>
        </mc:AlternateContent>
      </w:r>
      <w:r w:rsidR="000629C8" w:rsidRPr="000629C8">
        <w:rPr>
          <w:rFonts w:ascii="Segoe UI Light" w:hAnsi="Segoe UI Light"/>
          <w:noProof/>
          <w:color w:val="000000"/>
          <w:sz w:val="16"/>
          <w:szCs w:val="16"/>
          <w:lang w:eastAsia="lv-LV"/>
        </w:rPr>
        <w:drawing>
          <wp:inline distT="0" distB="0" distL="0" distR="0" wp14:anchorId="5148106E" wp14:editId="4BE73F34">
            <wp:extent cx="5759450" cy="2729552"/>
            <wp:effectExtent l="0" t="0" r="0" b="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F781563" w14:textId="77777777" w:rsidR="000629C8" w:rsidRPr="0018412F" w:rsidRDefault="000629C8" w:rsidP="000629C8">
      <w:pPr>
        <w:jc w:val="both"/>
        <w:rPr>
          <w:rFonts w:cs="Calibri Light"/>
          <w:sz w:val="12"/>
          <w:szCs w:val="10"/>
        </w:rPr>
      </w:pPr>
      <w:r w:rsidRPr="0018412F">
        <w:rPr>
          <w:rFonts w:cs="Calibri Light"/>
          <w:sz w:val="12"/>
          <w:szCs w:val="10"/>
        </w:rPr>
        <w:t>Avots: CSP dati līdz 2021. gadam, EM prognozes sākot ar 2022. gadu</w:t>
      </w:r>
    </w:p>
    <w:p w14:paraId="04E958C5" w14:textId="77777777" w:rsidR="000629C8" w:rsidRDefault="000629C8">
      <w:pPr>
        <w:spacing w:after="0"/>
        <w:rPr>
          <w:color w:val="000000"/>
          <w:szCs w:val="20"/>
        </w:rPr>
      </w:pPr>
      <w:r>
        <w:rPr>
          <w:color w:val="000000"/>
          <w:szCs w:val="20"/>
        </w:rPr>
        <w:br w:type="page"/>
      </w:r>
    </w:p>
    <w:p w14:paraId="2CD95035" w14:textId="6637C765" w:rsidR="000629C8" w:rsidRPr="000629C8" w:rsidRDefault="000629C8" w:rsidP="000629C8">
      <w:pPr>
        <w:jc w:val="right"/>
        <w:rPr>
          <w:color w:val="000000"/>
          <w:szCs w:val="20"/>
        </w:rPr>
      </w:pPr>
      <w:r w:rsidRPr="000629C8">
        <w:rPr>
          <w:color w:val="000000"/>
          <w:szCs w:val="20"/>
        </w:rPr>
        <w:lastRenderedPageBreak/>
        <w:t>3.5. attēls</w:t>
      </w:r>
    </w:p>
    <w:p w14:paraId="27E6C18B" w14:textId="77777777" w:rsidR="000629C8" w:rsidRPr="000629C8" w:rsidRDefault="000629C8" w:rsidP="00EA05F6">
      <w:pPr>
        <w:spacing w:after="120"/>
        <w:jc w:val="center"/>
        <w:rPr>
          <w:rFonts w:ascii="Segoe UI Light" w:hAnsi="Segoe UI Light"/>
          <w:color w:val="000000"/>
          <w:sz w:val="16"/>
          <w:szCs w:val="20"/>
        </w:rPr>
      </w:pPr>
      <w:r w:rsidRPr="000629C8">
        <w:rPr>
          <w:rFonts w:ascii="Segoe UI Light" w:hAnsi="Segoe UI Light"/>
          <w:b/>
          <w:color w:val="000000"/>
          <w:sz w:val="18"/>
          <w:szCs w:val="20"/>
        </w:rPr>
        <w:t xml:space="preserve">Iedzīvotāju vecuma un dzimuma struktūra </w:t>
      </w:r>
      <w:r w:rsidRPr="000629C8">
        <w:rPr>
          <w:rFonts w:ascii="Segoe UI Light" w:hAnsi="Segoe UI Light"/>
          <w:b/>
          <w:color w:val="000000"/>
          <w:sz w:val="18"/>
          <w:szCs w:val="20"/>
        </w:rPr>
        <w:br/>
      </w:r>
      <w:r w:rsidRPr="000629C8">
        <w:rPr>
          <w:rFonts w:ascii="Segoe UI Light" w:hAnsi="Segoe UI Light"/>
          <w:i/>
          <w:color w:val="000000"/>
          <w:sz w:val="16"/>
          <w:szCs w:val="20"/>
        </w:rPr>
        <w:t>tūkstošos</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5"/>
      </w:tblGrid>
      <w:tr w:rsidR="000629C8" w:rsidRPr="000629C8" w14:paraId="48FB6DED" w14:textId="77777777" w:rsidTr="00D209BD">
        <w:tc>
          <w:tcPr>
            <w:tcW w:w="4526" w:type="dxa"/>
            <w:tcMar>
              <w:left w:w="0" w:type="dxa"/>
              <w:right w:w="0" w:type="dxa"/>
            </w:tcMar>
            <w:vAlign w:val="center"/>
          </w:tcPr>
          <w:p w14:paraId="5A9BC57D" w14:textId="77777777" w:rsidR="000629C8" w:rsidRPr="000629C8" w:rsidRDefault="000629C8" w:rsidP="000629C8">
            <w:pPr>
              <w:spacing w:after="0"/>
              <w:jc w:val="center"/>
              <w:rPr>
                <w:rFonts w:cs="Segoe UI"/>
                <w:b/>
                <w:bCs/>
                <w:szCs w:val="20"/>
              </w:rPr>
            </w:pPr>
            <w:r w:rsidRPr="000629C8">
              <w:rPr>
                <w:rFonts w:cs="Segoe UI"/>
                <w:b/>
                <w:bCs/>
                <w:szCs w:val="20"/>
              </w:rPr>
              <w:t xml:space="preserve">           2021. gads</w:t>
            </w:r>
          </w:p>
        </w:tc>
        <w:tc>
          <w:tcPr>
            <w:tcW w:w="4545" w:type="dxa"/>
            <w:tcMar>
              <w:left w:w="0" w:type="dxa"/>
              <w:right w:w="0" w:type="dxa"/>
            </w:tcMar>
            <w:vAlign w:val="center"/>
          </w:tcPr>
          <w:p w14:paraId="24F43E01" w14:textId="77777777" w:rsidR="000629C8" w:rsidRPr="000629C8" w:rsidRDefault="000629C8" w:rsidP="000629C8">
            <w:pPr>
              <w:spacing w:after="0"/>
              <w:jc w:val="center"/>
              <w:rPr>
                <w:rFonts w:cs="Segoe UI"/>
                <w:szCs w:val="20"/>
              </w:rPr>
            </w:pPr>
            <w:r w:rsidRPr="000629C8">
              <w:rPr>
                <w:rFonts w:cs="Segoe UI"/>
                <w:b/>
                <w:bCs/>
                <w:szCs w:val="20"/>
              </w:rPr>
              <w:t xml:space="preserve">          2040. gads</w:t>
            </w:r>
          </w:p>
        </w:tc>
      </w:tr>
      <w:tr w:rsidR="000629C8" w:rsidRPr="000629C8" w14:paraId="2435F8FF" w14:textId="77777777" w:rsidTr="00D209BD">
        <w:tc>
          <w:tcPr>
            <w:tcW w:w="4526" w:type="dxa"/>
            <w:tcMar>
              <w:left w:w="0" w:type="dxa"/>
              <w:right w:w="0" w:type="dxa"/>
            </w:tcMar>
            <w:vAlign w:val="center"/>
          </w:tcPr>
          <w:p w14:paraId="70B4F476" w14:textId="77777777" w:rsidR="000629C8" w:rsidRPr="000629C8" w:rsidRDefault="000629C8" w:rsidP="000629C8">
            <w:pPr>
              <w:spacing w:after="0"/>
              <w:jc w:val="center"/>
              <w:rPr>
                <w:rFonts w:cs="Segoe UI"/>
                <w:szCs w:val="20"/>
              </w:rPr>
            </w:pPr>
            <w:r w:rsidRPr="000629C8">
              <w:rPr>
                <w:rFonts w:cs="Segoe UI"/>
                <w:noProof/>
                <w:szCs w:val="20"/>
              </w:rPr>
              <w:drawing>
                <wp:inline distT="0" distB="0" distL="0" distR="0" wp14:anchorId="4454A0F7" wp14:editId="06B2AC33">
                  <wp:extent cx="2750820" cy="2321781"/>
                  <wp:effectExtent l="0" t="0" r="0" b="2540"/>
                  <wp:docPr id="22" name="Chart 22">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c>
        <w:tc>
          <w:tcPr>
            <w:tcW w:w="4545" w:type="dxa"/>
            <w:tcMar>
              <w:left w:w="0" w:type="dxa"/>
              <w:right w:w="0" w:type="dxa"/>
            </w:tcMar>
            <w:vAlign w:val="center"/>
          </w:tcPr>
          <w:p w14:paraId="69134B20" w14:textId="77777777" w:rsidR="000629C8" w:rsidRPr="000629C8" w:rsidRDefault="000629C8" w:rsidP="000629C8">
            <w:pPr>
              <w:spacing w:after="0"/>
              <w:jc w:val="center"/>
              <w:rPr>
                <w:rFonts w:cs="Segoe UI"/>
                <w:szCs w:val="20"/>
              </w:rPr>
            </w:pPr>
            <w:r w:rsidRPr="000629C8">
              <w:rPr>
                <w:noProof/>
              </w:rPr>
              <mc:AlternateContent>
                <mc:Choice Requires="wps">
                  <w:drawing>
                    <wp:anchor distT="0" distB="0" distL="114300" distR="114300" simplePos="0" relativeHeight="251658245" behindDoc="0" locked="0" layoutInCell="1" allowOverlap="1" wp14:anchorId="629A077A" wp14:editId="4371D5AB">
                      <wp:simplePos x="0" y="0"/>
                      <wp:positionH relativeFrom="column">
                        <wp:posOffset>1676400</wp:posOffset>
                      </wp:positionH>
                      <wp:positionV relativeFrom="paragraph">
                        <wp:posOffset>933450</wp:posOffset>
                      </wp:positionV>
                      <wp:extent cx="806450" cy="254000"/>
                      <wp:effectExtent l="0" t="0" r="0" b="0"/>
                      <wp:wrapNone/>
                      <wp:docPr id="5" name="Text Box 1"/>
                      <wp:cNvGraphicFramePr/>
                      <a:graphic xmlns:a="http://schemas.openxmlformats.org/drawingml/2006/main">
                        <a:graphicData uri="http://schemas.microsoft.com/office/word/2010/wordprocessingShape">
                          <wps:wsp>
                            <wps:cNvSpPr txBox="1"/>
                            <wps:spPr>
                              <a:xfrm>
                                <a:off x="0" y="0"/>
                                <a:ext cx="806450" cy="254000"/>
                              </a:xfrm>
                              <a:prstGeom prst="rect">
                                <a:avLst/>
                              </a:prstGeom>
                            </wps:spPr>
                            <wps:txbx>
                              <w:txbxContent>
                                <w:p w14:paraId="62425ADE" w14:textId="77777777" w:rsidR="005A28CF" w:rsidRPr="0018412F" w:rsidRDefault="005A28CF" w:rsidP="000629C8">
                                  <w:pPr>
                                    <w:rPr>
                                      <w:rFonts w:ascii="Segoe UI Light" w:hAnsi="Segoe UI Light" w:cs="Segoe UI Light"/>
                                      <w:color w:val="FFFFFF" w:themeColor="background1"/>
                                      <w:sz w:val="16"/>
                                      <w:szCs w:val="16"/>
                                    </w:rPr>
                                  </w:pPr>
                                  <w:r w:rsidRPr="0018412F">
                                    <w:rPr>
                                      <w:rFonts w:ascii="Segoe UI Light" w:hAnsi="Segoe UI Light" w:cs="Segoe UI Light"/>
                                      <w:color w:val="FFFFFF" w:themeColor="background1"/>
                                      <w:sz w:val="16"/>
                                      <w:szCs w:val="16"/>
                                    </w:rPr>
                                    <w:t>899,4 tūkst.</w:t>
                                  </w:r>
                                </w:p>
                              </w:txbxContent>
                            </wps:txbx>
                            <wps:bodyPr wrap="square" rtlCol="0"/>
                          </wps:wsp>
                        </a:graphicData>
                      </a:graphic>
                      <wp14:sizeRelH relativeFrom="margin">
                        <wp14:pctWidth>0</wp14:pctWidth>
                      </wp14:sizeRelH>
                      <wp14:sizeRelV relativeFrom="margin">
                        <wp14:pctHeight>0</wp14:pctHeight>
                      </wp14:sizeRelV>
                    </wp:anchor>
                  </w:drawing>
                </mc:Choice>
                <mc:Fallback>
                  <w:pict>
                    <v:shape w14:anchorId="629A077A" id="Text Box 1" o:spid="_x0000_s1047" type="#_x0000_t202" style="position:absolute;left:0;text-align:left;margin-left:132pt;margin-top:73.5pt;width:63.5pt;height:2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WpgQEAAPACAAAOAAAAZHJzL2Uyb0RvYy54bWysUstOwzAQvCPxD5bvNGlFKxQ1rQQILgiQ&#10;gA9wHbuJFHvNrtukf8/aQEFwQ1xs78PjmVkv16Prxd4gdeBrOZ2UUhivoen8tpYvzzdnF1JQVL5R&#10;PXhTy4MhuV6dniyHUJkZtNA3BgWDeKqGUMs2xlAVBenWOEUTCMZz0QI6FTnEbdGgGhjd9cWsLBfF&#10;ANgEBG2IOHv9XpSrjG+t0fHBWjJR9LVkbjGvmNdNWovVUlVbVKHt9AcN9QcWTnWeHz1CXauoxA67&#10;X1Cu0wgENk40uAKs7bTJGljNtPyh5qlVwWQtbA6Fo030f7D6fv+IomtqOZfCK8cjejZjFJcwimly&#10;ZwhUcdNT4LY4cpqn/JknTibRo0WXdpYjuM4+H47eJjDNyYtycT7niubSbH5eltn74utyQIq3BpxI&#10;h1oijy47qvZ3FJkIt362cJBovT+fTnHcjFnE7MhtA82BKQ882lrS606hkQJjfwX5JyTAdJNtzdAf&#10;XyDN7Xucu74+6uoNAAD//wMAUEsDBBQABgAIAAAAIQDNl0803AAAAAsBAAAPAAAAZHJzL2Rvd25y&#10;ZXYueG1sTE/LTsMwELwj8Q/WInGjdksobYhTIRBXUMtD4raNt0lEvI5itwl/z3KC2+zMaHam2Ey+&#10;UycaYhvYwnxmQBFXwbVcW3h7fbpagYoJ2WEXmCx8U4RNeX5WYO7CyFs67VKtJIRjjhaalPpc61g1&#10;5DHOQk8s2iEMHpOcQ63dgKOE+04vjFlqjy3LhwZ7emio+todvYX358PnR2Ze6kd/049hMpr9Wlt7&#10;eTHd34FKNKU/M/zWl+pQSqd9OLKLqrOwWGayJYmQ3QoQx/V6LmAvzEoYXRb6/4byBwAA//8DAFBL&#10;AQItABQABgAIAAAAIQC2gziS/gAAAOEBAAATAAAAAAAAAAAAAAAAAAAAAABbQ29udGVudF9UeXBl&#10;c10ueG1sUEsBAi0AFAAGAAgAAAAhADj9If/WAAAAlAEAAAsAAAAAAAAAAAAAAAAALwEAAF9yZWxz&#10;Ly5yZWxzUEsBAi0AFAAGAAgAAAAhAOYBNamBAQAA8AIAAA4AAAAAAAAAAAAAAAAALgIAAGRycy9l&#10;Mm9Eb2MueG1sUEsBAi0AFAAGAAgAAAAhAM2XTzTcAAAACwEAAA8AAAAAAAAAAAAAAAAA2wMAAGRy&#10;cy9kb3ducmV2LnhtbFBLBQYAAAAABAAEAPMAAADkBAAAAAA=&#10;" filled="f" stroked="f">
                      <v:textbox>
                        <w:txbxContent>
                          <w:p w14:paraId="62425ADE" w14:textId="77777777" w:rsidR="005A28CF" w:rsidRPr="0018412F" w:rsidRDefault="005A28CF" w:rsidP="000629C8">
                            <w:pPr>
                              <w:rPr>
                                <w:rFonts w:ascii="Segoe UI Light" w:hAnsi="Segoe UI Light" w:cs="Segoe UI Light"/>
                                <w:color w:val="FFFFFF" w:themeColor="background1"/>
                                <w:sz w:val="16"/>
                                <w:szCs w:val="16"/>
                              </w:rPr>
                            </w:pPr>
                            <w:r w:rsidRPr="0018412F">
                              <w:rPr>
                                <w:rFonts w:ascii="Segoe UI Light" w:hAnsi="Segoe UI Light" w:cs="Segoe UI Light"/>
                                <w:color w:val="FFFFFF" w:themeColor="background1"/>
                                <w:sz w:val="16"/>
                                <w:szCs w:val="16"/>
                              </w:rPr>
                              <w:t>899,4 tūkst.</w:t>
                            </w:r>
                          </w:p>
                        </w:txbxContent>
                      </v:textbox>
                    </v:shape>
                  </w:pict>
                </mc:Fallback>
              </mc:AlternateContent>
            </w:r>
            <w:r w:rsidRPr="0018412F">
              <w:rPr>
                <w:rFonts w:cs="Segoe UI"/>
                <w:noProof/>
                <w:sz w:val="22"/>
              </w:rPr>
              <w:drawing>
                <wp:inline distT="0" distB="0" distL="0" distR="0" wp14:anchorId="73EF9CDE" wp14:editId="423482C1">
                  <wp:extent cx="2886075" cy="2329732"/>
                  <wp:effectExtent l="0" t="0" r="0" b="0"/>
                  <wp:docPr id="23" name="Chart 23">
                    <a:extLst xmlns:a="http://schemas.openxmlformats.org/drawingml/2006/main">
                      <a:ext uri="{FF2B5EF4-FFF2-40B4-BE49-F238E27FC236}">
                        <a16:creationId xmlns:a16="http://schemas.microsoft.com/office/drawing/2014/main" id="{7C774218-6D46-46BD-83EB-A6E93F07A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c>
      </w:tr>
    </w:tbl>
    <w:p w14:paraId="459E1778" w14:textId="77777777" w:rsidR="000629C8" w:rsidRPr="000629C8" w:rsidRDefault="000629C8" w:rsidP="000629C8">
      <w:pPr>
        <w:jc w:val="both"/>
        <w:rPr>
          <w:rFonts w:cs="Segoe UI"/>
          <w:szCs w:val="20"/>
          <w:highlight w:val="yellow"/>
        </w:rPr>
      </w:pPr>
    </w:p>
    <w:p w14:paraId="0F7A817C" w14:textId="0B1BE44C" w:rsidR="000629C8" w:rsidRPr="000629C8" w:rsidRDefault="000629C8" w:rsidP="000629C8">
      <w:pPr>
        <w:jc w:val="both"/>
        <w:rPr>
          <w:rFonts w:cs="Segoe UI"/>
          <w:szCs w:val="20"/>
        </w:rPr>
      </w:pPr>
      <w:r w:rsidRPr="000629C8">
        <w:rPr>
          <w:rFonts w:cs="Segoe UI"/>
          <w:szCs w:val="20"/>
        </w:rPr>
        <w:t>Līdz ar sabiedrības novecošanos, arī turpmāk demogrāfiskās slodzes rādītāji Latvijā pieaugs. Sagaidāms, ka demogrāfiskās slodzes līmenis līdz 2040. gadam palielināsies par gandrīz 10</w:t>
      </w:r>
      <w:r w:rsidR="002E2B90">
        <w:rPr>
          <w:rFonts w:cs="Segoe UI"/>
          <w:szCs w:val="20"/>
        </w:rPr>
        <w:t>,</w:t>
      </w:r>
      <w:r w:rsidRPr="000629C8">
        <w:rPr>
          <w:rFonts w:cs="Segoe UI"/>
          <w:szCs w:val="20"/>
        </w:rPr>
        <w:t>7%, salīdzinot ar 2021. gadu, kas nozīmē, ka 2040. gadā uz katriem 1000 iedzīvotājiem darbaspējas vecumā būs 645 iedzīvotāji ārpus darbaspējas, turklāt 66% no tiem būs vecumā virs 64 gadiem.</w:t>
      </w:r>
    </w:p>
    <w:p w14:paraId="745D7789" w14:textId="417B42D1" w:rsidR="000629C8" w:rsidRPr="000629C8" w:rsidRDefault="000629C8" w:rsidP="00EA05F6">
      <w:pPr>
        <w:jc w:val="right"/>
        <w:rPr>
          <w:color w:val="000000"/>
          <w:szCs w:val="20"/>
        </w:rPr>
      </w:pPr>
      <w:r w:rsidRPr="000629C8">
        <w:rPr>
          <w:color w:val="000000"/>
          <w:szCs w:val="20"/>
        </w:rPr>
        <w:t>3.</w:t>
      </w:r>
      <w:r w:rsidR="001179C2">
        <w:rPr>
          <w:color w:val="000000"/>
          <w:szCs w:val="20"/>
        </w:rPr>
        <w:t>6</w:t>
      </w:r>
      <w:r w:rsidRPr="000629C8">
        <w:rPr>
          <w:color w:val="000000"/>
          <w:szCs w:val="20"/>
        </w:rPr>
        <w:t>. attēls</w:t>
      </w:r>
    </w:p>
    <w:p w14:paraId="40BFB230" w14:textId="77777777" w:rsidR="000629C8" w:rsidRPr="000629C8" w:rsidRDefault="000629C8" w:rsidP="00EA05F6">
      <w:pPr>
        <w:spacing w:after="120"/>
        <w:jc w:val="center"/>
        <w:rPr>
          <w:rFonts w:ascii="Segoe UI Light" w:hAnsi="Segoe UI Light"/>
          <w:bCs/>
          <w:i/>
          <w:color w:val="000000"/>
          <w:sz w:val="16"/>
          <w:szCs w:val="20"/>
        </w:rPr>
      </w:pPr>
      <w:r w:rsidRPr="000629C8">
        <w:rPr>
          <w:rFonts w:ascii="Segoe UI Light" w:hAnsi="Segoe UI Light"/>
          <w:b/>
          <w:color w:val="000000"/>
          <w:sz w:val="18"/>
          <w:szCs w:val="20"/>
        </w:rPr>
        <w:t>Demogrāfiskā slodze</w:t>
      </w:r>
      <w:r w:rsidRPr="000629C8">
        <w:rPr>
          <w:rFonts w:ascii="Segoe UI Light" w:hAnsi="Segoe UI Light"/>
          <w:b/>
          <w:color w:val="000000"/>
          <w:sz w:val="18"/>
          <w:szCs w:val="20"/>
        </w:rPr>
        <w:br/>
      </w:r>
      <w:r w:rsidRPr="000629C8">
        <w:rPr>
          <w:rFonts w:ascii="Segoe UI Light" w:hAnsi="Segoe UI Light"/>
          <w:bCs/>
          <w:i/>
          <w:color w:val="000000"/>
          <w:sz w:val="16"/>
          <w:szCs w:val="20"/>
        </w:rPr>
        <w:t>Darbspējas vecumu nesasniegušo un pārsniegušo personu skaits vidēji uz 1000 iedzīvotājiem darbspējas vecumā (15-64 gadi)</w:t>
      </w:r>
      <w:r w:rsidRPr="000629C8">
        <w:rPr>
          <w:rFonts w:ascii="Segoe UI Light" w:hAnsi="Segoe UI Light"/>
          <w:bCs/>
          <w:i/>
          <w:color w:val="000000"/>
          <w:sz w:val="16"/>
          <w:szCs w:val="20"/>
          <w:vertAlign w:val="superscript"/>
        </w:rPr>
        <w:t>*</w:t>
      </w:r>
    </w:p>
    <w:p w14:paraId="1523B92D" w14:textId="77777777" w:rsidR="000629C8" w:rsidRPr="000629C8" w:rsidRDefault="000629C8" w:rsidP="000629C8">
      <w:pPr>
        <w:jc w:val="center"/>
        <w:rPr>
          <w:bCs/>
          <w:color w:val="000000"/>
          <w:szCs w:val="20"/>
        </w:rPr>
      </w:pPr>
      <w:r w:rsidRPr="000629C8">
        <w:rPr>
          <w:rFonts w:ascii="Segoe UI Light" w:hAnsi="Segoe UI Light"/>
          <w:noProof/>
          <w:color w:val="000000"/>
          <w:sz w:val="18"/>
          <w:szCs w:val="20"/>
          <w:lang w:eastAsia="lv-LV"/>
        </w:rPr>
        <mc:AlternateContent>
          <mc:Choice Requires="wps">
            <w:drawing>
              <wp:anchor distT="0" distB="0" distL="114300" distR="114300" simplePos="0" relativeHeight="251658244" behindDoc="0" locked="0" layoutInCell="1" allowOverlap="1" wp14:anchorId="29AF74F6" wp14:editId="35E42D77">
                <wp:simplePos x="0" y="0"/>
                <wp:positionH relativeFrom="page">
                  <wp:posOffset>4078382</wp:posOffset>
                </wp:positionH>
                <wp:positionV relativeFrom="paragraph">
                  <wp:posOffset>80010</wp:posOffset>
                </wp:positionV>
                <wp:extent cx="13174" cy="1512000"/>
                <wp:effectExtent l="0" t="0" r="25400" b="31115"/>
                <wp:wrapNone/>
                <wp:docPr id="23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174" cy="1512000"/>
                        </a:xfrm>
                        <a:prstGeom prst="line">
                          <a:avLst/>
                        </a:prstGeom>
                        <a:noFill/>
                        <a:ln w="19050" cap="flat" cmpd="sng" algn="ctr">
                          <a:solidFill>
                            <a:sysClr val="windowText" lastClr="000000">
                              <a:lumMod val="65000"/>
                              <a:lumOff val="35000"/>
                              <a:alpha val="59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16="http://schemas.microsoft.com/office/drawing/2014/main" xmlns:pic="http://schemas.openxmlformats.org/drawingml/2006/picture" xmlns:c="http://schemas.openxmlformats.org/drawingml/2006/chart" xmlns:a="http://schemas.openxmlformats.org/drawingml/2006/main" xmlns:arto="http://schemas.microsoft.com/office/word/2006/arto" xmlns:oel="http://schemas.microsoft.com/office/2019/extlst">
            <w:pict w14:anchorId="3BD8D03B">
              <v:line id="Straight Connector 5" style="position:absolute;flip:x;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595959" strokeweight="1.5pt" from="321.15pt,6.3pt" to="322.2pt,125.35pt" w14:anchorId="34EB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LRCwIAAAIEAAAOAAAAZHJzL2Uyb0RvYy54bWysU01v2zAMvQ/YfxB0X2wnS9cacXpI0O3Q&#10;bQHS/QBWlm1h+oKoxsm/HyVnSbvdhukgUKT4xEc+re6PRrODDKicbXg1KzmTVrhW2b7hP54ePtxy&#10;hhFsC9pZ2fCTRH6/fv9uNfpazt3gdCsDIxCL9egbPsTo66JAMUgDOHNeWgp2LhiIdAx90QYYCd3o&#10;Yl6WN8XoQuuDExKRvNspyNcZv+ukiN+7DmVkuuFUW8x7yPtz2ov1Cuo+gB+UOJcB/1CFAWXp0QvU&#10;FiKwl6D+gjJKBIeuizPhTOG6TgmZORCbqvyDzX4ALzMXag76S5vw/8GKb4ddYKpt+Hyx4MyCoSHt&#10;YwDVD5FtnLXUQhfYMnVq9FhTwsbuQuIqjnbvH534iRQr3gTTAf107dgFwzqt/BcSSG4S0WbHPIPT&#10;ZQbyGJkgZ7WoPn3kTFCkWlY04jyjAuoEk171AeNn6QxLRsO1sqlFUMPhEWMq5Holua17UFrnMWvL&#10;RkK9K5ekBAGktk5DJNN44o+25wx0TzIWMWRIdFq1KT0B4Qk3OrADkJJIgK0bn6hmzjRgpAARySsn&#10;6hfz1bXT3ZvlmQPU5CY1Tu7F1Q3aDzB5l3dXwtODmdCbQhLvLeAwZbRkTSo2KtJX0so0/HYqZeqG&#10;tql8mT/DuUXX8STr2bWnXfg9QxJafvP8KZKSX5/Jfv11178AAAD//wMAUEsDBBQABgAIAAAAIQDv&#10;Q7kK3wAAAAoBAAAPAAAAZHJzL2Rvd25yZXYueG1sTI9BTsMwEEX3SNzBGiR21CGEUIU4VUFCQqSb&#10;lB7AjadxIB5HsdsGTs+wguXoP/3/plzNbhAnnELvScHtIgGB1HrTU6dg9/5yswQRoiajB0+o4AsD&#10;rKrLi1IXxp+pwdM2doJLKBRagY1xLKQMrUWnw8KPSJwd/OR05HPqpJn0mcvdINMkyaXTPfGC1SM+&#10;W2w/t0engDaHtyc3f7yOS9c09fq7tru6Vur6al4/gog4xz8YfvVZHSp22vsjmSAGBXmW3jHKQZqD&#10;YCDPsgzEXkF6nzyArEr5/4XqBwAA//8DAFBLAQItABQABgAIAAAAIQC2gziS/gAAAOEBAAATAAAA&#10;AAAAAAAAAAAAAAAAAABbQ29udGVudF9UeXBlc10ueG1sUEsBAi0AFAAGAAgAAAAhADj9If/WAAAA&#10;lAEAAAsAAAAAAAAAAAAAAAAALwEAAF9yZWxzLy5yZWxzUEsBAi0AFAAGAAgAAAAhAGFVwtELAgAA&#10;AgQAAA4AAAAAAAAAAAAAAAAALgIAAGRycy9lMm9Eb2MueG1sUEsBAi0AFAAGAAgAAAAhAO9DuQrf&#10;AAAACgEAAA8AAAAAAAAAAAAAAAAAZQQAAGRycy9kb3ducmV2LnhtbFBLBQYAAAAABAAEAPMAAABx&#10;BQAAAAA=&#10;">
                <v:stroke opacity="38550f" joinstyle="miter" dashstyle="dash"/>
                <o:lock v:ext="edit" shapetype="f"/>
                <w10:wrap anchorx="page"/>
              </v:line>
            </w:pict>
          </mc:Fallback>
        </mc:AlternateContent>
      </w:r>
      <w:r w:rsidRPr="000629C8">
        <w:rPr>
          <w:b/>
          <w:noProof/>
          <w:color w:val="000000"/>
          <w:szCs w:val="20"/>
          <w:lang w:eastAsia="lv-LV"/>
        </w:rPr>
        <w:drawing>
          <wp:inline distT="0" distB="0" distL="0" distR="0" wp14:anchorId="2BBA3D2E" wp14:editId="22C9CE00">
            <wp:extent cx="5909310" cy="1842448"/>
            <wp:effectExtent l="0" t="0" r="0" b="5715"/>
            <wp:docPr id="235" name="Chart 2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683AFBE" w14:textId="77777777" w:rsidR="000629C8" w:rsidRPr="0018412F" w:rsidRDefault="000629C8" w:rsidP="000629C8">
      <w:pPr>
        <w:jc w:val="both"/>
        <w:rPr>
          <w:rFonts w:cs="Calibri Light"/>
          <w:sz w:val="12"/>
          <w:szCs w:val="10"/>
        </w:rPr>
      </w:pPr>
      <w:r w:rsidRPr="0018412F">
        <w:rPr>
          <w:rFonts w:cs="Calibri Light"/>
          <w:sz w:val="12"/>
          <w:szCs w:val="10"/>
        </w:rPr>
        <w:t>Avots: CSP dati līdz 2021. gadam, EM prognozes sākot ar 2022. gadu</w:t>
      </w:r>
    </w:p>
    <w:p w14:paraId="54F9CEEF" w14:textId="5508A1FC" w:rsidR="000629C8" w:rsidRPr="000629C8" w:rsidRDefault="00EA05F6" w:rsidP="00EA05F6">
      <w:pPr>
        <w:jc w:val="both"/>
        <w:rPr>
          <w:color w:val="000000"/>
          <w:spacing w:val="-2"/>
        </w:rPr>
      </w:pPr>
      <w:r>
        <w:rPr>
          <w:color w:val="000000"/>
          <w:spacing w:val="-2"/>
        </w:rPr>
        <w:br/>
      </w:r>
      <w:r w:rsidR="2827AC4A" w:rsidRPr="4398C881">
        <w:rPr>
          <w:color w:val="000000"/>
          <w:spacing w:val="-2"/>
        </w:rPr>
        <w:t>Jāatzīmē, ka negatīvās demogrāfijas tendences atstāj būtisku ietekmi uz darba tirgu. Darbaspēka rezerves Latvijā ilgstoši samazinās negatīvo demogrāfijas tendenču ietekmē – pēdējos 10 gados (no 2012. līdz 2021. gadam) aptuveni 99% no kopējā darba meklētāju samazinājuma ir noteikuši demogrāfiskie procesi. Lai mazinātu iedzīvotāju novecošanās negatīvo ietekmi uz darba tirgu un sociālo apdrošināšanas sistēmu, vidējā termiņā būtiski ir pasākumi iedzīvotāju ekonomiskās aktivitātes veicināšanai, kā arī nepieciešams mazināt šķēršļus jauno speciālistu ātrākai ienākšanai darba tirgū. Vienlaikus ilgtermiņā jāturpina koncentrēties uz negatīvās demogrāfiskās bilances izlīdzināšanu.</w:t>
      </w:r>
    </w:p>
    <w:p w14:paraId="04884183" w14:textId="77777777" w:rsidR="000629C8" w:rsidRDefault="000629C8">
      <w:pPr>
        <w:spacing w:after="0"/>
        <w:rPr>
          <w:b/>
          <w:szCs w:val="26"/>
        </w:rPr>
      </w:pPr>
      <w:r>
        <w:rPr>
          <w:b/>
          <w:szCs w:val="26"/>
        </w:rPr>
        <w:br w:type="page"/>
      </w:r>
    </w:p>
    <w:p w14:paraId="0E848889" w14:textId="06FF2056" w:rsidR="000629C8" w:rsidRPr="000629C8" w:rsidRDefault="000629C8" w:rsidP="000629C8">
      <w:pPr>
        <w:jc w:val="both"/>
        <w:rPr>
          <w:b/>
          <w:szCs w:val="26"/>
        </w:rPr>
      </w:pPr>
      <w:r w:rsidRPr="000629C8">
        <w:rPr>
          <w:b/>
          <w:szCs w:val="26"/>
        </w:rPr>
        <w:lastRenderedPageBreak/>
        <w:t>Iedzīvotāju dabiskais pieaugums</w:t>
      </w:r>
    </w:p>
    <w:p w14:paraId="0D769DDB" w14:textId="77777777" w:rsidR="000629C8" w:rsidRPr="000629C8" w:rsidRDefault="000629C8" w:rsidP="00EA05F6">
      <w:pPr>
        <w:jc w:val="both"/>
        <w:rPr>
          <w:color w:val="000000"/>
          <w:szCs w:val="20"/>
        </w:rPr>
      </w:pPr>
      <w:r w:rsidRPr="000629C8">
        <w:rPr>
          <w:color w:val="000000"/>
          <w:szCs w:val="20"/>
        </w:rPr>
        <w:t>Lai arī relatīvajā izteiksmē galvenās dabiskā pieauguma rādītāja pozīcijas gan dzimstības, gan mirstības pusē nākamajos gados uzlabosies, tomēr neskatoties uz to absolūtā izteiksmē negatīvā plaisa starp dzimušajiem un mirušajiem saglabāsies.</w:t>
      </w:r>
    </w:p>
    <w:p w14:paraId="1A9282DF" w14:textId="4D749A6E" w:rsidR="000629C8" w:rsidRPr="000629C8" w:rsidRDefault="2827AC4A" w:rsidP="00EA05F6">
      <w:pPr>
        <w:jc w:val="both"/>
        <w:rPr>
          <w:color w:val="000000"/>
        </w:rPr>
      </w:pPr>
      <w:r w:rsidRPr="4398C881">
        <w:rPr>
          <w:color w:val="000000" w:themeColor="text1"/>
        </w:rPr>
        <w:t>Sagaidāms, ka dzimstības rādītāju bāzes tendences kopumā gan vidēja, gan ilgtermiņā saglabāsies pozitīvas – summārais dzimstības koeficients līdz 2040. gadam varētu palielināties par 16,8%, salīdzinot ar 2021. gadu, un sasniegt līmeni, kāds bija vērojams Latvijā pagājušā gadsimta 90-to gadu sākumā. Vienlaikus jāņem vērā, ka sieviešu skaits reproduktīvā vecumā (no 15 līdz 49 gadiem) turpinās samazināties (līdz 2040. gadam</w:t>
      </w:r>
      <w:r w:rsidR="3C53C722" w:rsidRPr="4398C881">
        <w:rPr>
          <w:color w:val="000000" w:themeColor="text1"/>
        </w:rPr>
        <w:t xml:space="preserve"> </w:t>
      </w:r>
      <w:r w:rsidRPr="4398C881">
        <w:rPr>
          <w:color w:val="000000" w:themeColor="text1"/>
        </w:rPr>
        <w:t>par 18,4% jeb 72,7 tūkst.), tādēļ, neskatoties uz dzimstības rādītāju pieaugumu, jaundzimušo skaits absolūtā izteiksmē vidējā termiņā turpinās sarukt un pieaugums varētu būt sagaidāms tikai pēc 2030. gada. Kopumā jaundzimušo skaits 2030.</w:t>
      </w:r>
      <w:r w:rsidR="3C53C722" w:rsidRPr="4398C881">
        <w:rPr>
          <w:color w:val="000000" w:themeColor="text1"/>
        </w:rPr>
        <w:t> </w:t>
      </w:r>
      <w:r w:rsidRPr="4398C881">
        <w:rPr>
          <w:color w:val="000000" w:themeColor="text1"/>
        </w:rPr>
        <w:t>gadā, salīdzinot ar 2021.</w:t>
      </w:r>
      <w:r w:rsidR="3C53C722" w:rsidRPr="4398C881">
        <w:rPr>
          <w:color w:val="000000" w:themeColor="text1"/>
        </w:rPr>
        <w:t> </w:t>
      </w:r>
      <w:r w:rsidRPr="4398C881">
        <w:rPr>
          <w:color w:val="000000" w:themeColor="text1"/>
        </w:rPr>
        <w:t>gadu, varētu būt par vairāk nekā 2500 (14,7%) jaundzimušo mazāks nekā 2021.</w:t>
      </w:r>
      <w:r w:rsidR="3C53C722" w:rsidRPr="4398C881">
        <w:rPr>
          <w:color w:val="000000" w:themeColor="text1"/>
        </w:rPr>
        <w:t> </w:t>
      </w:r>
      <w:r w:rsidRPr="4398C881">
        <w:rPr>
          <w:color w:val="000000" w:themeColor="text1"/>
        </w:rPr>
        <w:t>gadā, bet 2040.</w:t>
      </w:r>
      <w:r w:rsidR="3C53C722" w:rsidRPr="4398C881">
        <w:rPr>
          <w:color w:val="000000" w:themeColor="text1"/>
        </w:rPr>
        <w:t> </w:t>
      </w:r>
      <w:r w:rsidRPr="4398C881">
        <w:rPr>
          <w:color w:val="000000" w:themeColor="text1"/>
        </w:rPr>
        <w:t>gadā par vairāk nekā 600 (3,7%) jaundzimušo mazāks.</w:t>
      </w:r>
    </w:p>
    <w:p w14:paraId="01B37437" w14:textId="77777777" w:rsidR="000629C8" w:rsidRPr="000629C8" w:rsidRDefault="000629C8" w:rsidP="000629C8">
      <w:pPr>
        <w:jc w:val="both"/>
        <w:rPr>
          <w:color w:val="000000"/>
          <w:szCs w:val="20"/>
        </w:rPr>
      </w:pPr>
      <w:r w:rsidRPr="000629C8">
        <w:rPr>
          <w:color w:val="000000"/>
          <w:szCs w:val="20"/>
        </w:rPr>
        <w:t>Lai notiktu normāla paaudžu nomaiņa, summārajam dzimstības rādītājam vajadzētu būt ne mazākam par 2. Pēdējo reizi Latvijā summārais dzimstības koeficients pārsniedza šo līmeni pagājušā gadsimta 80. gadu beigās.</w:t>
      </w:r>
    </w:p>
    <w:p w14:paraId="5C7E153B" w14:textId="77777777" w:rsidR="000629C8" w:rsidRPr="000629C8" w:rsidRDefault="000629C8" w:rsidP="00EA05F6">
      <w:pPr>
        <w:jc w:val="right"/>
        <w:rPr>
          <w:color w:val="000000"/>
          <w:szCs w:val="20"/>
        </w:rPr>
      </w:pPr>
      <w:r w:rsidRPr="000629C8">
        <w:rPr>
          <w:color w:val="000000"/>
          <w:szCs w:val="20"/>
        </w:rPr>
        <w:t>3.4. tabula</w:t>
      </w:r>
    </w:p>
    <w:p w14:paraId="2182B886" w14:textId="77777777" w:rsidR="00807D21" w:rsidRPr="003B4CDA" w:rsidRDefault="00807D21" w:rsidP="00EA05F6">
      <w:pPr>
        <w:spacing w:after="120"/>
        <w:jc w:val="center"/>
        <w:rPr>
          <w:rFonts w:ascii="Segoe UI Light" w:hAnsi="Segoe UI Light"/>
          <w:b/>
          <w:color w:val="000000"/>
          <w:sz w:val="18"/>
          <w:szCs w:val="18"/>
        </w:rPr>
      </w:pPr>
      <w:r w:rsidRPr="00266DEE">
        <w:rPr>
          <w:rFonts w:ascii="Segoe UI Light" w:hAnsi="Segoe UI Light"/>
          <w:b/>
          <w:color w:val="000000"/>
          <w:sz w:val="18"/>
          <w:szCs w:val="18"/>
        </w:rPr>
        <w:t>Iedzīvotāju dabiskās kustības galvenie rādītāji</w:t>
      </w:r>
    </w:p>
    <w:tbl>
      <w:tblPr>
        <w:tblStyle w:val="GridTable5Dark-Accent31"/>
        <w:tblW w:w="50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5384"/>
        <w:gridCol w:w="1231"/>
        <w:gridCol w:w="1231"/>
        <w:gridCol w:w="1233"/>
      </w:tblGrid>
      <w:tr w:rsidR="00A36BBF" w:rsidRPr="003B4CDA" w14:paraId="6C4545C3" w14:textId="77777777" w:rsidTr="0018412F">
        <w:trPr>
          <w:cnfStyle w:val="100000000000" w:firstRow="1" w:lastRow="0" w:firstColumn="0" w:lastColumn="0" w:oddVBand="0" w:evenVBand="0" w:oddHBand="0" w:evenHBand="0" w:firstRowFirstColumn="0" w:firstRowLastColumn="0" w:lastRowFirstColumn="0" w:lastRowLastColumn="0"/>
          <w:trHeight w:val="269"/>
        </w:trPr>
        <w:tc>
          <w:tcPr>
            <w:tcW w:w="2965" w:type="pct"/>
            <w:shd w:val="clear" w:color="auto" w:fill="5F497A" w:themeFill="accent4" w:themeFillShade="BF"/>
            <w:noWrap/>
          </w:tcPr>
          <w:p w14:paraId="2EEDB55D" w14:textId="77777777" w:rsidR="00807D21" w:rsidRPr="003B4CDA" w:rsidRDefault="00807D21" w:rsidP="00D209BD">
            <w:pPr>
              <w:spacing w:before="40" w:after="40"/>
              <w:jc w:val="center"/>
              <w:rPr>
                <w:rFonts w:ascii="Segoe UI Light" w:eastAsia="Arial Unicode MS" w:hAnsi="Segoe UI Light"/>
                <w:b w:val="0"/>
                <w:sz w:val="16"/>
                <w:szCs w:val="16"/>
              </w:rPr>
            </w:pPr>
          </w:p>
        </w:tc>
        <w:tc>
          <w:tcPr>
            <w:tcW w:w="678" w:type="pct"/>
            <w:shd w:val="clear" w:color="auto" w:fill="5F497A" w:themeFill="accent4" w:themeFillShade="BF"/>
            <w:hideMark/>
          </w:tcPr>
          <w:p w14:paraId="70536B9A" w14:textId="77777777" w:rsidR="00807D21" w:rsidRPr="003B4CDA" w:rsidRDefault="00807D21" w:rsidP="00D209BD">
            <w:pPr>
              <w:spacing w:before="40" w:after="40"/>
              <w:jc w:val="center"/>
              <w:rPr>
                <w:rFonts w:ascii="Segoe UI Light" w:hAnsi="Segoe UI Light"/>
                <w:sz w:val="16"/>
                <w:szCs w:val="16"/>
              </w:rPr>
            </w:pPr>
            <w:r w:rsidRPr="003B4CDA">
              <w:rPr>
                <w:rFonts w:ascii="Segoe UI Light" w:hAnsi="Segoe UI Light"/>
                <w:sz w:val="16"/>
                <w:szCs w:val="16"/>
              </w:rPr>
              <w:t>Fakts*</w:t>
            </w:r>
          </w:p>
        </w:tc>
        <w:tc>
          <w:tcPr>
            <w:tcW w:w="1357" w:type="pct"/>
            <w:gridSpan w:val="2"/>
            <w:shd w:val="clear" w:color="auto" w:fill="5F497A" w:themeFill="accent4" w:themeFillShade="BF"/>
            <w:hideMark/>
          </w:tcPr>
          <w:p w14:paraId="4B53E356" w14:textId="77777777" w:rsidR="00807D21" w:rsidRPr="003B4CDA" w:rsidRDefault="00807D21" w:rsidP="00D209BD">
            <w:pPr>
              <w:spacing w:before="40" w:after="40"/>
              <w:jc w:val="center"/>
              <w:rPr>
                <w:rFonts w:ascii="Segoe UI Light" w:hAnsi="Segoe UI Light"/>
                <w:sz w:val="16"/>
                <w:szCs w:val="16"/>
              </w:rPr>
            </w:pPr>
            <w:r w:rsidRPr="003B4CDA">
              <w:rPr>
                <w:rFonts w:ascii="Segoe UI Light" w:hAnsi="Segoe UI Light"/>
                <w:sz w:val="16"/>
                <w:szCs w:val="16"/>
              </w:rPr>
              <w:t>Prognoze</w:t>
            </w:r>
          </w:p>
        </w:tc>
      </w:tr>
      <w:tr w:rsidR="00C51D16" w:rsidRPr="003B4CDA" w14:paraId="6BD0E6D8" w14:textId="77777777" w:rsidTr="0018412F">
        <w:trPr>
          <w:cnfStyle w:val="000000100000" w:firstRow="0" w:lastRow="0" w:firstColumn="0" w:lastColumn="0" w:oddVBand="0" w:evenVBand="0" w:oddHBand="1" w:evenHBand="0" w:firstRowFirstColumn="0" w:firstRowLastColumn="0" w:lastRowFirstColumn="0" w:lastRowLastColumn="0"/>
          <w:trHeight w:val="129"/>
        </w:trPr>
        <w:tc>
          <w:tcPr>
            <w:tcW w:w="2965" w:type="pct"/>
            <w:shd w:val="clear" w:color="auto" w:fill="5F497A" w:themeFill="accent4" w:themeFillShade="BF"/>
            <w:noWrap/>
          </w:tcPr>
          <w:p w14:paraId="38923CC8" w14:textId="77777777" w:rsidR="00807D21" w:rsidRPr="003B4CDA" w:rsidRDefault="00807D21" w:rsidP="00D209BD">
            <w:pPr>
              <w:spacing w:before="40" w:after="40"/>
              <w:jc w:val="both"/>
              <w:rPr>
                <w:rFonts w:ascii="Segoe UI Light" w:eastAsia="Arial Unicode MS" w:hAnsi="Segoe UI Light"/>
                <w:color w:val="FFFFFF"/>
                <w:sz w:val="16"/>
                <w:szCs w:val="16"/>
              </w:rPr>
            </w:pPr>
          </w:p>
        </w:tc>
        <w:tc>
          <w:tcPr>
            <w:tcW w:w="678" w:type="pct"/>
            <w:shd w:val="clear" w:color="auto" w:fill="5F497A" w:themeFill="accent4" w:themeFillShade="BF"/>
            <w:hideMark/>
          </w:tcPr>
          <w:p w14:paraId="5D3290B5" w14:textId="77777777" w:rsidR="00807D21" w:rsidRPr="003B4CDA" w:rsidRDefault="00807D21" w:rsidP="00D209BD">
            <w:pPr>
              <w:tabs>
                <w:tab w:val="left" w:pos="213"/>
              </w:tabs>
              <w:spacing w:before="40" w:after="40"/>
              <w:jc w:val="center"/>
              <w:rPr>
                <w:rFonts w:ascii="Segoe UI Light" w:hAnsi="Segoe UI Light"/>
                <w:b/>
                <w:color w:val="FFFFFF"/>
                <w:sz w:val="16"/>
                <w:szCs w:val="16"/>
              </w:rPr>
            </w:pPr>
            <w:r w:rsidRPr="003B4CDA">
              <w:rPr>
                <w:rFonts w:ascii="Segoe UI Light" w:hAnsi="Segoe UI Light"/>
                <w:b/>
                <w:color w:val="FFFFFF"/>
                <w:sz w:val="16"/>
                <w:szCs w:val="16"/>
              </w:rPr>
              <w:t>20</w:t>
            </w:r>
            <w:r>
              <w:rPr>
                <w:rFonts w:ascii="Segoe UI Light" w:hAnsi="Segoe UI Light"/>
                <w:b/>
                <w:color w:val="FFFFFF"/>
                <w:sz w:val="16"/>
                <w:szCs w:val="16"/>
              </w:rPr>
              <w:t>21</w:t>
            </w:r>
          </w:p>
        </w:tc>
        <w:tc>
          <w:tcPr>
            <w:tcW w:w="678" w:type="pct"/>
            <w:shd w:val="clear" w:color="auto" w:fill="5F497A" w:themeFill="accent4" w:themeFillShade="BF"/>
            <w:hideMark/>
          </w:tcPr>
          <w:p w14:paraId="77E6579A" w14:textId="77777777" w:rsidR="00807D21" w:rsidRPr="003B4CDA" w:rsidRDefault="00807D21" w:rsidP="00D209BD">
            <w:pPr>
              <w:tabs>
                <w:tab w:val="left" w:pos="161"/>
              </w:tabs>
              <w:spacing w:before="40" w:after="40"/>
              <w:jc w:val="center"/>
              <w:rPr>
                <w:rFonts w:ascii="Segoe UI Light" w:hAnsi="Segoe UI Light"/>
                <w:b/>
                <w:color w:val="FFFFFF"/>
                <w:sz w:val="16"/>
                <w:szCs w:val="16"/>
              </w:rPr>
            </w:pPr>
            <w:r w:rsidRPr="003B4CDA">
              <w:rPr>
                <w:rFonts w:ascii="Segoe UI Light" w:hAnsi="Segoe UI Light"/>
                <w:b/>
                <w:color w:val="FFFFFF"/>
                <w:sz w:val="16"/>
                <w:szCs w:val="16"/>
              </w:rPr>
              <w:t>20</w:t>
            </w:r>
            <w:r>
              <w:rPr>
                <w:rFonts w:ascii="Segoe UI Light" w:hAnsi="Segoe UI Light"/>
                <w:b/>
                <w:color w:val="FFFFFF"/>
                <w:sz w:val="16"/>
                <w:szCs w:val="16"/>
              </w:rPr>
              <w:t>30</w:t>
            </w:r>
          </w:p>
        </w:tc>
        <w:tc>
          <w:tcPr>
            <w:tcW w:w="679" w:type="pct"/>
            <w:shd w:val="clear" w:color="auto" w:fill="5F497A" w:themeFill="accent4" w:themeFillShade="BF"/>
            <w:hideMark/>
          </w:tcPr>
          <w:p w14:paraId="5ABBA5B5" w14:textId="77777777" w:rsidR="00807D21" w:rsidRPr="003B4CDA" w:rsidRDefault="00807D21" w:rsidP="00D209BD">
            <w:pPr>
              <w:spacing w:before="40" w:after="40"/>
              <w:jc w:val="center"/>
              <w:rPr>
                <w:rFonts w:ascii="Segoe UI Light" w:hAnsi="Segoe UI Light"/>
                <w:b/>
                <w:color w:val="FFFFFF"/>
                <w:sz w:val="16"/>
                <w:szCs w:val="16"/>
              </w:rPr>
            </w:pPr>
            <w:r w:rsidRPr="003B4CDA">
              <w:rPr>
                <w:rFonts w:ascii="Segoe UI Light" w:hAnsi="Segoe UI Light"/>
                <w:b/>
                <w:color w:val="FFFFFF"/>
                <w:sz w:val="16"/>
                <w:szCs w:val="16"/>
              </w:rPr>
              <w:t>2040</w:t>
            </w:r>
          </w:p>
        </w:tc>
      </w:tr>
      <w:tr w:rsidR="00C51D16" w:rsidRPr="003B4CDA" w14:paraId="0163B27B" w14:textId="77777777" w:rsidTr="0018412F">
        <w:trPr>
          <w:trHeight w:val="257"/>
        </w:trPr>
        <w:tc>
          <w:tcPr>
            <w:tcW w:w="2965" w:type="pct"/>
            <w:shd w:val="clear" w:color="auto" w:fill="E5DFEC" w:themeFill="accent4" w:themeFillTint="33"/>
            <w:hideMark/>
          </w:tcPr>
          <w:p w14:paraId="4834E15B"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Jaundzimušo skaits uz 1000 iedzīvotājiem (vispārīgais dzimstības koeficients)</w:t>
            </w:r>
          </w:p>
        </w:tc>
        <w:tc>
          <w:tcPr>
            <w:tcW w:w="678" w:type="pct"/>
            <w:shd w:val="clear" w:color="auto" w:fill="E5DFEC" w:themeFill="accent4" w:themeFillTint="33"/>
            <w:hideMark/>
          </w:tcPr>
          <w:p w14:paraId="2FB647B0" w14:textId="55A9E1CA"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9</w:t>
            </w:r>
            <w:r w:rsidR="0012202B">
              <w:rPr>
                <w:rFonts w:ascii="Segoe UI Light" w:hAnsi="Segoe UI Light"/>
                <w:bCs/>
                <w:sz w:val="16"/>
                <w:szCs w:val="16"/>
              </w:rPr>
              <w:t>,</w:t>
            </w:r>
            <w:r w:rsidRPr="00AC0DCD">
              <w:rPr>
                <w:rFonts w:ascii="Segoe UI Light" w:hAnsi="Segoe UI Light"/>
                <w:bCs/>
                <w:sz w:val="16"/>
                <w:szCs w:val="16"/>
              </w:rPr>
              <w:t>1</w:t>
            </w:r>
          </w:p>
        </w:tc>
        <w:tc>
          <w:tcPr>
            <w:tcW w:w="678" w:type="pct"/>
            <w:shd w:val="clear" w:color="auto" w:fill="E5DFEC" w:themeFill="accent4" w:themeFillTint="33"/>
            <w:hideMark/>
          </w:tcPr>
          <w:p w14:paraId="7EE8E66D" w14:textId="711117C0"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8</w:t>
            </w:r>
            <w:r w:rsidR="0012202B">
              <w:rPr>
                <w:rFonts w:ascii="Segoe UI Light" w:hAnsi="Segoe UI Light"/>
                <w:bCs/>
                <w:sz w:val="16"/>
                <w:szCs w:val="16"/>
              </w:rPr>
              <w:t>,</w:t>
            </w:r>
            <w:r w:rsidRPr="00AC0DCD">
              <w:rPr>
                <w:rFonts w:ascii="Segoe UI Light" w:hAnsi="Segoe UI Light"/>
                <w:bCs/>
                <w:sz w:val="16"/>
                <w:szCs w:val="16"/>
              </w:rPr>
              <w:t>2</w:t>
            </w:r>
          </w:p>
        </w:tc>
        <w:tc>
          <w:tcPr>
            <w:tcW w:w="679" w:type="pct"/>
            <w:shd w:val="clear" w:color="auto" w:fill="E5DFEC" w:themeFill="accent4" w:themeFillTint="33"/>
            <w:hideMark/>
          </w:tcPr>
          <w:p w14:paraId="47DCEC57" w14:textId="37B79CC5"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9</w:t>
            </w:r>
            <w:r w:rsidR="0012202B">
              <w:rPr>
                <w:rFonts w:ascii="Segoe UI Light" w:hAnsi="Segoe UI Light"/>
                <w:bCs/>
                <w:sz w:val="16"/>
                <w:szCs w:val="16"/>
              </w:rPr>
              <w:t>,</w:t>
            </w:r>
            <w:r w:rsidRPr="00AC0DCD">
              <w:rPr>
                <w:rFonts w:ascii="Segoe UI Light" w:hAnsi="Segoe UI Light"/>
                <w:bCs/>
                <w:sz w:val="16"/>
                <w:szCs w:val="16"/>
              </w:rPr>
              <w:t>5</w:t>
            </w:r>
          </w:p>
        </w:tc>
      </w:tr>
      <w:tr w:rsidR="00C51D16" w:rsidRPr="003B4CDA" w14:paraId="5EB5F50D" w14:textId="77777777" w:rsidTr="00D209BD">
        <w:trPr>
          <w:cnfStyle w:val="000000100000" w:firstRow="0" w:lastRow="0" w:firstColumn="0" w:lastColumn="0" w:oddVBand="0" w:evenVBand="0" w:oddHBand="1" w:evenHBand="0" w:firstRowFirstColumn="0" w:firstRowLastColumn="0" w:lastRowFirstColumn="0" w:lastRowLastColumn="0"/>
          <w:trHeight w:val="201"/>
        </w:trPr>
        <w:tc>
          <w:tcPr>
            <w:tcW w:w="2965" w:type="pct"/>
            <w:shd w:val="clear" w:color="auto" w:fill="CCC0D9" w:themeFill="accent4" w:themeFillTint="66"/>
            <w:hideMark/>
          </w:tcPr>
          <w:p w14:paraId="68C2C93C"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Mirstība uz 1000 iedzīvotājiem (vispārīgais mirstības koeficients)</w:t>
            </w:r>
          </w:p>
        </w:tc>
        <w:tc>
          <w:tcPr>
            <w:tcW w:w="678" w:type="pct"/>
            <w:shd w:val="clear" w:color="auto" w:fill="CCC0D9" w:themeFill="accent4" w:themeFillTint="66"/>
            <w:hideMark/>
          </w:tcPr>
          <w:p w14:paraId="13AEF79D" w14:textId="756C00E4"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18</w:t>
            </w:r>
            <w:r w:rsidR="0012202B">
              <w:rPr>
                <w:rFonts w:ascii="Segoe UI Light" w:hAnsi="Segoe UI Light"/>
                <w:bCs/>
                <w:sz w:val="16"/>
                <w:szCs w:val="16"/>
              </w:rPr>
              <w:t>,</w:t>
            </w:r>
            <w:r w:rsidRPr="00AC0DCD">
              <w:rPr>
                <w:rFonts w:ascii="Segoe UI Light" w:hAnsi="Segoe UI Light"/>
                <w:bCs/>
                <w:sz w:val="16"/>
                <w:szCs w:val="16"/>
              </w:rPr>
              <w:t>1</w:t>
            </w:r>
          </w:p>
        </w:tc>
        <w:tc>
          <w:tcPr>
            <w:tcW w:w="678" w:type="pct"/>
            <w:shd w:val="clear" w:color="auto" w:fill="CCC0D9" w:themeFill="accent4" w:themeFillTint="66"/>
            <w:hideMark/>
          </w:tcPr>
          <w:p w14:paraId="3A5E07CB" w14:textId="65BE2D59"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14</w:t>
            </w:r>
            <w:r w:rsidR="0012202B">
              <w:rPr>
                <w:rFonts w:ascii="Segoe UI Light" w:hAnsi="Segoe UI Light"/>
                <w:bCs/>
                <w:sz w:val="16"/>
                <w:szCs w:val="16"/>
              </w:rPr>
              <w:t>,</w:t>
            </w:r>
            <w:r w:rsidRPr="00AC0DCD">
              <w:rPr>
                <w:rFonts w:ascii="Segoe UI Light" w:hAnsi="Segoe UI Light"/>
                <w:bCs/>
                <w:sz w:val="16"/>
                <w:szCs w:val="16"/>
              </w:rPr>
              <w:t>4</w:t>
            </w:r>
          </w:p>
        </w:tc>
        <w:tc>
          <w:tcPr>
            <w:tcW w:w="679" w:type="pct"/>
            <w:shd w:val="clear" w:color="auto" w:fill="CCC0D9" w:themeFill="accent4" w:themeFillTint="66"/>
            <w:hideMark/>
          </w:tcPr>
          <w:p w14:paraId="445DD4B5" w14:textId="37322144"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13</w:t>
            </w:r>
            <w:r w:rsidR="0012202B">
              <w:rPr>
                <w:rFonts w:ascii="Segoe UI Light" w:hAnsi="Segoe UI Light"/>
                <w:bCs/>
                <w:sz w:val="16"/>
                <w:szCs w:val="16"/>
              </w:rPr>
              <w:t>,</w:t>
            </w:r>
            <w:r w:rsidRPr="00AC0DCD">
              <w:rPr>
                <w:rFonts w:ascii="Segoe UI Light" w:hAnsi="Segoe UI Light"/>
                <w:bCs/>
                <w:sz w:val="16"/>
                <w:szCs w:val="16"/>
              </w:rPr>
              <w:t>6</w:t>
            </w:r>
          </w:p>
        </w:tc>
      </w:tr>
      <w:tr w:rsidR="00C51D16" w:rsidRPr="003B4CDA" w14:paraId="69D98F63" w14:textId="77777777" w:rsidTr="00D209BD">
        <w:trPr>
          <w:trHeight w:val="309"/>
        </w:trPr>
        <w:tc>
          <w:tcPr>
            <w:tcW w:w="2965" w:type="pct"/>
            <w:shd w:val="clear" w:color="auto" w:fill="E5DFEC" w:themeFill="accent4" w:themeFillTint="33"/>
            <w:hideMark/>
          </w:tcPr>
          <w:p w14:paraId="0586D0A3"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Dabiskais pieaugums uz 1000 iedzīvotājiem</w:t>
            </w:r>
          </w:p>
        </w:tc>
        <w:tc>
          <w:tcPr>
            <w:tcW w:w="678" w:type="pct"/>
            <w:shd w:val="clear" w:color="auto" w:fill="E5DFEC" w:themeFill="accent4" w:themeFillTint="33"/>
            <w:hideMark/>
          </w:tcPr>
          <w:p w14:paraId="1FFEB9AF" w14:textId="519640A1"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-9</w:t>
            </w:r>
            <w:r w:rsidR="0012202B">
              <w:rPr>
                <w:rFonts w:ascii="Segoe UI Light" w:hAnsi="Segoe UI Light"/>
                <w:bCs/>
                <w:sz w:val="16"/>
                <w:szCs w:val="16"/>
              </w:rPr>
              <w:t>,</w:t>
            </w:r>
            <w:r w:rsidRPr="00AC0DCD">
              <w:rPr>
                <w:rFonts w:ascii="Segoe UI Light" w:hAnsi="Segoe UI Light"/>
                <w:bCs/>
                <w:sz w:val="16"/>
                <w:szCs w:val="16"/>
              </w:rPr>
              <w:t>0</w:t>
            </w:r>
          </w:p>
        </w:tc>
        <w:tc>
          <w:tcPr>
            <w:tcW w:w="678" w:type="pct"/>
            <w:shd w:val="clear" w:color="auto" w:fill="E5DFEC" w:themeFill="accent4" w:themeFillTint="33"/>
            <w:hideMark/>
          </w:tcPr>
          <w:p w14:paraId="0A263875" w14:textId="333AFEE7"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-6</w:t>
            </w:r>
            <w:r w:rsidR="0012202B">
              <w:rPr>
                <w:rFonts w:ascii="Segoe UI Light" w:hAnsi="Segoe UI Light"/>
                <w:bCs/>
                <w:sz w:val="16"/>
                <w:szCs w:val="16"/>
              </w:rPr>
              <w:t>,</w:t>
            </w:r>
            <w:r w:rsidRPr="00AC0DCD">
              <w:rPr>
                <w:rFonts w:ascii="Segoe UI Light" w:hAnsi="Segoe UI Light"/>
                <w:bCs/>
                <w:sz w:val="16"/>
                <w:szCs w:val="16"/>
              </w:rPr>
              <w:t>2</w:t>
            </w:r>
          </w:p>
        </w:tc>
        <w:tc>
          <w:tcPr>
            <w:tcW w:w="679" w:type="pct"/>
            <w:shd w:val="clear" w:color="auto" w:fill="E5DFEC" w:themeFill="accent4" w:themeFillTint="33"/>
            <w:hideMark/>
          </w:tcPr>
          <w:p w14:paraId="775097B9" w14:textId="4C041A06"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-4</w:t>
            </w:r>
            <w:r w:rsidR="0012202B">
              <w:rPr>
                <w:rFonts w:ascii="Segoe UI Light" w:hAnsi="Segoe UI Light"/>
                <w:bCs/>
                <w:sz w:val="16"/>
                <w:szCs w:val="16"/>
              </w:rPr>
              <w:t>,</w:t>
            </w:r>
            <w:r w:rsidRPr="00AC0DCD">
              <w:rPr>
                <w:rFonts w:ascii="Segoe UI Light" w:hAnsi="Segoe UI Light"/>
                <w:bCs/>
                <w:sz w:val="16"/>
                <w:szCs w:val="16"/>
              </w:rPr>
              <w:t>1</w:t>
            </w:r>
          </w:p>
        </w:tc>
      </w:tr>
      <w:tr w:rsidR="00C51D16" w:rsidRPr="003B4CDA" w14:paraId="3A64D35A" w14:textId="77777777" w:rsidTr="00D209BD">
        <w:trPr>
          <w:cnfStyle w:val="000000100000" w:firstRow="0" w:lastRow="0" w:firstColumn="0" w:lastColumn="0" w:oddVBand="0" w:evenVBand="0" w:oddHBand="1" w:evenHBand="0" w:firstRowFirstColumn="0" w:firstRowLastColumn="0" w:lastRowFirstColumn="0" w:lastRowLastColumn="0"/>
          <w:trHeight w:val="315"/>
        </w:trPr>
        <w:tc>
          <w:tcPr>
            <w:tcW w:w="2965" w:type="pct"/>
            <w:shd w:val="clear" w:color="auto" w:fill="CCC0D9" w:themeFill="accent4" w:themeFillTint="66"/>
            <w:hideMark/>
          </w:tcPr>
          <w:p w14:paraId="5A5EBA7B"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Summārais dzimstības koeficients</w:t>
            </w:r>
          </w:p>
        </w:tc>
        <w:tc>
          <w:tcPr>
            <w:tcW w:w="678" w:type="pct"/>
            <w:shd w:val="clear" w:color="auto" w:fill="CCC0D9" w:themeFill="accent4" w:themeFillTint="66"/>
            <w:hideMark/>
          </w:tcPr>
          <w:p w14:paraId="7F24E1A3" w14:textId="177DA9E7"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w:t>
            </w:r>
            <w:r w:rsidR="0012202B">
              <w:rPr>
                <w:rFonts w:ascii="Segoe UI Light" w:hAnsi="Segoe UI Light"/>
                <w:bCs/>
                <w:sz w:val="16"/>
                <w:szCs w:val="16"/>
              </w:rPr>
              <w:t>,</w:t>
            </w:r>
            <w:r w:rsidRPr="00AC0DCD">
              <w:rPr>
                <w:rFonts w:ascii="Segoe UI Light" w:hAnsi="Segoe UI Light"/>
                <w:bCs/>
                <w:sz w:val="16"/>
                <w:szCs w:val="16"/>
              </w:rPr>
              <w:t>554</w:t>
            </w:r>
          </w:p>
        </w:tc>
        <w:tc>
          <w:tcPr>
            <w:tcW w:w="678" w:type="pct"/>
            <w:shd w:val="clear" w:color="auto" w:fill="CCC0D9" w:themeFill="accent4" w:themeFillTint="66"/>
            <w:hideMark/>
          </w:tcPr>
          <w:p w14:paraId="44F12C11" w14:textId="51EEB946"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w:t>
            </w:r>
            <w:r w:rsidR="0012202B">
              <w:rPr>
                <w:rFonts w:ascii="Segoe UI Light" w:hAnsi="Segoe UI Light"/>
                <w:bCs/>
                <w:sz w:val="16"/>
                <w:szCs w:val="16"/>
              </w:rPr>
              <w:t>,</w:t>
            </w:r>
            <w:r w:rsidRPr="00AC0DCD">
              <w:rPr>
                <w:rFonts w:ascii="Segoe UI Light" w:hAnsi="Segoe UI Light"/>
                <w:bCs/>
                <w:sz w:val="16"/>
                <w:szCs w:val="16"/>
              </w:rPr>
              <w:t>614</w:t>
            </w:r>
          </w:p>
        </w:tc>
        <w:tc>
          <w:tcPr>
            <w:tcW w:w="679" w:type="pct"/>
            <w:shd w:val="clear" w:color="auto" w:fill="CCC0D9" w:themeFill="accent4" w:themeFillTint="66"/>
            <w:hideMark/>
          </w:tcPr>
          <w:p w14:paraId="733459C5" w14:textId="045A7AEA"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1</w:t>
            </w:r>
            <w:r w:rsidR="0012202B">
              <w:rPr>
                <w:rFonts w:ascii="Segoe UI Light" w:hAnsi="Segoe UI Light"/>
                <w:bCs/>
                <w:sz w:val="16"/>
                <w:szCs w:val="16"/>
              </w:rPr>
              <w:t>,</w:t>
            </w:r>
            <w:r w:rsidRPr="00AC0DCD">
              <w:rPr>
                <w:rFonts w:ascii="Segoe UI Light" w:hAnsi="Segoe UI Light"/>
                <w:bCs/>
                <w:sz w:val="16"/>
                <w:szCs w:val="16"/>
              </w:rPr>
              <w:t>815</w:t>
            </w:r>
          </w:p>
        </w:tc>
      </w:tr>
      <w:tr w:rsidR="00C51D16" w:rsidRPr="003B4CDA" w14:paraId="34BD49A6" w14:textId="77777777" w:rsidTr="00D209BD">
        <w:trPr>
          <w:trHeight w:val="261"/>
        </w:trPr>
        <w:tc>
          <w:tcPr>
            <w:tcW w:w="2965" w:type="pct"/>
            <w:shd w:val="clear" w:color="auto" w:fill="E5DFEC" w:themeFill="accent4" w:themeFillTint="33"/>
            <w:hideMark/>
          </w:tcPr>
          <w:p w14:paraId="490CF60B"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Jaundzimušo vidējais paredzamais mūža ilgums (gados)</w:t>
            </w:r>
          </w:p>
        </w:tc>
        <w:tc>
          <w:tcPr>
            <w:tcW w:w="678" w:type="pct"/>
            <w:shd w:val="clear" w:color="auto" w:fill="E5DFEC" w:themeFill="accent4" w:themeFillTint="33"/>
            <w:hideMark/>
          </w:tcPr>
          <w:p w14:paraId="1147CF61" w14:textId="4EAAB05C" w:rsidR="00807D21" w:rsidRPr="003B4CDA" w:rsidRDefault="00807D21" w:rsidP="00D209BD">
            <w:pPr>
              <w:tabs>
                <w:tab w:val="left" w:pos="213"/>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73</w:t>
            </w:r>
            <w:r w:rsidR="0012202B">
              <w:rPr>
                <w:rFonts w:ascii="Segoe UI Light" w:hAnsi="Segoe UI Light"/>
                <w:bCs/>
                <w:sz w:val="16"/>
                <w:szCs w:val="16"/>
              </w:rPr>
              <w:t>,</w:t>
            </w:r>
            <w:r w:rsidRPr="00AC0DCD">
              <w:rPr>
                <w:rFonts w:ascii="Segoe UI Light" w:hAnsi="Segoe UI Light"/>
                <w:bCs/>
                <w:sz w:val="16"/>
                <w:szCs w:val="16"/>
              </w:rPr>
              <w:t>6</w:t>
            </w:r>
          </w:p>
        </w:tc>
        <w:tc>
          <w:tcPr>
            <w:tcW w:w="678" w:type="pct"/>
            <w:shd w:val="clear" w:color="auto" w:fill="E5DFEC" w:themeFill="accent4" w:themeFillTint="33"/>
            <w:hideMark/>
          </w:tcPr>
          <w:p w14:paraId="0AEB6561" w14:textId="7DF059C5" w:rsidR="00807D21" w:rsidRPr="003B4CDA" w:rsidRDefault="00807D21" w:rsidP="00D209BD">
            <w:pPr>
              <w:tabs>
                <w:tab w:val="left" w:pos="161"/>
                <w:tab w:val="decimal" w:pos="607"/>
              </w:tabs>
              <w:spacing w:before="40" w:after="40"/>
              <w:jc w:val="center"/>
              <w:rPr>
                <w:rFonts w:ascii="Segoe UI Light" w:hAnsi="Segoe UI Light"/>
                <w:bCs/>
                <w:sz w:val="16"/>
                <w:szCs w:val="16"/>
              </w:rPr>
            </w:pPr>
            <w:r w:rsidRPr="00AC0DCD">
              <w:rPr>
                <w:rFonts w:ascii="Segoe UI Light" w:hAnsi="Segoe UI Light"/>
                <w:bCs/>
                <w:sz w:val="16"/>
                <w:szCs w:val="16"/>
              </w:rPr>
              <w:t>77</w:t>
            </w:r>
            <w:r w:rsidR="0012202B">
              <w:rPr>
                <w:rFonts w:ascii="Segoe UI Light" w:hAnsi="Segoe UI Light"/>
                <w:bCs/>
                <w:sz w:val="16"/>
                <w:szCs w:val="16"/>
              </w:rPr>
              <w:t>,</w:t>
            </w:r>
            <w:r w:rsidRPr="00AC0DCD">
              <w:rPr>
                <w:rFonts w:ascii="Segoe UI Light" w:hAnsi="Segoe UI Light"/>
                <w:bCs/>
                <w:sz w:val="16"/>
                <w:szCs w:val="16"/>
              </w:rPr>
              <w:t>4</w:t>
            </w:r>
          </w:p>
        </w:tc>
        <w:tc>
          <w:tcPr>
            <w:tcW w:w="679" w:type="pct"/>
            <w:shd w:val="clear" w:color="auto" w:fill="E5DFEC" w:themeFill="accent4" w:themeFillTint="33"/>
            <w:hideMark/>
          </w:tcPr>
          <w:p w14:paraId="039CE301" w14:textId="032A504D" w:rsidR="00807D21" w:rsidRPr="003B4CDA" w:rsidRDefault="00807D21" w:rsidP="00D209BD">
            <w:pPr>
              <w:tabs>
                <w:tab w:val="left" w:pos="171"/>
                <w:tab w:val="decimal" w:pos="552"/>
              </w:tabs>
              <w:spacing w:before="40" w:after="40"/>
              <w:jc w:val="center"/>
              <w:rPr>
                <w:rFonts w:ascii="Segoe UI Light" w:hAnsi="Segoe UI Light"/>
                <w:bCs/>
                <w:sz w:val="16"/>
                <w:szCs w:val="16"/>
              </w:rPr>
            </w:pPr>
            <w:r w:rsidRPr="00AC0DCD">
              <w:rPr>
                <w:rFonts w:ascii="Segoe UI Light" w:hAnsi="Segoe UI Light"/>
                <w:bCs/>
                <w:sz w:val="16"/>
                <w:szCs w:val="16"/>
              </w:rPr>
              <w:t>80</w:t>
            </w:r>
            <w:r w:rsidR="0012202B">
              <w:rPr>
                <w:rFonts w:ascii="Segoe UI Light" w:hAnsi="Segoe UI Light"/>
                <w:bCs/>
                <w:sz w:val="16"/>
                <w:szCs w:val="16"/>
              </w:rPr>
              <w:t>,</w:t>
            </w:r>
            <w:r w:rsidRPr="00AC0DCD">
              <w:rPr>
                <w:rFonts w:ascii="Segoe UI Light" w:hAnsi="Segoe UI Light"/>
                <w:bCs/>
                <w:sz w:val="16"/>
                <w:szCs w:val="16"/>
              </w:rPr>
              <w:t>0</w:t>
            </w:r>
          </w:p>
        </w:tc>
      </w:tr>
    </w:tbl>
    <w:p w14:paraId="5CBF2631" w14:textId="11BBC946" w:rsidR="00807D21" w:rsidRPr="0018412F" w:rsidRDefault="17EA8A89" w:rsidP="00807D21">
      <w:pPr>
        <w:spacing w:before="120"/>
        <w:ind w:left="284" w:hanging="284"/>
        <w:jc w:val="both"/>
        <w:rPr>
          <w:rFonts w:cs="Calibri Light"/>
          <w:sz w:val="12"/>
          <w:szCs w:val="12"/>
        </w:rPr>
      </w:pPr>
      <w:r w:rsidRPr="0018412F">
        <w:rPr>
          <w:rFonts w:cs="Calibri Light"/>
          <w:sz w:val="12"/>
          <w:szCs w:val="12"/>
        </w:rPr>
        <w:t>Avots: * EM novērtējums balstoties uz CSP datiem par 2021. gadu, EM prognozes 2030. un 2040. gadam</w:t>
      </w:r>
    </w:p>
    <w:p w14:paraId="442710B4" w14:textId="473B2301" w:rsidR="000629C8" w:rsidRPr="000629C8" w:rsidRDefault="00EA05F6" w:rsidP="000629C8">
      <w:pPr>
        <w:jc w:val="both"/>
        <w:rPr>
          <w:color w:val="000000"/>
          <w:szCs w:val="20"/>
        </w:rPr>
      </w:pPr>
      <w:r>
        <w:rPr>
          <w:color w:val="000000"/>
          <w:szCs w:val="20"/>
        </w:rPr>
        <w:br/>
      </w:r>
      <w:r w:rsidR="000629C8" w:rsidRPr="000629C8">
        <w:rPr>
          <w:color w:val="000000"/>
          <w:szCs w:val="20"/>
        </w:rPr>
        <w:t xml:space="preserve">Līdz ar uzlabojumiem iedzīvotāju labklājības līmenī un plašākai pieejai veselības aprūpes pakalpojumiem, kopumā iedzīvotāju mirstības rādītāji gan vidējā, gan ilgtermiņā samazināsies. Sagaidāms, ka līdz 2040. gadam iedzīvotāju relatīvie mirstības rādītāji samazināsies gandrīz visās vecuma grupās, kas ietekmēs arī kopumā mirušo skaita uz 1000 iedzīvotājiem samazināšanos </w:t>
      </w:r>
      <w:r w:rsidR="00417159">
        <w:rPr>
          <w:color w:val="000000"/>
          <w:szCs w:val="20"/>
        </w:rPr>
        <w:t>–</w:t>
      </w:r>
      <w:r w:rsidR="000629C8" w:rsidRPr="000629C8">
        <w:rPr>
          <w:color w:val="000000"/>
          <w:szCs w:val="20"/>
        </w:rPr>
        <w:t xml:space="preserve"> sagaidāms, ka mirušo skaits uz 1000 iedzīvotājiem līdz 2040.</w:t>
      </w:r>
      <w:r w:rsidR="0012202B">
        <w:rPr>
          <w:color w:val="000000"/>
          <w:szCs w:val="20"/>
        </w:rPr>
        <w:t> </w:t>
      </w:r>
      <w:r w:rsidR="000629C8" w:rsidRPr="000629C8">
        <w:rPr>
          <w:color w:val="000000"/>
          <w:szCs w:val="20"/>
        </w:rPr>
        <w:t>gadam varētu samazināties par gandrīz 1/4. Tāpat pieaugs jaundzimušo vidējais paredzamais mūža ilgums no 73,6 gadiem 2021.</w:t>
      </w:r>
      <w:r w:rsidR="00417159">
        <w:rPr>
          <w:color w:val="000000"/>
          <w:szCs w:val="20"/>
        </w:rPr>
        <w:t> </w:t>
      </w:r>
      <w:r w:rsidR="000629C8" w:rsidRPr="000629C8">
        <w:rPr>
          <w:color w:val="000000"/>
          <w:szCs w:val="20"/>
        </w:rPr>
        <w:t>gadā (EM novērtējums) līdz vidēji 80 gadiem 2040. gadā.</w:t>
      </w:r>
    </w:p>
    <w:p w14:paraId="29B8996A" w14:textId="4526002A" w:rsidR="000629C8" w:rsidRPr="000629C8" w:rsidRDefault="000629C8" w:rsidP="00EA05F6">
      <w:pPr>
        <w:jc w:val="both"/>
        <w:rPr>
          <w:color w:val="000000"/>
          <w:szCs w:val="20"/>
        </w:rPr>
      </w:pPr>
      <w:r w:rsidRPr="000629C8">
        <w:rPr>
          <w:color w:val="000000"/>
          <w:szCs w:val="20"/>
        </w:rPr>
        <w:t>Ņemot vērā augstāk minēto, plaisa starp jaundzimušo un mirušo skaitu nākamajos gados pakāpeniski saruks, tomēr, ņemot vērā ievērojami zemākus dzimstības rādītājus absolūtā izteiksmē, dabiskā pieauguma saldo varētu atgriezties 2019.</w:t>
      </w:r>
      <w:r w:rsidR="0012202B">
        <w:rPr>
          <w:color w:val="000000"/>
          <w:szCs w:val="20"/>
        </w:rPr>
        <w:t> </w:t>
      </w:r>
      <w:r w:rsidRPr="000629C8">
        <w:rPr>
          <w:color w:val="000000"/>
          <w:szCs w:val="20"/>
        </w:rPr>
        <w:t>gada līmenī (pirms Covid-19 pandēmijas krīzes) tikai ap 2035.</w:t>
      </w:r>
      <w:r>
        <w:rPr>
          <w:color w:val="000000"/>
          <w:szCs w:val="20"/>
        </w:rPr>
        <w:t> </w:t>
      </w:r>
      <w:r w:rsidRPr="000629C8">
        <w:rPr>
          <w:color w:val="000000"/>
          <w:szCs w:val="20"/>
        </w:rPr>
        <w:t>gadu.</w:t>
      </w:r>
    </w:p>
    <w:p w14:paraId="29E2510C" w14:textId="42BAAAC4" w:rsidR="000629C8" w:rsidRPr="000629C8" w:rsidRDefault="00EA05F6" w:rsidP="000629C8">
      <w:pPr>
        <w:jc w:val="both"/>
        <w:rPr>
          <w:b/>
          <w:szCs w:val="26"/>
        </w:rPr>
      </w:pPr>
      <w:r>
        <w:rPr>
          <w:b/>
          <w:szCs w:val="26"/>
        </w:rPr>
        <w:br/>
      </w:r>
      <w:r w:rsidR="000629C8" w:rsidRPr="000629C8">
        <w:rPr>
          <w:b/>
          <w:szCs w:val="26"/>
        </w:rPr>
        <w:t>Starptautiskā iedzīvotāju ilgtermiņa migrācija</w:t>
      </w:r>
    </w:p>
    <w:p w14:paraId="6A4C1585" w14:textId="5A339BDC" w:rsidR="000629C8" w:rsidRPr="000629C8" w:rsidRDefault="2827AC4A" w:rsidP="000629C8">
      <w:pPr>
        <w:jc w:val="both"/>
      </w:pPr>
      <w:r w:rsidRPr="4398C881">
        <w:t xml:space="preserve">Lai gan Latvijā joprojām saglabājās negatīva migrācijas bilance un no valsts turpina izbraukt vairāk iedzīvotāji nekā  iebraukt, tomēr līdz ar ekonomisko atšķirību mazināšanos starp Latviju un Latvijas emigrantu galvenajām aizceļošanas mērķa valstīm, arī negatīvais migrācijas saldo pakāpeniski samazinās. Kopumā </w:t>
      </w:r>
      <w:r w:rsidRPr="4398C881">
        <w:rPr>
          <w:color w:val="000000"/>
        </w:rPr>
        <w:t>kopš 2016. gada negatīvais iedzīvotāju ilgtermiņa migrācijas saldo Latvijā samazinājies par 3,5 reizēm no aptuveni -12,2 tūkst. 2016. gadā līdz aptuveni -3,5 tūkst.</w:t>
      </w:r>
      <w:r w:rsidR="000629C8" w:rsidRPr="4398C881">
        <w:rPr>
          <w:color w:val="000000"/>
          <w:vertAlign w:val="superscript"/>
        </w:rPr>
        <w:footnoteReference w:id="21"/>
      </w:r>
      <w:r w:rsidRPr="4398C881">
        <w:rPr>
          <w:color w:val="000000"/>
        </w:rPr>
        <w:t xml:space="preserve"> 2021. gadā.</w:t>
      </w:r>
    </w:p>
    <w:p w14:paraId="03E27932" w14:textId="6FBC4FF0" w:rsidR="000629C8" w:rsidRPr="000629C8" w:rsidRDefault="2827AC4A" w:rsidP="4398C881">
      <w:pPr>
        <w:jc w:val="both"/>
        <w:rPr>
          <w:color w:val="000000"/>
        </w:rPr>
      </w:pPr>
      <w:r w:rsidRPr="4398C881">
        <w:rPr>
          <w:color w:val="000000" w:themeColor="text1"/>
        </w:rPr>
        <w:t>Jāatzīmē, ka priekšnosacījums ātrākai migrācijas plūsmu maiņai ir straujāka ekonomikas izaugsme (ekonomikas izrāviens) un vairāk kvalitatīvu un labi apmaksātu darbavietu darba tirgū. Lai atturētu iedzīvotāju aizceļošanu labāku nodarbinātības iespēju meklējumos ārpus valsts robežām, kā arī radītu pamatu pārdomām par atgriešanos tiem, kas emigrējuši no Latvijas iepriekšējos gados, vidējai darba algai Latvijā būtu jābūt vismaz minimālās algas līmenī galvenajās Latvijas migrantu mērķa valstīs. 2021. janvārī vidējā darba alga Latvijā  bija 1</w:t>
      </w:r>
      <w:r w:rsidR="0018412F">
        <w:rPr>
          <w:color w:val="000000" w:themeColor="text1"/>
        </w:rPr>
        <w:t> </w:t>
      </w:r>
      <w:r w:rsidRPr="4398C881">
        <w:rPr>
          <w:color w:val="000000" w:themeColor="text1"/>
        </w:rPr>
        <w:t xml:space="preserve">191 </w:t>
      </w:r>
      <w:proofErr w:type="spellStart"/>
      <w:r w:rsidRPr="4398C881">
        <w:rPr>
          <w:color w:val="000000" w:themeColor="text1"/>
        </w:rPr>
        <w:t>euro</w:t>
      </w:r>
      <w:proofErr w:type="spellEnd"/>
      <w:r w:rsidRPr="4398C881">
        <w:rPr>
          <w:color w:val="000000" w:themeColor="text1"/>
        </w:rPr>
        <w:t xml:space="preserve">/ mēnesī, </w:t>
      </w:r>
      <w:r w:rsidRPr="4398C881">
        <w:rPr>
          <w:color w:val="000000" w:themeColor="text1"/>
        </w:rPr>
        <w:lastRenderedPageBreak/>
        <w:t>kas joprojām bija par aptuveni 1/3 mazāk nekā minimālās darba algas likme šajā laikā Īrijā (1</w:t>
      </w:r>
      <w:r w:rsidR="0018412F">
        <w:rPr>
          <w:color w:val="000000" w:themeColor="text1"/>
        </w:rPr>
        <w:t> </w:t>
      </w:r>
      <w:r w:rsidRPr="4398C881">
        <w:rPr>
          <w:color w:val="000000" w:themeColor="text1"/>
        </w:rPr>
        <w:t xml:space="preserve">774,5 </w:t>
      </w:r>
      <w:proofErr w:type="spellStart"/>
      <w:r w:rsidRPr="4398C881">
        <w:rPr>
          <w:color w:val="000000" w:themeColor="text1"/>
        </w:rPr>
        <w:t>euro</w:t>
      </w:r>
      <w:proofErr w:type="spellEnd"/>
      <w:r w:rsidRPr="4398C881">
        <w:rPr>
          <w:color w:val="000000" w:themeColor="text1"/>
        </w:rPr>
        <w:t>/mēnesī), bet par aptuveni 27% mazāk nekā</w:t>
      </w:r>
      <w:r>
        <w:t xml:space="preserve"> </w:t>
      </w:r>
      <w:r w:rsidRPr="4398C881">
        <w:rPr>
          <w:color w:val="000000" w:themeColor="text1"/>
        </w:rPr>
        <w:t>Vācijā (1</w:t>
      </w:r>
      <w:r w:rsidR="0018412F">
        <w:rPr>
          <w:color w:val="000000" w:themeColor="text1"/>
        </w:rPr>
        <w:t> </w:t>
      </w:r>
      <w:r w:rsidRPr="4398C881">
        <w:rPr>
          <w:color w:val="000000" w:themeColor="text1"/>
        </w:rPr>
        <w:t xml:space="preserve">621 </w:t>
      </w:r>
      <w:proofErr w:type="spellStart"/>
      <w:r w:rsidRPr="4398C881">
        <w:rPr>
          <w:color w:val="000000" w:themeColor="text1"/>
        </w:rPr>
        <w:t>euro</w:t>
      </w:r>
      <w:proofErr w:type="spellEnd"/>
      <w:r w:rsidRPr="4398C881">
        <w:rPr>
          <w:color w:val="000000" w:themeColor="text1"/>
        </w:rPr>
        <w:t>/mēnesī). Lai gan aizvadītajos 5 gados atalgojuma starpība starp Latviju un Eiropas vecajām ekonomikām ir jūtami sarukusi (piemēram, starpība starp vidējo atalgojumu Latvijā un minimālās algas likmi Īrijā periodā no 2017.</w:t>
      </w:r>
      <w:r w:rsidR="3C53C722" w:rsidRPr="4398C881">
        <w:rPr>
          <w:color w:val="000000" w:themeColor="text1"/>
        </w:rPr>
        <w:t> </w:t>
      </w:r>
      <w:r w:rsidRPr="4398C881">
        <w:rPr>
          <w:color w:val="000000" w:themeColor="text1"/>
        </w:rPr>
        <w:t>gada janvāra līdz 2021.</w:t>
      </w:r>
      <w:r w:rsidR="3C53C722" w:rsidRPr="4398C881">
        <w:rPr>
          <w:color w:val="000000" w:themeColor="text1"/>
        </w:rPr>
        <w:t> </w:t>
      </w:r>
      <w:r w:rsidRPr="4398C881">
        <w:rPr>
          <w:color w:val="000000" w:themeColor="text1"/>
        </w:rPr>
        <w:t>gada janvārim ir samazinājusies par 11</w:t>
      </w:r>
      <w:r w:rsidR="3C53C722" w:rsidRPr="4398C881">
        <w:rPr>
          <w:color w:val="000000" w:themeColor="text1"/>
        </w:rPr>
        <w:t> </w:t>
      </w:r>
      <w:r w:rsidRPr="4398C881">
        <w:rPr>
          <w:color w:val="000000" w:themeColor="text1"/>
        </w:rPr>
        <w:t xml:space="preserve">procentpunktiem, bet starp Vāciju </w:t>
      </w:r>
      <w:r w:rsidR="3C53C722" w:rsidRPr="4398C881">
        <w:rPr>
          <w:color w:val="000000" w:themeColor="text1"/>
        </w:rPr>
        <w:t>–</w:t>
      </w:r>
      <w:r w:rsidRPr="4398C881">
        <w:rPr>
          <w:color w:val="000000" w:themeColor="text1"/>
        </w:rPr>
        <w:t xml:space="preserve"> 15 procentpunkti), tomēr neskatoties uz to, saglabājoties līdzšinējiem algu konverģences tempiem, Vācijas minimālā atalgojuma līmeni Latvija varētu sasniegt tikai pēc vidēji 8-9 gadiem, bet Īrijas pēc gandrīz 15 gadiem. Ņemot vērā to, nākamajos gados būtiski ir paātrināt Latvijas pietuvošanos ES attīstītāko valstu ekonomikām, kas ļautu ātrāk izlīdzināt ienākumu plaisu starp Latviju un Latvijas emigrantu mērķa valstīm.</w:t>
      </w:r>
    </w:p>
    <w:p w14:paraId="22501988" w14:textId="77777777" w:rsidR="000629C8" w:rsidRPr="000629C8" w:rsidRDefault="000629C8" w:rsidP="00EA05F6">
      <w:pPr>
        <w:jc w:val="right"/>
        <w:rPr>
          <w:color w:val="000000"/>
          <w:szCs w:val="20"/>
        </w:rPr>
      </w:pPr>
      <w:r w:rsidRPr="000629C8">
        <w:rPr>
          <w:color w:val="000000"/>
          <w:szCs w:val="20"/>
        </w:rPr>
        <w:t>3.5. tabula</w:t>
      </w:r>
    </w:p>
    <w:p w14:paraId="7DCC7B4D" w14:textId="77777777" w:rsidR="00807D21" w:rsidRPr="003B4CDA" w:rsidRDefault="00807D21" w:rsidP="00EA05F6">
      <w:pPr>
        <w:spacing w:after="120"/>
        <w:jc w:val="center"/>
        <w:rPr>
          <w:rFonts w:ascii="Segoe UI Light" w:hAnsi="Segoe UI Light"/>
          <w:b/>
          <w:color w:val="000000"/>
          <w:sz w:val="18"/>
          <w:szCs w:val="20"/>
        </w:rPr>
      </w:pPr>
      <w:r w:rsidRPr="00164BC7">
        <w:rPr>
          <w:rFonts w:ascii="Segoe UI Light" w:hAnsi="Segoe UI Light"/>
          <w:b/>
          <w:color w:val="000000"/>
          <w:sz w:val="18"/>
          <w:szCs w:val="20"/>
        </w:rPr>
        <w:t>Iedzīvotāju starptautiskās migrācijas galvenie rādītāji</w:t>
      </w:r>
    </w:p>
    <w:tbl>
      <w:tblPr>
        <w:tblStyle w:val="GridTable5Dark-Accent31"/>
        <w:tblW w:w="366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ook w:val="0420" w:firstRow="1" w:lastRow="0" w:firstColumn="0" w:lastColumn="0" w:noHBand="0" w:noVBand="1"/>
      </w:tblPr>
      <w:tblGrid>
        <w:gridCol w:w="3318"/>
        <w:gridCol w:w="1660"/>
        <w:gridCol w:w="1660"/>
      </w:tblGrid>
      <w:tr w:rsidR="00A36BBF" w:rsidRPr="003B4CDA" w14:paraId="7BE635E9" w14:textId="77777777" w:rsidTr="0018412F">
        <w:trPr>
          <w:cnfStyle w:val="100000000000" w:firstRow="1" w:lastRow="0" w:firstColumn="0" w:lastColumn="0" w:oddVBand="0" w:evenVBand="0" w:oddHBand="0" w:evenHBand="0" w:firstRowFirstColumn="0" w:firstRowLastColumn="0" w:lastRowFirstColumn="0" w:lastRowLastColumn="0"/>
          <w:jc w:val="center"/>
        </w:trPr>
        <w:tc>
          <w:tcPr>
            <w:tcW w:w="2499" w:type="pct"/>
            <w:shd w:val="clear" w:color="auto" w:fill="5F497A" w:themeFill="accent4" w:themeFillShade="BF"/>
            <w:noWrap/>
          </w:tcPr>
          <w:p w14:paraId="28A33D13" w14:textId="77777777" w:rsidR="00807D21" w:rsidRPr="003B4CDA" w:rsidRDefault="00807D21" w:rsidP="00D209BD">
            <w:pPr>
              <w:spacing w:before="40" w:after="40"/>
              <w:jc w:val="both"/>
              <w:rPr>
                <w:rFonts w:ascii="Segoe UI Light" w:eastAsia="Arial Unicode MS" w:hAnsi="Segoe UI Light"/>
                <w:b w:val="0"/>
                <w:sz w:val="16"/>
                <w:szCs w:val="16"/>
              </w:rPr>
            </w:pPr>
          </w:p>
        </w:tc>
        <w:tc>
          <w:tcPr>
            <w:tcW w:w="1250" w:type="pct"/>
            <w:shd w:val="clear" w:color="auto" w:fill="5F497A" w:themeFill="accent4" w:themeFillShade="BF"/>
            <w:hideMark/>
          </w:tcPr>
          <w:p w14:paraId="196ABE5F" w14:textId="77777777" w:rsidR="00807D21" w:rsidRPr="003B4CDA" w:rsidRDefault="00807D21" w:rsidP="00D209BD">
            <w:pPr>
              <w:spacing w:before="40" w:after="40"/>
              <w:jc w:val="center"/>
              <w:rPr>
                <w:rFonts w:ascii="Segoe UI Light" w:hAnsi="Segoe UI Light"/>
                <w:sz w:val="16"/>
                <w:szCs w:val="16"/>
              </w:rPr>
            </w:pPr>
            <w:r w:rsidRPr="003B4CDA">
              <w:rPr>
                <w:rFonts w:ascii="Segoe UI Light" w:hAnsi="Segoe UI Light"/>
                <w:sz w:val="16"/>
                <w:szCs w:val="16"/>
              </w:rPr>
              <w:t>20</w:t>
            </w:r>
            <w:r>
              <w:rPr>
                <w:rFonts w:ascii="Segoe UI Light" w:hAnsi="Segoe UI Light"/>
                <w:sz w:val="16"/>
                <w:szCs w:val="16"/>
              </w:rPr>
              <w:t>21</w:t>
            </w:r>
            <w:r w:rsidRPr="003B4CDA">
              <w:rPr>
                <w:rFonts w:ascii="Segoe UI Light" w:hAnsi="Segoe UI Light"/>
                <w:sz w:val="16"/>
                <w:szCs w:val="16"/>
              </w:rPr>
              <w:t>-20</w:t>
            </w:r>
            <w:r>
              <w:rPr>
                <w:rFonts w:ascii="Segoe UI Light" w:hAnsi="Segoe UI Light"/>
                <w:sz w:val="16"/>
                <w:szCs w:val="16"/>
              </w:rPr>
              <w:t>30</w:t>
            </w:r>
          </w:p>
        </w:tc>
        <w:tc>
          <w:tcPr>
            <w:tcW w:w="1250" w:type="pct"/>
            <w:shd w:val="clear" w:color="auto" w:fill="5F497A" w:themeFill="accent4" w:themeFillShade="BF"/>
            <w:hideMark/>
          </w:tcPr>
          <w:p w14:paraId="2F160C64" w14:textId="77777777" w:rsidR="00807D21" w:rsidRPr="003B4CDA" w:rsidRDefault="00807D21" w:rsidP="00D209BD">
            <w:pPr>
              <w:spacing w:before="40" w:after="40"/>
              <w:jc w:val="center"/>
              <w:rPr>
                <w:rFonts w:ascii="Segoe UI Light" w:hAnsi="Segoe UI Light"/>
                <w:sz w:val="16"/>
                <w:szCs w:val="16"/>
              </w:rPr>
            </w:pPr>
            <w:r w:rsidRPr="003B4CDA">
              <w:rPr>
                <w:rFonts w:ascii="Segoe UI Light" w:hAnsi="Segoe UI Light"/>
                <w:sz w:val="16"/>
                <w:szCs w:val="16"/>
              </w:rPr>
              <w:t>20</w:t>
            </w:r>
            <w:r>
              <w:rPr>
                <w:rFonts w:ascii="Segoe UI Light" w:hAnsi="Segoe UI Light"/>
                <w:sz w:val="16"/>
                <w:szCs w:val="16"/>
              </w:rPr>
              <w:t>31</w:t>
            </w:r>
            <w:r w:rsidRPr="003B4CDA">
              <w:rPr>
                <w:rFonts w:ascii="Segoe UI Light" w:hAnsi="Segoe UI Light"/>
                <w:sz w:val="16"/>
                <w:szCs w:val="16"/>
              </w:rPr>
              <w:t>-2040</w:t>
            </w:r>
          </w:p>
        </w:tc>
      </w:tr>
      <w:tr w:rsidR="00A36BBF" w:rsidRPr="003B4CDA" w14:paraId="13BCA142" w14:textId="77777777" w:rsidTr="0018412F">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E5DFEC" w:themeFill="accent4" w:themeFillTint="33"/>
            <w:hideMark/>
          </w:tcPr>
          <w:p w14:paraId="49AF26D4"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Emigrācija, tūkst.</w:t>
            </w:r>
          </w:p>
        </w:tc>
        <w:tc>
          <w:tcPr>
            <w:tcW w:w="1250" w:type="pct"/>
            <w:shd w:val="clear" w:color="auto" w:fill="E5DFEC" w:themeFill="accent4" w:themeFillTint="33"/>
            <w:hideMark/>
          </w:tcPr>
          <w:p w14:paraId="5F715E2B" w14:textId="466D32CF" w:rsidR="00807D21" w:rsidRPr="003B4CDA" w:rsidRDefault="00807D21" w:rsidP="00D209BD">
            <w:pPr>
              <w:spacing w:before="40" w:after="40"/>
              <w:jc w:val="center"/>
              <w:rPr>
                <w:rFonts w:ascii="Segoe UI Light" w:hAnsi="Segoe UI Light"/>
                <w:bCs/>
                <w:sz w:val="16"/>
                <w:szCs w:val="16"/>
              </w:rPr>
            </w:pPr>
            <w:r w:rsidRPr="00641C19">
              <w:rPr>
                <w:rFonts w:ascii="Segoe UI Light" w:hAnsi="Segoe UI Light"/>
                <w:bCs/>
                <w:sz w:val="16"/>
                <w:szCs w:val="16"/>
              </w:rPr>
              <w:t>119</w:t>
            </w:r>
            <w:r>
              <w:rPr>
                <w:rFonts w:ascii="Segoe UI Light" w:hAnsi="Segoe UI Light"/>
                <w:bCs/>
                <w:sz w:val="16"/>
                <w:szCs w:val="16"/>
              </w:rPr>
              <w:t>,</w:t>
            </w:r>
            <w:r w:rsidRPr="00641C19">
              <w:rPr>
                <w:rFonts w:ascii="Segoe UI Light" w:hAnsi="Segoe UI Light"/>
                <w:bCs/>
                <w:sz w:val="16"/>
                <w:szCs w:val="16"/>
              </w:rPr>
              <w:t>4</w:t>
            </w:r>
          </w:p>
        </w:tc>
        <w:tc>
          <w:tcPr>
            <w:tcW w:w="1250" w:type="pct"/>
            <w:shd w:val="clear" w:color="auto" w:fill="E5DFEC" w:themeFill="accent4" w:themeFillTint="33"/>
            <w:hideMark/>
          </w:tcPr>
          <w:p w14:paraId="1B367895" w14:textId="33AAA2B9" w:rsidR="00807D21" w:rsidRPr="003B4CDA" w:rsidRDefault="00807D21" w:rsidP="00D209BD">
            <w:pPr>
              <w:spacing w:before="40" w:after="40"/>
              <w:jc w:val="center"/>
              <w:rPr>
                <w:rFonts w:ascii="Segoe UI Light" w:hAnsi="Segoe UI Light"/>
                <w:bCs/>
                <w:sz w:val="16"/>
                <w:szCs w:val="16"/>
              </w:rPr>
            </w:pPr>
            <w:r w:rsidRPr="00641C19">
              <w:rPr>
                <w:rFonts w:ascii="Segoe UI Light" w:hAnsi="Segoe UI Light"/>
                <w:bCs/>
                <w:sz w:val="16"/>
                <w:szCs w:val="16"/>
              </w:rPr>
              <w:t>111</w:t>
            </w:r>
            <w:r>
              <w:rPr>
                <w:rFonts w:ascii="Segoe UI Light" w:hAnsi="Segoe UI Light"/>
                <w:bCs/>
                <w:sz w:val="16"/>
                <w:szCs w:val="16"/>
              </w:rPr>
              <w:t>,</w:t>
            </w:r>
            <w:r w:rsidRPr="00641C19">
              <w:rPr>
                <w:rFonts w:ascii="Segoe UI Light" w:hAnsi="Segoe UI Light"/>
                <w:bCs/>
                <w:sz w:val="16"/>
                <w:szCs w:val="16"/>
              </w:rPr>
              <w:t>7</w:t>
            </w:r>
          </w:p>
        </w:tc>
      </w:tr>
      <w:tr w:rsidR="00A36BBF" w:rsidRPr="003B4CDA" w14:paraId="7C3C7B5B" w14:textId="77777777" w:rsidTr="00D209BD">
        <w:trPr>
          <w:jc w:val="center"/>
        </w:trPr>
        <w:tc>
          <w:tcPr>
            <w:tcW w:w="2499" w:type="pct"/>
            <w:shd w:val="clear" w:color="auto" w:fill="CCC0D9" w:themeFill="accent4" w:themeFillTint="66"/>
            <w:hideMark/>
          </w:tcPr>
          <w:p w14:paraId="46830C23" w14:textId="77777777" w:rsidR="00807D21" w:rsidRPr="003B4CDA" w:rsidRDefault="00807D21" w:rsidP="00D209BD">
            <w:pPr>
              <w:spacing w:before="40" w:after="40"/>
              <w:rPr>
                <w:rFonts w:ascii="Segoe UI Light" w:hAnsi="Segoe UI Light"/>
                <w:sz w:val="16"/>
                <w:szCs w:val="16"/>
              </w:rPr>
            </w:pPr>
            <w:r w:rsidRPr="003B4CDA">
              <w:rPr>
                <w:rFonts w:ascii="Segoe UI Light" w:hAnsi="Segoe UI Light"/>
                <w:bCs/>
                <w:sz w:val="16"/>
                <w:szCs w:val="16"/>
              </w:rPr>
              <w:t>Imigrācija tūkst.</w:t>
            </w:r>
          </w:p>
        </w:tc>
        <w:tc>
          <w:tcPr>
            <w:tcW w:w="1250" w:type="pct"/>
            <w:shd w:val="clear" w:color="auto" w:fill="CCC0D9" w:themeFill="accent4" w:themeFillTint="66"/>
            <w:hideMark/>
          </w:tcPr>
          <w:p w14:paraId="2C75662B" w14:textId="632C2554" w:rsidR="00807D21" w:rsidRPr="003B4CDA" w:rsidRDefault="00807D21" w:rsidP="00D209BD">
            <w:pPr>
              <w:spacing w:before="40" w:after="40"/>
              <w:jc w:val="center"/>
              <w:rPr>
                <w:rFonts w:ascii="Segoe UI Light" w:hAnsi="Segoe UI Light"/>
                <w:bCs/>
                <w:sz w:val="16"/>
                <w:szCs w:val="16"/>
              </w:rPr>
            </w:pPr>
            <w:r w:rsidRPr="00641C19">
              <w:rPr>
                <w:rFonts w:ascii="Segoe UI Light" w:hAnsi="Segoe UI Light"/>
                <w:bCs/>
                <w:sz w:val="16"/>
                <w:szCs w:val="16"/>
              </w:rPr>
              <w:t>121</w:t>
            </w:r>
            <w:r>
              <w:rPr>
                <w:rFonts w:ascii="Segoe UI Light" w:hAnsi="Segoe UI Light"/>
                <w:bCs/>
                <w:sz w:val="16"/>
                <w:szCs w:val="16"/>
              </w:rPr>
              <w:t>,</w:t>
            </w:r>
            <w:r w:rsidRPr="00641C19">
              <w:rPr>
                <w:rFonts w:ascii="Segoe UI Light" w:hAnsi="Segoe UI Light"/>
                <w:bCs/>
                <w:sz w:val="16"/>
                <w:szCs w:val="16"/>
              </w:rPr>
              <w:t>5</w:t>
            </w:r>
          </w:p>
        </w:tc>
        <w:tc>
          <w:tcPr>
            <w:tcW w:w="1250" w:type="pct"/>
            <w:shd w:val="clear" w:color="auto" w:fill="CCC0D9" w:themeFill="accent4" w:themeFillTint="66"/>
            <w:hideMark/>
          </w:tcPr>
          <w:p w14:paraId="2EDD5617" w14:textId="4C81943E" w:rsidR="00807D21" w:rsidRPr="003B4CDA" w:rsidRDefault="00807D21" w:rsidP="00D209BD">
            <w:pPr>
              <w:spacing w:before="40" w:after="40"/>
              <w:jc w:val="center"/>
              <w:rPr>
                <w:rFonts w:ascii="Segoe UI Light" w:hAnsi="Segoe UI Light"/>
                <w:bCs/>
                <w:sz w:val="16"/>
                <w:szCs w:val="16"/>
              </w:rPr>
            </w:pPr>
            <w:r w:rsidRPr="00641C19">
              <w:rPr>
                <w:rFonts w:ascii="Segoe UI Light" w:hAnsi="Segoe UI Light"/>
                <w:bCs/>
                <w:sz w:val="16"/>
                <w:szCs w:val="16"/>
              </w:rPr>
              <w:t>159</w:t>
            </w:r>
            <w:r>
              <w:rPr>
                <w:rFonts w:ascii="Segoe UI Light" w:hAnsi="Segoe UI Light"/>
                <w:bCs/>
                <w:sz w:val="16"/>
                <w:szCs w:val="16"/>
              </w:rPr>
              <w:t>,</w:t>
            </w:r>
            <w:r w:rsidRPr="00641C19">
              <w:rPr>
                <w:rFonts w:ascii="Segoe UI Light" w:hAnsi="Segoe UI Light"/>
                <w:bCs/>
                <w:sz w:val="16"/>
                <w:szCs w:val="16"/>
              </w:rPr>
              <w:t>7</w:t>
            </w:r>
          </w:p>
        </w:tc>
      </w:tr>
      <w:tr w:rsidR="00A36BBF" w:rsidRPr="003B4CDA" w14:paraId="5834AC75" w14:textId="77777777" w:rsidTr="00D209BD">
        <w:trPr>
          <w:cnfStyle w:val="000000100000" w:firstRow="0" w:lastRow="0" w:firstColumn="0" w:lastColumn="0" w:oddVBand="0" w:evenVBand="0" w:oddHBand="1" w:evenHBand="0" w:firstRowFirstColumn="0" w:firstRowLastColumn="0" w:lastRowFirstColumn="0" w:lastRowLastColumn="0"/>
          <w:jc w:val="center"/>
        </w:trPr>
        <w:tc>
          <w:tcPr>
            <w:tcW w:w="2499" w:type="pct"/>
            <w:shd w:val="clear" w:color="auto" w:fill="E5DFEC" w:themeFill="accent4" w:themeFillTint="33"/>
            <w:hideMark/>
          </w:tcPr>
          <w:p w14:paraId="37554B71" w14:textId="77777777" w:rsidR="00807D21" w:rsidRPr="00641C19" w:rsidRDefault="00807D21" w:rsidP="00D209BD">
            <w:pPr>
              <w:spacing w:before="40" w:after="40"/>
              <w:rPr>
                <w:rFonts w:ascii="Segoe UI Light" w:hAnsi="Segoe UI Light"/>
                <w:b/>
                <w:bCs/>
                <w:sz w:val="16"/>
                <w:szCs w:val="16"/>
              </w:rPr>
            </w:pPr>
            <w:r w:rsidRPr="00641C19">
              <w:rPr>
                <w:rFonts w:ascii="Segoe UI Light" w:hAnsi="Segoe UI Light"/>
                <w:b/>
                <w:bCs/>
                <w:sz w:val="16"/>
                <w:szCs w:val="16"/>
              </w:rPr>
              <w:t>Migrācijas saldo, tūkst.</w:t>
            </w:r>
          </w:p>
        </w:tc>
        <w:tc>
          <w:tcPr>
            <w:tcW w:w="1250" w:type="pct"/>
            <w:shd w:val="clear" w:color="auto" w:fill="E5DFEC" w:themeFill="accent4" w:themeFillTint="33"/>
            <w:hideMark/>
          </w:tcPr>
          <w:p w14:paraId="5E3C11C7" w14:textId="6659289B" w:rsidR="00807D21" w:rsidRPr="00641C19" w:rsidRDefault="00807D21" w:rsidP="00D209BD">
            <w:pPr>
              <w:spacing w:before="40" w:after="40"/>
              <w:jc w:val="center"/>
              <w:rPr>
                <w:rFonts w:ascii="Segoe UI Light" w:hAnsi="Segoe UI Light"/>
                <w:b/>
                <w:bCs/>
                <w:sz w:val="16"/>
                <w:szCs w:val="16"/>
              </w:rPr>
            </w:pPr>
            <w:r w:rsidRPr="00641C19">
              <w:rPr>
                <w:rFonts w:ascii="Segoe UI Light" w:hAnsi="Segoe UI Light"/>
                <w:b/>
                <w:bCs/>
                <w:sz w:val="16"/>
                <w:szCs w:val="16"/>
              </w:rPr>
              <w:t>2</w:t>
            </w:r>
            <w:r>
              <w:rPr>
                <w:rFonts w:ascii="Segoe UI Light" w:hAnsi="Segoe UI Light"/>
                <w:b/>
                <w:bCs/>
                <w:sz w:val="16"/>
                <w:szCs w:val="16"/>
              </w:rPr>
              <w:t>,</w:t>
            </w:r>
            <w:r w:rsidRPr="00641C19">
              <w:rPr>
                <w:rFonts w:ascii="Segoe UI Light" w:hAnsi="Segoe UI Light"/>
                <w:b/>
                <w:bCs/>
                <w:sz w:val="16"/>
                <w:szCs w:val="16"/>
              </w:rPr>
              <w:t>1</w:t>
            </w:r>
          </w:p>
        </w:tc>
        <w:tc>
          <w:tcPr>
            <w:tcW w:w="1250" w:type="pct"/>
            <w:shd w:val="clear" w:color="auto" w:fill="E5DFEC" w:themeFill="accent4" w:themeFillTint="33"/>
            <w:hideMark/>
          </w:tcPr>
          <w:p w14:paraId="4182F66E" w14:textId="5CB900EB" w:rsidR="00807D21" w:rsidRPr="00641C19" w:rsidRDefault="00807D21" w:rsidP="00D209BD">
            <w:pPr>
              <w:spacing w:before="40" w:after="40"/>
              <w:jc w:val="center"/>
              <w:rPr>
                <w:rFonts w:ascii="Segoe UI Light" w:hAnsi="Segoe UI Light"/>
                <w:b/>
                <w:bCs/>
                <w:sz w:val="16"/>
                <w:szCs w:val="16"/>
              </w:rPr>
            </w:pPr>
            <w:r w:rsidRPr="00641C19">
              <w:rPr>
                <w:rFonts w:ascii="Segoe UI Light" w:hAnsi="Segoe UI Light"/>
                <w:b/>
                <w:bCs/>
                <w:sz w:val="16"/>
                <w:szCs w:val="16"/>
              </w:rPr>
              <w:t>48</w:t>
            </w:r>
            <w:r>
              <w:rPr>
                <w:rFonts w:ascii="Segoe UI Light" w:hAnsi="Segoe UI Light"/>
                <w:b/>
                <w:bCs/>
                <w:sz w:val="16"/>
                <w:szCs w:val="16"/>
              </w:rPr>
              <w:t>,</w:t>
            </w:r>
            <w:r w:rsidRPr="00641C19">
              <w:rPr>
                <w:rFonts w:ascii="Segoe UI Light" w:hAnsi="Segoe UI Light"/>
                <w:b/>
                <w:bCs/>
                <w:sz w:val="16"/>
                <w:szCs w:val="16"/>
              </w:rPr>
              <w:t>0</w:t>
            </w:r>
          </w:p>
        </w:tc>
      </w:tr>
    </w:tbl>
    <w:p w14:paraId="77C8DDD1" w14:textId="77777777" w:rsidR="00807D21" w:rsidRPr="0018412F" w:rsidRDefault="00807D21" w:rsidP="00EA05F6">
      <w:pPr>
        <w:spacing w:before="120"/>
        <w:ind w:left="720" w:firstLine="596"/>
        <w:jc w:val="both"/>
        <w:rPr>
          <w:rFonts w:cs="Calibri Light"/>
          <w:sz w:val="12"/>
          <w:szCs w:val="10"/>
        </w:rPr>
      </w:pPr>
      <w:r w:rsidRPr="0018412F">
        <w:rPr>
          <w:rFonts w:cs="Calibri Light"/>
          <w:sz w:val="12"/>
          <w:szCs w:val="10"/>
        </w:rPr>
        <w:t>Avots: EM prognozes</w:t>
      </w:r>
    </w:p>
    <w:p w14:paraId="5A261205" w14:textId="0E35ED09" w:rsidR="000629C8" w:rsidRPr="000629C8" w:rsidRDefault="00EA05F6" w:rsidP="00EA05F6">
      <w:pPr>
        <w:jc w:val="both"/>
        <w:rPr>
          <w:color w:val="000000"/>
          <w:szCs w:val="20"/>
        </w:rPr>
      </w:pPr>
      <w:r>
        <w:rPr>
          <w:color w:val="000000"/>
          <w:szCs w:val="20"/>
        </w:rPr>
        <w:br/>
      </w:r>
      <w:r w:rsidR="000629C8" w:rsidRPr="000629C8">
        <w:rPr>
          <w:color w:val="000000"/>
          <w:szCs w:val="20"/>
        </w:rPr>
        <w:t>Iedzīvotāju starptautiskās migrācijas scenārija pieņēmumu pamatā ir ekonomikas izaugsmes mērķa scenārijs, kas paredz, ka nākamajos gados Latvijas IKP uz 1 iedzīvotāju turpinās pakāpeniski pietuvoties ES vidējam līmenim, tādejādi kopumā mazinot ienākumu plaisu ar ekonomiski attīstītākām ES dalībvalstīm.</w:t>
      </w:r>
    </w:p>
    <w:p w14:paraId="018E2BD4" w14:textId="5B837B16" w:rsidR="000629C8" w:rsidRPr="000629C8" w:rsidRDefault="000629C8" w:rsidP="000629C8">
      <w:pPr>
        <w:jc w:val="both"/>
        <w:rPr>
          <w:color w:val="000000"/>
          <w:szCs w:val="20"/>
        </w:rPr>
      </w:pPr>
      <w:r w:rsidRPr="000629C8">
        <w:rPr>
          <w:color w:val="000000"/>
          <w:szCs w:val="20"/>
        </w:rPr>
        <w:t>Līdz ar ekonomiskās emigrācijas stimulu mazināšanos, kā arī ņemot vērā patvēruma meklētāju pieaugumu no Ukrainas, sagaidāms, ka negatīvā starpība starp emigrējušo un imigrējušo iedzīvotājus skaitu Latvijā varētu jūtami sarukt jau šogad un 2023.</w:t>
      </w:r>
      <w:r w:rsidR="00417159">
        <w:rPr>
          <w:color w:val="000000"/>
          <w:szCs w:val="20"/>
        </w:rPr>
        <w:t> </w:t>
      </w:r>
      <w:r w:rsidRPr="000629C8">
        <w:rPr>
          <w:color w:val="000000"/>
          <w:szCs w:val="20"/>
        </w:rPr>
        <w:t>gadā vārētu būt vērojama zināma migrācijas bilances pozitīva plūsma. Tomēr minētais efekts varētu būt salīdzinoši īslaicīgs, jo situācijai stabilizējoties kara skartajos reģionos, daļa no Ukrainas bēgļiem varētu atgriezties mājās, vai arī, ņemot vērā Latvijas darba tirgus nelielos izmērus, doties tālāk uz valstīm ar plašākām nodarbinātības iespējām.</w:t>
      </w:r>
    </w:p>
    <w:p w14:paraId="5514A9DD" w14:textId="3185B174" w:rsidR="000629C8" w:rsidRPr="000629C8" w:rsidRDefault="000629C8" w:rsidP="000629C8">
      <w:pPr>
        <w:jc w:val="right"/>
        <w:rPr>
          <w:color w:val="000000"/>
          <w:szCs w:val="20"/>
        </w:rPr>
      </w:pPr>
      <w:r w:rsidRPr="000629C8">
        <w:rPr>
          <w:color w:val="000000"/>
          <w:szCs w:val="20"/>
        </w:rPr>
        <w:t>3.</w:t>
      </w:r>
      <w:r w:rsidR="001179C2">
        <w:rPr>
          <w:color w:val="000000"/>
          <w:szCs w:val="20"/>
        </w:rPr>
        <w:t>7</w:t>
      </w:r>
      <w:r w:rsidRPr="000629C8">
        <w:rPr>
          <w:color w:val="000000"/>
          <w:szCs w:val="20"/>
        </w:rPr>
        <w:t>. attēls</w:t>
      </w:r>
    </w:p>
    <w:p w14:paraId="14C55F73" w14:textId="77777777" w:rsidR="000629C8" w:rsidRPr="000629C8" w:rsidRDefault="000629C8" w:rsidP="00EA05F6">
      <w:pPr>
        <w:spacing w:after="120"/>
        <w:jc w:val="center"/>
        <w:rPr>
          <w:rFonts w:ascii="Segoe UI Light" w:hAnsi="Segoe UI Light"/>
          <w:i/>
          <w:color w:val="000000"/>
          <w:sz w:val="16"/>
          <w:szCs w:val="20"/>
        </w:rPr>
      </w:pPr>
      <w:r w:rsidRPr="000629C8">
        <w:rPr>
          <w:rFonts w:ascii="Segoe UI Light" w:hAnsi="Segoe UI Light"/>
          <w:b/>
          <w:color w:val="000000"/>
          <w:sz w:val="18"/>
          <w:szCs w:val="20"/>
        </w:rPr>
        <w:t>Iedzīvotāju starptautiskās migrācijas saldo</w:t>
      </w:r>
      <w:r w:rsidRPr="000629C8">
        <w:rPr>
          <w:rFonts w:ascii="Segoe UI Light" w:hAnsi="Segoe UI Light"/>
          <w:b/>
          <w:color w:val="000000"/>
          <w:sz w:val="18"/>
          <w:szCs w:val="20"/>
        </w:rPr>
        <w:br/>
      </w:r>
      <w:r w:rsidRPr="000629C8">
        <w:rPr>
          <w:rFonts w:ascii="Segoe UI Light" w:hAnsi="Segoe UI Light"/>
          <w:i/>
          <w:color w:val="000000"/>
          <w:sz w:val="16"/>
          <w:szCs w:val="20"/>
        </w:rPr>
        <w:t>tūkstošos</w:t>
      </w:r>
    </w:p>
    <w:p w14:paraId="72EB8249" w14:textId="77777777" w:rsidR="000629C8" w:rsidRPr="000629C8" w:rsidRDefault="000629C8" w:rsidP="000629C8">
      <w:pPr>
        <w:jc w:val="center"/>
        <w:rPr>
          <w:color w:val="000000"/>
          <w:szCs w:val="20"/>
        </w:rPr>
      </w:pPr>
      <w:r w:rsidRPr="000629C8">
        <w:rPr>
          <w:noProof/>
          <w:color w:val="000000"/>
          <w:szCs w:val="20"/>
        </w:rPr>
        <w:drawing>
          <wp:inline distT="0" distB="0" distL="0" distR="0" wp14:anchorId="32F0A9FF" wp14:editId="0C211C23">
            <wp:extent cx="5760000" cy="21600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FF21D9C" w14:textId="77777777" w:rsidR="000629C8" w:rsidRPr="0018412F" w:rsidRDefault="000629C8" w:rsidP="00EA05F6">
      <w:pPr>
        <w:jc w:val="both"/>
        <w:rPr>
          <w:rFonts w:cs="Calibri Light"/>
          <w:sz w:val="12"/>
          <w:szCs w:val="10"/>
        </w:rPr>
      </w:pPr>
      <w:r w:rsidRPr="0018412F">
        <w:rPr>
          <w:rFonts w:cs="Calibri Light"/>
          <w:sz w:val="12"/>
          <w:szCs w:val="10"/>
        </w:rPr>
        <w:t>Avots: CSP dati līdz 2020. gadam, EM prognozes sākot ar 2021. gadu</w:t>
      </w:r>
    </w:p>
    <w:p w14:paraId="1666C384" w14:textId="45D31EDA" w:rsidR="000629C8" w:rsidRPr="000629C8" w:rsidRDefault="00EA05F6" w:rsidP="4398C881">
      <w:pPr>
        <w:jc w:val="both"/>
        <w:rPr>
          <w:color w:val="000000"/>
        </w:rPr>
      </w:pPr>
      <w:r>
        <w:rPr>
          <w:color w:val="000000" w:themeColor="text1"/>
        </w:rPr>
        <w:br/>
      </w:r>
      <w:r w:rsidR="2827AC4A" w:rsidRPr="4398C881">
        <w:rPr>
          <w:color w:val="000000" w:themeColor="text1"/>
        </w:rPr>
        <w:t xml:space="preserve">Tāpat Krievijas agresīvā politika reģionā vismaz uz 2-3 gadiem atliek/attur strauju imigrācijas plūsmas pieaugumu Latvijā, kas potenciāli varētu būt saistīta gan ar Latvijas </w:t>
      </w:r>
      <w:proofErr w:type="spellStart"/>
      <w:r w:rsidR="2827AC4A" w:rsidRPr="4398C881">
        <w:rPr>
          <w:color w:val="000000" w:themeColor="text1"/>
        </w:rPr>
        <w:t>valstspiederīgo</w:t>
      </w:r>
      <w:proofErr w:type="spellEnd"/>
      <w:r w:rsidR="2827AC4A" w:rsidRPr="4398C881">
        <w:rPr>
          <w:color w:val="000000" w:themeColor="text1"/>
        </w:rPr>
        <w:t xml:space="preserve"> atgriešanos dzimtenē, gan ekonomisko migrantu ieplūšanu nodarbinātības nolūkos. Tikmēr potenciālie konflikta eskalācijas riski kopumā palielina iedzīvotāju emigrācijas varbūtību, līdz ar to nav sagaidāms būtisks no Latvijas emigrējušo skaita samazinājums tuvākajos gados.</w:t>
      </w:r>
    </w:p>
    <w:p w14:paraId="7F674A42" w14:textId="061CE65B" w:rsidR="000629C8" w:rsidRPr="000629C8" w:rsidRDefault="000629C8" w:rsidP="000629C8">
      <w:pPr>
        <w:jc w:val="both"/>
        <w:rPr>
          <w:szCs w:val="26"/>
          <w:highlight w:val="yellow"/>
        </w:rPr>
      </w:pPr>
      <w:r w:rsidRPr="000629C8">
        <w:rPr>
          <w:color w:val="000000"/>
          <w:szCs w:val="20"/>
        </w:rPr>
        <w:lastRenderedPageBreak/>
        <w:t>Noturīgas izmaiņas iedzīvotāju ilgtermiņa migrācijas plūsmā ar pozitīvo migrācijas saldo varētu būt vērojamas ap 2026./2027.</w:t>
      </w:r>
      <w:r w:rsidR="00417159">
        <w:rPr>
          <w:color w:val="000000"/>
          <w:szCs w:val="20"/>
        </w:rPr>
        <w:t> </w:t>
      </w:r>
      <w:r w:rsidRPr="000629C8">
        <w:rPr>
          <w:color w:val="000000"/>
          <w:szCs w:val="20"/>
        </w:rPr>
        <w:t>gadu, kad politiskā situācija reģionā būtu nostabilizējusies un plaisas starp Latvijas un ES veco valstu darba tirgiem mazinājušās.</w:t>
      </w:r>
      <w:r w:rsidRPr="000629C8">
        <w:rPr>
          <w:szCs w:val="26"/>
        </w:rPr>
        <w:t xml:space="preserve"> Uzlabojumi starptautiskās migrācijas bilancē būs viens no noteicošiem faktoriem iedzīvotāju vecumstruktūras nesabalansētību mazināšanā ilgtermiņā, kas kopumā varētu mazināt arī demogrāfijas tendenču negatīvo ietekmi uz darba tirgu.</w:t>
      </w:r>
    </w:p>
    <w:p w14:paraId="3898C5BB" w14:textId="6D411BB7" w:rsidR="000629C8" w:rsidRPr="000629C8" w:rsidRDefault="2827AC4A" w:rsidP="4398C881">
      <w:pPr>
        <w:jc w:val="both"/>
        <w:rPr>
          <w:color w:val="000000"/>
        </w:rPr>
      </w:pPr>
      <w:r w:rsidRPr="4398C881">
        <w:rPr>
          <w:color w:val="000000" w:themeColor="text1"/>
        </w:rPr>
        <w:t xml:space="preserve">Jāatzīmē, ka migrācijas mērķa scenārijs paredz, ka kopumā līdz 2040. gadam Latvijas darba tirgus turpinās tuvoties ES attīstītāko valstu darba tirgiem, jo īpaši darba algu izteiksmē, kas mazinās ekonomisko faktoru rosinātu iedzīvotāju emigrāciju, savukārt arvien redzamāk dos pamatu darbaspēka imigrācijas pieaugumam. Vidējā termiņā darbaspēka imigrācijai būs nozīmīga loma sabalansētas darba tirgus attīstības nodrošināšanā, tāpēc migrācijas politikai jābūt pārdomātai, kas no vienas puses nodrošinātu balstu ekonomikas izaugsmei vidējā termiņā, bet neradītu riskus valsts attīstībai ilgtermiņā. Īstermiņā un vidējā termiņā būtiski ir nodrošināt ātru Ukrainas kara bēgļu iekļaušanos Latvijas darba tirgū, jo īpaši nozarēs, kurās vērojams darbaspēka trūkums un kuras nodrošina nozīmīgu ieguldījumu ekonomikā. Ilgtermiņā jāturpina mazināt šķēršļus Latvijas </w:t>
      </w:r>
      <w:proofErr w:type="spellStart"/>
      <w:r w:rsidRPr="4398C881">
        <w:rPr>
          <w:color w:val="000000" w:themeColor="text1"/>
        </w:rPr>
        <w:t>valstspiederīgo</w:t>
      </w:r>
      <w:proofErr w:type="spellEnd"/>
      <w:r w:rsidRPr="4398C881">
        <w:rPr>
          <w:color w:val="000000" w:themeColor="text1"/>
        </w:rPr>
        <w:t xml:space="preserve"> </w:t>
      </w:r>
      <w:proofErr w:type="spellStart"/>
      <w:r w:rsidRPr="4398C881">
        <w:rPr>
          <w:color w:val="000000" w:themeColor="text1"/>
        </w:rPr>
        <w:t>remigrācijai</w:t>
      </w:r>
      <w:proofErr w:type="spellEnd"/>
      <w:r w:rsidRPr="4398C881">
        <w:rPr>
          <w:color w:val="000000" w:themeColor="text1"/>
        </w:rPr>
        <w:t>, nodrošinot mājokļa pieejamību, prasmēm atbilstošas nodarbinātības iespējas un ātru piekļuvi izglītības un veselības sistēmai.</w:t>
      </w:r>
    </w:p>
    <w:p w14:paraId="57E6653C" w14:textId="0E3D255B" w:rsidR="000629C8" w:rsidRDefault="000629C8" w:rsidP="000629C8">
      <w:pPr>
        <w:jc w:val="both"/>
        <w:rPr>
          <w:color w:val="000000"/>
          <w:szCs w:val="20"/>
        </w:rPr>
      </w:pPr>
      <w:r w:rsidRPr="000629C8">
        <w:rPr>
          <w:color w:val="000000"/>
          <w:szCs w:val="20"/>
        </w:rPr>
        <w:t>Vienlaikus, pieaugot trešo valstu nodarbināto skaitam Latvijā, būtiski ir mazināt šo nodarbināto diskriminācijas riskus darba tirgū, tā kā gan zemākas atalgojuma likmes piemērošana viesstrādniekiem, gan ilgākas darba stundas, kupumā samazina Latvijas darba tirgus konkurētspēju pret citām ES valstīm attiecībā uz darbaspēka piesaisti. Kopumā zemākas stundas atalgojuma likmes par līdzīga apjoma un satura darbu viesstrādniekiem, salīdzinot ar vietējiem nodarbinātajiem, kopumā negatīvi ietekmē vidējo atalgojumu tautsaimniecībā, jo īpaši nozarēs un profesijās ar augstu viesstrādnieku īpatsvaru, kas potenciāli var sekmēt vietējā darbaspēka aizplūšanu uz augstāka atalgojuma zonām citās ES valstīs.</w:t>
      </w:r>
    </w:p>
    <w:p w14:paraId="5ACECCB4" w14:textId="77777777" w:rsidR="00612950" w:rsidRPr="000629C8" w:rsidRDefault="00612950" w:rsidP="000629C8">
      <w:pPr>
        <w:jc w:val="both"/>
        <w:rPr>
          <w:color w:val="000000"/>
          <w:szCs w:val="20"/>
        </w:rPr>
      </w:pPr>
    </w:p>
    <w:p w14:paraId="39F58C4F" w14:textId="77777777" w:rsidR="003751AF" w:rsidRPr="00F32036" w:rsidRDefault="003751AF" w:rsidP="003751AF">
      <w:pPr>
        <w:pStyle w:val="Heading2"/>
        <w:rPr>
          <w:color w:val="000000" w:themeColor="text1"/>
        </w:rPr>
      </w:pPr>
      <w:bookmarkStart w:id="63" w:name="_Toc106366803"/>
      <w:r w:rsidRPr="00F32036">
        <w:rPr>
          <w:color w:val="000000" w:themeColor="text1"/>
        </w:rPr>
        <w:t>3.3. Darbaspēka pieprasījums un piedāvājums</w:t>
      </w:r>
      <w:bookmarkEnd w:id="62"/>
      <w:bookmarkEnd w:id="63"/>
    </w:p>
    <w:p w14:paraId="767FB95B" w14:textId="77777777" w:rsidR="009A0130" w:rsidRPr="003B4CDA" w:rsidRDefault="009A0130" w:rsidP="009A0130">
      <w:pPr>
        <w:pStyle w:val="Heading3"/>
        <w:rPr>
          <w:sz w:val="24"/>
        </w:rPr>
      </w:pPr>
      <w:bookmarkStart w:id="64" w:name="_Toc106366804"/>
      <w:r w:rsidRPr="003B4CDA">
        <w:rPr>
          <w:sz w:val="24"/>
        </w:rPr>
        <w:t>3.3.1. Darbaspēka pieprasījuma prognozes</w:t>
      </w:r>
      <w:bookmarkEnd w:id="64"/>
    </w:p>
    <w:p w14:paraId="1CF6D87D" w14:textId="29A35458" w:rsidR="009A0130" w:rsidRDefault="009A0130" w:rsidP="009A0130">
      <w:pPr>
        <w:jc w:val="both"/>
        <w:rPr>
          <w:szCs w:val="20"/>
        </w:rPr>
      </w:pPr>
      <w:r w:rsidRPr="003B4CDA">
        <w:rPr>
          <w:szCs w:val="20"/>
        </w:rPr>
        <w:t>Viens no svarīgākajiem ekonomiskās paradigmas maiņas jautājumiem ir ražošanas nozaru attīstības iespējas, kas savukārt ir atkarīgas no spējas veikt strukturālās izmaiņas nozarē. Tas ir nepieciešams priekšnosacījums, lai stiprinātu Latvijas konkurētspējīgās pozīcijas globālajos tirgos, vienlaikus palielinot eksporta groza ienesīgumu. Turpmākā izaugsmē arvien lielāka nozīme būs darba tirgus kvalitatīviem uzlabojumiem, lai reaģētu uz galvenajiem tautsaimniecības attīstības izaicinājumiem – demogrāfiju, darbaspēka izmaksu kāpumu, kā arī prasmju piedāvājuma neatbilstību pieprasījumam.</w:t>
      </w:r>
    </w:p>
    <w:p w14:paraId="40FEE97A" w14:textId="2E91ABF7" w:rsidR="00980FD1" w:rsidRDefault="00980FD1" w:rsidP="00EA05F6">
      <w:pPr>
        <w:jc w:val="both"/>
      </w:pPr>
      <w:r>
        <w:t xml:space="preserve">Pakāpeniski uzlabojoties epidemioloģiskajai situācijai pēc Covid-19 pandēmijas uzliesmojuma vērojami uzlabojumi arī darba tirgū, tomēr, ņemot vērā ģeopolitiskās situācijas saasināšanos, sagaidāms, ka situācija darba tirgū 2022. gadā būs nogaidoša. Latvijas ekonomikas noturība pret ārējiem šokiem iepriekšējos gados ir ievērojami nostiprinājusies, jo īpaši finanšu sektorā, tādejādi sankciju un eksporta tirgus sašaurināšanās tiešā ietekme uz Latvijas darba tirgu sagaidāma ierobežota. 2022. gadā darba tirgu turpinās balstīt gan Covid-19 pandēmijas ieviesto ierobežojumu pakāpeniska atcelšana, gan arī jau uzsākto valsts infrastruktūras objektu būvniecība. Paredzams, ka 2022. gadā nodarbināto skaits var pieaugt par 0,9% jeb 8 tūkst., bet bezdarba līmenis var </w:t>
      </w:r>
      <w:r w:rsidRPr="005C51E4">
        <w:t xml:space="preserve">samazināties līdz 7,1%. </w:t>
      </w:r>
      <w:r w:rsidRPr="000C591A">
        <w:t>Pieaugums būs vērojams gandrīz visās tautsaimniecības nozarēs, izņemot tirdzniecībā, transport</w:t>
      </w:r>
      <w:r w:rsidR="007E34D7" w:rsidRPr="000C591A">
        <w:t>a pakalpojumos</w:t>
      </w:r>
      <w:r w:rsidRPr="000C591A">
        <w:t xml:space="preserve"> un apstrādes rūpniecīb</w:t>
      </w:r>
      <w:r w:rsidR="005C51E4">
        <w:t>u</w:t>
      </w:r>
      <w:r w:rsidR="007E34D7" w:rsidRPr="000C591A">
        <w:t>.</w:t>
      </w:r>
      <w:r w:rsidRPr="000C591A">
        <w:t xml:space="preserve"> </w:t>
      </w:r>
      <w:r w:rsidR="007E34D7" w:rsidRPr="000C591A">
        <w:t xml:space="preserve">Tāpat </w:t>
      </w:r>
      <w:r w:rsidRPr="000C591A">
        <w:t>paredzams</w:t>
      </w:r>
      <w:r w:rsidR="007E34D7" w:rsidRPr="000C591A">
        <w:t xml:space="preserve">, ka varētu pieaugt </w:t>
      </w:r>
      <w:r w:rsidRPr="000C591A">
        <w:t xml:space="preserve"> iedzīvotāju ekonomiskā aktivitāte.</w:t>
      </w:r>
      <w:r w:rsidRPr="005C51E4">
        <w:t xml:space="preserve"> Ilgākā termiņā, lai gan pieauguma tempi ir sa</w:t>
      </w:r>
      <w:r w:rsidRPr="00660E02">
        <w:t>gaidāmi salīdzinoši strauji, tomēr pieprasījums pēc darbaspēka paliks gandrīz nemainīgs un dažās nozarēs vēl vairāk samazināsies, jo izaugsmei galvenokārt jābalstās uz produktivitātes pieaugumu. Īpaši tas attiecas uz tirgojamajām nozarēm un galvenokārt aps</w:t>
      </w:r>
      <w:r w:rsidRPr="00DE0237">
        <w:t>trādes rūpniecību, kas darbojas atvērtos preču un</w:t>
      </w:r>
      <w:r>
        <w:t xml:space="preserve"> pakalpojumu tirgos, kur izšķiroša nozīme ir konkurētspējai. Ņemot vērā gan Covid-19 pandēmijas, gan Krievijas iebrukuma Ukrainā ietekmi, sagaidāms, ka kopumā tautsaimniecībā pieprasījums pēc darbaspēka 2030. gadā būs par 2,2% zemāks par 2019. gada līmeni, bet par 3% augstāks par 2021. gada līmeni. Savukārt 2040. gadā, salīdzinot ar 2019. gadu, darbaspēka pieprasījums būs samazinājies par 3,4%, bet, salīdzinot ar 2021. gadu – pieaudzis par 1,7%, kas skaidrojams ar nodarbināto skaita samazinājumu no 2031. līdz 2040. gadam. </w:t>
      </w:r>
      <w:bookmarkStart w:id="65" w:name="_Hlk103807990"/>
      <w:r>
        <w:t>Darba iespējas veidosies galvenokārt dēļ aizvietojošā pieprasījuma, esošajam darbaspēkam pensionējoties vai atstājot darba tirgu. Demogrāfijas tendences un pensionēšanās vecums ir galvenie faktori, kas ietekmē darba tirgu pametušo iedzīvotāju skaita izmaiņas un aizvietojošā darbaspēka pieprasījuma pieaugumu.</w:t>
      </w:r>
      <w:bookmarkEnd w:id="65"/>
    </w:p>
    <w:p w14:paraId="44DBF3C6" w14:textId="12D1E22F" w:rsidR="009A0130" w:rsidRPr="003B4CDA" w:rsidRDefault="009A0130" w:rsidP="00EA05F6">
      <w:pPr>
        <w:jc w:val="right"/>
        <w:rPr>
          <w:szCs w:val="20"/>
        </w:rPr>
      </w:pPr>
      <w:r w:rsidRPr="003B4CDA">
        <w:rPr>
          <w:szCs w:val="20"/>
        </w:rPr>
        <w:lastRenderedPageBreak/>
        <w:t>3.</w:t>
      </w:r>
      <w:r w:rsidR="001179C2">
        <w:rPr>
          <w:szCs w:val="20"/>
        </w:rPr>
        <w:t>8</w:t>
      </w:r>
      <w:r w:rsidRPr="003B4CDA">
        <w:rPr>
          <w:szCs w:val="20"/>
        </w:rPr>
        <w:t>. attēls</w:t>
      </w:r>
    </w:p>
    <w:p w14:paraId="4523CDE5" w14:textId="77777777" w:rsidR="009A0130" w:rsidRPr="003B4CDA" w:rsidRDefault="009A0130" w:rsidP="009A0130">
      <w:pPr>
        <w:spacing w:after="120"/>
        <w:jc w:val="center"/>
        <w:rPr>
          <w:rFonts w:ascii="Segoe UI Light" w:hAnsi="Segoe UI Light"/>
          <w:i/>
          <w:sz w:val="16"/>
          <w:szCs w:val="28"/>
        </w:rPr>
      </w:pPr>
      <w:r w:rsidRPr="003B4CDA">
        <w:rPr>
          <w:rFonts w:ascii="Segoe UI Light" w:hAnsi="Segoe UI Light"/>
          <w:b/>
          <w:sz w:val="18"/>
          <w:szCs w:val="26"/>
        </w:rPr>
        <w:t>IKP, produktivitātes un darbaspēka pieprasījuma izmaiņas</w:t>
      </w:r>
      <w:r w:rsidRPr="003B4CDA">
        <w:rPr>
          <w:rFonts w:ascii="Segoe UI Light" w:hAnsi="Segoe UI Light"/>
          <w:b/>
          <w:sz w:val="18"/>
          <w:szCs w:val="26"/>
        </w:rPr>
        <w:br/>
      </w:r>
      <w:r w:rsidRPr="003B4CDA">
        <w:rPr>
          <w:rFonts w:ascii="Segoe UI Light" w:hAnsi="Segoe UI Light"/>
          <w:i/>
          <w:sz w:val="16"/>
          <w:szCs w:val="28"/>
        </w:rPr>
        <w:t>20</w:t>
      </w:r>
      <w:r>
        <w:rPr>
          <w:rFonts w:ascii="Segoe UI Light" w:hAnsi="Segoe UI Light"/>
          <w:i/>
          <w:sz w:val="16"/>
          <w:szCs w:val="28"/>
        </w:rPr>
        <w:t>30</w:t>
      </w:r>
      <w:r w:rsidRPr="003B4CDA">
        <w:rPr>
          <w:rFonts w:ascii="Segoe UI Light" w:hAnsi="Segoe UI Light"/>
          <w:i/>
          <w:sz w:val="16"/>
          <w:szCs w:val="28"/>
        </w:rPr>
        <w:t>. gads salīdzinājumā ar 20</w:t>
      </w:r>
      <w:r>
        <w:rPr>
          <w:rFonts w:ascii="Segoe UI Light" w:hAnsi="Segoe UI Light"/>
          <w:i/>
          <w:sz w:val="16"/>
          <w:szCs w:val="28"/>
        </w:rPr>
        <w:t>21</w:t>
      </w:r>
      <w:r w:rsidRPr="003B4CDA">
        <w:rPr>
          <w:rFonts w:ascii="Segoe UI Light" w:hAnsi="Segoe UI Light"/>
          <w:i/>
          <w:sz w:val="16"/>
          <w:szCs w:val="28"/>
        </w:rPr>
        <w:t>. gadu, vidēji gadā, procentos</w:t>
      </w:r>
    </w:p>
    <w:tbl>
      <w:tblPr>
        <w:tblStyle w:val="TableGrid1"/>
        <w:tblW w:w="96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6"/>
        <w:gridCol w:w="2291"/>
        <w:gridCol w:w="184"/>
        <w:gridCol w:w="241"/>
        <w:gridCol w:w="1985"/>
        <w:gridCol w:w="250"/>
        <w:gridCol w:w="175"/>
        <w:gridCol w:w="2301"/>
      </w:tblGrid>
      <w:tr w:rsidR="00415C6E" w:rsidRPr="003B4CDA" w14:paraId="677BE669" w14:textId="77777777" w:rsidTr="00D209BD">
        <w:tc>
          <w:tcPr>
            <w:tcW w:w="2246" w:type="dxa"/>
          </w:tcPr>
          <w:p w14:paraId="099E914D" w14:textId="77777777" w:rsidR="009A0130" w:rsidRPr="003B4CDA" w:rsidRDefault="009A0130" w:rsidP="00D209BD">
            <w:pPr>
              <w:jc w:val="center"/>
              <w:rPr>
                <w:rFonts w:ascii="Segoe UI Light" w:hAnsi="Segoe UI Light"/>
                <w:bCs/>
                <w:sz w:val="16"/>
                <w:szCs w:val="18"/>
              </w:rPr>
            </w:pPr>
          </w:p>
        </w:tc>
        <w:tc>
          <w:tcPr>
            <w:tcW w:w="2291" w:type="dxa"/>
            <w:vAlign w:val="center"/>
          </w:tcPr>
          <w:p w14:paraId="2338F8E9" w14:textId="77777777" w:rsidR="009A0130" w:rsidRPr="003B4CDA" w:rsidRDefault="009A0130" w:rsidP="00EA05F6">
            <w:pPr>
              <w:spacing w:after="120"/>
              <w:jc w:val="center"/>
              <w:rPr>
                <w:rFonts w:ascii="Segoe UI Light" w:hAnsi="Segoe UI Light"/>
                <w:sz w:val="16"/>
                <w:szCs w:val="18"/>
              </w:rPr>
            </w:pPr>
            <w:r w:rsidRPr="003B4CDA">
              <w:rPr>
                <w:rFonts w:ascii="Segoe UI Light" w:hAnsi="Segoe UI Light"/>
                <w:bCs/>
                <w:sz w:val="16"/>
                <w:szCs w:val="18"/>
              </w:rPr>
              <w:t>Nodarbinātības pieaugums</w:t>
            </w:r>
          </w:p>
        </w:tc>
        <w:tc>
          <w:tcPr>
            <w:tcW w:w="425" w:type="dxa"/>
            <w:gridSpan w:val="2"/>
            <w:vAlign w:val="center"/>
          </w:tcPr>
          <w:p w14:paraId="5BB1D67D" w14:textId="77777777" w:rsidR="009A0130" w:rsidRPr="003B4CDA" w:rsidRDefault="009A0130" w:rsidP="00EA05F6">
            <w:pPr>
              <w:spacing w:after="120"/>
              <w:jc w:val="center"/>
              <w:rPr>
                <w:rFonts w:ascii="Segoe UI Light" w:hAnsi="Segoe UI Light"/>
                <w:sz w:val="16"/>
                <w:szCs w:val="18"/>
              </w:rPr>
            </w:pPr>
            <w:r w:rsidRPr="003B4CDA">
              <w:rPr>
                <w:rFonts w:ascii="Segoe UI Light" w:hAnsi="Segoe UI Light"/>
                <w:sz w:val="16"/>
                <w:szCs w:val="18"/>
              </w:rPr>
              <w:t>+</w:t>
            </w:r>
          </w:p>
        </w:tc>
        <w:tc>
          <w:tcPr>
            <w:tcW w:w="1985" w:type="dxa"/>
            <w:vAlign w:val="center"/>
          </w:tcPr>
          <w:p w14:paraId="507E5D10" w14:textId="77777777" w:rsidR="009A0130" w:rsidRPr="003B4CDA" w:rsidRDefault="009A0130" w:rsidP="00EA05F6">
            <w:pPr>
              <w:spacing w:after="120"/>
              <w:jc w:val="center"/>
              <w:rPr>
                <w:rFonts w:ascii="Segoe UI Light" w:hAnsi="Segoe UI Light"/>
                <w:sz w:val="16"/>
                <w:szCs w:val="18"/>
              </w:rPr>
            </w:pPr>
            <w:r w:rsidRPr="003B4CDA">
              <w:rPr>
                <w:rFonts w:ascii="Segoe UI Light" w:hAnsi="Segoe UI Light"/>
                <w:bCs/>
                <w:sz w:val="16"/>
                <w:szCs w:val="18"/>
              </w:rPr>
              <w:t>Produktivitātes pieaugums</w:t>
            </w:r>
          </w:p>
        </w:tc>
        <w:tc>
          <w:tcPr>
            <w:tcW w:w="425" w:type="dxa"/>
            <w:gridSpan w:val="2"/>
            <w:vAlign w:val="center"/>
          </w:tcPr>
          <w:p w14:paraId="1AC51EFC" w14:textId="77777777" w:rsidR="009A0130" w:rsidRPr="003B4CDA" w:rsidRDefault="009A0130" w:rsidP="00EA05F6">
            <w:pPr>
              <w:spacing w:after="120"/>
              <w:jc w:val="center"/>
              <w:rPr>
                <w:rFonts w:ascii="Segoe UI Light" w:hAnsi="Segoe UI Light"/>
                <w:sz w:val="16"/>
                <w:szCs w:val="18"/>
              </w:rPr>
            </w:pPr>
            <w:r w:rsidRPr="003B4CDA">
              <w:rPr>
                <w:rFonts w:ascii="Segoe UI Light" w:hAnsi="Segoe UI Light"/>
                <w:sz w:val="16"/>
                <w:szCs w:val="18"/>
              </w:rPr>
              <w:t>=</w:t>
            </w:r>
          </w:p>
        </w:tc>
        <w:tc>
          <w:tcPr>
            <w:tcW w:w="2301" w:type="dxa"/>
            <w:vAlign w:val="center"/>
          </w:tcPr>
          <w:p w14:paraId="174259CE" w14:textId="77777777" w:rsidR="009A0130" w:rsidRPr="003B4CDA" w:rsidRDefault="009A0130" w:rsidP="00EA05F6">
            <w:pPr>
              <w:spacing w:after="120"/>
              <w:jc w:val="center"/>
              <w:rPr>
                <w:rFonts w:ascii="Segoe UI Light" w:hAnsi="Segoe UI Light"/>
                <w:sz w:val="16"/>
                <w:szCs w:val="18"/>
              </w:rPr>
            </w:pPr>
            <w:r w:rsidRPr="003B4CDA">
              <w:rPr>
                <w:rFonts w:ascii="Segoe UI Light" w:hAnsi="Segoe UI Light"/>
                <w:bCs/>
                <w:sz w:val="16"/>
                <w:szCs w:val="18"/>
              </w:rPr>
              <w:t>IKP pieaugums</w:t>
            </w:r>
          </w:p>
        </w:tc>
      </w:tr>
      <w:tr w:rsidR="008F781E" w:rsidRPr="003B4CDA" w14:paraId="4958CD36" w14:textId="77777777" w:rsidTr="00D209BD">
        <w:trPr>
          <w:trHeight w:val="3815"/>
        </w:trPr>
        <w:tc>
          <w:tcPr>
            <w:tcW w:w="2246" w:type="dxa"/>
          </w:tcPr>
          <w:p w14:paraId="17433B4A" w14:textId="77777777" w:rsidR="009A0130" w:rsidRPr="003B4CDA" w:rsidRDefault="009A0130" w:rsidP="00D209BD">
            <w:pPr>
              <w:spacing w:before="60" w:after="0"/>
              <w:ind w:left="-113" w:right="-57"/>
              <w:jc w:val="right"/>
              <w:rPr>
                <w:rFonts w:ascii="Segoe UI Light" w:hAnsi="Segoe UI Light"/>
                <w:sz w:val="16"/>
                <w:szCs w:val="18"/>
              </w:rPr>
            </w:pPr>
            <w:r w:rsidRPr="003B4CDA">
              <w:rPr>
                <w:rFonts w:ascii="Segoe UI Light" w:hAnsi="Segoe UI Light"/>
                <w:sz w:val="16"/>
                <w:szCs w:val="18"/>
              </w:rPr>
              <w:t>Kopā</w:t>
            </w:r>
          </w:p>
          <w:p w14:paraId="09464401" w14:textId="77777777" w:rsidR="009A0130" w:rsidRPr="003B4CDA" w:rsidRDefault="009A0130" w:rsidP="00980FD1">
            <w:pPr>
              <w:spacing w:after="0"/>
              <w:ind w:left="-113" w:right="-57"/>
              <w:jc w:val="right"/>
              <w:rPr>
                <w:rFonts w:ascii="Segoe UI Light" w:hAnsi="Segoe UI Light"/>
                <w:sz w:val="16"/>
                <w:szCs w:val="18"/>
              </w:rPr>
            </w:pPr>
          </w:p>
          <w:p w14:paraId="67AB7DBA"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Lauksaimniecība, mežsaimniecība, zivsaimniecība</w:t>
            </w:r>
          </w:p>
          <w:p w14:paraId="39033E95"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Apstrādes rūpniecība</w:t>
            </w:r>
          </w:p>
          <w:p w14:paraId="4C84B730"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Pārējā rūpniecība</w:t>
            </w:r>
          </w:p>
          <w:p w14:paraId="1A749D35"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Būvniecība</w:t>
            </w:r>
          </w:p>
          <w:p w14:paraId="06BFBBE5"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Tirdzniecība un izmitināšana</w:t>
            </w:r>
          </w:p>
          <w:p w14:paraId="0497F82B"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Transports un uzglabāšana</w:t>
            </w:r>
          </w:p>
          <w:p w14:paraId="55183108"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Citi komercpakalpojumi</w:t>
            </w:r>
          </w:p>
          <w:p w14:paraId="1C1DEE94" w14:textId="77777777" w:rsidR="009A0130" w:rsidRPr="003B4CDA" w:rsidRDefault="009A0130" w:rsidP="00D209BD">
            <w:pPr>
              <w:spacing w:before="104" w:after="0"/>
              <w:ind w:left="-113" w:right="-57"/>
              <w:jc w:val="right"/>
              <w:rPr>
                <w:rFonts w:ascii="Segoe UI Light" w:hAnsi="Segoe UI Light"/>
                <w:sz w:val="16"/>
                <w:szCs w:val="18"/>
              </w:rPr>
            </w:pPr>
            <w:r w:rsidRPr="003B4CDA">
              <w:rPr>
                <w:rFonts w:ascii="Segoe UI Light" w:hAnsi="Segoe UI Light"/>
                <w:sz w:val="16"/>
                <w:szCs w:val="18"/>
              </w:rPr>
              <w:t>Sabiedriskie pakalpojumi</w:t>
            </w:r>
          </w:p>
        </w:tc>
        <w:tc>
          <w:tcPr>
            <w:tcW w:w="2475" w:type="dxa"/>
            <w:gridSpan w:val="2"/>
          </w:tcPr>
          <w:p w14:paraId="4356621B" w14:textId="77777777" w:rsidR="009A0130" w:rsidRPr="003B4CDA" w:rsidRDefault="009A0130" w:rsidP="00D209BD">
            <w:pPr>
              <w:ind w:left="-113" w:right="-113"/>
              <w:rPr>
                <w:rFonts w:ascii="Segoe UI Light" w:hAnsi="Segoe UI Light"/>
                <w:sz w:val="16"/>
                <w:szCs w:val="18"/>
              </w:rPr>
            </w:pPr>
            <w:r w:rsidRPr="003B4CDA">
              <w:rPr>
                <w:rFonts w:ascii="Segoe UI Light" w:hAnsi="Segoe UI Light"/>
                <w:noProof/>
                <w:sz w:val="16"/>
                <w:szCs w:val="18"/>
                <w:lang w:eastAsia="lv-LV"/>
              </w:rPr>
              <w:drawing>
                <wp:inline distT="0" distB="0" distL="0" distR="0" wp14:anchorId="2FC1199E" wp14:editId="4EAE24E6">
                  <wp:extent cx="1619885" cy="2353586"/>
                  <wp:effectExtent l="0" t="0" r="0" b="8890"/>
                  <wp:docPr id="9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c>
        <w:tc>
          <w:tcPr>
            <w:tcW w:w="2476" w:type="dxa"/>
            <w:gridSpan w:val="3"/>
          </w:tcPr>
          <w:p w14:paraId="63FE8471" w14:textId="77777777" w:rsidR="009A0130" w:rsidRPr="003B4CDA" w:rsidRDefault="009A0130" w:rsidP="00D209BD">
            <w:pPr>
              <w:ind w:left="-113" w:right="-113"/>
              <w:rPr>
                <w:rFonts w:ascii="Segoe UI Light" w:hAnsi="Segoe UI Light"/>
                <w:sz w:val="16"/>
                <w:szCs w:val="18"/>
              </w:rPr>
            </w:pPr>
            <w:r w:rsidRPr="003B4CDA">
              <w:rPr>
                <w:rFonts w:ascii="Segoe UI Light" w:hAnsi="Segoe UI Light"/>
                <w:noProof/>
                <w:sz w:val="16"/>
                <w:szCs w:val="18"/>
                <w:lang w:eastAsia="lv-LV"/>
              </w:rPr>
              <w:drawing>
                <wp:inline distT="0" distB="0" distL="0" distR="0" wp14:anchorId="1873C1F7" wp14:editId="337892AF">
                  <wp:extent cx="1619885" cy="2361537"/>
                  <wp:effectExtent l="0" t="0" r="0" b="1270"/>
                  <wp:docPr id="9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c>
        <w:tc>
          <w:tcPr>
            <w:tcW w:w="2476" w:type="dxa"/>
            <w:gridSpan w:val="2"/>
          </w:tcPr>
          <w:p w14:paraId="362BCCB3" w14:textId="77777777" w:rsidR="009A0130" w:rsidRPr="003B4CDA" w:rsidRDefault="009A0130" w:rsidP="00D209BD">
            <w:pPr>
              <w:ind w:left="-113" w:right="-113"/>
              <w:jc w:val="center"/>
              <w:rPr>
                <w:rFonts w:ascii="Segoe UI Light" w:hAnsi="Segoe UI Light"/>
                <w:sz w:val="16"/>
                <w:szCs w:val="18"/>
              </w:rPr>
            </w:pPr>
            <w:r w:rsidRPr="003B4CDA">
              <w:rPr>
                <w:rFonts w:ascii="Segoe UI Light" w:hAnsi="Segoe UI Light"/>
                <w:noProof/>
                <w:sz w:val="16"/>
                <w:szCs w:val="18"/>
                <w:lang w:eastAsia="lv-LV"/>
              </w:rPr>
              <w:drawing>
                <wp:inline distT="0" distB="0" distL="0" distR="0" wp14:anchorId="053AA098" wp14:editId="20E2D9B1">
                  <wp:extent cx="1656080" cy="2353310"/>
                  <wp:effectExtent l="0" t="0" r="1270" b="889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bl>
    <w:p w14:paraId="6EC576D1" w14:textId="10343EA9" w:rsidR="009A0130" w:rsidRDefault="009A0130" w:rsidP="009A0130">
      <w:pPr>
        <w:spacing w:before="60"/>
        <w:jc w:val="both"/>
        <w:rPr>
          <w:rFonts w:cs="Calibri Light"/>
          <w:sz w:val="12"/>
          <w:szCs w:val="10"/>
        </w:rPr>
      </w:pPr>
      <w:r w:rsidRPr="00980FD1">
        <w:rPr>
          <w:rFonts w:cs="Calibri Light"/>
          <w:sz w:val="12"/>
          <w:szCs w:val="10"/>
        </w:rPr>
        <w:t>Avots: EM prognozes</w:t>
      </w:r>
    </w:p>
    <w:p w14:paraId="3F5481DB" w14:textId="77777777" w:rsidR="00EA05F6" w:rsidRPr="00EA05F6" w:rsidRDefault="00EA05F6" w:rsidP="00EA05F6">
      <w:pPr>
        <w:spacing w:after="0"/>
        <w:jc w:val="both"/>
        <w:rPr>
          <w:rFonts w:cs="Calibri Light"/>
          <w:szCs w:val="18"/>
        </w:rPr>
      </w:pPr>
    </w:p>
    <w:p w14:paraId="15D54937" w14:textId="77777777" w:rsidR="009A0130" w:rsidRPr="00980FD1"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right"/>
        <w:rPr>
          <w:rFonts w:ascii="Segoe UI Light" w:hAnsi="Segoe UI Light"/>
          <w:b/>
          <w:sz w:val="16"/>
          <w:szCs w:val="16"/>
        </w:rPr>
      </w:pPr>
      <w:r w:rsidRPr="00980FD1">
        <w:rPr>
          <w:rFonts w:ascii="Segoe UI Light" w:hAnsi="Segoe UI Light"/>
          <w:b/>
          <w:sz w:val="16"/>
          <w:szCs w:val="16"/>
        </w:rPr>
        <w:t>Prasmju pieprasījuma prognozes Eiropā*</w:t>
      </w:r>
    </w:p>
    <w:p w14:paraId="2208DF17" w14:textId="252672E1" w:rsidR="009A0130"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jc w:val="both"/>
        <w:rPr>
          <w:rFonts w:ascii="Segoe UI Light" w:hAnsi="Segoe UI Light"/>
          <w:sz w:val="16"/>
          <w:szCs w:val="16"/>
        </w:rPr>
      </w:pPr>
      <w:r w:rsidRPr="00AC01DD">
        <w:rPr>
          <w:rFonts w:ascii="Segoe UI Light" w:hAnsi="Segoe UI Light"/>
          <w:sz w:val="16"/>
          <w:szCs w:val="16"/>
        </w:rPr>
        <w:t xml:space="preserve">Saskaņā ar </w:t>
      </w:r>
      <w:proofErr w:type="spellStart"/>
      <w:r w:rsidRPr="00AC01DD">
        <w:rPr>
          <w:rFonts w:ascii="Segoe UI Light" w:hAnsi="Segoe UI Light"/>
          <w:sz w:val="16"/>
          <w:szCs w:val="16"/>
        </w:rPr>
        <w:t>Cedefop</w:t>
      </w:r>
      <w:proofErr w:type="spellEnd"/>
      <w:r w:rsidRPr="00AC01DD">
        <w:rPr>
          <w:rFonts w:ascii="Segoe UI Light" w:hAnsi="Segoe UI Light"/>
          <w:sz w:val="16"/>
          <w:szCs w:val="16"/>
        </w:rPr>
        <w:t xml:space="preserve"> prognozēm, turpmāko situāciju ES darba tirgū ietekmēs ne tikai Covid-19 pandēmijas izplatība un spēja to ierobežot, bet arī nenoteiktība saistībā ar esošo ģeopolitisko stāvokli, Krievijai uzsākot karadarbību Ukrainā. Izmaiņas būs saistītas ar bēgļu migrāciju, piegāžu ķēžu pārrāvumiem, pārtikas pietiekamības jautājumiem un nestabilitāti enerģijas tirgū, kas ietekmēs ne tikai ekonomiku kopumā, bet arī darba tirgu. Izmaiņas veicinās arī straujā tehnoloģiju attīstība, globalizācija, demogrāfijas izmaiņas (novecošanās un iedzīvotāju izglītības līmeņa kāpums) un kurss uz pakalpojumiem balstītu ekonomiku.</w:t>
      </w:r>
    </w:p>
    <w:p w14:paraId="215F860D" w14:textId="77777777" w:rsidR="00980FD1" w:rsidRPr="00980FD1" w:rsidRDefault="00980FD1"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before="120" w:after="120"/>
        <w:jc w:val="center"/>
        <w:rPr>
          <w:rFonts w:ascii="Segoe UI Light" w:hAnsi="Segoe UI Light"/>
          <w:sz w:val="16"/>
          <w:szCs w:val="16"/>
        </w:rPr>
      </w:pPr>
      <w:r w:rsidRPr="00980FD1">
        <w:rPr>
          <w:rFonts w:ascii="Segoe UI Light" w:hAnsi="Segoe UI Light"/>
          <w:b/>
          <w:bCs/>
          <w:sz w:val="16"/>
          <w:szCs w:val="16"/>
        </w:rPr>
        <w:t>Nodarbināto skaita izmaiņas ES sadalījumā pa nozarēm</w:t>
      </w:r>
      <w:r w:rsidRPr="00980FD1">
        <w:rPr>
          <w:rFonts w:ascii="Segoe UI Light" w:hAnsi="Segoe UI Light"/>
          <w:sz w:val="16"/>
          <w:szCs w:val="16"/>
        </w:rPr>
        <w:br/>
        <w:t>2030. gads salīdzinājumā ar 2019. gadu, procentos</w:t>
      </w:r>
    </w:p>
    <w:p w14:paraId="49632E87" w14:textId="77777777" w:rsidR="009A0130" w:rsidRPr="003B4CDA" w:rsidRDefault="009A0130" w:rsidP="006E51D0">
      <w:pPr>
        <w:pBdr>
          <w:top w:val="single" w:sz="4" w:space="6" w:color="auto" w:shadow="1"/>
          <w:left w:val="single" w:sz="4" w:space="6" w:color="auto" w:shadow="1"/>
          <w:bottom w:val="single" w:sz="4" w:space="6" w:color="auto" w:shadow="1"/>
          <w:right w:val="single" w:sz="4" w:space="6" w:color="auto" w:shadow="1"/>
        </w:pBdr>
        <w:shd w:val="clear" w:color="auto" w:fill="E5DFEC"/>
        <w:spacing w:after="0"/>
        <w:jc w:val="center"/>
        <w:rPr>
          <w:rFonts w:ascii="Segoe UI Light" w:hAnsi="Segoe UI Light"/>
          <w:sz w:val="16"/>
          <w:szCs w:val="16"/>
        </w:rPr>
      </w:pPr>
      <w:r w:rsidRPr="00612950">
        <w:rPr>
          <w:noProof/>
          <w:sz w:val="18"/>
          <w:szCs w:val="20"/>
        </w:rPr>
        <w:drawing>
          <wp:inline distT="0" distB="0" distL="0" distR="0" wp14:anchorId="7CB92291" wp14:editId="2E162999">
            <wp:extent cx="4829175" cy="1260000"/>
            <wp:effectExtent l="0" t="0" r="0" b="0"/>
            <wp:docPr id="41" name="Chart 41">
              <a:extLst xmlns:a="http://schemas.openxmlformats.org/drawingml/2006/main">
                <a:ext uri="{FF2B5EF4-FFF2-40B4-BE49-F238E27FC236}">
                  <a16:creationId xmlns:a16="http://schemas.microsoft.com/office/drawing/2014/main" id="{3A55151C-CB6B-4B00-879E-DA9F465BE5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7CFCBB38" w14:textId="77777777" w:rsidR="009A0130" w:rsidRPr="00980FD1" w:rsidRDefault="009A0130" w:rsidP="00980FD1">
      <w:pPr>
        <w:pBdr>
          <w:top w:val="single" w:sz="4" w:space="6" w:color="auto" w:shadow="1"/>
          <w:left w:val="single" w:sz="4" w:space="6" w:color="auto" w:shadow="1"/>
          <w:bottom w:val="single" w:sz="4" w:space="6" w:color="auto" w:shadow="1"/>
          <w:right w:val="single" w:sz="4" w:space="6" w:color="auto" w:shadow="1"/>
        </w:pBdr>
        <w:shd w:val="clear" w:color="auto" w:fill="E5DFEC"/>
        <w:jc w:val="both"/>
        <w:rPr>
          <w:rFonts w:ascii="Segoe UI Light" w:hAnsi="Segoe UI Light"/>
          <w:i/>
          <w:sz w:val="12"/>
          <w:szCs w:val="12"/>
        </w:rPr>
      </w:pPr>
      <w:r w:rsidRPr="00980FD1">
        <w:rPr>
          <w:rFonts w:ascii="Segoe UI Light" w:hAnsi="Segoe UI Light"/>
          <w:sz w:val="12"/>
          <w:szCs w:val="12"/>
        </w:rPr>
        <w:t xml:space="preserve">Avots: </w:t>
      </w:r>
      <w:proofErr w:type="spellStart"/>
      <w:r w:rsidRPr="00980FD1">
        <w:rPr>
          <w:rFonts w:ascii="Segoe UI Light" w:hAnsi="Segoe UI Light"/>
          <w:i/>
          <w:sz w:val="12"/>
          <w:szCs w:val="12"/>
        </w:rPr>
        <w:t>Cedefop</w:t>
      </w:r>
      <w:proofErr w:type="spellEnd"/>
    </w:p>
    <w:p w14:paraId="5B3A3F3E" w14:textId="6F2231B3" w:rsidR="009A0130" w:rsidRPr="003B4C1F"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sz w:val="16"/>
          <w:szCs w:val="16"/>
        </w:rPr>
      </w:pPr>
      <w:r w:rsidRPr="003B4C1F">
        <w:rPr>
          <w:rFonts w:ascii="Segoe UI Light" w:hAnsi="Segoe UI Light"/>
          <w:sz w:val="16"/>
          <w:szCs w:val="16"/>
        </w:rPr>
        <w:t xml:space="preserve">Saskaņā ar </w:t>
      </w:r>
      <w:proofErr w:type="spellStart"/>
      <w:r w:rsidRPr="003B4C1F">
        <w:rPr>
          <w:rFonts w:ascii="Segoe UI Light" w:hAnsi="Segoe UI Light"/>
          <w:sz w:val="16"/>
          <w:szCs w:val="16"/>
        </w:rPr>
        <w:t>Cedefop</w:t>
      </w:r>
      <w:proofErr w:type="spellEnd"/>
      <w:r w:rsidRPr="003B4C1F">
        <w:rPr>
          <w:rFonts w:ascii="Segoe UI Light" w:hAnsi="Segoe UI Light"/>
          <w:sz w:val="16"/>
          <w:szCs w:val="16"/>
        </w:rPr>
        <w:t xml:space="preserve"> prognozēm, 2030.</w:t>
      </w:r>
      <w:r w:rsidR="00A02D2C">
        <w:rPr>
          <w:rFonts w:ascii="Segoe UI Light" w:hAnsi="Segoe UI Light"/>
          <w:sz w:val="16"/>
          <w:szCs w:val="16"/>
        </w:rPr>
        <w:t> </w:t>
      </w:r>
      <w:r w:rsidRPr="003B4C1F">
        <w:rPr>
          <w:rFonts w:ascii="Segoe UI Light" w:hAnsi="Segoe UI Light"/>
          <w:sz w:val="16"/>
          <w:szCs w:val="16"/>
        </w:rPr>
        <w:t>gadā, salīdzinot ar 2021.</w:t>
      </w:r>
      <w:r w:rsidR="00A02D2C">
        <w:rPr>
          <w:rFonts w:ascii="Segoe UI Light" w:hAnsi="Segoe UI Light"/>
          <w:sz w:val="16"/>
          <w:szCs w:val="16"/>
        </w:rPr>
        <w:t> </w:t>
      </w:r>
      <w:r w:rsidRPr="003B4C1F">
        <w:rPr>
          <w:rFonts w:ascii="Segoe UI Light" w:hAnsi="Segoe UI Light"/>
          <w:sz w:val="16"/>
          <w:szCs w:val="16"/>
        </w:rPr>
        <w:t>gadu, nodarbinātība pieaugs par 3,4%. Paredzams, ka nākotnes nodarbinātības pieaugumu noteiks galvenokārt pakalpojumu nozares, kurās līdz 2030.</w:t>
      </w:r>
      <w:r w:rsidR="00E029D7">
        <w:rPr>
          <w:rFonts w:ascii="Segoe UI Light" w:hAnsi="Segoe UI Light"/>
          <w:sz w:val="16"/>
          <w:szCs w:val="16"/>
        </w:rPr>
        <w:t> </w:t>
      </w:r>
      <w:r w:rsidRPr="003B4C1F">
        <w:rPr>
          <w:rFonts w:ascii="Segoe UI Light" w:hAnsi="Segoe UI Light"/>
          <w:sz w:val="16"/>
          <w:szCs w:val="16"/>
        </w:rPr>
        <w:t>gadam strādās apmēram puse no nodarbinātajiem. Pieaugums veidosies galvenokārt dēļ zaļās ekonomikas un automatizācijas. Tomēr, jāņem vērā arī piedāvājuma puses tendences – iedzīvotāju novecošanās un pieaugošais izglītības līmenis.  Sabiedrisko pakalpojumu sektorā visstraujākais nodarbinātības pieaugums paredzams veselības un sociālās aprūpes jomā (pieaugums par 9%) un izglītībā (pieaugums par 6%), savukārt komercpakalpojumu sektorā visstraujākais pieaugums sagaidāms informācijas un komunikācijas pakalpojumu jomā (pieaugums par (9%).</w:t>
      </w:r>
    </w:p>
    <w:p w14:paraId="64992781" w14:textId="2895B865" w:rsidR="009A0130"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sz w:val="16"/>
          <w:szCs w:val="16"/>
        </w:rPr>
      </w:pPr>
      <w:r w:rsidRPr="003B4C1F">
        <w:rPr>
          <w:rFonts w:ascii="Segoe UI Light" w:hAnsi="Segoe UI Light"/>
          <w:sz w:val="16"/>
          <w:szCs w:val="16"/>
        </w:rPr>
        <w:t>Darbaspēka pieprasījuma pieaugums tiek prognozēts arī izmitināšanas un ēdināšanas pakalpojumos (par 10%), kā arī transporta un uzglabāšanas nozarē (par 5%) un būvniecībā (par 5%). Paredzams, ka būvniecībā 2030.</w:t>
      </w:r>
      <w:r w:rsidR="00A02D2C">
        <w:rPr>
          <w:rFonts w:ascii="Segoe UI Light" w:hAnsi="Segoe UI Light"/>
          <w:sz w:val="16"/>
          <w:szCs w:val="16"/>
        </w:rPr>
        <w:t> </w:t>
      </w:r>
      <w:r w:rsidRPr="003B4C1F">
        <w:rPr>
          <w:rFonts w:ascii="Segoe UI Light" w:hAnsi="Segoe UI Light"/>
          <w:sz w:val="16"/>
          <w:szCs w:val="16"/>
        </w:rPr>
        <w:t>gadā strādās apmēram 6% no ES darbaspēka. Būvniecības nozari lielā mērā ietekmēs kurss uz zaļo ekonomiku.</w:t>
      </w:r>
    </w:p>
    <w:p w14:paraId="12CFD489" w14:textId="77777777" w:rsidR="00980FD1" w:rsidRPr="00980FD1" w:rsidRDefault="00980FD1"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0"/>
        <w:jc w:val="both"/>
        <w:rPr>
          <w:rFonts w:ascii="Segoe UI Light" w:hAnsi="Segoe UI Light"/>
          <w:sz w:val="4"/>
          <w:szCs w:val="4"/>
        </w:rPr>
      </w:pPr>
    </w:p>
    <w:p w14:paraId="1FC63F0E" w14:textId="136DB988" w:rsidR="00980FD1" w:rsidRDefault="00980FD1">
      <w:pPr>
        <w:spacing w:after="0"/>
        <w:rPr>
          <w:rFonts w:ascii="Segoe UI Light" w:hAnsi="Segoe UI Light"/>
          <w:sz w:val="16"/>
          <w:szCs w:val="16"/>
        </w:rPr>
      </w:pPr>
      <w:r>
        <w:rPr>
          <w:rFonts w:ascii="Segoe UI Light" w:hAnsi="Segoe UI Light"/>
          <w:sz w:val="16"/>
          <w:szCs w:val="16"/>
        </w:rPr>
        <w:br w:type="page"/>
      </w:r>
    </w:p>
    <w:p w14:paraId="31F60AFA" w14:textId="77777777" w:rsidR="00980FD1" w:rsidRPr="00980FD1" w:rsidRDefault="00980FD1"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right"/>
        <w:rPr>
          <w:rFonts w:ascii="Segoe UI Light" w:hAnsi="Segoe UI Light"/>
          <w:b/>
          <w:bCs/>
          <w:sz w:val="16"/>
          <w:szCs w:val="16"/>
        </w:rPr>
      </w:pPr>
      <w:r w:rsidRPr="00980FD1">
        <w:rPr>
          <w:rFonts w:ascii="Segoe UI Light" w:hAnsi="Segoe UI Light"/>
          <w:b/>
          <w:bCs/>
          <w:sz w:val="16"/>
          <w:szCs w:val="16"/>
        </w:rPr>
        <w:lastRenderedPageBreak/>
        <w:t>Ielikuma turpinājums</w:t>
      </w:r>
    </w:p>
    <w:p w14:paraId="628D74F9" w14:textId="2334E74C" w:rsidR="009A0130"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sz w:val="16"/>
          <w:szCs w:val="16"/>
        </w:rPr>
      </w:pPr>
      <w:r w:rsidRPr="003B4C1F">
        <w:rPr>
          <w:rFonts w:ascii="Segoe UI Light" w:hAnsi="Segoe UI Light"/>
          <w:sz w:val="16"/>
          <w:szCs w:val="16"/>
        </w:rPr>
        <w:t>Straujākais nodarbināto skaita sarukums ir paredzams lauksaimniecības sektorā (par ¼ līdz 2030.</w:t>
      </w:r>
      <w:r w:rsidR="00AD75B1">
        <w:rPr>
          <w:rFonts w:ascii="Segoe UI Light" w:hAnsi="Segoe UI Light"/>
          <w:sz w:val="16"/>
          <w:szCs w:val="16"/>
        </w:rPr>
        <w:t> </w:t>
      </w:r>
      <w:r w:rsidRPr="003B4C1F">
        <w:rPr>
          <w:rFonts w:ascii="Segoe UI Light" w:hAnsi="Segoe UI Light"/>
          <w:sz w:val="16"/>
          <w:szCs w:val="16"/>
        </w:rPr>
        <w:t>gadam), tomēr situācija ir atšķirīga dažādās ES valstīs. Paredzams, ka šajā sektorā 2030.</w:t>
      </w:r>
      <w:r w:rsidR="00AD75B1">
        <w:rPr>
          <w:rFonts w:ascii="Segoe UI Light" w:hAnsi="Segoe UI Light"/>
          <w:sz w:val="16"/>
          <w:szCs w:val="16"/>
        </w:rPr>
        <w:t> </w:t>
      </w:r>
      <w:r w:rsidRPr="003B4C1F">
        <w:rPr>
          <w:rFonts w:ascii="Segoe UI Light" w:hAnsi="Segoe UI Light"/>
          <w:sz w:val="16"/>
          <w:szCs w:val="16"/>
        </w:rPr>
        <w:t xml:space="preserve">gadā strādās 3% no ES darbaspēka. Neliels nodarbināto skaita sarukums paredzams arī rūpniecības nozarēs, no kurām visstraujākais sarukums sagaidāms ieguves rūpniecībā un karjeru izstrādē (par 14%). Arī apstrādes rūpniecībā paredzams neliels nodarbināto skaita sarukums (par 2%). Rūpniecības tendences noteiks robotizācijas attīstība un investīcijas ražošanā. Pieprasījums strauji augs jomās, kas saistītas ar progresīvo rūpniecību un aktivitātēs ar augstu pievienoto vērtību (galvenokārt </w:t>
      </w:r>
      <w:proofErr w:type="spellStart"/>
      <w:r w:rsidRPr="003B4C1F">
        <w:rPr>
          <w:rFonts w:ascii="Segoe UI Light" w:hAnsi="Segoe UI Light"/>
          <w:sz w:val="16"/>
          <w:szCs w:val="16"/>
        </w:rPr>
        <w:t>nanotehnoloģijās</w:t>
      </w:r>
      <w:proofErr w:type="spellEnd"/>
      <w:r w:rsidRPr="003B4C1F">
        <w:rPr>
          <w:rFonts w:ascii="Segoe UI Light" w:hAnsi="Segoe UI Light"/>
          <w:sz w:val="16"/>
          <w:szCs w:val="16"/>
        </w:rPr>
        <w:t xml:space="preserve">, materiālajās zinātnēs, elektronikā, IKT un biotehnoloģijās. Līdz ar to pieaugs darba devēju interese </w:t>
      </w:r>
      <w:proofErr w:type="spellStart"/>
      <w:r w:rsidRPr="003B4C1F">
        <w:rPr>
          <w:rFonts w:ascii="Segoe UI Light" w:hAnsi="Segoe UI Light"/>
          <w:sz w:val="16"/>
          <w:szCs w:val="16"/>
        </w:rPr>
        <w:t>rekrutēt</w:t>
      </w:r>
      <w:proofErr w:type="spellEnd"/>
      <w:r w:rsidRPr="003B4C1F">
        <w:rPr>
          <w:rFonts w:ascii="Segoe UI Light" w:hAnsi="Segoe UI Light"/>
          <w:sz w:val="16"/>
          <w:szCs w:val="16"/>
        </w:rPr>
        <w:t xml:space="preserve"> jaunos darbiniekus ar zināšanām digitālajās tehnoloģijās, datorzinātnēs, cilvēkus ar analītisku domāšanu.</w:t>
      </w:r>
    </w:p>
    <w:p w14:paraId="67CD70FC" w14:textId="28068BB2" w:rsidR="009A0130" w:rsidRDefault="00EA05F6" w:rsidP="006E51D0">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b/>
          <w:bCs/>
          <w:sz w:val="16"/>
          <w:szCs w:val="16"/>
        </w:rPr>
      </w:pPr>
      <w:r>
        <w:rPr>
          <w:rFonts w:ascii="Segoe UI Light" w:hAnsi="Segoe UI Light"/>
          <w:b/>
          <w:bCs/>
          <w:sz w:val="16"/>
          <w:szCs w:val="16"/>
        </w:rPr>
        <w:br/>
      </w:r>
      <w:r w:rsidR="009A0130" w:rsidRPr="00C16EE7">
        <w:rPr>
          <w:rFonts w:ascii="Segoe UI Light" w:hAnsi="Segoe UI Light"/>
          <w:b/>
          <w:bCs/>
          <w:sz w:val="16"/>
          <w:szCs w:val="16"/>
        </w:rPr>
        <w:t>Lielākā daļa jaunas darba iespējas veidosies dēļ aizvietojošā pieprasījuma</w:t>
      </w:r>
    </w:p>
    <w:p w14:paraId="4F746F67" w14:textId="247B7296" w:rsidR="009A0130" w:rsidRDefault="59329422" w:rsidP="00EA05F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Iepriekšējie tehnoloģiju attīstības viļņi ir noveduši pie darba tirgus transformācijas, padarot dažus darba uzdevumus vai profesijas novecojušas un radot arī jaunas darba vietas. Lielākā daļa jaunas darba iespējas līdz 2030.</w:t>
      </w:r>
      <w:r w:rsidR="43B81E46" w:rsidRPr="4398C881">
        <w:rPr>
          <w:rFonts w:ascii="Segoe UI Light" w:hAnsi="Segoe UI Light"/>
          <w:sz w:val="16"/>
          <w:szCs w:val="16"/>
        </w:rPr>
        <w:t> </w:t>
      </w:r>
      <w:r w:rsidRPr="4398C881">
        <w:rPr>
          <w:rFonts w:ascii="Segoe UI Light" w:hAnsi="Segoe UI Light"/>
          <w:sz w:val="16"/>
          <w:szCs w:val="16"/>
        </w:rPr>
        <w:t>gadam veidosies dēļ aizvietojošā pieprasījuma</w:t>
      </w:r>
      <w:r w:rsidR="43B81E46" w:rsidRPr="4398C881">
        <w:rPr>
          <w:rFonts w:ascii="Segoe UI Light" w:hAnsi="Segoe UI Light"/>
          <w:sz w:val="16"/>
          <w:szCs w:val="16"/>
        </w:rPr>
        <w:t> </w:t>
      </w:r>
      <w:r w:rsidRPr="4398C881">
        <w:rPr>
          <w:rFonts w:ascii="Segoe UI Light" w:hAnsi="Segoe UI Light"/>
          <w:sz w:val="16"/>
          <w:szCs w:val="16"/>
        </w:rPr>
        <w:t>– 92% darba iespējas veidosies esošajam darbaspēkam pensionējoties, migrējot vai atstājot darba tirgu. Attiecīgi tikai 8% darba vietas tiks izveidotas no jauna. Summējot gan aizvietojošo pieprasījumu, gan paplašinošo pieprasījumu, līdz 2030</w:t>
      </w:r>
      <w:r w:rsidR="41A5FB73" w:rsidRPr="4398C881">
        <w:rPr>
          <w:rFonts w:ascii="Segoe UI Light" w:hAnsi="Segoe UI Light"/>
          <w:sz w:val="16"/>
          <w:szCs w:val="16"/>
        </w:rPr>
        <w:t>. </w:t>
      </w:r>
      <w:r w:rsidRPr="4398C881">
        <w:rPr>
          <w:rFonts w:ascii="Segoe UI Light" w:hAnsi="Segoe UI Light"/>
          <w:sz w:val="16"/>
          <w:szCs w:val="16"/>
        </w:rPr>
        <w:t xml:space="preserve">gadam tiks aizpildītas gandrīz 110 milj. vakances. </w:t>
      </w:r>
      <w:r w:rsidRPr="4398C881">
        <w:rPr>
          <w:rFonts w:ascii="Segoe UI Light" w:hAnsi="Segoe UI Light"/>
          <w:b/>
          <w:bCs/>
          <w:sz w:val="16"/>
          <w:szCs w:val="16"/>
        </w:rPr>
        <w:t>Puse no jaunajām darba vietām veidosies augstas kvalifikācijas darbos</w:t>
      </w:r>
      <w:r w:rsidRPr="4398C881">
        <w:rPr>
          <w:rFonts w:ascii="Segoe UI Light" w:hAnsi="Segoe UI Light"/>
          <w:sz w:val="16"/>
          <w:szCs w:val="16"/>
        </w:rPr>
        <w:t>, nedaudz mazāk (40%) vidējas kvalifikācijas darbos un tikai 9% zemas kvalifikācijas darbos. Jaunas darba vietas dēļ paplašinošā pieprasījuma galvenokārt veidosies augstas kvalifikācijas profesijās.</w:t>
      </w:r>
    </w:p>
    <w:p w14:paraId="13A1DB16" w14:textId="1BAF05BA" w:rsidR="00980FD1" w:rsidRPr="00980FD1" w:rsidRDefault="00980FD1" w:rsidP="00EA05F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center"/>
        <w:rPr>
          <w:rFonts w:ascii="Segoe UI Light" w:hAnsi="Segoe UI Light"/>
          <w:sz w:val="16"/>
          <w:szCs w:val="16"/>
        </w:rPr>
      </w:pPr>
      <w:r w:rsidRPr="00980FD1">
        <w:rPr>
          <w:rFonts w:ascii="Segoe UI Light" w:hAnsi="Segoe UI Light"/>
          <w:b/>
          <w:bCs/>
          <w:sz w:val="16"/>
          <w:szCs w:val="16"/>
        </w:rPr>
        <w:t>Nākotnes darba iespējas ES līdz 2030. gadam pa profesiju grupām</w:t>
      </w:r>
      <w:r>
        <w:rPr>
          <w:rFonts w:ascii="Segoe UI Light" w:hAnsi="Segoe UI Light"/>
          <w:b/>
          <w:bCs/>
          <w:sz w:val="16"/>
          <w:szCs w:val="16"/>
        </w:rPr>
        <w:br/>
      </w:r>
      <w:r w:rsidRPr="00980FD1">
        <w:rPr>
          <w:rFonts w:ascii="Segoe UI Light" w:hAnsi="Segoe UI Light"/>
          <w:sz w:val="16"/>
          <w:szCs w:val="16"/>
        </w:rPr>
        <w:t>milj.</w:t>
      </w:r>
    </w:p>
    <w:p w14:paraId="40E2A5EC" w14:textId="77777777" w:rsidR="009A0130" w:rsidRDefault="009A0130" w:rsidP="006E51D0">
      <w:pPr>
        <w:pBdr>
          <w:top w:val="single" w:sz="4" w:space="6" w:color="auto" w:shadow="1"/>
          <w:left w:val="single" w:sz="4" w:space="6" w:color="auto" w:shadow="1"/>
          <w:bottom w:val="single" w:sz="4" w:space="6" w:color="auto" w:shadow="1"/>
          <w:right w:val="single" w:sz="4" w:space="6" w:color="auto" w:shadow="1"/>
        </w:pBdr>
        <w:shd w:val="clear" w:color="auto" w:fill="E5DFEC"/>
        <w:spacing w:after="60"/>
        <w:jc w:val="both"/>
        <w:rPr>
          <w:rFonts w:ascii="Segoe UI Light" w:hAnsi="Segoe UI Light"/>
          <w:sz w:val="16"/>
          <w:szCs w:val="16"/>
        </w:rPr>
      </w:pPr>
      <w:r w:rsidRPr="00D249AE">
        <w:rPr>
          <w:noProof/>
        </w:rPr>
        <w:drawing>
          <wp:inline distT="0" distB="0" distL="0" distR="0" wp14:anchorId="18A4247D" wp14:editId="6092AA11">
            <wp:extent cx="5760085" cy="1850745"/>
            <wp:effectExtent l="0" t="0" r="0" b="0"/>
            <wp:docPr id="51" name="Chart 51">
              <a:extLst xmlns:a="http://schemas.openxmlformats.org/drawingml/2006/main">
                <a:ext uri="{FF2B5EF4-FFF2-40B4-BE49-F238E27FC236}">
                  <a16:creationId xmlns:a16="http://schemas.microsoft.com/office/drawing/2014/main" id="{C8550E6F-0660-4D98-9FCA-88C004405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520430F7" w14:textId="77777777" w:rsidR="009A0130"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sz w:val="16"/>
          <w:szCs w:val="16"/>
        </w:rPr>
      </w:pPr>
    </w:p>
    <w:p w14:paraId="05D75298" w14:textId="1AA62326" w:rsidR="009A0130"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sz w:val="16"/>
          <w:szCs w:val="16"/>
        </w:rPr>
      </w:pPr>
      <w:r>
        <w:rPr>
          <w:rFonts w:ascii="Segoe UI Light" w:hAnsi="Segoe UI Light"/>
          <w:sz w:val="16"/>
          <w:szCs w:val="16"/>
        </w:rPr>
        <w:t>V</w:t>
      </w:r>
      <w:r w:rsidRPr="00C16EE7">
        <w:rPr>
          <w:rFonts w:ascii="Segoe UI Light" w:hAnsi="Segoe UI Light"/>
          <w:sz w:val="16"/>
          <w:szCs w:val="16"/>
        </w:rPr>
        <w:t>islielākais jaunu darba iespēju īpatsvars veidosies dažādu vecāko speciālistu profesiju grupās (informācijas un komunikāciju tehnoloģiju vecākie speciālisti, zinātnes un inženierzinātnes vecākie speciālisti, komercdarbības un pārvaldes vecākie speciālisti, tiesību, sociālo un kultūras lietu vecākie speciālisti) un speciālistu profesiju grupās (juridisko, sociālo un kultūras lietu un tām radniecīgu lietu speciālisti un komercdarbības un pārvaldes speciālisti) un vadītāju grupā (administratīvie vadītāji un komercdirektori). Atsevišķās profesiju grupās jaunās darba vietas veidosies tikai dēļ aizvietojošā pieprasījuma – kalpotāji, kvalificēti lauksaimniecības, mežsaimniecības un zivsaimniecības darbinieki un kvalificēti strādnieki un amatnieki.</w:t>
      </w:r>
    </w:p>
    <w:p w14:paraId="4C4ACD09" w14:textId="77777777" w:rsidR="009A0130" w:rsidRPr="00980FD1" w:rsidRDefault="009A0130" w:rsidP="00EA05F6">
      <w:pPr>
        <w:pBdr>
          <w:top w:val="single" w:sz="4" w:space="6" w:color="auto" w:shadow="1"/>
          <w:left w:val="single" w:sz="4" w:space="6" w:color="auto" w:shadow="1"/>
          <w:bottom w:val="single" w:sz="4" w:space="6" w:color="auto" w:shadow="1"/>
          <w:right w:val="single" w:sz="4" w:space="6" w:color="auto" w:shadow="1"/>
        </w:pBdr>
        <w:shd w:val="clear" w:color="auto" w:fill="E5DFEC"/>
        <w:spacing w:after="120"/>
        <w:jc w:val="both"/>
        <w:rPr>
          <w:rFonts w:ascii="Segoe UI Light" w:hAnsi="Segoe UI Light"/>
          <w:b/>
          <w:sz w:val="14"/>
          <w:szCs w:val="16"/>
          <w:u w:val="single"/>
        </w:rPr>
      </w:pPr>
      <w:r w:rsidRPr="00980FD1">
        <w:rPr>
          <w:rFonts w:ascii="Segoe UI Light" w:hAnsi="Segoe UI Light"/>
          <w:sz w:val="12"/>
          <w:szCs w:val="14"/>
        </w:rPr>
        <w:t xml:space="preserve">* </w:t>
      </w:r>
      <w:r w:rsidRPr="00980FD1">
        <w:rPr>
          <w:rFonts w:ascii="Segoe UI Light" w:hAnsi="Segoe UI Light"/>
          <w:i/>
          <w:sz w:val="12"/>
          <w:szCs w:val="14"/>
        </w:rPr>
        <w:t xml:space="preserve">Saskaņā ar </w:t>
      </w:r>
      <w:proofErr w:type="spellStart"/>
      <w:r w:rsidRPr="00980FD1">
        <w:rPr>
          <w:rFonts w:ascii="Segoe UI Light" w:hAnsi="Segoe UI Light"/>
          <w:i/>
          <w:sz w:val="12"/>
          <w:szCs w:val="14"/>
        </w:rPr>
        <w:t>Cedefop</w:t>
      </w:r>
      <w:proofErr w:type="spellEnd"/>
      <w:r w:rsidRPr="00980FD1">
        <w:rPr>
          <w:rFonts w:ascii="Segoe UI Light" w:hAnsi="Segoe UI Light"/>
          <w:i/>
          <w:sz w:val="12"/>
          <w:szCs w:val="14"/>
        </w:rPr>
        <w:t xml:space="preserve"> prognozēm</w:t>
      </w:r>
    </w:p>
    <w:p w14:paraId="6CA8BEB0" w14:textId="75932DB5" w:rsidR="009A0130" w:rsidRDefault="00EA05F6" w:rsidP="4398C881">
      <w:pPr>
        <w:jc w:val="both"/>
        <w:rPr>
          <w:highlight w:val="yellow"/>
        </w:rPr>
      </w:pPr>
      <w:r>
        <w:br/>
      </w:r>
      <w:r w:rsidR="59329422">
        <w:t>Lielu ietekmi uz nodarbinātību atstās arī tehnoloģiskais progress, kura vēl straujāku attīstību ietekmēja Covid-19 izraisītā krīze. Jāņem vērā, ka iepriekšējos gados inovāciju cikli ir kļuvuši daudz ātrāki, lielie dati/</w:t>
      </w:r>
      <w:proofErr w:type="spellStart"/>
      <w:r w:rsidR="59329422">
        <w:t>mākoņskaitļošana</w:t>
      </w:r>
      <w:proofErr w:type="spellEnd"/>
      <w:r w:rsidR="59329422">
        <w:t>, 3D printeri, autonomie transporta līdzekļi un platformu ekonomika ir tikai daļa no inovācijām, kas ir izmainījuši tradicionālos produktu un pakalpojumu tirgus, un atstāj būtisku ietekmi ne tikai uz biznesa modeļiem, bet arī darbaspēka un prasmju pieprasījumu. Paredzams, ka turpmākajos gados arvien vairāk darbavietas saskarsies ar automatizācijas tendencēm, lielākais darbavietu samazinājums sagaidāms profesijās ar lielu manuālo un atkārtojamu darbību īpatsvaru, kā arī specialitātēs, kas saistītas ar tiešo apkalpošanu, piemēram, pārdevēji un kasieri mazumtirdzniecībā, zvanu operatori un līdzīgās profesijas. Automatizācijas tendences ilgtermiņā visvairāk varētu ietekmēt vidējās kvalifikācijas darbavietu skaitu. Jāņem vērā, ka tehnoloģijas polarizē darba tirgu, radot augstas kvalifikācijas, labi apmaksātus darbus no vienas puses, atstājot zemas kvalifikācijas, zemi apmaksātus darbus no otras puses, bet no darba tirgus izstumjot vidējas kvalifikācijas darbus. Vismazāk tehnoloģiju attīstība ietekmēs tās profesijas, kurās nepieciešams augsts izglītības līmenis, augsta sociālā mijiedarbība un spējas vadīt, plānot un koordinēt sarežģīto vidi/apstākļus. Savukārt visvairāk automatizācijai ir pakļautas tās profesijas, kurās nepieciešama salīdzinoši zema līmeņa formālā izglītība vai nav nepieciešams iesaistīties kompleksās sociālās mijiedarbībās, kā arī profesijas, kurās tiek veikts rutīnas manuāls darbs.</w:t>
      </w:r>
    </w:p>
    <w:p w14:paraId="20A85FC6" w14:textId="77777777" w:rsidR="009A0130" w:rsidRPr="003B4CDA" w:rsidRDefault="009A0130" w:rsidP="009A0130">
      <w:pPr>
        <w:jc w:val="both"/>
        <w:rPr>
          <w:szCs w:val="20"/>
        </w:rPr>
      </w:pPr>
      <w:r w:rsidRPr="003B4CDA">
        <w:rPr>
          <w:szCs w:val="20"/>
        </w:rPr>
        <w:lastRenderedPageBreak/>
        <w:t>Darbaspēka pieprasījums līdz 20</w:t>
      </w:r>
      <w:r>
        <w:rPr>
          <w:szCs w:val="20"/>
        </w:rPr>
        <w:t>30</w:t>
      </w:r>
      <w:r w:rsidRPr="003B4CDA">
        <w:rPr>
          <w:szCs w:val="20"/>
        </w:rPr>
        <w:t xml:space="preserve">. gadam pieaugs </w:t>
      </w:r>
      <w:r>
        <w:rPr>
          <w:szCs w:val="20"/>
        </w:rPr>
        <w:t>visās</w:t>
      </w:r>
      <w:r w:rsidRPr="003B4CDA">
        <w:rPr>
          <w:szCs w:val="20"/>
        </w:rPr>
        <w:t xml:space="preserve"> nozarēs</w:t>
      </w:r>
      <w:r>
        <w:rPr>
          <w:szCs w:val="20"/>
        </w:rPr>
        <w:t>, izņemot tirdzniecībā un sabiedriskajos pakalpojumos, bet lauksaimniecībā nemainīsies</w:t>
      </w:r>
      <w:r w:rsidRPr="003B4CDA">
        <w:rPr>
          <w:szCs w:val="20"/>
        </w:rPr>
        <w:t>.</w:t>
      </w:r>
      <w:r w:rsidRPr="003B4CDA">
        <w:t xml:space="preserve"> Savukārt ilgtermiņā pieaugums būs </w:t>
      </w:r>
      <w:r>
        <w:t xml:space="preserve">tikai </w:t>
      </w:r>
      <w:r w:rsidRPr="003B4CDA">
        <w:t xml:space="preserve">komercpakalpojumos, </w:t>
      </w:r>
      <w:r>
        <w:t>būvniecībā un transportā</w:t>
      </w:r>
      <w:r w:rsidRPr="003B4CDA">
        <w:t>, bet apstrādes rūpniecībā saglabāsies 20</w:t>
      </w:r>
      <w:r>
        <w:t>21</w:t>
      </w:r>
      <w:r w:rsidRPr="003B4CDA">
        <w:t>.</w:t>
      </w:r>
      <w:r>
        <w:t> </w:t>
      </w:r>
      <w:r w:rsidRPr="003B4CDA">
        <w:t>gada līmenī.</w:t>
      </w:r>
    </w:p>
    <w:p w14:paraId="766EEFE4" w14:textId="77777777" w:rsidR="009A0130" w:rsidRPr="003B4CDA" w:rsidRDefault="009A0130" w:rsidP="009A0130">
      <w:pPr>
        <w:jc w:val="both"/>
        <w:rPr>
          <w:szCs w:val="20"/>
        </w:rPr>
      </w:pPr>
      <w:r w:rsidRPr="003B4CDA">
        <w:rPr>
          <w:szCs w:val="20"/>
        </w:rPr>
        <w:t xml:space="preserve">Apstrādes rūpniecība ir viena no straujāk augošajām nozarēm. </w:t>
      </w:r>
      <w:r>
        <w:rPr>
          <w:szCs w:val="20"/>
        </w:rPr>
        <w:t>Tomēr</w:t>
      </w:r>
      <w:r w:rsidRPr="003B4CDA">
        <w:rPr>
          <w:szCs w:val="20"/>
        </w:rPr>
        <w:t xml:space="preserve"> pieprasījums pēc darbaspēka</w:t>
      </w:r>
      <w:r>
        <w:rPr>
          <w:szCs w:val="20"/>
        </w:rPr>
        <w:t xml:space="preserve"> pieaugs ļoti mēreni</w:t>
      </w:r>
      <w:r w:rsidRPr="003B4CDA">
        <w:rPr>
          <w:szCs w:val="20"/>
        </w:rPr>
        <w:t xml:space="preserve">. </w:t>
      </w:r>
      <w:r>
        <w:rPr>
          <w:szCs w:val="20"/>
        </w:rPr>
        <w:t>L</w:t>
      </w:r>
      <w:r w:rsidRPr="003B4CDA">
        <w:rPr>
          <w:szCs w:val="20"/>
        </w:rPr>
        <w:t xml:space="preserve">ai vidējā un ilgtermiņā nozare būtu konkurētspējīga, vairāk nekā 3/4 no kopējā nozares pieauguma ir jānodrošina produktivitātes kāpumam – tehnoloģiju </w:t>
      </w:r>
      <w:proofErr w:type="spellStart"/>
      <w:r w:rsidRPr="003B4CDA">
        <w:rPr>
          <w:szCs w:val="20"/>
        </w:rPr>
        <w:t>pārnesei</w:t>
      </w:r>
      <w:proofErr w:type="spellEnd"/>
      <w:r w:rsidRPr="003B4CDA">
        <w:rPr>
          <w:szCs w:val="20"/>
        </w:rPr>
        <w:t xml:space="preserve"> ražošanā, pētniecības attīstīšanai, inovācijai, darbinieku kvalifikācijas un prasmju celšanai. Sagaidāms, ka ilgtermiņā apstrādes rūpniecības izaugsmē lielāku devumu dos vidējo un augsto tehnoloģiju nozares (piemēram, ierīču, mehānismu, elektrisko un optisko iekārtu ražošana u.c.) un relatīvi ieguldījums samazināsies tādām tradicionālajām nozarēm kā kokapstrāde un pārtikas ražošana.</w:t>
      </w:r>
    </w:p>
    <w:p w14:paraId="18F5EA2D" w14:textId="3803EC72" w:rsidR="009A0130" w:rsidRPr="003B4CDA" w:rsidRDefault="009A0130" w:rsidP="00EA05F6">
      <w:pPr>
        <w:jc w:val="right"/>
        <w:rPr>
          <w:szCs w:val="20"/>
        </w:rPr>
      </w:pPr>
      <w:r w:rsidRPr="003B4CDA">
        <w:rPr>
          <w:szCs w:val="20"/>
        </w:rPr>
        <w:t>3.</w:t>
      </w:r>
      <w:r w:rsidR="001179C2">
        <w:rPr>
          <w:szCs w:val="20"/>
        </w:rPr>
        <w:t>9</w:t>
      </w:r>
      <w:r w:rsidRPr="003B4CDA">
        <w:rPr>
          <w:szCs w:val="20"/>
        </w:rPr>
        <w:t>. attēls</w:t>
      </w:r>
    </w:p>
    <w:p w14:paraId="2D258D00" w14:textId="77777777" w:rsidR="009A0130" w:rsidRPr="003B4CDA" w:rsidRDefault="009A0130" w:rsidP="00EA05F6">
      <w:pPr>
        <w:spacing w:after="120"/>
        <w:jc w:val="center"/>
        <w:rPr>
          <w:rFonts w:ascii="Segoe UI Light" w:hAnsi="Segoe UI Light"/>
          <w:i/>
          <w:sz w:val="16"/>
          <w:szCs w:val="26"/>
        </w:rPr>
      </w:pPr>
      <w:r w:rsidRPr="003B4CDA">
        <w:rPr>
          <w:rFonts w:ascii="Segoe UI Light" w:hAnsi="Segoe UI Light"/>
          <w:b/>
          <w:sz w:val="18"/>
          <w:szCs w:val="26"/>
        </w:rPr>
        <w:t>Darbaspēka pieprasījums</w:t>
      </w:r>
      <w:r w:rsidRPr="003B4CDA">
        <w:rPr>
          <w:rFonts w:ascii="Segoe UI Light" w:hAnsi="Segoe UI Light"/>
          <w:b/>
          <w:sz w:val="18"/>
          <w:szCs w:val="26"/>
        </w:rPr>
        <w:br/>
      </w:r>
      <w:r w:rsidRPr="003B4CDA">
        <w:rPr>
          <w:rFonts w:ascii="Segoe UI Light" w:hAnsi="Segoe UI Light"/>
          <w:i/>
          <w:sz w:val="16"/>
          <w:szCs w:val="26"/>
        </w:rPr>
        <w:t>nodarbinātie vecuma grupā 15-74 gadi, tūkstošos</w:t>
      </w:r>
    </w:p>
    <w:p w14:paraId="6BA66DDB" w14:textId="77777777" w:rsidR="00980FD1" w:rsidRDefault="009A0130" w:rsidP="00EA05F6">
      <w:pPr>
        <w:spacing w:after="120"/>
        <w:jc w:val="center"/>
        <w:rPr>
          <w:rFonts w:cs="Calibri Light"/>
          <w:sz w:val="12"/>
          <w:szCs w:val="10"/>
        </w:rPr>
      </w:pPr>
      <w:r w:rsidRPr="003B4CDA">
        <w:rPr>
          <w:rFonts w:ascii="Arial Narrow" w:hAnsi="Arial Narrow"/>
          <w:b/>
          <w:bCs/>
          <w:noProof/>
          <w:lang w:eastAsia="lv-LV"/>
        </w:rPr>
        <w:drawing>
          <wp:inline distT="0" distB="0" distL="0" distR="0" wp14:anchorId="06B209FD" wp14:editId="76CD5BDA">
            <wp:extent cx="2880000" cy="2160000"/>
            <wp:effectExtent l="0" t="0" r="0" b="0"/>
            <wp:docPr id="85"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34973FCE" w14:textId="767B1A21" w:rsidR="009A0130" w:rsidRPr="00980FD1" w:rsidRDefault="009A0130" w:rsidP="00EA05F6">
      <w:pPr>
        <w:ind w:firstLine="2410"/>
        <w:rPr>
          <w:rFonts w:cs="Calibri Light"/>
          <w:sz w:val="12"/>
          <w:szCs w:val="10"/>
        </w:rPr>
      </w:pPr>
      <w:r w:rsidRPr="00980FD1">
        <w:rPr>
          <w:rFonts w:cs="Calibri Light"/>
          <w:sz w:val="12"/>
          <w:szCs w:val="10"/>
        </w:rPr>
        <w:t>Avots: CSP dati 2021. gadam, EM prognozes sākot ar 2022. gadu</w:t>
      </w:r>
    </w:p>
    <w:p w14:paraId="29779ADA" w14:textId="5F6AD7D4" w:rsidR="009A0130" w:rsidRPr="003B4CDA" w:rsidRDefault="00EA05F6" w:rsidP="00980FD1">
      <w:pPr>
        <w:jc w:val="both"/>
      </w:pPr>
      <w:r>
        <w:br/>
      </w:r>
      <w:r w:rsidR="59329422">
        <w:t xml:space="preserve">Lauksaimniecības un mežsaimniecības nozarē, līdzīgi kā vidēji ES, nodarbināto skaits nozarē pakāpeniski samazināsies. 2030. gadā šajā nozarē strādājošo īpatsvars būs 7% no kopējā nodarbināto skaita (saskaņā ar </w:t>
      </w:r>
      <w:proofErr w:type="spellStart"/>
      <w:r w:rsidR="59329422" w:rsidRPr="4398C881">
        <w:rPr>
          <w:i/>
          <w:iCs/>
        </w:rPr>
        <w:t>Cedefop</w:t>
      </w:r>
      <w:proofErr w:type="spellEnd"/>
      <w:r w:rsidR="59329422">
        <w:t xml:space="preserve"> prognozēm, ES aptuveni 3%). 2021. gadā lauksaimniecības un mežsaimniecības nozare veidoja 3,7% no kopējās pievienotās vērtības. Tas nozīmē, ka salīdzinājumā ar citām nozarēm lauksaimniecībā un mežsaimniecībā ir zemāka produktivitāte, kuras pieaugumam turpmākajos gados būs izšķiroša loma nozares izaugsmē.</w:t>
      </w:r>
    </w:p>
    <w:p w14:paraId="7CB8F3E8" w14:textId="77777777" w:rsidR="009A0130" w:rsidRPr="003B4CDA" w:rsidRDefault="009A0130" w:rsidP="00EA05F6">
      <w:pPr>
        <w:jc w:val="right"/>
        <w:rPr>
          <w:szCs w:val="20"/>
        </w:rPr>
      </w:pPr>
      <w:r w:rsidRPr="003B4CDA">
        <w:rPr>
          <w:szCs w:val="20"/>
        </w:rPr>
        <w:t>3.6. tabula</w:t>
      </w:r>
    </w:p>
    <w:p w14:paraId="5E71FBE6" w14:textId="77777777" w:rsidR="009A0130" w:rsidRPr="003B4CDA" w:rsidRDefault="009A0130" w:rsidP="00EA05F6">
      <w:pPr>
        <w:spacing w:after="120"/>
        <w:jc w:val="center"/>
        <w:rPr>
          <w:rFonts w:ascii="Segoe UI Light" w:hAnsi="Segoe UI Light"/>
          <w:i/>
          <w:sz w:val="16"/>
          <w:szCs w:val="26"/>
        </w:rPr>
      </w:pPr>
      <w:r w:rsidRPr="003B4CDA">
        <w:rPr>
          <w:rFonts w:ascii="Segoe UI Light" w:hAnsi="Segoe UI Light"/>
          <w:b/>
          <w:sz w:val="18"/>
          <w:szCs w:val="26"/>
        </w:rPr>
        <w:t>Darbaspēka pieprasījuma izmaiņas pa nozarēm</w:t>
      </w:r>
      <w:r w:rsidRPr="003B4CDA">
        <w:rPr>
          <w:rFonts w:ascii="Segoe UI Light" w:hAnsi="Segoe UI Light"/>
          <w:sz w:val="18"/>
          <w:szCs w:val="26"/>
        </w:rPr>
        <w:br/>
      </w:r>
      <w:r w:rsidRPr="003B4CDA">
        <w:rPr>
          <w:rFonts w:ascii="Segoe UI Light" w:hAnsi="Segoe UI Light"/>
          <w:i/>
          <w:sz w:val="16"/>
          <w:szCs w:val="26"/>
        </w:rPr>
        <w:t>tūkstošos</w:t>
      </w:r>
    </w:p>
    <w:tbl>
      <w:tblPr>
        <w:tblStyle w:val="GridTable5Dark-Accent31"/>
        <w:tblW w:w="92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685"/>
        <w:gridCol w:w="907"/>
        <w:gridCol w:w="907"/>
        <w:gridCol w:w="907"/>
        <w:gridCol w:w="907"/>
        <w:gridCol w:w="964"/>
        <w:gridCol w:w="962"/>
      </w:tblGrid>
      <w:tr w:rsidR="009C6CF4" w:rsidRPr="003B4CDA" w14:paraId="0F259463" w14:textId="77777777" w:rsidTr="00980FD1">
        <w:trPr>
          <w:cnfStyle w:val="100000000000" w:firstRow="1" w:lastRow="0" w:firstColumn="0" w:lastColumn="0" w:oddVBand="0" w:evenVBand="0" w:oddHBand="0" w:evenHBand="0" w:firstRowFirstColumn="0" w:firstRowLastColumn="0" w:lastRowFirstColumn="0" w:lastRowLastColumn="0"/>
          <w:jc w:val="center"/>
        </w:trPr>
        <w:tc>
          <w:tcPr>
            <w:tcW w:w="3685" w:type="dxa"/>
            <w:shd w:val="clear" w:color="auto" w:fill="5F497A" w:themeFill="accent4" w:themeFillShade="BF"/>
            <w:vAlign w:val="center"/>
          </w:tcPr>
          <w:p w14:paraId="55D980B1" w14:textId="77777777" w:rsidR="009A0130" w:rsidRPr="003B4CDA" w:rsidRDefault="009A0130" w:rsidP="00D209BD">
            <w:pPr>
              <w:spacing w:before="40" w:after="40"/>
              <w:jc w:val="center"/>
              <w:rPr>
                <w:rFonts w:ascii="Segoe UI Light" w:hAnsi="Segoe UI Light"/>
                <w:b w:val="0"/>
                <w:color w:val="FFFFFF"/>
                <w:sz w:val="16"/>
                <w:szCs w:val="20"/>
              </w:rPr>
            </w:pPr>
          </w:p>
        </w:tc>
        <w:tc>
          <w:tcPr>
            <w:tcW w:w="907" w:type="dxa"/>
            <w:shd w:val="clear" w:color="auto" w:fill="5F497A" w:themeFill="accent4" w:themeFillShade="BF"/>
            <w:vAlign w:val="center"/>
          </w:tcPr>
          <w:p w14:paraId="142AF3D9"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20</w:t>
            </w:r>
          </w:p>
        </w:tc>
        <w:tc>
          <w:tcPr>
            <w:tcW w:w="907" w:type="dxa"/>
            <w:shd w:val="clear" w:color="auto" w:fill="5F497A" w:themeFill="accent4" w:themeFillShade="BF"/>
            <w:vAlign w:val="center"/>
          </w:tcPr>
          <w:p w14:paraId="4ED994BD"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21</w:t>
            </w:r>
          </w:p>
        </w:tc>
        <w:tc>
          <w:tcPr>
            <w:tcW w:w="907" w:type="dxa"/>
            <w:shd w:val="clear" w:color="auto" w:fill="5F497A" w:themeFill="accent4" w:themeFillShade="BF"/>
            <w:vAlign w:val="center"/>
          </w:tcPr>
          <w:p w14:paraId="0C2BE663"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w:t>
            </w:r>
            <w:r>
              <w:rPr>
                <w:rFonts w:ascii="Segoe UI Light" w:hAnsi="Segoe UI Light"/>
                <w:color w:val="FFFFFF"/>
                <w:sz w:val="16"/>
                <w:szCs w:val="20"/>
              </w:rPr>
              <w:t>30</w:t>
            </w:r>
          </w:p>
        </w:tc>
        <w:tc>
          <w:tcPr>
            <w:tcW w:w="907" w:type="dxa"/>
            <w:shd w:val="clear" w:color="auto" w:fill="5F497A" w:themeFill="accent4" w:themeFillShade="BF"/>
            <w:vAlign w:val="center"/>
          </w:tcPr>
          <w:p w14:paraId="0B3221A2"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2040</w:t>
            </w:r>
          </w:p>
        </w:tc>
        <w:tc>
          <w:tcPr>
            <w:tcW w:w="964" w:type="dxa"/>
            <w:shd w:val="clear" w:color="auto" w:fill="5F497A" w:themeFill="accent4" w:themeFillShade="BF"/>
            <w:vAlign w:val="center"/>
          </w:tcPr>
          <w:p w14:paraId="1D410A23"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Starpība</w:t>
            </w:r>
            <w:r w:rsidRPr="003B4CDA">
              <w:rPr>
                <w:rFonts w:ascii="Segoe UI Light" w:hAnsi="Segoe UI Light"/>
                <w:color w:val="FFFFFF"/>
                <w:sz w:val="16"/>
                <w:szCs w:val="20"/>
              </w:rPr>
              <w:br/>
              <w:t>20</w:t>
            </w:r>
            <w:r>
              <w:rPr>
                <w:rFonts w:ascii="Segoe UI Light" w:hAnsi="Segoe UI Light"/>
                <w:color w:val="FFFFFF"/>
                <w:sz w:val="16"/>
                <w:szCs w:val="20"/>
              </w:rPr>
              <w:t>30</w:t>
            </w:r>
            <w:r w:rsidRPr="003B4CDA">
              <w:rPr>
                <w:rFonts w:ascii="Segoe UI Light" w:hAnsi="Segoe UI Light"/>
                <w:color w:val="FFFFFF"/>
                <w:sz w:val="16"/>
                <w:szCs w:val="20"/>
              </w:rPr>
              <w:t>-20</w:t>
            </w:r>
            <w:r>
              <w:rPr>
                <w:rFonts w:ascii="Segoe UI Light" w:hAnsi="Segoe UI Light"/>
                <w:color w:val="FFFFFF"/>
                <w:sz w:val="16"/>
                <w:szCs w:val="20"/>
              </w:rPr>
              <w:t>21</w:t>
            </w:r>
          </w:p>
        </w:tc>
        <w:tc>
          <w:tcPr>
            <w:tcW w:w="962" w:type="dxa"/>
            <w:shd w:val="clear" w:color="auto" w:fill="5F497A" w:themeFill="accent4" w:themeFillShade="BF"/>
            <w:vAlign w:val="center"/>
          </w:tcPr>
          <w:p w14:paraId="632EA2BA" w14:textId="77777777" w:rsidR="009A0130" w:rsidRPr="003B4CDA" w:rsidRDefault="009A0130" w:rsidP="00D209BD">
            <w:pPr>
              <w:spacing w:before="40" w:after="40"/>
              <w:jc w:val="center"/>
              <w:rPr>
                <w:rFonts w:ascii="Segoe UI Light" w:hAnsi="Segoe UI Light"/>
                <w:color w:val="FFFFFF"/>
                <w:sz w:val="16"/>
                <w:szCs w:val="20"/>
              </w:rPr>
            </w:pPr>
            <w:r w:rsidRPr="003B4CDA">
              <w:rPr>
                <w:rFonts w:ascii="Segoe UI Light" w:hAnsi="Segoe UI Light"/>
                <w:color w:val="FFFFFF"/>
                <w:sz w:val="16"/>
                <w:szCs w:val="20"/>
              </w:rPr>
              <w:t>Starpība</w:t>
            </w:r>
            <w:r w:rsidRPr="003B4CDA">
              <w:rPr>
                <w:rFonts w:ascii="Segoe UI Light" w:hAnsi="Segoe UI Light"/>
                <w:color w:val="FFFFFF"/>
                <w:sz w:val="16"/>
                <w:szCs w:val="20"/>
              </w:rPr>
              <w:br/>
              <w:t>2040-20</w:t>
            </w:r>
            <w:r>
              <w:rPr>
                <w:rFonts w:ascii="Segoe UI Light" w:hAnsi="Segoe UI Light"/>
                <w:color w:val="FFFFFF"/>
                <w:sz w:val="16"/>
                <w:szCs w:val="20"/>
              </w:rPr>
              <w:t>21</w:t>
            </w:r>
          </w:p>
        </w:tc>
      </w:tr>
      <w:tr w:rsidR="009C6CF4" w:rsidRPr="003B4CDA" w14:paraId="4A8C3DB9" w14:textId="77777777" w:rsidTr="00980FD1">
        <w:trPr>
          <w:cnfStyle w:val="000000100000" w:firstRow="0" w:lastRow="0" w:firstColumn="0" w:lastColumn="0" w:oddVBand="0" w:evenVBand="0" w:oddHBand="1" w:evenHBand="0" w:firstRowFirstColumn="0" w:firstRowLastColumn="0" w:lastRowFirstColumn="0" w:lastRowLastColumn="0"/>
          <w:trHeight w:val="227"/>
          <w:jc w:val="center"/>
        </w:trPr>
        <w:tc>
          <w:tcPr>
            <w:tcW w:w="3685" w:type="dxa"/>
            <w:shd w:val="clear" w:color="auto" w:fill="E5DFEC" w:themeFill="accent4" w:themeFillTint="33"/>
          </w:tcPr>
          <w:p w14:paraId="2FBA5323"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Lauksaimniecība, mežsaimniecība, zivsaimniecība</w:t>
            </w:r>
          </w:p>
        </w:tc>
        <w:tc>
          <w:tcPr>
            <w:tcW w:w="907" w:type="dxa"/>
            <w:shd w:val="clear" w:color="auto" w:fill="E5DFEC" w:themeFill="accent4" w:themeFillTint="33"/>
            <w:vAlign w:val="bottom"/>
          </w:tcPr>
          <w:p w14:paraId="1A142FE6" w14:textId="6AD14CCA" w:rsidR="009A0130" w:rsidRPr="003B4CDA" w:rsidRDefault="59329422" w:rsidP="00D209BD">
            <w:pPr>
              <w:tabs>
                <w:tab w:val="decimal" w:pos="447"/>
              </w:tabs>
              <w:spacing w:before="40" w:after="40"/>
              <w:rPr>
                <w:rFonts w:ascii="Segoe UI Light" w:hAnsi="Segoe UI Light"/>
                <w:sz w:val="16"/>
                <w:szCs w:val="16"/>
              </w:rPr>
            </w:pPr>
            <w:r w:rsidRPr="4398C881">
              <w:rPr>
                <w:rFonts w:ascii="Segoe UI Light" w:hAnsi="Segoe UI Light"/>
                <w:sz w:val="16"/>
                <w:szCs w:val="16"/>
              </w:rPr>
              <w:t>64</w:t>
            </w:r>
          </w:p>
        </w:tc>
        <w:tc>
          <w:tcPr>
            <w:tcW w:w="907" w:type="dxa"/>
            <w:shd w:val="clear" w:color="auto" w:fill="E5DFEC" w:themeFill="accent4" w:themeFillTint="33"/>
            <w:vAlign w:val="bottom"/>
          </w:tcPr>
          <w:p w14:paraId="137E374A"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59</w:t>
            </w:r>
          </w:p>
        </w:tc>
        <w:tc>
          <w:tcPr>
            <w:tcW w:w="907" w:type="dxa"/>
            <w:shd w:val="clear" w:color="auto" w:fill="E5DFEC" w:themeFill="accent4" w:themeFillTint="33"/>
            <w:vAlign w:val="bottom"/>
          </w:tcPr>
          <w:p w14:paraId="6C1BD637"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59</w:t>
            </w:r>
          </w:p>
        </w:tc>
        <w:tc>
          <w:tcPr>
            <w:tcW w:w="907" w:type="dxa"/>
            <w:shd w:val="clear" w:color="auto" w:fill="E5DFEC" w:themeFill="accent4" w:themeFillTint="33"/>
            <w:vAlign w:val="bottom"/>
          </w:tcPr>
          <w:p w14:paraId="02F5EF00"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5</w:t>
            </w:r>
            <w:r>
              <w:rPr>
                <w:rFonts w:ascii="Segoe UI Light" w:hAnsi="Segoe UI Light"/>
                <w:sz w:val="16"/>
                <w:szCs w:val="20"/>
              </w:rPr>
              <w:t>5</w:t>
            </w:r>
          </w:p>
        </w:tc>
        <w:tc>
          <w:tcPr>
            <w:tcW w:w="964" w:type="dxa"/>
            <w:shd w:val="clear" w:color="auto" w:fill="E5DFEC" w:themeFill="accent4" w:themeFillTint="33"/>
            <w:vAlign w:val="bottom"/>
          </w:tcPr>
          <w:p w14:paraId="2FDE7F95"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0</w:t>
            </w:r>
          </w:p>
        </w:tc>
        <w:tc>
          <w:tcPr>
            <w:tcW w:w="962" w:type="dxa"/>
            <w:shd w:val="clear" w:color="auto" w:fill="E5DFEC" w:themeFill="accent4" w:themeFillTint="33"/>
            <w:vAlign w:val="bottom"/>
          </w:tcPr>
          <w:p w14:paraId="05D153E5"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w:t>
            </w:r>
          </w:p>
        </w:tc>
      </w:tr>
      <w:tr w:rsidR="009C6CF4" w:rsidRPr="003B4CDA" w14:paraId="7C49A710" w14:textId="77777777" w:rsidTr="4398C881">
        <w:trPr>
          <w:jc w:val="center"/>
        </w:trPr>
        <w:tc>
          <w:tcPr>
            <w:tcW w:w="3685" w:type="dxa"/>
            <w:shd w:val="clear" w:color="auto" w:fill="CCC0D9" w:themeFill="accent4" w:themeFillTint="66"/>
          </w:tcPr>
          <w:p w14:paraId="0128D1A1"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Apstrādes rūpniecība</w:t>
            </w:r>
          </w:p>
        </w:tc>
        <w:tc>
          <w:tcPr>
            <w:tcW w:w="907" w:type="dxa"/>
            <w:shd w:val="clear" w:color="auto" w:fill="CCC0D9" w:themeFill="accent4" w:themeFillTint="66"/>
            <w:vAlign w:val="bottom"/>
          </w:tcPr>
          <w:p w14:paraId="15FEC4CA"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11</w:t>
            </w:r>
            <w:r>
              <w:rPr>
                <w:rFonts w:ascii="Segoe UI Light" w:hAnsi="Segoe UI Light"/>
                <w:sz w:val="16"/>
                <w:szCs w:val="20"/>
              </w:rPr>
              <w:t>5</w:t>
            </w:r>
          </w:p>
        </w:tc>
        <w:tc>
          <w:tcPr>
            <w:tcW w:w="907" w:type="dxa"/>
            <w:shd w:val="clear" w:color="auto" w:fill="CCC0D9" w:themeFill="accent4" w:themeFillTint="66"/>
            <w:vAlign w:val="bottom"/>
          </w:tcPr>
          <w:p w14:paraId="69D02ECE"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109</w:t>
            </w:r>
          </w:p>
        </w:tc>
        <w:tc>
          <w:tcPr>
            <w:tcW w:w="907" w:type="dxa"/>
            <w:shd w:val="clear" w:color="auto" w:fill="CCC0D9" w:themeFill="accent4" w:themeFillTint="66"/>
            <w:vAlign w:val="bottom"/>
          </w:tcPr>
          <w:p w14:paraId="72A08DBB"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11</w:t>
            </w:r>
            <w:r>
              <w:rPr>
                <w:rFonts w:ascii="Segoe UI Light" w:hAnsi="Segoe UI Light"/>
                <w:sz w:val="16"/>
                <w:szCs w:val="20"/>
              </w:rPr>
              <w:t>1</w:t>
            </w:r>
          </w:p>
        </w:tc>
        <w:tc>
          <w:tcPr>
            <w:tcW w:w="907" w:type="dxa"/>
            <w:shd w:val="clear" w:color="auto" w:fill="CCC0D9" w:themeFill="accent4" w:themeFillTint="66"/>
            <w:vAlign w:val="bottom"/>
          </w:tcPr>
          <w:p w14:paraId="146A2EE1"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0</w:t>
            </w:r>
            <w:r w:rsidRPr="003B4CDA">
              <w:rPr>
                <w:rFonts w:ascii="Segoe UI Light" w:hAnsi="Segoe UI Light"/>
                <w:sz w:val="16"/>
                <w:szCs w:val="20"/>
              </w:rPr>
              <w:t>9</w:t>
            </w:r>
          </w:p>
        </w:tc>
        <w:tc>
          <w:tcPr>
            <w:tcW w:w="964" w:type="dxa"/>
            <w:shd w:val="clear" w:color="auto" w:fill="CCC0D9" w:themeFill="accent4" w:themeFillTint="66"/>
            <w:vAlign w:val="bottom"/>
          </w:tcPr>
          <w:p w14:paraId="48952F9A"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w:t>
            </w:r>
          </w:p>
        </w:tc>
        <w:tc>
          <w:tcPr>
            <w:tcW w:w="962" w:type="dxa"/>
            <w:shd w:val="clear" w:color="auto" w:fill="CCC0D9" w:themeFill="accent4" w:themeFillTint="66"/>
            <w:vAlign w:val="bottom"/>
          </w:tcPr>
          <w:p w14:paraId="1E4FF3D3"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0</w:t>
            </w:r>
          </w:p>
        </w:tc>
      </w:tr>
      <w:tr w:rsidR="009C6CF4" w:rsidRPr="003B4CDA" w14:paraId="23CC30C7" w14:textId="77777777" w:rsidTr="4398C881">
        <w:trPr>
          <w:cnfStyle w:val="000000100000" w:firstRow="0" w:lastRow="0" w:firstColumn="0" w:lastColumn="0" w:oddVBand="0" w:evenVBand="0" w:oddHBand="1" w:evenHBand="0" w:firstRowFirstColumn="0" w:firstRowLastColumn="0" w:lastRowFirstColumn="0" w:lastRowLastColumn="0"/>
          <w:jc w:val="center"/>
        </w:trPr>
        <w:tc>
          <w:tcPr>
            <w:tcW w:w="3685" w:type="dxa"/>
            <w:shd w:val="clear" w:color="auto" w:fill="E5DFEC" w:themeFill="accent4" w:themeFillTint="33"/>
          </w:tcPr>
          <w:p w14:paraId="309B009B"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Pārējā rūpniecība</w:t>
            </w:r>
          </w:p>
        </w:tc>
        <w:tc>
          <w:tcPr>
            <w:tcW w:w="907" w:type="dxa"/>
            <w:shd w:val="clear" w:color="auto" w:fill="E5DFEC" w:themeFill="accent4" w:themeFillTint="33"/>
            <w:vAlign w:val="bottom"/>
          </w:tcPr>
          <w:p w14:paraId="45731473"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0</w:t>
            </w:r>
          </w:p>
        </w:tc>
        <w:tc>
          <w:tcPr>
            <w:tcW w:w="907" w:type="dxa"/>
            <w:shd w:val="clear" w:color="auto" w:fill="E5DFEC" w:themeFill="accent4" w:themeFillTint="33"/>
            <w:vAlign w:val="bottom"/>
          </w:tcPr>
          <w:p w14:paraId="6AE446F5"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22</w:t>
            </w:r>
          </w:p>
        </w:tc>
        <w:tc>
          <w:tcPr>
            <w:tcW w:w="907" w:type="dxa"/>
            <w:shd w:val="clear" w:color="auto" w:fill="E5DFEC" w:themeFill="accent4" w:themeFillTint="33"/>
            <w:vAlign w:val="bottom"/>
          </w:tcPr>
          <w:p w14:paraId="52831446"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23</w:t>
            </w:r>
          </w:p>
        </w:tc>
        <w:tc>
          <w:tcPr>
            <w:tcW w:w="907" w:type="dxa"/>
            <w:shd w:val="clear" w:color="auto" w:fill="E5DFEC" w:themeFill="accent4" w:themeFillTint="33"/>
            <w:vAlign w:val="bottom"/>
          </w:tcPr>
          <w:p w14:paraId="09AD913B"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22</w:t>
            </w:r>
          </w:p>
        </w:tc>
        <w:tc>
          <w:tcPr>
            <w:tcW w:w="964" w:type="dxa"/>
            <w:shd w:val="clear" w:color="auto" w:fill="E5DFEC" w:themeFill="accent4" w:themeFillTint="33"/>
            <w:vAlign w:val="bottom"/>
          </w:tcPr>
          <w:p w14:paraId="62A94911"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w:t>
            </w:r>
          </w:p>
        </w:tc>
        <w:tc>
          <w:tcPr>
            <w:tcW w:w="962" w:type="dxa"/>
            <w:shd w:val="clear" w:color="auto" w:fill="E5DFEC" w:themeFill="accent4" w:themeFillTint="33"/>
            <w:vAlign w:val="bottom"/>
          </w:tcPr>
          <w:p w14:paraId="1364F9B4"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w:t>
            </w:r>
          </w:p>
        </w:tc>
      </w:tr>
      <w:tr w:rsidR="009C6CF4" w:rsidRPr="003B4CDA" w14:paraId="4D04DA2E" w14:textId="77777777" w:rsidTr="4398C881">
        <w:trPr>
          <w:jc w:val="center"/>
        </w:trPr>
        <w:tc>
          <w:tcPr>
            <w:tcW w:w="3685" w:type="dxa"/>
            <w:shd w:val="clear" w:color="auto" w:fill="CCC0D9" w:themeFill="accent4" w:themeFillTint="66"/>
          </w:tcPr>
          <w:p w14:paraId="6B781995"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Būvniecība</w:t>
            </w:r>
          </w:p>
        </w:tc>
        <w:tc>
          <w:tcPr>
            <w:tcW w:w="907" w:type="dxa"/>
            <w:shd w:val="clear" w:color="auto" w:fill="CCC0D9" w:themeFill="accent4" w:themeFillTint="66"/>
            <w:vAlign w:val="bottom"/>
          </w:tcPr>
          <w:p w14:paraId="797A5A6B"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7</w:t>
            </w:r>
            <w:r>
              <w:rPr>
                <w:rFonts w:ascii="Segoe UI Light" w:hAnsi="Segoe UI Light"/>
                <w:sz w:val="16"/>
                <w:szCs w:val="20"/>
              </w:rPr>
              <w:t>7</w:t>
            </w:r>
          </w:p>
        </w:tc>
        <w:tc>
          <w:tcPr>
            <w:tcW w:w="907" w:type="dxa"/>
            <w:shd w:val="clear" w:color="auto" w:fill="CCC0D9" w:themeFill="accent4" w:themeFillTint="66"/>
            <w:vAlign w:val="bottom"/>
          </w:tcPr>
          <w:p w14:paraId="65EBAD49"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72</w:t>
            </w:r>
          </w:p>
        </w:tc>
        <w:tc>
          <w:tcPr>
            <w:tcW w:w="907" w:type="dxa"/>
            <w:shd w:val="clear" w:color="auto" w:fill="CCC0D9" w:themeFill="accent4" w:themeFillTint="66"/>
            <w:vAlign w:val="bottom"/>
          </w:tcPr>
          <w:p w14:paraId="1D63B173"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3</w:t>
            </w:r>
          </w:p>
        </w:tc>
        <w:tc>
          <w:tcPr>
            <w:tcW w:w="907" w:type="dxa"/>
            <w:shd w:val="clear" w:color="auto" w:fill="CCC0D9" w:themeFill="accent4" w:themeFillTint="66"/>
            <w:vAlign w:val="bottom"/>
          </w:tcPr>
          <w:p w14:paraId="149B39C9"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79</w:t>
            </w:r>
          </w:p>
        </w:tc>
        <w:tc>
          <w:tcPr>
            <w:tcW w:w="964" w:type="dxa"/>
            <w:shd w:val="clear" w:color="auto" w:fill="CCC0D9" w:themeFill="accent4" w:themeFillTint="66"/>
            <w:vAlign w:val="bottom"/>
          </w:tcPr>
          <w:p w14:paraId="22047F8E"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10</w:t>
            </w:r>
          </w:p>
        </w:tc>
        <w:tc>
          <w:tcPr>
            <w:tcW w:w="962" w:type="dxa"/>
            <w:shd w:val="clear" w:color="auto" w:fill="CCC0D9" w:themeFill="accent4" w:themeFillTint="66"/>
            <w:vAlign w:val="bottom"/>
          </w:tcPr>
          <w:p w14:paraId="219E3285"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7</w:t>
            </w:r>
          </w:p>
        </w:tc>
      </w:tr>
      <w:tr w:rsidR="009C6CF4" w:rsidRPr="003B4CDA" w14:paraId="1E419047" w14:textId="77777777" w:rsidTr="4398C881">
        <w:trPr>
          <w:cnfStyle w:val="000000100000" w:firstRow="0" w:lastRow="0" w:firstColumn="0" w:lastColumn="0" w:oddVBand="0" w:evenVBand="0" w:oddHBand="1" w:evenHBand="0" w:firstRowFirstColumn="0" w:firstRowLastColumn="0" w:lastRowFirstColumn="0" w:lastRowLastColumn="0"/>
          <w:jc w:val="center"/>
        </w:trPr>
        <w:tc>
          <w:tcPr>
            <w:tcW w:w="3685" w:type="dxa"/>
            <w:shd w:val="clear" w:color="auto" w:fill="E5DFEC" w:themeFill="accent4" w:themeFillTint="33"/>
          </w:tcPr>
          <w:p w14:paraId="4E32E396"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Tirdzniecība un izmitināšana</w:t>
            </w:r>
          </w:p>
        </w:tc>
        <w:tc>
          <w:tcPr>
            <w:tcW w:w="907" w:type="dxa"/>
            <w:shd w:val="clear" w:color="auto" w:fill="E5DFEC" w:themeFill="accent4" w:themeFillTint="33"/>
            <w:vAlign w:val="bottom"/>
          </w:tcPr>
          <w:p w14:paraId="1151D945"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60</w:t>
            </w:r>
          </w:p>
        </w:tc>
        <w:tc>
          <w:tcPr>
            <w:tcW w:w="907" w:type="dxa"/>
            <w:shd w:val="clear" w:color="auto" w:fill="E5DFEC" w:themeFill="accent4" w:themeFillTint="33"/>
            <w:vAlign w:val="bottom"/>
          </w:tcPr>
          <w:p w14:paraId="0C08F580"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58</w:t>
            </w:r>
          </w:p>
        </w:tc>
        <w:tc>
          <w:tcPr>
            <w:tcW w:w="907" w:type="dxa"/>
            <w:shd w:val="clear" w:color="auto" w:fill="E5DFEC" w:themeFill="accent4" w:themeFillTint="33"/>
            <w:vAlign w:val="bottom"/>
          </w:tcPr>
          <w:p w14:paraId="4EBEE346"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15</w:t>
            </w:r>
            <w:r>
              <w:rPr>
                <w:rFonts w:ascii="Segoe UI Light" w:hAnsi="Segoe UI Light"/>
                <w:sz w:val="16"/>
                <w:szCs w:val="20"/>
              </w:rPr>
              <w:t>0</w:t>
            </w:r>
          </w:p>
        </w:tc>
        <w:tc>
          <w:tcPr>
            <w:tcW w:w="907" w:type="dxa"/>
            <w:shd w:val="clear" w:color="auto" w:fill="E5DFEC" w:themeFill="accent4" w:themeFillTint="33"/>
            <w:vAlign w:val="bottom"/>
          </w:tcPr>
          <w:p w14:paraId="0C21E1FA"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38</w:t>
            </w:r>
          </w:p>
        </w:tc>
        <w:tc>
          <w:tcPr>
            <w:tcW w:w="964" w:type="dxa"/>
            <w:shd w:val="clear" w:color="auto" w:fill="E5DFEC" w:themeFill="accent4" w:themeFillTint="33"/>
            <w:vAlign w:val="bottom"/>
          </w:tcPr>
          <w:p w14:paraId="0AE6FCBB"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8</w:t>
            </w:r>
          </w:p>
        </w:tc>
        <w:tc>
          <w:tcPr>
            <w:tcW w:w="962" w:type="dxa"/>
            <w:shd w:val="clear" w:color="auto" w:fill="E5DFEC" w:themeFill="accent4" w:themeFillTint="33"/>
            <w:vAlign w:val="bottom"/>
          </w:tcPr>
          <w:p w14:paraId="5A7A3B4B"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0</w:t>
            </w:r>
          </w:p>
        </w:tc>
      </w:tr>
      <w:tr w:rsidR="009C6CF4" w:rsidRPr="003B4CDA" w14:paraId="7AAF0D0A" w14:textId="77777777" w:rsidTr="4398C881">
        <w:trPr>
          <w:jc w:val="center"/>
        </w:trPr>
        <w:tc>
          <w:tcPr>
            <w:tcW w:w="3685" w:type="dxa"/>
            <w:shd w:val="clear" w:color="auto" w:fill="CCC0D9" w:themeFill="accent4" w:themeFillTint="66"/>
          </w:tcPr>
          <w:p w14:paraId="5448BA13"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Transports un uzglabāšana</w:t>
            </w:r>
          </w:p>
        </w:tc>
        <w:tc>
          <w:tcPr>
            <w:tcW w:w="907" w:type="dxa"/>
            <w:shd w:val="clear" w:color="auto" w:fill="CCC0D9" w:themeFill="accent4" w:themeFillTint="66"/>
            <w:vAlign w:val="bottom"/>
          </w:tcPr>
          <w:p w14:paraId="05175348"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69</w:t>
            </w:r>
          </w:p>
        </w:tc>
        <w:tc>
          <w:tcPr>
            <w:tcW w:w="907" w:type="dxa"/>
            <w:shd w:val="clear" w:color="auto" w:fill="CCC0D9" w:themeFill="accent4" w:themeFillTint="66"/>
            <w:vAlign w:val="bottom"/>
          </w:tcPr>
          <w:p w14:paraId="6AE2A59B"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67</w:t>
            </w:r>
          </w:p>
        </w:tc>
        <w:tc>
          <w:tcPr>
            <w:tcW w:w="907" w:type="dxa"/>
            <w:shd w:val="clear" w:color="auto" w:fill="CCC0D9" w:themeFill="accent4" w:themeFillTint="66"/>
            <w:vAlign w:val="bottom"/>
          </w:tcPr>
          <w:p w14:paraId="13F80AD8"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6</w:t>
            </w:r>
            <w:r>
              <w:rPr>
                <w:rFonts w:ascii="Segoe UI Light" w:hAnsi="Segoe UI Light"/>
                <w:sz w:val="16"/>
                <w:szCs w:val="20"/>
              </w:rPr>
              <w:t>7</w:t>
            </w:r>
          </w:p>
        </w:tc>
        <w:tc>
          <w:tcPr>
            <w:tcW w:w="907" w:type="dxa"/>
            <w:shd w:val="clear" w:color="auto" w:fill="CCC0D9" w:themeFill="accent4" w:themeFillTint="66"/>
            <w:vAlign w:val="bottom"/>
          </w:tcPr>
          <w:p w14:paraId="2DC4CAB9"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67</w:t>
            </w:r>
          </w:p>
        </w:tc>
        <w:tc>
          <w:tcPr>
            <w:tcW w:w="964" w:type="dxa"/>
            <w:shd w:val="clear" w:color="auto" w:fill="CCC0D9" w:themeFill="accent4" w:themeFillTint="66"/>
            <w:vAlign w:val="bottom"/>
          </w:tcPr>
          <w:p w14:paraId="71A1F545"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0</w:t>
            </w:r>
          </w:p>
        </w:tc>
        <w:tc>
          <w:tcPr>
            <w:tcW w:w="962" w:type="dxa"/>
            <w:shd w:val="clear" w:color="auto" w:fill="CCC0D9" w:themeFill="accent4" w:themeFillTint="66"/>
            <w:vAlign w:val="bottom"/>
          </w:tcPr>
          <w:p w14:paraId="6D4B3EA4"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w:t>
            </w:r>
          </w:p>
        </w:tc>
      </w:tr>
      <w:tr w:rsidR="009C6CF4" w:rsidRPr="003B4CDA" w14:paraId="1AE68EA8" w14:textId="77777777" w:rsidTr="4398C881">
        <w:trPr>
          <w:cnfStyle w:val="000000100000" w:firstRow="0" w:lastRow="0" w:firstColumn="0" w:lastColumn="0" w:oddVBand="0" w:evenVBand="0" w:oddHBand="1" w:evenHBand="0" w:firstRowFirstColumn="0" w:firstRowLastColumn="0" w:lastRowFirstColumn="0" w:lastRowLastColumn="0"/>
          <w:jc w:val="center"/>
        </w:trPr>
        <w:tc>
          <w:tcPr>
            <w:tcW w:w="3685" w:type="dxa"/>
            <w:shd w:val="clear" w:color="auto" w:fill="E5DFEC" w:themeFill="accent4" w:themeFillTint="33"/>
          </w:tcPr>
          <w:p w14:paraId="28943564"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Citi komercpakalpojumi</w:t>
            </w:r>
          </w:p>
        </w:tc>
        <w:tc>
          <w:tcPr>
            <w:tcW w:w="907" w:type="dxa"/>
            <w:shd w:val="clear" w:color="auto" w:fill="E5DFEC" w:themeFill="accent4" w:themeFillTint="33"/>
            <w:vAlign w:val="bottom"/>
          </w:tcPr>
          <w:p w14:paraId="58D10170"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85</w:t>
            </w:r>
          </w:p>
        </w:tc>
        <w:tc>
          <w:tcPr>
            <w:tcW w:w="907" w:type="dxa"/>
            <w:shd w:val="clear" w:color="auto" w:fill="E5DFEC" w:themeFill="accent4" w:themeFillTint="33"/>
            <w:vAlign w:val="bottom"/>
          </w:tcPr>
          <w:p w14:paraId="653103CC"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17</w:t>
            </w:r>
            <w:r>
              <w:rPr>
                <w:rFonts w:ascii="Segoe UI Light" w:hAnsi="Segoe UI Light"/>
                <w:sz w:val="16"/>
                <w:szCs w:val="20"/>
              </w:rPr>
              <w:t>2</w:t>
            </w:r>
          </w:p>
        </w:tc>
        <w:tc>
          <w:tcPr>
            <w:tcW w:w="907" w:type="dxa"/>
            <w:shd w:val="clear" w:color="auto" w:fill="E5DFEC" w:themeFill="accent4" w:themeFillTint="33"/>
            <w:vAlign w:val="bottom"/>
          </w:tcPr>
          <w:p w14:paraId="246B8858"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203</w:t>
            </w:r>
          </w:p>
        </w:tc>
        <w:tc>
          <w:tcPr>
            <w:tcW w:w="907" w:type="dxa"/>
            <w:shd w:val="clear" w:color="auto" w:fill="E5DFEC" w:themeFill="accent4" w:themeFillTint="33"/>
            <w:vAlign w:val="bottom"/>
          </w:tcPr>
          <w:p w14:paraId="4C5A6CA3"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17</w:t>
            </w:r>
          </w:p>
        </w:tc>
        <w:tc>
          <w:tcPr>
            <w:tcW w:w="964" w:type="dxa"/>
            <w:shd w:val="clear" w:color="auto" w:fill="E5DFEC" w:themeFill="accent4" w:themeFillTint="33"/>
            <w:vAlign w:val="bottom"/>
          </w:tcPr>
          <w:p w14:paraId="44068CCB"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31</w:t>
            </w:r>
          </w:p>
        </w:tc>
        <w:tc>
          <w:tcPr>
            <w:tcW w:w="962" w:type="dxa"/>
            <w:shd w:val="clear" w:color="auto" w:fill="E5DFEC" w:themeFill="accent4" w:themeFillTint="33"/>
            <w:vAlign w:val="bottom"/>
          </w:tcPr>
          <w:p w14:paraId="4A5430F2"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45</w:t>
            </w:r>
          </w:p>
        </w:tc>
      </w:tr>
      <w:tr w:rsidR="009C6CF4" w:rsidRPr="003B4CDA" w14:paraId="2C188861" w14:textId="77777777" w:rsidTr="4398C881">
        <w:trPr>
          <w:jc w:val="center"/>
        </w:trPr>
        <w:tc>
          <w:tcPr>
            <w:tcW w:w="3685" w:type="dxa"/>
            <w:shd w:val="clear" w:color="auto" w:fill="CCC0D9" w:themeFill="accent4" w:themeFillTint="66"/>
          </w:tcPr>
          <w:p w14:paraId="19FB753C" w14:textId="77777777" w:rsidR="009A0130" w:rsidRPr="003B4CDA" w:rsidRDefault="009A0130" w:rsidP="00D209BD">
            <w:pPr>
              <w:spacing w:before="40" w:after="40"/>
              <w:rPr>
                <w:rFonts w:ascii="Segoe UI Light" w:hAnsi="Segoe UI Light"/>
                <w:sz w:val="16"/>
                <w:szCs w:val="20"/>
              </w:rPr>
            </w:pPr>
            <w:r w:rsidRPr="003B4CDA">
              <w:rPr>
                <w:rFonts w:ascii="Segoe UI Light" w:hAnsi="Segoe UI Light"/>
                <w:sz w:val="16"/>
                <w:szCs w:val="20"/>
              </w:rPr>
              <w:t>Sabiedriskie pakalpojumi</w:t>
            </w:r>
          </w:p>
        </w:tc>
        <w:tc>
          <w:tcPr>
            <w:tcW w:w="907" w:type="dxa"/>
            <w:shd w:val="clear" w:color="auto" w:fill="CCC0D9" w:themeFill="accent4" w:themeFillTint="66"/>
            <w:vAlign w:val="bottom"/>
          </w:tcPr>
          <w:p w14:paraId="5ECD4D18" w14:textId="7A7BC050" w:rsidR="009A0130" w:rsidRPr="003B4CDA" w:rsidRDefault="59329422" w:rsidP="00D209BD">
            <w:pPr>
              <w:tabs>
                <w:tab w:val="decimal" w:pos="447"/>
              </w:tabs>
              <w:spacing w:before="40" w:after="40"/>
              <w:rPr>
                <w:rFonts w:ascii="Segoe UI Light" w:hAnsi="Segoe UI Light"/>
                <w:sz w:val="16"/>
                <w:szCs w:val="16"/>
              </w:rPr>
            </w:pPr>
            <w:r w:rsidRPr="4398C881">
              <w:rPr>
                <w:rFonts w:ascii="Segoe UI Light" w:hAnsi="Segoe UI Light"/>
                <w:sz w:val="16"/>
                <w:szCs w:val="16"/>
              </w:rPr>
              <w:t>201</w:t>
            </w:r>
          </w:p>
        </w:tc>
        <w:tc>
          <w:tcPr>
            <w:tcW w:w="907" w:type="dxa"/>
            <w:shd w:val="clear" w:color="auto" w:fill="CCC0D9" w:themeFill="accent4" w:themeFillTint="66"/>
            <w:vAlign w:val="bottom"/>
          </w:tcPr>
          <w:p w14:paraId="05138ACF"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4</w:t>
            </w:r>
          </w:p>
        </w:tc>
        <w:tc>
          <w:tcPr>
            <w:tcW w:w="907" w:type="dxa"/>
            <w:shd w:val="clear" w:color="auto" w:fill="CCC0D9" w:themeFill="accent4" w:themeFillTint="66"/>
            <w:vAlign w:val="bottom"/>
          </w:tcPr>
          <w:p w14:paraId="59C0C8B1"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19</w:t>
            </w:r>
            <w:r>
              <w:rPr>
                <w:rFonts w:ascii="Segoe UI Light" w:hAnsi="Segoe UI Light"/>
                <w:sz w:val="16"/>
                <w:szCs w:val="20"/>
              </w:rPr>
              <w:t>5</w:t>
            </w:r>
          </w:p>
        </w:tc>
        <w:tc>
          <w:tcPr>
            <w:tcW w:w="907" w:type="dxa"/>
            <w:shd w:val="clear" w:color="auto" w:fill="CCC0D9" w:themeFill="accent4" w:themeFillTint="66"/>
            <w:vAlign w:val="bottom"/>
          </w:tcPr>
          <w:p w14:paraId="53E00F8F" w14:textId="77777777" w:rsidR="009A0130" w:rsidRPr="003B4CDA" w:rsidRDefault="009A0130" w:rsidP="00D209BD">
            <w:pPr>
              <w:tabs>
                <w:tab w:val="decimal" w:pos="447"/>
              </w:tabs>
              <w:spacing w:before="40" w:after="40"/>
              <w:rPr>
                <w:rFonts w:ascii="Segoe UI Light" w:hAnsi="Segoe UI Light"/>
                <w:sz w:val="16"/>
                <w:szCs w:val="20"/>
              </w:rPr>
            </w:pPr>
            <w:r>
              <w:rPr>
                <w:rFonts w:ascii="Segoe UI Light" w:hAnsi="Segoe UI Light"/>
                <w:sz w:val="16"/>
                <w:szCs w:val="20"/>
              </w:rPr>
              <w:t>191</w:t>
            </w:r>
          </w:p>
        </w:tc>
        <w:tc>
          <w:tcPr>
            <w:tcW w:w="964" w:type="dxa"/>
            <w:shd w:val="clear" w:color="auto" w:fill="CCC0D9" w:themeFill="accent4" w:themeFillTint="66"/>
            <w:vAlign w:val="bottom"/>
          </w:tcPr>
          <w:p w14:paraId="55C1B1F2"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9</w:t>
            </w:r>
          </w:p>
        </w:tc>
        <w:tc>
          <w:tcPr>
            <w:tcW w:w="962" w:type="dxa"/>
            <w:shd w:val="clear" w:color="auto" w:fill="CCC0D9" w:themeFill="accent4" w:themeFillTint="66"/>
            <w:vAlign w:val="bottom"/>
          </w:tcPr>
          <w:p w14:paraId="02D47852" w14:textId="77777777" w:rsidR="009A0130" w:rsidRPr="003B4CDA" w:rsidRDefault="009A0130" w:rsidP="00D209BD">
            <w:pPr>
              <w:tabs>
                <w:tab w:val="decimal" w:pos="447"/>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w:t>
            </w:r>
          </w:p>
        </w:tc>
      </w:tr>
      <w:tr w:rsidR="009C6CF4" w:rsidRPr="003B4CDA" w14:paraId="31D47846" w14:textId="77777777" w:rsidTr="4398C881">
        <w:trPr>
          <w:cnfStyle w:val="000000100000" w:firstRow="0" w:lastRow="0" w:firstColumn="0" w:lastColumn="0" w:oddVBand="0" w:evenVBand="0" w:oddHBand="1" w:evenHBand="0" w:firstRowFirstColumn="0" w:firstRowLastColumn="0" w:lastRowFirstColumn="0" w:lastRowLastColumn="0"/>
          <w:jc w:val="center"/>
        </w:trPr>
        <w:tc>
          <w:tcPr>
            <w:tcW w:w="3685" w:type="dxa"/>
            <w:shd w:val="clear" w:color="auto" w:fill="E5DFEC" w:themeFill="accent4" w:themeFillTint="33"/>
          </w:tcPr>
          <w:p w14:paraId="4434B99F" w14:textId="77777777" w:rsidR="009A0130" w:rsidRPr="003B4CDA" w:rsidRDefault="009A0130" w:rsidP="00D209BD">
            <w:pPr>
              <w:spacing w:before="40" w:after="40"/>
              <w:rPr>
                <w:rFonts w:ascii="Segoe UI Light" w:hAnsi="Segoe UI Light"/>
                <w:b/>
                <w:sz w:val="16"/>
                <w:szCs w:val="20"/>
              </w:rPr>
            </w:pPr>
            <w:r w:rsidRPr="003B4CDA">
              <w:rPr>
                <w:rFonts w:ascii="Segoe UI Light" w:hAnsi="Segoe UI Light"/>
                <w:b/>
                <w:sz w:val="16"/>
                <w:szCs w:val="20"/>
              </w:rPr>
              <w:t>Kopā</w:t>
            </w:r>
          </w:p>
        </w:tc>
        <w:tc>
          <w:tcPr>
            <w:tcW w:w="907" w:type="dxa"/>
            <w:shd w:val="clear" w:color="auto" w:fill="E5DFEC" w:themeFill="accent4" w:themeFillTint="33"/>
            <w:vAlign w:val="bottom"/>
          </w:tcPr>
          <w:p w14:paraId="35C1E513" w14:textId="77777777" w:rsidR="009A0130" w:rsidRPr="003B4CDA" w:rsidRDefault="009A0130" w:rsidP="00D209BD">
            <w:pPr>
              <w:tabs>
                <w:tab w:val="decimal" w:pos="447"/>
              </w:tabs>
              <w:spacing w:before="40" w:after="40"/>
              <w:rPr>
                <w:rFonts w:ascii="Segoe UI Light" w:hAnsi="Segoe UI Light"/>
                <w:b/>
                <w:sz w:val="16"/>
                <w:szCs w:val="20"/>
              </w:rPr>
            </w:pPr>
            <w:r>
              <w:rPr>
                <w:rFonts w:ascii="Segoe UI Light" w:hAnsi="Segoe UI Light"/>
                <w:b/>
                <w:sz w:val="16"/>
                <w:szCs w:val="20"/>
              </w:rPr>
              <w:t>893</w:t>
            </w:r>
          </w:p>
        </w:tc>
        <w:tc>
          <w:tcPr>
            <w:tcW w:w="907" w:type="dxa"/>
            <w:shd w:val="clear" w:color="auto" w:fill="E5DFEC" w:themeFill="accent4" w:themeFillTint="33"/>
            <w:vAlign w:val="bottom"/>
          </w:tcPr>
          <w:p w14:paraId="6A7DDB59" w14:textId="77777777" w:rsidR="009A0130" w:rsidRPr="003B4CDA" w:rsidRDefault="009A0130" w:rsidP="00D209BD">
            <w:pPr>
              <w:tabs>
                <w:tab w:val="decimal" w:pos="447"/>
              </w:tabs>
              <w:spacing w:before="40" w:after="40"/>
              <w:rPr>
                <w:rFonts w:ascii="Segoe UI Light" w:hAnsi="Segoe UI Light"/>
                <w:b/>
                <w:sz w:val="16"/>
                <w:szCs w:val="20"/>
              </w:rPr>
            </w:pPr>
            <w:r>
              <w:rPr>
                <w:rFonts w:ascii="Segoe UI Light" w:hAnsi="Segoe UI Light"/>
                <w:b/>
                <w:sz w:val="16"/>
                <w:szCs w:val="20"/>
              </w:rPr>
              <w:t>864</w:t>
            </w:r>
          </w:p>
        </w:tc>
        <w:tc>
          <w:tcPr>
            <w:tcW w:w="907" w:type="dxa"/>
            <w:shd w:val="clear" w:color="auto" w:fill="E5DFEC" w:themeFill="accent4" w:themeFillTint="33"/>
            <w:vAlign w:val="bottom"/>
          </w:tcPr>
          <w:p w14:paraId="7954D02D" w14:textId="77777777" w:rsidR="009A0130" w:rsidRPr="003B4CDA" w:rsidRDefault="009A0130" w:rsidP="00D209BD">
            <w:pPr>
              <w:tabs>
                <w:tab w:val="decimal" w:pos="447"/>
              </w:tabs>
              <w:spacing w:before="40" w:after="40"/>
              <w:rPr>
                <w:rFonts w:ascii="Segoe UI Light" w:hAnsi="Segoe UI Light"/>
                <w:b/>
                <w:sz w:val="16"/>
                <w:szCs w:val="20"/>
              </w:rPr>
            </w:pPr>
            <w:r>
              <w:rPr>
                <w:rFonts w:ascii="Segoe UI Light" w:hAnsi="Segoe UI Light"/>
                <w:b/>
                <w:sz w:val="16"/>
                <w:szCs w:val="20"/>
              </w:rPr>
              <w:t>890</w:t>
            </w:r>
          </w:p>
        </w:tc>
        <w:tc>
          <w:tcPr>
            <w:tcW w:w="907" w:type="dxa"/>
            <w:shd w:val="clear" w:color="auto" w:fill="E5DFEC" w:themeFill="accent4" w:themeFillTint="33"/>
            <w:vAlign w:val="bottom"/>
          </w:tcPr>
          <w:p w14:paraId="45C34F4D" w14:textId="77777777" w:rsidR="009A0130" w:rsidRPr="003B4CDA" w:rsidRDefault="009A0130" w:rsidP="00D209BD">
            <w:pPr>
              <w:tabs>
                <w:tab w:val="decimal" w:pos="447"/>
              </w:tabs>
              <w:spacing w:before="40" w:after="40"/>
              <w:rPr>
                <w:rFonts w:ascii="Segoe UI Light" w:hAnsi="Segoe UI Light"/>
                <w:b/>
                <w:sz w:val="16"/>
                <w:szCs w:val="20"/>
              </w:rPr>
            </w:pPr>
            <w:r w:rsidRPr="003B4CDA">
              <w:rPr>
                <w:rFonts w:ascii="Segoe UI Light" w:hAnsi="Segoe UI Light"/>
                <w:b/>
                <w:sz w:val="16"/>
                <w:szCs w:val="20"/>
              </w:rPr>
              <w:t>8</w:t>
            </w:r>
            <w:r>
              <w:rPr>
                <w:rFonts w:ascii="Segoe UI Light" w:hAnsi="Segoe UI Light"/>
                <w:b/>
                <w:sz w:val="16"/>
                <w:szCs w:val="20"/>
              </w:rPr>
              <w:t>79</w:t>
            </w:r>
          </w:p>
        </w:tc>
        <w:tc>
          <w:tcPr>
            <w:tcW w:w="964" w:type="dxa"/>
            <w:shd w:val="clear" w:color="auto" w:fill="E5DFEC" w:themeFill="accent4" w:themeFillTint="33"/>
            <w:vAlign w:val="bottom"/>
          </w:tcPr>
          <w:p w14:paraId="70C607AC" w14:textId="77777777" w:rsidR="009A0130" w:rsidRPr="003B4CDA" w:rsidRDefault="009A0130" w:rsidP="00D209BD">
            <w:pPr>
              <w:tabs>
                <w:tab w:val="decimal" w:pos="447"/>
              </w:tabs>
              <w:spacing w:before="40" w:after="40"/>
              <w:rPr>
                <w:rFonts w:ascii="Segoe UI Light" w:hAnsi="Segoe UI Light"/>
                <w:b/>
                <w:sz w:val="16"/>
                <w:szCs w:val="20"/>
              </w:rPr>
            </w:pPr>
            <w:r>
              <w:rPr>
                <w:rFonts w:ascii="Segoe UI Light" w:hAnsi="Segoe UI Light"/>
                <w:b/>
                <w:sz w:val="16"/>
                <w:szCs w:val="20"/>
              </w:rPr>
              <w:t>26</w:t>
            </w:r>
          </w:p>
        </w:tc>
        <w:tc>
          <w:tcPr>
            <w:tcW w:w="962" w:type="dxa"/>
            <w:shd w:val="clear" w:color="auto" w:fill="E5DFEC" w:themeFill="accent4" w:themeFillTint="33"/>
            <w:vAlign w:val="bottom"/>
          </w:tcPr>
          <w:p w14:paraId="7821555B" w14:textId="77777777" w:rsidR="009A0130" w:rsidRPr="003B4CDA" w:rsidRDefault="009A0130" w:rsidP="00D209BD">
            <w:pPr>
              <w:tabs>
                <w:tab w:val="decimal" w:pos="447"/>
              </w:tabs>
              <w:spacing w:before="40" w:after="40"/>
              <w:rPr>
                <w:rFonts w:ascii="Segoe UI Light" w:hAnsi="Segoe UI Light"/>
                <w:b/>
                <w:sz w:val="16"/>
                <w:szCs w:val="20"/>
              </w:rPr>
            </w:pPr>
            <w:r w:rsidRPr="003B4CDA">
              <w:rPr>
                <w:rFonts w:ascii="Segoe UI Light" w:hAnsi="Segoe UI Light"/>
                <w:b/>
                <w:sz w:val="16"/>
                <w:szCs w:val="20"/>
              </w:rPr>
              <w:t>15</w:t>
            </w:r>
          </w:p>
        </w:tc>
      </w:tr>
    </w:tbl>
    <w:p w14:paraId="3F16E4C7" w14:textId="0436C16D" w:rsidR="009A0130" w:rsidRPr="00980FD1" w:rsidRDefault="009A0130" w:rsidP="00EA05F6">
      <w:pPr>
        <w:spacing w:before="120"/>
        <w:jc w:val="both"/>
        <w:rPr>
          <w:rFonts w:cs="Calibri Light"/>
          <w:sz w:val="12"/>
          <w:szCs w:val="10"/>
        </w:rPr>
      </w:pPr>
      <w:r w:rsidRPr="00980FD1">
        <w:rPr>
          <w:rFonts w:cs="Calibri Light"/>
          <w:sz w:val="12"/>
          <w:szCs w:val="10"/>
        </w:rPr>
        <w:t>Avots: CSP dati līdz 2020. gadam, EM novērtējums 2021.</w:t>
      </w:r>
      <w:r w:rsidR="00E029D7" w:rsidRPr="00980FD1">
        <w:rPr>
          <w:rFonts w:cs="Calibri Light"/>
          <w:sz w:val="12"/>
          <w:szCs w:val="10"/>
        </w:rPr>
        <w:t> </w:t>
      </w:r>
      <w:r w:rsidRPr="00980FD1">
        <w:rPr>
          <w:rFonts w:cs="Calibri Light"/>
          <w:sz w:val="12"/>
          <w:szCs w:val="10"/>
        </w:rPr>
        <w:t>gadam, EM prognozes 2030.</w:t>
      </w:r>
      <w:r w:rsidR="00E029D7" w:rsidRPr="00980FD1">
        <w:rPr>
          <w:rFonts w:cs="Calibri Light"/>
          <w:sz w:val="12"/>
          <w:szCs w:val="10"/>
        </w:rPr>
        <w:t xml:space="preserve"> </w:t>
      </w:r>
      <w:r w:rsidRPr="00980FD1">
        <w:rPr>
          <w:rFonts w:cs="Calibri Light"/>
          <w:sz w:val="12"/>
          <w:szCs w:val="10"/>
        </w:rPr>
        <w:t>un 2040.</w:t>
      </w:r>
      <w:r w:rsidR="00E029D7" w:rsidRPr="00980FD1">
        <w:rPr>
          <w:rFonts w:cs="Calibri Light"/>
          <w:sz w:val="12"/>
          <w:szCs w:val="10"/>
        </w:rPr>
        <w:t> </w:t>
      </w:r>
      <w:r w:rsidRPr="00980FD1">
        <w:rPr>
          <w:rFonts w:cs="Calibri Light"/>
          <w:sz w:val="12"/>
          <w:szCs w:val="10"/>
        </w:rPr>
        <w:t>gadam</w:t>
      </w:r>
    </w:p>
    <w:p w14:paraId="6C538DD7" w14:textId="788DC2A8" w:rsidR="009A0130" w:rsidRDefault="009A0130" w:rsidP="00EA05F6">
      <w:pPr>
        <w:jc w:val="both"/>
        <w:rPr>
          <w:szCs w:val="20"/>
        </w:rPr>
      </w:pPr>
      <w:r w:rsidRPr="003B4CDA">
        <w:rPr>
          <w:szCs w:val="20"/>
        </w:rPr>
        <w:lastRenderedPageBreak/>
        <w:t>Nākotnē pakāpeniski augs pieprasījums pēc darbaspēka būvniecības nozarē. Taču jāņem vērā, ka 2009.-2010. gadā būvniecībā nodarbināto skaits ļoti būtiski saruka. Vidējā termiņā būvniecības nozares attīstību lielā mērā nodrošinās lielo infrastruktūras projektu īstenošana un arī privātās investīcijas. Ilgtermiņā nozares attīstību ietekmēs pieprasījums pēc energoefektīvās un „zaļās” būvniecības.</w:t>
      </w:r>
    </w:p>
    <w:p w14:paraId="5C75725B" w14:textId="77777777" w:rsidR="009A0130" w:rsidRPr="00980FD1" w:rsidRDefault="009A0130" w:rsidP="00EA05F6">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980FD1">
        <w:rPr>
          <w:rFonts w:ascii="Segoe UI Light" w:hAnsi="Segoe UI Light"/>
          <w:b/>
          <w:sz w:val="16"/>
          <w:szCs w:val="16"/>
        </w:rPr>
        <w:t>Darbavietu automatizācijas ietekme uz darba tirgu</w:t>
      </w:r>
    </w:p>
    <w:p w14:paraId="20B0F3A3" w14:textId="0E6AD8EF" w:rsidR="009A0130" w:rsidRPr="00D2337D" w:rsidRDefault="009A0130" w:rsidP="00EA05F6">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
          <w:bCs/>
          <w:sz w:val="16"/>
          <w:szCs w:val="16"/>
        </w:rPr>
      </w:pPr>
      <w:r w:rsidRPr="00D2337D">
        <w:rPr>
          <w:rFonts w:ascii="Segoe UI Light" w:hAnsi="Segoe UI Light"/>
          <w:sz w:val="16"/>
          <w:szCs w:val="16"/>
        </w:rPr>
        <w:t xml:space="preserve">Vēsturiski tehnoloģiju attīstībai kopumā ir bijusi pozitīva ietekme uz nodarbinātību, lai gan daudzus darbus pašlaik ir iespējams paveikt efektīvāk un ar mazāk darbaspēka ieguldījumu, tomēr tehnoloģija attīstība ir atnesusi arī daudz jaunu darba iespēju. Vienlaikus šoreiz bažas rada tas, ka inovāciju cikli ir kļuvuši daudz ātrāki, lielie dati, </w:t>
      </w:r>
      <w:proofErr w:type="spellStart"/>
      <w:r w:rsidRPr="00D2337D">
        <w:rPr>
          <w:rFonts w:ascii="Segoe UI Light" w:hAnsi="Segoe UI Light"/>
          <w:sz w:val="16"/>
          <w:szCs w:val="16"/>
        </w:rPr>
        <w:t>mākoņdatošana</w:t>
      </w:r>
      <w:proofErr w:type="spellEnd"/>
      <w:r w:rsidRPr="00D2337D">
        <w:rPr>
          <w:rFonts w:ascii="Segoe UI Light" w:hAnsi="Segoe UI Light"/>
          <w:sz w:val="16"/>
          <w:szCs w:val="16"/>
        </w:rPr>
        <w:t xml:space="preserve">, 3D </w:t>
      </w:r>
      <w:proofErr w:type="spellStart"/>
      <w:r w:rsidRPr="00D2337D">
        <w:rPr>
          <w:rFonts w:ascii="Segoe UI Light" w:hAnsi="Segoe UI Light"/>
          <w:sz w:val="16"/>
          <w:szCs w:val="16"/>
        </w:rPr>
        <w:t>printēšana</w:t>
      </w:r>
      <w:proofErr w:type="spellEnd"/>
      <w:r w:rsidRPr="00D2337D">
        <w:rPr>
          <w:rFonts w:ascii="Segoe UI Light" w:hAnsi="Segoe UI Light"/>
          <w:sz w:val="16"/>
          <w:szCs w:val="16"/>
        </w:rPr>
        <w:t xml:space="preserve"> un platformu ekonomika maina produktu tirgus, biznesa modeļus un darbu un attiecīgi arī nepieciešamās prasmes visās nozarēs. Agrāk tehnoloģijas aizvietoja rutīnas, zemi kvalificētu darbu, bet tagad tās var izpildīt ne-rutīnas darbus, tādus kā finanšu tirgus analīzi, operācijas un juridiskie pakalpojumi u.c. Tāpat par realitāti ir kļuvuši autonomie transporta līdzekļi, kas var nākotnē ietekmēt, piemēram, taksometra vai preču pārvadājuma pakalpojumus. </w:t>
      </w:r>
      <w:r w:rsidRPr="00D2337D">
        <w:rPr>
          <w:rFonts w:ascii="Segoe UI Light" w:hAnsi="Segoe UI Light"/>
          <w:b/>
          <w:bCs/>
          <w:sz w:val="16"/>
          <w:szCs w:val="16"/>
        </w:rPr>
        <w:t>Tehnoloģijas kopumā polarizē darba tirgu, radot augstas kvalifikācijas, labi apmaksātus darbus no vienas puses un zemas kvalifikācijas, zemi apmaksātus darbus no otras puses, izstumjot no darba tirgus vidējas kvalifikācijas darbus.</w:t>
      </w:r>
    </w:p>
    <w:p w14:paraId="198DF6E0" w14:textId="20E6CB3D" w:rsidR="009A0130" w:rsidRDefault="009A0130" w:rsidP="00EA05F6">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00D2337D">
        <w:rPr>
          <w:rFonts w:ascii="Segoe UI Light" w:hAnsi="Segoe UI Light"/>
          <w:b/>
          <w:bCs/>
          <w:sz w:val="16"/>
          <w:szCs w:val="16"/>
        </w:rPr>
        <w:t xml:space="preserve">Automatizācija visvairāk ietekmēs rūpniecību. </w:t>
      </w:r>
      <w:r w:rsidRPr="00D2337D">
        <w:rPr>
          <w:rFonts w:ascii="Segoe UI Light" w:hAnsi="Segoe UI Light"/>
          <w:sz w:val="16"/>
          <w:szCs w:val="16"/>
        </w:rPr>
        <w:t xml:space="preserve">Šī nozare piedzīvo būtiskas strukturālās izmaiņas attiecībā pret darbaspēka prasībām, ko lielā mērā nosaka ražošanas tehnoloģiju izmaiņas, piemēram, virzība uz enerģijas efektīvu jeb tā saucamo tīro automobiļu ražošanu. </w:t>
      </w:r>
      <w:proofErr w:type="spellStart"/>
      <w:r w:rsidRPr="00D2337D">
        <w:rPr>
          <w:rFonts w:ascii="Segoe UI Light" w:hAnsi="Segoe UI Light"/>
          <w:sz w:val="16"/>
          <w:szCs w:val="16"/>
        </w:rPr>
        <w:t>Elektro</w:t>
      </w:r>
      <w:proofErr w:type="spellEnd"/>
      <w:r w:rsidRPr="00D2337D">
        <w:rPr>
          <w:rFonts w:ascii="Segoe UI Light" w:hAnsi="Segoe UI Light"/>
          <w:sz w:val="16"/>
          <w:szCs w:val="16"/>
        </w:rPr>
        <w:t xml:space="preserve">-automobiļu ražošanas pieaugums visticamāk samazinās montāžas līniju darba vietu skaitu, šo automobiļu ražošana ir mazāk darbietilpīga un nepieciešams saražot mazāk detaļu. Tikmēr pieprasījuma pieaugums pēc šāda veida transportlīdzekļiem veicinās jaunu darba vietu rašanos saistībā ar pētniecību un attīstību, projektēšanu un vadošajiem amatiem apstrādes rūpniecībā. Būtiski augs pieprasījums pēc </w:t>
      </w:r>
      <w:proofErr w:type="spellStart"/>
      <w:r w:rsidRPr="00D2337D">
        <w:rPr>
          <w:rFonts w:ascii="Segoe UI Light" w:hAnsi="Segoe UI Light"/>
          <w:sz w:val="16"/>
          <w:szCs w:val="16"/>
        </w:rPr>
        <w:t>materiālzinātnes</w:t>
      </w:r>
      <w:proofErr w:type="spellEnd"/>
      <w:r w:rsidRPr="00D2337D">
        <w:rPr>
          <w:rFonts w:ascii="Segoe UI Light" w:hAnsi="Segoe UI Light"/>
          <w:sz w:val="16"/>
          <w:szCs w:val="16"/>
        </w:rPr>
        <w:t xml:space="preserve"> speciālistiem, </w:t>
      </w:r>
      <w:proofErr w:type="spellStart"/>
      <w:r w:rsidRPr="00D2337D">
        <w:rPr>
          <w:rFonts w:ascii="Segoe UI Light" w:hAnsi="Segoe UI Light"/>
          <w:sz w:val="16"/>
          <w:szCs w:val="16"/>
        </w:rPr>
        <w:t>datoranalītiķiem</w:t>
      </w:r>
      <w:proofErr w:type="spellEnd"/>
      <w:r w:rsidRPr="00D2337D">
        <w:rPr>
          <w:rFonts w:ascii="Segoe UI Light" w:hAnsi="Segoe UI Light"/>
          <w:sz w:val="16"/>
          <w:szCs w:val="16"/>
        </w:rPr>
        <w:t xml:space="preserve">, kā arī ķīmiskās rūpniecības speciālistiem, inženieriem, elektriķiem, kā arī speciālistiem rūpnieciskajā mašīnbūvē, </w:t>
      </w:r>
      <w:proofErr w:type="spellStart"/>
      <w:r w:rsidRPr="00D2337D">
        <w:rPr>
          <w:rFonts w:ascii="Segoe UI Light" w:hAnsi="Segoe UI Light"/>
          <w:sz w:val="16"/>
          <w:szCs w:val="16"/>
        </w:rPr>
        <w:t>materiālzinātnē</w:t>
      </w:r>
      <w:proofErr w:type="spellEnd"/>
      <w:r w:rsidRPr="00D2337D">
        <w:rPr>
          <w:rFonts w:ascii="Segoe UI Light" w:hAnsi="Segoe UI Light"/>
          <w:sz w:val="16"/>
          <w:szCs w:val="16"/>
        </w:rPr>
        <w:t xml:space="preserve"> un </w:t>
      </w:r>
      <w:proofErr w:type="spellStart"/>
      <w:r w:rsidRPr="00D2337D">
        <w:rPr>
          <w:rFonts w:ascii="Segoe UI Light" w:hAnsi="Segoe UI Light"/>
          <w:sz w:val="16"/>
          <w:szCs w:val="16"/>
        </w:rPr>
        <w:t>inženiermehānikā</w:t>
      </w:r>
      <w:proofErr w:type="spellEnd"/>
      <w:r w:rsidRPr="00D2337D">
        <w:rPr>
          <w:rFonts w:ascii="Segoe UI Light" w:hAnsi="Segoe UI Light"/>
          <w:sz w:val="16"/>
          <w:szCs w:val="16"/>
        </w:rPr>
        <w:t>. Tāpat būs nepieciešamas zināšanas, kas saistītas ar pāreju uz augsti izsmalcinātu digitālo ražošanu (Industrija 4.0.), lai savienotu esošo zināšanu trūkumu starp autobūves un IKT nozarēm. Attiecīgi saruks zemas un vidējas kvalifikācijas darbavietu skaits.</w:t>
      </w:r>
    </w:p>
    <w:p w14:paraId="4B411016" w14:textId="4E61D238" w:rsidR="00EA05F6" w:rsidRPr="00EA05F6" w:rsidRDefault="00FD79E4" w:rsidP="00E16CEC">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tabs>
          <w:tab w:val="center" w:pos="1701"/>
          <w:tab w:val="center" w:pos="3136"/>
          <w:tab w:val="center" w:pos="4536"/>
          <w:tab w:val="center" w:pos="5963"/>
          <w:tab w:val="center" w:pos="7371"/>
        </w:tabs>
        <w:spacing w:after="120"/>
        <w:rPr>
          <w:rFonts w:ascii="Segoe UI Light" w:hAnsi="Segoe UI Light"/>
          <w:sz w:val="16"/>
          <w:szCs w:val="16"/>
        </w:rPr>
      </w:pPr>
      <w:r>
        <w:rPr>
          <w:rFonts w:ascii="Segoe UI Light" w:hAnsi="Segoe UI Light"/>
          <w:b/>
          <w:bCs/>
          <w:sz w:val="16"/>
          <w:szCs w:val="16"/>
        </w:rPr>
        <w:tab/>
      </w:r>
      <w:r w:rsidR="00E16CEC">
        <w:rPr>
          <w:rFonts w:ascii="Segoe UI Light" w:hAnsi="Segoe UI Light"/>
          <w:b/>
          <w:bCs/>
          <w:sz w:val="16"/>
          <w:szCs w:val="16"/>
        </w:rPr>
        <w:tab/>
      </w:r>
      <w:r w:rsidR="00E16CEC">
        <w:rPr>
          <w:rFonts w:ascii="Segoe UI Light" w:hAnsi="Segoe UI Light"/>
          <w:b/>
          <w:bCs/>
          <w:sz w:val="16"/>
          <w:szCs w:val="16"/>
        </w:rPr>
        <w:tab/>
      </w:r>
      <w:r w:rsidR="00EA05F6" w:rsidRPr="00EA05F6">
        <w:rPr>
          <w:rFonts w:ascii="Segoe UI Light" w:hAnsi="Segoe UI Light"/>
          <w:b/>
          <w:bCs/>
          <w:sz w:val="16"/>
          <w:szCs w:val="16"/>
        </w:rPr>
        <w:t>Automatizācijas iespējamība profesiju griezumā</w:t>
      </w:r>
      <w:r w:rsidR="00EA05F6">
        <w:rPr>
          <w:rFonts w:ascii="Segoe UI Light" w:hAnsi="Segoe UI Light"/>
          <w:b/>
          <w:bCs/>
          <w:sz w:val="16"/>
          <w:szCs w:val="16"/>
        </w:rPr>
        <w:br/>
      </w:r>
      <w:r w:rsidR="00E16CEC">
        <w:rPr>
          <w:rFonts w:ascii="Segoe UI Light" w:hAnsi="Segoe UI Light"/>
          <w:sz w:val="16"/>
          <w:szCs w:val="16"/>
        </w:rPr>
        <w:tab/>
      </w:r>
      <w:r w:rsidR="00EA05F6" w:rsidRPr="00EA05F6">
        <w:rPr>
          <w:rFonts w:ascii="Segoe UI Light" w:hAnsi="Segoe UI Light"/>
          <w:sz w:val="16"/>
          <w:szCs w:val="16"/>
        </w:rPr>
        <w:t>Vismazāk ietekmētās</w:t>
      </w:r>
      <w:r w:rsidR="00E16CEC">
        <w:rPr>
          <w:rFonts w:ascii="Segoe UI Light" w:hAnsi="Segoe UI Light"/>
          <w:sz w:val="16"/>
          <w:szCs w:val="16"/>
        </w:rPr>
        <w:tab/>
      </w:r>
      <w:r w:rsidR="00EA05F6" w:rsidRPr="00EA05F6">
        <w:rPr>
          <w:rFonts w:ascii="Segoe UI Light" w:hAnsi="Segoe UI Light"/>
          <w:b/>
          <w:bCs/>
          <w:sz w:val="16"/>
          <w:szCs w:val="16"/>
        </w:rPr>
        <w:t>I</w:t>
      </w:r>
      <w:r w:rsidR="00E16CEC">
        <w:rPr>
          <w:rFonts w:ascii="Segoe UI Light" w:hAnsi="Segoe UI Light"/>
          <w:b/>
          <w:bCs/>
          <w:sz w:val="16"/>
          <w:szCs w:val="16"/>
        </w:rPr>
        <w:tab/>
      </w:r>
      <w:r w:rsidR="00EA05F6" w:rsidRPr="00EA05F6">
        <w:rPr>
          <w:rFonts w:ascii="Segoe UI Light" w:hAnsi="Segoe UI Light"/>
          <w:sz w:val="16"/>
          <w:szCs w:val="16"/>
        </w:rPr>
        <w:t>Būtiski transformētās</w:t>
      </w:r>
      <w:r w:rsidR="00E16CEC">
        <w:rPr>
          <w:rFonts w:ascii="Segoe UI Light" w:hAnsi="Segoe UI Light"/>
          <w:sz w:val="16"/>
          <w:szCs w:val="16"/>
        </w:rPr>
        <w:tab/>
      </w:r>
      <w:r w:rsidR="00EA05F6" w:rsidRPr="00EA05F6">
        <w:rPr>
          <w:rFonts w:ascii="Segoe UI Light" w:hAnsi="Segoe UI Light"/>
          <w:b/>
          <w:bCs/>
          <w:sz w:val="16"/>
          <w:szCs w:val="16"/>
        </w:rPr>
        <w:t>I</w:t>
      </w:r>
      <w:r w:rsidR="00E16CEC">
        <w:rPr>
          <w:rFonts w:ascii="Segoe UI Light" w:hAnsi="Segoe UI Light"/>
          <w:b/>
          <w:bCs/>
          <w:sz w:val="16"/>
          <w:szCs w:val="16"/>
        </w:rPr>
        <w:tab/>
      </w:r>
      <w:r w:rsidR="00EA05F6" w:rsidRPr="00EA05F6">
        <w:rPr>
          <w:rFonts w:ascii="Segoe UI Light" w:hAnsi="Segoe UI Light"/>
          <w:sz w:val="16"/>
          <w:szCs w:val="16"/>
        </w:rPr>
        <w:t>Visvairāk ietekmētās</w:t>
      </w:r>
    </w:p>
    <w:p w14:paraId="7644B08F" w14:textId="77777777" w:rsidR="009A0130" w:rsidRPr="00D2337D"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center"/>
        <w:rPr>
          <w:rFonts w:ascii="Segoe UI Light" w:hAnsi="Segoe UI Light"/>
          <w:b/>
          <w:bCs/>
          <w:i/>
          <w:iCs/>
          <w:sz w:val="18"/>
          <w:szCs w:val="18"/>
        </w:rPr>
      </w:pPr>
      <w:r w:rsidRPr="00D2337D">
        <w:rPr>
          <w:rFonts w:ascii="Segoe UI Light" w:hAnsi="Segoe UI Light" w:cs="Segoe UI Light"/>
          <w:b/>
          <w:i/>
          <w:iCs/>
          <w:noProof/>
          <w:lang w:eastAsia="lv-LV"/>
        </w:rPr>
        <w:drawing>
          <wp:inline distT="0" distB="0" distL="0" distR="0" wp14:anchorId="6AF56DB8" wp14:editId="167FFE10">
            <wp:extent cx="5760000" cy="25200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44365F33" w14:textId="77777777" w:rsidR="009A0130" w:rsidRPr="00980FD1" w:rsidRDefault="009A0130" w:rsidP="00E16CEC">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before="120" w:after="120"/>
        <w:jc w:val="both"/>
        <w:rPr>
          <w:rFonts w:ascii="Segoe UI Light" w:hAnsi="Segoe UI Light"/>
          <w:i/>
          <w:iCs/>
          <w:sz w:val="12"/>
          <w:szCs w:val="12"/>
          <w:lang w:val="en-GB"/>
        </w:rPr>
      </w:pPr>
      <w:r w:rsidRPr="00980FD1">
        <w:rPr>
          <w:rFonts w:ascii="Segoe UI Light" w:hAnsi="Segoe UI Light"/>
          <w:sz w:val="12"/>
          <w:szCs w:val="12"/>
        </w:rPr>
        <w:t>Avots:</w:t>
      </w:r>
      <w:r w:rsidRPr="00980FD1">
        <w:rPr>
          <w:rFonts w:ascii="Segoe UI Light" w:hAnsi="Segoe UI Light"/>
          <w:i/>
          <w:iCs/>
          <w:sz w:val="12"/>
          <w:szCs w:val="12"/>
        </w:rPr>
        <w:t xml:space="preserve"> </w:t>
      </w:r>
      <w:r w:rsidRPr="00980FD1">
        <w:rPr>
          <w:rFonts w:ascii="Segoe UI Light" w:hAnsi="Segoe UI Light"/>
          <w:i/>
          <w:iCs/>
          <w:sz w:val="12"/>
          <w:szCs w:val="12"/>
          <w:lang w:val="en-GB"/>
        </w:rPr>
        <w:t>European Commission (2019), The changing nature of work and skills in the digital age</w:t>
      </w:r>
    </w:p>
    <w:p w14:paraId="74EF0E1A" w14:textId="77777777" w:rsidR="009A0130"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0"/>
        <w:jc w:val="both"/>
        <w:rPr>
          <w:rFonts w:ascii="Segoe UI Light" w:hAnsi="Segoe UI Light"/>
          <w:i/>
          <w:iCs/>
          <w:sz w:val="16"/>
          <w:szCs w:val="16"/>
          <w:lang w:val="en-GB"/>
        </w:rPr>
      </w:pPr>
    </w:p>
    <w:p w14:paraId="11FCEED7" w14:textId="77777777" w:rsidR="009A0130" w:rsidRPr="00D2337D"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i/>
          <w:iCs/>
          <w:sz w:val="16"/>
          <w:szCs w:val="16"/>
        </w:rPr>
      </w:pPr>
      <w:r w:rsidRPr="00D2337D">
        <w:rPr>
          <w:rFonts w:ascii="Segoe UI Light" w:hAnsi="Segoe UI Light"/>
          <w:b/>
          <w:bCs/>
          <w:i/>
          <w:iCs/>
          <w:sz w:val="16"/>
          <w:szCs w:val="16"/>
        </w:rPr>
        <w:t>Automatizācijai vairāk pakļautas tās profesijas, kurās nepieciešama salīdzinoši zema līmeņa formālā izglītība vai nav nepieciešams iesaistīties kompleksās sociālās mijiedarbībās</w:t>
      </w:r>
      <w:r w:rsidRPr="00D2337D">
        <w:rPr>
          <w:rFonts w:ascii="Segoe UI Light" w:hAnsi="Segoe UI Light"/>
          <w:i/>
          <w:iCs/>
          <w:sz w:val="16"/>
          <w:szCs w:val="16"/>
        </w:rPr>
        <w:t>, tādās kā citu pārliecināšana, citu apmācība, vadīšana, aprūpe, asistēšana, kā arī profesijas, kurās tiek veikts rutīnas manuāls darbs. Savukārt tehnoloģiju attīstība mazāk ietekmēs tās profesijas, kurās nepieciešams augsts izglītības līmenis, augsta sociālā mijiedarbība un spējas vadīt, plānot un koordinēt sarežģīto vidi/apstākļus.</w:t>
      </w:r>
    </w:p>
    <w:p w14:paraId="2F635718" w14:textId="77777777" w:rsidR="009A0130" w:rsidRPr="00D2337D"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i/>
          <w:iCs/>
          <w:sz w:val="16"/>
          <w:szCs w:val="16"/>
        </w:rPr>
      </w:pPr>
      <w:r w:rsidRPr="00D2337D">
        <w:rPr>
          <w:rFonts w:ascii="Segoe UI Light" w:hAnsi="Segoe UI Light"/>
          <w:b/>
          <w:bCs/>
          <w:i/>
          <w:iCs/>
          <w:sz w:val="16"/>
          <w:szCs w:val="16"/>
        </w:rPr>
        <w:t>Tehnoloģijas var iznīcināt dažas darba vietas un radīt jaunas, bet to lielākā ietekme ir uz darba satura transformāciju</w:t>
      </w:r>
      <w:r w:rsidRPr="00D2337D">
        <w:rPr>
          <w:rFonts w:ascii="Segoe UI Light" w:hAnsi="Segoe UI Light"/>
          <w:i/>
          <w:iCs/>
          <w:sz w:val="16"/>
          <w:szCs w:val="16"/>
        </w:rPr>
        <w:t>. Nepieciešamība papildināt digitālās prasmes ar citām tehniskām, un kas ir ne mazāk svarīgi, arī personīgām un uzvedības prasmēm, norāda uz to, ka cilvēki un tehnoloģijas papildina viens otru. Tehnoloģijas var izpildīt uzdevumus un ātri savākt un sintezēt datus, bet cilvēkam ir jāizlemj kāds būs uzdevums un ko šie dati nozīmē.</w:t>
      </w:r>
    </w:p>
    <w:p w14:paraId="1110F4E9" w14:textId="77777777" w:rsidR="009A0130" w:rsidRPr="00D2337D"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
          <w:i/>
          <w:iCs/>
          <w:sz w:val="16"/>
          <w:szCs w:val="16"/>
        </w:rPr>
      </w:pPr>
      <w:r w:rsidRPr="00D2337D">
        <w:rPr>
          <w:rFonts w:ascii="Segoe UI Light" w:hAnsi="Segoe UI Light"/>
          <w:b/>
          <w:bCs/>
          <w:i/>
          <w:iCs/>
          <w:sz w:val="16"/>
          <w:szCs w:val="16"/>
        </w:rPr>
        <w:t>Mainīsies ne tikai darbu saturs, bet arī tā forma.</w:t>
      </w:r>
      <w:r w:rsidRPr="00D2337D">
        <w:rPr>
          <w:rFonts w:ascii="Segoe UI Light" w:hAnsi="Segoe UI Light"/>
          <w:i/>
          <w:iCs/>
          <w:sz w:val="16"/>
          <w:szCs w:val="16"/>
        </w:rPr>
        <w:t xml:space="preserve"> Aizvien vairāk pieaugs pusslodzes darbs, gabaldarbs un pieaugs </w:t>
      </w:r>
      <w:proofErr w:type="spellStart"/>
      <w:r w:rsidRPr="00D2337D">
        <w:rPr>
          <w:rFonts w:ascii="Segoe UI Light" w:hAnsi="Segoe UI Light"/>
          <w:i/>
          <w:iCs/>
          <w:sz w:val="16"/>
          <w:szCs w:val="16"/>
        </w:rPr>
        <w:t>pašnodarbināto</w:t>
      </w:r>
      <w:proofErr w:type="spellEnd"/>
      <w:r w:rsidRPr="00D2337D">
        <w:rPr>
          <w:rFonts w:ascii="Segoe UI Light" w:hAnsi="Segoe UI Light"/>
          <w:i/>
          <w:iCs/>
          <w:sz w:val="16"/>
          <w:szCs w:val="16"/>
        </w:rPr>
        <w:t xml:space="preserve"> īpatsvars, savukārt samazināsies pilna laika slodze. Darbs kļūs elastīgāks, bet līdz ar to arī nedrošāks, nestabilāks.</w:t>
      </w:r>
    </w:p>
    <w:p w14:paraId="29A724D7" w14:textId="77777777" w:rsidR="00590200" w:rsidRDefault="0059020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
          <w:color w:val="000000" w:themeColor="text1"/>
          <w:sz w:val="16"/>
          <w:szCs w:val="16"/>
        </w:rPr>
      </w:pPr>
      <w:r>
        <w:rPr>
          <w:rFonts w:ascii="Segoe UI Light" w:hAnsi="Segoe UI Light"/>
          <w:b/>
          <w:color w:val="000000" w:themeColor="text1"/>
          <w:sz w:val="16"/>
          <w:szCs w:val="16"/>
        </w:rPr>
        <w:br/>
      </w:r>
    </w:p>
    <w:p w14:paraId="1E33A5A0" w14:textId="77777777" w:rsidR="00590200" w:rsidRDefault="00590200">
      <w:pPr>
        <w:spacing w:after="0"/>
        <w:rPr>
          <w:rFonts w:ascii="Segoe UI Light" w:hAnsi="Segoe UI Light"/>
          <w:b/>
          <w:color w:val="000000" w:themeColor="text1"/>
          <w:sz w:val="16"/>
          <w:szCs w:val="16"/>
        </w:rPr>
      </w:pPr>
      <w:r>
        <w:rPr>
          <w:rFonts w:ascii="Segoe UI Light" w:hAnsi="Segoe UI Light"/>
          <w:b/>
          <w:color w:val="000000" w:themeColor="text1"/>
          <w:sz w:val="16"/>
          <w:szCs w:val="16"/>
        </w:rPr>
        <w:br w:type="page"/>
      </w:r>
    </w:p>
    <w:p w14:paraId="48BAC554" w14:textId="77777777" w:rsidR="00590200" w:rsidRDefault="0059020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right"/>
        <w:rPr>
          <w:rFonts w:ascii="Segoe UI Light" w:hAnsi="Segoe UI Light"/>
          <w:b/>
          <w:sz w:val="16"/>
          <w:szCs w:val="16"/>
        </w:rPr>
      </w:pPr>
      <w:r w:rsidRPr="00980FD1">
        <w:rPr>
          <w:rFonts w:ascii="Segoe UI Light" w:hAnsi="Segoe UI Light"/>
          <w:b/>
          <w:sz w:val="16"/>
          <w:szCs w:val="16"/>
        </w:rPr>
        <w:lastRenderedPageBreak/>
        <w:t>Ielikuma turpinājums</w:t>
      </w:r>
    </w:p>
    <w:p w14:paraId="036DAF21" w14:textId="0C3D13F7" w:rsidR="009A0130" w:rsidRPr="00A20E5D"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
          <w:color w:val="000000" w:themeColor="text1"/>
          <w:sz w:val="16"/>
          <w:szCs w:val="16"/>
        </w:rPr>
      </w:pPr>
      <w:r w:rsidRPr="00A20E5D">
        <w:rPr>
          <w:rFonts w:ascii="Segoe UI Light" w:hAnsi="Segoe UI Light"/>
          <w:b/>
          <w:color w:val="000000" w:themeColor="text1"/>
          <w:sz w:val="16"/>
          <w:szCs w:val="16"/>
        </w:rPr>
        <w:t>Darbavietu automatizācija ES</w:t>
      </w:r>
    </w:p>
    <w:p w14:paraId="21E424AF" w14:textId="77777777" w:rsidR="009A0130" w:rsidRPr="003B4C1F"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Cs/>
          <w:sz w:val="16"/>
          <w:szCs w:val="16"/>
        </w:rPr>
      </w:pPr>
      <w:r w:rsidRPr="003B4C1F">
        <w:rPr>
          <w:rFonts w:ascii="Segoe UI Light" w:hAnsi="Segoe UI Light"/>
          <w:bCs/>
          <w:sz w:val="16"/>
          <w:szCs w:val="16"/>
        </w:rPr>
        <w:t xml:space="preserve">Lai gan pandēmijas radītā krīze veicināja tiešsaistes pakalpojumu izmantošanu, tehnoloģijas jau iepriekš aizvietoja cilvēku darbu (piemēram, pašapkalpošanās kases mazumtirdzniecībā). Augstāku ekonomisko izaugsmi un darbaspēka produktivitāti var pavadīt zemāka nodarbinātība, kad darbavietu zaudējumi vienā nozarē ir lielāki nekā izveidotās jaunās darba vietas citā nozarē. Tomēr tas nenozīmē, ka tehnoloģijas pilnībā pārņems cilvēku darbu. Automatizācija var būt ne tikai roku darba aizvietotājs, bet arī jaunu darba vietu radītājs. </w:t>
      </w:r>
    </w:p>
    <w:p w14:paraId="4860210B" w14:textId="0D694818" w:rsidR="009A0130"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Cs/>
          <w:sz w:val="16"/>
          <w:szCs w:val="16"/>
        </w:rPr>
      </w:pPr>
      <w:r w:rsidRPr="003B4C1F">
        <w:rPr>
          <w:rFonts w:ascii="Segoe UI Light" w:hAnsi="Segoe UI Light"/>
          <w:bCs/>
          <w:sz w:val="16"/>
          <w:szCs w:val="16"/>
        </w:rPr>
        <w:t xml:space="preserve">Vislielākā cilvēku roku darbu aizvietošana paredzama profesijās, kas saistītas ar rutīnas tipa darbu izpildi. Saskaņā ar </w:t>
      </w:r>
      <w:proofErr w:type="spellStart"/>
      <w:r w:rsidRPr="003B4C1F">
        <w:rPr>
          <w:rFonts w:ascii="Segoe UI Light" w:hAnsi="Segoe UI Light"/>
          <w:bCs/>
          <w:sz w:val="16"/>
          <w:szCs w:val="16"/>
        </w:rPr>
        <w:t>Cedefop</w:t>
      </w:r>
      <w:proofErr w:type="spellEnd"/>
      <w:r w:rsidRPr="003B4C1F">
        <w:rPr>
          <w:rFonts w:ascii="Segoe UI Light" w:hAnsi="Segoe UI Light"/>
          <w:bCs/>
          <w:sz w:val="16"/>
          <w:szCs w:val="16"/>
        </w:rPr>
        <w:t xml:space="preserve"> datiem, jau 2020.</w:t>
      </w:r>
      <w:r w:rsidR="00E029D7">
        <w:rPr>
          <w:rFonts w:ascii="Segoe UI Light" w:hAnsi="Segoe UI Light"/>
          <w:bCs/>
          <w:sz w:val="16"/>
          <w:szCs w:val="16"/>
        </w:rPr>
        <w:t> </w:t>
      </w:r>
      <w:r w:rsidRPr="003B4C1F">
        <w:rPr>
          <w:rFonts w:ascii="Segoe UI Light" w:hAnsi="Segoe UI Light"/>
          <w:bCs/>
          <w:sz w:val="16"/>
          <w:szCs w:val="16"/>
        </w:rPr>
        <w:t>gadā kvalificētu strādnieku un amatnieku, iekārtu un mašīnu operatoru un montieru, kā arī lauksaimniecības profesiju grupās bija vislielākais nodarbināto īpatsvars, kuru darbs ir ar augstāko automatizācijas risku. Pastāv daudz darbi, kuru izpilde tikai daļēji var tikt automatizēta. Vismazākais automatizācijas risks ir augstas kvalifikācijas profesijās, tādās kā vadītāji, kalpotāji un speciālisti. Vadītāju profesiju grupā tikai 2-3% darbu ir uzskatāmi par automatizējamiem. Arī speciālistu profesiju grupā ir zems automatizācijas riskam pakļauto nodarbināto īpatsvars. Grūtāk aizvietot būs IKT jomā strādājošos un veselības jomas speciālistus.</w:t>
      </w:r>
    </w:p>
    <w:p w14:paraId="7E763338" w14:textId="6E5F6058" w:rsidR="0075441A" w:rsidRPr="0075441A" w:rsidRDefault="0075441A"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center"/>
        <w:rPr>
          <w:rFonts w:ascii="Segoe UI Light" w:hAnsi="Segoe UI Light"/>
          <w:bCs/>
          <w:sz w:val="16"/>
          <w:szCs w:val="16"/>
        </w:rPr>
      </w:pPr>
      <w:r w:rsidRPr="0075441A">
        <w:rPr>
          <w:rFonts w:ascii="Segoe UI Light" w:hAnsi="Segoe UI Light"/>
          <w:b/>
          <w:sz w:val="16"/>
          <w:szCs w:val="16"/>
        </w:rPr>
        <w:t xml:space="preserve">Darbinieku īpatsvars ES ar augstu automatizācijas risku pa profesiju </w:t>
      </w:r>
      <w:proofErr w:type="spellStart"/>
      <w:r w:rsidRPr="0075441A">
        <w:rPr>
          <w:rFonts w:ascii="Segoe UI Light" w:hAnsi="Segoe UI Light"/>
          <w:b/>
          <w:sz w:val="16"/>
          <w:szCs w:val="16"/>
        </w:rPr>
        <w:t>pamatgrupām</w:t>
      </w:r>
      <w:proofErr w:type="spellEnd"/>
      <w:r w:rsidRPr="0075441A">
        <w:rPr>
          <w:rFonts w:ascii="Segoe UI Light" w:hAnsi="Segoe UI Light"/>
          <w:b/>
          <w:sz w:val="16"/>
          <w:szCs w:val="16"/>
        </w:rPr>
        <w:t xml:space="preserve"> 2020. gadā, </w:t>
      </w:r>
      <w:r>
        <w:rPr>
          <w:rFonts w:ascii="Segoe UI Light" w:hAnsi="Segoe UI Light"/>
          <w:b/>
          <w:sz w:val="16"/>
          <w:szCs w:val="16"/>
        </w:rPr>
        <w:br/>
      </w:r>
      <w:r w:rsidRPr="0075441A">
        <w:rPr>
          <w:rFonts w:ascii="Segoe UI Light" w:hAnsi="Segoe UI Light"/>
          <w:bCs/>
          <w:sz w:val="16"/>
          <w:szCs w:val="16"/>
        </w:rPr>
        <w:t>procentos no kopējā nodarbināto skaita profesijā</w:t>
      </w:r>
    </w:p>
    <w:p w14:paraId="2AE08A2D" w14:textId="31228A99" w:rsidR="009A0130"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Pr>
          <w:noProof/>
        </w:rPr>
        <w:drawing>
          <wp:inline distT="0" distB="0" distL="0" distR="0" wp14:anchorId="7A993ED5" wp14:editId="7FC625F6">
            <wp:extent cx="5760000" cy="1440000"/>
            <wp:effectExtent l="0" t="0" r="0" b="8255"/>
            <wp:docPr id="60" name="Chart 60">
              <a:extLst xmlns:a="http://schemas.openxmlformats.org/drawingml/2006/main">
                <a:ext uri="{FF2B5EF4-FFF2-40B4-BE49-F238E27FC236}">
                  <a16:creationId xmlns:a16="http://schemas.microsoft.com/office/drawing/2014/main" id="{64596843-E195-470D-8B8D-5FFB26163A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03219866" w14:textId="31E0A7D9" w:rsidR="009A0130" w:rsidRPr="0075441A"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2"/>
          <w:szCs w:val="12"/>
        </w:rPr>
      </w:pPr>
      <w:r w:rsidRPr="0075441A">
        <w:rPr>
          <w:rFonts w:ascii="Segoe UI Light" w:hAnsi="Segoe UI Light"/>
          <w:bCs/>
          <w:sz w:val="12"/>
          <w:szCs w:val="12"/>
        </w:rPr>
        <w:t xml:space="preserve">Avots: </w:t>
      </w:r>
      <w:hyperlink r:id="rId122" w:anchor="1" w:history="1">
        <w:r w:rsidRPr="0075441A">
          <w:rPr>
            <w:rStyle w:val="Hyperlink"/>
            <w:rFonts w:ascii="Segoe UI Light" w:hAnsi="Segoe UI Light"/>
            <w:bCs/>
            <w:sz w:val="12"/>
            <w:szCs w:val="12"/>
          </w:rPr>
          <w:t>https://www.cedefop.europa.eu/en/tools/skills-intelligence/automation-risk-occupations#1</w:t>
        </w:r>
      </w:hyperlink>
    </w:p>
    <w:p w14:paraId="6583ACA3" w14:textId="77777777" w:rsidR="00BC0CBE" w:rsidRDefault="00BC0CBE"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p>
    <w:p w14:paraId="45889FE0" w14:textId="0FA26EDC" w:rsidR="009A0130" w:rsidRPr="00C343D3"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sidRPr="00C343D3">
        <w:rPr>
          <w:rFonts w:ascii="Segoe UI Light" w:hAnsi="Segoe UI Light"/>
          <w:bCs/>
          <w:sz w:val="16"/>
          <w:szCs w:val="16"/>
        </w:rPr>
        <w:t>Tehnoloģijas ne tikai pakļauj riskam noteiktas profesijas, bet rada arī jaunas darba vietas. Paredzams, ka lielākā daļa no jaunajiem darbiem (nodarbinātības pieaugums) ES, kas tiks izveidoti līdz 2030.</w:t>
      </w:r>
      <w:r w:rsidR="00E029D7">
        <w:rPr>
          <w:rFonts w:ascii="Segoe UI Light" w:hAnsi="Segoe UI Light"/>
          <w:bCs/>
          <w:sz w:val="16"/>
          <w:szCs w:val="16"/>
        </w:rPr>
        <w:t> </w:t>
      </w:r>
      <w:r w:rsidRPr="00C343D3">
        <w:rPr>
          <w:rFonts w:ascii="Segoe UI Light" w:hAnsi="Segoe UI Light"/>
          <w:bCs/>
          <w:sz w:val="16"/>
          <w:szCs w:val="16"/>
        </w:rPr>
        <w:t xml:space="preserve">gadam nav pakļauti automatizācijas riskam. Augošās nozares (nākotnes nodarbinātības ziņā) ar zemāko jauno darbu automatizācijas risku ir valsts pārvalde un aizsardzība, izglītība, IKT, elektrība un gāze. </w:t>
      </w:r>
    </w:p>
    <w:p w14:paraId="256A2A18" w14:textId="0F506F32" w:rsidR="009A0130" w:rsidRPr="00C343D3"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sidRPr="00C343D3">
        <w:rPr>
          <w:rFonts w:ascii="Segoe UI Light" w:hAnsi="Segoe UI Light"/>
          <w:bCs/>
          <w:sz w:val="16"/>
          <w:szCs w:val="16"/>
        </w:rPr>
        <w:t xml:space="preserve">Pretēja situācija ir ar aizvietojošo pieprasījumu. Lielākā daļa darba vietas, kurām nepieciešams zemas vai vidēja līmeņa kvalifikācijas tiks pakļautas automatizācijai, savukārt augstas kvalifikācijas profesijām būs pretēja tendence. Tas norāda uz prasmju pieprasījuma saistību ar jaunajām tehnoloģijām (darbinieki, kuriem būs jāstrādā ar tehnoloģijām būs galvenokārt augsti kvalificēti).  Tomēr tas nenozīmē, ka visi augsta līmeņa darbi ir pasargāti no automatizācijas (piemēram, biznesa un administrācijas speciālisti.) </w:t>
      </w:r>
    </w:p>
    <w:p w14:paraId="74DDACC3" w14:textId="50BA373D" w:rsidR="009A0130" w:rsidRDefault="009A013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sidRPr="00C343D3">
        <w:rPr>
          <w:rFonts w:ascii="Segoe UI Light" w:hAnsi="Segoe UI Light"/>
          <w:bCs/>
          <w:sz w:val="16"/>
          <w:szCs w:val="16"/>
        </w:rPr>
        <w:t>Automatizācijas risks samazinās līdz ar prasmju līmeni, kas nepieciešams konkrētā darba izpildei. Jaunais tehnoloģiskais progresa vilnis, ko radījis mākslīgais intelekts, ietekmēs galvenokārt zemas kvalifikācijas un zemas algas profesijas. Tas ir pretrunā ar iepriekšējo tehnoloģiskā progresa viļņu tendencēm, kad tika aizvietoti galvenokārt vidējas kvalifikācijas darbi.</w:t>
      </w:r>
    </w:p>
    <w:p w14:paraId="12E5FB40" w14:textId="77777777" w:rsidR="00BC0CBE" w:rsidRDefault="00BC0CBE"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p>
    <w:p w14:paraId="3EB29F8F" w14:textId="48F74260" w:rsidR="00BC0CBE" w:rsidRDefault="00BC0CBE" w:rsidP="00BC0CBE">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center"/>
        <w:rPr>
          <w:rFonts w:ascii="Segoe UI Light" w:hAnsi="Segoe UI Light"/>
          <w:bCs/>
          <w:sz w:val="16"/>
          <w:szCs w:val="16"/>
        </w:rPr>
      </w:pPr>
      <w:r w:rsidRPr="0013570C">
        <w:rPr>
          <w:rFonts w:ascii="Segoe UI Light" w:hAnsi="Segoe UI Light"/>
          <w:b/>
          <w:sz w:val="16"/>
          <w:szCs w:val="16"/>
        </w:rPr>
        <w:t>Automatizācijas riskam pakļauti darbi ES līdz 2030.</w:t>
      </w:r>
      <w:r>
        <w:rPr>
          <w:rFonts w:ascii="Segoe UI Light" w:hAnsi="Segoe UI Light"/>
          <w:b/>
          <w:sz w:val="16"/>
          <w:szCs w:val="16"/>
        </w:rPr>
        <w:t> </w:t>
      </w:r>
      <w:r w:rsidRPr="0013570C">
        <w:rPr>
          <w:rFonts w:ascii="Segoe UI Light" w:hAnsi="Segoe UI Light"/>
          <w:b/>
          <w:sz w:val="16"/>
          <w:szCs w:val="16"/>
        </w:rPr>
        <w:t>gadam pa kvalifikācija līmeņiem</w:t>
      </w:r>
    </w:p>
    <w:p w14:paraId="74ED058D" w14:textId="340A668E" w:rsidR="00C2231E" w:rsidRPr="006E51D0" w:rsidRDefault="00BC0CBE"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8"/>
          <w:szCs w:val="8"/>
        </w:rPr>
      </w:pPr>
      <w:r w:rsidRPr="00D249AE">
        <w:rPr>
          <w:rFonts w:asciiTheme="majorHAnsi" w:hAnsiTheme="majorHAnsi" w:cstheme="majorHAnsi"/>
          <w:b/>
          <w:bCs/>
          <w:noProof/>
          <w:szCs w:val="20"/>
        </w:rPr>
        <w:drawing>
          <wp:inline distT="0" distB="0" distL="0" distR="0" wp14:anchorId="0115A8C6" wp14:editId="11A0219F">
            <wp:extent cx="2880000" cy="1260000"/>
            <wp:effectExtent l="0" t="0" r="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r w:rsidRPr="00D249AE">
        <w:rPr>
          <w:rFonts w:asciiTheme="majorHAnsi" w:hAnsiTheme="majorHAnsi" w:cstheme="majorHAnsi"/>
          <w:b/>
          <w:bCs/>
          <w:noProof/>
          <w:szCs w:val="20"/>
        </w:rPr>
        <w:drawing>
          <wp:inline distT="0" distB="0" distL="0" distR="0" wp14:anchorId="0E0D2BC2" wp14:editId="1EE78FF0">
            <wp:extent cx="2880000" cy="1260000"/>
            <wp:effectExtent l="0" t="0" r="0" b="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299275CC" w14:textId="77777777" w:rsidR="009A0130" w:rsidRPr="00BC0CBE" w:rsidRDefault="009A0130" w:rsidP="0059020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120"/>
        <w:jc w:val="both"/>
        <w:rPr>
          <w:rFonts w:ascii="Segoe UI Light" w:hAnsi="Segoe UI Light"/>
          <w:bCs/>
          <w:sz w:val="12"/>
          <w:szCs w:val="12"/>
          <w:lang w:val="en-GB"/>
        </w:rPr>
      </w:pPr>
      <w:r w:rsidRPr="00BC0CBE">
        <w:rPr>
          <w:rFonts w:ascii="Segoe UI Light" w:hAnsi="Segoe UI Light"/>
          <w:bCs/>
          <w:sz w:val="12"/>
          <w:szCs w:val="12"/>
        </w:rPr>
        <w:t xml:space="preserve">Avots: </w:t>
      </w:r>
      <w:proofErr w:type="spellStart"/>
      <w:r w:rsidRPr="00BC0CBE">
        <w:rPr>
          <w:rFonts w:ascii="Segoe UI Light" w:hAnsi="Segoe UI Light"/>
          <w:bCs/>
          <w:sz w:val="12"/>
          <w:szCs w:val="12"/>
          <w:lang w:val="en-GB"/>
        </w:rPr>
        <w:t>Cedefop</w:t>
      </w:r>
      <w:proofErr w:type="spellEnd"/>
      <w:r w:rsidRPr="00BC0CBE">
        <w:rPr>
          <w:rFonts w:ascii="Segoe UI Light" w:hAnsi="Segoe UI Light"/>
          <w:bCs/>
          <w:sz w:val="12"/>
          <w:szCs w:val="12"/>
          <w:lang w:val="en-GB"/>
        </w:rPr>
        <w:t xml:space="preserve"> (2021), Digital, greener and more resilient. Insight from </w:t>
      </w:r>
      <w:proofErr w:type="spellStart"/>
      <w:r w:rsidRPr="00BC0CBE">
        <w:rPr>
          <w:rFonts w:ascii="Segoe UI Light" w:hAnsi="Segoe UI Light"/>
          <w:bCs/>
          <w:sz w:val="12"/>
          <w:szCs w:val="12"/>
          <w:lang w:val="en-GB"/>
        </w:rPr>
        <w:t>Cedefop’s</w:t>
      </w:r>
      <w:proofErr w:type="spellEnd"/>
      <w:r w:rsidRPr="00BC0CBE">
        <w:rPr>
          <w:rFonts w:ascii="Segoe UI Light" w:hAnsi="Segoe UI Light"/>
          <w:bCs/>
          <w:sz w:val="12"/>
          <w:szCs w:val="12"/>
          <w:lang w:val="en-GB"/>
        </w:rPr>
        <w:t xml:space="preserve"> European skills forecast.</w:t>
      </w:r>
    </w:p>
    <w:p w14:paraId="78DF49FA" w14:textId="4030F4C4" w:rsidR="009A0130" w:rsidRDefault="0059020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16"/>
          <w:szCs w:val="16"/>
        </w:rPr>
      </w:pPr>
      <w:r>
        <w:rPr>
          <w:rFonts w:ascii="Segoe UI Light" w:hAnsi="Segoe UI Light"/>
          <w:bCs/>
          <w:sz w:val="16"/>
          <w:szCs w:val="16"/>
        </w:rPr>
        <w:br/>
      </w:r>
      <w:r w:rsidR="009A0130" w:rsidRPr="00C343D3">
        <w:rPr>
          <w:rFonts w:ascii="Segoe UI Light" w:hAnsi="Segoe UI Light"/>
          <w:bCs/>
          <w:sz w:val="16"/>
          <w:szCs w:val="16"/>
        </w:rPr>
        <w:t>Tehnoloģiju ieviešanas temps ir nenoteikts, jo tas ir atkarīgs no daudziem faktoriem, tādiem kā vēlmes investēt pētījumos un attīstībā, tehnoloģiju cenas, salīdzinot ar darbaspēka izmaksām, pieejamajām digitālajām un citām prasmēm, sociālo partneru iesaistes prasmju celšanas veicināšanā un likumdošanas. Lai gan tendence rāda, ka automatizēti tiks aizvien vairāk darbi, tomēr automatizācijas rezultātā veidosies arī jaunas darba vietas un jaunas profesijas.</w:t>
      </w:r>
    </w:p>
    <w:p w14:paraId="79AADBDB" w14:textId="77777777" w:rsidR="006E51D0" w:rsidRPr="00BC0CBE" w:rsidRDefault="006E51D0" w:rsidP="009A0130">
      <w:pPr>
        <w:pBdr>
          <w:top w:val="single" w:sz="4" w:space="6" w:color="auto" w:shadow="1"/>
          <w:left w:val="single" w:sz="4" w:space="6" w:color="auto" w:shadow="1"/>
          <w:bottom w:val="single" w:sz="4" w:space="1" w:color="auto" w:shadow="1"/>
          <w:right w:val="single" w:sz="4" w:space="6" w:color="auto" w:shadow="1"/>
        </w:pBdr>
        <w:shd w:val="clear" w:color="auto" w:fill="E5DFEC" w:themeFill="accent4" w:themeFillTint="33"/>
        <w:spacing w:after="60"/>
        <w:jc w:val="both"/>
        <w:rPr>
          <w:rFonts w:ascii="Segoe UI Light" w:hAnsi="Segoe UI Light"/>
          <w:bCs/>
          <w:sz w:val="4"/>
          <w:szCs w:val="4"/>
        </w:rPr>
      </w:pPr>
    </w:p>
    <w:p w14:paraId="1708D6B3" w14:textId="312AE775" w:rsidR="009A0130" w:rsidRPr="003B4CDA" w:rsidRDefault="00590200" w:rsidP="00BC0CBE">
      <w:pPr>
        <w:jc w:val="both"/>
        <w:rPr>
          <w:szCs w:val="20"/>
        </w:rPr>
      </w:pPr>
      <w:r>
        <w:rPr>
          <w:szCs w:val="20"/>
        </w:rPr>
        <w:br/>
      </w:r>
      <w:r w:rsidR="009A0130" w:rsidRPr="003B4CDA">
        <w:rPr>
          <w:szCs w:val="20"/>
        </w:rPr>
        <w:t>Straujākais nodarbināto skaita pieaugums paredzams komercpakalpojumu nozarēs. 20</w:t>
      </w:r>
      <w:r w:rsidR="009A0130">
        <w:rPr>
          <w:szCs w:val="20"/>
        </w:rPr>
        <w:t>30</w:t>
      </w:r>
      <w:r w:rsidR="009A0130" w:rsidRPr="003B4CDA">
        <w:rPr>
          <w:szCs w:val="20"/>
        </w:rPr>
        <w:t xml:space="preserve">. gadā pieprasījums pēc darbaspēka par </w:t>
      </w:r>
      <w:r w:rsidR="009A0130">
        <w:rPr>
          <w:szCs w:val="20"/>
        </w:rPr>
        <w:t>18</w:t>
      </w:r>
      <w:r w:rsidR="009A0130" w:rsidRPr="003B4CDA">
        <w:rPr>
          <w:szCs w:val="20"/>
        </w:rPr>
        <w:t>% pārsniegs 20</w:t>
      </w:r>
      <w:r w:rsidR="009A0130">
        <w:rPr>
          <w:szCs w:val="20"/>
        </w:rPr>
        <w:t>21</w:t>
      </w:r>
      <w:r w:rsidR="009A0130" w:rsidRPr="003B4CDA">
        <w:rPr>
          <w:szCs w:val="20"/>
        </w:rPr>
        <w:t>. gada līmeni un veidos 2</w:t>
      </w:r>
      <w:r w:rsidR="009A0130">
        <w:rPr>
          <w:szCs w:val="20"/>
        </w:rPr>
        <w:t>3</w:t>
      </w:r>
      <w:r w:rsidR="009A0130" w:rsidRPr="003B4CDA">
        <w:rPr>
          <w:szCs w:val="20"/>
        </w:rPr>
        <w:t>%</w:t>
      </w:r>
      <w:r w:rsidR="009A0130">
        <w:rPr>
          <w:szCs w:val="20"/>
        </w:rPr>
        <w:t xml:space="preserve"> </w:t>
      </w:r>
      <w:r w:rsidR="009A0130" w:rsidRPr="003B4CDA">
        <w:rPr>
          <w:szCs w:val="20"/>
        </w:rPr>
        <w:t xml:space="preserve">no visā tautsaimniecībā nodarbināto skaita, savukārt ilgtermiņā pieprasījums pieaugs par </w:t>
      </w:r>
      <w:r w:rsidR="009A0130">
        <w:rPr>
          <w:szCs w:val="20"/>
        </w:rPr>
        <w:t>26</w:t>
      </w:r>
      <w:r w:rsidR="009A0130" w:rsidRPr="003B4CDA">
        <w:rPr>
          <w:szCs w:val="20"/>
        </w:rPr>
        <w:t>% un veidos jau 1/</w:t>
      </w:r>
      <w:r w:rsidR="009A0130">
        <w:rPr>
          <w:szCs w:val="20"/>
        </w:rPr>
        <w:t>4</w:t>
      </w:r>
      <w:r w:rsidR="009A0130" w:rsidRPr="003B4CDA">
        <w:rPr>
          <w:szCs w:val="20"/>
        </w:rPr>
        <w:t xml:space="preserve"> no visā tautsaimniecībā nodarbināto skaita. Komercpakalpojumu nozares izaugsmi galvenokārt veicinās pārējo tautsaimniecības nozaru attīstība un aizvien augošais pieprasījums pēc ārpakalpojumiem.</w:t>
      </w:r>
    </w:p>
    <w:p w14:paraId="4921482D" w14:textId="77777777" w:rsidR="009A0130" w:rsidRPr="003B4CDA" w:rsidRDefault="009A0130" w:rsidP="009A0130">
      <w:pPr>
        <w:jc w:val="both"/>
        <w:rPr>
          <w:szCs w:val="20"/>
        </w:rPr>
      </w:pPr>
      <w:r w:rsidRPr="003B4CDA">
        <w:rPr>
          <w:szCs w:val="20"/>
        </w:rPr>
        <w:lastRenderedPageBreak/>
        <w:t>Gan vidējā termiņā, gan ilgtermiņā pieprasījums augs galvenokārt pēc augstas kvalifikācijas profesiju speciālistiem. To pamatā noteiks pieprasījuma pieaugums pēc darbaspēka komercpakalpojumos</w:t>
      </w:r>
      <w:r>
        <w:rPr>
          <w:szCs w:val="20"/>
        </w:rPr>
        <w:t>, tirdzniecībā un būvniecībā</w:t>
      </w:r>
      <w:r w:rsidRPr="003B4CDA">
        <w:rPr>
          <w:szCs w:val="20"/>
        </w:rPr>
        <w:t xml:space="preserve">. Ilgtermiņā straujākais pieprasījuma pieaugums sagaidāms </w:t>
      </w:r>
      <w:r>
        <w:rPr>
          <w:szCs w:val="20"/>
        </w:rPr>
        <w:t>komerc</w:t>
      </w:r>
      <w:r w:rsidRPr="003B4CDA">
        <w:rPr>
          <w:szCs w:val="20"/>
        </w:rPr>
        <w:t>pakalpojumos un</w:t>
      </w:r>
      <w:r w:rsidRPr="001735B6">
        <w:rPr>
          <w:szCs w:val="20"/>
        </w:rPr>
        <w:t xml:space="preserve"> </w:t>
      </w:r>
      <w:r w:rsidRPr="003B4CDA">
        <w:rPr>
          <w:szCs w:val="20"/>
        </w:rPr>
        <w:t>tirdzniecībā, kā arī apstrādes rūpniecībā un būvniecības jomā.</w:t>
      </w:r>
    </w:p>
    <w:p w14:paraId="1CDAB433" w14:textId="1E510C08" w:rsidR="009A0130" w:rsidRPr="003B4CDA" w:rsidRDefault="009A0130" w:rsidP="009A0130">
      <w:pPr>
        <w:jc w:val="both"/>
        <w:rPr>
          <w:szCs w:val="20"/>
        </w:rPr>
      </w:pPr>
      <w:r>
        <w:rPr>
          <w:szCs w:val="20"/>
        </w:rPr>
        <w:t>G</w:t>
      </w:r>
      <w:r w:rsidRPr="003B4CDA">
        <w:rPr>
          <w:szCs w:val="20"/>
        </w:rPr>
        <w:t xml:space="preserve">an vidējā </w:t>
      </w:r>
      <w:r>
        <w:rPr>
          <w:szCs w:val="20"/>
        </w:rPr>
        <w:t>termiņā, gan ilg</w:t>
      </w:r>
      <w:r w:rsidRPr="003B4CDA">
        <w:rPr>
          <w:szCs w:val="20"/>
        </w:rPr>
        <w:t>termiņā pieprasījums</w:t>
      </w:r>
      <w:r w:rsidRPr="003B4CDA">
        <w:t xml:space="preserve"> </w:t>
      </w:r>
      <w:r w:rsidRPr="003B4CDA">
        <w:rPr>
          <w:szCs w:val="20"/>
        </w:rPr>
        <w:t>vidējas kvalifikācijas profesiju grupā samazināsies, tomēr augsts tas saglabāsies pēc</w:t>
      </w:r>
      <w:r w:rsidRPr="003B4CDA">
        <w:t xml:space="preserve"> </w:t>
      </w:r>
      <w:r w:rsidRPr="003B4CDA">
        <w:rPr>
          <w:szCs w:val="20"/>
        </w:rPr>
        <w:t xml:space="preserve">kvalificētiem strādniekiem. </w:t>
      </w:r>
      <w:r>
        <w:rPr>
          <w:szCs w:val="20"/>
        </w:rPr>
        <w:t>S</w:t>
      </w:r>
      <w:r w:rsidRPr="003B4CDA">
        <w:rPr>
          <w:szCs w:val="20"/>
        </w:rPr>
        <w:t xml:space="preserve">traujākais pieprasījuma pieaugums sagaidāms būvniecībā. Tajā pašā laikā </w:t>
      </w:r>
      <w:r>
        <w:rPr>
          <w:szCs w:val="20"/>
        </w:rPr>
        <w:t xml:space="preserve">vidējā termiņā </w:t>
      </w:r>
      <w:r w:rsidRPr="003B4CDA">
        <w:rPr>
          <w:szCs w:val="20"/>
        </w:rPr>
        <w:t xml:space="preserve">pieprasījums saruks visās nozarēs, </w:t>
      </w:r>
      <w:bookmarkStart w:id="66" w:name="_Hlk103616524"/>
      <w:r w:rsidRPr="003B4CDA">
        <w:rPr>
          <w:szCs w:val="20"/>
        </w:rPr>
        <w:t xml:space="preserve">izņemot </w:t>
      </w:r>
      <w:r>
        <w:rPr>
          <w:szCs w:val="20"/>
        </w:rPr>
        <w:t xml:space="preserve">lauksaimniecību, </w:t>
      </w:r>
      <w:r w:rsidRPr="003B4CDA">
        <w:rPr>
          <w:szCs w:val="20"/>
        </w:rPr>
        <w:t>apstrādes rūpniecību</w:t>
      </w:r>
      <w:r>
        <w:rPr>
          <w:szCs w:val="20"/>
        </w:rPr>
        <w:t>,</w:t>
      </w:r>
      <w:r w:rsidRPr="001735B6">
        <w:rPr>
          <w:szCs w:val="20"/>
        </w:rPr>
        <w:t xml:space="preserve"> </w:t>
      </w:r>
      <w:r w:rsidRPr="003B4CDA">
        <w:rPr>
          <w:szCs w:val="20"/>
        </w:rPr>
        <w:t>būvniecību un</w:t>
      </w:r>
      <w:r>
        <w:rPr>
          <w:szCs w:val="20"/>
        </w:rPr>
        <w:t xml:space="preserve"> komercpakalpojumus</w:t>
      </w:r>
      <w:bookmarkEnd w:id="66"/>
      <w:r w:rsidRPr="003B4CDA">
        <w:rPr>
          <w:szCs w:val="20"/>
        </w:rPr>
        <w:t xml:space="preserve">. Ilgtermiņā pieprasījums vidējas kvalifikācijas profesiju grupā samazināsies visās nozarēs, </w:t>
      </w:r>
      <w:r w:rsidRPr="001735B6">
        <w:rPr>
          <w:szCs w:val="20"/>
        </w:rPr>
        <w:t>izņemot apstrādes rūpniecību, būvniecību un komercpakalpojumus</w:t>
      </w:r>
      <w:r w:rsidRPr="003B4CDA">
        <w:rPr>
          <w:szCs w:val="20"/>
        </w:rPr>
        <w:t>.</w:t>
      </w:r>
    </w:p>
    <w:p w14:paraId="0D3FD7CE" w14:textId="7DB60A1C" w:rsidR="009A0130" w:rsidRPr="003B4CDA" w:rsidRDefault="009A0130" w:rsidP="009A0130">
      <w:pPr>
        <w:jc w:val="right"/>
        <w:rPr>
          <w:szCs w:val="20"/>
        </w:rPr>
      </w:pPr>
      <w:r w:rsidRPr="003B4CDA">
        <w:rPr>
          <w:szCs w:val="20"/>
        </w:rPr>
        <w:t>3.</w:t>
      </w:r>
      <w:r w:rsidR="00BC0CBE">
        <w:rPr>
          <w:szCs w:val="20"/>
        </w:rPr>
        <w:t>7</w:t>
      </w:r>
      <w:r w:rsidRPr="003B4CDA">
        <w:rPr>
          <w:szCs w:val="20"/>
        </w:rPr>
        <w:t>. tabula</w:t>
      </w:r>
    </w:p>
    <w:p w14:paraId="6546B40E" w14:textId="77777777" w:rsidR="009A0130" w:rsidRPr="003B4CDA" w:rsidRDefault="009A0130" w:rsidP="00590200">
      <w:pPr>
        <w:spacing w:after="120"/>
        <w:jc w:val="center"/>
        <w:rPr>
          <w:rFonts w:ascii="Segoe UI Light" w:hAnsi="Segoe UI Light"/>
          <w:i/>
          <w:sz w:val="16"/>
          <w:szCs w:val="26"/>
        </w:rPr>
      </w:pPr>
      <w:r w:rsidRPr="003B4CDA">
        <w:rPr>
          <w:rFonts w:ascii="Segoe UI Light" w:hAnsi="Segoe UI Light"/>
          <w:b/>
          <w:sz w:val="18"/>
          <w:szCs w:val="26"/>
        </w:rPr>
        <w:t>Darbaspēka pieprasījuma izmaiņas profesiju grupās</w:t>
      </w:r>
      <w:r w:rsidRPr="003B4CDA">
        <w:rPr>
          <w:rFonts w:ascii="Segoe UI Light" w:hAnsi="Segoe UI Light"/>
          <w:sz w:val="18"/>
          <w:szCs w:val="26"/>
        </w:rPr>
        <w:br/>
      </w:r>
      <w:r w:rsidRPr="003B4CDA">
        <w:rPr>
          <w:rFonts w:ascii="Segoe UI Light" w:hAnsi="Segoe UI Light"/>
          <w:i/>
          <w:sz w:val="16"/>
          <w:szCs w:val="26"/>
        </w:rPr>
        <w:t>procentos</w:t>
      </w:r>
    </w:p>
    <w:tbl>
      <w:tblPr>
        <w:tblStyle w:val="GridTable5Dark-Accent31"/>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849"/>
        <w:gridCol w:w="1305"/>
        <w:gridCol w:w="1310"/>
        <w:gridCol w:w="1305"/>
        <w:gridCol w:w="1303"/>
      </w:tblGrid>
      <w:tr w:rsidR="009A0130" w:rsidRPr="003B4CDA" w14:paraId="654EB438" w14:textId="77777777" w:rsidTr="00D209BD">
        <w:trPr>
          <w:cnfStyle w:val="100000000000" w:firstRow="1" w:lastRow="0" w:firstColumn="0" w:lastColumn="0" w:oddVBand="0" w:evenVBand="0" w:oddHBand="0" w:evenHBand="0" w:firstRowFirstColumn="0" w:firstRowLastColumn="0" w:lastRowFirstColumn="0" w:lastRowLastColumn="0"/>
        </w:trPr>
        <w:tc>
          <w:tcPr>
            <w:tcW w:w="2120" w:type="pct"/>
            <w:shd w:val="clear" w:color="auto" w:fill="5F497A" w:themeFill="accent4" w:themeFillShade="BF"/>
            <w:noWrap/>
          </w:tcPr>
          <w:p w14:paraId="64765C18" w14:textId="77777777" w:rsidR="009A0130" w:rsidRPr="003B4CDA" w:rsidRDefault="009A0130" w:rsidP="00D209BD">
            <w:pPr>
              <w:spacing w:before="60" w:after="60"/>
              <w:ind w:left="-142" w:right="-142"/>
              <w:jc w:val="center"/>
              <w:rPr>
                <w:rFonts w:ascii="Segoe UI Light" w:hAnsi="Segoe UI Light"/>
                <w:b w:val="0"/>
                <w:color w:val="FFFFFF"/>
                <w:sz w:val="16"/>
                <w:szCs w:val="20"/>
              </w:rPr>
            </w:pPr>
          </w:p>
        </w:tc>
        <w:tc>
          <w:tcPr>
            <w:tcW w:w="1439" w:type="pct"/>
            <w:gridSpan w:val="2"/>
            <w:shd w:val="clear" w:color="auto" w:fill="5F497A" w:themeFill="accent4" w:themeFillShade="BF"/>
          </w:tcPr>
          <w:p w14:paraId="2BB7EAD9" w14:textId="77777777" w:rsidR="009A0130" w:rsidRPr="003B4CDA" w:rsidRDefault="009A0130" w:rsidP="00D209BD">
            <w:pPr>
              <w:spacing w:before="60" w:after="60"/>
              <w:ind w:left="-142" w:right="-142"/>
              <w:jc w:val="center"/>
              <w:rPr>
                <w:rFonts w:ascii="Segoe UI Light" w:hAnsi="Segoe UI Light"/>
                <w:color w:val="FFFFFF"/>
                <w:sz w:val="16"/>
                <w:szCs w:val="20"/>
              </w:rPr>
            </w:pPr>
            <w:r w:rsidRPr="003B4CDA">
              <w:rPr>
                <w:rFonts w:ascii="Segoe UI Light" w:hAnsi="Segoe UI Light"/>
                <w:color w:val="FFFFFF"/>
                <w:sz w:val="16"/>
                <w:szCs w:val="20"/>
              </w:rPr>
              <w:t>Izmaiņas pret 20</w:t>
            </w:r>
            <w:r>
              <w:rPr>
                <w:rFonts w:ascii="Segoe UI Light" w:hAnsi="Segoe UI Light"/>
                <w:color w:val="FFFFFF"/>
                <w:sz w:val="16"/>
                <w:szCs w:val="20"/>
              </w:rPr>
              <w:t>21</w:t>
            </w:r>
            <w:r w:rsidRPr="003B4CDA">
              <w:rPr>
                <w:rFonts w:ascii="Segoe UI Light" w:hAnsi="Segoe UI Light"/>
                <w:color w:val="FFFFFF"/>
                <w:sz w:val="16"/>
                <w:szCs w:val="20"/>
              </w:rPr>
              <w:t>. gadu</w:t>
            </w:r>
          </w:p>
        </w:tc>
        <w:tc>
          <w:tcPr>
            <w:tcW w:w="1435" w:type="pct"/>
            <w:gridSpan w:val="2"/>
            <w:shd w:val="clear" w:color="auto" w:fill="5F497A" w:themeFill="accent4" w:themeFillShade="BF"/>
          </w:tcPr>
          <w:p w14:paraId="49B95069" w14:textId="77777777" w:rsidR="009A0130" w:rsidRPr="003B4CDA" w:rsidRDefault="009A0130" w:rsidP="00D209BD">
            <w:pPr>
              <w:spacing w:before="60" w:after="60"/>
              <w:ind w:left="-142" w:right="-142"/>
              <w:jc w:val="center"/>
              <w:rPr>
                <w:rFonts w:ascii="Segoe UI Light" w:hAnsi="Segoe UI Light"/>
                <w:color w:val="FFFFFF"/>
                <w:sz w:val="16"/>
                <w:szCs w:val="20"/>
              </w:rPr>
            </w:pPr>
            <w:r w:rsidRPr="003B4CDA">
              <w:rPr>
                <w:rFonts w:ascii="Segoe UI Light" w:hAnsi="Segoe UI Light"/>
                <w:color w:val="FFFFFF"/>
                <w:sz w:val="16"/>
                <w:szCs w:val="20"/>
              </w:rPr>
              <w:t>Struktūra</w:t>
            </w:r>
          </w:p>
        </w:tc>
      </w:tr>
      <w:tr w:rsidR="009A0130" w:rsidRPr="003B4CDA" w14:paraId="5CB09B33" w14:textId="77777777" w:rsidTr="00232506">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5F497A" w:themeFill="accent4" w:themeFillShade="BF"/>
            <w:noWrap/>
          </w:tcPr>
          <w:p w14:paraId="1764ADA6" w14:textId="77777777" w:rsidR="009A0130" w:rsidRPr="003B4CDA" w:rsidRDefault="009A0130" w:rsidP="00D209BD">
            <w:pPr>
              <w:spacing w:before="60" w:after="60"/>
              <w:ind w:left="-142" w:right="-142"/>
              <w:jc w:val="center"/>
              <w:rPr>
                <w:rFonts w:ascii="Segoe UI Light" w:hAnsi="Segoe UI Light"/>
                <w:color w:val="FFFFFF"/>
                <w:sz w:val="16"/>
                <w:szCs w:val="20"/>
              </w:rPr>
            </w:pPr>
          </w:p>
        </w:tc>
        <w:tc>
          <w:tcPr>
            <w:tcW w:w="718" w:type="pct"/>
            <w:shd w:val="clear" w:color="auto" w:fill="5F497A" w:themeFill="accent4" w:themeFillShade="BF"/>
          </w:tcPr>
          <w:p w14:paraId="0C6682F6" w14:textId="77777777" w:rsidR="009A0130" w:rsidRPr="003B4CDA" w:rsidRDefault="009A0130" w:rsidP="00D209BD">
            <w:pPr>
              <w:spacing w:before="60" w:after="60"/>
              <w:ind w:left="-142" w:right="-142"/>
              <w:jc w:val="center"/>
              <w:rPr>
                <w:rFonts w:ascii="Segoe UI Light" w:hAnsi="Segoe UI Light"/>
                <w:b/>
                <w:color w:val="FFFFFF"/>
                <w:sz w:val="16"/>
                <w:szCs w:val="20"/>
              </w:rPr>
            </w:pPr>
            <w:r w:rsidRPr="003B4CDA">
              <w:rPr>
                <w:rFonts w:ascii="Segoe UI Light" w:hAnsi="Segoe UI Light"/>
                <w:b/>
                <w:color w:val="FFFFFF"/>
                <w:sz w:val="16"/>
                <w:szCs w:val="20"/>
              </w:rPr>
              <w:t>20</w:t>
            </w:r>
            <w:r>
              <w:rPr>
                <w:rFonts w:ascii="Segoe UI Light" w:hAnsi="Segoe UI Light"/>
                <w:b/>
                <w:color w:val="FFFFFF"/>
                <w:sz w:val="16"/>
                <w:szCs w:val="20"/>
              </w:rPr>
              <w:t>30</w:t>
            </w:r>
          </w:p>
        </w:tc>
        <w:tc>
          <w:tcPr>
            <w:tcW w:w="721" w:type="pct"/>
            <w:shd w:val="clear" w:color="auto" w:fill="5F497A" w:themeFill="accent4" w:themeFillShade="BF"/>
          </w:tcPr>
          <w:p w14:paraId="53BAE00C" w14:textId="77777777" w:rsidR="009A0130" w:rsidRPr="003B4CDA" w:rsidRDefault="009A0130" w:rsidP="00D209BD">
            <w:pPr>
              <w:spacing w:before="60" w:after="60"/>
              <w:ind w:left="-142" w:right="-142"/>
              <w:jc w:val="center"/>
              <w:rPr>
                <w:rFonts w:ascii="Segoe UI Light" w:hAnsi="Segoe UI Light"/>
                <w:b/>
                <w:color w:val="FFFFFF"/>
                <w:sz w:val="16"/>
                <w:szCs w:val="20"/>
              </w:rPr>
            </w:pPr>
            <w:r w:rsidRPr="003B4CDA">
              <w:rPr>
                <w:rFonts w:ascii="Segoe UI Light" w:hAnsi="Segoe UI Light"/>
                <w:b/>
                <w:color w:val="FFFFFF"/>
                <w:sz w:val="16"/>
                <w:szCs w:val="20"/>
              </w:rPr>
              <w:t>2040</w:t>
            </w:r>
          </w:p>
        </w:tc>
        <w:tc>
          <w:tcPr>
            <w:tcW w:w="718" w:type="pct"/>
            <w:shd w:val="clear" w:color="auto" w:fill="5F497A" w:themeFill="accent4" w:themeFillShade="BF"/>
          </w:tcPr>
          <w:p w14:paraId="43320D8B" w14:textId="77777777" w:rsidR="009A0130" w:rsidRPr="003B4CDA" w:rsidRDefault="009A0130" w:rsidP="00D209BD">
            <w:pPr>
              <w:spacing w:before="60" w:after="60"/>
              <w:ind w:left="-142" w:right="-142"/>
              <w:jc w:val="center"/>
              <w:rPr>
                <w:rFonts w:ascii="Segoe UI Light" w:hAnsi="Segoe UI Light"/>
                <w:b/>
                <w:color w:val="FFFFFF"/>
                <w:sz w:val="16"/>
                <w:szCs w:val="20"/>
              </w:rPr>
            </w:pPr>
            <w:r w:rsidRPr="003B4CDA">
              <w:rPr>
                <w:rFonts w:ascii="Segoe UI Light" w:hAnsi="Segoe UI Light"/>
                <w:b/>
                <w:color w:val="FFFFFF"/>
                <w:sz w:val="16"/>
                <w:szCs w:val="20"/>
              </w:rPr>
              <w:t>20</w:t>
            </w:r>
            <w:r>
              <w:rPr>
                <w:rFonts w:ascii="Segoe UI Light" w:hAnsi="Segoe UI Light"/>
                <w:b/>
                <w:color w:val="FFFFFF"/>
                <w:sz w:val="16"/>
                <w:szCs w:val="20"/>
              </w:rPr>
              <w:t>30</w:t>
            </w:r>
          </w:p>
        </w:tc>
        <w:tc>
          <w:tcPr>
            <w:tcW w:w="717" w:type="pct"/>
            <w:shd w:val="clear" w:color="auto" w:fill="5F497A" w:themeFill="accent4" w:themeFillShade="BF"/>
          </w:tcPr>
          <w:p w14:paraId="723E5786" w14:textId="77777777" w:rsidR="009A0130" w:rsidRPr="003B4CDA" w:rsidRDefault="009A0130" w:rsidP="00D209BD">
            <w:pPr>
              <w:spacing w:before="60" w:after="60"/>
              <w:ind w:left="-142" w:right="-142"/>
              <w:jc w:val="center"/>
              <w:rPr>
                <w:rFonts w:ascii="Segoe UI Light" w:hAnsi="Segoe UI Light"/>
                <w:b/>
                <w:color w:val="FFFFFF"/>
                <w:sz w:val="16"/>
                <w:szCs w:val="20"/>
              </w:rPr>
            </w:pPr>
            <w:r w:rsidRPr="003B4CDA">
              <w:rPr>
                <w:rFonts w:ascii="Segoe UI Light" w:hAnsi="Segoe UI Light"/>
                <w:b/>
                <w:color w:val="FFFFFF"/>
                <w:sz w:val="16"/>
                <w:szCs w:val="20"/>
              </w:rPr>
              <w:t>2040</w:t>
            </w:r>
          </w:p>
        </w:tc>
      </w:tr>
      <w:tr w:rsidR="009A0130" w:rsidRPr="003B4CDA" w14:paraId="5D058DFF" w14:textId="77777777" w:rsidTr="00232506">
        <w:tc>
          <w:tcPr>
            <w:tcW w:w="2122" w:type="pct"/>
            <w:shd w:val="clear" w:color="auto" w:fill="CCC0D9" w:themeFill="accent4" w:themeFillTint="66"/>
          </w:tcPr>
          <w:p w14:paraId="7E3EE68A" w14:textId="77777777" w:rsidR="009A0130" w:rsidRPr="003B4CDA" w:rsidRDefault="009A0130" w:rsidP="00590200">
            <w:pPr>
              <w:spacing w:before="40" w:after="40"/>
              <w:ind w:right="-142"/>
              <w:jc w:val="both"/>
              <w:rPr>
                <w:rFonts w:ascii="Segoe UI Light" w:hAnsi="Segoe UI Light"/>
                <w:sz w:val="16"/>
                <w:szCs w:val="20"/>
              </w:rPr>
            </w:pPr>
            <w:r>
              <w:rPr>
                <w:rFonts w:ascii="Segoe UI Light" w:hAnsi="Segoe UI Light"/>
                <w:sz w:val="16"/>
                <w:szCs w:val="20"/>
              </w:rPr>
              <w:t>Nacionālo bruņoto spēku profesijas</w:t>
            </w:r>
          </w:p>
        </w:tc>
        <w:tc>
          <w:tcPr>
            <w:tcW w:w="719" w:type="pct"/>
            <w:shd w:val="clear" w:color="auto" w:fill="CCC0D9" w:themeFill="accent4" w:themeFillTint="66"/>
            <w:vAlign w:val="bottom"/>
          </w:tcPr>
          <w:p w14:paraId="4E1F355E"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23,5</w:t>
            </w:r>
          </w:p>
        </w:tc>
        <w:tc>
          <w:tcPr>
            <w:tcW w:w="722" w:type="pct"/>
            <w:shd w:val="clear" w:color="auto" w:fill="CCC0D9" w:themeFill="accent4" w:themeFillTint="66"/>
            <w:vAlign w:val="bottom"/>
          </w:tcPr>
          <w:p w14:paraId="1E4F2D18"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49,1</w:t>
            </w:r>
          </w:p>
        </w:tc>
        <w:tc>
          <w:tcPr>
            <w:tcW w:w="719" w:type="pct"/>
            <w:shd w:val="clear" w:color="auto" w:fill="CCC0D9" w:themeFill="accent4" w:themeFillTint="66"/>
            <w:vAlign w:val="bottom"/>
          </w:tcPr>
          <w:p w14:paraId="5E81B24E"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0,9</w:t>
            </w:r>
          </w:p>
        </w:tc>
        <w:tc>
          <w:tcPr>
            <w:tcW w:w="718" w:type="pct"/>
            <w:shd w:val="clear" w:color="auto" w:fill="CCC0D9" w:themeFill="accent4" w:themeFillTint="66"/>
            <w:vAlign w:val="bottom"/>
          </w:tcPr>
          <w:p w14:paraId="30A24A35"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1,1</w:t>
            </w:r>
          </w:p>
        </w:tc>
      </w:tr>
      <w:tr w:rsidR="009A0130" w:rsidRPr="003B4CDA" w14:paraId="64D8EF7D" w14:textId="77777777" w:rsidTr="00232506">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39255910" w14:textId="77777777" w:rsidR="009A0130" w:rsidRPr="003B4CDA" w:rsidRDefault="009A0130" w:rsidP="00590200">
            <w:pPr>
              <w:spacing w:before="40" w:after="40"/>
              <w:ind w:right="-142"/>
              <w:jc w:val="both"/>
              <w:rPr>
                <w:rFonts w:ascii="Segoe UI Light" w:hAnsi="Segoe UI Light"/>
                <w:sz w:val="16"/>
                <w:szCs w:val="20"/>
              </w:rPr>
            </w:pPr>
            <w:r w:rsidRPr="003B4CDA">
              <w:rPr>
                <w:rFonts w:ascii="Segoe UI Light" w:hAnsi="Segoe UI Light"/>
                <w:sz w:val="16"/>
                <w:szCs w:val="20"/>
              </w:rPr>
              <w:t>Augstas kvalifikācijas profesijas, tai skaitā:</w:t>
            </w:r>
          </w:p>
        </w:tc>
        <w:tc>
          <w:tcPr>
            <w:tcW w:w="718" w:type="pct"/>
            <w:shd w:val="clear" w:color="auto" w:fill="E5DFEC" w:themeFill="accent4" w:themeFillTint="33"/>
            <w:vAlign w:val="bottom"/>
          </w:tcPr>
          <w:p w14:paraId="68D68417"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11</w:t>
            </w:r>
            <w:r w:rsidRPr="003B4CDA">
              <w:rPr>
                <w:rFonts w:ascii="Segoe UI Light" w:hAnsi="Segoe UI Light"/>
                <w:sz w:val="16"/>
                <w:szCs w:val="20"/>
              </w:rPr>
              <w:t>,6</w:t>
            </w:r>
          </w:p>
        </w:tc>
        <w:tc>
          <w:tcPr>
            <w:tcW w:w="721" w:type="pct"/>
            <w:shd w:val="clear" w:color="auto" w:fill="E5DFEC" w:themeFill="accent4" w:themeFillTint="33"/>
            <w:vAlign w:val="bottom"/>
          </w:tcPr>
          <w:p w14:paraId="089658ED"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0</w:t>
            </w:r>
            <w:r w:rsidRPr="003B4CDA">
              <w:rPr>
                <w:rFonts w:ascii="Segoe UI Light" w:hAnsi="Segoe UI Light"/>
                <w:sz w:val="16"/>
                <w:szCs w:val="20"/>
              </w:rPr>
              <w:t>,3</w:t>
            </w:r>
          </w:p>
        </w:tc>
        <w:tc>
          <w:tcPr>
            <w:tcW w:w="718" w:type="pct"/>
            <w:shd w:val="clear" w:color="auto" w:fill="E5DFEC" w:themeFill="accent4" w:themeFillTint="33"/>
            <w:vAlign w:val="bottom"/>
          </w:tcPr>
          <w:p w14:paraId="0ADE2529"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4</w:t>
            </w:r>
            <w:r>
              <w:rPr>
                <w:rFonts w:ascii="Segoe UI Light" w:hAnsi="Segoe UI Light"/>
                <w:sz w:val="16"/>
                <w:szCs w:val="20"/>
              </w:rPr>
              <w:t>8</w:t>
            </w:r>
            <w:r w:rsidRPr="003B4CDA">
              <w:rPr>
                <w:rFonts w:ascii="Segoe UI Light" w:hAnsi="Segoe UI Light"/>
                <w:sz w:val="16"/>
                <w:szCs w:val="20"/>
              </w:rPr>
              <w:t>,</w:t>
            </w:r>
            <w:r>
              <w:rPr>
                <w:rFonts w:ascii="Segoe UI Light" w:hAnsi="Segoe UI Light"/>
                <w:sz w:val="16"/>
                <w:szCs w:val="20"/>
              </w:rPr>
              <w:t>4</w:t>
            </w:r>
          </w:p>
        </w:tc>
        <w:tc>
          <w:tcPr>
            <w:tcW w:w="717" w:type="pct"/>
            <w:shd w:val="clear" w:color="auto" w:fill="E5DFEC" w:themeFill="accent4" w:themeFillTint="33"/>
            <w:vAlign w:val="bottom"/>
          </w:tcPr>
          <w:p w14:paraId="07445E0E"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52,</w:t>
            </w:r>
            <w:r>
              <w:rPr>
                <w:rFonts w:ascii="Segoe UI Light" w:hAnsi="Segoe UI Light"/>
                <w:sz w:val="16"/>
                <w:szCs w:val="20"/>
              </w:rPr>
              <w:t>9</w:t>
            </w:r>
          </w:p>
        </w:tc>
      </w:tr>
      <w:tr w:rsidR="009A0130" w:rsidRPr="003B4CDA" w14:paraId="589AB1B7" w14:textId="77777777" w:rsidTr="00D209BD">
        <w:tc>
          <w:tcPr>
            <w:tcW w:w="2120" w:type="pct"/>
            <w:shd w:val="clear" w:color="auto" w:fill="CCC0D9" w:themeFill="accent4" w:themeFillTint="66"/>
          </w:tcPr>
          <w:p w14:paraId="71687549" w14:textId="77777777" w:rsidR="009A0130" w:rsidRPr="003B4CDA" w:rsidRDefault="009A0130" w:rsidP="00590200">
            <w:pPr>
              <w:spacing w:before="40" w:after="40"/>
              <w:ind w:left="176" w:right="-142"/>
              <w:jc w:val="both"/>
              <w:rPr>
                <w:rFonts w:ascii="Segoe UI Light" w:hAnsi="Segoe UI Light"/>
                <w:sz w:val="16"/>
                <w:szCs w:val="20"/>
              </w:rPr>
            </w:pPr>
            <w:bookmarkStart w:id="67" w:name="_Hlk103595742"/>
            <w:r w:rsidRPr="003B4CDA">
              <w:rPr>
                <w:rFonts w:ascii="Segoe UI Light" w:hAnsi="Segoe UI Light"/>
                <w:sz w:val="16"/>
                <w:szCs w:val="20"/>
              </w:rPr>
              <w:t>Vadītāji</w:t>
            </w:r>
          </w:p>
        </w:tc>
        <w:tc>
          <w:tcPr>
            <w:tcW w:w="718" w:type="pct"/>
            <w:shd w:val="clear" w:color="auto" w:fill="CCC0D9" w:themeFill="accent4" w:themeFillTint="66"/>
            <w:vAlign w:val="bottom"/>
          </w:tcPr>
          <w:p w14:paraId="4F685A6B"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10,6</w:t>
            </w:r>
          </w:p>
        </w:tc>
        <w:tc>
          <w:tcPr>
            <w:tcW w:w="721" w:type="pct"/>
            <w:shd w:val="clear" w:color="auto" w:fill="CCC0D9" w:themeFill="accent4" w:themeFillTint="66"/>
            <w:vAlign w:val="bottom"/>
          </w:tcPr>
          <w:p w14:paraId="7161A019"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5</w:t>
            </w:r>
            <w:r w:rsidRPr="003B4CDA">
              <w:rPr>
                <w:rFonts w:ascii="Segoe UI Light" w:hAnsi="Segoe UI Light"/>
                <w:sz w:val="16"/>
                <w:szCs w:val="20"/>
              </w:rPr>
              <w:t>,4</w:t>
            </w:r>
          </w:p>
        </w:tc>
        <w:tc>
          <w:tcPr>
            <w:tcW w:w="718" w:type="pct"/>
            <w:shd w:val="clear" w:color="auto" w:fill="CCC0D9" w:themeFill="accent4" w:themeFillTint="66"/>
            <w:vAlign w:val="bottom"/>
          </w:tcPr>
          <w:p w14:paraId="4947C822"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11,0</w:t>
            </w:r>
          </w:p>
        </w:tc>
        <w:tc>
          <w:tcPr>
            <w:tcW w:w="717" w:type="pct"/>
            <w:shd w:val="clear" w:color="auto" w:fill="CCC0D9" w:themeFill="accent4" w:themeFillTint="66"/>
            <w:vAlign w:val="bottom"/>
          </w:tcPr>
          <w:p w14:paraId="61D58D4D"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11,</w:t>
            </w:r>
            <w:r>
              <w:rPr>
                <w:rFonts w:ascii="Segoe UI Light" w:hAnsi="Segoe UI Light"/>
                <w:sz w:val="16"/>
                <w:szCs w:val="20"/>
              </w:rPr>
              <w:t>6</w:t>
            </w:r>
          </w:p>
        </w:tc>
      </w:tr>
      <w:bookmarkEnd w:id="67"/>
      <w:tr w:rsidR="009A0130" w:rsidRPr="003B4CDA" w14:paraId="4E088364" w14:textId="77777777" w:rsidTr="00D209BD">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41A0A527"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Vecākie speciālisti</w:t>
            </w:r>
          </w:p>
        </w:tc>
        <w:tc>
          <w:tcPr>
            <w:tcW w:w="718" w:type="pct"/>
            <w:shd w:val="clear" w:color="auto" w:fill="E5DFEC" w:themeFill="accent4" w:themeFillTint="33"/>
            <w:vAlign w:val="bottom"/>
          </w:tcPr>
          <w:p w14:paraId="4AECA3AE"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10,1</w:t>
            </w:r>
          </w:p>
        </w:tc>
        <w:tc>
          <w:tcPr>
            <w:tcW w:w="721" w:type="pct"/>
            <w:shd w:val="clear" w:color="auto" w:fill="E5DFEC" w:themeFill="accent4" w:themeFillTint="33"/>
            <w:vAlign w:val="bottom"/>
          </w:tcPr>
          <w:p w14:paraId="7350343B"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19,1</w:t>
            </w:r>
          </w:p>
        </w:tc>
        <w:tc>
          <w:tcPr>
            <w:tcW w:w="718" w:type="pct"/>
            <w:shd w:val="clear" w:color="auto" w:fill="E5DFEC" w:themeFill="accent4" w:themeFillTint="33"/>
            <w:vAlign w:val="bottom"/>
          </w:tcPr>
          <w:p w14:paraId="66F0BC75"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21,4</w:t>
            </w:r>
          </w:p>
        </w:tc>
        <w:tc>
          <w:tcPr>
            <w:tcW w:w="717" w:type="pct"/>
            <w:shd w:val="clear" w:color="auto" w:fill="E5DFEC" w:themeFill="accent4" w:themeFillTint="33"/>
            <w:vAlign w:val="bottom"/>
          </w:tcPr>
          <w:p w14:paraId="3C7ACC9D"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23,5</w:t>
            </w:r>
          </w:p>
        </w:tc>
      </w:tr>
      <w:tr w:rsidR="009A0130" w:rsidRPr="003B4CDA" w14:paraId="648A878E" w14:textId="77777777" w:rsidTr="00D209BD">
        <w:tc>
          <w:tcPr>
            <w:tcW w:w="2120" w:type="pct"/>
            <w:shd w:val="clear" w:color="auto" w:fill="CCC0D9" w:themeFill="accent4" w:themeFillTint="66"/>
          </w:tcPr>
          <w:p w14:paraId="37A583CC"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Speciālisti</w:t>
            </w:r>
          </w:p>
        </w:tc>
        <w:tc>
          <w:tcPr>
            <w:tcW w:w="718" w:type="pct"/>
            <w:shd w:val="clear" w:color="auto" w:fill="CCC0D9" w:themeFill="accent4" w:themeFillTint="66"/>
            <w:vAlign w:val="bottom"/>
          </w:tcPr>
          <w:p w14:paraId="63BDF53C"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14,3</w:t>
            </w:r>
          </w:p>
        </w:tc>
        <w:tc>
          <w:tcPr>
            <w:tcW w:w="721" w:type="pct"/>
            <w:shd w:val="clear" w:color="auto" w:fill="CCC0D9" w:themeFill="accent4" w:themeFillTint="66"/>
            <w:vAlign w:val="bottom"/>
          </w:tcPr>
          <w:p w14:paraId="0975ED9F"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25,3</w:t>
            </w:r>
          </w:p>
        </w:tc>
        <w:tc>
          <w:tcPr>
            <w:tcW w:w="718" w:type="pct"/>
            <w:shd w:val="clear" w:color="auto" w:fill="CCC0D9" w:themeFill="accent4" w:themeFillTint="66"/>
            <w:vAlign w:val="bottom"/>
          </w:tcPr>
          <w:p w14:paraId="0C2992AE"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16,0</w:t>
            </w:r>
          </w:p>
        </w:tc>
        <w:tc>
          <w:tcPr>
            <w:tcW w:w="717" w:type="pct"/>
            <w:shd w:val="clear" w:color="auto" w:fill="CCC0D9" w:themeFill="accent4" w:themeFillTint="66"/>
            <w:vAlign w:val="bottom"/>
          </w:tcPr>
          <w:p w14:paraId="31ECCD3E"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17,8</w:t>
            </w:r>
          </w:p>
        </w:tc>
      </w:tr>
      <w:tr w:rsidR="009A0130" w:rsidRPr="003B4CDA" w14:paraId="0038F347" w14:textId="77777777" w:rsidTr="00D209BD">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317F5018" w14:textId="77777777" w:rsidR="009A0130" w:rsidRPr="003B4CDA" w:rsidRDefault="009A0130" w:rsidP="00590200">
            <w:pPr>
              <w:spacing w:before="40" w:after="40"/>
              <w:ind w:right="-142"/>
              <w:jc w:val="both"/>
              <w:rPr>
                <w:rFonts w:ascii="Segoe UI Light" w:hAnsi="Segoe UI Light"/>
                <w:sz w:val="16"/>
                <w:szCs w:val="20"/>
              </w:rPr>
            </w:pPr>
            <w:r w:rsidRPr="003B4CDA">
              <w:rPr>
                <w:rFonts w:ascii="Segoe UI Light" w:hAnsi="Segoe UI Light"/>
                <w:sz w:val="16"/>
                <w:szCs w:val="20"/>
              </w:rPr>
              <w:t>Vidējas kvalifikācijas profesijas, tai skaitā:</w:t>
            </w:r>
          </w:p>
        </w:tc>
        <w:tc>
          <w:tcPr>
            <w:tcW w:w="718" w:type="pct"/>
            <w:shd w:val="clear" w:color="auto" w:fill="E5DFEC" w:themeFill="accent4" w:themeFillTint="33"/>
            <w:vAlign w:val="bottom"/>
          </w:tcPr>
          <w:p w14:paraId="7C3065B5"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1,2</w:t>
            </w:r>
          </w:p>
        </w:tc>
        <w:tc>
          <w:tcPr>
            <w:tcW w:w="721" w:type="pct"/>
            <w:shd w:val="clear" w:color="auto" w:fill="E5DFEC" w:themeFill="accent4" w:themeFillTint="33"/>
            <w:vAlign w:val="bottom"/>
          </w:tcPr>
          <w:p w14:paraId="67BACB69"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7,7</w:t>
            </w:r>
          </w:p>
        </w:tc>
        <w:tc>
          <w:tcPr>
            <w:tcW w:w="718" w:type="pct"/>
            <w:shd w:val="clear" w:color="auto" w:fill="E5DFEC" w:themeFill="accent4" w:themeFillTint="33"/>
            <w:vAlign w:val="bottom"/>
          </w:tcPr>
          <w:p w14:paraId="041A6253"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40,8</w:t>
            </w:r>
          </w:p>
        </w:tc>
        <w:tc>
          <w:tcPr>
            <w:tcW w:w="717" w:type="pct"/>
            <w:shd w:val="clear" w:color="auto" w:fill="E5DFEC" w:themeFill="accent4" w:themeFillTint="33"/>
            <w:vAlign w:val="bottom"/>
          </w:tcPr>
          <w:p w14:paraId="033AC234"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38,6</w:t>
            </w:r>
          </w:p>
        </w:tc>
      </w:tr>
      <w:tr w:rsidR="009A0130" w:rsidRPr="003B4CDA" w14:paraId="25A1552C" w14:textId="77777777" w:rsidTr="00D209BD">
        <w:tc>
          <w:tcPr>
            <w:tcW w:w="2120" w:type="pct"/>
            <w:shd w:val="clear" w:color="auto" w:fill="CCC0D9" w:themeFill="accent4" w:themeFillTint="66"/>
          </w:tcPr>
          <w:p w14:paraId="23D9889E"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Iestāžu kalpotāji</w:t>
            </w:r>
          </w:p>
        </w:tc>
        <w:tc>
          <w:tcPr>
            <w:tcW w:w="718" w:type="pct"/>
            <w:shd w:val="clear" w:color="auto" w:fill="CCC0D9" w:themeFill="accent4" w:themeFillTint="66"/>
            <w:vAlign w:val="bottom"/>
          </w:tcPr>
          <w:p w14:paraId="6B5AEB1C"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12,9</w:t>
            </w:r>
          </w:p>
        </w:tc>
        <w:tc>
          <w:tcPr>
            <w:tcW w:w="721" w:type="pct"/>
            <w:shd w:val="clear" w:color="auto" w:fill="CCC0D9" w:themeFill="accent4" w:themeFillTint="66"/>
            <w:vAlign w:val="bottom"/>
          </w:tcPr>
          <w:p w14:paraId="19FA7953"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33,6</w:t>
            </w:r>
          </w:p>
        </w:tc>
        <w:tc>
          <w:tcPr>
            <w:tcW w:w="718" w:type="pct"/>
            <w:shd w:val="clear" w:color="auto" w:fill="CCC0D9" w:themeFill="accent4" w:themeFillTint="66"/>
            <w:vAlign w:val="bottom"/>
          </w:tcPr>
          <w:p w14:paraId="390D2B36"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3,9</w:t>
            </w:r>
          </w:p>
        </w:tc>
        <w:tc>
          <w:tcPr>
            <w:tcW w:w="717" w:type="pct"/>
            <w:shd w:val="clear" w:color="auto" w:fill="CCC0D9" w:themeFill="accent4" w:themeFillTint="66"/>
            <w:vAlign w:val="bottom"/>
          </w:tcPr>
          <w:p w14:paraId="493F8A16"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3,</w:t>
            </w:r>
            <w:r>
              <w:rPr>
                <w:rFonts w:ascii="Segoe UI Light" w:hAnsi="Segoe UI Light"/>
                <w:sz w:val="16"/>
                <w:szCs w:val="20"/>
              </w:rPr>
              <w:t>0</w:t>
            </w:r>
          </w:p>
        </w:tc>
      </w:tr>
      <w:tr w:rsidR="009A0130" w:rsidRPr="003B4CDA" w14:paraId="0506B78B" w14:textId="77777777" w:rsidTr="00D209BD">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394D3108"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Pakalpojumu darbinieki</w:t>
            </w:r>
          </w:p>
        </w:tc>
        <w:tc>
          <w:tcPr>
            <w:tcW w:w="718" w:type="pct"/>
            <w:shd w:val="clear" w:color="auto" w:fill="E5DFEC" w:themeFill="accent4" w:themeFillTint="33"/>
            <w:vAlign w:val="bottom"/>
          </w:tcPr>
          <w:p w14:paraId="615ED4A6"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-6,</w:t>
            </w:r>
            <w:r>
              <w:rPr>
                <w:rFonts w:ascii="Segoe UI Light" w:hAnsi="Segoe UI Light"/>
                <w:sz w:val="16"/>
                <w:szCs w:val="20"/>
              </w:rPr>
              <w:t>7</w:t>
            </w:r>
          </w:p>
        </w:tc>
        <w:tc>
          <w:tcPr>
            <w:tcW w:w="721" w:type="pct"/>
            <w:shd w:val="clear" w:color="auto" w:fill="E5DFEC" w:themeFill="accent4" w:themeFillTint="33"/>
            <w:vAlign w:val="bottom"/>
          </w:tcPr>
          <w:p w14:paraId="0E10CEDB"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16,2</w:t>
            </w:r>
          </w:p>
        </w:tc>
        <w:tc>
          <w:tcPr>
            <w:tcW w:w="718" w:type="pct"/>
            <w:shd w:val="clear" w:color="auto" w:fill="E5DFEC" w:themeFill="accent4" w:themeFillTint="33"/>
            <w:vAlign w:val="bottom"/>
          </w:tcPr>
          <w:p w14:paraId="35DC6646"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13,1</w:t>
            </w:r>
          </w:p>
        </w:tc>
        <w:tc>
          <w:tcPr>
            <w:tcW w:w="717" w:type="pct"/>
            <w:shd w:val="clear" w:color="auto" w:fill="E5DFEC" w:themeFill="accent4" w:themeFillTint="33"/>
            <w:vAlign w:val="bottom"/>
          </w:tcPr>
          <w:p w14:paraId="634C668A"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1</w:t>
            </w:r>
            <w:r w:rsidRPr="003B4CDA">
              <w:rPr>
                <w:rFonts w:ascii="Segoe UI Light" w:hAnsi="Segoe UI Light"/>
                <w:sz w:val="16"/>
                <w:szCs w:val="20"/>
              </w:rPr>
              <w:t>,9</w:t>
            </w:r>
          </w:p>
        </w:tc>
      </w:tr>
      <w:tr w:rsidR="009A0130" w:rsidRPr="003B4CDA" w14:paraId="414B92F6" w14:textId="77777777" w:rsidTr="00D209BD">
        <w:tc>
          <w:tcPr>
            <w:tcW w:w="2120" w:type="pct"/>
            <w:shd w:val="clear" w:color="auto" w:fill="CCC0D9" w:themeFill="accent4" w:themeFillTint="66"/>
          </w:tcPr>
          <w:p w14:paraId="6DBC0930"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Kvalificēti lauksaimniecības darbinieki</w:t>
            </w:r>
          </w:p>
        </w:tc>
        <w:tc>
          <w:tcPr>
            <w:tcW w:w="718" w:type="pct"/>
            <w:shd w:val="clear" w:color="auto" w:fill="CCC0D9" w:themeFill="accent4" w:themeFillTint="66"/>
            <w:vAlign w:val="bottom"/>
          </w:tcPr>
          <w:p w14:paraId="61B97165"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w:t>
            </w:r>
            <w:r w:rsidRPr="003B4CDA">
              <w:rPr>
                <w:rFonts w:ascii="Segoe UI Light" w:hAnsi="Segoe UI Light"/>
                <w:sz w:val="16"/>
                <w:szCs w:val="20"/>
              </w:rPr>
              <w:t>,4</w:t>
            </w:r>
          </w:p>
        </w:tc>
        <w:tc>
          <w:tcPr>
            <w:tcW w:w="721" w:type="pct"/>
            <w:shd w:val="clear" w:color="auto" w:fill="CCC0D9" w:themeFill="accent4" w:themeFillTint="66"/>
            <w:vAlign w:val="bottom"/>
          </w:tcPr>
          <w:p w14:paraId="22400C61"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7,7</w:t>
            </w:r>
          </w:p>
        </w:tc>
        <w:tc>
          <w:tcPr>
            <w:tcW w:w="718" w:type="pct"/>
            <w:shd w:val="clear" w:color="auto" w:fill="CCC0D9" w:themeFill="accent4" w:themeFillTint="66"/>
            <w:vAlign w:val="bottom"/>
          </w:tcPr>
          <w:p w14:paraId="0E27B32B"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2,9</w:t>
            </w:r>
          </w:p>
        </w:tc>
        <w:tc>
          <w:tcPr>
            <w:tcW w:w="717" w:type="pct"/>
            <w:shd w:val="clear" w:color="auto" w:fill="CCC0D9" w:themeFill="accent4" w:themeFillTint="66"/>
            <w:vAlign w:val="bottom"/>
          </w:tcPr>
          <w:p w14:paraId="24112881"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2,7</w:t>
            </w:r>
          </w:p>
        </w:tc>
      </w:tr>
      <w:tr w:rsidR="009A0130" w:rsidRPr="003B4CDA" w14:paraId="16841627" w14:textId="77777777" w:rsidTr="00D209BD">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0B51C6C1"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Kvalificēti strādnieki</w:t>
            </w:r>
          </w:p>
        </w:tc>
        <w:tc>
          <w:tcPr>
            <w:tcW w:w="718" w:type="pct"/>
            <w:shd w:val="clear" w:color="auto" w:fill="E5DFEC" w:themeFill="accent4" w:themeFillTint="33"/>
            <w:vAlign w:val="bottom"/>
          </w:tcPr>
          <w:p w14:paraId="5B42965B"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8,8</w:t>
            </w:r>
          </w:p>
        </w:tc>
        <w:tc>
          <w:tcPr>
            <w:tcW w:w="721" w:type="pct"/>
            <w:shd w:val="clear" w:color="auto" w:fill="E5DFEC" w:themeFill="accent4" w:themeFillTint="33"/>
            <w:vAlign w:val="bottom"/>
          </w:tcPr>
          <w:p w14:paraId="248EFC66"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9,6</w:t>
            </w:r>
          </w:p>
        </w:tc>
        <w:tc>
          <w:tcPr>
            <w:tcW w:w="718" w:type="pct"/>
            <w:shd w:val="clear" w:color="auto" w:fill="E5DFEC" w:themeFill="accent4" w:themeFillTint="33"/>
            <w:vAlign w:val="bottom"/>
          </w:tcPr>
          <w:p w14:paraId="1C7598A4"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12,</w:t>
            </w:r>
            <w:r>
              <w:rPr>
                <w:rFonts w:ascii="Segoe UI Light" w:hAnsi="Segoe UI Light"/>
                <w:sz w:val="16"/>
                <w:szCs w:val="20"/>
              </w:rPr>
              <w:t>1</w:t>
            </w:r>
          </w:p>
        </w:tc>
        <w:tc>
          <w:tcPr>
            <w:tcW w:w="717" w:type="pct"/>
            <w:shd w:val="clear" w:color="auto" w:fill="E5DFEC" w:themeFill="accent4" w:themeFillTint="33"/>
            <w:vAlign w:val="bottom"/>
          </w:tcPr>
          <w:p w14:paraId="666D9F45"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12,4</w:t>
            </w:r>
          </w:p>
        </w:tc>
      </w:tr>
      <w:tr w:rsidR="009A0130" w:rsidRPr="003B4CDA" w14:paraId="6475607D" w14:textId="77777777" w:rsidTr="00D209BD">
        <w:tc>
          <w:tcPr>
            <w:tcW w:w="2120" w:type="pct"/>
            <w:shd w:val="clear" w:color="auto" w:fill="CCC0D9" w:themeFill="accent4" w:themeFillTint="66"/>
          </w:tcPr>
          <w:p w14:paraId="645281D9" w14:textId="77777777" w:rsidR="009A0130" w:rsidRPr="003B4CDA" w:rsidRDefault="009A0130" w:rsidP="00590200">
            <w:pPr>
              <w:spacing w:before="40" w:after="40"/>
              <w:ind w:left="176" w:right="-142"/>
              <w:jc w:val="both"/>
              <w:rPr>
                <w:rFonts w:ascii="Segoe UI Light" w:hAnsi="Segoe UI Light"/>
                <w:sz w:val="16"/>
                <w:szCs w:val="20"/>
              </w:rPr>
            </w:pPr>
            <w:r w:rsidRPr="003B4CDA">
              <w:rPr>
                <w:rFonts w:ascii="Segoe UI Light" w:hAnsi="Segoe UI Light"/>
                <w:sz w:val="16"/>
                <w:szCs w:val="20"/>
              </w:rPr>
              <w:t>Iekārtu un mašīnu operatori</w:t>
            </w:r>
          </w:p>
        </w:tc>
        <w:tc>
          <w:tcPr>
            <w:tcW w:w="718" w:type="pct"/>
            <w:shd w:val="clear" w:color="auto" w:fill="CCC0D9" w:themeFill="accent4" w:themeFillTint="66"/>
            <w:vAlign w:val="bottom"/>
          </w:tcPr>
          <w:p w14:paraId="4C4C5E10"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0,6</w:t>
            </w:r>
          </w:p>
        </w:tc>
        <w:tc>
          <w:tcPr>
            <w:tcW w:w="721" w:type="pct"/>
            <w:shd w:val="clear" w:color="auto" w:fill="CCC0D9" w:themeFill="accent4" w:themeFillTint="66"/>
            <w:vAlign w:val="bottom"/>
          </w:tcPr>
          <w:p w14:paraId="28C16BCC"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2,8</w:t>
            </w:r>
          </w:p>
        </w:tc>
        <w:tc>
          <w:tcPr>
            <w:tcW w:w="718" w:type="pct"/>
            <w:shd w:val="clear" w:color="auto" w:fill="CCC0D9" w:themeFill="accent4" w:themeFillTint="66"/>
            <w:vAlign w:val="bottom"/>
          </w:tcPr>
          <w:p w14:paraId="1F513EBD"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7</w:t>
            </w:r>
          </w:p>
        </w:tc>
        <w:tc>
          <w:tcPr>
            <w:tcW w:w="717" w:type="pct"/>
            <w:shd w:val="clear" w:color="auto" w:fill="CCC0D9" w:themeFill="accent4" w:themeFillTint="66"/>
            <w:vAlign w:val="bottom"/>
          </w:tcPr>
          <w:p w14:paraId="0AE09308"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5</w:t>
            </w:r>
          </w:p>
        </w:tc>
      </w:tr>
      <w:tr w:rsidR="009A0130" w:rsidRPr="003B4CDA" w14:paraId="2FBC9E47" w14:textId="77777777" w:rsidTr="00D209BD">
        <w:trPr>
          <w:cnfStyle w:val="000000100000" w:firstRow="0" w:lastRow="0" w:firstColumn="0" w:lastColumn="0" w:oddVBand="0" w:evenVBand="0" w:oddHBand="1" w:evenHBand="0" w:firstRowFirstColumn="0" w:firstRowLastColumn="0" w:lastRowFirstColumn="0" w:lastRowLastColumn="0"/>
        </w:trPr>
        <w:tc>
          <w:tcPr>
            <w:tcW w:w="2120" w:type="pct"/>
            <w:shd w:val="clear" w:color="auto" w:fill="E5DFEC" w:themeFill="accent4" w:themeFillTint="33"/>
          </w:tcPr>
          <w:p w14:paraId="0603794D" w14:textId="77777777" w:rsidR="009A0130" w:rsidRPr="003B4CDA" w:rsidRDefault="009A0130" w:rsidP="00590200">
            <w:pPr>
              <w:spacing w:before="40" w:after="40"/>
              <w:ind w:right="-142"/>
              <w:jc w:val="both"/>
              <w:rPr>
                <w:rFonts w:ascii="Segoe UI Light" w:hAnsi="Segoe UI Light"/>
                <w:sz w:val="16"/>
                <w:szCs w:val="20"/>
              </w:rPr>
            </w:pPr>
            <w:r w:rsidRPr="003B4CDA">
              <w:rPr>
                <w:rFonts w:ascii="Segoe UI Light" w:hAnsi="Segoe UI Light"/>
                <w:sz w:val="16"/>
                <w:szCs w:val="20"/>
              </w:rPr>
              <w:t>Zemas kvalifikācijas profesijas</w:t>
            </w:r>
          </w:p>
        </w:tc>
        <w:tc>
          <w:tcPr>
            <w:tcW w:w="718" w:type="pct"/>
            <w:shd w:val="clear" w:color="auto" w:fill="E5DFEC" w:themeFill="accent4" w:themeFillTint="33"/>
            <w:vAlign w:val="bottom"/>
          </w:tcPr>
          <w:p w14:paraId="4E5122F0"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15,0</w:t>
            </w:r>
          </w:p>
        </w:tc>
        <w:tc>
          <w:tcPr>
            <w:tcW w:w="721" w:type="pct"/>
            <w:shd w:val="clear" w:color="auto" w:fill="E5DFEC" w:themeFill="accent4" w:themeFillTint="33"/>
            <w:vAlign w:val="bottom"/>
          </w:tcPr>
          <w:p w14:paraId="19B63239"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37,0</w:t>
            </w:r>
          </w:p>
        </w:tc>
        <w:tc>
          <w:tcPr>
            <w:tcW w:w="718" w:type="pct"/>
            <w:shd w:val="clear" w:color="auto" w:fill="E5DFEC" w:themeFill="accent4" w:themeFillTint="33"/>
          </w:tcPr>
          <w:p w14:paraId="7DB170CC" w14:textId="77777777" w:rsidR="009A0130" w:rsidRPr="003B4CDA" w:rsidRDefault="009A0130" w:rsidP="00590200">
            <w:pPr>
              <w:tabs>
                <w:tab w:val="decimal" w:pos="588"/>
              </w:tabs>
              <w:spacing w:before="40" w:after="40"/>
              <w:rPr>
                <w:rFonts w:ascii="Segoe UI Light" w:hAnsi="Segoe UI Light"/>
                <w:sz w:val="16"/>
                <w:szCs w:val="20"/>
              </w:rPr>
            </w:pPr>
            <w:r>
              <w:rPr>
                <w:rFonts w:ascii="Segoe UI Light" w:hAnsi="Segoe UI Light"/>
                <w:sz w:val="16"/>
                <w:szCs w:val="20"/>
              </w:rPr>
              <w:t>9,9</w:t>
            </w:r>
          </w:p>
        </w:tc>
        <w:tc>
          <w:tcPr>
            <w:tcW w:w="717" w:type="pct"/>
            <w:shd w:val="clear" w:color="auto" w:fill="E5DFEC" w:themeFill="accent4" w:themeFillTint="33"/>
          </w:tcPr>
          <w:p w14:paraId="1B4135E0" w14:textId="77777777" w:rsidR="009A0130" w:rsidRPr="003B4CDA" w:rsidRDefault="009A0130" w:rsidP="00590200">
            <w:pPr>
              <w:tabs>
                <w:tab w:val="decimal" w:pos="588"/>
              </w:tabs>
              <w:spacing w:before="40" w:after="40"/>
              <w:rPr>
                <w:rFonts w:ascii="Segoe UI Light" w:hAnsi="Segoe UI Light"/>
                <w:sz w:val="16"/>
                <w:szCs w:val="20"/>
              </w:rPr>
            </w:pPr>
            <w:r w:rsidRPr="003B4CDA">
              <w:rPr>
                <w:rFonts w:ascii="Segoe UI Light" w:hAnsi="Segoe UI Light"/>
                <w:sz w:val="16"/>
                <w:szCs w:val="20"/>
              </w:rPr>
              <w:t>7,</w:t>
            </w:r>
            <w:r>
              <w:rPr>
                <w:rFonts w:ascii="Segoe UI Light" w:hAnsi="Segoe UI Light"/>
                <w:sz w:val="16"/>
                <w:szCs w:val="20"/>
              </w:rPr>
              <w:t>4</w:t>
            </w:r>
          </w:p>
        </w:tc>
      </w:tr>
      <w:tr w:rsidR="009A0130" w:rsidRPr="003B4CDA" w14:paraId="03F83D2B" w14:textId="77777777" w:rsidTr="00D209BD">
        <w:tc>
          <w:tcPr>
            <w:tcW w:w="2120" w:type="pct"/>
            <w:shd w:val="clear" w:color="auto" w:fill="CCC0D9" w:themeFill="accent4" w:themeFillTint="66"/>
          </w:tcPr>
          <w:p w14:paraId="7210E3B4" w14:textId="77777777" w:rsidR="009A0130" w:rsidRPr="003B4CDA" w:rsidRDefault="009A0130" w:rsidP="00590200">
            <w:pPr>
              <w:spacing w:before="40" w:after="40"/>
              <w:ind w:right="-142"/>
              <w:jc w:val="both"/>
              <w:rPr>
                <w:rFonts w:ascii="Segoe UI Light" w:hAnsi="Segoe UI Light"/>
                <w:b/>
                <w:sz w:val="16"/>
                <w:szCs w:val="20"/>
              </w:rPr>
            </w:pPr>
            <w:r w:rsidRPr="003B4CDA">
              <w:rPr>
                <w:rFonts w:ascii="Segoe UI Light" w:hAnsi="Segoe UI Light"/>
                <w:b/>
                <w:sz w:val="16"/>
                <w:szCs w:val="20"/>
              </w:rPr>
              <w:t>Kopā</w:t>
            </w:r>
          </w:p>
        </w:tc>
        <w:tc>
          <w:tcPr>
            <w:tcW w:w="718" w:type="pct"/>
            <w:shd w:val="clear" w:color="auto" w:fill="CCC0D9" w:themeFill="accent4" w:themeFillTint="66"/>
            <w:vAlign w:val="bottom"/>
          </w:tcPr>
          <w:p w14:paraId="0CFC6F66" w14:textId="77777777" w:rsidR="009A0130" w:rsidRPr="003B4CDA" w:rsidRDefault="009A0130" w:rsidP="00590200">
            <w:pPr>
              <w:tabs>
                <w:tab w:val="decimal" w:pos="588"/>
              </w:tabs>
              <w:spacing w:before="40" w:after="40"/>
              <w:rPr>
                <w:rFonts w:ascii="Segoe UI Light" w:hAnsi="Segoe UI Light"/>
                <w:b/>
                <w:sz w:val="16"/>
                <w:szCs w:val="20"/>
              </w:rPr>
            </w:pPr>
            <w:r>
              <w:rPr>
                <w:rFonts w:ascii="Segoe UI Light" w:hAnsi="Segoe UI Light"/>
                <w:b/>
                <w:sz w:val="16"/>
                <w:szCs w:val="20"/>
              </w:rPr>
              <w:t>3,0</w:t>
            </w:r>
          </w:p>
        </w:tc>
        <w:tc>
          <w:tcPr>
            <w:tcW w:w="721" w:type="pct"/>
            <w:shd w:val="clear" w:color="auto" w:fill="CCC0D9" w:themeFill="accent4" w:themeFillTint="66"/>
            <w:vAlign w:val="bottom"/>
          </w:tcPr>
          <w:p w14:paraId="4B4A4B09" w14:textId="77777777" w:rsidR="009A0130" w:rsidRPr="003B4CDA" w:rsidRDefault="009A0130" w:rsidP="00590200">
            <w:pPr>
              <w:tabs>
                <w:tab w:val="decimal" w:pos="588"/>
              </w:tabs>
              <w:spacing w:before="40" w:after="40"/>
              <w:rPr>
                <w:rFonts w:ascii="Segoe UI Light" w:hAnsi="Segoe UI Light"/>
                <w:b/>
                <w:sz w:val="16"/>
                <w:szCs w:val="20"/>
              </w:rPr>
            </w:pPr>
            <w:r>
              <w:rPr>
                <w:rFonts w:ascii="Segoe UI Light" w:hAnsi="Segoe UI Light"/>
                <w:b/>
                <w:sz w:val="16"/>
                <w:szCs w:val="20"/>
              </w:rPr>
              <w:t>1,7</w:t>
            </w:r>
          </w:p>
        </w:tc>
        <w:tc>
          <w:tcPr>
            <w:tcW w:w="718" w:type="pct"/>
            <w:shd w:val="clear" w:color="auto" w:fill="CCC0D9" w:themeFill="accent4" w:themeFillTint="66"/>
          </w:tcPr>
          <w:p w14:paraId="7C2D6DD6" w14:textId="77777777" w:rsidR="009A0130" w:rsidRPr="003B4CDA" w:rsidRDefault="009A0130" w:rsidP="00590200">
            <w:pPr>
              <w:tabs>
                <w:tab w:val="decimal" w:pos="588"/>
              </w:tabs>
              <w:spacing w:before="40" w:after="40"/>
              <w:rPr>
                <w:rFonts w:ascii="Segoe UI Light" w:hAnsi="Segoe UI Light"/>
                <w:b/>
                <w:sz w:val="16"/>
                <w:szCs w:val="20"/>
              </w:rPr>
            </w:pPr>
            <w:r w:rsidRPr="003B4CDA">
              <w:rPr>
                <w:rFonts w:ascii="Segoe UI Light" w:hAnsi="Segoe UI Light"/>
                <w:b/>
                <w:sz w:val="16"/>
                <w:szCs w:val="20"/>
              </w:rPr>
              <w:t>100</w:t>
            </w:r>
          </w:p>
        </w:tc>
        <w:tc>
          <w:tcPr>
            <w:tcW w:w="717" w:type="pct"/>
            <w:shd w:val="clear" w:color="auto" w:fill="CCC0D9" w:themeFill="accent4" w:themeFillTint="66"/>
          </w:tcPr>
          <w:p w14:paraId="75DB9536" w14:textId="77777777" w:rsidR="009A0130" w:rsidRPr="003B4CDA" w:rsidRDefault="009A0130" w:rsidP="00590200">
            <w:pPr>
              <w:tabs>
                <w:tab w:val="decimal" w:pos="588"/>
              </w:tabs>
              <w:spacing w:before="40" w:after="40"/>
              <w:rPr>
                <w:rFonts w:ascii="Segoe UI Light" w:hAnsi="Segoe UI Light"/>
                <w:b/>
                <w:sz w:val="16"/>
                <w:szCs w:val="20"/>
              </w:rPr>
            </w:pPr>
            <w:r w:rsidRPr="003B4CDA">
              <w:rPr>
                <w:rFonts w:ascii="Segoe UI Light" w:hAnsi="Segoe UI Light"/>
                <w:b/>
                <w:sz w:val="16"/>
                <w:szCs w:val="20"/>
              </w:rPr>
              <w:t>100</w:t>
            </w:r>
          </w:p>
        </w:tc>
      </w:tr>
    </w:tbl>
    <w:p w14:paraId="654F5A88" w14:textId="77777777" w:rsidR="009A0130" w:rsidRPr="00BC0CBE" w:rsidRDefault="009A0130" w:rsidP="00590200">
      <w:pPr>
        <w:spacing w:before="120"/>
        <w:jc w:val="both"/>
        <w:rPr>
          <w:rFonts w:cs="Calibri Light"/>
          <w:sz w:val="12"/>
          <w:szCs w:val="10"/>
        </w:rPr>
      </w:pPr>
      <w:r w:rsidRPr="00BC0CBE">
        <w:rPr>
          <w:rFonts w:cs="Calibri Light"/>
          <w:sz w:val="12"/>
          <w:szCs w:val="10"/>
        </w:rPr>
        <w:t>Avots: EM prognozes</w:t>
      </w:r>
    </w:p>
    <w:p w14:paraId="30511149" w14:textId="55FE4EB1" w:rsidR="009A0130" w:rsidRPr="003B4CDA" w:rsidRDefault="00590200" w:rsidP="00BC0CBE">
      <w:pPr>
        <w:jc w:val="both"/>
        <w:rPr>
          <w:szCs w:val="20"/>
        </w:rPr>
      </w:pPr>
      <w:r>
        <w:rPr>
          <w:szCs w:val="20"/>
        </w:rPr>
        <w:br/>
      </w:r>
      <w:r w:rsidR="009A0130" w:rsidRPr="003B4CDA">
        <w:rPr>
          <w:szCs w:val="20"/>
        </w:rPr>
        <w:t>Visstraujākais darbaspēka pieprasījuma kritums būs zemas kvalifikācijas profesijās. Tas skars visas nozares. Ņemot vērā demogrāfijas tendences, atbilstošās kvalifikācijas darbaspēka piedāvājums nākotnē varētu būtiski sarukt, līdz ar to profesionālās vidējās izglītības loma aizvien pieaugs.</w:t>
      </w:r>
    </w:p>
    <w:p w14:paraId="2B6A0BBD" w14:textId="77777777" w:rsidR="00BC0CBE" w:rsidRDefault="00BC0CBE">
      <w:pPr>
        <w:spacing w:after="0"/>
        <w:rPr>
          <w:szCs w:val="26"/>
        </w:rPr>
      </w:pPr>
      <w:r>
        <w:rPr>
          <w:szCs w:val="26"/>
        </w:rPr>
        <w:br w:type="page"/>
      </w:r>
    </w:p>
    <w:p w14:paraId="3110FD5B" w14:textId="52769CCB" w:rsidR="009A0130" w:rsidRPr="003B4CDA" w:rsidRDefault="009A0130" w:rsidP="009A0130">
      <w:pPr>
        <w:jc w:val="right"/>
        <w:rPr>
          <w:szCs w:val="26"/>
        </w:rPr>
      </w:pPr>
      <w:r w:rsidRPr="003B4CDA">
        <w:rPr>
          <w:szCs w:val="26"/>
        </w:rPr>
        <w:lastRenderedPageBreak/>
        <w:t>3.8. tabula</w:t>
      </w:r>
    </w:p>
    <w:p w14:paraId="73D44BBF" w14:textId="77777777" w:rsidR="009A0130" w:rsidRPr="003B4CDA" w:rsidRDefault="009A0130" w:rsidP="00590200">
      <w:pPr>
        <w:spacing w:after="120"/>
        <w:ind w:left="-425" w:right="-142"/>
        <w:jc w:val="center"/>
        <w:rPr>
          <w:rFonts w:ascii="Segoe UI Light" w:hAnsi="Segoe UI Light"/>
          <w:i/>
          <w:sz w:val="16"/>
          <w:szCs w:val="26"/>
        </w:rPr>
      </w:pPr>
      <w:r w:rsidRPr="003B4CDA">
        <w:rPr>
          <w:rFonts w:ascii="Segoe UI Light" w:hAnsi="Segoe UI Light"/>
          <w:b/>
          <w:sz w:val="18"/>
          <w:szCs w:val="26"/>
        </w:rPr>
        <w:t>Nodarbināto skaita izmaiņas tautsaimniecības nozarēs sadalījumā pa profesiju grupām</w:t>
      </w:r>
      <w:r w:rsidRPr="003B4CDA">
        <w:rPr>
          <w:rFonts w:ascii="Segoe UI Light" w:hAnsi="Segoe UI Light"/>
          <w:b/>
          <w:sz w:val="18"/>
          <w:szCs w:val="26"/>
        </w:rPr>
        <w:br/>
      </w:r>
      <w:r w:rsidRPr="003B4CDA">
        <w:rPr>
          <w:rFonts w:ascii="Segoe UI Light" w:hAnsi="Segoe UI Light"/>
          <w:i/>
          <w:sz w:val="16"/>
          <w:szCs w:val="26"/>
        </w:rPr>
        <w:t>salīdzinājumā ar 20</w:t>
      </w:r>
      <w:r>
        <w:rPr>
          <w:rFonts w:ascii="Segoe UI Light" w:hAnsi="Segoe UI Light"/>
          <w:i/>
          <w:sz w:val="16"/>
          <w:szCs w:val="26"/>
        </w:rPr>
        <w:t>21</w:t>
      </w:r>
      <w:r w:rsidRPr="003B4CDA">
        <w:rPr>
          <w:rFonts w:ascii="Segoe UI Light" w:hAnsi="Segoe UI Light"/>
          <w:i/>
          <w:sz w:val="16"/>
          <w:szCs w:val="26"/>
        </w:rPr>
        <w:t>. gadu, tūkstošos</w:t>
      </w:r>
    </w:p>
    <w:tbl>
      <w:tblPr>
        <w:tblStyle w:val="GridTable5Dark-Accent31"/>
        <w:tblW w:w="5123"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11"/>
        <w:gridCol w:w="604"/>
        <w:gridCol w:w="606"/>
        <w:gridCol w:w="606"/>
        <w:gridCol w:w="606"/>
        <w:gridCol w:w="740"/>
        <w:gridCol w:w="606"/>
        <w:gridCol w:w="606"/>
        <w:gridCol w:w="712"/>
        <w:gridCol w:w="697"/>
      </w:tblGrid>
      <w:tr w:rsidR="00343BAC" w:rsidRPr="003B4CDA" w14:paraId="0088ECC8" w14:textId="77777777" w:rsidTr="00590200">
        <w:trPr>
          <w:cnfStyle w:val="100000000000" w:firstRow="1" w:lastRow="0" w:firstColumn="0" w:lastColumn="0" w:oddVBand="0" w:evenVBand="0" w:oddHBand="0" w:evenHBand="0" w:firstRowFirstColumn="0" w:firstRowLastColumn="0" w:lastRowFirstColumn="0" w:lastRowLastColumn="0"/>
          <w:cantSplit/>
          <w:trHeight w:val="1418"/>
          <w:tblHeader/>
        </w:trPr>
        <w:tc>
          <w:tcPr>
            <w:tcW w:w="1889" w:type="pct"/>
            <w:tcBorders>
              <w:top w:val="none" w:sz="0" w:space="0" w:color="auto"/>
              <w:left w:val="none" w:sz="0" w:space="0" w:color="auto"/>
              <w:right w:val="none" w:sz="0" w:space="0" w:color="auto"/>
            </w:tcBorders>
            <w:shd w:val="clear" w:color="auto" w:fill="5F497A" w:themeFill="accent4" w:themeFillShade="BF"/>
            <w:textDirection w:val="btLr"/>
          </w:tcPr>
          <w:p w14:paraId="326AC75D" w14:textId="77777777" w:rsidR="009A0130" w:rsidRPr="003B4CDA" w:rsidRDefault="009A0130" w:rsidP="00D209BD">
            <w:pPr>
              <w:spacing w:before="40" w:after="40"/>
              <w:jc w:val="center"/>
              <w:rPr>
                <w:rFonts w:ascii="Segoe UI Light" w:eastAsia="Arial Unicode MS" w:hAnsi="Segoe UI Light"/>
                <w:b w:val="0"/>
                <w:sz w:val="16"/>
                <w:szCs w:val="20"/>
              </w:rPr>
            </w:pPr>
          </w:p>
        </w:tc>
        <w:tc>
          <w:tcPr>
            <w:tcW w:w="325" w:type="pct"/>
            <w:tcBorders>
              <w:top w:val="none" w:sz="0" w:space="0" w:color="auto"/>
              <w:left w:val="none" w:sz="0" w:space="0" w:color="auto"/>
              <w:right w:val="none" w:sz="0" w:space="0" w:color="auto"/>
            </w:tcBorders>
            <w:shd w:val="clear" w:color="auto" w:fill="5F497A" w:themeFill="accent4" w:themeFillShade="BF"/>
            <w:textDirection w:val="btLr"/>
          </w:tcPr>
          <w:p w14:paraId="456F00B1"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Lauksaimniecība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4E7A7232"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 xml:space="preserve">Apstrādes </w:t>
            </w:r>
            <w:r w:rsidRPr="003B4CDA">
              <w:rPr>
                <w:rFonts w:ascii="Segoe UI Light" w:hAnsi="Segoe UI Light"/>
                <w:sz w:val="16"/>
                <w:szCs w:val="20"/>
                <w:lang w:eastAsia="lv-LV"/>
              </w:rPr>
              <w:br/>
              <w:t>rūpniecība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4A7BD795"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 xml:space="preserve">Pārējā </w:t>
            </w:r>
            <w:r w:rsidRPr="003B4CDA">
              <w:rPr>
                <w:rFonts w:ascii="Segoe UI Light" w:hAnsi="Segoe UI Light"/>
                <w:sz w:val="16"/>
                <w:szCs w:val="20"/>
                <w:lang w:eastAsia="lv-LV"/>
              </w:rPr>
              <w:br/>
              <w:t>rūpniecība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0C0A4CCB"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Būvniecība</w:t>
            </w:r>
          </w:p>
        </w:tc>
        <w:tc>
          <w:tcPr>
            <w:tcW w:w="398" w:type="pct"/>
            <w:tcBorders>
              <w:top w:val="none" w:sz="0" w:space="0" w:color="auto"/>
              <w:left w:val="none" w:sz="0" w:space="0" w:color="auto"/>
              <w:right w:val="none" w:sz="0" w:space="0" w:color="auto"/>
            </w:tcBorders>
            <w:shd w:val="clear" w:color="auto" w:fill="5F497A" w:themeFill="accent4" w:themeFillShade="BF"/>
            <w:textDirection w:val="btLr"/>
          </w:tcPr>
          <w:p w14:paraId="0230BD2D"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Tirdzniecība</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22D60805"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Transports</w:t>
            </w:r>
          </w:p>
        </w:tc>
        <w:tc>
          <w:tcPr>
            <w:tcW w:w="326" w:type="pct"/>
            <w:tcBorders>
              <w:top w:val="none" w:sz="0" w:space="0" w:color="auto"/>
              <w:left w:val="none" w:sz="0" w:space="0" w:color="auto"/>
              <w:right w:val="none" w:sz="0" w:space="0" w:color="auto"/>
            </w:tcBorders>
            <w:shd w:val="clear" w:color="auto" w:fill="5F497A" w:themeFill="accent4" w:themeFillShade="BF"/>
            <w:textDirection w:val="btLr"/>
          </w:tcPr>
          <w:p w14:paraId="07FE62CB"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 xml:space="preserve">Citi </w:t>
            </w:r>
            <w:r w:rsidRPr="003B4CDA">
              <w:rPr>
                <w:rFonts w:ascii="Segoe UI Light" w:hAnsi="Segoe UI Light"/>
                <w:sz w:val="16"/>
                <w:szCs w:val="20"/>
                <w:lang w:eastAsia="lv-LV"/>
              </w:rPr>
              <w:br/>
              <w:t>komercpakalpojumi</w:t>
            </w:r>
          </w:p>
        </w:tc>
        <w:tc>
          <w:tcPr>
            <w:tcW w:w="383" w:type="pct"/>
            <w:tcBorders>
              <w:top w:val="none" w:sz="0" w:space="0" w:color="auto"/>
              <w:left w:val="none" w:sz="0" w:space="0" w:color="auto"/>
              <w:right w:val="none" w:sz="0" w:space="0" w:color="auto"/>
            </w:tcBorders>
            <w:shd w:val="clear" w:color="auto" w:fill="5F497A" w:themeFill="accent4" w:themeFillShade="BF"/>
            <w:textDirection w:val="btLr"/>
          </w:tcPr>
          <w:p w14:paraId="4520A7FD" w14:textId="77777777" w:rsidR="009A0130" w:rsidRPr="003B4CDA" w:rsidRDefault="009A0130" w:rsidP="00D209BD">
            <w:pPr>
              <w:spacing w:before="40" w:after="40"/>
              <w:jc w:val="center"/>
              <w:rPr>
                <w:rFonts w:ascii="Segoe UI Light" w:eastAsia="Arial Unicode MS" w:hAnsi="Segoe UI Light"/>
                <w:bCs w:val="0"/>
                <w:sz w:val="16"/>
                <w:szCs w:val="20"/>
              </w:rPr>
            </w:pPr>
            <w:r w:rsidRPr="003B4CDA">
              <w:rPr>
                <w:rFonts w:ascii="Segoe UI Light" w:hAnsi="Segoe UI Light"/>
                <w:sz w:val="16"/>
                <w:szCs w:val="20"/>
                <w:lang w:eastAsia="lv-LV"/>
              </w:rPr>
              <w:t xml:space="preserve">Sabiedriskie </w:t>
            </w:r>
            <w:r w:rsidRPr="003B4CDA">
              <w:rPr>
                <w:rFonts w:ascii="Segoe UI Light" w:hAnsi="Segoe UI Light"/>
                <w:sz w:val="16"/>
                <w:szCs w:val="20"/>
                <w:lang w:eastAsia="lv-LV"/>
              </w:rPr>
              <w:br/>
              <w:t>pakalpojumi</w:t>
            </w:r>
          </w:p>
        </w:tc>
        <w:tc>
          <w:tcPr>
            <w:tcW w:w="376" w:type="pct"/>
            <w:tcBorders>
              <w:top w:val="none" w:sz="0" w:space="0" w:color="auto"/>
              <w:left w:val="none" w:sz="0" w:space="0" w:color="auto"/>
              <w:right w:val="none" w:sz="0" w:space="0" w:color="auto"/>
            </w:tcBorders>
            <w:shd w:val="clear" w:color="auto" w:fill="5F497A" w:themeFill="accent4" w:themeFillShade="BF"/>
            <w:textDirection w:val="btLr"/>
          </w:tcPr>
          <w:p w14:paraId="10D96F21" w14:textId="77777777" w:rsidR="009A0130" w:rsidRPr="003B4CDA" w:rsidRDefault="009A0130" w:rsidP="00D209BD">
            <w:pPr>
              <w:spacing w:before="40" w:after="40"/>
              <w:jc w:val="center"/>
              <w:rPr>
                <w:rFonts w:ascii="Segoe UI Light" w:hAnsi="Segoe UI Light"/>
                <w:bCs w:val="0"/>
                <w:sz w:val="16"/>
                <w:szCs w:val="20"/>
              </w:rPr>
            </w:pPr>
            <w:r w:rsidRPr="003B4CDA">
              <w:rPr>
                <w:rFonts w:ascii="Segoe UI Light" w:eastAsia="Arial Unicode MS" w:hAnsi="Segoe UI Light"/>
                <w:sz w:val="16"/>
                <w:szCs w:val="20"/>
              </w:rPr>
              <w:t>Kopā</w:t>
            </w:r>
          </w:p>
        </w:tc>
      </w:tr>
      <w:tr w:rsidR="009C6CF4" w:rsidRPr="003B4CDA" w14:paraId="368B39CC" w14:textId="77777777" w:rsidTr="006E51D0">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1FF05314" w14:textId="77777777" w:rsidR="009A0130" w:rsidRPr="003B4CDA" w:rsidRDefault="009A0130" w:rsidP="00D209BD">
            <w:pPr>
              <w:spacing w:before="40" w:after="40"/>
              <w:rPr>
                <w:rFonts w:ascii="Segoe UI Light" w:hAnsi="Segoe UI Light"/>
                <w:sz w:val="16"/>
                <w:szCs w:val="20"/>
                <w:lang w:eastAsia="lv-LV"/>
              </w:rPr>
            </w:pPr>
          </w:p>
        </w:tc>
        <w:tc>
          <w:tcPr>
            <w:tcW w:w="3111" w:type="pct"/>
            <w:gridSpan w:val="9"/>
            <w:shd w:val="clear" w:color="auto" w:fill="CCC0D9" w:themeFill="accent4" w:themeFillTint="66"/>
          </w:tcPr>
          <w:p w14:paraId="61AFF65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30</w:t>
            </w:r>
            <w:r w:rsidRPr="003B4CDA">
              <w:rPr>
                <w:rFonts w:ascii="Segoe UI Light" w:hAnsi="Segoe UI Light"/>
                <w:sz w:val="16"/>
                <w:szCs w:val="20"/>
              </w:rPr>
              <w:t>. gads</w:t>
            </w:r>
          </w:p>
        </w:tc>
      </w:tr>
      <w:tr w:rsidR="00343BAC" w:rsidRPr="003B4CDA" w14:paraId="3811EB79" w14:textId="77777777" w:rsidTr="00D209BD">
        <w:tc>
          <w:tcPr>
            <w:tcW w:w="1889" w:type="pct"/>
            <w:shd w:val="clear" w:color="auto" w:fill="E5DFEC" w:themeFill="accent4" w:themeFillTint="33"/>
          </w:tcPr>
          <w:p w14:paraId="16350767" w14:textId="77777777" w:rsidR="009A0130" w:rsidRPr="003B4CDA" w:rsidRDefault="009A0130" w:rsidP="00D209BD">
            <w:pPr>
              <w:spacing w:before="40" w:after="40"/>
              <w:rPr>
                <w:rFonts w:ascii="Segoe UI Light" w:eastAsia="Arial Unicode MS" w:hAnsi="Segoe UI Light"/>
                <w:sz w:val="16"/>
                <w:szCs w:val="20"/>
              </w:rPr>
            </w:pPr>
            <w:r>
              <w:rPr>
                <w:rFonts w:ascii="Segoe UI Light" w:hAnsi="Segoe UI Light"/>
                <w:sz w:val="16"/>
                <w:szCs w:val="20"/>
                <w:lang w:eastAsia="lv-LV"/>
              </w:rPr>
              <w:t>Nacionālo bruņoto spēku profesijas</w:t>
            </w:r>
          </w:p>
        </w:tc>
        <w:tc>
          <w:tcPr>
            <w:tcW w:w="325" w:type="pct"/>
            <w:shd w:val="clear" w:color="auto" w:fill="E5DFEC" w:themeFill="accent4" w:themeFillTint="33"/>
            <w:vAlign w:val="bottom"/>
          </w:tcPr>
          <w:p w14:paraId="0B69A80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0</w:t>
            </w:r>
          </w:p>
        </w:tc>
        <w:tc>
          <w:tcPr>
            <w:tcW w:w="326" w:type="pct"/>
            <w:shd w:val="clear" w:color="auto" w:fill="E5DFEC" w:themeFill="accent4" w:themeFillTint="33"/>
            <w:vAlign w:val="bottom"/>
          </w:tcPr>
          <w:p w14:paraId="6F60C5F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6E96E33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2D971955"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98" w:type="pct"/>
            <w:shd w:val="clear" w:color="auto" w:fill="E5DFEC" w:themeFill="accent4" w:themeFillTint="33"/>
            <w:vAlign w:val="bottom"/>
          </w:tcPr>
          <w:p w14:paraId="18B3AAD2"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3FAD051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6BA841A7"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83" w:type="pct"/>
            <w:shd w:val="clear" w:color="auto" w:fill="E5DFEC" w:themeFill="accent4" w:themeFillTint="33"/>
            <w:vAlign w:val="bottom"/>
          </w:tcPr>
          <w:p w14:paraId="30EB93C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1,5</w:t>
            </w:r>
          </w:p>
        </w:tc>
        <w:tc>
          <w:tcPr>
            <w:tcW w:w="376" w:type="pct"/>
            <w:shd w:val="clear" w:color="auto" w:fill="E5DFEC" w:themeFill="accent4" w:themeFillTint="33"/>
            <w:vAlign w:val="bottom"/>
          </w:tcPr>
          <w:p w14:paraId="58906F7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1,5</w:t>
            </w:r>
          </w:p>
        </w:tc>
      </w:tr>
      <w:tr w:rsidR="00343BAC" w:rsidRPr="003B4CDA" w14:paraId="420E6106"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2834B5D"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Augstas kvalifikācijas profesijas, tai skaitā:</w:t>
            </w:r>
          </w:p>
        </w:tc>
        <w:tc>
          <w:tcPr>
            <w:tcW w:w="325" w:type="pct"/>
            <w:shd w:val="clear" w:color="auto" w:fill="CCC0D9" w:themeFill="accent4" w:themeFillTint="66"/>
            <w:vAlign w:val="bottom"/>
          </w:tcPr>
          <w:p w14:paraId="21EEF06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1,8</w:t>
            </w:r>
          </w:p>
        </w:tc>
        <w:tc>
          <w:tcPr>
            <w:tcW w:w="326" w:type="pct"/>
            <w:shd w:val="clear" w:color="auto" w:fill="CCC0D9" w:themeFill="accent4" w:themeFillTint="66"/>
            <w:vAlign w:val="bottom"/>
          </w:tcPr>
          <w:p w14:paraId="668A3D9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3,1</w:t>
            </w:r>
          </w:p>
        </w:tc>
        <w:tc>
          <w:tcPr>
            <w:tcW w:w="326" w:type="pct"/>
            <w:shd w:val="clear" w:color="auto" w:fill="CCC0D9" w:themeFill="accent4" w:themeFillTint="66"/>
            <w:vAlign w:val="bottom"/>
          </w:tcPr>
          <w:p w14:paraId="6068D7D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1,7</w:t>
            </w:r>
          </w:p>
        </w:tc>
        <w:tc>
          <w:tcPr>
            <w:tcW w:w="326" w:type="pct"/>
            <w:shd w:val="clear" w:color="auto" w:fill="CCC0D9" w:themeFill="accent4" w:themeFillTint="66"/>
            <w:vAlign w:val="bottom"/>
          </w:tcPr>
          <w:p w14:paraId="312C353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4,</w:t>
            </w:r>
            <w:r>
              <w:rPr>
                <w:rFonts w:ascii="Segoe UI Light" w:hAnsi="Segoe UI Light"/>
                <w:sz w:val="16"/>
                <w:szCs w:val="20"/>
              </w:rPr>
              <w:t>7</w:t>
            </w:r>
          </w:p>
        </w:tc>
        <w:tc>
          <w:tcPr>
            <w:tcW w:w="398" w:type="pct"/>
            <w:shd w:val="clear" w:color="auto" w:fill="CCC0D9" w:themeFill="accent4" w:themeFillTint="66"/>
            <w:vAlign w:val="bottom"/>
          </w:tcPr>
          <w:p w14:paraId="0802FD2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5,1</w:t>
            </w:r>
          </w:p>
        </w:tc>
        <w:tc>
          <w:tcPr>
            <w:tcW w:w="326" w:type="pct"/>
            <w:shd w:val="clear" w:color="auto" w:fill="CCC0D9" w:themeFill="accent4" w:themeFillTint="66"/>
            <w:vAlign w:val="bottom"/>
          </w:tcPr>
          <w:p w14:paraId="75B60659"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2,4</w:t>
            </w:r>
          </w:p>
        </w:tc>
        <w:tc>
          <w:tcPr>
            <w:tcW w:w="326" w:type="pct"/>
            <w:shd w:val="clear" w:color="auto" w:fill="CCC0D9" w:themeFill="accent4" w:themeFillTint="66"/>
            <w:vAlign w:val="bottom"/>
          </w:tcPr>
          <w:p w14:paraId="631E6DFB"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29,0</w:t>
            </w:r>
          </w:p>
        </w:tc>
        <w:tc>
          <w:tcPr>
            <w:tcW w:w="383" w:type="pct"/>
            <w:shd w:val="clear" w:color="auto" w:fill="CCC0D9" w:themeFill="accent4" w:themeFillTint="66"/>
            <w:vAlign w:val="bottom"/>
          </w:tcPr>
          <w:p w14:paraId="216E148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3,1</w:t>
            </w:r>
          </w:p>
        </w:tc>
        <w:tc>
          <w:tcPr>
            <w:tcW w:w="376" w:type="pct"/>
            <w:shd w:val="clear" w:color="auto" w:fill="CCC0D9" w:themeFill="accent4" w:themeFillTint="66"/>
            <w:vAlign w:val="bottom"/>
          </w:tcPr>
          <w:p w14:paraId="17160018"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44,8</w:t>
            </w:r>
          </w:p>
        </w:tc>
      </w:tr>
      <w:tr w:rsidR="00343BAC" w:rsidRPr="003B4CDA" w14:paraId="75D03AC6" w14:textId="77777777" w:rsidTr="00D209BD">
        <w:tc>
          <w:tcPr>
            <w:tcW w:w="1889" w:type="pct"/>
            <w:shd w:val="clear" w:color="auto" w:fill="E5DFEC" w:themeFill="accent4" w:themeFillTint="33"/>
          </w:tcPr>
          <w:p w14:paraId="3CAD07E2"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Vadītāji</w:t>
            </w:r>
          </w:p>
        </w:tc>
        <w:tc>
          <w:tcPr>
            <w:tcW w:w="325" w:type="pct"/>
            <w:shd w:val="clear" w:color="auto" w:fill="E5DFEC" w:themeFill="accent4" w:themeFillTint="33"/>
            <w:vAlign w:val="bottom"/>
          </w:tcPr>
          <w:p w14:paraId="551447B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0,6</w:t>
            </w:r>
          </w:p>
        </w:tc>
        <w:tc>
          <w:tcPr>
            <w:tcW w:w="326" w:type="pct"/>
            <w:shd w:val="clear" w:color="auto" w:fill="E5DFEC" w:themeFill="accent4" w:themeFillTint="33"/>
            <w:vAlign w:val="bottom"/>
          </w:tcPr>
          <w:p w14:paraId="0610E0F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0,3</w:t>
            </w:r>
          </w:p>
        </w:tc>
        <w:tc>
          <w:tcPr>
            <w:tcW w:w="326" w:type="pct"/>
            <w:shd w:val="clear" w:color="auto" w:fill="E5DFEC" w:themeFill="accent4" w:themeFillTint="33"/>
            <w:vAlign w:val="bottom"/>
          </w:tcPr>
          <w:p w14:paraId="5092821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E5DFEC" w:themeFill="accent4" w:themeFillTint="33"/>
            <w:vAlign w:val="bottom"/>
          </w:tcPr>
          <w:p w14:paraId="1F95DF4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5</w:t>
            </w:r>
          </w:p>
        </w:tc>
        <w:tc>
          <w:tcPr>
            <w:tcW w:w="398" w:type="pct"/>
            <w:shd w:val="clear" w:color="auto" w:fill="E5DFEC" w:themeFill="accent4" w:themeFillTint="33"/>
            <w:vAlign w:val="bottom"/>
          </w:tcPr>
          <w:p w14:paraId="53A3C41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8</w:t>
            </w:r>
          </w:p>
        </w:tc>
        <w:tc>
          <w:tcPr>
            <w:tcW w:w="326" w:type="pct"/>
            <w:shd w:val="clear" w:color="auto" w:fill="E5DFEC" w:themeFill="accent4" w:themeFillTint="33"/>
            <w:vAlign w:val="bottom"/>
          </w:tcPr>
          <w:p w14:paraId="4CA5A42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3</w:t>
            </w:r>
          </w:p>
        </w:tc>
        <w:tc>
          <w:tcPr>
            <w:tcW w:w="326" w:type="pct"/>
            <w:shd w:val="clear" w:color="auto" w:fill="E5DFEC" w:themeFill="accent4" w:themeFillTint="33"/>
            <w:vAlign w:val="bottom"/>
          </w:tcPr>
          <w:p w14:paraId="09966BAB"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4,8</w:t>
            </w:r>
          </w:p>
        </w:tc>
        <w:tc>
          <w:tcPr>
            <w:tcW w:w="383" w:type="pct"/>
            <w:shd w:val="clear" w:color="auto" w:fill="E5DFEC" w:themeFill="accent4" w:themeFillTint="33"/>
            <w:vAlign w:val="bottom"/>
          </w:tcPr>
          <w:p w14:paraId="6AAD454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w:t>
            </w:r>
            <w:r w:rsidRPr="003B4CDA">
              <w:rPr>
                <w:rFonts w:ascii="Segoe UI Light" w:hAnsi="Segoe UI Light"/>
                <w:sz w:val="16"/>
                <w:szCs w:val="20"/>
              </w:rPr>
              <w:t>0,</w:t>
            </w:r>
            <w:r>
              <w:rPr>
                <w:rFonts w:ascii="Segoe UI Light" w:hAnsi="Segoe UI Light"/>
                <w:sz w:val="16"/>
                <w:szCs w:val="20"/>
              </w:rPr>
              <w:t>2</w:t>
            </w:r>
          </w:p>
        </w:tc>
        <w:tc>
          <w:tcPr>
            <w:tcW w:w="376" w:type="pct"/>
            <w:shd w:val="clear" w:color="auto" w:fill="E5DFEC" w:themeFill="accent4" w:themeFillTint="33"/>
            <w:vAlign w:val="bottom"/>
          </w:tcPr>
          <w:p w14:paraId="1446A90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9,3</w:t>
            </w:r>
          </w:p>
        </w:tc>
      </w:tr>
      <w:tr w:rsidR="00343BAC" w:rsidRPr="003B4CDA" w14:paraId="0DF85C06"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506BC314"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Vecākie speciālisti</w:t>
            </w:r>
          </w:p>
        </w:tc>
        <w:tc>
          <w:tcPr>
            <w:tcW w:w="325" w:type="pct"/>
            <w:shd w:val="clear" w:color="auto" w:fill="CCC0D9" w:themeFill="accent4" w:themeFillTint="66"/>
            <w:vAlign w:val="bottom"/>
          </w:tcPr>
          <w:p w14:paraId="5127A79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26" w:type="pct"/>
            <w:shd w:val="clear" w:color="auto" w:fill="CCC0D9" w:themeFill="accent4" w:themeFillTint="66"/>
            <w:vAlign w:val="bottom"/>
          </w:tcPr>
          <w:p w14:paraId="79541C38"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1,2</w:t>
            </w:r>
          </w:p>
        </w:tc>
        <w:tc>
          <w:tcPr>
            <w:tcW w:w="326" w:type="pct"/>
            <w:shd w:val="clear" w:color="auto" w:fill="CCC0D9" w:themeFill="accent4" w:themeFillTint="66"/>
            <w:vAlign w:val="bottom"/>
          </w:tcPr>
          <w:p w14:paraId="2ACB998A"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26" w:type="pct"/>
            <w:shd w:val="clear" w:color="auto" w:fill="CCC0D9" w:themeFill="accent4" w:themeFillTint="66"/>
            <w:vAlign w:val="bottom"/>
          </w:tcPr>
          <w:p w14:paraId="5FCE0D1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3</w:t>
            </w:r>
          </w:p>
        </w:tc>
        <w:tc>
          <w:tcPr>
            <w:tcW w:w="398" w:type="pct"/>
            <w:shd w:val="clear" w:color="auto" w:fill="CCC0D9" w:themeFill="accent4" w:themeFillTint="66"/>
            <w:vAlign w:val="bottom"/>
          </w:tcPr>
          <w:p w14:paraId="7ED8E98B"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3</w:t>
            </w:r>
          </w:p>
        </w:tc>
        <w:tc>
          <w:tcPr>
            <w:tcW w:w="326" w:type="pct"/>
            <w:shd w:val="clear" w:color="auto" w:fill="CCC0D9" w:themeFill="accent4" w:themeFillTint="66"/>
            <w:vAlign w:val="bottom"/>
          </w:tcPr>
          <w:p w14:paraId="6284708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26" w:type="pct"/>
            <w:shd w:val="clear" w:color="auto" w:fill="CCC0D9" w:themeFill="accent4" w:themeFillTint="66"/>
            <w:vAlign w:val="bottom"/>
          </w:tcPr>
          <w:p w14:paraId="0DDEE98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13,8</w:t>
            </w:r>
          </w:p>
        </w:tc>
        <w:tc>
          <w:tcPr>
            <w:tcW w:w="383" w:type="pct"/>
            <w:shd w:val="clear" w:color="auto" w:fill="CCC0D9" w:themeFill="accent4" w:themeFillTint="66"/>
            <w:vAlign w:val="bottom"/>
          </w:tcPr>
          <w:p w14:paraId="3BB2AAA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w:t>
            </w:r>
            <w:r w:rsidRPr="003B4CDA">
              <w:rPr>
                <w:rFonts w:ascii="Segoe UI Light" w:hAnsi="Segoe UI Light"/>
                <w:sz w:val="16"/>
                <w:szCs w:val="20"/>
              </w:rPr>
              <w:t>,8</w:t>
            </w:r>
          </w:p>
        </w:tc>
        <w:tc>
          <w:tcPr>
            <w:tcW w:w="376" w:type="pct"/>
            <w:shd w:val="clear" w:color="auto" w:fill="CCC0D9" w:themeFill="accent4" w:themeFillTint="66"/>
            <w:vAlign w:val="bottom"/>
          </w:tcPr>
          <w:p w14:paraId="5048A54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17</w:t>
            </w:r>
            <w:r w:rsidRPr="003B4CDA">
              <w:rPr>
                <w:rFonts w:ascii="Segoe UI Light" w:hAnsi="Segoe UI Light"/>
                <w:sz w:val="16"/>
                <w:szCs w:val="20"/>
              </w:rPr>
              <w:t>,6</w:t>
            </w:r>
          </w:p>
        </w:tc>
      </w:tr>
      <w:tr w:rsidR="00343BAC" w:rsidRPr="003B4CDA" w14:paraId="347FB7A4" w14:textId="77777777" w:rsidTr="00D209BD">
        <w:tc>
          <w:tcPr>
            <w:tcW w:w="1889" w:type="pct"/>
            <w:shd w:val="clear" w:color="auto" w:fill="E5DFEC" w:themeFill="accent4" w:themeFillTint="33"/>
          </w:tcPr>
          <w:p w14:paraId="0BEF0882"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Speciālisti</w:t>
            </w:r>
          </w:p>
        </w:tc>
        <w:tc>
          <w:tcPr>
            <w:tcW w:w="325" w:type="pct"/>
            <w:shd w:val="clear" w:color="auto" w:fill="E5DFEC" w:themeFill="accent4" w:themeFillTint="33"/>
            <w:vAlign w:val="bottom"/>
          </w:tcPr>
          <w:p w14:paraId="6C260AC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26" w:type="pct"/>
            <w:shd w:val="clear" w:color="auto" w:fill="E5DFEC" w:themeFill="accent4" w:themeFillTint="33"/>
            <w:vAlign w:val="bottom"/>
          </w:tcPr>
          <w:p w14:paraId="0A78BDA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1,6</w:t>
            </w:r>
          </w:p>
        </w:tc>
        <w:tc>
          <w:tcPr>
            <w:tcW w:w="326" w:type="pct"/>
            <w:shd w:val="clear" w:color="auto" w:fill="E5DFEC" w:themeFill="accent4" w:themeFillTint="33"/>
            <w:vAlign w:val="bottom"/>
          </w:tcPr>
          <w:p w14:paraId="550F7FA9"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1,0</w:t>
            </w:r>
          </w:p>
        </w:tc>
        <w:tc>
          <w:tcPr>
            <w:tcW w:w="326" w:type="pct"/>
            <w:shd w:val="clear" w:color="auto" w:fill="E5DFEC" w:themeFill="accent4" w:themeFillTint="33"/>
            <w:vAlign w:val="bottom"/>
          </w:tcPr>
          <w:p w14:paraId="4EA15CBF"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1,9</w:t>
            </w:r>
          </w:p>
        </w:tc>
        <w:tc>
          <w:tcPr>
            <w:tcW w:w="398" w:type="pct"/>
            <w:shd w:val="clear" w:color="auto" w:fill="E5DFEC" w:themeFill="accent4" w:themeFillTint="33"/>
            <w:vAlign w:val="bottom"/>
          </w:tcPr>
          <w:p w14:paraId="1F6FE9E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2,0</w:t>
            </w:r>
          </w:p>
        </w:tc>
        <w:tc>
          <w:tcPr>
            <w:tcW w:w="326" w:type="pct"/>
            <w:shd w:val="clear" w:color="auto" w:fill="E5DFEC" w:themeFill="accent4" w:themeFillTint="33"/>
            <w:vAlign w:val="bottom"/>
          </w:tcPr>
          <w:p w14:paraId="236BEBB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1,4</w:t>
            </w:r>
          </w:p>
        </w:tc>
        <w:tc>
          <w:tcPr>
            <w:tcW w:w="326" w:type="pct"/>
            <w:shd w:val="clear" w:color="auto" w:fill="E5DFEC" w:themeFill="accent4" w:themeFillTint="33"/>
            <w:vAlign w:val="bottom"/>
          </w:tcPr>
          <w:p w14:paraId="7E3EFEA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10,4</w:t>
            </w:r>
          </w:p>
        </w:tc>
        <w:tc>
          <w:tcPr>
            <w:tcW w:w="383" w:type="pct"/>
            <w:shd w:val="clear" w:color="auto" w:fill="E5DFEC" w:themeFill="accent4" w:themeFillTint="33"/>
            <w:vAlign w:val="bottom"/>
          </w:tcPr>
          <w:p w14:paraId="51BB724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1,1</w:t>
            </w:r>
          </w:p>
        </w:tc>
        <w:tc>
          <w:tcPr>
            <w:tcW w:w="376" w:type="pct"/>
            <w:shd w:val="clear" w:color="auto" w:fill="E5DFEC" w:themeFill="accent4" w:themeFillTint="33"/>
            <w:vAlign w:val="bottom"/>
          </w:tcPr>
          <w:p w14:paraId="1F1CF21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17,9</w:t>
            </w:r>
          </w:p>
        </w:tc>
      </w:tr>
      <w:tr w:rsidR="00343BAC" w:rsidRPr="003B4CDA" w14:paraId="02E1CDFE"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2B4E845"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Vidējas kvalifikācijas profesijas, tai skaitā:</w:t>
            </w:r>
          </w:p>
        </w:tc>
        <w:tc>
          <w:tcPr>
            <w:tcW w:w="325" w:type="pct"/>
            <w:shd w:val="clear" w:color="auto" w:fill="CCC0D9" w:themeFill="accent4" w:themeFillTint="66"/>
            <w:vAlign w:val="bottom"/>
          </w:tcPr>
          <w:p w14:paraId="113F62C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CCC0D9" w:themeFill="accent4" w:themeFillTint="66"/>
            <w:vAlign w:val="bottom"/>
          </w:tcPr>
          <w:p w14:paraId="47BE341B"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1,0</w:t>
            </w:r>
          </w:p>
        </w:tc>
        <w:tc>
          <w:tcPr>
            <w:tcW w:w="326" w:type="pct"/>
            <w:shd w:val="clear" w:color="auto" w:fill="CCC0D9" w:themeFill="accent4" w:themeFillTint="66"/>
            <w:vAlign w:val="bottom"/>
          </w:tcPr>
          <w:p w14:paraId="66E1BD4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2</w:t>
            </w:r>
          </w:p>
        </w:tc>
        <w:tc>
          <w:tcPr>
            <w:tcW w:w="326" w:type="pct"/>
            <w:shd w:val="clear" w:color="auto" w:fill="CCC0D9" w:themeFill="accent4" w:themeFillTint="66"/>
            <w:vAlign w:val="bottom"/>
          </w:tcPr>
          <w:p w14:paraId="7D276C5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7,4</w:t>
            </w:r>
          </w:p>
        </w:tc>
        <w:tc>
          <w:tcPr>
            <w:tcW w:w="398" w:type="pct"/>
            <w:shd w:val="clear" w:color="auto" w:fill="CCC0D9" w:themeFill="accent4" w:themeFillTint="66"/>
            <w:vAlign w:val="bottom"/>
          </w:tcPr>
          <w:p w14:paraId="6C732E3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10,9</w:t>
            </w:r>
          </w:p>
        </w:tc>
        <w:tc>
          <w:tcPr>
            <w:tcW w:w="326" w:type="pct"/>
            <w:shd w:val="clear" w:color="auto" w:fill="CCC0D9" w:themeFill="accent4" w:themeFillTint="66"/>
            <w:vAlign w:val="bottom"/>
          </w:tcPr>
          <w:p w14:paraId="19C22A6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w:t>
            </w:r>
          </w:p>
        </w:tc>
        <w:tc>
          <w:tcPr>
            <w:tcW w:w="326" w:type="pct"/>
            <w:shd w:val="clear" w:color="auto" w:fill="CCC0D9" w:themeFill="accent4" w:themeFillTint="66"/>
            <w:vAlign w:val="bottom"/>
          </w:tcPr>
          <w:p w14:paraId="48E0E969"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3,5</w:t>
            </w:r>
          </w:p>
        </w:tc>
        <w:tc>
          <w:tcPr>
            <w:tcW w:w="383" w:type="pct"/>
            <w:shd w:val="clear" w:color="auto" w:fill="CCC0D9" w:themeFill="accent4" w:themeFillTint="66"/>
            <w:vAlign w:val="bottom"/>
          </w:tcPr>
          <w:p w14:paraId="77674BF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3,9</w:t>
            </w:r>
          </w:p>
        </w:tc>
        <w:tc>
          <w:tcPr>
            <w:tcW w:w="376" w:type="pct"/>
            <w:shd w:val="clear" w:color="auto" w:fill="CCC0D9" w:themeFill="accent4" w:themeFillTint="66"/>
            <w:vAlign w:val="bottom"/>
          </w:tcPr>
          <w:p w14:paraId="50DB29D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4,5</w:t>
            </w:r>
          </w:p>
        </w:tc>
      </w:tr>
      <w:tr w:rsidR="00343BAC" w:rsidRPr="003B4CDA" w14:paraId="10B7BC6F" w14:textId="77777777" w:rsidTr="00D209BD">
        <w:tc>
          <w:tcPr>
            <w:tcW w:w="1889" w:type="pct"/>
            <w:shd w:val="clear" w:color="auto" w:fill="E5DFEC" w:themeFill="accent4" w:themeFillTint="33"/>
          </w:tcPr>
          <w:p w14:paraId="2BA8406C"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Iestāžu kalpotāji</w:t>
            </w:r>
          </w:p>
        </w:tc>
        <w:tc>
          <w:tcPr>
            <w:tcW w:w="325" w:type="pct"/>
            <w:shd w:val="clear" w:color="auto" w:fill="E5DFEC" w:themeFill="accent4" w:themeFillTint="33"/>
            <w:vAlign w:val="bottom"/>
          </w:tcPr>
          <w:p w14:paraId="70BC3D1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00805B4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w:t>
            </w:r>
            <w:r w:rsidRPr="003B4CDA">
              <w:rPr>
                <w:rFonts w:ascii="Segoe UI Light" w:hAnsi="Segoe UI Light"/>
                <w:sz w:val="16"/>
                <w:szCs w:val="20"/>
              </w:rPr>
              <w:t>0,</w:t>
            </w:r>
            <w:r>
              <w:rPr>
                <w:rFonts w:ascii="Segoe UI Light" w:hAnsi="Segoe UI Light"/>
                <w:sz w:val="16"/>
                <w:szCs w:val="20"/>
              </w:rPr>
              <w:t>5</w:t>
            </w:r>
          </w:p>
        </w:tc>
        <w:tc>
          <w:tcPr>
            <w:tcW w:w="326" w:type="pct"/>
            <w:shd w:val="clear" w:color="auto" w:fill="E5DFEC" w:themeFill="accent4" w:themeFillTint="33"/>
            <w:vAlign w:val="bottom"/>
          </w:tcPr>
          <w:p w14:paraId="573A3DA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-0,1</w:t>
            </w:r>
          </w:p>
        </w:tc>
        <w:tc>
          <w:tcPr>
            <w:tcW w:w="326" w:type="pct"/>
            <w:shd w:val="clear" w:color="auto" w:fill="E5DFEC" w:themeFill="accent4" w:themeFillTint="33"/>
            <w:vAlign w:val="bottom"/>
          </w:tcPr>
          <w:p w14:paraId="705C3CD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98" w:type="pct"/>
            <w:shd w:val="clear" w:color="auto" w:fill="E5DFEC" w:themeFill="accent4" w:themeFillTint="33"/>
            <w:vAlign w:val="bottom"/>
          </w:tcPr>
          <w:p w14:paraId="1D96A4C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2</w:t>
            </w:r>
          </w:p>
        </w:tc>
        <w:tc>
          <w:tcPr>
            <w:tcW w:w="326" w:type="pct"/>
            <w:shd w:val="clear" w:color="auto" w:fill="E5DFEC" w:themeFill="accent4" w:themeFillTint="33"/>
            <w:vAlign w:val="bottom"/>
          </w:tcPr>
          <w:p w14:paraId="373C214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0,9</w:t>
            </w:r>
          </w:p>
        </w:tc>
        <w:tc>
          <w:tcPr>
            <w:tcW w:w="326" w:type="pct"/>
            <w:shd w:val="clear" w:color="auto" w:fill="E5DFEC" w:themeFill="accent4" w:themeFillTint="33"/>
            <w:vAlign w:val="bottom"/>
          </w:tcPr>
          <w:p w14:paraId="18D4DF4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0</w:t>
            </w:r>
          </w:p>
        </w:tc>
        <w:tc>
          <w:tcPr>
            <w:tcW w:w="383" w:type="pct"/>
            <w:shd w:val="clear" w:color="auto" w:fill="E5DFEC" w:themeFill="accent4" w:themeFillTint="33"/>
            <w:vAlign w:val="bottom"/>
          </w:tcPr>
          <w:p w14:paraId="3987969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1,5</w:t>
            </w:r>
          </w:p>
        </w:tc>
        <w:tc>
          <w:tcPr>
            <w:tcW w:w="376" w:type="pct"/>
            <w:shd w:val="clear" w:color="auto" w:fill="E5DFEC" w:themeFill="accent4" w:themeFillTint="33"/>
            <w:vAlign w:val="bottom"/>
          </w:tcPr>
          <w:p w14:paraId="21A9F8BA"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5,2</w:t>
            </w:r>
          </w:p>
        </w:tc>
      </w:tr>
      <w:tr w:rsidR="00343BAC" w:rsidRPr="003B4CDA" w14:paraId="0888477E"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73C49F06"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Pakalpojumu darbinieki</w:t>
            </w:r>
          </w:p>
        </w:tc>
        <w:tc>
          <w:tcPr>
            <w:tcW w:w="325" w:type="pct"/>
            <w:shd w:val="clear" w:color="auto" w:fill="CCC0D9" w:themeFill="accent4" w:themeFillTint="66"/>
            <w:vAlign w:val="bottom"/>
          </w:tcPr>
          <w:p w14:paraId="5915ABE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CCC0D9" w:themeFill="accent4" w:themeFillTint="66"/>
            <w:vAlign w:val="bottom"/>
          </w:tcPr>
          <w:p w14:paraId="2F71A1F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w:t>
            </w:r>
            <w:r w:rsidRPr="003B4CDA">
              <w:rPr>
                <w:rFonts w:ascii="Segoe UI Light" w:hAnsi="Segoe UI Light"/>
                <w:sz w:val="16"/>
                <w:szCs w:val="20"/>
              </w:rPr>
              <w:t>0,</w:t>
            </w:r>
            <w:r>
              <w:rPr>
                <w:rFonts w:ascii="Segoe UI Light" w:hAnsi="Segoe UI Light"/>
                <w:sz w:val="16"/>
                <w:szCs w:val="20"/>
              </w:rPr>
              <w:t>1</w:t>
            </w:r>
          </w:p>
        </w:tc>
        <w:tc>
          <w:tcPr>
            <w:tcW w:w="326" w:type="pct"/>
            <w:shd w:val="clear" w:color="auto" w:fill="CCC0D9" w:themeFill="accent4" w:themeFillTint="66"/>
            <w:vAlign w:val="bottom"/>
          </w:tcPr>
          <w:p w14:paraId="355ED4F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CCC0D9" w:themeFill="accent4" w:themeFillTint="66"/>
            <w:vAlign w:val="bottom"/>
          </w:tcPr>
          <w:p w14:paraId="121D2B4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98" w:type="pct"/>
            <w:shd w:val="clear" w:color="auto" w:fill="CCC0D9" w:themeFill="accent4" w:themeFillTint="66"/>
            <w:vAlign w:val="bottom"/>
          </w:tcPr>
          <w:p w14:paraId="0412F07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9,6</w:t>
            </w:r>
          </w:p>
        </w:tc>
        <w:tc>
          <w:tcPr>
            <w:tcW w:w="326" w:type="pct"/>
            <w:shd w:val="clear" w:color="auto" w:fill="CCC0D9" w:themeFill="accent4" w:themeFillTint="66"/>
            <w:vAlign w:val="bottom"/>
          </w:tcPr>
          <w:p w14:paraId="659F76EB"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CCC0D9" w:themeFill="accent4" w:themeFillTint="66"/>
            <w:vAlign w:val="bottom"/>
          </w:tcPr>
          <w:p w14:paraId="31A1FAF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3,0</w:t>
            </w:r>
          </w:p>
        </w:tc>
        <w:tc>
          <w:tcPr>
            <w:tcW w:w="383" w:type="pct"/>
            <w:shd w:val="clear" w:color="auto" w:fill="CCC0D9" w:themeFill="accent4" w:themeFillTint="66"/>
            <w:vAlign w:val="bottom"/>
          </w:tcPr>
          <w:p w14:paraId="2E2607F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8</w:t>
            </w:r>
          </w:p>
        </w:tc>
        <w:tc>
          <w:tcPr>
            <w:tcW w:w="376" w:type="pct"/>
            <w:shd w:val="clear" w:color="auto" w:fill="CCC0D9" w:themeFill="accent4" w:themeFillTint="66"/>
            <w:vAlign w:val="bottom"/>
          </w:tcPr>
          <w:p w14:paraId="040D2D1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-8,</w:t>
            </w:r>
            <w:r>
              <w:rPr>
                <w:rFonts w:ascii="Segoe UI Light" w:hAnsi="Segoe UI Light"/>
                <w:sz w:val="16"/>
                <w:szCs w:val="20"/>
              </w:rPr>
              <w:t>4</w:t>
            </w:r>
          </w:p>
        </w:tc>
      </w:tr>
      <w:tr w:rsidR="00343BAC" w:rsidRPr="003B4CDA" w14:paraId="38E16181" w14:textId="77777777" w:rsidTr="00D209BD">
        <w:tc>
          <w:tcPr>
            <w:tcW w:w="1889" w:type="pct"/>
            <w:shd w:val="clear" w:color="auto" w:fill="E5DFEC" w:themeFill="accent4" w:themeFillTint="33"/>
          </w:tcPr>
          <w:p w14:paraId="6F2B68B7"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Kvalificēti lauksaimniecības darbinieki</w:t>
            </w:r>
          </w:p>
        </w:tc>
        <w:tc>
          <w:tcPr>
            <w:tcW w:w="325" w:type="pct"/>
            <w:shd w:val="clear" w:color="auto" w:fill="E5DFEC" w:themeFill="accent4" w:themeFillTint="33"/>
            <w:vAlign w:val="bottom"/>
          </w:tcPr>
          <w:p w14:paraId="6F5D1A4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0,3</w:t>
            </w:r>
          </w:p>
        </w:tc>
        <w:tc>
          <w:tcPr>
            <w:tcW w:w="326" w:type="pct"/>
            <w:shd w:val="clear" w:color="auto" w:fill="E5DFEC" w:themeFill="accent4" w:themeFillTint="33"/>
            <w:vAlign w:val="bottom"/>
          </w:tcPr>
          <w:p w14:paraId="61C71CD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2EAA63B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59BFFD6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98" w:type="pct"/>
            <w:shd w:val="clear" w:color="auto" w:fill="E5DFEC" w:themeFill="accent4" w:themeFillTint="33"/>
            <w:vAlign w:val="bottom"/>
          </w:tcPr>
          <w:p w14:paraId="356952C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2499678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2C25413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83" w:type="pct"/>
            <w:shd w:val="clear" w:color="auto" w:fill="E5DFEC" w:themeFill="accent4" w:themeFillTint="33"/>
            <w:vAlign w:val="bottom"/>
          </w:tcPr>
          <w:p w14:paraId="2C44BEE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76" w:type="pct"/>
            <w:shd w:val="clear" w:color="auto" w:fill="E5DFEC" w:themeFill="accent4" w:themeFillTint="33"/>
            <w:vAlign w:val="bottom"/>
          </w:tcPr>
          <w:p w14:paraId="645C02B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w:t>
            </w:r>
            <w:r w:rsidRPr="003B4CDA">
              <w:rPr>
                <w:rFonts w:ascii="Segoe UI Light" w:hAnsi="Segoe UI Light"/>
                <w:sz w:val="16"/>
                <w:szCs w:val="20"/>
              </w:rPr>
              <w:t>,1</w:t>
            </w:r>
          </w:p>
        </w:tc>
      </w:tr>
      <w:tr w:rsidR="00343BAC" w:rsidRPr="003B4CDA" w14:paraId="3E9211B3"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396653BA"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Kvalificēti strādnieki</w:t>
            </w:r>
          </w:p>
        </w:tc>
        <w:tc>
          <w:tcPr>
            <w:tcW w:w="325" w:type="pct"/>
            <w:shd w:val="clear" w:color="auto" w:fill="CCC0D9" w:themeFill="accent4" w:themeFillTint="66"/>
            <w:vAlign w:val="bottom"/>
          </w:tcPr>
          <w:p w14:paraId="25A6D37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CCC0D9" w:themeFill="accent4" w:themeFillTint="66"/>
            <w:vAlign w:val="bottom"/>
          </w:tcPr>
          <w:p w14:paraId="0C0AA43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9</w:t>
            </w:r>
          </w:p>
        </w:tc>
        <w:tc>
          <w:tcPr>
            <w:tcW w:w="326" w:type="pct"/>
            <w:shd w:val="clear" w:color="auto" w:fill="CCC0D9" w:themeFill="accent4" w:themeFillTint="66"/>
            <w:vAlign w:val="bottom"/>
          </w:tcPr>
          <w:p w14:paraId="0F49B53C"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CCC0D9" w:themeFill="accent4" w:themeFillTint="66"/>
            <w:vAlign w:val="bottom"/>
          </w:tcPr>
          <w:p w14:paraId="19BA729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6,7</w:t>
            </w:r>
          </w:p>
        </w:tc>
        <w:tc>
          <w:tcPr>
            <w:tcW w:w="398" w:type="pct"/>
            <w:shd w:val="clear" w:color="auto" w:fill="CCC0D9" w:themeFill="accent4" w:themeFillTint="66"/>
            <w:vAlign w:val="bottom"/>
          </w:tcPr>
          <w:p w14:paraId="20CA389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0,1</w:t>
            </w:r>
          </w:p>
        </w:tc>
        <w:tc>
          <w:tcPr>
            <w:tcW w:w="326" w:type="pct"/>
            <w:shd w:val="clear" w:color="auto" w:fill="CCC0D9" w:themeFill="accent4" w:themeFillTint="66"/>
            <w:vAlign w:val="bottom"/>
          </w:tcPr>
          <w:p w14:paraId="08E99B67"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0,2</w:t>
            </w:r>
          </w:p>
        </w:tc>
        <w:tc>
          <w:tcPr>
            <w:tcW w:w="326" w:type="pct"/>
            <w:shd w:val="clear" w:color="auto" w:fill="CCC0D9" w:themeFill="accent4" w:themeFillTint="66"/>
            <w:vAlign w:val="bottom"/>
          </w:tcPr>
          <w:p w14:paraId="04FB67C8"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0,8</w:t>
            </w:r>
          </w:p>
        </w:tc>
        <w:tc>
          <w:tcPr>
            <w:tcW w:w="383" w:type="pct"/>
            <w:shd w:val="clear" w:color="auto" w:fill="CCC0D9" w:themeFill="accent4" w:themeFillTint="66"/>
            <w:vAlign w:val="bottom"/>
          </w:tcPr>
          <w:p w14:paraId="3BC9215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76" w:type="pct"/>
            <w:shd w:val="clear" w:color="auto" w:fill="CCC0D9" w:themeFill="accent4" w:themeFillTint="66"/>
            <w:vAlign w:val="bottom"/>
          </w:tcPr>
          <w:p w14:paraId="2E10337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8,7</w:t>
            </w:r>
          </w:p>
        </w:tc>
      </w:tr>
      <w:tr w:rsidR="00343BAC" w:rsidRPr="003B4CDA" w14:paraId="299D5564" w14:textId="77777777" w:rsidTr="00D209BD">
        <w:tc>
          <w:tcPr>
            <w:tcW w:w="1889" w:type="pct"/>
            <w:shd w:val="clear" w:color="auto" w:fill="E5DFEC" w:themeFill="accent4" w:themeFillTint="33"/>
          </w:tcPr>
          <w:p w14:paraId="04BDDAD8"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Iekārtu un mašīnu operatori</w:t>
            </w:r>
          </w:p>
        </w:tc>
        <w:tc>
          <w:tcPr>
            <w:tcW w:w="325" w:type="pct"/>
            <w:shd w:val="clear" w:color="auto" w:fill="E5DFEC" w:themeFill="accent4" w:themeFillTint="33"/>
            <w:vAlign w:val="bottom"/>
          </w:tcPr>
          <w:p w14:paraId="028149A5"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0,3</w:t>
            </w:r>
          </w:p>
        </w:tc>
        <w:tc>
          <w:tcPr>
            <w:tcW w:w="326" w:type="pct"/>
            <w:shd w:val="clear" w:color="auto" w:fill="E5DFEC" w:themeFill="accent4" w:themeFillTint="33"/>
            <w:vAlign w:val="bottom"/>
          </w:tcPr>
          <w:p w14:paraId="34F2E2C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26" w:type="pct"/>
            <w:shd w:val="clear" w:color="auto" w:fill="E5DFEC" w:themeFill="accent4" w:themeFillTint="33"/>
            <w:vAlign w:val="bottom"/>
          </w:tcPr>
          <w:p w14:paraId="64F1FF9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E5DFEC" w:themeFill="accent4" w:themeFillTint="33"/>
            <w:vAlign w:val="bottom"/>
          </w:tcPr>
          <w:p w14:paraId="32E685B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98" w:type="pct"/>
            <w:shd w:val="clear" w:color="auto" w:fill="E5DFEC" w:themeFill="accent4" w:themeFillTint="33"/>
            <w:vAlign w:val="bottom"/>
          </w:tcPr>
          <w:p w14:paraId="50A58D9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2</w:t>
            </w:r>
          </w:p>
        </w:tc>
        <w:tc>
          <w:tcPr>
            <w:tcW w:w="326" w:type="pct"/>
            <w:shd w:val="clear" w:color="auto" w:fill="E5DFEC" w:themeFill="accent4" w:themeFillTint="33"/>
            <w:vAlign w:val="bottom"/>
          </w:tcPr>
          <w:p w14:paraId="7A366D5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0,7</w:t>
            </w:r>
          </w:p>
        </w:tc>
        <w:tc>
          <w:tcPr>
            <w:tcW w:w="326" w:type="pct"/>
            <w:shd w:val="clear" w:color="auto" w:fill="E5DFEC" w:themeFill="accent4" w:themeFillTint="33"/>
            <w:vAlign w:val="bottom"/>
          </w:tcPr>
          <w:p w14:paraId="150E84D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5</w:t>
            </w:r>
          </w:p>
        </w:tc>
        <w:tc>
          <w:tcPr>
            <w:tcW w:w="383" w:type="pct"/>
            <w:shd w:val="clear" w:color="auto" w:fill="E5DFEC" w:themeFill="accent4" w:themeFillTint="33"/>
            <w:vAlign w:val="bottom"/>
          </w:tcPr>
          <w:p w14:paraId="690C0AB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6</w:t>
            </w:r>
          </w:p>
        </w:tc>
        <w:tc>
          <w:tcPr>
            <w:tcW w:w="376" w:type="pct"/>
            <w:shd w:val="clear" w:color="auto" w:fill="E5DFEC" w:themeFill="accent4" w:themeFillTint="33"/>
            <w:vAlign w:val="bottom"/>
          </w:tcPr>
          <w:p w14:paraId="0E032489"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0,4</w:t>
            </w:r>
          </w:p>
        </w:tc>
      </w:tr>
      <w:tr w:rsidR="00343BAC" w:rsidRPr="003B4CDA" w14:paraId="548C67D7"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13E1AAF5"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Zemas kvalifikācijas profesijas</w:t>
            </w:r>
          </w:p>
        </w:tc>
        <w:tc>
          <w:tcPr>
            <w:tcW w:w="325" w:type="pct"/>
            <w:shd w:val="clear" w:color="auto" w:fill="CCC0D9" w:themeFill="accent4" w:themeFillTint="66"/>
            <w:vAlign w:val="bottom"/>
          </w:tcPr>
          <w:p w14:paraId="5368335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-1,8</w:t>
            </w:r>
          </w:p>
        </w:tc>
        <w:tc>
          <w:tcPr>
            <w:tcW w:w="326" w:type="pct"/>
            <w:shd w:val="clear" w:color="auto" w:fill="CCC0D9" w:themeFill="accent4" w:themeFillTint="66"/>
            <w:vAlign w:val="bottom"/>
          </w:tcPr>
          <w:p w14:paraId="5F87B07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9</w:t>
            </w:r>
          </w:p>
        </w:tc>
        <w:tc>
          <w:tcPr>
            <w:tcW w:w="326" w:type="pct"/>
            <w:shd w:val="clear" w:color="auto" w:fill="CCC0D9" w:themeFill="accent4" w:themeFillTint="66"/>
            <w:vAlign w:val="bottom"/>
          </w:tcPr>
          <w:p w14:paraId="7389566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0,8</w:t>
            </w:r>
          </w:p>
        </w:tc>
        <w:tc>
          <w:tcPr>
            <w:tcW w:w="326" w:type="pct"/>
            <w:shd w:val="clear" w:color="auto" w:fill="CCC0D9" w:themeFill="accent4" w:themeFillTint="66"/>
            <w:vAlign w:val="bottom"/>
          </w:tcPr>
          <w:p w14:paraId="76C404A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7</w:t>
            </w:r>
          </w:p>
        </w:tc>
        <w:tc>
          <w:tcPr>
            <w:tcW w:w="398" w:type="pct"/>
            <w:shd w:val="clear" w:color="auto" w:fill="CCC0D9" w:themeFill="accent4" w:themeFillTint="66"/>
            <w:vAlign w:val="bottom"/>
          </w:tcPr>
          <w:p w14:paraId="58F3821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2,4</w:t>
            </w:r>
          </w:p>
        </w:tc>
        <w:tc>
          <w:tcPr>
            <w:tcW w:w="326" w:type="pct"/>
            <w:shd w:val="clear" w:color="auto" w:fill="CCC0D9" w:themeFill="accent4" w:themeFillTint="66"/>
            <w:vAlign w:val="bottom"/>
          </w:tcPr>
          <w:p w14:paraId="10D1825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0,9</w:t>
            </w:r>
          </w:p>
        </w:tc>
        <w:tc>
          <w:tcPr>
            <w:tcW w:w="326" w:type="pct"/>
            <w:shd w:val="clear" w:color="auto" w:fill="CCC0D9" w:themeFill="accent4" w:themeFillTint="66"/>
            <w:vAlign w:val="bottom"/>
          </w:tcPr>
          <w:p w14:paraId="50823E5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w:t>
            </w:r>
          </w:p>
        </w:tc>
        <w:tc>
          <w:tcPr>
            <w:tcW w:w="383" w:type="pct"/>
            <w:shd w:val="clear" w:color="auto" w:fill="CCC0D9" w:themeFill="accent4" w:themeFillTint="66"/>
            <w:vAlign w:val="bottom"/>
          </w:tcPr>
          <w:p w14:paraId="2F9E575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-3,</w:t>
            </w:r>
            <w:r>
              <w:rPr>
                <w:rFonts w:ascii="Segoe UI Light" w:hAnsi="Segoe UI Light"/>
                <w:sz w:val="16"/>
                <w:szCs w:val="20"/>
              </w:rPr>
              <w:t>8</w:t>
            </w:r>
          </w:p>
        </w:tc>
        <w:tc>
          <w:tcPr>
            <w:tcW w:w="376" w:type="pct"/>
            <w:shd w:val="clear" w:color="auto" w:fill="CCC0D9" w:themeFill="accent4" w:themeFillTint="66"/>
            <w:vAlign w:val="bottom"/>
          </w:tcPr>
          <w:p w14:paraId="68886B6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15,6</w:t>
            </w:r>
          </w:p>
        </w:tc>
      </w:tr>
      <w:tr w:rsidR="00343BAC" w:rsidRPr="003B4CDA" w14:paraId="1905C481" w14:textId="77777777" w:rsidTr="00D209BD">
        <w:tc>
          <w:tcPr>
            <w:tcW w:w="1889" w:type="pct"/>
            <w:shd w:val="clear" w:color="auto" w:fill="E5DFEC" w:themeFill="accent4" w:themeFillTint="33"/>
          </w:tcPr>
          <w:p w14:paraId="297889C2" w14:textId="77777777" w:rsidR="009A0130" w:rsidRPr="003B4CDA" w:rsidRDefault="009A0130" w:rsidP="00D209BD">
            <w:pPr>
              <w:spacing w:before="40" w:after="40"/>
              <w:rPr>
                <w:rFonts w:ascii="Segoe UI Light" w:eastAsia="Arial Unicode MS" w:hAnsi="Segoe UI Light"/>
                <w:b/>
                <w:sz w:val="16"/>
                <w:szCs w:val="20"/>
              </w:rPr>
            </w:pPr>
            <w:r w:rsidRPr="003B4CDA">
              <w:rPr>
                <w:rFonts w:ascii="Segoe UI Light" w:eastAsia="Arial Unicode MS" w:hAnsi="Segoe UI Light"/>
                <w:b/>
                <w:sz w:val="16"/>
                <w:szCs w:val="20"/>
              </w:rPr>
              <w:t>Kopā</w:t>
            </w:r>
          </w:p>
        </w:tc>
        <w:tc>
          <w:tcPr>
            <w:tcW w:w="325" w:type="pct"/>
            <w:shd w:val="clear" w:color="auto" w:fill="E5DFEC" w:themeFill="accent4" w:themeFillTint="33"/>
            <w:vAlign w:val="bottom"/>
          </w:tcPr>
          <w:p w14:paraId="1049AB79"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0,0</w:t>
            </w:r>
          </w:p>
        </w:tc>
        <w:tc>
          <w:tcPr>
            <w:tcW w:w="326" w:type="pct"/>
            <w:shd w:val="clear" w:color="auto" w:fill="E5DFEC" w:themeFill="accent4" w:themeFillTint="33"/>
            <w:vAlign w:val="bottom"/>
          </w:tcPr>
          <w:p w14:paraId="75440C2F"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1,2</w:t>
            </w:r>
          </w:p>
        </w:tc>
        <w:tc>
          <w:tcPr>
            <w:tcW w:w="326" w:type="pct"/>
            <w:shd w:val="clear" w:color="auto" w:fill="E5DFEC" w:themeFill="accent4" w:themeFillTint="33"/>
            <w:vAlign w:val="bottom"/>
          </w:tcPr>
          <w:p w14:paraId="4E944F00"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0,6</w:t>
            </w:r>
          </w:p>
        </w:tc>
        <w:tc>
          <w:tcPr>
            <w:tcW w:w="326" w:type="pct"/>
            <w:shd w:val="clear" w:color="auto" w:fill="E5DFEC" w:themeFill="accent4" w:themeFillTint="33"/>
            <w:vAlign w:val="bottom"/>
          </w:tcPr>
          <w:p w14:paraId="2AA78A71"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10,4</w:t>
            </w:r>
          </w:p>
        </w:tc>
        <w:tc>
          <w:tcPr>
            <w:tcW w:w="398" w:type="pct"/>
            <w:shd w:val="clear" w:color="auto" w:fill="E5DFEC" w:themeFill="accent4" w:themeFillTint="33"/>
            <w:vAlign w:val="bottom"/>
          </w:tcPr>
          <w:p w14:paraId="7876E9EA"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w:t>
            </w:r>
            <w:r>
              <w:rPr>
                <w:rFonts w:ascii="Segoe UI Light" w:hAnsi="Segoe UI Light"/>
                <w:b/>
                <w:sz w:val="16"/>
                <w:szCs w:val="20"/>
              </w:rPr>
              <w:t>8,2</w:t>
            </w:r>
          </w:p>
        </w:tc>
        <w:tc>
          <w:tcPr>
            <w:tcW w:w="326" w:type="pct"/>
            <w:shd w:val="clear" w:color="auto" w:fill="E5DFEC" w:themeFill="accent4" w:themeFillTint="33"/>
            <w:vAlign w:val="bottom"/>
          </w:tcPr>
          <w:p w14:paraId="04F8A02F"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0,2</w:t>
            </w:r>
          </w:p>
        </w:tc>
        <w:tc>
          <w:tcPr>
            <w:tcW w:w="326" w:type="pct"/>
            <w:shd w:val="clear" w:color="auto" w:fill="E5DFEC" w:themeFill="accent4" w:themeFillTint="33"/>
            <w:vAlign w:val="bottom"/>
          </w:tcPr>
          <w:p w14:paraId="5125ED63"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31,2</w:t>
            </w:r>
          </w:p>
        </w:tc>
        <w:tc>
          <w:tcPr>
            <w:tcW w:w="383" w:type="pct"/>
            <w:shd w:val="clear" w:color="auto" w:fill="E5DFEC" w:themeFill="accent4" w:themeFillTint="33"/>
            <w:vAlign w:val="bottom"/>
          </w:tcPr>
          <w:p w14:paraId="3710BF4A"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w:t>
            </w:r>
            <w:r>
              <w:rPr>
                <w:rFonts w:ascii="Segoe UI Light" w:hAnsi="Segoe UI Light"/>
                <w:b/>
                <w:sz w:val="16"/>
                <w:szCs w:val="20"/>
              </w:rPr>
              <w:t>9,3</w:t>
            </w:r>
          </w:p>
        </w:tc>
        <w:tc>
          <w:tcPr>
            <w:tcW w:w="376" w:type="pct"/>
            <w:shd w:val="clear" w:color="auto" w:fill="E5DFEC" w:themeFill="accent4" w:themeFillTint="33"/>
            <w:vAlign w:val="bottom"/>
          </w:tcPr>
          <w:p w14:paraId="188748EF"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26,1</w:t>
            </w:r>
          </w:p>
        </w:tc>
      </w:tr>
      <w:tr w:rsidR="009C6CF4" w:rsidRPr="003B4CDA" w14:paraId="0AA5F29A"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0D504DE0" w14:textId="77777777" w:rsidR="009A0130" w:rsidRPr="003B4CDA" w:rsidRDefault="009A0130" w:rsidP="00D209BD">
            <w:pPr>
              <w:spacing w:before="40" w:after="40"/>
              <w:rPr>
                <w:rFonts w:ascii="Segoe UI Light" w:hAnsi="Segoe UI Light"/>
                <w:sz w:val="16"/>
                <w:szCs w:val="20"/>
                <w:lang w:eastAsia="lv-LV"/>
              </w:rPr>
            </w:pPr>
          </w:p>
        </w:tc>
        <w:tc>
          <w:tcPr>
            <w:tcW w:w="3111" w:type="pct"/>
            <w:gridSpan w:val="9"/>
            <w:shd w:val="clear" w:color="auto" w:fill="CCC0D9" w:themeFill="accent4" w:themeFillTint="66"/>
          </w:tcPr>
          <w:p w14:paraId="5CC8490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2040. gads</w:t>
            </w:r>
          </w:p>
        </w:tc>
      </w:tr>
      <w:tr w:rsidR="00343BAC" w:rsidRPr="003B4CDA" w14:paraId="76604A72" w14:textId="77777777" w:rsidTr="00D209BD">
        <w:tc>
          <w:tcPr>
            <w:tcW w:w="1889" w:type="pct"/>
            <w:shd w:val="clear" w:color="auto" w:fill="E5DFEC" w:themeFill="accent4" w:themeFillTint="33"/>
          </w:tcPr>
          <w:p w14:paraId="1B58B0C0" w14:textId="77777777" w:rsidR="009A0130" w:rsidRPr="003B4CDA" w:rsidRDefault="009A0130" w:rsidP="00D209BD">
            <w:pPr>
              <w:spacing w:before="40" w:after="40"/>
              <w:rPr>
                <w:rFonts w:ascii="Segoe UI Light" w:eastAsia="Arial Unicode MS" w:hAnsi="Segoe UI Light"/>
                <w:sz w:val="16"/>
                <w:szCs w:val="20"/>
              </w:rPr>
            </w:pPr>
            <w:r>
              <w:rPr>
                <w:rFonts w:ascii="Segoe UI Light" w:hAnsi="Segoe UI Light"/>
                <w:sz w:val="16"/>
                <w:szCs w:val="20"/>
                <w:lang w:eastAsia="lv-LV"/>
              </w:rPr>
              <w:t>Nacionālo bruņoto spēku profesijas</w:t>
            </w:r>
          </w:p>
        </w:tc>
        <w:tc>
          <w:tcPr>
            <w:tcW w:w="325" w:type="pct"/>
            <w:shd w:val="clear" w:color="auto" w:fill="E5DFEC" w:themeFill="accent4" w:themeFillTint="33"/>
            <w:vAlign w:val="bottom"/>
          </w:tcPr>
          <w:p w14:paraId="34816F1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0</w:t>
            </w:r>
          </w:p>
        </w:tc>
        <w:tc>
          <w:tcPr>
            <w:tcW w:w="326" w:type="pct"/>
            <w:shd w:val="clear" w:color="auto" w:fill="E5DFEC" w:themeFill="accent4" w:themeFillTint="33"/>
            <w:vAlign w:val="bottom"/>
          </w:tcPr>
          <w:p w14:paraId="648EDDA7"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57DA40E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6AF8098C"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98" w:type="pct"/>
            <w:shd w:val="clear" w:color="auto" w:fill="E5DFEC" w:themeFill="accent4" w:themeFillTint="33"/>
            <w:vAlign w:val="bottom"/>
          </w:tcPr>
          <w:p w14:paraId="48932BD5"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51055A7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E5DFEC" w:themeFill="accent4" w:themeFillTint="33"/>
            <w:vAlign w:val="bottom"/>
          </w:tcPr>
          <w:p w14:paraId="556CDAD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83" w:type="pct"/>
            <w:shd w:val="clear" w:color="auto" w:fill="E5DFEC" w:themeFill="accent4" w:themeFillTint="33"/>
            <w:vAlign w:val="bottom"/>
          </w:tcPr>
          <w:p w14:paraId="4C13CF0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3,2</w:t>
            </w:r>
          </w:p>
        </w:tc>
        <w:tc>
          <w:tcPr>
            <w:tcW w:w="376" w:type="pct"/>
            <w:shd w:val="clear" w:color="auto" w:fill="E5DFEC" w:themeFill="accent4" w:themeFillTint="33"/>
            <w:vAlign w:val="bottom"/>
          </w:tcPr>
          <w:p w14:paraId="2EFB365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3,2</w:t>
            </w:r>
          </w:p>
        </w:tc>
      </w:tr>
      <w:tr w:rsidR="00343BAC" w:rsidRPr="003B4CDA" w14:paraId="66EF3806"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6714E302"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Augstas kvalifikācijas profesijas, tai skaitā:</w:t>
            </w:r>
          </w:p>
        </w:tc>
        <w:tc>
          <w:tcPr>
            <w:tcW w:w="325" w:type="pct"/>
            <w:shd w:val="clear" w:color="auto" w:fill="CCC0D9" w:themeFill="accent4" w:themeFillTint="66"/>
            <w:vAlign w:val="bottom"/>
          </w:tcPr>
          <w:p w14:paraId="2755BDA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2,9</w:t>
            </w:r>
          </w:p>
        </w:tc>
        <w:tc>
          <w:tcPr>
            <w:tcW w:w="326" w:type="pct"/>
            <w:shd w:val="clear" w:color="auto" w:fill="CCC0D9" w:themeFill="accent4" w:themeFillTint="66"/>
            <w:vAlign w:val="bottom"/>
          </w:tcPr>
          <w:p w14:paraId="1F58DE0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5,8</w:t>
            </w:r>
          </w:p>
        </w:tc>
        <w:tc>
          <w:tcPr>
            <w:tcW w:w="326" w:type="pct"/>
            <w:shd w:val="clear" w:color="auto" w:fill="CCC0D9" w:themeFill="accent4" w:themeFillTint="66"/>
            <w:vAlign w:val="bottom"/>
          </w:tcPr>
          <w:p w14:paraId="2F4959E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2,6</w:t>
            </w:r>
          </w:p>
        </w:tc>
        <w:tc>
          <w:tcPr>
            <w:tcW w:w="326" w:type="pct"/>
            <w:shd w:val="clear" w:color="auto" w:fill="CCC0D9" w:themeFill="accent4" w:themeFillTint="66"/>
            <w:vAlign w:val="bottom"/>
          </w:tcPr>
          <w:p w14:paraId="2C0BAE38"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5,6</w:t>
            </w:r>
          </w:p>
        </w:tc>
        <w:tc>
          <w:tcPr>
            <w:tcW w:w="398" w:type="pct"/>
            <w:shd w:val="clear" w:color="auto" w:fill="CCC0D9" w:themeFill="accent4" w:themeFillTint="66"/>
            <w:vAlign w:val="bottom"/>
          </w:tcPr>
          <w:p w14:paraId="57275B0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8,3</w:t>
            </w:r>
          </w:p>
        </w:tc>
        <w:tc>
          <w:tcPr>
            <w:tcW w:w="326" w:type="pct"/>
            <w:shd w:val="clear" w:color="auto" w:fill="CCC0D9" w:themeFill="accent4" w:themeFillTint="66"/>
            <w:vAlign w:val="bottom"/>
          </w:tcPr>
          <w:p w14:paraId="1BDB2C3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5,2</w:t>
            </w:r>
          </w:p>
        </w:tc>
        <w:tc>
          <w:tcPr>
            <w:tcW w:w="326" w:type="pct"/>
            <w:shd w:val="clear" w:color="auto" w:fill="CCC0D9" w:themeFill="accent4" w:themeFillTint="66"/>
            <w:vAlign w:val="bottom"/>
          </w:tcPr>
          <w:p w14:paraId="423B7D8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49,0</w:t>
            </w:r>
          </w:p>
        </w:tc>
        <w:tc>
          <w:tcPr>
            <w:tcW w:w="383" w:type="pct"/>
            <w:shd w:val="clear" w:color="auto" w:fill="CCC0D9" w:themeFill="accent4" w:themeFillTint="66"/>
            <w:vAlign w:val="bottom"/>
          </w:tcPr>
          <w:p w14:paraId="7F4AF46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-1,1</w:t>
            </w:r>
          </w:p>
        </w:tc>
        <w:tc>
          <w:tcPr>
            <w:tcW w:w="376" w:type="pct"/>
            <w:shd w:val="clear" w:color="auto" w:fill="CCC0D9" w:themeFill="accent4" w:themeFillTint="66"/>
            <w:vAlign w:val="bottom"/>
          </w:tcPr>
          <w:p w14:paraId="798E6615"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78,4</w:t>
            </w:r>
          </w:p>
        </w:tc>
      </w:tr>
      <w:tr w:rsidR="00343BAC" w:rsidRPr="003B4CDA" w14:paraId="624B5455" w14:textId="77777777" w:rsidTr="00D209BD">
        <w:tc>
          <w:tcPr>
            <w:tcW w:w="1889" w:type="pct"/>
            <w:shd w:val="clear" w:color="auto" w:fill="E5DFEC" w:themeFill="accent4" w:themeFillTint="33"/>
          </w:tcPr>
          <w:p w14:paraId="02453CE3"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Vadītāji</w:t>
            </w:r>
          </w:p>
        </w:tc>
        <w:tc>
          <w:tcPr>
            <w:tcW w:w="325" w:type="pct"/>
            <w:shd w:val="clear" w:color="auto" w:fill="E5DFEC" w:themeFill="accent4" w:themeFillTint="33"/>
            <w:vAlign w:val="bottom"/>
          </w:tcPr>
          <w:p w14:paraId="353D89D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0</w:t>
            </w:r>
          </w:p>
        </w:tc>
        <w:tc>
          <w:tcPr>
            <w:tcW w:w="326" w:type="pct"/>
            <w:shd w:val="clear" w:color="auto" w:fill="E5DFEC" w:themeFill="accent4" w:themeFillTint="33"/>
            <w:vAlign w:val="bottom"/>
          </w:tcPr>
          <w:p w14:paraId="14DE9C0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0,5</w:t>
            </w:r>
          </w:p>
        </w:tc>
        <w:tc>
          <w:tcPr>
            <w:tcW w:w="326" w:type="pct"/>
            <w:shd w:val="clear" w:color="auto" w:fill="E5DFEC" w:themeFill="accent4" w:themeFillTint="33"/>
            <w:vAlign w:val="bottom"/>
          </w:tcPr>
          <w:p w14:paraId="3B13D67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0</w:t>
            </w:r>
          </w:p>
        </w:tc>
        <w:tc>
          <w:tcPr>
            <w:tcW w:w="326" w:type="pct"/>
            <w:shd w:val="clear" w:color="auto" w:fill="E5DFEC" w:themeFill="accent4" w:themeFillTint="33"/>
            <w:vAlign w:val="bottom"/>
          </w:tcPr>
          <w:p w14:paraId="03174FA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3</w:t>
            </w:r>
          </w:p>
        </w:tc>
        <w:tc>
          <w:tcPr>
            <w:tcW w:w="398" w:type="pct"/>
            <w:shd w:val="clear" w:color="auto" w:fill="E5DFEC" w:themeFill="accent4" w:themeFillTint="33"/>
            <w:vAlign w:val="bottom"/>
          </w:tcPr>
          <w:p w14:paraId="3056700A"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8</w:t>
            </w:r>
          </w:p>
        </w:tc>
        <w:tc>
          <w:tcPr>
            <w:tcW w:w="326" w:type="pct"/>
            <w:shd w:val="clear" w:color="auto" w:fill="E5DFEC" w:themeFill="accent4" w:themeFillTint="33"/>
            <w:vAlign w:val="bottom"/>
          </w:tcPr>
          <w:p w14:paraId="7F14EAF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0,7</w:t>
            </w:r>
          </w:p>
        </w:tc>
        <w:tc>
          <w:tcPr>
            <w:tcW w:w="326" w:type="pct"/>
            <w:shd w:val="clear" w:color="auto" w:fill="E5DFEC" w:themeFill="accent4" w:themeFillTint="33"/>
            <w:vAlign w:val="bottom"/>
          </w:tcPr>
          <w:p w14:paraId="6087644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7,2</w:t>
            </w:r>
          </w:p>
        </w:tc>
        <w:tc>
          <w:tcPr>
            <w:tcW w:w="383" w:type="pct"/>
            <w:shd w:val="clear" w:color="auto" w:fill="E5DFEC" w:themeFill="accent4" w:themeFillTint="33"/>
            <w:vAlign w:val="bottom"/>
          </w:tcPr>
          <w:p w14:paraId="451E70D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0,1</w:t>
            </w:r>
          </w:p>
        </w:tc>
        <w:tc>
          <w:tcPr>
            <w:tcW w:w="376" w:type="pct"/>
            <w:shd w:val="clear" w:color="auto" w:fill="E5DFEC" w:themeFill="accent4" w:themeFillTint="33"/>
            <w:vAlign w:val="bottom"/>
          </w:tcPr>
          <w:p w14:paraId="3BDB2C9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13,6</w:t>
            </w:r>
          </w:p>
        </w:tc>
      </w:tr>
      <w:tr w:rsidR="00343BAC" w:rsidRPr="003B4CDA" w14:paraId="2B345FA2"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7EEF1DC9"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Vecākie speciālisti</w:t>
            </w:r>
          </w:p>
        </w:tc>
        <w:tc>
          <w:tcPr>
            <w:tcW w:w="325" w:type="pct"/>
            <w:shd w:val="clear" w:color="auto" w:fill="CCC0D9" w:themeFill="accent4" w:themeFillTint="66"/>
            <w:vAlign w:val="bottom"/>
          </w:tcPr>
          <w:p w14:paraId="3656B137"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0,9</w:t>
            </w:r>
          </w:p>
        </w:tc>
        <w:tc>
          <w:tcPr>
            <w:tcW w:w="326" w:type="pct"/>
            <w:shd w:val="clear" w:color="auto" w:fill="CCC0D9" w:themeFill="accent4" w:themeFillTint="66"/>
            <w:vAlign w:val="bottom"/>
          </w:tcPr>
          <w:p w14:paraId="36D954F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2,1</w:t>
            </w:r>
          </w:p>
        </w:tc>
        <w:tc>
          <w:tcPr>
            <w:tcW w:w="326" w:type="pct"/>
            <w:shd w:val="clear" w:color="auto" w:fill="CCC0D9" w:themeFill="accent4" w:themeFillTint="66"/>
            <w:vAlign w:val="bottom"/>
          </w:tcPr>
          <w:p w14:paraId="4A9C396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w:t>
            </w:r>
            <w:r w:rsidRPr="003B4CDA">
              <w:rPr>
                <w:rFonts w:ascii="Segoe UI Light" w:hAnsi="Segoe UI Light"/>
                <w:sz w:val="16"/>
                <w:szCs w:val="20"/>
              </w:rPr>
              <w:t>,0</w:t>
            </w:r>
          </w:p>
        </w:tc>
        <w:tc>
          <w:tcPr>
            <w:tcW w:w="326" w:type="pct"/>
            <w:shd w:val="clear" w:color="auto" w:fill="CCC0D9" w:themeFill="accent4" w:themeFillTint="66"/>
            <w:vAlign w:val="bottom"/>
          </w:tcPr>
          <w:p w14:paraId="66520EE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6</w:t>
            </w:r>
          </w:p>
        </w:tc>
        <w:tc>
          <w:tcPr>
            <w:tcW w:w="398" w:type="pct"/>
            <w:shd w:val="clear" w:color="auto" w:fill="CCC0D9" w:themeFill="accent4" w:themeFillTint="66"/>
            <w:vAlign w:val="bottom"/>
          </w:tcPr>
          <w:p w14:paraId="7513D8B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2,2</w:t>
            </w:r>
          </w:p>
        </w:tc>
        <w:tc>
          <w:tcPr>
            <w:tcW w:w="326" w:type="pct"/>
            <w:shd w:val="clear" w:color="auto" w:fill="CCC0D9" w:themeFill="accent4" w:themeFillTint="66"/>
            <w:vAlign w:val="bottom"/>
          </w:tcPr>
          <w:p w14:paraId="156DC1EB"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4</w:t>
            </w:r>
          </w:p>
        </w:tc>
        <w:tc>
          <w:tcPr>
            <w:tcW w:w="326" w:type="pct"/>
            <w:shd w:val="clear" w:color="auto" w:fill="CCC0D9" w:themeFill="accent4" w:themeFillTint="66"/>
            <w:vAlign w:val="bottom"/>
          </w:tcPr>
          <w:p w14:paraId="2EB51B5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23,6</w:t>
            </w:r>
          </w:p>
        </w:tc>
        <w:tc>
          <w:tcPr>
            <w:tcW w:w="383" w:type="pct"/>
            <w:shd w:val="clear" w:color="auto" w:fill="CCC0D9" w:themeFill="accent4" w:themeFillTint="66"/>
            <w:vAlign w:val="bottom"/>
          </w:tcPr>
          <w:p w14:paraId="74E63FE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0,3</w:t>
            </w:r>
          </w:p>
        </w:tc>
        <w:tc>
          <w:tcPr>
            <w:tcW w:w="376" w:type="pct"/>
            <w:shd w:val="clear" w:color="auto" w:fill="CCC0D9" w:themeFill="accent4" w:themeFillTint="66"/>
            <w:vAlign w:val="bottom"/>
          </w:tcPr>
          <w:p w14:paraId="402D76D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33,1</w:t>
            </w:r>
          </w:p>
        </w:tc>
      </w:tr>
      <w:tr w:rsidR="00343BAC" w:rsidRPr="003B4CDA" w14:paraId="1B2DEDEE" w14:textId="77777777" w:rsidTr="00D209BD">
        <w:tc>
          <w:tcPr>
            <w:tcW w:w="1889" w:type="pct"/>
            <w:shd w:val="clear" w:color="auto" w:fill="E5DFEC" w:themeFill="accent4" w:themeFillTint="33"/>
          </w:tcPr>
          <w:p w14:paraId="1345A1AC"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Speciālisti</w:t>
            </w:r>
          </w:p>
        </w:tc>
        <w:tc>
          <w:tcPr>
            <w:tcW w:w="325" w:type="pct"/>
            <w:shd w:val="clear" w:color="auto" w:fill="E5DFEC" w:themeFill="accent4" w:themeFillTint="33"/>
            <w:vAlign w:val="bottom"/>
          </w:tcPr>
          <w:p w14:paraId="7157F27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1,0</w:t>
            </w:r>
          </w:p>
        </w:tc>
        <w:tc>
          <w:tcPr>
            <w:tcW w:w="326" w:type="pct"/>
            <w:shd w:val="clear" w:color="auto" w:fill="E5DFEC" w:themeFill="accent4" w:themeFillTint="33"/>
            <w:vAlign w:val="bottom"/>
          </w:tcPr>
          <w:p w14:paraId="55FD94CC"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3,2</w:t>
            </w:r>
          </w:p>
        </w:tc>
        <w:tc>
          <w:tcPr>
            <w:tcW w:w="326" w:type="pct"/>
            <w:shd w:val="clear" w:color="auto" w:fill="E5DFEC" w:themeFill="accent4" w:themeFillTint="33"/>
            <w:vAlign w:val="bottom"/>
          </w:tcPr>
          <w:p w14:paraId="7C4240BB"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6</w:t>
            </w:r>
          </w:p>
        </w:tc>
        <w:tc>
          <w:tcPr>
            <w:tcW w:w="326" w:type="pct"/>
            <w:shd w:val="clear" w:color="auto" w:fill="E5DFEC" w:themeFill="accent4" w:themeFillTint="33"/>
            <w:vAlign w:val="bottom"/>
          </w:tcPr>
          <w:p w14:paraId="14BA31FC"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2,8</w:t>
            </w:r>
          </w:p>
        </w:tc>
        <w:tc>
          <w:tcPr>
            <w:tcW w:w="398" w:type="pct"/>
            <w:shd w:val="clear" w:color="auto" w:fill="E5DFEC" w:themeFill="accent4" w:themeFillTint="33"/>
            <w:vAlign w:val="bottom"/>
          </w:tcPr>
          <w:p w14:paraId="461C4153"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3,</w:t>
            </w:r>
            <w:r>
              <w:rPr>
                <w:rFonts w:ascii="Segoe UI Light" w:hAnsi="Segoe UI Light"/>
                <w:sz w:val="16"/>
                <w:szCs w:val="20"/>
              </w:rPr>
              <w:t>3</w:t>
            </w:r>
          </w:p>
        </w:tc>
        <w:tc>
          <w:tcPr>
            <w:tcW w:w="326" w:type="pct"/>
            <w:shd w:val="clear" w:color="auto" w:fill="E5DFEC" w:themeFill="accent4" w:themeFillTint="33"/>
            <w:vAlign w:val="bottom"/>
          </w:tcPr>
          <w:p w14:paraId="4502F082"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3,1</w:t>
            </w:r>
          </w:p>
        </w:tc>
        <w:tc>
          <w:tcPr>
            <w:tcW w:w="326" w:type="pct"/>
            <w:shd w:val="clear" w:color="auto" w:fill="E5DFEC" w:themeFill="accent4" w:themeFillTint="33"/>
            <w:vAlign w:val="bottom"/>
          </w:tcPr>
          <w:p w14:paraId="1CD17F8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18,1</w:t>
            </w:r>
          </w:p>
        </w:tc>
        <w:tc>
          <w:tcPr>
            <w:tcW w:w="383" w:type="pct"/>
            <w:shd w:val="clear" w:color="auto" w:fill="E5DFEC" w:themeFill="accent4" w:themeFillTint="33"/>
            <w:vAlign w:val="bottom"/>
          </w:tcPr>
          <w:p w14:paraId="2C15F86B"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-1,4</w:t>
            </w:r>
          </w:p>
        </w:tc>
        <w:tc>
          <w:tcPr>
            <w:tcW w:w="376" w:type="pct"/>
            <w:shd w:val="clear" w:color="auto" w:fill="E5DFEC" w:themeFill="accent4" w:themeFillTint="33"/>
            <w:vAlign w:val="bottom"/>
          </w:tcPr>
          <w:p w14:paraId="61E7F850"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31,6</w:t>
            </w:r>
          </w:p>
        </w:tc>
      </w:tr>
      <w:tr w:rsidR="00343BAC" w:rsidRPr="003B4CDA" w14:paraId="2EAEFFE8"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4C0D8745"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Vidējas kvalifikācijas profesijas, tai skaitā:</w:t>
            </w:r>
          </w:p>
        </w:tc>
        <w:tc>
          <w:tcPr>
            <w:tcW w:w="325" w:type="pct"/>
            <w:shd w:val="clear" w:color="auto" w:fill="CCC0D9" w:themeFill="accent4" w:themeFillTint="66"/>
            <w:vAlign w:val="bottom"/>
          </w:tcPr>
          <w:p w14:paraId="3E0B4AAB"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2,5</w:t>
            </w:r>
          </w:p>
        </w:tc>
        <w:tc>
          <w:tcPr>
            <w:tcW w:w="326" w:type="pct"/>
            <w:shd w:val="clear" w:color="auto" w:fill="CCC0D9" w:themeFill="accent4" w:themeFillTint="66"/>
            <w:vAlign w:val="bottom"/>
          </w:tcPr>
          <w:p w14:paraId="523C4B7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0,4</w:t>
            </w:r>
          </w:p>
        </w:tc>
        <w:tc>
          <w:tcPr>
            <w:tcW w:w="326" w:type="pct"/>
            <w:shd w:val="clear" w:color="auto" w:fill="CCC0D9" w:themeFill="accent4" w:themeFillTint="66"/>
            <w:vAlign w:val="bottom"/>
          </w:tcPr>
          <w:p w14:paraId="6E285A7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w:t>
            </w:r>
          </w:p>
        </w:tc>
        <w:tc>
          <w:tcPr>
            <w:tcW w:w="326" w:type="pct"/>
            <w:shd w:val="clear" w:color="auto" w:fill="CCC0D9" w:themeFill="accent4" w:themeFillTint="66"/>
            <w:vAlign w:val="bottom"/>
          </w:tcPr>
          <w:p w14:paraId="1D245F14"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7,3</w:t>
            </w:r>
          </w:p>
        </w:tc>
        <w:tc>
          <w:tcPr>
            <w:tcW w:w="398" w:type="pct"/>
            <w:shd w:val="clear" w:color="auto" w:fill="CCC0D9" w:themeFill="accent4" w:themeFillTint="66"/>
            <w:vAlign w:val="bottom"/>
          </w:tcPr>
          <w:p w14:paraId="17604AE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22,9</w:t>
            </w:r>
          </w:p>
        </w:tc>
        <w:tc>
          <w:tcPr>
            <w:tcW w:w="326" w:type="pct"/>
            <w:shd w:val="clear" w:color="auto" w:fill="CCC0D9" w:themeFill="accent4" w:themeFillTint="66"/>
            <w:vAlign w:val="bottom"/>
          </w:tcPr>
          <w:p w14:paraId="6425273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2,7</w:t>
            </w:r>
          </w:p>
        </w:tc>
        <w:tc>
          <w:tcPr>
            <w:tcW w:w="326" w:type="pct"/>
            <w:shd w:val="clear" w:color="auto" w:fill="CCC0D9" w:themeFill="accent4" w:themeFillTint="66"/>
            <w:vAlign w:val="bottom"/>
          </w:tcPr>
          <w:p w14:paraId="005EAA3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0,5</w:t>
            </w:r>
          </w:p>
        </w:tc>
        <w:tc>
          <w:tcPr>
            <w:tcW w:w="383" w:type="pct"/>
            <w:shd w:val="clear" w:color="auto" w:fill="CCC0D9" w:themeFill="accent4" w:themeFillTint="66"/>
            <w:vAlign w:val="bottom"/>
          </w:tcPr>
          <w:p w14:paraId="4AB5117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7,3</w:t>
            </w:r>
          </w:p>
        </w:tc>
        <w:tc>
          <w:tcPr>
            <w:tcW w:w="376" w:type="pct"/>
            <w:shd w:val="clear" w:color="auto" w:fill="CCC0D9" w:themeFill="accent4" w:themeFillTint="66"/>
            <w:vAlign w:val="bottom"/>
          </w:tcPr>
          <w:p w14:paraId="1F6CDEE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28,4</w:t>
            </w:r>
          </w:p>
        </w:tc>
      </w:tr>
      <w:tr w:rsidR="00343BAC" w:rsidRPr="003B4CDA" w14:paraId="6F8D83BF" w14:textId="77777777" w:rsidTr="00D209BD">
        <w:tc>
          <w:tcPr>
            <w:tcW w:w="1889" w:type="pct"/>
            <w:shd w:val="clear" w:color="auto" w:fill="E5DFEC" w:themeFill="accent4" w:themeFillTint="33"/>
          </w:tcPr>
          <w:p w14:paraId="0A9C3A88"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Iestāžu kalpotāji</w:t>
            </w:r>
          </w:p>
        </w:tc>
        <w:tc>
          <w:tcPr>
            <w:tcW w:w="325" w:type="pct"/>
            <w:shd w:val="clear" w:color="auto" w:fill="E5DFEC" w:themeFill="accent4" w:themeFillTint="33"/>
            <w:vAlign w:val="bottom"/>
          </w:tcPr>
          <w:p w14:paraId="267E1F5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E5DFEC" w:themeFill="accent4" w:themeFillTint="33"/>
            <w:vAlign w:val="bottom"/>
          </w:tcPr>
          <w:p w14:paraId="4F842AD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w:t>
            </w:r>
            <w:r w:rsidRPr="003B4CDA">
              <w:rPr>
                <w:rFonts w:ascii="Segoe UI Light" w:hAnsi="Segoe UI Light"/>
                <w:sz w:val="16"/>
                <w:szCs w:val="20"/>
              </w:rPr>
              <w:t>,2</w:t>
            </w:r>
          </w:p>
        </w:tc>
        <w:tc>
          <w:tcPr>
            <w:tcW w:w="326" w:type="pct"/>
            <w:shd w:val="clear" w:color="auto" w:fill="E5DFEC" w:themeFill="accent4" w:themeFillTint="33"/>
            <w:vAlign w:val="bottom"/>
          </w:tcPr>
          <w:p w14:paraId="1C6C275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w:t>
            </w:r>
            <w:r w:rsidRPr="003B4CDA">
              <w:rPr>
                <w:rFonts w:ascii="Segoe UI Light" w:hAnsi="Segoe UI Light"/>
                <w:sz w:val="16"/>
                <w:szCs w:val="20"/>
              </w:rPr>
              <w:t>0,</w:t>
            </w:r>
            <w:r>
              <w:rPr>
                <w:rFonts w:ascii="Segoe UI Light" w:hAnsi="Segoe UI Light"/>
                <w:sz w:val="16"/>
                <w:szCs w:val="20"/>
              </w:rPr>
              <w:t>3</w:t>
            </w:r>
          </w:p>
        </w:tc>
        <w:tc>
          <w:tcPr>
            <w:tcW w:w="326" w:type="pct"/>
            <w:shd w:val="clear" w:color="auto" w:fill="E5DFEC" w:themeFill="accent4" w:themeFillTint="33"/>
            <w:vAlign w:val="bottom"/>
          </w:tcPr>
          <w:p w14:paraId="7C2EE98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3</w:t>
            </w:r>
          </w:p>
        </w:tc>
        <w:tc>
          <w:tcPr>
            <w:tcW w:w="398" w:type="pct"/>
            <w:shd w:val="clear" w:color="auto" w:fill="E5DFEC" w:themeFill="accent4" w:themeFillTint="33"/>
            <w:vAlign w:val="bottom"/>
          </w:tcPr>
          <w:p w14:paraId="2EC202F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-2,</w:t>
            </w:r>
            <w:r>
              <w:rPr>
                <w:rFonts w:ascii="Segoe UI Light" w:hAnsi="Segoe UI Light"/>
                <w:sz w:val="16"/>
                <w:szCs w:val="20"/>
              </w:rPr>
              <w:t>5</w:t>
            </w:r>
          </w:p>
        </w:tc>
        <w:tc>
          <w:tcPr>
            <w:tcW w:w="326" w:type="pct"/>
            <w:shd w:val="clear" w:color="auto" w:fill="E5DFEC" w:themeFill="accent4" w:themeFillTint="33"/>
            <w:vAlign w:val="bottom"/>
          </w:tcPr>
          <w:p w14:paraId="63F786D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1,9</w:t>
            </w:r>
          </w:p>
        </w:tc>
        <w:tc>
          <w:tcPr>
            <w:tcW w:w="326" w:type="pct"/>
            <w:shd w:val="clear" w:color="auto" w:fill="E5DFEC" w:themeFill="accent4" w:themeFillTint="33"/>
            <w:vAlign w:val="bottom"/>
          </w:tcPr>
          <w:p w14:paraId="29FC647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-4,</w:t>
            </w:r>
            <w:r>
              <w:rPr>
                <w:rFonts w:ascii="Segoe UI Light" w:hAnsi="Segoe UI Light"/>
                <w:sz w:val="16"/>
                <w:szCs w:val="20"/>
              </w:rPr>
              <w:t>2</w:t>
            </w:r>
          </w:p>
        </w:tc>
        <w:tc>
          <w:tcPr>
            <w:tcW w:w="383" w:type="pct"/>
            <w:shd w:val="clear" w:color="auto" w:fill="E5DFEC" w:themeFill="accent4" w:themeFillTint="33"/>
            <w:vAlign w:val="bottom"/>
          </w:tcPr>
          <w:p w14:paraId="52A6B67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3,0</w:t>
            </w:r>
          </w:p>
        </w:tc>
        <w:tc>
          <w:tcPr>
            <w:tcW w:w="376" w:type="pct"/>
            <w:shd w:val="clear" w:color="auto" w:fill="E5DFEC" w:themeFill="accent4" w:themeFillTint="33"/>
            <w:vAlign w:val="bottom"/>
          </w:tcPr>
          <w:p w14:paraId="60B3DF6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13,5</w:t>
            </w:r>
          </w:p>
        </w:tc>
      </w:tr>
      <w:tr w:rsidR="00343BAC" w:rsidRPr="003B4CDA" w14:paraId="4439726A"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3042BBA"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Pakalpojumu darbinieki</w:t>
            </w:r>
          </w:p>
        </w:tc>
        <w:tc>
          <w:tcPr>
            <w:tcW w:w="325" w:type="pct"/>
            <w:shd w:val="clear" w:color="auto" w:fill="CCC0D9" w:themeFill="accent4" w:themeFillTint="66"/>
            <w:vAlign w:val="bottom"/>
          </w:tcPr>
          <w:p w14:paraId="720E436D"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-0,1</w:t>
            </w:r>
          </w:p>
        </w:tc>
        <w:tc>
          <w:tcPr>
            <w:tcW w:w="326" w:type="pct"/>
            <w:shd w:val="clear" w:color="auto" w:fill="CCC0D9" w:themeFill="accent4" w:themeFillTint="66"/>
            <w:vAlign w:val="bottom"/>
          </w:tcPr>
          <w:p w14:paraId="283DAA0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3</w:t>
            </w:r>
          </w:p>
        </w:tc>
        <w:tc>
          <w:tcPr>
            <w:tcW w:w="326" w:type="pct"/>
            <w:shd w:val="clear" w:color="auto" w:fill="CCC0D9" w:themeFill="accent4" w:themeFillTint="66"/>
            <w:vAlign w:val="bottom"/>
          </w:tcPr>
          <w:p w14:paraId="60B0AB1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CCC0D9" w:themeFill="accent4" w:themeFillTint="66"/>
            <w:vAlign w:val="bottom"/>
          </w:tcPr>
          <w:p w14:paraId="74A0049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98" w:type="pct"/>
            <w:shd w:val="clear" w:color="auto" w:fill="CCC0D9" w:themeFill="accent4" w:themeFillTint="66"/>
            <w:vAlign w:val="bottom"/>
          </w:tcPr>
          <w:p w14:paraId="39DDFFE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19,8</w:t>
            </w:r>
          </w:p>
        </w:tc>
        <w:tc>
          <w:tcPr>
            <w:tcW w:w="326" w:type="pct"/>
            <w:shd w:val="clear" w:color="auto" w:fill="CCC0D9" w:themeFill="accent4" w:themeFillTint="66"/>
            <w:vAlign w:val="bottom"/>
          </w:tcPr>
          <w:p w14:paraId="14AE5CE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CCC0D9" w:themeFill="accent4" w:themeFillTint="66"/>
            <w:vAlign w:val="bottom"/>
          </w:tcPr>
          <w:p w14:paraId="002E5DD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2</w:t>
            </w:r>
            <w:r w:rsidRPr="003B4CDA">
              <w:rPr>
                <w:rFonts w:ascii="Segoe UI Light" w:hAnsi="Segoe UI Light"/>
                <w:sz w:val="16"/>
                <w:szCs w:val="20"/>
              </w:rPr>
              <w:t>,9</w:t>
            </w:r>
          </w:p>
        </w:tc>
        <w:tc>
          <w:tcPr>
            <w:tcW w:w="383" w:type="pct"/>
            <w:shd w:val="clear" w:color="auto" w:fill="CCC0D9" w:themeFill="accent4" w:themeFillTint="66"/>
            <w:vAlign w:val="bottom"/>
          </w:tcPr>
          <w:p w14:paraId="0DD3A24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2,9</w:t>
            </w:r>
          </w:p>
        </w:tc>
        <w:tc>
          <w:tcPr>
            <w:tcW w:w="376" w:type="pct"/>
            <w:shd w:val="clear" w:color="auto" w:fill="CCC0D9" w:themeFill="accent4" w:themeFillTint="66"/>
            <w:vAlign w:val="bottom"/>
          </w:tcPr>
          <w:p w14:paraId="0B046F9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20,2</w:t>
            </w:r>
          </w:p>
        </w:tc>
      </w:tr>
      <w:tr w:rsidR="00343BAC" w:rsidRPr="003B4CDA" w14:paraId="6EF1B461" w14:textId="77777777" w:rsidTr="00D209BD">
        <w:tc>
          <w:tcPr>
            <w:tcW w:w="1889" w:type="pct"/>
            <w:shd w:val="clear" w:color="auto" w:fill="E5DFEC" w:themeFill="accent4" w:themeFillTint="33"/>
          </w:tcPr>
          <w:p w14:paraId="6AE71CE3"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Kvalificēti lauksaimniecības darbinieki</w:t>
            </w:r>
          </w:p>
        </w:tc>
        <w:tc>
          <w:tcPr>
            <w:tcW w:w="325" w:type="pct"/>
            <w:shd w:val="clear" w:color="auto" w:fill="E5DFEC" w:themeFill="accent4" w:themeFillTint="33"/>
            <w:vAlign w:val="bottom"/>
          </w:tcPr>
          <w:p w14:paraId="3F4C0E5A"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2,2</w:t>
            </w:r>
          </w:p>
        </w:tc>
        <w:tc>
          <w:tcPr>
            <w:tcW w:w="326" w:type="pct"/>
            <w:shd w:val="clear" w:color="auto" w:fill="E5DFEC" w:themeFill="accent4" w:themeFillTint="33"/>
            <w:vAlign w:val="bottom"/>
          </w:tcPr>
          <w:p w14:paraId="63CF5D19"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E5DFEC" w:themeFill="accent4" w:themeFillTint="33"/>
            <w:vAlign w:val="bottom"/>
          </w:tcPr>
          <w:p w14:paraId="2533701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415FB3F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98" w:type="pct"/>
            <w:shd w:val="clear" w:color="auto" w:fill="E5DFEC" w:themeFill="accent4" w:themeFillTint="33"/>
            <w:vAlign w:val="bottom"/>
          </w:tcPr>
          <w:p w14:paraId="0F87D88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6989BB8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0,0</w:t>
            </w:r>
          </w:p>
        </w:tc>
        <w:tc>
          <w:tcPr>
            <w:tcW w:w="326" w:type="pct"/>
            <w:shd w:val="clear" w:color="auto" w:fill="E5DFEC" w:themeFill="accent4" w:themeFillTint="33"/>
            <w:vAlign w:val="bottom"/>
          </w:tcPr>
          <w:p w14:paraId="63EC351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0,1</w:t>
            </w:r>
          </w:p>
        </w:tc>
        <w:tc>
          <w:tcPr>
            <w:tcW w:w="383" w:type="pct"/>
            <w:shd w:val="clear" w:color="auto" w:fill="E5DFEC" w:themeFill="accent4" w:themeFillTint="33"/>
            <w:vAlign w:val="bottom"/>
          </w:tcPr>
          <w:p w14:paraId="77BE51C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76" w:type="pct"/>
            <w:shd w:val="clear" w:color="auto" w:fill="E5DFEC" w:themeFill="accent4" w:themeFillTint="33"/>
            <w:vAlign w:val="bottom"/>
          </w:tcPr>
          <w:p w14:paraId="5B55357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2,0</w:t>
            </w:r>
          </w:p>
        </w:tc>
      </w:tr>
      <w:tr w:rsidR="00343BAC" w:rsidRPr="003B4CDA" w14:paraId="153DD9E9"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49A1E160"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Kvalificēti strādnieki</w:t>
            </w:r>
          </w:p>
        </w:tc>
        <w:tc>
          <w:tcPr>
            <w:tcW w:w="325" w:type="pct"/>
            <w:shd w:val="clear" w:color="auto" w:fill="CCC0D9" w:themeFill="accent4" w:themeFillTint="66"/>
            <w:vAlign w:val="bottom"/>
          </w:tcPr>
          <w:p w14:paraId="62500EB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26" w:type="pct"/>
            <w:shd w:val="clear" w:color="auto" w:fill="CCC0D9" w:themeFill="accent4" w:themeFillTint="66"/>
            <w:vAlign w:val="bottom"/>
          </w:tcPr>
          <w:p w14:paraId="34508EF1"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0,9</w:t>
            </w:r>
          </w:p>
        </w:tc>
        <w:tc>
          <w:tcPr>
            <w:tcW w:w="326" w:type="pct"/>
            <w:shd w:val="clear" w:color="auto" w:fill="CCC0D9" w:themeFill="accent4" w:themeFillTint="66"/>
            <w:vAlign w:val="bottom"/>
          </w:tcPr>
          <w:p w14:paraId="118889F2"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w:t>
            </w:r>
            <w:r w:rsidRPr="003B4CDA">
              <w:rPr>
                <w:rFonts w:ascii="Segoe UI Light" w:hAnsi="Segoe UI Light"/>
                <w:sz w:val="16"/>
                <w:szCs w:val="20"/>
              </w:rPr>
              <w:t>0,</w:t>
            </w:r>
            <w:r>
              <w:rPr>
                <w:rFonts w:ascii="Segoe UI Light" w:hAnsi="Segoe UI Light"/>
                <w:sz w:val="16"/>
                <w:szCs w:val="20"/>
              </w:rPr>
              <w:t>2</w:t>
            </w:r>
          </w:p>
        </w:tc>
        <w:tc>
          <w:tcPr>
            <w:tcW w:w="326" w:type="pct"/>
            <w:shd w:val="clear" w:color="auto" w:fill="CCC0D9" w:themeFill="accent4" w:themeFillTint="66"/>
            <w:vAlign w:val="bottom"/>
          </w:tcPr>
          <w:p w14:paraId="3E20CCF3"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7,3</w:t>
            </w:r>
          </w:p>
        </w:tc>
        <w:tc>
          <w:tcPr>
            <w:tcW w:w="398" w:type="pct"/>
            <w:shd w:val="clear" w:color="auto" w:fill="CCC0D9" w:themeFill="accent4" w:themeFillTint="66"/>
            <w:vAlign w:val="bottom"/>
          </w:tcPr>
          <w:p w14:paraId="0B635D6C"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0,0</w:t>
            </w:r>
          </w:p>
        </w:tc>
        <w:tc>
          <w:tcPr>
            <w:tcW w:w="326" w:type="pct"/>
            <w:shd w:val="clear" w:color="auto" w:fill="CCC0D9" w:themeFill="accent4" w:themeFillTint="66"/>
            <w:vAlign w:val="bottom"/>
          </w:tcPr>
          <w:p w14:paraId="7E03B539"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0,5</w:t>
            </w:r>
          </w:p>
        </w:tc>
        <w:tc>
          <w:tcPr>
            <w:tcW w:w="326" w:type="pct"/>
            <w:shd w:val="clear" w:color="auto" w:fill="CCC0D9" w:themeFill="accent4" w:themeFillTint="66"/>
            <w:vAlign w:val="bottom"/>
          </w:tcPr>
          <w:p w14:paraId="6F4C465D"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1,2</w:t>
            </w:r>
          </w:p>
        </w:tc>
        <w:tc>
          <w:tcPr>
            <w:tcW w:w="383" w:type="pct"/>
            <w:shd w:val="clear" w:color="auto" w:fill="CCC0D9" w:themeFill="accent4" w:themeFillTint="66"/>
            <w:vAlign w:val="bottom"/>
          </w:tcPr>
          <w:p w14:paraId="5C3444F6"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1</w:t>
            </w:r>
          </w:p>
        </w:tc>
        <w:tc>
          <w:tcPr>
            <w:tcW w:w="376" w:type="pct"/>
            <w:shd w:val="clear" w:color="auto" w:fill="CCC0D9" w:themeFill="accent4" w:themeFillTint="66"/>
            <w:vAlign w:val="bottom"/>
          </w:tcPr>
          <w:p w14:paraId="5C466FDA"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9,5</w:t>
            </w:r>
          </w:p>
        </w:tc>
      </w:tr>
      <w:tr w:rsidR="00343BAC" w:rsidRPr="003B4CDA" w14:paraId="737D272B" w14:textId="77777777" w:rsidTr="00D209BD">
        <w:tc>
          <w:tcPr>
            <w:tcW w:w="1889" w:type="pct"/>
            <w:shd w:val="clear" w:color="auto" w:fill="E5DFEC" w:themeFill="accent4" w:themeFillTint="33"/>
          </w:tcPr>
          <w:p w14:paraId="00DD7FB6" w14:textId="77777777" w:rsidR="009A0130" w:rsidRPr="003B4CDA" w:rsidRDefault="009A0130" w:rsidP="00D209BD">
            <w:pPr>
              <w:spacing w:before="40" w:after="40"/>
              <w:ind w:left="142"/>
              <w:rPr>
                <w:rFonts w:ascii="Segoe UI Light" w:eastAsia="Arial Unicode MS" w:hAnsi="Segoe UI Light"/>
                <w:sz w:val="16"/>
                <w:szCs w:val="20"/>
              </w:rPr>
            </w:pPr>
            <w:r w:rsidRPr="003B4CDA">
              <w:rPr>
                <w:rFonts w:ascii="Segoe UI Light" w:hAnsi="Segoe UI Light"/>
                <w:sz w:val="16"/>
                <w:szCs w:val="20"/>
                <w:lang w:eastAsia="lv-LV"/>
              </w:rPr>
              <w:t>Iekārtu un mašīnu operatori</w:t>
            </w:r>
          </w:p>
        </w:tc>
        <w:tc>
          <w:tcPr>
            <w:tcW w:w="325" w:type="pct"/>
            <w:shd w:val="clear" w:color="auto" w:fill="E5DFEC" w:themeFill="accent4" w:themeFillTint="33"/>
            <w:vAlign w:val="bottom"/>
          </w:tcPr>
          <w:p w14:paraId="4C792835"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0,1</w:t>
            </w:r>
          </w:p>
        </w:tc>
        <w:tc>
          <w:tcPr>
            <w:tcW w:w="326" w:type="pct"/>
            <w:shd w:val="clear" w:color="auto" w:fill="E5DFEC" w:themeFill="accent4" w:themeFillTint="33"/>
            <w:vAlign w:val="bottom"/>
          </w:tcPr>
          <w:p w14:paraId="5F0850D8"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0,9</w:t>
            </w:r>
          </w:p>
        </w:tc>
        <w:tc>
          <w:tcPr>
            <w:tcW w:w="326" w:type="pct"/>
            <w:shd w:val="clear" w:color="auto" w:fill="E5DFEC" w:themeFill="accent4" w:themeFillTint="33"/>
            <w:vAlign w:val="bottom"/>
          </w:tcPr>
          <w:p w14:paraId="5D1260BC"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8</w:t>
            </w:r>
          </w:p>
        </w:tc>
        <w:tc>
          <w:tcPr>
            <w:tcW w:w="326" w:type="pct"/>
            <w:shd w:val="clear" w:color="auto" w:fill="E5DFEC" w:themeFill="accent4" w:themeFillTint="33"/>
            <w:vAlign w:val="bottom"/>
          </w:tcPr>
          <w:p w14:paraId="2515E636"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0,4</w:t>
            </w:r>
          </w:p>
        </w:tc>
        <w:tc>
          <w:tcPr>
            <w:tcW w:w="398" w:type="pct"/>
            <w:shd w:val="clear" w:color="auto" w:fill="E5DFEC" w:themeFill="accent4" w:themeFillTint="33"/>
            <w:vAlign w:val="bottom"/>
          </w:tcPr>
          <w:p w14:paraId="542D7E4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-0,</w:t>
            </w:r>
            <w:r>
              <w:rPr>
                <w:rFonts w:ascii="Segoe UI Light" w:hAnsi="Segoe UI Light"/>
                <w:sz w:val="16"/>
                <w:szCs w:val="20"/>
              </w:rPr>
              <w:t>5</w:t>
            </w:r>
          </w:p>
        </w:tc>
        <w:tc>
          <w:tcPr>
            <w:tcW w:w="326" w:type="pct"/>
            <w:shd w:val="clear" w:color="auto" w:fill="E5DFEC" w:themeFill="accent4" w:themeFillTint="33"/>
            <w:vAlign w:val="bottom"/>
          </w:tcPr>
          <w:p w14:paraId="70517F3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1,4</w:t>
            </w:r>
          </w:p>
        </w:tc>
        <w:tc>
          <w:tcPr>
            <w:tcW w:w="326" w:type="pct"/>
            <w:shd w:val="clear" w:color="auto" w:fill="E5DFEC" w:themeFill="accent4" w:themeFillTint="33"/>
            <w:vAlign w:val="bottom"/>
          </w:tcPr>
          <w:p w14:paraId="018B627E" w14:textId="77777777" w:rsidR="009A0130" w:rsidRPr="003B4CDA" w:rsidRDefault="009A0130" w:rsidP="00D209BD">
            <w:pPr>
              <w:tabs>
                <w:tab w:val="decimal" w:pos="218"/>
              </w:tabs>
              <w:spacing w:before="40" w:after="40"/>
              <w:rPr>
                <w:rFonts w:ascii="Segoe UI Light" w:hAnsi="Segoe UI Light"/>
                <w:sz w:val="16"/>
                <w:szCs w:val="20"/>
              </w:rPr>
            </w:pPr>
            <w:r>
              <w:rPr>
                <w:rFonts w:ascii="Segoe UI Light" w:hAnsi="Segoe UI Light"/>
                <w:sz w:val="16"/>
                <w:szCs w:val="20"/>
              </w:rPr>
              <w:t>0,6</w:t>
            </w:r>
          </w:p>
        </w:tc>
        <w:tc>
          <w:tcPr>
            <w:tcW w:w="383" w:type="pct"/>
            <w:shd w:val="clear" w:color="auto" w:fill="E5DFEC" w:themeFill="accent4" w:themeFillTint="33"/>
            <w:vAlign w:val="bottom"/>
          </w:tcPr>
          <w:p w14:paraId="5B4E1DB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1,2</w:t>
            </w:r>
          </w:p>
        </w:tc>
        <w:tc>
          <w:tcPr>
            <w:tcW w:w="376" w:type="pct"/>
            <w:shd w:val="clear" w:color="auto" w:fill="E5DFEC" w:themeFill="accent4" w:themeFillTint="33"/>
            <w:vAlign w:val="bottom"/>
          </w:tcPr>
          <w:p w14:paraId="5ED6DA2F"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2,1</w:t>
            </w:r>
          </w:p>
        </w:tc>
      </w:tr>
      <w:tr w:rsidR="00343BAC" w:rsidRPr="003B4CDA" w14:paraId="33C43370" w14:textId="77777777" w:rsidTr="00D209BD">
        <w:trPr>
          <w:cnfStyle w:val="000000100000" w:firstRow="0" w:lastRow="0" w:firstColumn="0" w:lastColumn="0" w:oddVBand="0" w:evenVBand="0" w:oddHBand="1" w:evenHBand="0" w:firstRowFirstColumn="0" w:firstRowLastColumn="0" w:lastRowFirstColumn="0" w:lastRowLastColumn="0"/>
        </w:trPr>
        <w:tc>
          <w:tcPr>
            <w:tcW w:w="1889" w:type="pct"/>
            <w:shd w:val="clear" w:color="auto" w:fill="CCC0D9" w:themeFill="accent4" w:themeFillTint="66"/>
          </w:tcPr>
          <w:p w14:paraId="2354A49E" w14:textId="77777777" w:rsidR="009A0130" w:rsidRPr="003B4CDA" w:rsidRDefault="009A0130" w:rsidP="00D209BD">
            <w:pPr>
              <w:spacing w:before="40" w:after="40"/>
              <w:rPr>
                <w:rFonts w:ascii="Segoe UI Light" w:hAnsi="Segoe UI Light"/>
                <w:sz w:val="16"/>
                <w:szCs w:val="20"/>
                <w:lang w:eastAsia="lv-LV"/>
              </w:rPr>
            </w:pPr>
            <w:r w:rsidRPr="003B4CDA">
              <w:rPr>
                <w:rFonts w:ascii="Segoe UI Light" w:hAnsi="Segoe UI Light"/>
                <w:sz w:val="16"/>
                <w:szCs w:val="20"/>
                <w:lang w:eastAsia="lv-LV"/>
              </w:rPr>
              <w:t>Zemas kvalifikācijas profesijas</w:t>
            </w:r>
          </w:p>
        </w:tc>
        <w:tc>
          <w:tcPr>
            <w:tcW w:w="325" w:type="pct"/>
            <w:shd w:val="clear" w:color="auto" w:fill="CCC0D9" w:themeFill="accent4" w:themeFillTint="66"/>
            <w:vAlign w:val="bottom"/>
          </w:tcPr>
          <w:p w14:paraId="013C0EF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4,4</w:t>
            </w:r>
          </w:p>
        </w:tc>
        <w:tc>
          <w:tcPr>
            <w:tcW w:w="326" w:type="pct"/>
            <w:shd w:val="clear" w:color="auto" w:fill="CCC0D9" w:themeFill="accent4" w:themeFillTint="66"/>
            <w:vAlign w:val="bottom"/>
          </w:tcPr>
          <w:p w14:paraId="78165A0A"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6,5</w:t>
            </w:r>
          </w:p>
        </w:tc>
        <w:tc>
          <w:tcPr>
            <w:tcW w:w="326" w:type="pct"/>
            <w:shd w:val="clear" w:color="auto" w:fill="CCC0D9" w:themeFill="accent4" w:themeFillTint="66"/>
            <w:vAlign w:val="bottom"/>
          </w:tcPr>
          <w:p w14:paraId="0C8922B4"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2,0</w:t>
            </w:r>
          </w:p>
        </w:tc>
        <w:tc>
          <w:tcPr>
            <w:tcW w:w="326" w:type="pct"/>
            <w:shd w:val="clear" w:color="auto" w:fill="CCC0D9" w:themeFill="accent4" w:themeFillTint="66"/>
            <w:vAlign w:val="bottom"/>
          </w:tcPr>
          <w:p w14:paraId="04051628"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-5,</w:t>
            </w:r>
            <w:r>
              <w:rPr>
                <w:rFonts w:ascii="Segoe UI Light" w:hAnsi="Segoe UI Light"/>
                <w:sz w:val="16"/>
                <w:szCs w:val="20"/>
              </w:rPr>
              <w:t>9</w:t>
            </w:r>
          </w:p>
        </w:tc>
        <w:tc>
          <w:tcPr>
            <w:tcW w:w="398" w:type="pct"/>
            <w:shd w:val="clear" w:color="auto" w:fill="CCC0D9" w:themeFill="accent4" w:themeFillTint="66"/>
            <w:vAlign w:val="bottom"/>
          </w:tcPr>
          <w:p w14:paraId="522FA9F0"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5,5</w:t>
            </w:r>
          </w:p>
        </w:tc>
        <w:tc>
          <w:tcPr>
            <w:tcW w:w="326" w:type="pct"/>
            <w:shd w:val="clear" w:color="auto" w:fill="CCC0D9" w:themeFill="accent4" w:themeFillTint="66"/>
            <w:vAlign w:val="bottom"/>
          </w:tcPr>
          <w:p w14:paraId="099738E1"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1,9</w:t>
            </w:r>
          </w:p>
        </w:tc>
        <w:tc>
          <w:tcPr>
            <w:tcW w:w="326" w:type="pct"/>
            <w:shd w:val="clear" w:color="auto" w:fill="CCC0D9" w:themeFill="accent4" w:themeFillTint="66"/>
            <w:vAlign w:val="bottom"/>
          </w:tcPr>
          <w:p w14:paraId="096DB74E"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4,8</w:t>
            </w:r>
          </w:p>
        </w:tc>
        <w:tc>
          <w:tcPr>
            <w:tcW w:w="383" w:type="pct"/>
            <w:shd w:val="clear" w:color="auto" w:fill="CCC0D9" w:themeFill="accent4" w:themeFillTint="66"/>
            <w:vAlign w:val="bottom"/>
          </w:tcPr>
          <w:p w14:paraId="511DDB37"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7,3</w:t>
            </w:r>
          </w:p>
        </w:tc>
        <w:tc>
          <w:tcPr>
            <w:tcW w:w="376" w:type="pct"/>
            <w:shd w:val="clear" w:color="auto" w:fill="CCC0D9" w:themeFill="accent4" w:themeFillTint="66"/>
            <w:vAlign w:val="bottom"/>
          </w:tcPr>
          <w:p w14:paraId="016FA972" w14:textId="77777777" w:rsidR="009A0130" w:rsidRPr="003B4CDA" w:rsidRDefault="009A0130" w:rsidP="00D209BD">
            <w:pPr>
              <w:tabs>
                <w:tab w:val="decimal" w:pos="218"/>
              </w:tabs>
              <w:spacing w:before="40" w:after="40"/>
              <w:rPr>
                <w:rFonts w:ascii="Segoe UI Light" w:hAnsi="Segoe UI Light"/>
                <w:sz w:val="16"/>
                <w:szCs w:val="20"/>
              </w:rPr>
            </w:pPr>
            <w:r w:rsidRPr="003B4CDA">
              <w:rPr>
                <w:rFonts w:ascii="Segoe UI Light" w:hAnsi="Segoe UI Light"/>
                <w:sz w:val="16"/>
                <w:szCs w:val="20"/>
              </w:rPr>
              <w:t>-</w:t>
            </w:r>
            <w:r>
              <w:rPr>
                <w:rFonts w:ascii="Segoe UI Light" w:hAnsi="Segoe UI Light"/>
                <w:sz w:val="16"/>
                <w:szCs w:val="20"/>
              </w:rPr>
              <w:t>38,4</w:t>
            </w:r>
          </w:p>
        </w:tc>
      </w:tr>
      <w:tr w:rsidR="00343BAC" w:rsidRPr="003B4CDA" w14:paraId="2C492164" w14:textId="77777777" w:rsidTr="00D209BD">
        <w:tc>
          <w:tcPr>
            <w:tcW w:w="1889" w:type="pct"/>
            <w:shd w:val="clear" w:color="auto" w:fill="E5DFEC" w:themeFill="accent4" w:themeFillTint="33"/>
          </w:tcPr>
          <w:p w14:paraId="08F60BEF" w14:textId="77777777" w:rsidR="009A0130" w:rsidRPr="003B4CDA" w:rsidRDefault="009A0130" w:rsidP="00D209BD">
            <w:pPr>
              <w:spacing w:before="40" w:after="40"/>
              <w:rPr>
                <w:rFonts w:ascii="Segoe UI Light" w:eastAsia="Arial Unicode MS" w:hAnsi="Segoe UI Light"/>
                <w:b/>
                <w:sz w:val="16"/>
                <w:szCs w:val="16"/>
              </w:rPr>
            </w:pPr>
            <w:r w:rsidRPr="003B4CDA">
              <w:rPr>
                <w:rFonts w:ascii="Segoe UI Light" w:eastAsia="Arial Unicode MS" w:hAnsi="Segoe UI Light"/>
                <w:b/>
                <w:sz w:val="16"/>
                <w:szCs w:val="16"/>
              </w:rPr>
              <w:t>Kopā</w:t>
            </w:r>
          </w:p>
        </w:tc>
        <w:tc>
          <w:tcPr>
            <w:tcW w:w="325" w:type="pct"/>
            <w:shd w:val="clear" w:color="auto" w:fill="E5DFEC" w:themeFill="accent4" w:themeFillTint="33"/>
            <w:vAlign w:val="bottom"/>
          </w:tcPr>
          <w:p w14:paraId="6234904C"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w:t>
            </w:r>
            <w:r>
              <w:rPr>
                <w:rFonts w:ascii="Segoe UI Light" w:hAnsi="Segoe UI Light"/>
                <w:b/>
                <w:sz w:val="16"/>
                <w:szCs w:val="20"/>
              </w:rPr>
              <w:t>4,0</w:t>
            </w:r>
          </w:p>
        </w:tc>
        <w:tc>
          <w:tcPr>
            <w:tcW w:w="326" w:type="pct"/>
            <w:shd w:val="clear" w:color="auto" w:fill="E5DFEC" w:themeFill="accent4" w:themeFillTint="33"/>
            <w:vAlign w:val="bottom"/>
          </w:tcPr>
          <w:p w14:paraId="1590AC36"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-0,3</w:t>
            </w:r>
          </w:p>
        </w:tc>
        <w:tc>
          <w:tcPr>
            <w:tcW w:w="326" w:type="pct"/>
            <w:shd w:val="clear" w:color="auto" w:fill="E5DFEC" w:themeFill="accent4" w:themeFillTint="33"/>
            <w:vAlign w:val="bottom"/>
          </w:tcPr>
          <w:p w14:paraId="6A2B4152"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-0,6</w:t>
            </w:r>
          </w:p>
        </w:tc>
        <w:tc>
          <w:tcPr>
            <w:tcW w:w="326" w:type="pct"/>
            <w:shd w:val="clear" w:color="auto" w:fill="E5DFEC" w:themeFill="accent4" w:themeFillTint="33"/>
            <w:vAlign w:val="bottom"/>
          </w:tcPr>
          <w:p w14:paraId="1875DF5A"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7</w:t>
            </w:r>
            <w:r w:rsidRPr="003B4CDA">
              <w:rPr>
                <w:rFonts w:ascii="Segoe UI Light" w:hAnsi="Segoe UI Light"/>
                <w:b/>
                <w:sz w:val="16"/>
                <w:szCs w:val="20"/>
              </w:rPr>
              <w:t>,1</w:t>
            </w:r>
          </w:p>
        </w:tc>
        <w:tc>
          <w:tcPr>
            <w:tcW w:w="398" w:type="pct"/>
            <w:shd w:val="clear" w:color="auto" w:fill="E5DFEC" w:themeFill="accent4" w:themeFillTint="33"/>
            <w:vAlign w:val="bottom"/>
          </w:tcPr>
          <w:p w14:paraId="7D063D22"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w:t>
            </w:r>
            <w:r>
              <w:rPr>
                <w:rFonts w:ascii="Segoe UI Light" w:hAnsi="Segoe UI Light"/>
                <w:b/>
                <w:sz w:val="16"/>
                <w:szCs w:val="20"/>
              </w:rPr>
              <w:t>20,0</w:t>
            </w:r>
          </w:p>
        </w:tc>
        <w:tc>
          <w:tcPr>
            <w:tcW w:w="326" w:type="pct"/>
            <w:shd w:val="clear" w:color="auto" w:fill="E5DFEC" w:themeFill="accent4" w:themeFillTint="33"/>
            <w:vAlign w:val="bottom"/>
          </w:tcPr>
          <w:p w14:paraId="73643F74"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0,5</w:t>
            </w:r>
          </w:p>
        </w:tc>
        <w:tc>
          <w:tcPr>
            <w:tcW w:w="326" w:type="pct"/>
            <w:shd w:val="clear" w:color="auto" w:fill="E5DFEC" w:themeFill="accent4" w:themeFillTint="33"/>
            <w:vAlign w:val="bottom"/>
          </w:tcPr>
          <w:p w14:paraId="67E339F4" w14:textId="77777777" w:rsidR="009A0130" w:rsidRPr="003B4CDA" w:rsidRDefault="009A0130" w:rsidP="00D209BD">
            <w:pPr>
              <w:tabs>
                <w:tab w:val="decimal" w:pos="218"/>
              </w:tabs>
              <w:spacing w:before="40" w:after="40"/>
              <w:rPr>
                <w:rFonts w:ascii="Segoe UI Light" w:hAnsi="Segoe UI Light"/>
                <w:b/>
                <w:sz w:val="16"/>
                <w:szCs w:val="20"/>
              </w:rPr>
            </w:pPr>
            <w:r>
              <w:rPr>
                <w:rFonts w:ascii="Segoe UI Light" w:hAnsi="Segoe UI Light"/>
                <w:b/>
                <w:sz w:val="16"/>
                <w:szCs w:val="20"/>
              </w:rPr>
              <w:t>44,8</w:t>
            </w:r>
          </w:p>
        </w:tc>
        <w:tc>
          <w:tcPr>
            <w:tcW w:w="383" w:type="pct"/>
            <w:shd w:val="clear" w:color="auto" w:fill="E5DFEC" w:themeFill="accent4" w:themeFillTint="33"/>
            <w:vAlign w:val="bottom"/>
          </w:tcPr>
          <w:p w14:paraId="13332660"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w:t>
            </w:r>
            <w:r>
              <w:rPr>
                <w:rFonts w:ascii="Segoe UI Light" w:hAnsi="Segoe UI Light"/>
                <w:b/>
                <w:sz w:val="16"/>
                <w:szCs w:val="20"/>
              </w:rPr>
              <w:t>12,5</w:t>
            </w:r>
          </w:p>
        </w:tc>
        <w:tc>
          <w:tcPr>
            <w:tcW w:w="376" w:type="pct"/>
            <w:shd w:val="clear" w:color="auto" w:fill="E5DFEC" w:themeFill="accent4" w:themeFillTint="33"/>
            <w:vAlign w:val="bottom"/>
          </w:tcPr>
          <w:p w14:paraId="2C53F775" w14:textId="77777777" w:rsidR="009A0130" w:rsidRPr="003B4CDA" w:rsidRDefault="009A0130" w:rsidP="00D209BD">
            <w:pPr>
              <w:tabs>
                <w:tab w:val="decimal" w:pos="218"/>
              </w:tabs>
              <w:spacing w:before="40" w:after="40"/>
              <w:rPr>
                <w:rFonts w:ascii="Segoe UI Light" w:hAnsi="Segoe UI Light"/>
                <w:b/>
                <w:sz w:val="16"/>
                <w:szCs w:val="20"/>
              </w:rPr>
            </w:pPr>
            <w:r w:rsidRPr="003B4CDA">
              <w:rPr>
                <w:rFonts w:ascii="Segoe UI Light" w:hAnsi="Segoe UI Light"/>
                <w:b/>
                <w:sz w:val="16"/>
                <w:szCs w:val="20"/>
              </w:rPr>
              <w:t>14,</w:t>
            </w:r>
            <w:r>
              <w:rPr>
                <w:rFonts w:ascii="Segoe UI Light" w:hAnsi="Segoe UI Light"/>
                <w:b/>
                <w:sz w:val="16"/>
                <w:szCs w:val="20"/>
              </w:rPr>
              <w:t>8</w:t>
            </w:r>
          </w:p>
        </w:tc>
      </w:tr>
    </w:tbl>
    <w:p w14:paraId="0C92C3A9" w14:textId="182C52B2" w:rsidR="009A0130" w:rsidRPr="00BC0CBE" w:rsidRDefault="009A0130" w:rsidP="00590200">
      <w:pPr>
        <w:spacing w:before="120"/>
        <w:jc w:val="both"/>
        <w:rPr>
          <w:rFonts w:cs="Calibri Light"/>
          <w:sz w:val="12"/>
          <w:szCs w:val="10"/>
        </w:rPr>
      </w:pPr>
      <w:r w:rsidRPr="00BC0CBE">
        <w:rPr>
          <w:rFonts w:cs="Calibri Light"/>
          <w:sz w:val="12"/>
          <w:szCs w:val="10"/>
        </w:rPr>
        <w:t>Avots: EM prognozes</w:t>
      </w:r>
    </w:p>
    <w:p w14:paraId="0EBCC5B0" w14:textId="77777777" w:rsidR="00BC0CBE" w:rsidRDefault="00BC0CBE" w:rsidP="00591BC7">
      <w:pPr>
        <w:spacing w:after="120"/>
        <w:jc w:val="both"/>
      </w:pPr>
    </w:p>
    <w:p w14:paraId="737EC316" w14:textId="53AD75CC" w:rsidR="00591BC7" w:rsidRDefault="24CD85BD" w:rsidP="00591BC7">
      <w:pPr>
        <w:spacing w:after="120"/>
        <w:jc w:val="both"/>
      </w:pPr>
      <w:r>
        <w:t>Nākamajos gados d</w:t>
      </w:r>
      <w:r w:rsidR="1DA8C227">
        <w:t xml:space="preserve">arba iespējas </w:t>
      </w:r>
      <w:r>
        <w:t xml:space="preserve">galvenokārt </w:t>
      </w:r>
      <w:r w:rsidR="1DA8C227">
        <w:t>veidosies dēļ aizvietojošā pieprasījuma, esošajam darbaspēkam pensionējoties vai atstājot darba tirgu. Demogrāfijas tendences un pensionēšanās vecums ir galvenie faktori, kas ietekmē darba tirgu pametušo iedzīvotāju skaita izmaiņas un aizvietojošā darbaspēka pieprasījuma pieaugumu. Sagaidāms, ka līdz 2040. gadam dēļ darbaspēka novecošanās un iziešanas no darba tirgus var atbrīvoties aptuveni 327 tūkst. darbavietu</w:t>
      </w:r>
      <w:r w:rsidR="27616786">
        <w:t xml:space="preserve">, no kurām 147 tūkst. vakanču veidosies augstākās kvalifikācijas profesijās, 139 tūkst. vidējās kvalifikācijas profesijās, bet 41 tūkst. vienkāršajās profesijās. </w:t>
      </w:r>
    </w:p>
    <w:p w14:paraId="7D4D8B33" w14:textId="77777777" w:rsidR="00BC0CBE" w:rsidRDefault="00BC0CBE">
      <w:pPr>
        <w:spacing w:after="0"/>
        <w:rPr>
          <w:szCs w:val="20"/>
        </w:rPr>
      </w:pPr>
      <w:r>
        <w:rPr>
          <w:szCs w:val="20"/>
        </w:rPr>
        <w:br w:type="page"/>
      </w:r>
    </w:p>
    <w:p w14:paraId="08EC58F6" w14:textId="57F9BC62" w:rsidR="00622E14" w:rsidRPr="003B4CDA" w:rsidRDefault="00622E14" w:rsidP="00590200">
      <w:pPr>
        <w:jc w:val="right"/>
        <w:rPr>
          <w:szCs w:val="20"/>
        </w:rPr>
      </w:pPr>
      <w:r w:rsidRPr="003B4CDA">
        <w:rPr>
          <w:szCs w:val="20"/>
        </w:rPr>
        <w:lastRenderedPageBreak/>
        <w:t>3.</w:t>
      </w:r>
      <w:r w:rsidR="001179C2">
        <w:rPr>
          <w:szCs w:val="20"/>
        </w:rPr>
        <w:t>10</w:t>
      </w:r>
      <w:r w:rsidRPr="003B4CDA">
        <w:rPr>
          <w:szCs w:val="20"/>
        </w:rPr>
        <w:t>. attēls</w:t>
      </w:r>
    </w:p>
    <w:p w14:paraId="6E1D877E" w14:textId="22E21CD7" w:rsidR="00622E14" w:rsidRPr="003B4CDA" w:rsidRDefault="00622E14" w:rsidP="00622E14">
      <w:pPr>
        <w:jc w:val="center"/>
        <w:rPr>
          <w:rFonts w:ascii="Segoe UI Light" w:hAnsi="Segoe UI Light"/>
          <w:i/>
          <w:sz w:val="16"/>
          <w:szCs w:val="26"/>
        </w:rPr>
      </w:pPr>
      <w:r>
        <w:rPr>
          <w:rFonts w:ascii="Segoe UI Light" w:hAnsi="Segoe UI Light"/>
          <w:b/>
          <w:sz w:val="18"/>
          <w:szCs w:val="26"/>
        </w:rPr>
        <w:t>Paplašinošā un aizvietojošā darbaspēka pieprasījuma izmaiņas līdz 2030. gadam</w:t>
      </w:r>
      <w:r w:rsidRPr="003B4CDA">
        <w:rPr>
          <w:rFonts w:ascii="Segoe UI Light" w:hAnsi="Segoe UI Light"/>
          <w:b/>
          <w:sz w:val="18"/>
          <w:szCs w:val="26"/>
        </w:rPr>
        <w:br/>
      </w:r>
      <w:r w:rsidR="00591BC7">
        <w:rPr>
          <w:rFonts w:ascii="Segoe UI Light" w:hAnsi="Segoe UI Light"/>
          <w:i/>
          <w:sz w:val="16"/>
          <w:szCs w:val="26"/>
        </w:rPr>
        <w:t>darbavietu</w:t>
      </w:r>
      <w:r w:rsidR="00172594">
        <w:rPr>
          <w:rFonts w:ascii="Segoe UI Light" w:hAnsi="Segoe UI Light"/>
          <w:i/>
          <w:sz w:val="16"/>
          <w:szCs w:val="26"/>
        </w:rPr>
        <w:t xml:space="preserve"> samazinājums/atvēršanās,</w:t>
      </w:r>
      <w:r w:rsidR="00172594" w:rsidRPr="00172594">
        <w:rPr>
          <w:rFonts w:ascii="Segoe UI Light" w:hAnsi="Segoe UI Light"/>
          <w:i/>
          <w:sz w:val="16"/>
          <w:szCs w:val="26"/>
        </w:rPr>
        <w:t xml:space="preserve"> </w:t>
      </w:r>
      <w:r w:rsidR="00172594" w:rsidRPr="003B4CDA">
        <w:rPr>
          <w:rFonts w:ascii="Segoe UI Light" w:hAnsi="Segoe UI Light"/>
          <w:i/>
          <w:sz w:val="16"/>
          <w:szCs w:val="26"/>
        </w:rPr>
        <w:t>tūkstošos</w:t>
      </w:r>
    </w:p>
    <w:p w14:paraId="7568E50F" w14:textId="4C5F9058" w:rsidR="009A0130" w:rsidRDefault="00172594" w:rsidP="009A0130">
      <w:pPr>
        <w:spacing w:after="120"/>
        <w:jc w:val="both"/>
        <w:rPr>
          <w:color w:val="000000"/>
          <w:szCs w:val="20"/>
        </w:rPr>
      </w:pPr>
      <w:r w:rsidRPr="00D249AE">
        <w:rPr>
          <w:noProof/>
        </w:rPr>
        <w:drawing>
          <wp:inline distT="0" distB="0" distL="0" distR="0" wp14:anchorId="4D3BC801" wp14:editId="77D36DE4">
            <wp:extent cx="5760085" cy="2724150"/>
            <wp:effectExtent l="0" t="0" r="0" b="0"/>
            <wp:docPr id="26" name="Chart 26">
              <a:extLst xmlns:a="http://schemas.openxmlformats.org/drawingml/2006/main">
                <a:ext uri="{FF2B5EF4-FFF2-40B4-BE49-F238E27FC236}">
                  <a16:creationId xmlns:a16="http://schemas.microsoft.com/office/drawing/2014/main" id="{C8550E6F-0660-4D98-9FCA-88C004405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6ED193F" w14:textId="77777777" w:rsidR="00172594" w:rsidRPr="00BC0CBE" w:rsidRDefault="00172594" w:rsidP="00590200">
      <w:pPr>
        <w:jc w:val="both"/>
        <w:rPr>
          <w:rFonts w:cs="Calibri Light"/>
          <w:sz w:val="12"/>
          <w:szCs w:val="10"/>
        </w:rPr>
      </w:pPr>
      <w:r w:rsidRPr="00BC0CBE">
        <w:rPr>
          <w:rFonts w:cs="Calibri Light"/>
          <w:sz w:val="12"/>
          <w:szCs w:val="10"/>
        </w:rPr>
        <w:t>Avots: EM prognozes</w:t>
      </w:r>
    </w:p>
    <w:p w14:paraId="26B15021" w14:textId="052BC7C8" w:rsidR="00172594" w:rsidRDefault="00590200" w:rsidP="00590200">
      <w:pPr>
        <w:jc w:val="both"/>
      </w:pPr>
      <w:r>
        <w:br/>
      </w:r>
      <w:r w:rsidR="24CD85BD">
        <w:t>Būtiskākais aizvietojošā darbaspēka pieprasījuma pieaugums augstākās kvalifikācijas profesijās sagaidāms vecāko speciālistu profesijās – gandrīz 2/5 no pašlaik nodarbinātajiem atbilstošajās profesijās līdz 2040. gadam varētu ieziet no darba tirgus. Nozīmīgākais aizvietojošā darbaspēka pieprasījuma pieaugums sagaidāms izglītības jomas vecāko speciālistu profesiju apakšgrupā, veselības aprūpes vecāko speciālistu profesiju apakšgrupā un zinātnes un inženierzinātņu jomas vecāko speciālistu profesiju apakšgrupā. Vienlaikus vidējās kvalifikācijas profesijās visbūtiskākais aizvietojošā darbaspēka pieprasījuma pieaugums sagaidāms lauksaimniecības profesijās, pašgājēju mašīnu un iekārtu vadītāju un celšanas iekārtu un mašīnu operatoru profesijās, amatnieki un iespieddarbu strādnieku, kā arī apsardzes pakalpojumu jomas darbinieku profesijās. Kopumā aizvietojošais pieprasījums līdz 2040.</w:t>
      </w:r>
      <w:r w:rsidR="09F936DA">
        <w:t> </w:t>
      </w:r>
      <w:r w:rsidR="24CD85BD">
        <w:t>gadam varētu veidot gandrīz 3/4 no kopējā vakanču skaita pieauguma darba tirgū.</w:t>
      </w:r>
    </w:p>
    <w:p w14:paraId="3408601E" w14:textId="405C21CF" w:rsidR="00591BC7" w:rsidRDefault="00591BC7" w:rsidP="00590200">
      <w:pPr>
        <w:jc w:val="both"/>
        <w:rPr>
          <w:color w:val="000000"/>
          <w:szCs w:val="20"/>
        </w:rPr>
      </w:pPr>
    </w:p>
    <w:p w14:paraId="2B883641" w14:textId="4A06C787" w:rsidR="003751AF" w:rsidRPr="00417159" w:rsidRDefault="003751AF" w:rsidP="003751AF">
      <w:pPr>
        <w:pStyle w:val="Heading3"/>
        <w:rPr>
          <w:sz w:val="24"/>
        </w:rPr>
      </w:pPr>
      <w:bookmarkStart w:id="68" w:name="_Toc106366805"/>
      <w:r w:rsidRPr="00417159">
        <w:rPr>
          <w:sz w:val="24"/>
        </w:rPr>
        <w:t>3.3.2. Darbaspēka piedāvājuma prognozes</w:t>
      </w:r>
      <w:bookmarkEnd w:id="68"/>
    </w:p>
    <w:p w14:paraId="6425C389" w14:textId="4719282B" w:rsidR="00A408E7" w:rsidRDefault="0665C32D" w:rsidP="00A408E7">
      <w:pPr>
        <w:jc w:val="both"/>
      </w:pPr>
      <w:r>
        <w:t>Balstoties uz tautsaimniecības izaugsmes un demogrāfijas scenārijiem, EM ir izstrādājusi darbaspēka piedāvājuma (ekonomiski aktīvo iedzīvotāju) prognozes līdz 2040. gadam. Kopumā sagaidāms, ka, salīdzinot ar 2021.</w:t>
      </w:r>
      <w:r w:rsidR="3C53C722">
        <w:t> </w:t>
      </w:r>
      <w:r>
        <w:t>gadu, darbaspēka piedāvājums periodā līdz 2030.</w:t>
      </w:r>
      <w:r w:rsidR="3C53C722">
        <w:t> </w:t>
      </w:r>
      <w:r>
        <w:t>gadam varētu nedaudz palielināties – par 8,1 tūkst. (0,9%), ko galvenokārt noteiks straujāks iedzīvotāju ekonomiskās aktivitātes pieaugums pateicoties iedzīvotāju ekonomiskās aktivitātes zemai bāzei prognožu sākuma periodā. Jāatzīmē, ka Covid-19 pandēmija kopumā ir atstājusi negatīvu efektu uz iedzīvotāju līdzdalību darba tirgū, 2021.</w:t>
      </w:r>
      <w:r w:rsidR="3C53C722">
        <w:t> </w:t>
      </w:r>
      <w:r>
        <w:t xml:space="preserve">gadā iedzīvotāju ekonomiskās aktivitātes līmenim samazinoties par 1,7 procentpunktiem, salīdzinot ar </w:t>
      </w:r>
      <w:proofErr w:type="spellStart"/>
      <w:r>
        <w:t>pirmskrīzes</w:t>
      </w:r>
      <w:proofErr w:type="spellEnd"/>
      <w:r>
        <w:t xml:space="preserve"> periodu (2019.</w:t>
      </w:r>
      <w:r w:rsidR="6341AC55">
        <w:t> </w:t>
      </w:r>
      <w:r>
        <w:t>gadu).</w:t>
      </w:r>
    </w:p>
    <w:p w14:paraId="41CFB6B6" w14:textId="09606081" w:rsidR="00172594" w:rsidRDefault="0665C32D" w:rsidP="00172594">
      <w:pPr>
        <w:jc w:val="both"/>
      </w:pPr>
      <w:r>
        <w:t>Vienlaikus ilgtermiņā darbaspēka piedāvājumu arvien vairāk ietekmēs demogrāfijas tendences – gan iedzīvotāju skaita absolūtais samazinājums darbaspējas vecumā, gan izmaiņas iedzīvotāju vecumstruktūrā. Ņemot vērā demogrāfijas tendences, darbaspēka piedāvājums līdz 2040.</w:t>
      </w:r>
      <w:r w:rsidR="3C53C722">
        <w:t> </w:t>
      </w:r>
      <w:r>
        <w:t>gadam kopumā varētu samazināties par aptuveni 10</w:t>
      </w:r>
      <w:r w:rsidR="3C53C722">
        <w:t> </w:t>
      </w:r>
      <w:r>
        <w:t>tūkst. jeb 9,3%, salīdzinot ar 2021.</w:t>
      </w:r>
      <w:r w:rsidR="3C53C722">
        <w:t> </w:t>
      </w:r>
      <w:r>
        <w:t>gadu.</w:t>
      </w:r>
    </w:p>
    <w:p w14:paraId="58DD15C5" w14:textId="77777777" w:rsidR="00BC0CBE" w:rsidRDefault="00BC0CBE">
      <w:pPr>
        <w:spacing w:after="0"/>
        <w:rPr>
          <w:szCs w:val="26"/>
        </w:rPr>
      </w:pPr>
      <w:r>
        <w:rPr>
          <w:szCs w:val="26"/>
        </w:rPr>
        <w:br w:type="page"/>
      </w:r>
    </w:p>
    <w:p w14:paraId="6DE80092" w14:textId="41D0BC29" w:rsidR="00A408E7" w:rsidRPr="00172594" w:rsidRDefault="00A408E7" w:rsidP="005A43F8">
      <w:pPr>
        <w:spacing w:after="0"/>
        <w:jc w:val="right"/>
        <w:rPr>
          <w:szCs w:val="20"/>
        </w:rPr>
      </w:pPr>
      <w:r w:rsidRPr="007F041E">
        <w:rPr>
          <w:szCs w:val="26"/>
        </w:rPr>
        <w:lastRenderedPageBreak/>
        <w:t>3.</w:t>
      </w:r>
      <w:r w:rsidR="0002608F">
        <w:rPr>
          <w:szCs w:val="26"/>
        </w:rPr>
        <w:t>1</w:t>
      </w:r>
      <w:r w:rsidR="001179C2">
        <w:rPr>
          <w:szCs w:val="26"/>
        </w:rPr>
        <w:t>1</w:t>
      </w:r>
      <w:r w:rsidRPr="007F041E">
        <w:rPr>
          <w:szCs w:val="26"/>
        </w:rPr>
        <w:t>. attēls</w:t>
      </w:r>
    </w:p>
    <w:p w14:paraId="786AC60A" w14:textId="77777777" w:rsidR="00A408E7" w:rsidRPr="007F041E" w:rsidRDefault="00A408E7" w:rsidP="00A408E7">
      <w:pPr>
        <w:jc w:val="center"/>
        <w:rPr>
          <w:rFonts w:ascii="Segoe UI Light" w:hAnsi="Segoe UI Light"/>
          <w:b/>
          <w:color w:val="000000"/>
          <w:sz w:val="18"/>
          <w:szCs w:val="26"/>
        </w:rPr>
      </w:pPr>
      <w:r w:rsidRPr="007F041E">
        <w:rPr>
          <w:rFonts w:ascii="Segoe UI Light" w:hAnsi="Segoe UI Light"/>
          <w:b/>
          <w:color w:val="000000"/>
          <w:sz w:val="18"/>
          <w:szCs w:val="26"/>
        </w:rPr>
        <w:t>Darbaspēka piedāvājums</w:t>
      </w:r>
      <w:r w:rsidRPr="007F041E">
        <w:rPr>
          <w:rFonts w:ascii="Segoe UI Light" w:hAnsi="Segoe UI Light"/>
          <w:b/>
          <w:color w:val="000000"/>
          <w:sz w:val="18"/>
          <w:szCs w:val="26"/>
        </w:rPr>
        <w:br/>
      </w:r>
      <w:r w:rsidRPr="007F041E">
        <w:rPr>
          <w:rFonts w:ascii="Segoe UI Light" w:hAnsi="Segoe UI Light"/>
          <w:i/>
          <w:color w:val="000000"/>
          <w:sz w:val="16"/>
          <w:szCs w:val="26"/>
        </w:rPr>
        <w:t>vecuma grupā 15-74 gadi, tūkstošos</w:t>
      </w:r>
    </w:p>
    <w:p w14:paraId="333C6824" w14:textId="77777777" w:rsidR="00A408E7" w:rsidRPr="007F041E" w:rsidRDefault="00A408E7" w:rsidP="00A408E7">
      <w:pPr>
        <w:jc w:val="center"/>
        <w:rPr>
          <w:rFonts w:ascii="Segoe UI Light" w:hAnsi="Segoe UI Light"/>
          <w:color w:val="000000"/>
          <w:sz w:val="22"/>
          <w:szCs w:val="26"/>
        </w:rPr>
      </w:pPr>
      <w:bookmarkStart w:id="69" w:name="_MON_1400590196"/>
      <w:bookmarkStart w:id="70" w:name="_MON_1400590130"/>
      <w:bookmarkEnd w:id="69"/>
      <w:bookmarkEnd w:id="70"/>
      <w:r w:rsidRPr="007F041E">
        <w:rPr>
          <w:rFonts w:ascii="Segoe UI Light" w:hAnsi="Segoe UI Light"/>
          <w:noProof/>
          <w:color w:val="000000" w:themeColor="text1"/>
          <w:sz w:val="22"/>
          <w:szCs w:val="26"/>
          <w:lang w:eastAsia="lv-LV"/>
        </w:rPr>
        <w:drawing>
          <wp:inline distT="0" distB="0" distL="0" distR="0" wp14:anchorId="2678A3AF" wp14:editId="0484A228">
            <wp:extent cx="5649595" cy="2326944"/>
            <wp:effectExtent l="0" t="0" r="8255" b="0"/>
            <wp:docPr id="174" name="Chart 1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2F740652" w14:textId="77777777" w:rsidR="00A408E7" w:rsidRPr="00BC0CBE" w:rsidRDefault="00A408E7" w:rsidP="00A408E7">
      <w:pPr>
        <w:jc w:val="both"/>
        <w:rPr>
          <w:rFonts w:cs="Calibri Light"/>
          <w:sz w:val="12"/>
          <w:szCs w:val="10"/>
        </w:rPr>
      </w:pPr>
      <w:r w:rsidRPr="00BC0CBE">
        <w:rPr>
          <w:rFonts w:cs="Calibri Light"/>
          <w:sz w:val="12"/>
          <w:szCs w:val="10"/>
        </w:rPr>
        <w:t>Avots: CSP dati līdz 2021. gadam, EM prognozes sākot ar 2022. gadu</w:t>
      </w:r>
    </w:p>
    <w:p w14:paraId="11233815" w14:textId="6F4D78E6" w:rsidR="00A408E7" w:rsidRPr="006A27EB" w:rsidRDefault="00590200" w:rsidP="4398C881">
      <w:pPr>
        <w:jc w:val="both"/>
        <w:rPr>
          <w:color w:val="000000"/>
        </w:rPr>
      </w:pPr>
      <w:r>
        <w:rPr>
          <w:color w:val="000000" w:themeColor="text1"/>
        </w:rPr>
        <w:br/>
      </w:r>
      <w:r w:rsidR="0665C32D" w:rsidRPr="4398C881">
        <w:rPr>
          <w:color w:val="000000" w:themeColor="text1"/>
        </w:rPr>
        <w:t>Gan iedzīvotāju līdzdalība darba tirgū, gan kopējais darbaspēka piedāvājums varētu atsākt pieaugt jau sākot ar 2022. gadu. Vienlaikus iedzīvotāju ekonomiskā aktivitāte varētu atgriezties 2019. gada līmenī tikai ap 2024. gadu, bet kopējais darbaspēka piedāvājums visdrīzāk saglabāsies zem 2019. gada līmeņa līdz pat 2040. gadam.</w:t>
      </w:r>
    </w:p>
    <w:p w14:paraId="0F2B2B43" w14:textId="397E7D8A" w:rsidR="00A408E7" w:rsidRPr="00726F9E" w:rsidRDefault="0665C32D" w:rsidP="4398C881">
      <w:pPr>
        <w:jc w:val="both"/>
        <w:rPr>
          <w:color w:val="000000"/>
        </w:rPr>
      </w:pPr>
      <w:r w:rsidRPr="4398C881">
        <w:rPr>
          <w:color w:val="000000" w:themeColor="text1"/>
        </w:rPr>
        <w:t>Kopumā periodā no 2022. līdz 2030. gadam darbaspēka piedāvājums saglabāsies stabils ar nelielu pieauguma tendenci līdz 2030. gadam. To galvenokārt noteiks iedzīvotāju ekonomiskās aktivitātes pieaugums un migrācijas negatīvās ietekmes mazināšanās uz darbaspējīgo iedzīvotāju skaitu. Ekonomiskā izaugsme, situācijas uzlabošanās darba tirgū, kā arī pieaugošā darbaspēka nepietiekamība sekmēs iedzīvotāju līdzdalības palielināšanos darba tirgū. Darbaspēka pieprasījuma pieaugums vidējā termiņā, ierobežotu darba resursu pieejamības apstākļos, pavērs plašākas darba iespējas virknei neaktīvo iedzīvotāju grupu (mājsaimniecēm, studentiem, pensijas vecuma iedzīvotājiem u.c.). Tāpat būtiska loma iedzīvotāju līdzdalības veicināšanā būs atalgojuma pieaugumam.</w:t>
      </w:r>
    </w:p>
    <w:p w14:paraId="06277492" w14:textId="19E856EF" w:rsidR="00A408E7" w:rsidRPr="002C07F0" w:rsidRDefault="00A408E7" w:rsidP="00A408E7">
      <w:pPr>
        <w:jc w:val="right"/>
        <w:rPr>
          <w:szCs w:val="26"/>
        </w:rPr>
      </w:pPr>
      <w:r w:rsidRPr="002C07F0">
        <w:rPr>
          <w:szCs w:val="26"/>
        </w:rPr>
        <w:t>3.9. tabula</w:t>
      </w:r>
    </w:p>
    <w:p w14:paraId="32AFC69A" w14:textId="77777777" w:rsidR="00A408E7" w:rsidRPr="002C07F0" w:rsidRDefault="00A408E7" w:rsidP="00590200">
      <w:pPr>
        <w:spacing w:after="120"/>
        <w:jc w:val="center"/>
        <w:rPr>
          <w:rFonts w:ascii="Segoe UI Light" w:hAnsi="Segoe UI Light"/>
          <w:b/>
          <w:i/>
          <w:color w:val="000000"/>
          <w:sz w:val="18"/>
          <w:szCs w:val="26"/>
        </w:rPr>
      </w:pPr>
      <w:r w:rsidRPr="002C07F0">
        <w:rPr>
          <w:rFonts w:ascii="Segoe UI Light" w:hAnsi="Segoe UI Light"/>
          <w:b/>
          <w:color w:val="000000"/>
          <w:sz w:val="18"/>
          <w:szCs w:val="26"/>
        </w:rPr>
        <w:t>Iedzīvotāju līdzdalība darba tirgū</w:t>
      </w:r>
      <w:r w:rsidRPr="002C07F0">
        <w:rPr>
          <w:rFonts w:ascii="Segoe UI Light" w:hAnsi="Segoe UI Light"/>
          <w:b/>
          <w:color w:val="000000"/>
          <w:sz w:val="18"/>
          <w:szCs w:val="26"/>
        </w:rPr>
        <w:br/>
      </w:r>
      <w:r w:rsidRPr="002C07F0">
        <w:rPr>
          <w:rFonts w:ascii="Segoe UI Light" w:hAnsi="Segoe UI Light"/>
          <w:i/>
          <w:color w:val="000000"/>
          <w:sz w:val="16"/>
          <w:szCs w:val="26"/>
        </w:rPr>
        <w:t>procenti no iedzīvotāju kopskaita atbilstošajā vecuma grupā</w:t>
      </w:r>
    </w:p>
    <w:tbl>
      <w:tblPr>
        <w:tblStyle w:val="GridTable5Dark-Accent31"/>
        <w:tblW w:w="30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20" w:firstRow="1" w:lastRow="0" w:firstColumn="0" w:lastColumn="0" w:noHBand="0" w:noVBand="1"/>
      </w:tblPr>
      <w:tblGrid>
        <w:gridCol w:w="2214"/>
        <w:gridCol w:w="1110"/>
        <w:gridCol w:w="1110"/>
        <w:gridCol w:w="1097"/>
      </w:tblGrid>
      <w:tr w:rsidR="00C51D16" w:rsidRPr="002C07F0" w14:paraId="6E5BD99E" w14:textId="77777777" w:rsidTr="00BC0CBE">
        <w:trPr>
          <w:cnfStyle w:val="100000000000" w:firstRow="1" w:lastRow="0" w:firstColumn="0" w:lastColumn="0" w:oddVBand="0" w:evenVBand="0" w:oddHBand="0" w:evenHBand="0" w:firstRowFirstColumn="0" w:firstRowLastColumn="0" w:lastRowFirstColumn="0" w:lastRowLastColumn="0"/>
          <w:trHeight w:val="20"/>
          <w:jc w:val="center"/>
        </w:trPr>
        <w:tc>
          <w:tcPr>
            <w:tcW w:w="2001" w:type="pct"/>
            <w:shd w:val="clear" w:color="auto" w:fill="5F497A" w:themeFill="accent4" w:themeFillShade="BF"/>
            <w:noWrap/>
          </w:tcPr>
          <w:p w14:paraId="1C62D950" w14:textId="77777777" w:rsidR="00A408E7" w:rsidRPr="002C07F0" w:rsidRDefault="00A408E7" w:rsidP="00D209BD">
            <w:pPr>
              <w:spacing w:before="40" w:after="40"/>
              <w:jc w:val="both"/>
              <w:rPr>
                <w:rFonts w:ascii="Segoe UI Light" w:eastAsia="Arial Unicode MS" w:hAnsi="Segoe UI Light"/>
                <w:b w:val="0"/>
                <w:sz w:val="16"/>
                <w:szCs w:val="16"/>
              </w:rPr>
            </w:pPr>
          </w:p>
        </w:tc>
        <w:tc>
          <w:tcPr>
            <w:tcW w:w="1003" w:type="pct"/>
            <w:shd w:val="clear" w:color="auto" w:fill="5F497A" w:themeFill="accent4" w:themeFillShade="BF"/>
            <w:hideMark/>
          </w:tcPr>
          <w:p w14:paraId="1737A3F6" w14:textId="77777777" w:rsidR="00A408E7" w:rsidRPr="002C07F0" w:rsidRDefault="00A408E7" w:rsidP="00D209BD">
            <w:pPr>
              <w:spacing w:before="40" w:after="40"/>
              <w:jc w:val="center"/>
              <w:rPr>
                <w:rFonts w:ascii="Segoe UI Light" w:hAnsi="Segoe UI Light"/>
                <w:sz w:val="16"/>
                <w:szCs w:val="16"/>
              </w:rPr>
            </w:pPr>
            <w:r w:rsidRPr="002C07F0">
              <w:rPr>
                <w:rFonts w:ascii="Segoe UI Light" w:hAnsi="Segoe UI Light"/>
                <w:sz w:val="16"/>
                <w:szCs w:val="16"/>
              </w:rPr>
              <w:t>2021</w:t>
            </w:r>
          </w:p>
        </w:tc>
        <w:tc>
          <w:tcPr>
            <w:tcW w:w="1003" w:type="pct"/>
            <w:shd w:val="clear" w:color="auto" w:fill="5F497A" w:themeFill="accent4" w:themeFillShade="BF"/>
            <w:hideMark/>
          </w:tcPr>
          <w:p w14:paraId="4C99DC4C" w14:textId="77777777" w:rsidR="00A408E7" w:rsidRPr="002C07F0" w:rsidRDefault="00A408E7" w:rsidP="00D209BD">
            <w:pPr>
              <w:spacing w:before="40" w:after="40"/>
              <w:jc w:val="center"/>
              <w:rPr>
                <w:rFonts w:ascii="Segoe UI Light" w:hAnsi="Segoe UI Light"/>
                <w:sz w:val="16"/>
                <w:szCs w:val="16"/>
              </w:rPr>
            </w:pPr>
            <w:r w:rsidRPr="002C07F0">
              <w:rPr>
                <w:rFonts w:ascii="Segoe UI Light" w:hAnsi="Segoe UI Light"/>
                <w:sz w:val="16"/>
                <w:szCs w:val="16"/>
              </w:rPr>
              <w:t>2030</w:t>
            </w:r>
          </w:p>
        </w:tc>
        <w:tc>
          <w:tcPr>
            <w:tcW w:w="992" w:type="pct"/>
            <w:shd w:val="clear" w:color="auto" w:fill="5F497A" w:themeFill="accent4" w:themeFillShade="BF"/>
            <w:hideMark/>
          </w:tcPr>
          <w:p w14:paraId="45A537D6" w14:textId="77777777" w:rsidR="00A408E7" w:rsidRPr="002C07F0" w:rsidRDefault="00A408E7" w:rsidP="00D209BD">
            <w:pPr>
              <w:spacing w:before="40" w:after="40"/>
              <w:jc w:val="center"/>
              <w:rPr>
                <w:rFonts w:ascii="Segoe UI Light" w:hAnsi="Segoe UI Light"/>
                <w:sz w:val="16"/>
                <w:szCs w:val="16"/>
              </w:rPr>
            </w:pPr>
            <w:r w:rsidRPr="002C07F0">
              <w:rPr>
                <w:rFonts w:ascii="Segoe UI Light" w:hAnsi="Segoe UI Light"/>
                <w:sz w:val="16"/>
                <w:szCs w:val="16"/>
              </w:rPr>
              <w:t>2040</w:t>
            </w:r>
          </w:p>
        </w:tc>
      </w:tr>
      <w:tr w:rsidR="00C51D16" w:rsidRPr="002C07F0" w14:paraId="2A3CF256" w14:textId="77777777" w:rsidTr="00BC0CBE">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54B86A2C" w14:textId="77777777" w:rsidR="00A408E7" w:rsidRPr="002C07F0" w:rsidRDefault="00A408E7" w:rsidP="00D209BD">
            <w:pPr>
              <w:spacing w:before="40" w:after="40"/>
              <w:rPr>
                <w:rFonts w:ascii="Segoe UI Light" w:hAnsi="Segoe UI Light"/>
                <w:b/>
                <w:sz w:val="16"/>
                <w:szCs w:val="16"/>
              </w:rPr>
            </w:pPr>
            <w:r w:rsidRPr="002C07F0">
              <w:rPr>
                <w:rFonts w:ascii="Segoe UI Light" w:hAnsi="Segoe UI Light"/>
                <w:b/>
                <w:bCs/>
                <w:sz w:val="16"/>
                <w:szCs w:val="16"/>
              </w:rPr>
              <w:t>Pavisam</w:t>
            </w:r>
          </w:p>
        </w:tc>
        <w:tc>
          <w:tcPr>
            <w:tcW w:w="1003" w:type="pct"/>
            <w:shd w:val="clear" w:color="auto" w:fill="E5DFEC" w:themeFill="accent4" w:themeFillTint="33"/>
            <w:hideMark/>
          </w:tcPr>
          <w:p w14:paraId="41CE09DA" w14:textId="09B982B7" w:rsidR="00A408E7" w:rsidRPr="002C07F0" w:rsidRDefault="00A408E7" w:rsidP="00D209BD">
            <w:pPr>
              <w:spacing w:before="40" w:after="40"/>
              <w:jc w:val="center"/>
              <w:rPr>
                <w:rFonts w:ascii="Segoe UI Light" w:hAnsi="Segoe UI Light"/>
                <w:b/>
                <w:bCs/>
                <w:color w:val="000000"/>
                <w:sz w:val="16"/>
                <w:szCs w:val="16"/>
              </w:rPr>
            </w:pPr>
            <w:r w:rsidRPr="002C07F0">
              <w:rPr>
                <w:rFonts w:ascii="Segoe UI Light" w:hAnsi="Segoe UI Light"/>
                <w:b/>
                <w:bCs/>
                <w:color w:val="000000"/>
                <w:sz w:val="16"/>
                <w:szCs w:val="16"/>
              </w:rPr>
              <w:t>67</w:t>
            </w:r>
            <w:r>
              <w:rPr>
                <w:rFonts w:ascii="Segoe UI Light" w:hAnsi="Segoe UI Light"/>
                <w:b/>
                <w:bCs/>
                <w:color w:val="000000"/>
                <w:sz w:val="16"/>
                <w:szCs w:val="16"/>
              </w:rPr>
              <w:t>,</w:t>
            </w:r>
            <w:r w:rsidRPr="002C07F0">
              <w:rPr>
                <w:rFonts w:ascii="Segoe UI Light" w:hAnsi="Segoe UI Light"/>
                <w:b/>
                <w:bCs/>
                <w:color w:val="000000"/>
                <w:sz w:val="16"/>
                <w:szCs w:val="16"/>
              </w:rPr>
              <w:t>7</w:t>
            </w:r>
          </w:p>
        </w:tc>
        <w:tc>
          <w:tcPr>
            <w:tcW w:w="1003" w:type="pct"/>
            <w:shd w:val="clear" w:color="auto" w:fill="E5DFEC" w:themeFill="accent4" w:themeFillTint="33"/>
            <w:hideMark/>
          </w:tcPr>
          <w:p w14:paraId="185CD14E" w14:textId="0375B861" w:rsidR="00A408E7" w:rsidRPr="002C07F0" w:rsidRDefault="00A408E7" w:rsidP="00D209BD">
            <w:pPr>
              <w:spacing w:before="40" w:after="40"/>
              <w:jc w:val="center"/>
              <w:rPr>
                <w:rFonts w:ascii="Segoe UI Light" w:hAnsi="Segoe UI Light"/>
                <w:b/>
                <w:bCs/>
                <w:color w:val="000000"/>
                <w:sz w:val="16"/>
                <w:szCs w:val="16"/>
              </w:rPr>
            </w:pPr>
            <w:r w:rsidRPr="002C07F0">
              <w:rPr>
                <w:rFonts w:ascii="Segoe UI Light" w:hAnsi="Segoe UI Light"/>
                <w:b/>
                <w:bCs/>
                <w:color w:val="000000"/>
                <w:sz w:val="16"/>
                <w:szCs w:val="16"/>
              </w:rPr>
              <w:t>72</w:t>
            </w:r>
            <w:r>
              <w:rPr>
                <w:rFonts w:ascii="Segoe UI Light" w:hAnsi="Segoe UI Light"/>
                <w:b/>
                <w:bCs/>
                <w:color w:val="000000"/>
                <w:sz w:val="16"/>
                <w:szCs w:val="16"/>
              </w:rPr>
              <w:t>,</w:t>
            </w:r>
            <w:r w:rsidRPr="002C07F0">
              <w:rPr>
                <w:rFonts w:ascii="Segoe UI Light" w:hAnsi="Segoe UI Light"/>
                <w:b/>
                <w:bCs/>
                <w:color w:val="000000"/>
                <w:sz w:val="16"/>
                <w:szCs w:val="16"/>
              </w:rPr>
              <w:t>0</w:t>
            </w:r>
          </w:p>
        </w:tc>
        <w:tc>
          <w:tcPr>
            <w:tcW w:w="992" w:type="pct"/>
            <w:shd w:val="clear" w:color="auto" w:fill="E5DFEC" w:themeFill="accent4" w:themeFillTint="33"/>
            <w:hideMark/>
          </w:tcPr>
          <w:p w14:paraId="3BD66066" w14:textId="64D63DB2" w:rsidR="00A408E7" w:rsidRPr="002C07F0" w:rsidRDefault="00A408E7" w:rsidP="00D209BD">
            <w:pPr>
              <w:spacing w:before="40" w:after="40"/>
              <w:jc w:val="center"/>
              <w:rPr>
                <w:rFonts w:ascii="Segoe UI Light" w:hAnsi="Segoe UI Light"/>
                <w:b/>
                <w:bCs/>
                <w:color w:val="000000"/>
                <w:sz w:val="16"/>
                <w:szCs w:val="16"/>
              </w:rPr>
            </w:pPr>
            <w:r w:rsidRPr="002C07F0">
              <w:rPr>
                <w:rFonts w:ascii="Segoe UI Light" w:hAnsi="Segoe UI Light"/>
                <w:b/>
                <w:bCs/>
                <w:color w:val="000000"/>
                <w:sz w:val="16"/>
                <w:szCs w:val="16"/>
              </w:rPr>
              <w:t>74</w:t>
            </w:r>
            <w:r>
              <w:rPr>
                <w:rFonts w:ascii="Segoe UI Light" w:hAnsi="Segoe UI Light"/>
                <w:b/>
                <w:bCs/>
                <w:color w:val="000000"/>
                <w:sz w:val="16"/>
                <w:szCs w:val="16"/>
              </w:rPr>
              <w:t>,</w:t>
            </w:r>
            <w:r w:rsidRPr="002C07F0">
              <w:rPr>
                <w:rFonts w:ascii="Segoe UI Light" w:hAnsi="Segoe UI Light"/>
                <w:b/>
                <w:bCs/>
                <w:color w:val="000000"/>
                <w:sz w:val="16"/>
                <w:szCs w:val="16"/>
              </w:rPr>
              <w:t>0</w:t>
            </w:r>
          </w:p>
        </w:tc>
      </w:tr>
      <w:tr w:rsidR="00C51D16" w:rsidRPr="002C07F0" w14:paraId="6258EC8E" w14:textId="77777777" w:rsidTr="00D209BD">
        <w:trPr>
          <w:trHeight w:val="20"/>
          <w:jc w:val="center"/>
        </w:trPr>
        <w:tc>
          <w:tcPr>
            <w:tcW w:w="2001" w:type="pct"/>
            <w:shd w:val="clear" w:color="auto" w:fill="CCC0D9" w:themeFill="accent4" w:themeFillTint="66"/>
            <w:hideMark/>
          </w:tcPr>
          <w:p w14:paraId="7F299971"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15-24</w:t>
            </w:r>
          </w:p>
        </w:tc>
        <w:tc>
          <w:tcPr>
            <w:tcW w:w="1003" w:type="pct"/>
            <w:shd w:val="clear" w:color="auto" w:fill="CCC0D9" w:themeFill="accent4" w:themeFillTint="66"/>
            <w:hideMark/>
          </w:tcPr>
          <w:p w14:paraId="79F079D6" w14:textId="359DDFFC"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32</w:t>
            </w:r>
            <w:r>
              <w:rPr>
                <w:rFonts w:ascii="Segoe UI Light" w:hAnsi="Segoe UI Light"/>
                <w:color w:val="000000"/>
                <w:sz w:val="16"/>
                <w:szCs w:val="16"/>
              </w:rPr>
              <w:t>,</w:t>
            </w:r>
            <w:r w:rsidRPr="002C07F0">
              <w:rPr>
                <w:rFonts w:ascii="Segoe UI Light" w:hAnsi="Segoe UI Light"/>
                <w:color w:val="000000"/>
                <w:sz w:val="16"/>
                <w:szCs w:val="16"/>
              </w:rPr>
              <w:t>7</w:t>
            </w:r>
          </w:p>
        </w:tc>
        <w:tc>
          <w:tcPr>
            <w:tcW w:w="1003" w:type="pct"/>
            <w:shd w:val="clear" w:color="auto" w:fill="CCC0D9" w:themeFill="accent4" w:themeFillTint="66"/>
            <w:hideMark/>
          </w:tcPr>
          <w:p w14:paraId="197EF544" w14:textId="0874DB5B"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39</w:t>
            </w:r>
            <w:r>
              <w:rPr>
                <w:rFonts w:ascii="Segoe UI Light" w:hAnsi="Segoe UI Light"/>
                <w:color w:val="000000"/>
                <w:sz w:val="16"/>
                <w:szCs w:val="16"/>
              </w:rPr>
              <w:t>,</w:t>
            </w:r>
            <w:r w:rsidRPr="002C07F0">
              <w:rPr>
                <w:rFonts w:ascii="Segoe UI Light" w:hAnsi="Segoe UI Light"/>
                <w:color w:val="000000"/>
                <w:sz w:val="16"/>
                <w:szCs w:val="16"/>
              </w:rPr>
              <w:t>8</w:t>
            </w:r>
          </w:p>
        </w:tc>
        <w:tc>
          <w:tcPr>
            <w:tcW w:w="992" w:type="pct"/>
            <w:shd w:val="clear" w:color="auto" w:fill="CCC0D9" w:themeFill="accent4" w:themeFillTint="66"/>
            <w:hideMark/>
          </w:tcPr>
          <w:p w14:paraId="3693E22F" w14:textId="29A678CC"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45</w:t>
            </w:r>
            <w:r>
              <w:rPr>
                <w:rFonts w:ascii="Segoe UI Light" w:hAnsi="Segoe UI Light"/>
                <w:color w:val="000000"/>
                <w:sz w:val="16"/>
                <w:szCs w:val="16"/>
              </w:rPr>
              <w:t>,</w:t>
            </w:r>
            <w:r w:rsidRPr="002C07F0">
              <w:rPr>
                <w:rFonts w:ascii="Segoe UI Light" w:hAnsi="Segoe UI Light"/>
                <w:color w:val="000000"/>
                <w:sz w:val="16"/>
                <w:szCs w:val="16"/>
              </w:rPr>
              <w:t>4</w:t>
            </w:r>
          </w:p>
        </w:tc>
      </w:tr>
      <w:tr w:rsidR="00C51D16" w:rsidRPr="002C07F0" w14:paraId="2824A36F" w14:textId="77777777" w:rsidTr="00D209BD">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0877E85E"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25-34</w:t>
            </w:r>
          </w:p>
        </w:tc>
        <w:tc>
          <w:tcPr>
            <w:tcW w:w="1003" w:type="pct"/>
            <w:shd w:val="clear" w:color="auto" w:fill="E5DFEC" w:themeFill="accent4" w:themeFillTint="33"/>
            <w:hideMark/>
          </w:tcPr>
          <w:p w14:paraId="7B1A1D62" w14:textId="0DA3F8C6"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86</w:t>
            </w:r>
            <w:r>
              <w:rPr>
                <w:rFonts w:ascii="Segoe UI Light" w:hAnsi="Segoe UI Light"/>
                <w:color w:val="000000"/>
                <w:sz w:val="16"/>
                <w:szCs w:val="16"/>
              </w:rPr>
              <w:t>,</w:t>
            </w:r>
            <w:r w:rsidRPr="002C07F0">
              <w:rPr>
                <w:rFonts w:ascii="Segoe UI Light" w:hAnsi="Segoe UI Light"/>
                <w:color w:val="000000"/>
                <w:sz w:val="16"/>
                <w:szCs w:val="16"/>
              </w:rPr>
              <w:t>4</w:t>
            </w:r>
          </w:p>
        </w:tc>
        <w:tc>
          <w:tcPr>
            <w:tcW w:w="1003" w:type="pct"/>
            <w:shd w:val="clear" w:color="auto" w:fill="E5DFEC" w:themeFill="accent4" w:themeFillTint="33"/>
            <w:hideMark/>
          </w:tcPr>
          <w:p w14:paraId="33E6447E" w14:textId="0E6DEE19"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92</w:t>
            </w:r>
            <w:r>
              <w:rPr>
                <w:rFonts w:ascii="Segoe UI Light" w:hAnsi="Segoe UI Light"/>
                <w:color w:val="000000"/>
                <w:sz w:val="16"/>
                <w:szCs w:val="16"/>
              </w:rPr>
              <w:t>,</w:t>
            </w:r>
            <w:r w:rsidRPr="002C07F0">
              <w:rPr>
                <w:rFonts w:ascii="Segoe UI Light" w:hAnsi="Segoe UI Light"/>
                <w:color w:val="000000"/>
                <w:sz w:val="16"/>
                <w:szCs w:val="16"/>
              </w:rPr>
              <w:t>8</w:t>
            </w:r>
          </w:p>
        </w:tc>
        <w:tc>
          <w:tcPr>
            <w:tcW w:w="992" w:type="pct"/>
            <w:shd w:val="clear" w:color="auto" w:fill="E5DFEC" w:themeFill="accent4" w:themeFillTint="33"/>
            <w:hideMark/>
          </w:tcPr>
          <w:p w14:paraId="23DE7469" w14:textId="6E139E61"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93</w:t>
            </w:r>
            <w:r>
              <w:rPr>
                <w:rFonts w:ascii="Segoe UI Light" w:hAnsi="Segoe UI Light"/>
                <w:color w:val="000000"/>
                <w:sz w:val="16"/>
                <w:szCs w:val="16"/>
              </w:rPr>
              <w:t>,</w:t>
            </w:r>
            <w:r w:rsidRPr="002C07F0">
              <w:rPr>
                <w:rFonts w:ascii="Segoe UI Light" w:hAnsi="Segoe UI Light"/>
                <w:color w:val="000000"/>
                <w:sz w:val="16"/>
                <w:szCs w:val="16"/>
              </w:rPr>
              <w:t>8</w:t>
            </w:r>
          </w:p>
        </w:tc>
      </w:tr>
      <w:tr w:rsidR="00C51D16" w:rsidRPr="002C07F0" w14:paraId="44FF6855" w14:textId="77777777" w:rsidTr="00D209BD">
        <w:trPr>
          <w:trHeight w:val="20"/>
          <w:jc w:val="center"/>
        </w:trPr>
        <w:tc>
          <w:tcPr>
            <w:tcW w:w="2001" w:type="pct"/>
            <w:shd w:val="clear" w:color="auto" w:fill="CCC0D9" w:themeFill="accent4" w:themeFillTint="66"/>
            <w:hideMark/>
          </w:tcPr>
          <w:p w14:paraId="209E9126"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35-44</w:t>
            </w:r>
          </w:p>
        </w:tc>
        <w:tc>
          <w:tcPr>
            <w:tcW w:w="1003" w:type="pct"/>
            <w:shd w:val="clear" w:color="auto" w:fill="CCC0D9" w:themeFill="accent4" w:themeFillTint="66"/>
            <w:hideMark/>
          </w:tcPr>
          <w:p w14:paraId="7E331EA4" w14:textId="54E65AC8"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88</w:t>
            </w:r>
            <w:r>
              <w:rPr>
                <w:rFonts w:ascii="Segoe UI Light" w:hAnsi="Segoe UI Light"/>
                <w:color w:val="000000"/>
                <w:sz w:val="16"/>
                <w:szCs w:val="16"/>
              </w:rPr>
              <w:t>,</w:t>
            </w:r>
            <w:r w:rsidRPr="002C07F0">
              <w:rPr>
                <w:rFonts w:ascii="Segoe UI Light" w:hAnsi="Segoe UI Light"/>
                <w:color w:val="000000"/>
                <w:sz w:val="16"/>
                <w:szCs w:val="16"/>
              </w:rPr>
              <w:t>1</w:t>
            </w:r>
          </w:p>
        </w:tc>
        <w:tc>
          <w:tcPr>
            <w:tcW w:w="1003" w:type="pct"/>
            <w:shd w:val="clear" w:color="auto" w:fill="CCC0D9" w:themeFill="accent4" w:themeFillTint="66"/>
            <w:hideMark/>
          </w:tcPr>
          <w:p w14:paraId="0A2B707E" w14:textId="33FDC6C1"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95</w:t>
            </w:r>
            <w:r>
              <w:rPr>
                <w:rFonts w:ascii="Segoe UI Light" w:hAnsi="Segoe UI Light"/>
                <w:color w:val="000000"/>
                <w:sz w:val="16"/>
                <w:szCs w:val="16"/>
              </w:rPr>
              <w:t>,</w:t>
            </w:r>
            <w:r w:rsidRPr="002C07F0">
              <w:rPr>
                <w:rFonts w:ascii="Segoe UI Light" w:hAnsi="Segoe UI Light"/>
                <w:color w:val="000000"/>
                <w:sz w:val="16"/>
                <w:szCs w:val="16"/>
              </w:rPr>
              <w:t>4</w:t>
            </w:r>
          </w:p>
        </w:tc>
        <w:tc>
          <w:tcPr>
            <w:tcW w:w="992" w:type="pct"/>
            <w:shd w:val="clear" w:color="auto" w:fill="CCC0D9" w:themeFill="accent4" w:themeFillTint="66"/>
            <w:hideMark/>
          </w:tcPr>
          <w:p w14:paraId="3F874F71" w14:textId="1061537A"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96</w:t>
            </w:r>
            <w:r>
              <w:rPr>
                <w:rFonts w:ascii="Segoe UI Light" w:hAnsi="Segoe UI Light"/>
                <w:color w:val="000000"/>
                <w:sz w:val="16"/>
                <w:szCs w:val="16"/>
              </w:rPr>
              <w:t>,</w:t>
            </w:r>
            <w:r w:rsidRPr="002C07F0">
              <w:rPr>
                <w:rFonts w:ascii="Segoe UI Light" w:hAnsi="Segoe UI Light"/>
                <w:color w:val="000000"/>
                <w:sz w:val="16"/>
                <w:szCs w:val="16"/>
              </w:rPr>
              <w:t>2</w:t>
            </w:r>
          </w:p>
        </w:tc>
      </w:tr>
      <w:tr w:rsidR="00C51D16" w:rsidRPr="002C07F0" w14:paraId="2592E081" w14:textId="77777777" w:rsidTr="00D209BD">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15526D42"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45-54</w:t>
            </w:r>
          </w:p>
        </w:tc>
        <w:tc>
          <w:tcPr>
            <w:tcW w:w="1003" w:type="pct"/>
            <w:shd w:val="clear" w:color="auto" w:fill="E5DFEC" w:themeFill="accent4" w:themeFillTint="33"/>
            <w:hideMark/>
          </w:tcPr>
          <w:p w14:paraId="1636316E" w14:textId="326B3D44"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86</w:t>
            </w:r>
            <w:r>
              <w:rPr>
                <w:rFonts w:ascii="Segoe UI Light" w:hAnsi="Segoe UI Light"/>
                <w:color w:val="000000"/>
                <w:sz w:val="16"/>
                <w:szCs w:val="16"/>
              </w:rPr>
              <w:t>,</w:t>
            </w:r>
            <w:r w:rsidRPr="002C07F0">
              <w:rPr>
                <w:rFonts w:ascii="Segoe UI Light" w:hAnsi="Segoe UI Light"/>
                <w:color w:val="000000"/>
                <w:sz w:val="16"/>
                <w:szCs w:val="16"/>
              </w:rPr>
              <w:t>9</w:t>
            </w:r>
          </w:p>
        </w:tc>
        <w:tc>
          <w:tcPr>
            <w:tcW w:w="1003" w:type="pct"/>
            <w:shd w:val="clear" w:color="auto" w:fill="E5DFEC" w:themeFill="accent4" w:themeFillTint="33"/>
            <w:hideMark/>
          </w:tcPr>
          <w:p w14:paraId="38130222" w14:textId="20AE95E6"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93</w:t>
            </w:r>
            <w:r>
              <w:rPr>
                <w:rFonts w:ascii="Segoe UI Light" w:hAnsi="Segoe UI Light"/>
                <w:color w:val="000000"/>
                <w:sz w:val="16"/>
                <w:szCs w:val="16"/>
              </w:rPr>
              <w:t>,</w:t>
            </w:r>
            <w:r w:rsidRPr="002C07F0">
              <w:rPr>
                <w:rFonts w:ascii="Segoe UI Light" w:hAnsi="Segoe UI Light"/>
                <w:color w:val="000000"/>
                <w:sz w:val="16"/>
                <w:szCs w:val="16"/>
              </w:rPr>
              <w:t>9</w:t>
            </w:r>
          </w:p>
        </w:tc>
        <w:tc>
          <w:tcPr>
            <w:tcW w:w="992" w:type="pct"/>
            <w:shd w:val="clear" w:color="auto" w:fill="E5DFEC" w:themeFill="accent4" w:themeFillTint="33"/>
            <w:hideMark/>
          </w:tcPr>
          <w:p w14:paraId="4C459C88" w14:textId="375E15C6"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94</w:t>
            </w:r>
            <w:r>
              <w:rPr>
                <w:rFonts w:ascii="Segoe UI Light" w:hAnsi="Segoe UI Light"/>
                <w:color w:val="000000"/>
                <w:sz w:val="16"/>
                <w:szCs w:val="16"/>
              </w:rPr>
              <w:t>,</w:t>
            </w:r>
            <w:r w:rsidRPr="002C07F0">
              <w:rPr>
                <w:rFonts w:ascii="Segoe UI Light" w:hAnsi="Segoe UI Light"/>
                <w:color w:val="000000"/>
                <w:sz w:val="16"/>
                <w:szCs w:val="16"/>
              </w:rPr>
              <w:t>7</w:t>
            </w:r>
          </w:p>
        </w:tc>
      </w:tr>
      <w:tr w:rsidR="00C51D16" w:rsidRPr="002C07F0" w14:paraId="400CC8C0" w14:textId="77777777" w:rsidTr="00D209BD">
        <w:trPr>
          <w:trHeight w:val="20"/>
          <w:jc w:val="center"/>
        </w:trPr>
        <w:tc>
          <w:tcPr>
            <w:tcW w:w="2001" w:type="pct"/>
            <w:shd w:val="clear" w:color="auto" w:fill="CCC0D9" w:themeFill="accent4" w:themeFillTint="66"/>
            <w:hideMark/>
          </w:tcPr>
          <w:p w14:paraId="0EBB7934"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55-64</w:t>
            </w:r>
          </w:p>
        </w:tc>
        <w:tc>
          <w:tcPr>
            <w:tcW w:w="1003" w:type="pct"/>
            <w:shd w:val="clear" w:color="auto" w:fill="CCC0D9" w:themeFill="accent4" w:themeFillTint="66"/>
            <w:hideMark/>
          </w:tcPr>
          <w:p w14:paraId="4925662E" w14:textId="5F75AADF"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72</w:t>
            </w:r>
            <w:r>
              <w:rPr>
                <w:rFonts w:ascii="Segoe UI Light" w:hAnsi="Segoe UI Light"/>
                <w:color w:val="000000"/>
                <w:sz w:val="16"/>
                <w:szCs w:val="16"/>
              </w:rPr>
              <w:t>,</w:t>
            </w:r>
            <w:r w:rsidRPr="002C07F0">
              <w:rPr>
                <w:rFonts w:ascii="Segoe UI Light" w:hAnsi="Segoe UI Light"/>
                <w:color w:val="000000"/>
                <w:sz w:val="16"/>
                <w:szCs w:val="16"/>
              </w:rPr>
              <w:t>2</w:t>
            </w:r>
          </w:p>
        </w:tc>
        <w:tc>
          <w:tcPr>
            <w:tcW w:w="1003" w:type="pct"/>
            <w:shd w:val="clear" w:color="auto" w:fill="CCC0D9" w:themeFill="accent4" w:themeFillTint="66"/>
            <w:hideMark/>
          </w:tcPr>
          <w:p w14:paraId="3ACDC595" w14:textId="0265BA72"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80</w:t>
            </w:r>
            <w:r>
              <w:rPr>
                <w:rFonts w:ascii="Segoe UI Light" w:hAnsi="Segoe UI Light"/>
                <w:color w:val="000000"/>
                <w:sz w:val="16"/>
                <w:szCs w:val="16"/>
              </w:rPr>
              <w:t>,</w:t>
            </w:r>
            <w:r w:rsidRPr="002C07F0">
              <w:rPr>
                <w:rFonts w:ascii="Segoe UI Light" w:hAnsi="Segoe UI Light"/>
                <w:color w:val="000000"/>
                <w:sz w:val="16"/>
                <w:szCs w:val="16"/>
              </w:rPr>
              <w:t>9</w:t>
            </w:r>
          </w:p>
        </w:tc>
        <w:tc>
          <w:tcPr>
            <w:tcW w:w="992" w:type="pct"/>
            <w:shd w:val="clear" w:color="auto" w:fill="CCC0D9" w:themeFill="accent4" w:themeFillTint="66"/>
            <w:hideMark/>
          </w:tcPr>
          <w:p w14:paraId="0321BAED" w14:textId="24DE779D"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82</w:t>
            </w:r>
            <w:r>
              <w:rPr>
                <w:rFonts w:ascii="Segoe UI Light" w:hAnsi="Segoe UI Light"/>
                <w:color w:val="000000"/>
                <w:sz w:val="16"/>
                <w:szCs w:val="16"/>
              </w:rPr>
              <w:t>,</w:t>
            </w:r>
            <w:r w:rsidRPr="002C07F0">
              <w:rPr>
                <w:rFonts w:ascii="Segoe UI Light" w:hAnsi="Segoe UI Light"/>
                <w:color w:val="000000"/>
                <w:sz w:val="16"/>
                <w:szCs w:val="16"/>
              </w:rPr>
              <w:t>5</w:t>
            </w:r>
          </w:p>
        </w:tc>
      </w:tr>
      <w:tr w:rsidR="00C51D16" w:rsidRPr="002C07F0" w14:paraId="3A43D473" w14:textId="77777777" w:rsidTr="00D209BD">
        <w:trPr>
          <w:cnfStyle w:val="000000100000" w:firstRow="0" w:lastRow="0" w:firstColumn="0" w:lastColumn="0" w:oddVBand="0" w:evenVBand="0" w:oddHBand="1" w:evenHBand="0" w:firstRowFirstColumn="0" w:firstRowLastColumn="0" w:lastRowFirstColumn="0" w:lastRowLastColumn="0"/>
          <w:trHeight w:val="20"/>
          <w:jc w:val="center"/>
        </w:trPr>
        <w:tc>
          <w:tcPr>
            <w:tcW w:w="2001" w:type="pct"/>
            <w:shd w:val="clear" w:color="auto" w:fill="E5DFEC" w:themeFill="accent4" w:themeFillTint="33"/>
            <w:hideMark/>
          </w:tcPr>
          <w:p w14:paraId="457E3F80" w14:textId="77777777" w:rsidR="00A408E7" w:rsidRPr="002C07F0" w:rsidRDefault="00A408E7" w:rsidP="00D209BD">
            <w:pPr>
              <w:spacing w:before="40" w:after="40"/>
              <w:rPr>
                <w:rFonts w:ascii="Segoe UI Light" w:hAnsi="Segoe UI Light"/>
                <w:color w:val="000000"/>
                <w:sz w:val="16"/>
                <w:szCs w:val="16"/>
              </w:rPr>
            </w:pPr>
            <w:r w:rsidRPr="002C07F0">
              <w:rPr>
                <w:rFonts w:ascii="Segoe UI Light" w:hAnsi="Segoe UI Light"/>
                <w:color w:val="000000"/>
                <w:sz w:val="16"/>
                <w:szCs w:val="16"/>
              </w:rPr>
              <w:t>65-74</w:t>
            </w:r>
          </w:p>
        </w:tc>
        <w:tc>
          <w:tcPr>
            <w:tcW w:w="1003" w:type="pct"/>
            <w:shd w:val="clear" w:color="auto" w:fill="E5DFEC" w:themeFill="accent4" w:themeFillTint="33"/>
            <w:hideMark/>
          </w:tcPr>
          <w:p w14:paraId="1756E280" w14:textId="54B90E3D"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20</w:t>
            </w:r>
            <w:r>
              <w:rPr>
                <w:rFonts w:ascii="Segoe UI Light" w:hAnsi="Segoe UI Light"/>
                <w:color w:val="000000"/>
                <w:sz w:val="16"/>
                <w:szCs w:val="16"/>
              </w:rPr>
              <w:t>,</w:t>
            </w:r>
            <w:r w:rsidRPr="002C07F0">
              <w:rPr>
                <w:rFonts w:ascii="Segoe UI Light" w:hAnsi="Segoe UI Light"/>
                <w:color w:val="000000"/>
                <w:sz w:val="16"/>
                <w:szCs w:val="16"/>
              </w:rPr>
              <w:t>7</w:t>
            </w:r>
          </w:p>
        </w:tc>
        <w:tc>
          <w:tcPr>
            <w:tcW w:w="1003" w:type="pct"/>
            <w:shd w:val="clear" w:color="auto" w:fill="E5DFEC" w:themeFill="accent4" w:themeFillTint="33"/>
            <w:hideMark/>
          </w:tcPr>
          <w:p w14:paraId="7B3C0989" w14:textId="4EB5FAC6"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26</w:t>
            </w:r>
            <w:r>
              <w:rPr>
                <w:rFonts w:ascii="Segoe UI Light" w:hAnsi="Segoe UI Light"/>
                <w:color w:val="000000"/>
                <w:sz w:val="16"/>
                <w:szCs w:val="16"/>
              </w:rPr>
              <w:t>,</w:t>
            </w:r>
            <w:r w:rsidRPr="002C07F0">
              <w:rPr>
                <w:rFonts w:ascii="Segoe UI Light" w:hAnsi="Segoe UI Light"/>
                <w:color w:val="000000"/>
                <w:sz w:val="16"/>
                <w:szCs w:val="16"/>
              </w:rPr>
              <w:t>0</w:t>
            </w:r>
          </w:p>
        </w:tc>
        <w:tc>
          <w:tcPr>
            <w:tcW w:w="992" w:type="pct"/>
            <w:shd w:val="clear" w:color="auto" w:fill="E5DFEC" w:themeFill="accent4" w:themeFillTint="33"/>
            <w:hideMark/>
          </w:tcPr>
          <w:p w14:paraId="4946C015" w14:textId="73C2C9C6" w:rsidR="00A408E7" w:rsidRPr="002C07F0" w:rsidRDefault="00A408E7" w:rsidP="00D209BD">
            <w:pPr>
              <w:spacing w:before="40" w:after="40"/>
              <w:jc w:val="center"/>
              <w:rPr>
                <w:rFonts w:ascii="Segoe UI Light" w:hAnsi="Segoe UI Light"/>
                <w:color w:val="000000"/>
                <w:sz w:val="16"/>
                <w:szCs w:val="16"/>
              </w:rPr>
            </w:pPr>
            <w:r w:rsidRPr="002C07F0">
              <w:rPr>
                <w:rFonts w:ascii="Segoe UI Light" w:hAnsi="Segoe UI Light"/>
                <w:color w:val="000000"/>
                <w:sz w:val="16"/>
                <w:szCs w:val="16"/>
              </w:rPr>
              <w:t>27</w:t>
            </w:r>
            <w:r>
              <w:rPr>
                <w:rFonts w:ascii="Segoe UI Light" w:hAnsi="Segoe UI Light"/>
                <w:color w:val="000000"/>
                <w:sz w:val="16"/>
                <w:szCs w:val="16"/>
              </w:rPr>
              <w:t>,</w:t>
            </w:r>
            <w:r w:rsidRPr="002C07F0">
              <w:rPr>
                <w:rFonts w:ascii="Segoe UI Light" w:hAnsi="Segoe UI Light"/>
                <w:color w:val="000000"/>
                <w:sz w:val="16"/>
                <w:szCs w:val="16"/>
              </w:rPr>
              <w:t>6</w:t>
            </w:r>
          </w:p>
        </w:tc>
      </w:tr>
    </w:tbl>
    <w:p w14:paraId="573A0C0E" w14:textId="77777777" w:rsidR="00A408E7" w:rsidRPr="00BC0CBE" w:rsidRDefault="00A408E7" w:rsidP="00A408E7">
      <w:pPr>
        <w:spacing w:before="60"/>
        <w:ind w:left="720" w:firstLine="1123"/>
        <w:jc w:val="both"/>
        <w:rPr>
          <w:rFonts w:cs="Calibri Light"/>
          <w:sz w:val="12"/>
          <w:szCs w:val="10"/>
        </w:rPr>
      </w:pPr>
      <w:r w:rsidRPr="00BC0CBE">
        <w:rPr>
          <w:rFonts w:cs="Calibri Light"/>
          <w:sz w:val="12"/>
          <w:szCs w:val="10"/>
        </w:rPr>
        <w:t>Avots: CSP dati 2021. gadam, EM prognozes 2030. un 2040. gada</w:t>
      </w:r>
    </w:p>
    <w:p w14:paraId="68ED4B7A" w14:textId="0A23FB61" w:rsidR="00A408E7" w:rsidRPr="00726F9E" w:rsidRDefault="00590200" w:rsidP="4398C881">
      <w:pPr>
        <w:jc w:val="both"/>
        <w:rPr>
          <w:color w:val="000000"/>
        </w:rPr>
      </w:pPr>
      <w:r>
        <w:rPr>
          <w:color w:val="000000" w:themeColor="text1"/>
        </w:rPr>
        <w:br/>
      </w:r>
      <w:r w:rsidR="0665C32D" w:rsidRPr="4398C881">
        <w:rPr>
          <w:color w:val="000000" w:themeColor="text1"/>
        </w:rPr>
        <w:t>Vienlaikus periodā pēc 2030. gada iedzīvotāju ekonomiskās aktivitātes pieauguma kompensējošā ietekme uz darbaspēka piedāvājumu varētu pamazām izsīkt un demogrāfijas procesi ņems virsroku, tādejādi periodā no 2030. līdz 2040.</w:t>
      </w:r>
      <w:r w:rsidR="3C53C722" w:rsidRPr="4398C881">
        <w:rPr>
          <w:color w:val="000000" w:themeColor="text1"/>
        </w:rPr>
        <w:t> </w:t>
      </w:r>
      <w:r w:rsidR="0665C32D" w:rsidRPr="4398C881">
        <w:rPr>
          <w:color w:val="000000" w:themeColor="text1"/>
        </w:rPr>
        <w:t>gadam kopumā sagaidāma darbaspēka piedāvājuma krītoša tendence.</w:t>
      </w:r>
    </w:p>
    <w:p w14:paraId="727571B7" w14:textId="0BD5B62D" w:rsidR="00A408E7" w:rsidRPr="001231A9" w:rsidRDefault="0665C32D" w:rsidP="4398C881">
      <w:pPr>
        <w:jc w:val="both"/>
        <w:rPr>
          <w:color w:val="000000"/>
          <w:highlight w:val="yellow"/>
        </w:rPr>
      </w:pPr>
      <w:r w:rsidRPr="4398C881">
        <w:rPr>
          <w:color w:val="000000" w:themeColor="text1"/>
        </w:rPr>
        <w:t xml:space="preserve">Līdz 2040. gadam iedzīvotāju ekonomiskās aktivitātes līmenis kopumā varētu palielināties par 6,3 procentpunktiem, salīdzinot ar 2021. gadu, un sasniegt 74% vecuma grupā no 15 līdz 74 gadiem. Augstākā ekonomiskā aktivitāte saglabāsies starp iedzīvotājiem vecumā no 25 līdz 54 gadiem. Turpretim nozīmīgākais </w:t>
      </w:r>
      <w:r w:rsidRPr="4398C881">
        <w:rPr>
          <w:color w:val="000000" w:themeColor="text1"/>
        </w:rPr>
        <w:lastRenderedPageBreak/>
        <w:t xml:space="preserve">ekonomiskās aktivitātes pieaugums sagaidāms starp iedzīvotājiem </w:t>
      </w:r>
      <w:proofErr w:type="spellStart"/>
      <w:r w:rsidRPr="4398C881">
        <w:rPr>
          <w:color w:val="000000" w:themeColor="text1"/>
        </w:rPr>
        <w:t>pirmspensijas</w:t>
      </w:r>
      <w:proofErr w:type="spellEnd"/>
      <w:r w:rsidRPr="4398C881">
        <w:rPr>
          <w:color w:val="000000" w:themeColor="text1"/>
        </w:rPr>
        <w:t xml:space="preserve"> vecuma grupā no 60 līdz 64 gadiem, kā arī starp iedzīvotājiem 65-69 gadu vecumā.</w:t>
      </w:r>
    </w:p>
    <w:p w14:paraId="1E9876FD" w14:textId="77777777" w:rsidR="00A408E7" w:rsidRPr="00BC0CBE" w:rsidRDefault="00A408E7" w:rsidP="00590200">
      <w:pPr>
        <w:pBdr>
          <w:top w:val="single" w:sz="4" w:space="6" w:color="auto" w:shadow="1"/>
          <w:left w:val="single" w:sz="4" w:space="6" w:color="auto" w:shadow="1"/>
          <w:bottom w:val="single" w:sz="4" w:space="0" w:color="auto" w:shadow="1"/>
          <w:right w:val="single" w:sz="4" w:space="6" w:color="auto" w:shadow="1"/>
        </w:pBdr>
        <w:shd w:val="clear" w:color="auto" w:fill="E5DFEC"/>
        <w:spacing w:after="120"/>
        <w:jc w:val="right"/>
        <w:rPr>
          <w:rFonts w:ascii="Segoe UI Light" w:hAnsi="Segoe UI Light"/>
          <w:b/>
          <w:sz w:val="16"/>
          <w:szCs w:val="16"/>
        </w:rPr>
      </w:pPr>
      <w:r w:rsidRPr="00BC0CBE">
        <w:rPr>
          <w:rFonts w:ascii="Segoe UI Light" w:hAnsi="Segoe UI Light"/>
          <w:b/>
          <w:sz w:val="16"/>
          <w:szCs w:val="16"/>
        </w:rPr>
        <w:t>Darbaspēka piedāvājuma prognozes Eiropā</w:t>
      </w:r>
    </w:p>
    <w:p w14:paraId="200F4616" w14:textId="7031F196" w:rsidR="00A408E7" w:rsidRDefault="00A408E7" w:rsidP="00590200">
      <w:pPr>
        <w:pBdr>
          <w:top w:val="single" w:sz="4" w:space="6" w:color="auto" w:shadow="1"/>
          <w:left w:val="single" w:sz="4" w:space="6" w:color="auto" w:shadow="1"/>
          <w:bottom w:val="single" w:sz="4" w:space="0" w:color="auto" w:shadow="1"/>
          <w:right w:val="single" w:sz="4" w:space="6" w:color="auto" w:shadow="1"/>
        </w:pBdr>
        <w:shd w:val="clear" w:color="auto" w:fill="E5DFEC"/>
        <w:spacing w:after="120"/>
        <w:jc w:val="both"/>
        <w:rPr>
          <w:rFonts w:ascii="Segoe UI Light" w:hAnsi="Segoe UI Light"/>
          <w:sz w:val="16"/>
          <w:szCs w:val="16"/>
        </w:rPr>
      </w:pPr>
      <w:r w:rsidRPr="00C00C92">
        <w:rPr>
          <w:rFonts w:ascii="Segoe UI Light" w:hAnsi="Segoe UI Light"/>
          <w:b/>
          <w:bCs/>
          <w:sz w:val="16"/>
          <w:szCs w:val="16"/>
        </w:rPr>
        <w:t xml:space="preserve">Darbaspēka novecošanās radīs arvien lielāku spriedzi ES darba tirgū. </w:t>
      </w:r>
      <w:r w:rsidRPr="00C00C92">
        <w:rPr>
          <w:rFonts w:ascii="Segoe UI Light" w:hAnsi="Segoe UI Light"/>
          <w:sz w:val="16"/>
          <w:szCs w:val="16"/>
        </w:rPr>
        <w:t xml:space="preserve">Pieaugot iedzīvotāju mūža ilgumam, darba tirgū pieaugs vecāka gadagājuma cilvēku īpatsvars un saruks iedzīvotāju skaits darbaspējas vecumā. Saskaņā ar </w:t>
      </w:r>
      <w:proofErr w:type="spellStart"/>
      <w:r w:rsidRPr="00C00C92">
        <w:rPr>
          <w:rFonts w:ascii="Segoe UI Light" w:hAnsi="Segoe UI Light"/>
          <w:sz w:val="16"/>
          <w:szCs w:val="16"/>
        </w:rPr>
        <w:t>Cedefop</w:t>
      </w:r>
      <w:proofErr w:type="spellEnd"/>
      <w:r w:rsidRPr="00C00C92">
        <w:rPr>
          <w:rFonts w:ascii="Segoe UI Light" w:hAnsi="Segoe UI Light"/>
          <w:sz w:val="16"/>
          <w:szCs w:val="16"/>
        </w:rPr>
        <w:t xml:space="preserve"> prognozēm, paredzams, ka līdz 2030.</w:t>
      </w:r>
      <w:r w:rsidR="00417159">
        <w:rPr>
          <w:rFonts w:ascii="Segoe UI Light" w:hAnsi="Segoe UI Light"/>
          <w:sz w:val="16"/>
          <w:szCs w:val="16"/>
        </w:rPr>
        <w:t> </w:t>
      </w:r>
      <w:r w:rsidRPr="00C00C92">
        <w:rPr>
          <w:rFonts w:ascii="Segoe UI Light" w:hAnsi="Segoe UI Light"/>
          <w:sz w:val="16"/>
          <w:szCs w:val="16"/>
        </w:rPr>
        <w:t xml:space="preserve">gadam ES gandrīz 1/4 no kopējā darbaspēka būs vecāki par 55 gadiem. Darbaspēka piedāvājums visstraujāk augs tieši vecākās grupās </w:t>
      </w:r>
      <w:r w:rsidR="00417159">
        <w:rPr>
          <w:rFonts w:ascii="Segoe UI Light" w:hAnsi="Segoe UI Light"/>
          <w:sz w:val="16"/>
          <w:szCs w:val="16"/>
        </w:rPr>
        <w:t xml:space="preserve">– </w:t>
      </w:r>
      <w:r w:rsidRPr="00C00C92">
        <w:rPr>
          <w:rFonts w:ascii="Segoe UI Light" w:hAnsi="Segoe UI Light"/>
          <w:sz w:val="16"/>
          <w:szCs w:val="16"/>
        </w:rPr>
        <w:t>2030.</w:t>
      </w:r>
      <w:r w:rsidR="00417159">
        <w:rPr>
          <w:rFonts w:ascii="Segoe UI Light" w:hAnsi="Segoe UI Light"/>
          <w:sz w:val="16"/>
          <w:szCs w:val="16"/>
        </w:rPr>
        <w:t> </w:t>
      </w:r>
      <w:r w:rsidRPr="00C00C92">
        <w:rPr>
          <w:rFonts w:ascii="Segoe UI Light" w:hAnsi="Segoe UI Light"/>
          <w:sz w:val="16"/>
          <w:szCs w:val="16"/>
        </w:rPr>
        <w:t>gadā, salīdzinot ar 2020.</w:t>
      </w:r>
      <w:r w:rsidR="00417159">
        <w:rPr>
          <w:rFonts w:ascii="Segoe UI Light" w:hAnsi="Segoe UI Light"/>
          <w:sz w:val="16"/>
          <w:szCs w:val="16"/>
        </w:rPr>
        <w:t> </w:t>
      </w:r>
      <w:r w:rsidRPr="00C00C92">
        <w:rPr>
          <w:rFonts w:ascii="Segoe UI Light" w:hAnsi="Segoe UI Light"/>
          <w:sz w:val="16"/>
          <w:szCs w:val="16"/>
        </w:rPr>
        <w:t>gadu, ekonomiski aktīvo iedzīvotāju skaits vecumā virs 54 gadiem pieaugs par 23%.</w:t>
      </w:r>
    </w:p>
    <w:p w14:paraId="0500769D" w14:textId="7C922288" w:rsidR="00A408E7" w:rsidRDefault="00A408E7" w:rsidP="00590200">
      <w:pPr>
        <w:pBdr>
          <w:top w:val="single" w:sz="4" w:space="6" w:color="auto" w:shadow="1"/>
          <w:left w:val="single" w:sz="4" w:space="6" w:color="auto" w:shadow="1"/>
          <w:bottom w:val="single" w:sz="4" w:space="0" w:color="auto" w:shadow="1"/>
          <w:right w:val="single" w:sz="4" w:space="6" w:color="auto" w:shadow="1"/>
        </w:pBdr>
        <w:shd w:val="clear" w:color="auto" w:fill="E5DFEC"/>
        <w:spacing w:after="120"/>
        <w:jc w:val="both"/>
        <w:rPr>
          <w:rFonts w:ascii="Segoe UI Light" w:hAnsi="Segoe UI Light"/>
          <w:sz w:val="16"/>
          <w:szCs w:val="16"/>
        </w:rPr>
      </w:pPr>
      <w:r w:rsidRPr="00457F83">
        <w:rPr>
          <w:rFonts w:ascii="Segoe UI Light" w:hAnsi="Segoe UI Light"/>
          <w:sz w:val="16"/>
          <w:szCs w:val="16"/>
        </w:rPr>
        <w:t xml:space="preserve">Darbaspēka novecošanās </w:t>
      </w:r>
      <w:r>
        <w:rPr>
          <w:rFonts w:ascii="Segoe UI Light" w:hAnsi="Segoe UI Light"/>
          <w:sz w:val="16"/>
          <w:szCs w:val="16"/>
        </w:rPr>
        <w:t xml:space="preserve">kopumā var palielināt saspīlēju ES darba tirgū, radot </w:t>
      </w:r>
      <w:r w:rsidRPr="00457F83">
        <w:rPr>
          <w:rFonts w:ascii="Segoe UI Light" w:hAnsi="Segoe UI Light"/>
          <w:sz w:val="16"/>
          <w:szCs w:val="16"/>
        </w:rPr>
        <w:t xml:space="preserve">noteiktu prasmju trūkumu, </w:t>
      </w:r>
      <w:r>
        <w:rPr>
          <w:rFonts w:ascii="Segoe UI Light" w:hAnsi="Segoe UI Light"/>
          <w:sz w:val="16"/>
          <w:szCs w:val="16"/>
        </w:rPr>
        <w:t>saistībā</w:t>
      </w:r>
      <w:r w:rsidRPr="00457F83">
        <w:rPr>
          <w:rFonts w:ascii="Segoe UI Light" w:hAnsi="Segoe UI Light"/>
          <w:sz w:val="16"/>
          <w:szCs w:val="16"/>
        </w:rPr>
        <w:t xml:space="preserve"> ar prasmju novecošanos un neatbilstību darba tirgus prasībām. Darba devējiem var rasties grūtības aizpildīt esošās un jaunās vakances.</w:t>
      </w:r>
      <w:r>
        <w:rPr>
          <w:rFonts w:ascii="Segoe UI Light" w:hAnsi="Segoe UI Light"/>
          <w:sz w:val="16"/>
          <w:szCs w:val="16"/>
        </w:rPr>
        <w:t xml:space="preserve"> Turklāt jāņem vērā, ka sabiedrības novecošanās tendences var ietekmēt </w:t>
      </w:r>
      <w:r w:rsidRPr="00C00C92">
        <w:rPr>
          <w:rFonts w:ascii="Segoe UI Light" w:hAnsi="Segoe UI Light"/>
          <w:sz w:val="16"/>
          <w:szCs w:val="16"/>
        </w:rPr>
        <w:t xml:space="preserve">ne tikai darba tirgu, bet arī veselības </w:t>
      </w:r>
      <w:r>
        <w:rPr>
          <w:rFonts w:ascii="Segoe UI Light" w:hAnsi="Segoe UI Light"/>
          <w:sz w:val="16"/>
          <w:szCs w:val="16"/>
        </w:rPr>
        <w:t>un sociālās aprūpes</w:t>
      </w:r>
      <w:r w:rsidRPr="00C00C92">
        <w:rPr>
          <w:rFonts w:ascii="Segoe UI Light" w:hAnsi="Segoe UI Light"/>
          <w:sz w:val="16"/>
          <w:szCs w:val="16"/>
        </w:rPr>
        <w:t xml:space="preserve"> sistēmu, pensiju sistēmu un citas jomas.</w:t>
      </w:r>
    </w:p>
    <w:p w14:paraId="115BA337" w14:textId="7C43FCE6" w:rsidR="00BC0CBE" w:rsidRPr="00BC0CBE" w:rsidRDefault="00BC0CBE" w:rsidP="003000D9">
      <w:pPr>
        <w:pBdr>
          <w:top w:val="single" w:sz="4" w:space="6" w:color="auto" w:shadow="1"/>
          <w:left w:val="single" w:sz="4" w:space="6" w:color="auto" w:shadow="1"/>
          <w:bottom w:val="single" w:sz="4" w:space="0" w:color="auto" w:shadow="1"/>
          <w:right w:val="single" w:sz="4" w:space="6" w:color="auto" w:shadow="1"/>
        </w:pBdr>
        <w:shd w:val="clear" w:color="auto" w:fill="E5DFEC"/>
        <w:tabs>
          <w:tab w:val="center" w:pos="1843"/>
          <w:tab w:val="center" w:pos="6521"/>
        </w:tabs>
        <w:spacing w:after="60"/>
        <w:rPr>
          <w:rFonts w:ascii="Segoe UI Light" w:hAnsi="Segoe UI Light"/>
          <w:b/>
          <w:bCs/>
          <w:sz w:val="16"/>
          <w:szCs w:val="16"/>
        </w:rPr>
      </w:pPr>
      <w:r>
        <w:rPr>
          <w:rFonts w:ascii="Segoe UI Light" w:hAnsi="Segoe UI Light"/>
          <w:b/>
          <w:bCs/>
          <w:sz w:val="16"/>
          <w:szCs w:val="16"/>
        </w:rPr>
        <w:tab/>
      </w:r>
      <w:r w:rsidRPr="00BC0CBE">
        <w:rPr>
          <w:rFonts w:ascii="Segoe UI Light" w:hAnsi="Segoe UI Light"/>
          <w:b/>
          <w:bCs/>
          <w:sz w:val="16"/>
          <w:szCs w:val="16"/>
        </w:rPr>
        <w:t xml:space="preserve">Darbaspēka piedāvājuma struktūra </w:t>
      </w:r>
      <w:r>
        <w:rPr>
          <w:rFonts w:ascii="Segoe UI Light" w:hAnsi="Segoe UI Light"/>
          <w:b/>
          <w:bCs/>
          <w:sz w:val="16"/>
          <w:szCs w:val="16"/>
        </w:rPr>
        <w:t>ES</w:t>
      </w:r>
      <w:r>
        <w:rPr>
          <w:rFonts w:ascii="Segoe UI Light" w:hAnsi="Segoe UI Light"/>
          <w:b/>
          <w:bCs/>
          <w:sz w:val="16"/>
          <w:szCs w:val="16"/>
        </w:rPr>
        <w:tab/>
      </w:r>
      <w:r w:rsidRPr="00BC0CBE">
        <w:rPr>
          <w:rFonts w:ascii="Segoe UI Light" w:hAnsi="Segoe UI Light"/>
          <w:b/>
          <w:bCs/>
          <w:sz w:val="16"/>
          <w:szCs w:val="16"/>
        </w:rPr>
        <w:t xml:space="preserve">Darbaspēka piedāvājuma </w:t>
      </w:r>
      <w:r>
        <w:rPr>
          <w:rFonts w:ascii="Segoe UI Light" w:hAnsi="Segoe UI Light"/>
          <w:b/>
          <w:bCs/>
          <w:sz w:val="16"/>
          <w:szCs w:val="16"/>
        </w:rPr>
        <w:t>izmaiņas</w:t>
      </w:r>
      <w:r w:rsidRPr="00BC0CBE">
        <w:rPr>
          <w:rFonts w:ascii="Segoe UI Light" w:hAnsi="Segoe UI Light"/>
          <w:b/>
          <w:bCs/>
          <w:sz w:val="16"/>
          <w:szCs w:val="16"/>
        </w:rPr>
        <w:t xml:space="preserve"> </w:t>
      </w:r>
      <w:r>
        <w:rPr>
          <w:rFonts w:ascii="Segoe UI Light" w:hAnsi="Segoe UI Light"/>
          <w:b/>
          <w:bCs/>
          <w:sz w:val="16"/>
          <w:szCs w:val="16"/>
        </w:rPr>
        <w:t>ES</w:t>
      </w:r>
      <w:r w:rsidRPr="00BC0CBE">
        <w:rPr>
          <w:rFonts w:ascii="Segoe UI Light" w:hAnsi="Segoe UI Light"/>
          <w:b/>
          <w:bCs/>
          <w:sz w:val="16"/>
          <w:szCs w:val="16"/>
        </w:rPr>
        <w:br/>
      </w:r>
      <w:r>
        <w:rPr>
          <w:rFonts w:ascii="Segoe UI Light" w:hAnsi="Segoe UI Light"/>
          <w:sz w:val="16"/>
          <w:szCs w:val="16"/>
        </w:rPr>
        <w:tab/>
      </w:r>
      <w:r w:rsidRPr="00BC0CBE">
        <w:rPr>
          <w:rFonts w:ascii="Segoe UI Light" w:hAnsi="Segoe UI Light"/>
          <w:sz w:val="16"/>
          <w:szCs w:val="16"/>
        </w:rPr>
        <w:t>pa vecuma grupām</w:t>
      </w:r>
      <w:r>
        <w:rPr>
          <w:rFonts w:ascii="Segoe UI Light" w:hAnsi="Segoe UI Light"/>
          <w:sz w:val="16"/>
          <w:szCs w:val="16"/>
        </w:rPr>
        <w:tab/>
      </w:r>
      <w:r w:rsidRPr="00BC0CBE">
        <w:rPr>
          <w:rFonts w:ascii="Segoe UI Light" w:hAnsi="Segoe UI Light"/>
          <w:sz w:val="16"/>
          <w:szCs w:val="16"/>
        </w:rPr>
        <w:t>2030. gads salīdzinājumā ar 2020. gadu, %</w:t>
      </w:r>
    </w:p>
    <w:p w14:paraId="7DD3167C" w14:textId="713B6EF7" w:rsidR="00A408E7" w:rsidRPr="00C00C92" w:rsidRDefault="00A408E7" w:rsidP="00232506">
      <w:pPr>
        <w:pBdr>
          <w:top w:val="single" w:sz="4" w:space="6" w:color="auto" w:shadow="1"/>
          <w:left w:val="single" w:sz="4" w:space="6" w:color="auto" w:shadow="1"/>
          <w:bottom w:val="single" w:sz="4" w:space="0" w:color="auto" w:shadow="1"/>
          <w:right w:val="single" w:sz="4" w:space="6" w:color="auto" w:shadow="1"/>
        </w:pBdr>
        <w:shd w:val="clear" w:color="auto" w:fill="E5DFEC"/>
        <w:spacing w:after="60"/>
        <w:jc w:val="center"/>
        <w:rPr>
          <w:rFonts w:ascii="Segoe UI Light" w:hAnsi="Segoe UI Light"/>
          <w:b/>
          <w:sz w:val="18"/>
          <w:szCs w:val="18"/>
        </w:rPr>
      </w:pPr>
      <w:r w:rsidRPr="00C00C92">
        <w:rPr>
          <w:noProof/>
          <w:lang w:eastAsia="lv-LV"/>
        </w:rPr>
        <w:drawing>
          <wp:inline distT="0" distB="0" distL="0" distR="0" wp14:anchorId="23332418" wp14:editId="78718A0D">
            <wp:extent cx="2160000" cy="1800000"/>
            <wp:effectExtent l="0" t="0" r="0" b="0"/>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r w:rsidRPr="00C00C92">
        <w:rPr>
          <w:noProof/>
          <w:lang w:eastAsia="lv-LV"/>
        </w:rPr>
        <w:drawing>
          <wp:inline distT="0" distB="0" distL="0" distR="0" wp14:anchorId="1CBB2790" wp14:editId="59C40642">
            <wp:extent cx="3600000" cy="1800000"/>
            <wp:effectExtent l="0" t="0" r="0" b="0"/>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5D72D30" w14:textId="77777777" w:rsidR="003000D9" w:rsidRDefault="003000D9" w:rsidP="4398C881">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60"/>
        <w:jc w:val="both"/>
        <w:rPr>
          <w:rFonts w:ascii="Segoe UI Light" w:hAnsi="Segoe UI Light"/>
          <w:b/>
          <w:bCs/>
          <w:sz w:val="16"/>
          <w:szCs w:val="16"/>
        </w:rPr>
      </w:pPr>
    </w:p>
    <w:p w14:paraId="26128EC1" w14:textId="67B56AF9" w:rsidR="00A408E7" w:rsidRPr="00C00C92" w:rsidRDefault="0665C32D" w:rsidP="0059020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b/>
          <w:bCs/>
          <w:sz w:val="16"/>
          <w:szCs w:val="16"/>
        </w:rPr>
        <w:t>Turpinās pieaugs augstas kvalifikācijas darbaspēka īpatsvars, samazināsies vidējas un zemas kvalifikācijas darbaspēka piedāvājums.</w:t>
      </w:r>
      <w:r w:rsidRPr="4398C881">
        <w:rPr>
          <w:rFonts w:ascii="Segoe UI Light" w:hAnsi="Segoe UI Light"/>
          <w:sz w:val="16"/>
          <w:szCs w:val="16"/>
        </w:rPr>
        <w:t xml:space="preserve"> Saskaņā ar </w:t>
      </w:r>
      <w:proofErr w:type="spellStart"/>
      <w:r w:rsidRPr="4398C881">
        <w:rPr>
          <w:rFonts w:ascii="Segoe UI Light" w:hAnsi="Segoe UI Light"/>
          <w:sz w:val="16"/>
          <w:szCs w:val="16"/>
        </w:rPr>
        <w:t>Cedefop</w:t>
      </w:r>
      <w:proofErr w:type="spellEnd"/>
      <w:r w:rsidRPr="4398C881">
        <w:rPr>
          <w:rFonts w:ascii="Segoe UI Light" w:hAnsi="Segoe UI Light"/>
          <w:sz w:val="16"/>
          <w:szCs w:val="16"/>
        </w:rPr>
        <w:t xml:space="preserve"> prognozēm, augstas kvalifikācijas darbaspēka piedāvājums līdz 2030.</w:t>
      </w:r>
      <w:r w:rsidR="3C53C722" w:rsidRPr="4398C881">
        <w:rPr>
          <w:rFonts w:ascii="Segoe UI Light" w:hAnsi="Segoe UI Light"/>
          <w:sz w:val="16"/>
          <w:szCs w:val="16"/>
        </w:rPr>
        <w:t> </w:t>
      </w:r>
      <w:r w:rsidRPr="4398C881">
        <w:rPr>
          <w:rFonts w:ascii="Segoe UI Light" w:hAnsi="Segoe UI Light"/>
          <w:sz w:val="16"/>
          <w:szCs w:val="16"/>
        </w:rPr>
        <w:t>gadam kopumā varētu palielināties par gandrīz 24% jeb 16,8 milj. darbinieku un 2030.</w:t>
      </w:r>
      <w:r w:rsidR="3C53C722" w:rsidRPr="4398C881">
        <w:rPr>
          <w:rFonts w:ascii="Segoe UI Light" w:hAnsi="Segoe UI Light"/>
          <w:sz w:val="16"/>
          <w:szCs w:val="16"/>
        </w:rPr>
        <w:t> </w:t>
      </w:r>
      <w:r w:rsidRPr="4398C881">
        <w:rPr>
          <w:rFonts w:ascii="Segoe UI Light" w:hAnsi="Segoe UI Light"/>
          <w:sz w:val="16"/>
          <w:szCs w:val="16"/>
        </w:rPr>
        <w:t>gadā veidot 2/5 no kopējā darbaspēka piedāvājuma ES. Vienlaikus būtiskākais darbaspēka piedāvājuma samazinājums sagaidāms zemas kvalifikācijas grupā. Kopumā zemas kvalifikācijas darbaspēka piedāvājums līdz 2030.</w:t>
      </w:r>
      <w:r w:rsidR="3C53C722" w:rsidRPr="4398C881">
        <w:rPr>
          <w:rFonts w:ascii="Segoe UI Light" w:hAnsi="Segoe UI Light"/>
          <w:sz w:val="16"/>
          <w:szCs w:val="16"/>
        </w:rPr>
        <w:t> </w:t>
      </w:r>
      <w:r w:rsidRPr="4398C881">
        <w:rPr>
          <w:rFonts w:ascii="Segoe UI Light" w:hAnsi="Segoe UI Light"/>
          <w:sz w:val="16"/>
          <w:szCs w:val="16"/>
        </w:rPr>
        <w:t>gadam, salīdzinot ar 2020.</w:t>
      </w:r>
      <w:r w:rsidR="3C53C722" w:rsidRPr="4398C881">
        <w:rPr>
          <w:rFonts w:ascii="Segoe UI Light" w:hAnsi="Segoe UI Light"/>
          <w:sz w:val="16"/>
          <w:szCs w:val="16"/>
        </w:rPr>
        <w:t> </w:t>
      </w:r>
      <w:r w:rsidRPr="4398C881">
        <w:rPr>
          <w:rFonts w:ascii="Segoe UI Light" w:hAnsi="Segoe UI Light"/>
          <w:sz w:val="16"/>
          <w:szCs w:val="16"/>
        </w:rPr>
        <w:t xml:space="preserve">gadu, varētu samazināties par gandrīz 19% jeb 7,7 milj. darbinieku. </w:t>
      </w:r>
    </w:p>
    <w:p w14:paraId="30FB57C2" w14:textId="66E87019" w:rsidR="00A408E7" w:rsidRPr="00C00C92" w:rsidRDefault="0665C32D" w:rsidP="00590200">
      <w:pPr>
        <w:pBdr>
          <w:top w:val="single" w:sz="4" w:space="6" w:color="auto" w:shadow="1"/>
          <w:left w:val="single" w:sz="4" w:space="6" w:color="auto" w:shadow="1"/>
          <w:bottom w:val="single" w:sz="4" w:space="0"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4398C881">
        <w:rPr>
          <w:rFonts w:ascii="Segoe UI Light" w:hAnsi="Segoe UI Light"/>
          <w:sz w:val="16"/>
          <w:szCs w:val="16"/>
        </w:rPr>
        <w:t xml:space="preserve">Tāpat turpinās sarukt vidējās kvalifikācijas darbaspēka piedāvājums </w:t>
      </w:r>
      <w:r w:rsidR="3C53C722" w:rsidRPr="4398C881">
        <w:rPr>
          <w:rFonts w:ascii="Segoe UI Light" w:hAnsi="Segoe UI Light"/>
          <w:sz w:val="16"/>
          <w:szCs w:val="16"/>
        </w:rPr>
        <w:t>–</w:t>
      </w:r>
      <w:r w:rsidRPr="4398C881">
        <w:rPr>
          <w:rFonts w:ascii="Segoe UI Light" w:hAnsi="Segoe UI Light"/>
          <w:sz w:val="16"/>
          <w:szCs w:val="16"/>
        </w:rPr>
        <w:t xml:space="preserve"> līdz 2030.</w:t>
      </w:r>
      <w:r w:rsidR="3C53C722" w:rsidRPr="4398C881">
        <w:rPr>
          <w:rFonts w:ascii="Segoe UI Light" w:hAnsi="Segoe UI Light"/>
          <w:sz w:val="16"/>
          <w:szCs w:val="16"/>
        </w:rPr>
        <w:t> </w:t>
      </w:r>
      <w:r w:rsidRPr="4398C881">
        <w:rPr>
          <w:rFonts w:ascii="Segoe UI Light" w:hAnsi="Segoe UI Light"/>
          <w:sz w:val="16"/>
          <w:szCs w:val="16"/>
        </w:rPr>
        <w:t>gadam samazinoties par 4,2% jeb 4,4 milj. Vienlaikus vidējās kvalifikācijas darbaspēka piedāvājums 2030.</w:t>
      </w:r>
      <w:r w:rsidR="3C53C722" w:rsidRPr="4398C881">
        <w:rPr>
          <w:rFonts w:ascii="Segoe UI Light" w:hAnsi="Segoe UI Light"/>
          <w:sz w:val="16"/>
          <w:szCs w:val="16"/>
        </w:rPr>
        <w:t> </w:t>
      </w:r>
      <w:r w:rsidRPr="4398C881">
        <w:rPr>
          <w:rFonts w:ascii="Segoe UI Light" w:hAnsi="Segoe UI Light"/>
          <w:sz w:val="16"/>
          <w:szCs w:val="16"/>
        </w:rPr>
        <w:t>gadā veidos joprojām lielāko daļu no kopējā darbaspēka piedāvājuma – aptuveni 45% jeb 99,3 milj. darbinieku.</w:t>
      </w:r>
    </w:p>
    <w:p w14:paraId="4D7F34E2" w14:textId="77777777" w:rsidR="003000D9" w:rsidRPr="003000D9" w:rsidRDefault="003000D9" w:rsidP="00590200">
      <w:pPr>
        <w:pBdr>
          <w:top w:val="single" w:sz="4" w:space="6" w:color="auto" w:shadow="1"/>
          <w:left w:val="single" w:sz="4" w:space="6" w:color="auto" w:shadow="1"/>
          <w:bottom w:val="single" w:sz="4" w:space="0" w:color="auto" w:shadow="1"/>
          <w:right w:val="single" w:sz="4" w:space="6" w:color="auto" w:shadow="1"/>
        </w:pBdr>
        <w:shd w:val="clear" w:color="auto" w:fill="E5DFEC"/>
        <w:spacing w:after="120"/>
        <w:jc w:val="center"/>
        <w:rPr>
          <w:rFonts w:ascii="Segoe UI Light" w:hAnsi="Segoe UI Light"/>
          <w:b/>
          <w:bCs/>
          <w:sz w:val="16"/>
          <w:szCs w:val="16"/>
        </w:rPr>
      </w:pPr>
      <w:r w:rsidRPr="003000D9">
        <w:rPr>
          <w:rFonts w:ascii="Segoe UI Light" w:hAnsi="Segoe UI Light"/>
          <w:b/>
          <w:bCs/>
          <w:sz w:val="16"/>
          <w:szCs w:val="16"/>
        </w:rPr>
        <w:t xml:space="preserve">Darbaspēka piedāvājuma izmaiņas ES pēc izglītība/kvalifikācijas līmeņa </w:t>
      </w:r>
      <w:r w:rsidRPr="003000D9">
        <w:rPr>
          <w:rFonts w:ascii="Segoe UI Light" w:hAnsi="Segoe UI Light"/>
          <w:b/>
          <w:bCs/>
          <w:sz w:val="16"/>
          <w:szCs w:val="16"/>
        </w:rPr>
        <w:br/>
      </w:r>
      <w:r w:rsidRPr="003000D9">
        <w:rPr>
          <w:rFonts w:ascii="Segoe UI Light" w:hAnsi="Segoe UI Light"/>
          <w:sz w:val="16"/>
          <w:szCs w:val="16"/>
        </w:rPr>
        <w:t>2030. gads salīdzinājumā ar 2020. gadu, tūkstošos</w:t>
      </w:r>
    </w:p>
    <w:p w14:paraId="3562788E" w14:textId="316FB651" w:rsidR="00A408E7" w:rsidRPr="00C00C92" w:rsidRDefault="00A408E7" w:rsidP="00232506">
      <w:pPr>
        <w:pBdr>
          <w:top w:val="single" w:sz="4" w:space="6" w:color="auto" w:shadow="1"/>
          <w:left w:val="single" w:sz="4" w:space="6" w:color="auto" w:shadow="1"/>
          <w:bottom w:val="single" w:sz="4" w:space="0" w:color="auto" w:shadow="1"/>
          <w:right w:val="single" w:sz="4" w:space="6" w:color="auto" w:shadow="1"/>
        </w:pBdr>
        <w:shd w:val="clear" w:color="auto" w:fill="E5DFEC"/>
        <w:spacing w:after="60"/>
        <w:jc w:val="center"/>
        <w:rPr>
          <w:rFonts w:ascii="Segoe UI Light" w:hAnsi="Segoe UI Light"/>
          <w:sz w:val="16"/>
          <w:szCs w:val="16"/>
        </w:rPr>
      </w:pPr>
      <w:r w:rsidRPr="00C00C92">
        <w:rPr>
          <w:noProof/>
          <w:lang w:eastAsia="lv-LV"/>
        </w:rPr>
        <w:drawing>
          <wp:inline distT="0" distB="0" distL="0" distR="0" wp14:anchorId="30CB15B6" wp14:editId="4A1158E8">
            <wp:extent cx="5760000" cy="1080000"/>
            <wp:effectExtent l="0" t="0" r="0" b="635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1DB7B994" w14:textId="77777777" w:rsidR="00A408E7" w:rsidRPr="003000D9" w:rsidRDefault="00A408E7" w:rsidP="00232506">
      <w:pPr>
        <w:pBdr>
          <w:top w:val="single" w:sz="4" w:space="6" w:color="auto" w:shadow="1"/>
          <w:left w:val="single" w:sz="4" w:space="6" w:color="auto" w:shadow="1"/>
          <w:bottom w:val="single" w:sz="4" w:space="0" w:color="auto" w:shadow="1"/>
          <w:right w:val="single" w:sz="4" w:space="6" w:color="auto" w:shadow="1"/>
        </w:pBdr>
        <w:shd w:val="clear" w:color="auto" w:fill="E5DFEC"/>
        <w:spacing w:after="60"/>
        <w:jc w:val="both"/>
        <w:rPr>
          <w:rFonts w:ascii="Segoe UI Light" w:hAnsi="Segoe UI Light"/>
          <w:i/>
          <w:iCs/>
          <w:sz w:val="12"/>
          <w:szCs w:val="12"/>
        </w:rPr>
      </w:pPr>
      <w:r w:rsidRPr="003000D9">
        <w:rPr>
          <w:rFonts w:ascii="Segoe UI Light" w:hAnsi="Segoe UI Light"/>
          <w:sz w:val="12"/>
          <w:szCs w:val="12"/>
        </w:rPr>
        <w:t xml:space="preserve">Avots: </w:t>
      </w:r>
      <w:proofErr w:type="spellStart"/>
      <w:r w:rsidRPr="003000D9">
        <w:rPr>
          <w:rFonts w:ascii="Segoe UI Light" w:hAnsi="Segoe UI Light"/>
          <w:i/>
          <w:iCs/>
          <w:sz w:val="12"/>
          <w:szCs w:val="12"/>
        </w:rPr>
        <w:t>Cedefop</w:t>
      </w:r>
      <w:proofErr w:type="spellEnd"/>
    </w:p>
    <w:p w14:paraId="2C571C03" w14:textId="77777777" w:rsidR="00A408E7" w:rsidRPr="003000D9" w:rsidRDefault="00A408E7" w:rsidP="00232506">
      <w:pPr>
        <w:pBdr>
          <w:top w:val="single" w:sz="4" w:space="6" w:color="auto" w:shadow="1"/>
          <w:left w:val="single" w:sz="4" w:space="6" w:color="auto" w:shadow="1"/>
          <w:bottom w:val="single" w:sz="4" w:space="0" w:color="auto" w:shadow="1"/>
          <w:right w:val="single" w:sz="4" w:space="6" w:color="auto" w:shadow="1"/>
        </w:pBdr>
        <w:shd w:val="clear" w:color="auto" w:fill="E5DFEC"/>
        <w:spacing w:after="60"/>
        <w:jc w:val="both"/>
        <w:rPr>
          <w:rFonts w:ascii="Segoe UI Light" w:hAnsi="Segoe UI Light"/>
          <w:bCs/>
          <w:sz w:val="4"/>
          <w:szCs w:val="4"/>
          <w:highlight w:val="yellow"/>
        </w:rPr>
      </w:pPr>
    </w:p>
    <w:p w14:paraId="24DA703D" w14:textId="216F7A67" w:rsidR="00A408E7" w:rsidRPr="001231A9" w:rsidRDefault="00590200" w:rsidP="4398C881">
      <w:pPr>
        <w:jc w:val="both"/>
        <w:rPr>
          <w:color w:val="000000"/>
          <w:highlight w:val="yellow"/>
        </w:rPr>
      </w:pPr>
      <w:r>
        <w:rPr>
          <w:color w:val="000000" w:themeColor="text1"/>
        </w:rPr>
        <w:br/>
      </w:r>
      <w:r w:rsidR="0665C32D" w:rsidRPr="4398C881">
        <w:rPr>
          <w:color w:val="000000" w:themeColor="text1"/>
        </w:rPr>
        <w:t>Līdz 2030. gadam nozīmīgākais darbaspēka samazinājums paredzams vecuma grupā</w:t>
      </w:r>
      <w:r w:rsidR="003000D9">
        <w:rPr>
          <w:color w:val="000000" w:themeColor="text1"/>
        </w:rPr>
        <w:t xml:space="preserve"> </w:t>
      </w:r>
      <w:r w:rsidR="0665C32D" w:rsidRPr="4398C881">
        <w:rPr>
          <w:color w:val="000000" w:themeColor="text1"/>
        </w:rPr>
        <w:t>no 25 līdz 34 gadiem. Galvenokārt tas saistāms ar 90. gadu zemās dzimstības izraisītās demogrāfiskās bedres ienākšanu atbilstošajā vecuma kohortā. Savukārt darbaspēka piedāvājums galvenokārt augs vecuma grupās 15-24 un 65-74, ko ietekmēs gan demogrāfiskās izmaiņas (iedzīvotāju skaita pieaugums attiecīgajā vecuma kohortā), gan ekonomiskās aktivitātes pieaugums.</w:t>
      </w:r>
    </w:p>
    <w:p w14:paraId="521EED5E" w14:textId="77777777" w:rsidR="003000D9" w:rsidRDefault="003000D9">
      <w:pPr>
        <w:spacing w:after="0"/>
        <w:rPr>
          <w:szCs w:val="26"/>
        </w:rPr>
      </w:pPr>
      <w:r>
        <w:rPr>
          <w:szCs w:val="26"/>
        </w:rPr>
        <w:br w:type="page"/>
      </w:r>
    </w:p>
    <w:p w14:paraId="6B10A322" w14:textId="68063B54" w:rsidR="00A408E7" w:rsidRPr="003E3CB0" w:rsidRDefault="00A408E7" w:rsidP="00C24E26">
      <w:pPr>
        <w:jc w:val="right"/>
        <w:rPr>
          <w:szCs w:val="26"/>
        </w:rPr>
      </w:pPr>
      <w:r w:rsidRPr="003E3CB0">
        <w:rPr>
          <w:szCs w:val="26"/>
        </w:rPr>
        <w:lastRenderedPageBreak/>
        <w:t>3.10. tabula</w:t>
      </w:r>
    </w:p>
    <w:p w14:paraId="784F3A6C" w14:textId="77777777" w:rsidR="00A408E7" w:rsidRPr="003E3CB0" w:rsidRDefault="00A408E7" w:rsidP="00C24E26">
      <w:pPr>
        <w:spacing w:after="120"/>
        <w:jc w:val="center"/>
        <w:rPr>
          <w:rFonts w:ascii="Segoe UI Light" w:hAnsi="Segoe UI Light"/>
          <w:i/>
          <w:color w:val="000000"/>
          <w:sz w:val="16"/>
          <w:szCs w:val="16"/>
        </w:rPr>
      </w:pPr>
      <w:r w:rsidRPr="003E3CB0">
        <w:rPr>
          <w:rFonts w:ascii="Segoe UI Light" w:hAnsi="Segoe UI Light"/>
          <w:b/>
          <w:color w:val="000000"/>
          <w:sz w:val="18"/>
          <w:szCs w:val="16"/>
        </w:rPr>
        <w:t>Ekonomiski aktīvo iedzīvotāju izmaiņas pa vecuma grupām</w:t>
      </w:r>
      <w:r w:rsidRPr="003E3CB0">
        <w:rPr>
          <w:rFonts w:ascii="Segoe UI Light" w:hAnsi="Segoe UI Light"/>
          <w:b/>
          <w:color w:val="000000"/>
          <w:sz w:val="18"/>
          <w:szCs w:val="16"/>
        </w:rPr>
        <w:br/>
      </w:r>
      <w:r w:rsidRPr="003E3CB0">
        <w:rPr>
          <w:rFonts w:ascii="Segoe UI Light" w:hAnsi="Segoe UI Light"/>
          <w:i/>
          <w:color w:val="000000"/>
          <w:sz w:val="16"/>
          <w:szCs w:val="16"/>
        </w:rPr>
        <w:t>tūkstošos</w:t>
      </w:r>
    </w:p>
    <w:tbl>
      <w:tblPr>
        <w:tblStyle w:val="GridTable5Dark-Accent31"/>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BACC6" w:themeFill="accent5"/>
        <w:tblLook w:val="0420" w:firstRow="1" w:lastRow="0" w:firstColumn="0" w:lastColumn="0" w:noHBand="0" w:noVBand="1"/>
      </w:tblPr>
      <w:tblGrid>
        <w:gridCol w:w="897"/>
        <w:gridCol w:w="904"/>
        <w:gridCol w:w="905"/>
        <w:gridCol w:w="914"/>
        <w:gridCol w:w="907"/>
        <w:gridCol w:w="913"/>
        <w:gridCol w:w="909"/>
        <w:gridCol w:w="918"/>
        <w:gridCol w:w="909"/>
        <w:gridCol w:w="896"/>
      </w:tblGrid>
      <w:tr w:rsidR="00343BAC" w:rsidRPr="003E3CB0" w14:paraId="14DFD805" w14:textId="77777777" w:rsidTr="003000D9">
        <w:trPr>
          <w:cnfStyle w:val="100000000000" w:firstRow="1" w:lastRow="0" w:firstColumn="0" w:lastColumn="0" w:oddVBand="0" w:evenVBand="0" w:oddHBand="0" w:evenHBand="0" w:firstRowFirstColumn="0" w:firstRowLastColumn="0" w:lastRowFirstColumn="0" w:lastRowLastColumn="0"/>
          <w:trHeight w:val="20"/>
        </w:trPr>
        <w:tc>
          <w:tcPr>
            <w:tcW w:w="494" w:type="pct"/>
            <w:shd w:val="clear" w:color="auto" w:fill="5F497A" w:themeFill="accent4" w:themeFillShade="BF"/>
            <w:vAlign w:val="center"/>
          </w:tcPr>
          <w:p w14:paraId="128130CE" w14:textId="77777777" w:rsidR="00A408E7" w:rsidRPr="003E3CB0" w:rsidRDefault="00A408E7" w:rsidP="00D209BD">
            <w:pPr>
              <w:spacing w:before="40" w:after="40"/>
              <w:jc w:val="center"/>
              <w:rPr>
                <w:rFonts w:ascii="Segoe UI Light" w:hAnsi="Segoe UI Light"/>
                <w:b w:val="0"/>
                <w:sz w:val="16"/>
                <w:szCs w:val="16"/>
              </w:rPr>
            </w:pPr>
          </w:p>
        </w:tc>
        <w:tc>
          <w:tcPr>
            <w:tcW w:w="1501" w:type="pct"/>
            <w:gridSpan w:val="3"/>
            <w:shd w:val="clear" w:color="auto" w:fill="5F497A" w:themeFill="accent4" w:themeFillShade="BF"/>
            <w:vAlign w:val="center"/>
          </w:tcPr>
          <w:p w14:paraId="013A1426" w14:textId="77777777" w:rsidR="00A408E7" w:rsidRPr="003E3CB0" w:rsidRDefault="00A408E7" w:rsidP="00D209BD">
            <w:pPr>
              <w:spacing w:before="40" w:after="40"/>
              <w:jc w:val="center"/>
              <w:rPr>
                <w:rFonts w:ascii="Segoe UI Light" w:hAnsi="Segoe UI Light"/>
                <w:sz w:val="16"/>
                <w:szCs w:val="16"/>
              </w:rPr>
            </w:pPr>
            <w:r w:rsidRPr="003E3CB0">
              <w:rPr>
                <w:rFonts w:ascii="Segoe UI Light" w:hAnsi="Segoe UI Light"/>
                <w:sz w:val="16"/>
                <w:szCs w:val="16"/>
              </w:rPr>
              <w:t>Ekonomiski aktīvo iedzīvotāju skaits</w:t>
            </w:r>
          </w:p>
        </w:tc>
        <w:tc>
          <w:tcPr>
            <w:tcW w:w="1003" w:type="pct"/>
            <w:gridSpan w:val="2"/>
            <w:shd w:val="clear" w:color="auto" w:fill="5F497A" w:themeFill="accent4" w:themeFillShade="BF"/>
            <w:vAlign w:val="center"/>
            <w:hideMark/>
          </w:tcPr>
          <w:p w14:paraId="2C23A9F5" w14:textId="77777777" w:rsidR="00A408E7" w:rsidRPr="003E3CB0" w:rsidRDefault="00A408E7" w:rsidP="00D209BD">
            <w:pPr>
              <w:spacing w:before="40" w:after="40"/>
              <w:jc w:val="center"/>
              <w:rPr>
                <w:rFonts w:ascii="Segoe UI Light" w:hAnsi="Segoe UI Light"/>
                <w:sz w:val="16"/>
                <w:szCs w:val="16"/>
              </w:rPr>
            </w:pPr>
            <w:r w:rsidRPr="003E3CB0">
              <w:rPr>
                <w:rFonts w:ascii="Segoe UI Light" w:hAnsi="Segoe UI Light"/>
                <w:sz w:val="16"/>
                <w:szCs w:val="16"/>
              </w:rPr>
              <w:t xml:space="preserve">Izmaiņas pret </w:t>
            </w:r>
            <w:r w:rsidRPr="003E3CB0">
              <w:rPr>
                <w:rFonts w:ascii="Segoe UI Light" w:hAnsi="Segoe UI Light"/>
                <w:sz w:val="16"/>
                <w:szCs w:val="16"/>
              </w:rPr>
              <w:br/>
              <w:t>2021 gadu</w:t>
            </w:r>
          </w:p>
        </w:tc>
        <w:tc>
          <w:tcPr>
            <w:tcW w:w="1007" w:type="pct"/>
            <w:gridSpan w:val="2"/>
            <w:shd w:val="clear" w:color="auto" w:fill="5F497A" w:themeFill="accent4" w:themeFillShade="BF"/>
            <w:vAlign w:val="center"/>
            <w:hideMark/>
          </w:tcPr>
          <w:p w14:paraId="6F3BDFAA" w14:textId="77777777" w:rsidR="00A408E7" w:rsidRPr="003E3CB0" w:rsidRDefault="00A408E7" w:rsidP="00D209BD">
            <w:pPr>
              <w:tabs>
                <w:tab w:val="decimal" w:pos="424"/>
              </w:tabs>
              <w:spacing w:before="40" w:after="40"/>
              <w:jc w:val="center"/>
              <w:rPr>
                <w:rFonts w:ascii="Segoe UI Light" w:hAnsi="Segoe UI Light"/>
                <w:sz w:val="16"/>
                <w:szCs w:val="16"/>
              </w:rPr>
            </w:pPr>
            <w:r w:rsidRPr="003E3CB0">
              <w:rPr>
                <w:rFonts w:ascii="Segoe UI Light" w:hAnsi="Segoe UI Light"/>
                <w:sz w:val="16"/>
                <w:szCs w:val="16"/>
              </w:rPr>
              <w:t>Līdzdalības līmeņa izmaiņu ietekme</w:t>
            </w:r>
            <w:r>
              <w:rPr>
                <w:rFonts w:ascii="Segoe UI Light" w:hAnsi="Segoe UI Light"/>
                <w:sz w:val="16"/>
                <w:szCs w:val="16"/>
              </w:rPr>
              <w:t xml:space="preserve"> </w:t>
            </w:r>
            <w:r w:rsidRPr="003E3CB0">
              <w:rPr>
                <w:rFonts w:ascii="Segoe UI Light" w:hAnsi="Segoe UI Light"/>
                <w:sz w:val="16"/>
                <w:szCs w:val="16"/>
              </w:rPr>
              <w:t xml:space="preserve">pret </w:t>
            </w:r>
            <w:r w:rsidRPr="003E3CB0">
              <w:rPr>
                <w:rFonts w:ascii="Segoe UI Light" w:hAnsi="Segoe UI Light"/>
                <w:sz w:val="16"/>
                <w:szCs w:val="16"/>
              </w:rPr>
              <w:br/>
              <w:t>2021 gadu</w:t>
            </w:r>
          </w:p>
        </w:tc>
        <w:tc>
          <w:tcPr>
            <w:tcW w:w="995" w:type="pct"/>
            <w:gridSpan w:val="2"/>
            <w:shd w:val="clear" w:color="auto" w:fill="5F497A" w:themeFill="accent4" w:themeFillShade="BF"/>
            <w:vAlign w:val="center"/>
            <w:hideMark/>
          </w:tcPr>
          <w:p w14:paraId="670062EC" w14:textId="77777777" w:rsidR="00A408E7" w:rsidRPr="003E3CB0" w:rsidRDefault="00A408E7" w:rsidP="00D209BD">
            <w:pPr>
              <w:tabs>
                <w:tab w:val="decimal" w:pos="472"/>
              </w:tabs>
              <w:spacing w:before="40" w:after="40"/>
              <w:jc w:val="center"/>
              <w:rPr>
                <w:rFonts w:ascii="Segoe UI Light" w:hAnsi="Segoe UI Light"/>
                <w:sz w:val="16"/>
                <w:szCs w:val="16"/>
              </w:rPr>
            </w:pPr>
            <w:r w:rsidRPr="003E3CB0">
              <w:rPr>
                <w:rFonts w:ascii="Segoe UI Light" w:hAnsi="Segoe UI Light"/>
                <w:sz w:val="16"/>
                <w:szCs w:val="16"/>
              </w:rPr>
              <w:t xml:space="preserve">Demogrāfijas izmaiņu ietekme pret </w:t>
            </w:r>
            <w:r w:rsidRPr="003E3CB0">
              <w:rPr>
                <w:rFonts w:ascii="Segoe UI Light" w:hAnsi="Segoe UI Light"/>
                <w:sz w:val="16"/>
                <w:szCs w:val="16"/>
              </w:rPr>
              <w:br/>
              <w:t>2021 gadu</w:t>
            </w:r>
          </w:p>
        </w:tc>
      </w:tr>
      <w:tr w:rsidR="00343BAC" w:rsidRPr="003E3CB0" w14:paraId="2686484A" w14:textId="77777777" w:rsidTr="003000D9">
        <w:trPr>
          <w:cnfStyle w:val="000000100000" w:firstRow="0" w:lastRow="0" w:firstColumn="0" w:lastColumn="0" w:oddVBand="0" w:evenVBand="0" w:oddHBand="1" w:evenHBand="0" w:firstRowFirstColumn="0" w:firstRowLastColumn="0" w:lastRowFirstColumn="0" w:lastRowLastColumn="0"/>
          <w:trHeight w:val="20"/>
        </w:trPr>
        <w:tc>
          <w:tcPr>
            <w:tcW w:w="494" w:type="pct"/>
            <w:shd w:val="clear" w:color="auto" w:fill="5F497A" w:themeFill="accent4" w:themeFillShade="BF"/>
            <w:vAlign w:val="center"/>
          </w:tcPr>
          <w:p w14:paraId="6A6EFAF3" w14:textId="77777777" w:rsidR="00A408E7" w:rsidRPr="003E3CB0" w:rsidRDefault="00A408E7" w:rsidP="00D209BD">
            <w:pPr>
              <w:spacing w:before="40" w:after="40"/>
              <w:jc w:val="center"/>
              <w:rPr>
                <w:rFonts w:ascii="Segoe UI Light" w:hAnsi="Segoe UI Light"/>
                <w:bCs/>
                <w:color w:val="FFFFFF"/>
                <w:sz w:val="16"/>
                <w:szCs w:val="16"/>
              </w:rPr>
            </w:pPr>
          </w:p>
        </w:tc>
        <w:tc>
          <w:tcPr>
            <w:tcW w:w="498" w:type="pct"/>
            <w:shd w:val="clear" w:color="auto" w:fill="5F497A" w:themeFill="accent4" w:themeFillShade="BF"/>
            <w:vAlign w:val="center"/>
            <w:hideMark/>
          </w:tcPr>
          <w:p w14:paraId="3E9E32E4" w14:textId="77777777" w:rsidR="00A408E7" w:rsidRPr="003E3CB0" w:rsidRDefault="00A408E7" w:rsidP="00D209BD">
            <w:pPr>
              <w:tabs>
                <w:tab w:val="decimal" w:pos="545"/>
              </w:tabs>
              <w:spacing w:before="40" w:after="40"/>
              <w:jc w:val="center"/>
              <w:rPr>
                <w:rFonts w:ascii="Segoe UI Light" w:hAnsi="Segoe UI Light"/>
                <w:b/>
                <w:bCs/>
                <w:color w:val="FFFFFF"/>
                <w:sz w:val="16"/>
                <w:szCs w:val="16"/>
              </w:rPr>
            </w:pPr>
            <w:r w:rsidRPr="003E3CB0">
              <w:rPr>
                <w:rFonts w:ascii="Segoe UI Light" w:hAnsi="Segoe UI Light"/>
                <w:b/>
                <w:color w:val="FFFFFF"/>
                <w:sz w:val="16"/>
                <w:szCs w:val="16"/>
              </w:rPr>
              <w:t>2021</w:t>
            </w:r>
          </w:p>
        </w:tc>
        <w:tc>
          <w:tcPr>
            <w:tcW w:w="499" w:type="pct"/>
            <w:shd w:val="clear" w:color="auto" w:fill="5F497A" w:themeFill="accent4" w:themeFillShade="BF"/>
            <w:vAlign w:val="center"/>
            <w:hideMark/>
          </w:tcPr>
          <w:p w14:paraId="56131CE8" w14:textId="77777777" w:rsidR="00A408E7" w:rsidRPr="003E3CB0" w:rsidRDefault="00A408E7" w:rsidP="00D209BD">
            <w:pPr>
              <w:tabs>
                <w:tab w:val="decimal" w:pos="545"/>
              </w:tabs>
              <w:spacing w:before="40" w:after="40"/>
              <w:jc w:val="center"/>
              <w:rPr>
                <w:rFonts w:ascii="Segoe UI Light" w:hAnsi="Segoe UI Light"/>
                <w:b/>
                <w:bCs/>
                <w:color w:val="FFFFFF"/>
                <w:sz w:val="16"/>
                <w:szCs w:val="16"/>
              </w:rPr>
            </w:pPr>
            <w:r w:rsidRPr="003E3CB0">
              <w:rPr>
                <w:rFonts w:ascii="Segoe UI Light" w:hAnsi="Segoe UI Light"/>
                <w:b/>
                <w:bCs/>
                <w:color w:val="FFFFFF"/>
                <w:sz w:val="16"/>
                <w:szCs w:val="16"/>
              </w:rPr>
              <w:t>2030</w:t>
            </w:r>
          </w:p>
        </w:tc>
        <w:tc>
          <w:tcPr>
            <w:tcW w:w="504" w:type="pct"/>
            <w:shd w:val="clear" w:color="auto" w:fill="5F497A" w:themeFill="accent4" w:themeFillShade="BF"/>
            <w:vAlign w:val="center"/>
            <w:hideMark/>
          </w:tcPr>
          <w:p w14:paraId="3648E672" w14:textId="77777777" w:rsidR="00A408E7" w:rsidRPr="003E3CB0" w:rsidRDefault="00A408E7" w:rsidP="00D209BD">
            <w:pPr>
              <w:tabs>
                <w:tab w:val="decimal" w:pos="545"/>
              </w:tabs>
              <w:spacing w:before="40" w:after="40"/>
              <w:jc w:val="center"/>
              <w:rPr>
                <w:rFonts w:ascii="Segoe UI Light" w:hAnsi="Segoe UI Light"/>
                <w:b/>
                <w:color w:val="FFFFFF"/>
                <w:sz w:val="16"/>
                <w:szCs w:val="16"/>
              </w:rPr>
            </w:pPr>
            <w:r w:rsidRPr="003E3CB0">
              <w:rPr>
                <w:rFonts w:ascii="Segoe UI Light" w:hAnsi="Segoe UI Light"/>
                <w:b/>
                <w:color w:val="FFFFFF"/>
                <w:sz w:val="16"/>
                <w:szCs w:val="16"/>
              </w:rPr>
              <w:t>2040</w:t>
            </w:r>
          </w:p>
        </w:tc>
        <w:tc>
          <w:tcPr>
            <w:tcW w:w="500" w:type="pct"/>
            <w:shd w:val="clear" w:color="auto" w:fill="5F497A" w:themeFill="accent4" w:themeFillShade="BF"/>
            <w:vAlign w:val="center"/>
            <w:hideMark/>
          </w:tcPr>
          <w:p w14:paraId="25BD680D" w14:textId="77777777" w:rsidR="00A408E7" w:rsidRPr="003E3CB0" w:rsidRDefault="00A408E7" w:rsidP="00D209BD">
            <w:pPr>
              <w:tabs>
                <w:tab w:val="decimal" w:pos="545"/>
              </w:tabs>
              <w:spacing w:before="40" w:after="40"/>
              <w:jc w:val="center"/>
              <w:rPr>
                <w:rFonts w:ascii="Segoe UI Light" w:hAnsi="Segoe UI Light"/>
                <w:b/>
                <w:bCs/>
                <w:color w:val="FFFFFF"/>
                <w:sz w:val="16"/>
                <w:szCs w:val="16"/>
              </w:rPr>
            </w:pPr>
            <w:r w:rsidRPr="003E3CB0">
              <w:rPr>
                <w:rFonts w:ascii="Segoe UI Light" w:hAnsi="Segoe UI Light"/>
                <w:b/>
                <w:bCs/>
                <w:color w:val="FFFFFF"/>
                <w:sz w:val="16"/>
                <w:szCs w:val="16"/>
              </w:rPr>
              <w:t>2030</w:t>
            </w:r>
          </w:p>
        </w:tc>
        <w:tc>
          <w:tcPr>
            <w:tcW w:w="503" w:type="pct"/>
            <w:shd w:val="clear" w:color="auto" w:fill="5F497A" w:themeFill="accent4" w:themeFillShade="BF"/>
            <w:vAlign w:val="center"/>
            <w:hideMark/>
          </w:tcPr>
          <w:p w14:paraId="6E4D7CE2" w14:textId="77777777" w:rsidR="00A408E7" w:rsidRPr="003E3CB0" w:rsidRDefault="00A408E7" w:rsidP="00D209BD">
            <w:pPr>
              <w:tabs>
                <w:tab w:val="decimal" w:pos="545"/>
              </w:tabs>
              <w:spacing w:before="40" w:after="40"/>
              <w:jc w:val="center"/>
              <w:rPr>
                <w:rFonts w:ascii="Segoe UI Light" w:hAnsi="Segoe UI Light"/>
                <w:b/>
                <w:color w:val="FFFFFF"/>
                <w:sz w:val="16"/>
                <w:szCs w:val="16"/>
              </w:rPr>
            </w:pPr>
            <w:r w:rsidRPr="003E3CB0">
              <w:rPr>
                <w:rFonts w:ascii="Segoe UI Light" w:hAnsi="Segoe UI Light"/>
                <w:b/>
                <w:color w:val="FFFFFF"/>
                <w:sz w:val="16"/>
                <w:szCs w:val="16"/>
              </w:rPr>
              <w:t>2040</w:t>
            </w:r>
          </w:p>
        </w:tc>
        <w:tc>
          <w:tcPr>
            <w:tcW w:w="501" w:type="pct"/>
            <w:shd w:val="clear" w:color="auto" w:fill="5F497A" w:themeFill="accent4" w:themeFillShade="BF"/>
            <w:vAlign w:val="center"/>
            <w:hideMark/>
          </w:tcPr>
          <w:p w14:paraId="2DBCD2DA" w14:textId="77777777" w:rsidR="00A408E7" w:rsidRPr="003E3CB0" w:rsidRDefault="00A408E7" w:rsidP="00D209BD">
            <w:pPr>
              <w:tabs>
                <w:tab w:val="decimal" w:pos="545"/>
              </w:tabs>
              <w:spacing w:before="40" w:after="40"/>
              <w:jc w:val="center"/>
              <w:rPr>
                <w:rFonts w:ascii="Segoe UI Light" w:hAnsi="Segoe UI Light"/>
                <w:b/>
                <w:bCs/>
                <w:color w:val="FFFFFF"/>
                <w:sz w:val="16"/>
                <w:szCs w:val="16"/>
              </w:rPr>
            </w:pPr>
            <w:r w:rsidRPr="003E3CB0">
              <w:rPr>
                <w:rFonts w:ascii="Segoe UI Light" w:hAnsi="Segoe UI Light"/>
                <w:b/>
                <w:bCs/>
                <w:color w:val="FFFFFF"/>
                <w:sz w:val="16"/>
                <w:szCs w:val="16"/>
              </w:rPr>
              <w:t>2030</w:t>
            </w:r>
          </w:p>
        </w:tc>
        <w:tc>
          <w:tcPr>
            <w:tcW w:w="506" w:type="pct"/>
            <w:shd w:val="clear" w:color="auto" w:fill="5F497A" w:themeFill="accent4" w:themeFillShade="BF"/>
            <w:vAlign w:val="center"/>
            <w:hideMark/>
          </w:tcPr>
          <w:p w14:paraId="3FF1CCA3" w14:textId="77777777" w:rsidR="00A408E7" w:rsidRPr="003E3CB0" w:rsidRDefault="00A408E7" w:rsidP="00D209BD">
            <w:pPr>
              <w:tabs>
                <w:tab w:val="decimal" w:pos="545"/>
              </w:tabs>
              <w:spacing w:before="40" w:after="40"/>
              <w:jc w:val="center"/>
              <w:rPr>
                <w:rFonts w:ascii="Segoe UI Light" w:hAnsi="Segoe UI Light"/>
                <w:b/>
                <w:color w:val="FFFFFF"/>
                <w:sz w:val="16"/>
                <w:szCs w:val="16"/>
              </w:rPr>
            </w:pPr>
            <w:r w:rsidRPr="003E3CB0">
              <w:rPr>
                <w:rFonts w:ascii="Segoe UI Light" w:hAnsi="Segoe UI Light"/>
                <w:b/>
                <w:color w:val="FFFFFF"/>
                <w:sz w:val="16"/>
                <w:szCs w:val="16"/>
              </w:rPr>
              <w:t>2040</w:t>
            </w:r>
          </w:p>
        </w:tc>
        <w:tc>
          <w:tcPr>
            <w:tcW w:w="501" w:type="pct"/>
            <w:shd w:val="clear" w:color="auto" w:fill="5F497A" w:themeFill="accent4" w:themeFillShade="BF"/>
            <w:vAlign w:val="center"/>
            <w:hideMark/>
          </w:tcPr>
          <w:p w14:paraId="3A446215" w14:textId="77777777" w:rsidR="00A408E7" w:rsidRPr="003E3CB0" w:rsidRDefault="00A408E7" w:rsidP="00D209BD">
            <w:pPr>
              <w:tabs>
                <w:tab w:val="decimal" w:pos="545"/>
              </w:tabs>
              <w:spacing w:before="40" w:after="40"/>
              <w:jc w:val="center"/>
              <w:rPr>
                <w:rFonts w:ascii="Segoe UI Light" w:hAnsi="Segoe UI Light"/>
                <w:b/>
                <w:bCs/>
                <w:color w:val="FFFFFF"/>
                <w:sz w:val="16"/>
                <w:szCs w:val="16"/>
              </w:rPr>
            </w:pPr>
            <w:r w:rsidRPr="003E3CB0">
              <w:rPr>
                <w:rFonts w:ascii="Segoe UI Light" w:hAnsi="Segoe UI Light"/>
                <w:b/>
                <w:bCs/>
                <w:color w:val="FFFFFF"/>
                <w:sz w:val="16"/>
                <w:szCs w:val="16"/>
              </w:rPr>
              <w:t>2030</w:t>
            </w:r>
          </w:p>
        </w:tc>
        <w:tc>
          <w:tcPr>
            <w:tcW w:w="494" w:type="pct"/>
            <w:shd w:val="clear" w:color="auto" w:fill="5F497A" w:themeFill="accent4" w:themeFillShade="BF"/>
            <w:vAlign w:val="center"/>
            <w:hideMark/>
          </w:tcPr>
          <w:p w14:paraId="6C738370" w14:textId="77777777" w:rsidR="00A408E7" w:rsidRPr="003E3CB0" w:rsidRDefault="00A408E7" w:rsidP="00D209BD">
            <w:pPr>
              <w:tabs>
                <w:tab w:val="decimal" w:pos="545"/>
              </w:tabs>
              <w:spacing w:before="40" w:after="40"/>
              <w:jc w:val="center"/>
              <w:rPr>
                <w:rFonts w:ascii="Segoe UI Light" w:hAnsi="Segoe UI Light"/>
                <w:b/>
                <w:color w:val="FFFFFF"/>
                <w:sz w:val="16"/>
                <w:szCs w:val="16"/>
              </w:rPr>
            </w:pPr>
            <w:r w:rsidRPr="003E3CB0">
              <w:rPr>
                <w:rFonts w:ascii="Segoe UI Light" w:hAnsi="Segoe UI Light"/>
                <w:b/>
                <w:color w:val="FFFFFF"/>
                <w:sz w:val="16"/>
                <w:szCs w:val="16"/>
              </w:rPr>
              <w:t>2040</w:t>
            </w:r>
          </w:p>
        </w:tc>
      </w:tr>
      <w:tr w:rsidR="00343BAC" w:rsidRPr="003E3CB0" w14:paraId="63EC97E7" w14:textId="77777777" w:rsidTr="003000D9">
        <w:trPr>
          <w:trHeight w:val="20"/>
        </w:trPr>
        <w:tc>
          <w:tcPr>
            <w:tcW w:w="494" w:type="pct"/>
            <w:shd w:val="clear" w:color="auto" w:fill="E5DFEC" w:themeFill="accent4" w:themeFillTint="33"/>
            <w:hideMark/>
          </w:tcPr>
          <w:p w14:paraId="0890083E" w14:textId="77777777" w:rsidR="00A408E7" w:rsidRPr="003E3CB0" w:rsidRDefault="00A408E7" w:rsidP="00D209BD">
            <w:pPr>
              <w:spacing w:before="40" w:after="40"/>
              <w:rPr>
                <w:rFonts w:ascii="Segoe UI Light" w:hAnsi="Segoe UI Light"/>
                <w:b/>
                <w:sz w:val="16"/>
                <w:szCs w:val="16"/>
              </w:rPr>
            </w:pPr>
            <w:r w:rsidRPr="003E3CB0">
              <w:rPr>
                <w:rFonts w:ascii="Segoe UI Light" w:hAnsi="Segoe UI Light"/>
                <w:b/>
                <w:bCs/>
                <w:sz w:val="16"/>
                <w:szCs w:val="16"/>
              </w:rPr>
              <w:t>Kopā</w:t>
            </w:r>
          </w:p>
        </w:tc>
        <w:tc>
          <w:tcPr>
            <w:tcW w:w="498" w:type="pct"/>
            <w:shd w:val="clear" w:color="auto" w:fill="E5DFEC" w:themeFill="accent4" w:themeFillTint="33"/>
            <w:hideMark/>
          </w:tcPr>
          <w:p w14:paraId="1898DF55" w14:textId="1154BB74"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934</w:t>
            </w:r>
            <w:r>
              <w:rPr>
                <w:rFonts w:ascii="Segoe UI Light" w:hAnsi="Segoe UI Light"/>
                <w:b/>
                <w:color w:val="000000"/>
                <w:sz w:val="16"/>
                <w:szCs w:val="16"/>
              </w:rPr>
              <w:t>,</w:t>
            </w:r>
            <w:r w:rsidRPr="003E3CB0">
              <w:rPr>
                <w:rFonts w:ascii="Segoe UI Light" w:hAnsi="Segoe UI Light"/>
                <w:b/>
                <w:color w:val="000000"/>
                <w:sz w:val="16"/>
                <w:szCs w:val="16"/>
              </w:rPr>
              <w:t>6</w:t>
            </w:r>
          </w:p>
        </w:tc>
        <w:tc>
          <w:tcPr>
            <w:tcW w:w="499" w:type="pct"/>
            <w:shd w:val="clear" w:color="auto" w:fill="E5DFEC" w:themeFill="accent4" w:themeFillTint="33"/>
            <w:hideMark/>
          </w:tcPr>
          <w:p w14:paraId="3BBC8B2F" w14:textId="1E9FE6B7"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942</w:t>
            </w:r>
            <w:r>
              <w:rPr>
                <w:rFonts w:ascii="Segoe UI Light" w:hAnsi="Segoe UI Light"/>
                <w:b/>
                <w:color w:val="000000"/>
                <w:sz w:val="16"/>
                <w:szCs w:val="16"/>
              </w:rPr>
              <w:t>,</w:t>
            </w:r>
            <w:r w:rsidRPr="003E3CB0">
              <w:rPr>
                <w:rFonts w:ascii="Segoe UI Light" w:hAnsi="Segoe UI Light"/>
                <w:b/>
                <w:color w:val="000000"/>
                <w:sz w:val="16"/>
                <w:szCs w:val="16"/>
              </w:rPr>
              <w:t>8</w:t>
            </w:r>
          </w:p>
        </w:tc>
        <w:tc>
          <w:tcPr>
            <w:tcW w:w="504" w:type="pct"/>
            <w:shd w:val="clear" w:color="auto" w:fill="E5DFEC" w:themeFill="accent4" w:themeFillTint="33"/>
            <w:hideMark/>
          </w:tcPr>
          <w:p w14:paraId="4B34529B" w14:textId="208D181C"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924</w:t>
            </w:r>
            <w:r>
              <w:rPr>
                <w:rFonts w:ascii="Segoe UI Light" w:hAnsi="Segoe UI Light"/>
                <w:b/>
                <w:color w:val="000000"/>
                <w:sz w:val="16"/>
                <w:szCs w:val="16"/>
              </w:rPr>
              <w:t>,</w:t>
            </w:r>
            <w:r w:rsidRPr="003E3CB0">
              <w:rPr>
                <w:rFonts w:ascii="Segoe UI Light" w:hAnsi="Segoe UI Light"/>
                <w:b/>
                <w:color w:val="000000"/>
                <w:sz w:val="16"/>
                <w:szCs w:val="16"/>
              </w:rPr>
              <w:t>6</w:t>
            </w:r>
          </w:p>
        </w:tc>
        <w:tc>
          <w:tcPr>
            <w:tcW w:w="500" w:type="pct"/>
            <w:shd w:val="clear" w:color="auto" w:fill="E5DFEC" w:themeFill="accent4" w:themeFillTint="33"/>
            <w:hideMark/>
          </w:tcPr>
          <w:p w14:paraId="3151D78E" w14:textId="14003865"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8</w:t>
            </w:r>
            <w:r>
              <w:rPr>
                <w:rFonts w:ascii="Segoe UI Light" w:hAnsi="Segoe UI Light"/>
                <w:b/>
                <w:color w:val="000000"/>
                <w:sz w:val="16"/>
                <w:szCs w:val="16"/>
              </w:rPr>
              <w:t>,</w:t>
            </w:r>
            <w:r w:rsidRPr="003E3CB0">
              <w:rPr>
                <w:rFonts w:ascii="Segoe UI Light" w:hAnsi="Segoe UI Light"/>
                <w:b/>
                <w:color w:val="000000"/>
                <w:sz w:val="16"/>
                <w:szCs w:val="16"/>
              </w:rPr>
              <w:t>1</w:t>
            </w:r>
          </w:p>
        </w:tc>
        <w:tc>
          <w:tcPr>
            <w:tcW w:w="503" w:type="pct"/>
            <w:shd w:val="clear" w:color="auto" w:fill="E5DFEC" w:themeFill="accent4" w:themeFillTint="33"/>
            <w:hideMark/>
          </w:tcPr>
          <w:p w14:paraId="2BC734DC" w14:textId="3A8C43E6"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-10</w:t>
            </w:r>
            <w:r>
              <w:rPr>
                <w:rFonts w:ascii="Segoe UI Light" w:hAnsi="Segoe UI Light"/>
                <w:b/>
                <w:color w:val="000000"/>
                <w:sz w:val="16"/>
                <w:szCs w:val="16"/>
              </w:rPr>
              <w:t>,</w:t>
            </w:r>
            <w:r w:rsidRPr="003E3CB0">
              <w:rPr>
                <w:rFonts w:ascii="Segoe UI Light" w:hAnsi="Segoe UI Light"/>
                <w:b/>
                <w:color w:val="000000"/>
                <w:sz w:val="16"/>
                <w:szCs w:val="16"/>
              </w:rPr>
              <w:t>0</w:t>
            </w:r>
          </w:p>
        </w:tc>
        <w:tc>
          <w:tcPr>
            <w:tcW w:w="501" w:type="pct"/>
            <w:shd w:val="clear" w:color="auto" w:fill="E5DFEC" w:themeFill="accent4" w:themeFillTint="33"/>
            <w:hideMark/>
          </w:tcPr>
          <w:p w14:paraId="1443A056" w14:textId="02BF09D1"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91</w:t>
            </w:r>
            <w:r>
              <w:rPr>
                <w:rFonts w:ascii="Segoe UI Light" w:hAnsi="Segoe UI Light"/>
                <w:b/>
                <w:color w:val="000000"/>
                <w:sz w:val="16"/>
                <w:szCs w:val="16"/>
              </w:rPr>
              <w:t>,</w:t>
            </w:r>
            <w:r w:rsidRPr="003E3CB0">
              <w:rPr>
                <w:rFonts w:ascii="Segoe UI Light" w:hAnsi="Segoe UI Light"/>
                <w:b/>
                <w:color w:val="000000"/>
                <w:sz w:val="16"/>
                <w:szCs w:val="16"/>
              </w:rPr>
              <w:t>1</w:t>
            </w:r>
          </w:p>
        </w:tc>
        <w:tc>
          <w:tcPr>
            <w:tcW w:w="506" w:type="pct"/>
            <w:shd w:val="clear" w:color="auto" w:fill="E5DFEC" w:themeFill="accent4" w:themeFillTint="33"/>
            <w:hideMark/>
          </w:tcPr>
          <w:p w14:paraId="016AB081" w14:textId="6C66D87C"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104</w:t>
            </w:r>
            <w:r>
              <w:rPr>
                <w:rFonts w:ascii="Segoe UI Light" w:hAnsi="Segoe UI Light"/>
                <w:b/>
                <w:color w:val="000000"/>
                <w:sz w:val="16"/>
                <w:szCs w:val="16"/>
              </w:rPr>
              <w:t>,</w:t>
            </w:r>
            <w:r w:rsidRPr="003E3CB0">
              <w:rPr>
                <w:rFonts w:ascii="Segoe UI Light" w:hAnsi="Segoe UI Light"/>
                <w:b/>
                <w:color w:val="000000"/>
                <w:sz w:val="16"/>
                <w:szCs w:val="16"/>
              </w:rPr>
              <w:t>3</w:t>
            </w:r>
          </w:p>
        </w:tc>
        <w:tc>
          <w:tcPr>
            <w:tcW w:w="501" w:type="pct"/>
            <w:shd w:val="clear" w:color="auto" w:fill="E5DFEC" w:themeFill="accent4" w:themeFillTint="33"/>
            <w:hideMark/>
          </w:tcPr>
          <w:p w14:paraId="7501ED3F" w14:textId="56A3307B"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-83</w:t>
            </w:r>
            <w:r>
              <w:rPr>
                <w:rFonts w:ascii="Segoe UI Light" w:hAnsi="Segoe UI Light"/>
                <w:b/>
                <w:color w:val="000000"/>
                <w:sz w:val="16"/>
                <w:szCs w:val="16"/>
              </w:rPr>
              <w:t>,</w:t>
            </w:r>
            <w:r w:rsidRPr="003E3CB0">
              <w:rPr>
                <w:rFonts w:ascii="Segoe UI Light" w:hAnsi="Segoe UI Light"/>
                <w:b/>
                <w:color w:val="000000"/>
                <w:sz w:val="16"/>
                <w:szCs w:val="16"/>
              </w:rPr>
              <w:t>0</w:t>
            </w:r>
          </w:p>
        </w:tc>
        <w:tc>
          <w:tcPr>
            <w:tcW w:w="494" w:type="pct"/>
            <w:shd w:val="clear" w:color="auto" w:fill="E5DFEC" w:themeFill="accent4" w:themeFillTint="33"/>
            <w:hideMark/>
          </w:tcPr>
          <w:p w14:paraId="65F7866B" w14:textId="6BE6D107" w:rsidR="00A408E7" w:rsidRPr="003E3CB0" w:rsidRDefault="00A408E7" w:rsidP="00D209BD">
            <w:pPr>
              <w:tabs>
                <w:tab w:val="decimal" w:pos="462"/>
              </w:tabs>
              <w:spacing w:before="40" w:after="40"/>
              <w:jc w:val="center"/>
              <w:rPr>
                <w:rFonts w:ascii="Segoe UI Light" w:hAnsi="Segoe UI Light"/>
                <w:b/>
                <w:color w:val="000000"/>
                <w:sz w:val="16"/>
                <w:szCs w:val="16"/>
              </w:rPr>
            </w:pPr>
            <w:r w:rsidRPr="003E3CB0">
              <w:rPr>
                <w:rFonts w:ascii="Segoe UI Light" w:hAnsi="Segoe UI Light"/>
                <w:b/>
                <w:color w:val="000000"/>
                <w:sz w:val="16"/>
                <w:szCs w:val="16"/>
              </w:rPr>
              <w:t>-114</w:t>
            </w:r>
            <w:r>
              <w:rPr>
                <w:rFonts w:ascii="Segoe UI Light" w:hAnsi="Segoe UI Light"/>
                <w:b/>
                <w:color w:val="000000"/>
                <w:sz w:val="16"/>
                <w:szCs w:val="16"/>
              </w:rPr>
              <w:t>,</w:t>
            </w:r>
            <w:r w:rsidRPr="003E3CB0">
              <w:rPr>
                <w:rFonts w:ascii="Segoe UI Light" w:hAnsi="Segoe UI Light"/>
                <w:b/>
                <w:color w:val="000000"/>
                <w:sz w:val="16"/>
                <w:szCs w:val="16"/>
              </w:rPr>
              <w:t>3</w:t>
            </w:r>
          </w:p>
        </w:tc>
      </w:tr>
      <w:tr w:rsidR="00343BAC" w:rsidRPr="003E3CB0" w14:paraId="6A715A8B" w14:textId="77777777" w:rsidTr="00D209BD">
        <w:trPr>
          <w:cnfStyle w:val="000000100000" w:firstRow="0" w:lastRow="0" w:firstColumn="0" w:lastColumn="0" w:oddVBand="0" w:evenVBand="0" w:oddHBand="1" w:evenHBand="0" w:firstRowFirstColumn="0" w:firstRowLastColumn="0" w:lastRowFirstColumn="0" w:lastRowLastColumn="0"/>
          <w:trHeight w:val="20"/>
        </w:trPr>
        <w:tc>
          <w:tcPr>
            <w:tcW w:w="494" w:type="pct"/>
            <w:shd w:val="clear" w:color="auto" w:fill="CCC0D9" w:themeFill="accent4" w:themeFillTint="66"/>
            <w:hideMark/>
          </w:tcPr>
          <w:p w14:paraId="068C5B61"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15-24</w:t>
            </w:r>
          </w:p>
        </w:tc>
        <w:tc>
          <w:tcPr>
            <w:tcW w:w="498" w:type="pct"/>
            <w:shd w:val="clear" w:color="auto" w:fill="CCC0D9" w:themeFill="accent4" w:themeFillTint="66"/>
            <w:hideMark/>
          </w:tcPr>
          <w:p w14:paraId="519A3F46" w14:textId="1422CB1B"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56</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499" w:type="pct"/>
            <w:shd w:val="clear" w:color="auto" w:fill="CCC0D9" w:themeFill="accent4" w:themeFillTint="66"/>
            <w:hideMark/>
          </w:tcPr>
          <w:p w14:paraId="257A529F" w14:textId="61BD1C6C"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77</w:t>
            </w:r>
            <w:r>
              <w:rPr>
                <w:rFonts w:ascii="Segoe UI Light" w:hAnsi="Segoe UI Light"/>
                <w:bCs/>
                <w:color w:val="000000"/>
                <w:sz w:val="16"/>
                <w:szCs w:val="16"/>
              </w:rPr>
              <w:t>,</w:t>
            </w:r>
            <w:r w:rsidRPr="003E3CB0">
              <w:rPr>
                <w:rFonts w:ascii="Segoe UI Light" w:hAnsi="Segoe UI Light"/>
                <w:bCs/>
                <w:color w:val="000000"/>
                <w:sz w:val="16"/>
                <w:szCs w:val="16"/>
              </w:rPr>
              <w:t>5</w:t>
            </w:r>
          </w:p>
        </w:tc>
        <w:tc>
          <w:tcPr>
            <w:tcW w:w="504" w:type="pct"/>
            <w:shd w:val="clear" w:color="auto" w:fill="CCC0D9" w:themeFill="accent4" w:themeFillTint="66"/>
            <w:hideMark/>
          </w:tcPr>
          <w:p w14:paraId="60C070B5" w14:textId="04523D7B"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81</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0" w:type="pct"/>
            <w:shd w:val="clear" w:color="auto" w:fill="CCC0D9" w:themeFill="accent4" w:themeFillTint="66"/>
            <w:hideMark/>
          </w:tcPr>
          <w:p w14:paraId="51B0AC84" w14:textId="34A44313"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21</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3" w:type="pct"/>
            <w:shd w:val="clear" w:color="auto" w:fill="CCC0D9" w:themeFill="accent4" w:themeFillTint="66"/>
            <w:hideMark/>
          </w:tcPr>
          <w:p w14:paraId="01D718DA" w14:textId="5993886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24</w:t>
            </w:r>
            <w:r>
              <w:rPr>
                <w:rFonts w:ascii="Segoe UI Light" w:hAnsi="Segoe UI Light"/>
                <w:bCs/>
                <w:color w:val="000000"/>
                <w:sz w:val="16"/>
                <w:szCs w:val="16"/>
              </w:rPr>
              <w:t>,</w:t>
            </w:r>
            <w:r w:rsidRPr="003E3CB0">
              <w:rPr>
                <w:rFonts w:ascii="Segoe UI Light" w:hAnsi="Segoe UI Light"/>
                <w:bCs/>
                <w:color w:val="000000"/>
                <w:sz w:val="16"/>
                <w:szCs w:val="16"/>
              </w:rPr>
              <w:t>9</w:t>
            </w:r>
          </w:p>
        </w:tc>
        <w:tc>
          <w:tcPr>
            <w:tcW w:w="501" w:type="pct"/>
            <w:shd w:val="clear" w:color="auto" w:fill="CCC0D9" w:themeFill="accent4" w:themeFillTint="66"/>
            <w:hideMark/>
          </w:tcPr>
          <w:p w14:paraId="33E10EF4" w14:textId="56DA059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11</w:t>
            </w:r>
            <w:r>
              <w:rPr>
                <w:rFonts w:ascii="Segoe UI Light" w:hAnsi="Segoe UI Light"/>
                <w:bCs/>
                <w:color w:val="000000"/>
                <w:sz w:val="16"/>
                <w:szCs w:val="16"/>
              </w:rPr>
              <w:t>,</w:t>
            </w:r>
            <w:r w:rsidRPr="003E3CB0">
              <w:rPr>
                <w:rFonts w:ascii="Segoe UI Light" w:hAnsi="Segoe UI Light"/>
                <w:bCs/>
                <w:color w:val="000000"/>
                <w:sz w:val="16"/>
                <w:szCs w:val="16"/>
              </w:rPr>
              <w:t>0</w:t>
            </w:r>
          </w:p>
        </w:tc>
        <w:tc>
          <w:tcPr>
            <w:tcW w:w="506" w:type="pct"/>
            <w:shd w:val="clear" w:color="auto" w:fill="CCC0D9" w:themeFill="accent4" w:themeFillTint="66"/>
            <w:hideMark/>
          </w:tcPr>
          <w:p w14:paraId="5C07837A" w14:textId="127A96C7"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14</w:t>
            </w:r>
            <w:r>
              <w:rPr>
                <w:rFonts w:ascii="Segoe UI Light" w:hAnsi="Segoe UI Light"/>
                <w:bCs/>
                <w:color w:val="000000"/>
                <w:sz w:val="16"/>
                <w:szCs w:val="16"/>
              </w:rPr>
              <w:t>,</w:t>
            </w:r>
            <w:r w:rsidRPr="003E3CB0">
              <w:rPr>
                <w:rFonts w:ascii="Segoe UI Light" w:hAnsi="Segoe UI Light"/>
                <w:bCs/>
                <w:color w:val="000000"/>
                <w:sz w:val="16"/>
                <w:szCs w:val="16"/>
              </w:rPr>
              <w:t>5</w:t>
            </w:r>
          </w:p>
        </w:tc>
        <w:tc>
          <w:tcPr>
            <w:tcW w:w="501" w:type="pct"/>
            <w:shd w:val="clear" w:color="auto" w:fill="CCC0D9" w:themeFill="accent4" w:themeFillTint="66"/>
            <w:hideMark/>
          </w:tcPr>
          <w:p w14:paraId="274BD230" w14:textId="358697AE"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10</w:t>
            </w:r>
            <w:r>
              <w:rPr>
                <w:rFonts w:ascii="Segoe UI Light" w:hAnsi="Segoe UI Light"/>
                <w:bCs/>
                <w:color w:val="000000"/>
                <w:sz w:val="16"/>
                <w:szCs w:val="16"/>
              </w:rPr>
              <w:t>,</w:t>
            </w:r>
            <w:r w:rsidRPr="003E3CB0">
              <w:rPr>
                <w:rFonts w:ascii="Segoe UI Light" w:hAnsi="Segoe UI Light"/>
                <w:bCs/>
                <w:color w:val="000000"/>
                <w:sz w:val="16"/>
                <w:szCs w:val="16"/>
              </w:rPr>
              <w:t>1</w:t>
            </w:r>
          </w:p>
        </w:tc>
        <w:tc>
          <w:tcPr>
            <w:tcW w:w="494" w:type="pct"/>
            <w:shd w:val="clear" w:color="auto" w:fill="CCC0D9" w:themeFill="accent4" w:themeFillTint="66"/>
            <w:hideMark/>
          </w:tcPr>
          <w:p w14:paraId="22CB4060" w14:textId="4B8E57A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10</w:t>
            </w:r>
            <w:r>
              <w:rPr>
                <w:rFonts w:ascii="Segoe UI Light" w:hAnsi="Segoe UI Light"/>
                <w:bCs/>
                <w:color w:val="000000"/>
                <w:sz w:val="16"/>
                <w:szCs w:val="16"/>
              </w:rPr>
              <w:t>,</w:t>
            </w:r>
            <w:r w:rsidRPr="003E3CB0">
              <w:rPr>
                <w:rFonts w:ascii="Segoe UI Light" w:hAnsi="Segoe UI Light"/>
                <w:bCs/>
                <w:color w:val="000000"/>
                <w:sz w:val="16"/>
                <w:szCs w:val="16"/>
              </w:rPr>
              <w:t>4</w:t>
            </w:r>
          </w:p>
        </w:tc>
      </w:tr>
      <w:tr w:rsidR="00343BAC" w:rsidRPr="003E3CB0" w14:paraId="7DB7ABEF" w14:textId="77777777" w:rsidTr="00D209BD">
        <w:trPr>
          <w:trHeight w:val="20"/>
        </w:trPr>
        <w:tc>
          <w:tcPr>
            <w:tcW w:w="494" w:type="pct"/>
            <w:shd w:val="clear" w:color="auto" w:fill="E5DFEC" w:themeFill="accent4" w:themeFillTint="33"/>
            <w:hideMark/>
          </w:tcPr>
          <w:p w14:paraId="19AB8521"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25-34</w:t>
            </w:r>
          </w:p>
        </w:tc>
        <w:tc>
          <w:tcPr>
            <w:tcW w:w="498" w:type="pct"/>
            <w:shd w:val="clear" w:color="auto" w:fill="E5DFEC" w:themeFill="accent4" w:themeFillTint="33"/>
            <w:hideMark/>
          </w:tcPr>
          <w:p w14:paraId="641EF56A" w14:textId="5F8C0A36"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201</w:t>
            </w:r>
            <w:r>
              <w:rPr>
                <w:rFonts w:ascii="Segoe UI Light" w:hAnsi="Segoe UI Light"/>
                <w:bCs/>
                <w:color w:val="000000"/>
                <w:sz w:val="16"/>
                <w:szCs w:val="16"/>
              </w:rPr>
              <w:t>,</w:t>
            </w:r>
            <w:r w:rsidRPr="003E3CB0">
              <w:rPr>
                <w:rFonts w:ascii="Segoe UI Light" w:hAnsi="Segoe UI Light"/>
                <w:bCs/>
                <w:color w:val="000000"/>
                <w:sz w:val="16"/>
                <w:szCs w:val="16"/>
              </w:rPr>
              <w:t>1</w:t>
            </w:r>
          </w:p>
        </w:tc>
        <w:tc>
          <w:tcPr>
            <w:tcW w:w="499" w:type="pct"/>
            <w:shd w:val="clear" w:color="auto" w:fill="E5DFEC" w:themeFill="accent4" w:themeFillTint="33"/>
            <w:hideMark/>
          </w:tcPr>
          <w:p w14:paraId="12B9C6B7" w14:textId="6F64F82D"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156</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504" w:type="pct"/>
            <w:shd w:val="clear" w:color="auto" w:fill="E5DFEC" w:themeFill="accent4" w:themeFillTint="33"/>
            <w:hideMark/>
          </w:tcPr>
          <w:p w14:paraId="7C0920D6" w14:textId="6881D54F"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183</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500" w:type="pct"/>
            <w:shd w:val="clear" w:color="auto" w:fill="E5DFEC" w:themeFill="accent4" w:themeFillTint="33"/>
            <w:hideMark/>
          </w:tcPr>
          <w:p w14:paraId="053DA117" w14:textId="75921171"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-44</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503" w:type="pct"/>
            <w:shd w:val="clear" w:color="auto" w:fill="E5DFEC" w:themeFill="accent4" w:themeFillTint="33"/>
            <w:hideMark/>
          </w:tcPr>
          <w:p w14:paraId="28599FD6" w14:textId="39D8305E"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-17</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501" w:type="pct"/>
            <w:shd w:val="clear" w:color="auto" w:fill="E5DFEC" w:themeFill="accent4" w:themeFillTint="33"/>
            <w:hideMark/>
          </w:tcPr>
          <w:p w14:paraId="11559C3A" w14:textId="46C35FB0"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12</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6" w:type="pct"/>
            <w:shd w:val="clear" w:color="auto" w:fill="E5DFEC" w:themeFill="accent4" w:themeFillTint="33"/>
            <w:hideMark/>
          </w:tcPr>
          <w:p w14:paraId="1C571B7D" w14:textId="7B378FA1"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15</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501" w:type="pct"/>
            <w:shd w:val="clear" w:color="auto" w:fill="E5DFEC" w:themeFill="accent4" w:themeFillTint="33"/>
            <w:hideMark/>
          </w:tcPr>
          <w:p w14:paraId="54C649A6" w14:textId="6F59B640"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-57</w:t>
            </w:r>
            <w:r>
              <w:rPr>
                <w:rFonts w:ascii="Segoe UI Light" w:hAnsi="Segoe UI Light"/>
                <w:bCs/>
                <w:color w:val="000000"/>
                <w:sz w:val="16"/>
                <w:szCs w:val="16"/>
              </w:rPr>
              <w:t>,</w:t>
            </w:r>
            <w:r w:rsidRPr="003E3CB0">
              <w:rPr>
                <w:rFonts w:ascii="Segoe UI Light" w:hAnsi="Segoe UI Light"/>
                <w:bCs/>
                <w:color w:val="000000"/>
                <w:sz w:val="16"/>
                <w:szCs w:val="16"/>
              </w:rPr>
              <w:t>0</w:t>
            </w:r>
          </w:p>
        </w:tc>
        <w:tc>
          <w:tcPr>
            <w:tcW w:w="494" w:type="pct"/>
            <w:shd w:val="clear" w:color="auto" w:fill="E5DFEC" w:themeFill="accent4" w:themeFillTint="33"/>
            <w:hideMark/>
          </w:tcPr>
          <w:p w14:paraId="56044AD5" w14:textId="3EC49DE3"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-33</w:t>
            </w:r>
            <w:r>
              <w:rPr>
                <w:rFonts w:ascii="Segoe UI Light" w:hAnsi="Segoe UI Light"/>
                <w:bCs/>
                <w:color w:val="000000"/>
                <w:sz w:val="16"/>
                <w:szCs w:val="16"/>
              </w:rPr>
              <w:t>,</w:t>
            </w:r>
            <w:r w:rsidRPr="003E3CB0">
              <w:rPr>
                <w:rFonts w:ascii="Segoe UI Light" w:hAnsi="Segoe UI Light"/>
                <w:bCs/>
                <w:color w:val="000000"/>
                <w:sz w:val="16"/>
                <w:szCs w:val="16"/>
              </w:rPr>
              <w:t>1</w:t>
            </w:r>
          </w:p>
        </w:tc>
      </w:tr>
      <w:tr w:rsidR="00343BAC" w:rsidRPr="003E3CB0" w14:paraId="7CB35C1F" w14:textId="77777777" w:rsidTr="00D209BD">
        <w:trPr>
          <w:cnfStyle w:val="000000100000" w:firstRow="0" w:lastRow="0" w:firstColumn="0" w:lastColumn="0" w:oddVBand="0" w:evenVBand="0" w:oddHBand="1" w:evenHBand="0" w:firstRowFirstColumn="0" w:firstRowLastColumn="0" w:lastRowFirstColumn="0" w:lastRowLastColumn="0"/>
          <w:trHeight w:val="20"/>
        </w:trPr>
        <w:tc>
          <w:tcPr>
            <w:tcW w:w="494" w:type="pct"/>
            <w:shd w:val="clear" w:color="auto" w:fill="CCC0D9" w:themeFill="accent4" w:themeFillTint="66"/>
            <w:hideMark/>
          </w:tcPr>
          <w:p w14:paraId="0A4BF8DF"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35-44</w:t>
            </w:r>
          </w:p>
        </w:tc>
        <w:tc>
          <w:tcPr>
            <w:tcW w:w="498" w:type="pct"/>
            <w:shd w:val="clear" w:color="auto" w:fill="CCC0D9" w:themeFill="accent4" w:themeFillTint="66"/>
            <w:hideMark/>
          </w:tcPr>
          <w:p w14:paraId="1F973F08" w14:textId="01FF9CA9"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223</w:t>
            </w:r>
            <w:r>
              <w:rPr>
                <w:rFonts w:ascii="Segoe UI Light" w:hAnsi="Segoe UI Light"/>
                <w:bCs/>
                <w:color w:val="000000"/>
                <w:sz w:val="16"/>
                <w:szCs w:val="16"/>
              </w:rPr>
              <w:t>,</w:t>
            </w:r>
            <w:r w:rsidRPr="003E3CB0">
              <w:rPr>
                <w:rFonts w:ascii="Segoe UI Light" w:hAnsi="Segoe UI Light"/>
                <w:bCs/>
                <w:color w:val="000000"/>
                <w:sz w:val="16"/>
                <w:szCs w:val="16"/>
              </w:rPr>
              <w:t>1</w:t>
            </w:r>
          </w:p>
        </w:tc>
        <w:tc>
          <w:tcPr>
            <w:tcW w:w="499" w:type="pct"/>
            <w:shd w:val="clear" w:color="auto" w:fill="CCC0D9" w:themeFill="accent4" w:themeFillTint="66"/>
            <w:hideMark/>
          </w:tcPr>
          <w:p w14:paraId="0859DC58" w14:textId="48ABC797"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230</w:t>
            </w:r>
            <w:r>
              <w:rPr>
                <w:rFonts w:ascii="Segoe UI Light" w:hAnsi="Segoe UI Light"/>
                <w:bCs/>
                <w:color w:val="000000"/>
                <w:sz w:val="16"/>
                <w:szCs w:val="16"/>
              </w:rPr>
              <w:t>,</w:t>
            </w:r>
            <w:r w:rsidRPr="003E3CB0">
              <w:rPr>
                <w:rFonts w:ascii="Segoe UI Light" w:hAnsi="Segoe UI Light"/>
                <w:bCs/>
                <w:color w:val="000000"/>
                <w:sz w:val="16"/>
                <w:szCs w:val="16"/>
              </w:rPr>
              <w:t>9</w:t>
            </w:r>
          </w:p>
        </w:tc>
        <w:tc>
          <w:tcPr>
            <w:tcW w:w="504" w:type="pct"/>
            <w:shd w:val="clear" w:color="auto" w:fill="CCC0D9" w:themeFill="accent4" w:themeFillTint="66"/>
            <w:hideMark/>
          </w:tcPr>
          <w:p w14:paraId="7A66C58D" w14:textId="16E538D6"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174</w:t>
            </w:r>
            <w:r>
              <w:rPr>
                <w:rFonts w:ascii="Segoe UI Light" w:hAnsi="Segoe UI Light"/>
                <w:bCs/>
                <w:color w:val="000000"/>
                <w:sz w:val="16"/>
                <w:szCs w:val="16"/>
              </w:rPr>
              <w:t>,</w:t>
            </w:r>
            <w:r w:rsidRPr="003E3CB0">
              <w:rPr>
                <w:rFonts w:ascii="Segoe UI Light" w:hAnsi="Segoe UI Light"/>
                <w:bCs/>
                <w:color w:val="000000"/>
                <w:sz w:val="16"/>
                <w:szCs w:val="16"/>
              </w:rPr>
              <w:t>5</w:t>
            </w:r>
          </w:p>
        </w:tc>
        <w:tc>
          <w:tcPr>
            <w:tcW w:w="500" w:type="pct"/>
            <w:shd w:val="clear" w:color="auto" w:fill="CCC0D9" w:themeFill="accent4" w:themeFillTint="66"/>
            <w:hideMark/>
          </w:tcPr>
          <w:p w14:paraId="53B5AB28" w14:textId="1D9CB6DD"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7</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503" w:type="pct"/>
            <w:shd w:val="clear" w:color="auto" w:fill="CCC0D9" w:themeFill="accent4" w:themeFillTint="66"/>
            <w:hideMark/>
          </w:tcPr>
          <w:p w14:paraId="7B73FDF6" w14:textId="047D1AAC"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-48</w:t>
            </w:r>
            <w:r>
              <w:rPr>
                <w:rFonts w:ascii="Segoe UI Light" w:hAnsi="Segoe UI Light"/>
                <w:bCs/>
                <w:color w:val="000000"/>
                <w:sz w:val="16"/>
                <w:szCs w:val="16"/>
              </w:rPr>
              <w:t>,</w:t>
            </w:r>
            <w:r w:rsidRPr="003E3CB0">
              <w:rPr>
                <w:rFonts w:ascii="Segoe UI Light" w:hAnsi="Segoe UI Light"/>
                <w:bCs/>
                <w:color w:val="000000"/>
                <w:sz w:val="16"/>
                <w:szCs w:val="16"/>
              </w:rPr>
              <w:t>6</w:t>
            </w:r>
          </w:p>
        </w:tc>
        <w:tc>
          <w:tcPr>
            <w:tcW w:w="501" w:type="pct"/>
            <w:shd w:val="clear" w:color="auto" w:fill="CCC0D9" w:themeFill="accent4" w:themeFillTint="66"/>
            <w:hideMark/>
          </w:tcPr>
          <w:p w14:paraId="2BE2BDCE" w14:textId="746526DE"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17</w:t>
            </w:r>
            <w:r>
              <w:rPr>
                <w:rFonts w:ascii="Segoe UI Light" w:hAnsi="Segoe UI Light"/>
                <w:bCs/>
                <w:color w:val="000000"/>
                <w:sz w:val="16"/>
                <w:szCs w:val="16"/>
              </w:rPr>
              <w:t>,</w:t>
            </w:r>
            <w:r w:rsidRPr="003E3CB0">
              <w:rPr>
                <w:rFonts w:ascii="Segoe UI Light" w:hAnsi="Segoe UI Light"/>
                <w:bCs/>
                <w:color w:val="000000"/>
                <w:sz w:val="16"/>
                <w:szCs w:val="16"/>
              </w:rPr>
              <w:t>6</w:t>
            </w:r>
          </w:p>
        </w:tc>
        <w:tc>
          <w:tcPr>
            <w:tcW w:w="506" w:type="pct"/>
            <w:shd w:val="clear" w:color="auto" w:fill="CCC0D9" w:themeFill="accent4" w:themeFillTint="66"/>
            <w:hideMark/>
          </w:tcPr>
          <w:p w14:paraId="34984FFE" w14:textId="4153E08D"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16</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1" w:type="pct"/>
            <w:shd w:val="clear" w:color="auto" w:fill="CCC0D9" w:themeFill="accent4" w:themeFillTint="66"/>
            <w:hideMark/>
          </w:tcPr>
          <w:p w14:paraId="52419A0A" w14:textId="55AB4B9A"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-9</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494" w:type="pct"/>
            <w:shd w:val="clear" w:color="auto" w:fill="CCC0D9" w:themeFill="accent4" w:themeFillTint="66"/>
            <w:hideMark/>
          </w:tcPr>
          <w:p w14:paraId="39BF5883" w14:textId="7A3798B7"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-64</w:t>
            </w:r>
            <w:r>
              <w:rPr>
                <w:rFonts w:ascii="Segoe UI Light" w:hAnsi="Segoe UI Light"/>
                <w:bCs/>
                <w:color w:val="000000"/>
                <w:sz w:val="16"/>
                <w:szCs w:val="16"/>
              </w:rPr>
              <w:t>,</w:t>
            </w:r>
            <w:r w:rsidRPr="003E3CB0">
              <w:rPr>
                <w:rFonts w:ascii="Segoe UI Light" w:hAnsi="Segoe UI Light"/>
                <w:bCs/>
                <w:color w:val="000000"/>
                <w:sz w:val="16"/>
                <w:szCs w:val="16"/>
              </w:rPr>
              <w:t>8</w:t>
            </w:r>
          </w:p>
        </w:tc>
      </w:tr>
      <w:tr w:rsidR="00343BAC" w:rsidRPr="003E3CB0" w14:paraId="08F10F0F" w14:textId="77777777" w:rsidTr="00D209BD">
        <w:trPr>
          <w:trHeight w:val="20"/>
        </w:trPr>
        <w:tc>
          <w:tcPr>
            <w:tcW w:w="494" w:type="pct"/>
            <w:shd w:val="clear" w:color="auto" w:fill="E5DFEC" w:themeFill="accent4" w:themeFillTint="33"/>
            <w:hideMark/>
          </w:tcPr>
          <w:p w14:paraId="07E21CDB"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45-54</w:t>
            </w:r>
          </w:p>
        </w:tc>
        <w:tc>
          <w:tcPr>
            <w:tcW w:w="498" w:type="pct"/>
            <w:shd w:val="clear" w:color="auto" w:fill="E5DFEC" w:themeFill="accent4" w:themeFillTint="33"/>
            <w:hideMark/>
          </w:tcPr>
          <w:p w14:paraId="0879C053" w14:textId="619D00AB"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221</w:t>
            </w:r>
            <w:r>
              <w:rPr>
                <w:rFonts w:ascii="Segoe UI Light" w:hAnsi="Segoe UI Light"/>
                <w:bCs/>
                <w:color w:val="000000"/>
                <w:sz w:val="16"/>
                <w:szCs w:val="16"/>
              </w:rPr>
              <w:t>,</w:t>
            </w:r>
            <w:r w:rsidRPr="003E3CB0">
              <w:rPr>
                <w:rFonts w:ascii="Segoe UI Light" w:hAnsi="Segoe UI Light"/>
                <w:bCs/>
                <w:color w:val="000000"/>
                <w:sz w:val="16"/>
                <w:szCs w:val="16"/>
              </w:rPr>
              <w:t>9</w:t>
            </w:r>
          </w:p>
        </w:tc>
        <w:tc>
          <w:tcPr>
            <w:tcW w:w="499" w:type="pct"/>
            <w:shd w:val="clear" w:color="auto" w:fill="E5DFEC" w:themeFill="accent4" w:themeFillTint="33"/>
            <w:hideMark/>
          </w:tcPr>
          <w:p w14:paraId="41D3DD8F" w14:textId="3C60B8CA"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227</w:t>
            </w:r>
            <w:r>
              <w:rPr>
                <w:rFonts w:ascii="Segoe UI Light" w:hAnsi="Segoe UI Light"/>
                <w:bCs/>
                <w:color w:val="000000"/>
                <w:sz w:val="16"/>
                <w:szCs w:val="16"/>
              </w:rPr>
              <w:t>,</w:t>
            </w:r>
            <w:r w:rsidRPr="003E3CB0">
              <w:rPr>
                <w:rFonts w:ascii="Segoe UI Light" w:hAnsi="Segoe UI Light"/>
                <w:bCs/>
                <w:color w:val="000000"/>
                <w:sz w:val="16"/>
                <w:szCs w:val="16"/>
              </w:rPr>
              <w:t>9</w:t>
            </w:r>
          </w:p>
        </w:tc>
        <w:tc>
          <w:tcPr>
            <w:tcW w:w="504" w:type="pct"/>
            <w:shd w:val="clear" w:color="auto" w:fill="E5DFEC" w:themeFill="accent4" w:themeFillTint="33"/>
            <w:hideMark/>
          </w:tcPr>
          <w:p w14:paraId="77E793A2" w14:textId="76140F0B"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233</w:t>
            </w:r>
            <w:r>
              <w:rPr>
                <w:rFonts w:ascii="Segoe UI Light" w:hAnsi="Segoe UI Light"/>
                <w:bCs/>
                <w:color w:val="000000"/>
                <w:sz w:val="16"/>
                <w:szCs w:val="16"/>
              </w:rPr>
              <w:t>,</w:t>
            </w:r>
            <w:r w:rsidRPr="003E3CB0">
              <w:rPr>
                <w:rFonts w:ascii="Segoe UI Light" w:hAnsi="Segoe UI Light"/>
                <w:bCs/>
                <w:color w:val="000000"/>
                <w:sz w:val="16"/>
                <w:szCs w:val="16"/>
              </w:rPr>
              <w:t>7</w:t>
            </w:r>
          </w:p>
        </w:tc>
        <w:tc>
          <w:tcPr>
            <w:tcW w:w="500" w:type="pct"/>
            <w:shd w:val="clear" w:color="auto" w:fill="E5DFEC" w:themeFill="accent4" w:themeFillTint="33"/>
            <w:hideMark/>
          </w:tcPr>
          <w:p w14:paraId="0A17A225" w14:textId="4FD542C2"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6</w:t>
            </w:r>
            <w:r>
              <w:rPr>
                <w:rFonts w:ascii="Segoe UI Light" w:hAnsi="Segoe UI Light"/>
                <w:bCs/>
                <w:color w:val="000000"/>
                <w:sz w:val="16"/>
                <w:szCs w:val="16"/>
              </w:rPr>
              <w:t>,</w:t>
            </w:r>
            <w:r w:rsidRPr="003E3CB0">
              <w:rPr>
                <w:rFonts w:ascii="Segoe UI Light" w:hAnsi="Segoe UI Light"/>
                <w:bCs/>
                <w:color w:val="000000"/>
                <w:sz w:val="16"/>
                <w:szCs w:val="16"/>
              </w:rPr>
              <w:t>0</w:t>
            </w:r>
          </w:p>
        </w:tc>
        <w:tc>
          <w:tcPr>
            <w:tcW w:w="503" w:type="pct"/>
            <w:shd w:val="clear" w:color="auto" w:fill="E5DFEC" w:themeFill="accent4" w:themeFillTint="33"/>
            <w:hideMark/>
          </w:tcPr>
          <w:p w14:paraId="47B41552" w14:textId="0F5B908D"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11</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501" w:type="pct"/>
            <w:shd w:val="clear" w:color="auto" w:fill="E5DFEC" w:themeFill="accent4" w:themeFillTint="33"/>
            <w:hideMark/>
          </w:tcPr>
          <w:p w14:paraId="62A2C740" w14:textId="15096E19"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17</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506" w:type="pct"/>
            <w:shd w:val="clear" w:color="auto" w:fill="E5DFEC" w:themeFill="accent4" w:themeFillTint="33"/>
            <w:hideMark/>
          </w:tcPr>
          <w:p w14:paraId="19C2C1A3" w14:textId="6EAD7BB8"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19</w:t>
            </w:r>
            <w:r>
              <w:rPr>
                <w:rFonts w:ascii="Segoe UI Light" w:hAnsi="Segoe UI Light"/>
                <w:bCs/>
                <w:color w:val="000000"/>
                <w:sz w:val="16"/>
                <w:szCs w:val="16"/>
              </w:rPr>
              <w:t>,</w:t>
            </w:r>
            <w:r w:rsidRPr="003E3CB0">
              <w:rPr>
                <w:rFonts w:ascii="Segoe UI Light" w:hAnsi="Segoe UI Light"/>
                <w:bCs/>
                <w:color w:val="000000"/>
                <w:sz w:val="16"/>
                <w:szCs w:val="16"/>
              </w:rPr>
              <w:t>7</w:t>
            </w:r>
          </w:p>
        </w:tc>
        <w:tc>
          <w:tcPr>
            <w:tcW w:w="501" w:type="pct"/>
            <w:shd w:val="clear" w:color="auto" w:fill="E5DFEC" w:themeFill="accent4" w:themeFillTint="33"/>
            <w:hideMark/>
          </w:tcPr>
          <w:p w14:paraId="5F8B4675" w14:textId="3E3DD11F"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-11</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494" w:type="pct"/>
            <w:shd w:val="clear" w:color="auto" w:fill="E5DFEC" w:themeFill="accent4" w:themeFillTint="33"/>
            <w:hideMark/>
          </w:tcPr>
          <w:p w14:paraId="7D1AD1D7" w14:textId="7C3B3AAC"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-7</w:t>
            </w:r>
            <w:r>
              <w:rPr>
                <w:rFonts w:ascii="Segoe UI Light" w:hAnsi="Segoe UI Light"/>
                <w:bCs/>
                <w:color w:val="000000"/>
                <w:sz w:val="16"/>
                <w:szCs w:val="16"/>
              </w:rPr>
              <w:t>,</w:t>
            </w:r>
            <w:r w:rsidRPr="003E3CB0">
              <w:rPr>
                <w:rFonts w:ascii="Segoe UI Light" w:hAnsi="Segoe UI Light"/>
                <w:bCs/>
                <w:color w:val="000000"/>
                <w:sz w:val="16"/>
                <w:szCs w:val="16"/>
              </w:rPr>
              <w:t>9</w:t>
            </w:r>
          </w:p>
        </w:tc>
      </w:tr>
      <w:tr w:rsidR="00343BAC" w:rsidRPr="003E3CB0" w14:paraId="0CEE85D6" w14:textId="77777777" w:rsidTr="00D209BD">
        <w:trPr>
          <w:cnfStyle w:val="000000100000" w:firstRow="0" w:lastRow="0" w:firstColumn="0" w:lastColumn="0" w:oddVBand="0" w:evenVBand="0" w:oddHBand="1" w:evenHBand="0" w:firstRowFirstColumn="0" w:firstRowLastColumn="0" w:lastRowFirstColumn="0" w:lastRowLastColumn="0"/>
          <w:trHeight w:val="20"/>
        </w:trPr>
        <w:tc>
          <w:tcPr>
            <w:tcW w:w="494" w:type="pct"/>
            <w:shd w:val="clear" w:color="auto" w:fill="CCC0D9" w:themeFill="accent4" w:themeFillTint="66"/>
            <w:hideMark/>
          </w:tcPr>
          <w:p w14:paraId="22DB5FEF"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55-64</w:t>
            </w:r>
          </w:p>
        </w:tc>
        <w:tc>
          <w:tcPr>
            <w:tcW w:w="498" w:type="pct"/>
            <w:shd w:val="clear" w:color="auto" w:fill="CCC0D9" w:themeFill="accent4" w:themeFillTint="66"/>
            <w:hideMark/>
          </w:tcPr>
          <w:p w14:paraId="54FC111D" w14:textId="4224DE9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189</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499" w:type="pct"/>
            <w:shd w:val="clear" w:color="auto" w:fill="CCC0D9" w:themeFill="accent4" w:themeFillTint="66"/>
            <w:hideMark/>
          </w:tcPr>
          <w:p w14:paraId="652975B3" w14:textId="76775A2C"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191</w:t>
            </w:r>
            <w:r>
              <w:rPr>
                <w:rFonts w:ascii="Segoe UI Light" w:hAnsi="Segoe UI Light"/>
                <w:bCs/>
                <w:color w:val="000000"/>
                <w:sz w:val="16"/>
                <w:szCs w:val="16"/>
              </w:rPr>
              <w:t>,</w:t>
            </w:r>
            <w:r w:rsidRPr="003E3CB0">
              <w:rPr>
                <w:rFonts w:ascii="Segoe UI Light" w:hAnsi="Segoe UI Light"/>
                <w:bCs/>
                <w:color w:val="000000"/>
                <w:sz w:val="16"/>
                <w:szCs w:val="16"/>
              </w:rPr>
              <w:t>9</w:t>
            </w:r>
          </w:p>
        </w:tc>
        <w:tc>
          <w:tcPr>
            <w:tcW w:w="504" w:type="pct"/>
            <w:shd w:val="clear" w:color="auto" w:fill="CCC0D9" w:themeFill="accent4" w:themeFillTint="66"/>
            <w:hideMark/>
          </w:tcPr>
          <w:p w14:paraId="02955103" w14:textId="1DA56ABF"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193</w:t>
            </w:r>
            <w:r>
              <w:rPr>
                <w:rFonts w:ascii="Segoe UI Light" w:hAnsi="Segoe UI Light"/>
                <w:bCs/>
                <w:color w:val="000000"/>
                <w:sz w:val="16"/>
                <w:szCs w:val="16"/>
              </w:rPr>
              <w:t>,</w:t>
            </w:r>
            <w:r w:rsidRPr="003E3CB0">
              <w:rPr>
                <w:rFonts w:ascii="Segoe UI Light" w:hAnsi="Segoe UI Light"/>
                <w:bCs/>
                <w:color w:val="000000"/>
                <w:sz w:val="16"/>
                <w:szCs w:val="16"/>
              </w:rPr>
              <w:t>4</w:t>
            </w:r>
          </w:p>
        </w:tc>
        <w:tc>
          <w:tcPr>
            <w:tcW w:w="500" w:type="pct"/>
            <w:shd w:val="clear" w:color="auto" w:fill="CCC0D9" w:themeFill="accent4" w:themeFillTint="66"/>
            <w:hideMark/>
          </w:tcPr>
          <w:p w14:paraId="355192AB" w14:textId="18EC0389"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w:t>
            </w:r>
            <w:r>
              <w:rPr>
                <w:rFonts w:ascii="Segoe UI Light" w:hAnsi="Segoe UI Light"/>
                <w:bCs/>
                <w:color w:val="000000"/>
                <w:sz w:val="16"/>
                <w:szCs w:val="16"/>
              </w:rPr>
              <w:t>,</w:t>
            </w:r>
            <w:r w:rsidRPr="003E3CB0">
              <w:rPr>
                <w:rFonts w:ascii="Segoe UI Light" w:hAnsi="Segoe UI Light"/>
                <w:bCs/>
                <w:color w:val="000000"/>
                <w:sz w:val="16"/>
                <w:szCs w:val="16"/>
              </w:rPr>
              <w:t>1</w:t>
            </w:r>
          </w:p>
        </w:tc>
        <w:tc>
          <w:tcPr>
            <w:tcW w:w="503" w:type="pct"/>
            <w:shd w:val="clear" w:color="auto" w:fill="CCC0D9" w:themeFill="accent4" w:themeFillTint="66"/>
            <w:hideMark/>
          </w:tcPr>
          <w:p w14:paraId="157474E8" w14:textId="736FB589"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3</w:t>
            </w:r>
            <w:r>
              <w:rPr>
                <w:rFonts w:ascii="Segoe UI Light" w:hAnsi="Segoe UI Light"/>
                <w:bCs/>
                <w:color w:val="000000"/>
                <w:sz w:val="16"/>
                <w:szCs w:val="16"/>
              </w:rPr>
              <w:t>,</w:t>
            </w:r>
            <w:r w:rsidRPr="003E3CB0">
              <w:rPr>
                <w:rFonts w:ascii="Segoe UI Light" w:hAnsi="Segoe UI Light"/>
                <w:bCs/>
                <w:color w:val="000000"/>
                <w:sz w:val="16"/>
                <w:szCs w:val="16"/>
              </w:rPr>
              <w:t>6</w:t>
            </w:r>
          </w:p>
        </w:tc>
        <w:tc>
          <w:tcPr>
            <w:tcW w:w="501" w:type="pct"/>
            <w:shd w:val="clear" w:color="auto" w:fill="CCC0D9" w:themeFill="accent4" w:themeFillTint="66"/>
            <w:hideMark/>
          </w:tcPr>
          <w:p w14:paraId="2FB5970A" w14:textId="15FCD300"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20</w:t>
            </w:r>
            <w:r>
              <w:rPr>
                <w:rFonts w:ascii="Segoe UI Light" w:hAnsi="Segoe UI Light"/>
                <w:bCs/>
                <w:color w:val="000000"/>
                <w:sz w:val="16"/>
                <w:szCs w:val="16"/>
              </w:rPr>
              <w:t>,</w:t>
            </w:r>
            <w:r w:rsidRPr="003E3CB0">
              <w:rPr>
                <w:rFonts w:ascii="Segoe UI Light" w:hAnsi="Segoe UI Light"/>
                <w:bCs/>
                <w:color w:val="000000"/>
                <w:sz w:val="16"/>
                <w:szCs w:val="16"/>
              </w:rPr>
              <w:t>4</w:t>
            </w:r>
          </w:p>
        </w:tc>
        <w:tc>
          <w:tcPr>
            <w:tcW w:w="506" w:type="pct"/>
            <w:shd w:val="clear" w:color="auto" w:fill="CCC0D9" w:themeFill="accent4" w:themeFillTint="66"/>
            <w:hideMark/>
          </w:tcPr>
          <w:p w14:paraId="64701B4B" w14:textId="2C514C91"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23</w:t>
            </w:r>
            <w:r>
              <w:rPr>
                <w:rFonts w:ascii="Segoe UI Light" w:hAnsi="Segoe UI Light"/>
                <w:bCs/>
                <w:color w:val="000000"/>
                <w:sz w:val="16"/>
                <w:szCs w:val="16"/>
              </w:rPr>
              <w:t>,</w:t>
            </w:r>
            <w:r w:rsidRPr="003E3CB0">
              <w:rPr>
                <w:rFonts w:ascii="Segoe UI Light" w:hAnsi="Segoe UI Light"/>
                <w:bCs/>
                <w:color w:val="000000"/>
                <w:sz w:val="16"/>
                <w:szCs w:val="16"/>
              </w:rPr>
              <w:t>5</w:t>
            </w:r>
          </w:p>
        </w:tc>
        <w:tc>
          <w:tcPr>
            <w:tcW w:w="501" w:type="pct"/>
            <w:shd w:val="clear" w:color="auto" w:fill="CCC0D9" w:themeFill="accent4" w:themeFillTint="66"/>
            <w:hideMark/>
          </w:tcPr>
          <w:p w14:paraId="3BD40315" w14:textId="1CEF7142"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-18</w:t>
            </w:r>
            <w:r>
              <w:rPr>
                <w:rFonts w:ascii="Segoe UI Light" w:hAnsi="Segoe UI Light"/>
                <w:bCs/>
                <w:color w:val="000000"/>
                <w:sz w:val="16"/>
                <w:szCs w:val="16"/>
              </w:rPr>
              <w:t>,</w:t>
            </w:r>
            <w:r w:rsidRPr="003E3CB0">
              <w:rPr>
                <w:rFonts w:ascii="Segoe UI Light" w:hAnsi="Segoe UI Light"/>
                <w:bCs/>
                <w:color w:val="000000"/>
                <w:sz w:val="16"/>
                <w:szCs w:val="16"/>
              </w:rPr>
              <w:t>3</w:t>
            </w:r>
          </w:p>
        </w:tc>
        <w:tc>
          <w:tcPr>
            <w:tcW w:w="494" w:type="pct"/>
            <w:shd w:val="clear" w:color="auto" w:fill="CCC0D9" w:themeFill="accent4" w:themeFillTint="66"/>
            <w:hideMark/>
          </w:tcPr>
          <w:p w14:paraId="4F87199D" w14:textId="1C09D238"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-19</w:t>
            </w:r>
            <w:r>
              <w:rPr>
                <w:rFonts w:ascii="Segoe UI Light" w:hAnsi="Segoe UI Light"/>
                <w:bCs/>
                <w:color w:val="000000"/>
                <w:sz w:val="16"/>
                <w:szCs w:val="16"/>
              </w:rPr>
              <w:t>,</w:t>
            </w:r>
            <w:r w:rsidRPr="003E3CB0">
              <w:rPr>
                <w:rFonts w:ascii="Segoe UI Light" w:hAnsi="Segoe UI Light"/>
                <w:bCs/>
                <w:color w:val="000000"/>
                <w:sz w:val="16"/>
                <w:szCs w:val="16"/>
              </w:rPr>
              <w:t>9</w:t>
            </w:r>
          </w:p>
        </w:tc>
      </w:tr>
      <w:tr w:rsidR="00343BAC" w:rsidRPr="003E3CB0" w14:paraId="236D654E" w14:textId="77777777" w:rsidTr="00D209BD">
        <w:trPr>
          <w:trHeight w:val="20"/>
        </w:trPr>
        <w:tc>
          <w:tcPr>
            <w:tcW w:w="494" w:type="pct"/>
            <w:shd w:val="clear" w:color="auto" w:fill="E5DFEC" w:themeFill="accent4" w:themeFillTint="33"/>
            <w:hideMark/>
          </w:tcPr>
          <w:p w14:paraId="35912880" w14:textId="77777777" w:rsidR="00A408E7" w:rsidRPr="003E3CB0" w:rsidRDefault="00A408E7" w:rsidP="00D209BD">
            <w:pPr>
              <w:spacing w:before="40" w:after="40"/>
              <w:rPr>
                <w:rFonts w:ascii="Segoe UI Light" w:hAnsi="Segoe UI Light"/>
                <w:sz w:val="16"/>
                <w:szCs w:val="16"/>
              </w:rPr>
            </w:pPr>
            <w:r w:rsidRPr="003E3CB0">
              <w:rPr>
                <w:rFonts w:ascii="Segoe UI Light" w:hAnsi="Segoe UI Light"/>
                <w:sz w:val="16"/>
                <w:szCs w:val="16"/>
              </w:rPr>
              <w:t>65-74</w:t>
            </w:r>
          </w:p>
        </w:tc>
        <w:tc>
          <w:tcPr>
            <w:tcW w:w="498" w:type="pct"/>
            <w:shd w:val="clear" w:color="auto" w:fill="E5DFEC" w:themeFill="accent4" w:themeFillTint="33"/>
            <w:hideMark/>
          </w:tcPr>
          <w:p w14:paraId="1CCB9476" w14:textId="054763BB"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42</w:t>
            </w:r>
            <w:r>
              <w:rPr>
                <w:rFonts w:ascii="Segoe UI Light" w:hAnsi="Segoe UI Light"/>
                <w:bCs/>
                <w:color w:val="000000"/>
                <w:sz w:val="16"/>
                <w:szCs w:val="16"/>
              </w:rPr>
              <w:t>,</w:t>
            </w:r>
            <w:r w:rsidRPr="003E3CB0">
              <w:rPr>
                <w:rFonts w:ascii="Segoe UI Light" w:hAnsi="Segoe UI Light"/>
                <w:bCs/>
                <w:color w:val="000000"/>
                <w:sz w:val="16"/>
                <w:szCs w:val="16"/>
              </w:rPr>
              <w:t>4</w:t>
            </w:r>
          </w:p>
        </w:tc>
        <w:tc>
          <w:tcPr>
            <w:tcW w:w="499" w:type="pct"/>
            <w:shd w:val="clear" w:color="auto" w:fill="E5DFEC" w:themeFill="accent4" w:themeFillTint="33"/>
            <w:hideMark/>
          </w:tcPr>
          <w:p w14:paraId="490B442A" w14:textId="3C3F09C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58</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4" w:type="pct"/>
            <w:shd w:val="clear" w:color="auto" w:fill="E5DFEC" w:themeFill="accent4" w:themeFillTint="33"/>
            <w:hideMark/>
          </w:tcPr>
          <w:p w14:paraId="5042DC2B" w14:textId="53AF4514"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58</w:t>
            </w:r>
            <w:r>
              <w:rPr>
                <w:rFonts w:ascii="Segoe UI Light" w:hAnsi="Segoe UI Light"/>
                <w:bCs/>
                <w:color w:val="000000"/>
                <w:sz w:val="16"/>
                <w:szCs w:val="16"/>
              </w:rPr>
              <w:t>,</w:t>
            </w:r>
            <w:r w:rsidRPr="003E3CB0">
              <w:rPr>
                <w:rFonts w:ascii="Segoe UI Light" w:hAnsi="Segoe UI Light"/>
                <w:bCs/>
                <w:color w:val="000000"/>
                <w:sz w:val="16"/>
                <w:szCs w:val="16"/>
              </w:rPr>
              <w:t>6</w:t>
            </w:r>
          </w:p>
        </w:tc>
        <w:tc>
          <w:tcPr>
            <w:tcW w:w="500" w:type="pct"/>
            <w:shd w:val="clear" w:color="auto" w:fill="E5DFEC" w:themeFill="accent4" w:themeFillTint="33"/>
            <w:hideMark/>
          </w:tcPr>
          <w:p w14:paraId="30054074" w14:textId="61E9E4B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15</w:t>
            </w:r>
            <w:r>
              <w:rPr>
                <w:rFonts w:ascii="Segoe UI Light" w:hAnsi="Segoe UI Light"/>
                <w:bCs/>
                <w:color w:val="000000"/>
                <w:sz w:val="16"/>
                <w:szCs w:val="16"/>
              </w:rPr>
              <w:t>,</w:t>
            </w:r>
            <w:r w:rsidRPr="003E3CB0">
              <w:rPr>
                <w:rFonts w:ascii="Segoe UI Light" w:hAnsi="Segoe UI Light"/>
                <w:bCs/>
                <w:color w:val="000000"/>
                <w:sz w:val="16"/>
                <w:szCs w:val="16"/>
              </w:rPr>
              <w:t>8</w:t>
            </w:r>
          </w:p>
        </w:tc>
        <w:tc>
          <w:tcPr>
            <w:tcW w:w="503" w:type="pct"/>
            <w:shd w:val="clear" w:color="auto" w:fill="E5DFEC" w:themeFill="accent4" w:themeFillTint="33"/>
            <w:hideMark/>
          </w:tcPr>
          <w:p w14:paraId="54866C05" w14:textId="15E9C01A"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16</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501" w:type="pct"/>
            <w:shd w:val="clear" w:color="auto" w:fill="E5DFEC" w:themeFill="accent4" w:themeFillTint="33"/>
            <w:hideMark/>
          </w:tcPr>
          <w:p w14:paraId="43EAD967" w14:textId="71AF9DA2"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12</w:t>
            </w:r>
            <w:r>
              <w:rPr>
                <w:rFonts w:ascii="Segoe UI Light" w:hAnsi="Segoe UI Light"/>
                <w:bCs/>
                <w:color w:val="000000"/>
                <w:sz w:val="16"/>
                <w:szCs w:val="16"/>
              </w:rPr>
              <w:t>,</w:t>
            </w:r>
            <w:r w:rsidRPr="003E3CB0">
              <w:rPr>
                <w:rFonts w:ascii="Segoe UI Light" w:hAnsi="Segoe UI Light"/>
                <w:bCs/>
                <w:color w:val="000000"/>
                <w:sz w:val="16"/>
                <w:szCs w:val="16"/>
              </w:rPr>
              <w:t>6</w:t>
            </w:r>
          </w:p>
        </w:tc>
        <w:tc>
          <w:tcPr>
            <w:tcW w:w="506" w:type="pct"/>
            <w:shd w:val="clear" w:color="auto" w:fill="E5DFEC" w:themeFill="accent4" w:themeFillTint="33"/>
            <w:hideMark/>
          </w:tcPr>
          <w:p w14:paraId="23A3193D" w14:textId="08DB89B5"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15</w:t>
            </w:r>
            <w:r>
              <w:rPr>
                <w:rFonts w:ascii="Segoe UI Light" w:hAnsi="Segoe UI Light"/>
                <w:bCs/>
                <w:color w:val="000000"/>
                <w:sz w:val="16"/>
                <w:szCs w:val="16"/>
              </w:rPr>
              <w:t>,</w:t>
            </w:r>
            <w:r w:rsidRPr="003E3CB0">
              <w:rPr>
                <w:rFonts w:ascii="Segoe UI Light" w:hAnsi="Segoe UI Light"/>
                <w:bCs/>
                <w:color w:val="000000"/>
                <w:sz w:val="16"/>
                <w:szCs w:val="16"/>
              </w:rPr>
              <w:t>1</w:t>
            </w:r>
          </w:p>
        </w:tc>
        <w:tc>
          <w:tcPr>
            <w:tcW w:w="501" w:type="pct"/>
            <w:shd w:val="clear" w:color="auto" w:fill="E5DFEC" w:themeFill="accent4" w:themeFillTint="33"/>
            <w:hideMark/>
          </w:tcPr>
          <w:p w14:paraId="430C0450" w14:textId="214BE224"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3</w:t>
            </w:r>
            <w:r>
              <w:rPr>
                <w:rFonts w:ascii="Segoe UI Light" w:hAnsi="Segoe UI Light"/>
                <w:bCs/>
                <w:color w:val="000000"/>
                <w:sz w:val="16"/>
                <w:szCs w:val="16"/>
              </w:rPr>
              <w:t>,</w:t>
            </w:r>
            <w:r w:rsidRPr="003E3CB0">
              <w:rPr>
                <w:rFonts w:ascii="Segoe UI Light" w:hAnsi="Segoe UI Light"/>
                <w:bCs/>
                <w:color w:val="000000"/>
                <w:sz w:val="16"/>
                <w:szCs w:val="16"/>
              </w:rPr>
              <w:t>2</w:t>
            </w:r>
          </w:p>
        </w:tc>
        <w:tc>
          <w:tcPr>
            <w:tcW w:w="494" w:type="pct"/>
            <w:shd w:val="clear" w:color="auto" w:fill="E5DFEC" w:themeFill="accent4" w:themeFillTint="33"/>
            <w:hideMark/>
          </w:tcPr>
          <w:p w14:paraId="3F0E5205" w14:textId="6D92CB21" w:rsidR="00A408E7" w:rsidRPr="003E3CB0" w:rsidRDefault="00A408E7" w:rsidP="00D209BD">
            <w:pPr>
              <w:tabs>
                <w:tab w:val="decimal" w:pos="462"/>
              </w:tabs>
              <w:spacing w:before="40" w:after="40"/>
              <w:jc w:val="center"/>
              <w:rPr>
                <w:rFonts w:ascii="Segoe UI Light" w:hAnsi="Segoe UI Light"/>
                <w:bCs/>
                <w:color w:val="000000"/>
                <w:sz w:val="16"/>
                <w:szCs w:val="16"/>
              </w:rPr>
            </w:pPr>
            <w:r w:rsidRPr="003E3CB0">
              <w:rPr>
                <w:rFonts w:ascii="Segoe UI Light" w:hAnsi="Segoe UI Light"/>
                <w:bCs/>
                <w:color w:val="000000"/>
                <w:sz w:val="16"/>
                <w:szCs w:val="16"/>
              </w:rPr>
              <w:t>1</w:t>
            </w:r>
            <w:r>
              <w:rPr>
                <w:rFonts w:ascii="Segoe UI Light" w:hAnsi="Segoe UI Light"/>
                <w:bCs/>
                <w:color w:val="000000"/>
                <w:sz w:val="16"/>
                <w:szCs w:val="16"/>
              </w:rPr>
              <w:t>,</w:t>
            </w:r>
            <w:r w:rsidRPr="003E3CB0">
              <w:rPr>
                <w:rFonts w:ascii="Segoe UI Light" w:hAnsi="Segoe UI Light"/>
                <w:bCs/>
                <w:color w:val="000000"/>
                <w:sz w:val="16"/>
                <w:szCs w:val="16"/>
              </w:rPr>
              <w:t>1</w:t>
            </w:r>
          </w:p>
        </w:tc>
      </w:tr>
    </w:tbl>
    <w:p w14:paraId="36D432DC" w14:textId="77777777" w:rsidR="00A408E7" w:rsidRPr="003000D9" w:rsidRDefault="00A408E7" w:rsidP="00C24E26">
      <w:pPr>
        <w:spacing w:before="120"/>
        <w:jc w:val="both"/>
        <w:rPr>
          <w:rFonts w:cs="Calibri Light"/>
          <w:sz w:val="12"/>
          <w:szCs w:val="10"/>
        </w:rPr>
      </w:pPr>
      <w:r w:rsidRPr="003000D9">
        <w:rPr>
          <w:rFonts w:cs="Calibri Light"/>
          <w:sz w:val="12"/>
          <w:szCs w:val="10"/>
        </w:rPr>
        <w:t>Avots: CSP dati 2021. gadam, EM prognozes 2030. un 2040. gadam.</w:t>
      </w:r>
    </w:p>
    <w:p w14:paraId="05AFED61" w14:textId="404A4B29" w:rsidR="00A408E7" w:rsidRPr="0023742E" w:rsidRDefault="00C24E26" w:rsidP="4398C881">
      <w:pPr>
        <w:jc w:val="both"/>
        <w:rPr>
          <w:color w:val="000000"/>
        </w:rPr>
      </w:pPr>
      <w:r>
        <w:rPr>
          <w:color w:val="000000" w:themeColor="text1"/>
        </w:rPr>
        <w:br/>
      </w:r>
      <w:r w:rsidR="0665C32D" w:rsidRPr="4398C881">
        <w:rPr>
          <w:color w:val="000000" w:themeColor="text1"/>
        </w:rPr>
        <w:t>Ņemot vērā, ka iedzīvotāju ekonomiskā aktivitāte jau pašlaik ir tuvu savam potenciālam, turpmāks iedzīvotāju līdzdalības pieaugums darba tirgū ir ierobežots, tādēļ pēc 2030. gada arvien jūtamāka būs demogrāfisko tendenču ietekme uz darbaspēka piedāvājumu.</w:t>
      </w:r>
    </w:p>
    <w:p w14:paraId="2A8DC4F9" w14:textId="7D323B42" w:rsidR="00A408E7" w:rsidRPr="00BB099E" w:rsidRDefault="00C24E26" w:rsidP="00A408E7">
      <w:pPr>
        <w:rPr>
          <w:b/>
          <w:szCs w:val="20"/>
        </w:rPr>
      </w:pPr>
      <w:r>
        <w:rPr>
          <w:b/>
          <w:szCs w:val="20"/>
        </w:rPr>
        <w:br/>
      </w:r>
      <w:r w:rsidR="00A408E7" w:rsidRPr="00BB099E">
        <w:rPr>
          <w:b/>
          <w:szCs w:val="20"/>
        </w:rPr>
        <w:t>Darbaspēka piedāvājums pēc iegūtās izglītības</w:t>
      </w:r>
    </w:p>
    <w:p w14:paraId="1BCA577B" w14:textId="77777777" w:rsidR="00A408E7" w:rsidRPr="00A16D24" w:rsidRDefault="00A408E7" w:rsidP="00A408E7">
      <w:pPr>
        <w:jc w:val="both"/>
        <w:rPr>
          <w:color w:val="000000"/>
          <w:spacing w:val="-4"/>
          <w:szCs w:val="20"/>
        </w:rPr>
      </w:pPr>
      <w:r w:rsidRPr="00616ACB">
        <w:rPr>
          <w:color w:val="000000"/>
          <w:spacing w:val="-4"/>
          <w:szCs w:val="20"/>
        </w:rPr>
        <w:t xml:space="preserve">Kopumā gan vidējā, gan ilgtermiņā turpinās palielināties darbaspēka piedāvājums ar augstāko izglītību, savukārt samazinājums sagaidāms starp ekonomiski aktīviem iedzīvotājiem ar profesionālo un vidējo vispārējo izglītību. </w:t>
      </w:r>
      <w:r>
        <w:rPr>
          <w:color w:val="000000"/>
          <w:spacing w:val="-4"/>
          <w:szCs w:val="20"/>
        </w:rPr>
        <w:t>Vienlaikus</w:t>
      </w:r>
      <w:r w:rsidRPr="00616ACB">
        <w:rPr>
          <w:color w:val="000000"/>
          <w:spacing w:val="-4"/>
          <w:szCs w:val="20"/>
        </w:rPr>
        <w:t xml:space="preserve"> </w:t>
      </w:r>
      <w:r w:rsidRPr="0005001A">
        <w:rPr>
          <w:color w:val="000000"/>
          <w:spacing w:val="-4"/>
          <w:szCs w:val="20"/>
        </w:rPr>
        <w:t xml:space="preserve">vidējā termiņā palielināsies darbaspēka piedāvājums ar pamatizglītību un zemāku izglītību. </w:t>
      </w:r>
      <w:r w:rsidRPr="00AC7937">
        <w:rPr>
          <w:color w:val="000000"/>
          <w:szCs w:val="20"/>
        </w:rPr>
        <w:t xml:space="preserve">Atbilstošās izmaiņas turpmākajos gados iezīmēs zināmu darbaspēka piedāvājuma polarizāciju, no vienas ievērojami palielinot augstākās kvalifikācijas un arī zemākās kvalifikācijas darbaspēka piedāvājumu, bet </w:t>
      </w:r>
      <w:r w:rsidRPr="003C5BCF">
        <w:rPr>
          <w:color w:val="000000"/>
          <w:szCs w:val="20"/>
        </w:rPr>
        <w:t>vienlaikus samazinot vidējās kvalifikācijas darbaspēka piedāvājumu.</w:t>
      </w:r>
    </w:p>
    <w:p w14:paraId="3C8AC70D" w14:textId="5A29F8FB" w:rsidR="00A408E7" w:rsidRPr="00DB43EE" w:rsidRDefault="00A408E7" w:rsidP="00A408E7">
      <w:pPr>
        <w:jc w:val="both"/>
        <w:rPr>
          <w:color w:val="000000"/>
          <w:szCs w:val="20"/>
        </w:rPr>
      </w:pPr>
      <w:r w:rsidRPr="003C5BCF">
        <w:rPr>
          <w:color w:val="000000"/>
          <w:szCs w:val="20"/>
        </w:rPr>
        <w:t xml:space="preserve">Līdz 2040. gadam darbaspēka piedāvājuma īpatsvars ar augstāko izglītību kopējā darbaspēka piedāvājumā varētu palielināsies par gandrīz 10 procentpunktiem, turpretim ar arodizglītību un profesionālo vidējo izglītību samazināties par 9 procentpunktiem un vispārējo vidējo izglītību par 1 procentpunktu. Savukārt darbaspēka piedāvājuma īpatsvars ar </w:t>
      </w:r>
      <w:r w:rsidRPr="003C5BCF">
        <w:rPr>
          <w:color w:val="000000"/>
          <w:spacing w:val="-4"/>
          <w:szCs w:val="20"/>
        </w:rPr>
        <w:t>pamatizglītību un zemāku izglītību vidējā termiņā līdz 2030.</w:t>
      </w:r>
      <w:r>
        <w:rPr>
          <w:color w:val="000000"/>
          <w:spacing w:val="-4"/>
          <w:szCs w:val="20"/>
        </w:rPr>
        <w:t> </w:t>
      </w:r>
      <w:r w:rsidRPr="003C5BCF">
        <w:rPr>
          <w:color w:val="000000"/>
          <w:spacing w:val="-4"/>
          <w:szCs w:val="20"/>
        </w:rPr>
        <w:t xml:space="preserve">gadam, salīdzinot ar 2021. gadu, kopējā darbaspēka piedāvājumā varētu palielināties par </w:t>
      </w:r>
      <w:r w:rsidRPr="00DB43EE">
        <w:rPr>
          <w:color w:val="000000"/>
          <w:spacing w:val="-4"/>
          <w:szCs w:val="20"/>
        </w:rPr>
        <w:t>2,6 procentpunktiem, bet līdz 2040.</w:t>
      </w:r>
      <w:r>
        <w:rPr>
          <w:color w:val="000000"/>
          <w:spacing w:val="-4"/>
          <w:szCs w:val="20"/>
        </w:rPr>
        <w:t> </w:t>
      </w:r>
      <w:r w:rsidRPr="00DB43EE">
        <w:rPr>
          <w:color w:val="000000"/>
          <w:spacing w:val="-4"/>
          <w:szCs w:val="20"/>
        </w:rPr>
        <w:t>gadam par 0,2</w:t>
      </w:r>
      <w:r>
        <w:rPr>
          <w:color w:val="000000"/>
          <w:spacing w:val="-4"/>
          <w:szCs w:val="20"/>
        </w:rPr>
        <w:t> </w:t>
      </w:r>
      <w:r w:rsidRPr="00DB43EE">
        <w:rPr>
          <w:color w:val="000000"/>
          <w:spacing w:val="-4"/>
          <w:szCs w:val="20"/>
        </w:rPr>
        <w:t>procentpunktiem.</w:t>
      </w:r>
    </w:p>
    <w:p w14:paraId="33030E7F" w14:textId="1768E0DA" w:rsidR="00A408E7" w:rsidRDefault="0665C32D" w:rsidP="4398C881">
      <w:pPr>
        <w:jc w:val="both"/>
        <w:rPr>
          <w:color w:val="000000" w:themeColor="text1"/>
        </w:rPr>
      </w:pPr>
      <w:r w:rsidRPr="4398C881">
        <w:rPr>
          <w:color w:val="000000" w:themeColor="text1"/>
        </w:rPr>
        <w:t>Kopumā līdz 2040. gadam darbaspēka piedāvājums ar augstāko izglītību varētu sasniegt gandrīz pusi (49,3%) no kopējā darbaspēka piedāvājuma, ar arodizglītību un profesionālo vidējo izglītību 17,7% un vispārējo vidējo izglītību 22%, bet ar pamatizglītību un zemāku izglītību – 11 procentiem.</w:t>
      </w:r>
    </w:p>
    <w:p w14:paraId="6041460A" w14:textId="718E86CB" w:rsidR="003000D9" w:rsidRPr="00B8656E" w:rsidRDefault="003000D9" w:rsidP="003000D9">
      <w:pPr>
        <w:jc w:val="both"/>
        <w:rPr>
          <w:color w:val="000000"/>
          <w:spacing w:val="-2"/>
        </w:rPr>
      </w:pPr>
      <w:r w:rsidRPr="4398C881">
        <w:rPr>
          <w:color w:val="000000"/>
          <w:spacing w:val="-2"/>
        </w:rPr>
        <w:t xml:space="preserve">Saglabājoties līdzšinējai izglītības piedāvājuma struktūrai, </w:t>
      </w:r>
      <w:r w:rsidRPr="4398C881">
        <w:rPr>
          <w:b/>
          <w:bCs/>
          <w:color w:val="000000"/>
          <w:spacing w:val="-2"/>
        </w:rPr>
        <w:t xml:space="preserve">vislielākais darbaspēka pieaugums ar augstāko izglītību sagaidāms sociālo zinātņu, </w:t>
      </w:r>
      <w:proofErr w:type="spellStart"/>
      <w:r w:rsidRPr="4398C881">
        <w:rPr>
          <w:b/>
          <w:bCs/>
          <w:color w:val="000000"/>
          <w:spacing w:val="-2"/>
        </w:rPr>
        <w:t>komerczinību</w:t>
      </w:r>
      <w:proofErr w:type="spellEnd"/>
      <w:r w:rsidRPr="4398C881">
        <w:rPr>
          <w:b/>
          <w:bCs/>
          <w:color w:val="000000"/>
          <w:spacing w:val="-2"/>
        </w:rPr>
        <w:t xml:space="preserve"> un tiesību zinību jomās</w:t>
      </w:r>
      <w:r w:rsidRPr="4398C881">
        <w:rPr>
          <w:color w:val="000000"/>
          <w:spacing w:val="-2"/>
        </w:rPr>
        <w:t>. Atbilstošās kvalifikācijas darbaspēka piedāvājuma pieaugums līdz 2040. gadam veidos aptuveni 44% no kopējā darbaspēka pieauguma ar augstāko izglītību.</w:t>
      </w:r>
    </w:p>
    <w:p w14:paraId="4328DB67" w14:textId="77777777" w:rsidR="003000D9" w:rsidRPr="001231A9" w:rsidRDefault="003000D9" w:rsidP="003000D9">
      <w:pPr>
        <w:spacing w:before="120" w:after="120"/>
        <w:jc w:val="both"/>
        <w:rPr>
          <w:color w:val="000000"/>
          <w:szCs w:val="20"/>
          <w:highlight w:val="yellow"/>
        </w:rPr>
      </w:pPr>
      <w:r w:rsidRPr="00B8656E">
        <w:rPr>
          <w:color w:val="000000"/>
          <w:szCs w:val="20"/>
        </w:rPr>
        <w:t>Vienlaikus atsevišķās augstākās izglītības tematiskajās grupās sagaidāms darbaspēka piedāvājuma samazinājums dēļ nepietiekamā darbaspēka atražošanās līmeņa – jauno darba tirgū ienākošo speciālistu skaits ir mazāks nekā tie kuri iziet no tā dēļ pensionēšanās u.c. faktoriem. Visvairāk darbaspēka novecošanās turpmākajos gados izpaudīsies tādās izglītības tematiskajās grupās kā izglītība</w:t>
      </w:r>
      <w:r>
        <w:rPr>
          <w:color w:val="000000"/>
          <w:szCs w:val="20"/>
        </w:rPr>
        <w:t xml:space="preserve">, </w:t>
      </w:r>
      <w:r w:rsidRPr="00121897">
        <w:rPr>
          <w:color w:val="000000"/>
          <w:szCs w:val="20"/>
        </w:rPr>
        <w:t>inženierzinātnes, ražošana un būvniecība</w:t>
      </w:r>
      <w:r w:rsidRPr="00B8656E">
        <w:rPr>
          <w:color w:val="000000"/>
          <w:szCs w:val="20"/>
        </w:rPr>
        <w:t xml:space="preserve"> un </w:t>
      </w:r>
      <w:r w:rsidRPr="00121897">
        <w:rPr>
          <w:color w:val="000000"/>
          <w:szCs w:val="20"/>
        </w:rPr>
        <w:t>lauksaimniecība. Jāatzīmē, ka 2021. gadā no kopējā darbaspēka piedāvājuma ar atbilstošo izglītību vairāk nekā puse bija vecumā virs 45 gadiem – izglītības tematiskajā grupa (65%), inženierzinātnes, ražošana un būvniecība (55%), bet lauksaimniecībā (52%)</w:t>
      </w:r>
      <w:r>
        <w:rPr>
          <w:color w:val="000000"/>
          <w:szCs w:val="20"/>
        </w:rPr>
        <w:t>. N</w:t>
      </w:r>
      <w:r w:rsidRPr="00121897">
        <w:rPr>
          <w:color w:val="000000"/>
          <w:szCs w:val="20"/>
        </w:rPr>
        <w:t>ākamo 10-20 gadu laikā vairums no tiem pametīs darba tirgu</w:t>
      </w:r>
      <w:r>
        <w:rPr>
          <w:color w:val="000000"/>
          <w:szCs w:val="20"/>
        </w:rPr>
        <w:t>.</w:t>
      </w:r>
    </w:p>
    <w:p w14:paraId="53E6E1B0" w14:textId="77777777" w:rsidR="003000D9" w:rsidRDefault="003000D9">
      <w:pPr>
        <w:spacing w:after="0"/>
        <w:rPr>
          <w:szCs w:val="26"/>
        </w:rPr>
      </w:pPr>
      <w:r>
        <w:rPr>
          <w:szCs w:val="26"/>
        </w:rPr>
        <w:br w:type="page"/>
      </w:r>
    </w:p>
    <w:p w14:paraId="70CF502A" w14:textId="4E454EA5" w:rsidR="00A408E7" w:rsidRPr="00C8290A" w:rsidRDefault="00A408E7" w:rsidP="00C24E26">
      <w:pPr>
        <w:jc w:val="right"/>
        <w:rPr>
          <w:szCs w:val="26"/>
        </w:rPr>
      </w:pPr>
      <w:r w:rsidRPr="00C8290A">
        <w:rPr>
          <w:szCs w:val="26"/>
        </w:rPr>
        <w:lastRenderedPageBreak/>
        <w:t>3.11. tabula</w:t>
      </w:r>
    </w:p>
    <w:p w14:paraId="5C4348E0" w14:textId="77777777" w:rsidR="00A408E7" w:rsidRPr="00C8290A" w:rsidRDefault="00A408E7" w:rsidP="00C24E26">
      <w:pPr>
        <w:spacing w:after="120"/>
        <w:jc w:val="center"/>
        <w:rPr>
          <w:rFonts w:ascii="Segoe UI Light" w:hAnsi="Segoe UI Light"/>
          <w:b/>
          <w:sz w:val="18"/>
          <w:szCs w:val="26"/>
        </w:rPr>
      </w:pPr>
      <w:r w:rsidRPr="000C591A">
        <w:rPr>
          <w:rFonts w:ascii="Segoe UI Light" w:hAnsi="Segoe UI Light"/>
          <w:b/>
          <w:sz w:val="18"/>
          <w:szCs w:val="26"/>
        </w:rPr>
        <w:t>Darbaspēka piedāvājums pa izglītības tematiskajām grupām</w:t>
      </w:r>
    </w:p>
    <w:tbl>
      <w:tblPr>
        <w:tblStyle w:val="GridTable5Dark-Accent31"/>
        <w:tblW w:w="91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373"/>
        <w:gridCol w:w="623"/>
        <w:gridCol w:w="737"/>
        <w:gridCol w:w="737"/>
        <w:gridCol w:w="737"/>
        <w:gridCol w:w="737"/>
        <w:gridCol w:w="737"/>
        <w:gridCol w:w="737"/>
        <w:gridCol w:w="737"/>
      </w:tblGrid>
      <w:tr w:rsidR="00C51D16" w:rsidRPr="00C8290A" w14:paraId="42A64FD2" w14:textId="77777777" w:rsidTr="00D209BD">
        <w:trPr>
          <w:cnfStyle w:val="100000000000" w:firstRow="1" w:lastRow="0" w:firstColumn="0" w:lastColumn="0" w:oddVBand="0" w:evenVBand="0" w:oddHBand="0" w:evenHBand="0" w:firstRowFirstColumn="0" w:firstRowLastColumn="0" w:lastRowFirstColumn="0" w:lastRowLastColumn="0"/>
          <w:cantSplit/>
          <w:trHeight w:val="20"/>
          <w:jc w:val="center"/>
        </w:trPr>
        <w:tc>
          <w:tcPr>
            <w:tcW w:w="3373" w:type="dxa"/>
            <w:shd w:val="clear" w:color="auto" w:fill="5F497A" w:themeFill="accent4" w:themeFillShade="BF"/>
            <w:vAlign w:val="center"/>
          </w:tcPr>
          <w:p w14:paraId="1C4FAFB0" w14:textId="77777777" w:rsidR="00A408E7" w:rsidRPr="00C8290A" w:rsidRDefault="00A408E7" w:rsidP="00D209BD">
            <w:pPr>
              <w:spacing w:before="40" w:after="40"/>
              <w:jc w:val="center"/>
              <w:rPr>
                <w:rFonts w:ascii="Segoe UI Light" w:eastAsia="Times New Roman" w:hAnsi="Segoe UI Light"/>
                <w:b w:val="0"/>
                <w:bCs w:val="0"/>
                <w:sz w:val="16"/>
                <w:szCs w:val="18"/>
                <w:lang w:eastAsia="lv-LV"/>
              </w:rPr>
            </w:pPr>
          </w:p>
        </w:tc>
        <w:tc>
          <w:tcPr>
            <w:tcW w:w="2097" w:type="dxa"/>
            <w:gridSpan w:val="3"/>
            <w:shd w:val="clear" w:color="auto" w:fill="5F497A" w:themeFill="accent4" w:themeFillShade="BF"/>
            <w:noWrap/>
            <w:vAlign w:val="center"/>
            <w:hideMark/>
          </w:tcPr>
          <w:p w14:paraId="3813C582" w14:textId="77777777" w:rsidR="00A408E7" w:rsidRPr="00C8290A" w:rsidRDefault="00A408E7" w:rsidP="00D209BD">
            <w:pPr>
              <w:spacing w:before="40" w:after="40"/>
              <w:jc w:val="center"/>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tūkstošos</w:t>
            </w:r>
          </w:p>
        </w:tc>
        <w:tc>
          <w:tcPr>
            <w:tcW w:w="2211" w:type="dxa"/>
            <w:gridSpan w:val="3"/>
            <w:shd w:val="clear" w:color="auto" w:fill="5F497A" w:themeFill="accent4" w:themeFillShade="BF"/>
            <w:vAlign w:val="center"/>
            <w:hideMark/>
          </w:tcPr>
          <w:p w14:paraId="698CEC82" w14:textId="77777777" w:rsidR="00A408E7" w:rsidRPr="00C8290A" w:rsidRDefault="00A408E7" w:rsidP="00D209BD">
            <w:pPr>
              <w:spacing w:before="40" w:after="40"/>
              <w:jc w:val="center"/>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struktūra, %</w:t>
            </w:r>
          </w:p>
        </w:tc>
        <w:tc>
          <w:tcPr>
            <w:tcW w:w="1474" w:type="dxa"/>
            <w:gridSpan w:val="2"/>
            <w:shd w:val="clear" w:color="auto" w:fill="5F497A" w:themeFill="accent4" w:themeFillShade="BF"/>
            <w:vAlign w:val="center"/>
            <w:hideMark/>
          </w:tcPr>
          <w:p w14:paraId="5E5A20B9" w14:textId="77777777" w:rsidR="00A408E7" w:rsidRPr="00C8290A" w:rsidRDefault="00A408E7" w:rsidP="00D209BD">
            <w:pPr>
              <w:spacing w:before="40" w:after="40"/>
              <w:jc w:val="center"/>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izmaiņas tūkstošos pret 20</w:t>
            </w:r>
            <w:r>
              <w:rPr>
                <w:rFonts w:ascii="Segoe UI Light" w:eastAsia="Times New Roman" w:hAnsi="Segoe UI Light"/>
                <w:sz w:val="16"/>
                <w:szCs w:val="18"/>
                <w:lang w:eastAsia="lv-LV"/>
              </w:rPr>
              <w:t>21</w:t>
            </w:r>
            <w:r w:rsidRPr="00C8290A">
              <w:rPr>
                <w:rFonts w:ascii="Segoe UI Light" w:eastAsia="Times New Roman" w:hAnsi="Segoe UI Light"/>
                <w:sz w:val="16"/>
                <w:szCs w:val="18"/>
                <w:lang w:eastAsia="lv-LV"/>
              </w:rPr>
              <w:t>. gadu</w:t>
            </w:r>
          </w:p>
        </w:tc>
      </w:tr>
      <w:tr w:rsidR="00343BAC" w:rsidRPr="00C8290A" w14:paraId="75A18D8B" w14:textId="77777777" w:rsidTr="003000D9">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5F497A" w:themeFill="accent4" w:themeFillShade="BF"/>
            <w:vAlign w:val="center"/>
            <w:hideMark/>
          </w:tcPr>
          <w:p w14:paraId="0150F360" w14:textId="77777777" w:rsidR="00A408E7" w:rsidRPr="00C8290A" w:rsidRDefault="00A408E7" w:rsidP="00D209BD">
            <w:pPr>
              <w:spacing w:before="40" w:after="40"/>
              <w:jc w:val="center"/>
              <w:rPr>
                <w:rFonts w:ascii="Segoe UI Light" w:eastAsia="Times New Roman" w:hAnsi="Segoe UI Light"/>
                <w:bCs/>
                <w:color w:val="FFFFFF" w:themeColor="background1"/>
                <w:sz w:val="16"/>
                <w:szCs w:val="18"/>
                <w:lang w:eastAsia="lv-LV"/>
              </w:rPr>
            </w:pPr>
          </w:p>
        </w:tc>
        <w:tc>
          <w:tcPr>
            <w:tcW w:w="623" w:type="dxa"/>
            <w:shd w:val="clear" w:color="auto" w:fill="5F497A" w:themeFill="accent4" w:themeFillShade="BF"/>
            <w:vAlign w:val="center"/>
            <w:hideMark/>
          </w:tcPr>
          <w:p w14:paraId="19955350"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2021</w:t>
            </w:r>
            <w:r>
              <w:rPr>
                <w:rFonts w:ascii="Segoe UI Light" w:eastAsia="Times New Roman" w:hAnsi="Segoe UI Light"/>
                <w:b/>
                <w:color w:val="FFFFFF" w:themeColor="background1"/>
                <w:sz w:val="16"/>
                <w:szCs w:val="18"/>
                <w:lang w:eastAsia="lv-LV"/>
              </w:rPr>
              <w:t>*</w:t>
            </w:r>
          </w:p>
        </w:tc>
        <w:tc>
          <w:tcPr>
            <w:tcW w:w="737" w:type="dxa"/>
            <w:shd w:val="clear" w:color="auto" w:fill="5F497A" w:themeFill="accent4" w:themeFillShade="BF"/>
            <w:vAlign w:val="center"/>
            <w:hideMark/>
          </w:tcPr>
          <w:p w14:paraId="10A9E8B4"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2030</w:t>
            </w:r>
          </w:p>
        </w:tc>
        <w:tc>
          <w:tcPr>
            <w:tcW w:w="737" w:type="dxa"/>
            <w:shd w:val="clear" w:color="auto" w:fill="5F497A" w:themeFill="accent4" w:themeFillShade="BF"/>
            <w:vAlign w:val="center"/>
            <w:hideMark/>
          </w:tcPr>
          <w:p w14:paraId="6150E8B0"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2040</w:t>
            </w:r>
          </w:p>
        </w:tc>
        <w:tc>
          <w:tcPr>
            <w:tcW w:w="737" w:type="dxa"/>
            <w:shd w:val="clear" w:color="auto" w:fill="5F497A" w:themeFill="accent4" w:themeFillShade="BF"/>
            <w:vAlign w:val="center"/>
            <w:hideMark/>
          </w:tcPr>
          <w:p w14:paraId="77FB9F55"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2021</w:t>
            </w:r>
            <w:r>
              <w:rPr>
                <w:rFonts w:ascii="Segoe UI Light" w:eastAsia="Times New Roman" w:hAnsi="Segoe UI Light"/>
                <w:b/>
                <w:color w:val="FFFFFF" w:themeColor="background1"/>
                <w:sz w:val="16"/>
                <w:szCs w:val="18"/>
                <w:lang w:eastAsia="lv-LV"/>
              </w:rPr>
              <w:t>*</w:t>
            </w:r>
          </w:p>
        </w:tc>
        <w:tc>
          <w:tcPr>
            <w:tcW w:w="737" w:type="dxa"/>
            <w:shd w:val="clear" w:color="auto" w:fill="5F497A" w:themeFill="accent4" w:themeFillShade="BF"/>
            <w:vAlign w:val="center"/>
            <w:hideMark/>
          </w:tcPr>
          <w:p w14:paraId="0B1C7DE9"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2030</w:t>
            </w:r>
          </w:p>
        </w:tc>
        <w:tc>
          <w:tcPr>
            <w:tcW w:w="737" w:type="dxa"/>
            <w:shd w:val="clear" w:color="auto" w:fill="5F497A" w:themeFill="accent4" w:themeFillShade="BF"/>
            <w:vAlign w:val="center"/>
            <w:hideMark/>
          </w:tcPr>
          <w:p w14:paraId="5F171B33"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2040</w:t>
            </w:r>
          </w:p>
        </w:tc>
        <w:tc>
          <w:tcPr>
            <w:tcW w:w="737" w:type="dxa"/>
            <w:shd w:val="clear" w:color="auto" w:fill="5F497A" w:themeFill="accent4" w:themeFillShade="BF"/>
            <w:vAlign w:val="center"/>
            <w:hideMark/>
          </w:tcPr>
          <w:p w14:paraId="147B5F47"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2030</w:t>
            </w:r>
          </w:p>
        </w:tc>
        <w:tc>
          <w:tcPr>
            <w:tcW w:w="737" w:type="dxa"/>
            <w:shd w:val="clear" w:color="auto" w:fill="5F497A" w:themeFill="accent4" w:themeFillShade="BF"/>
            <w:vAlign w:val="center"/>
            <w:hideMark/>
          </w:tcPr>
          <w:p w14:paraId="5C02E1E9" w14:textId="77777777" w:rsidR="00A408E7" w:rsidRPr="00C8290A" w:rsidRDefault="00A408E7" w:rsidP="00D209BD">
            <w:pPr>
              <w:spacing w:before="40" w:after="40"/>
              <w:jc w:val="center"/>
              <w:rPr>
                <w:rFonts w:ascii="Segoe UI Light" w:eastAsia="Times New Roman" w:hAnsi="Segoe UI Light"/>
                <w:b/>
                <w:color w:val="FFFFFF" w:themeColor="background1"/>
                <w:sz w:val="16"/>
                <w:szCs w:val="18"/>
                <w:lang w:eastAsia="lv-LV"/>
              </w:rPr>
            </w:pPr>
            <w:r w:rsidRPr="00C8290A">
              <w:rPr>
                <w:rFonts w:ascii="Segoe UI Light" w:eastAsia="Times New Roman" w:hAnsi="Segoe UI Light"/>
                <w:b/>
                <w:color w:val="FFFFFF" w:themeColor="background1"/>
                <w:sz w:val="16"/>
                <w:szCs w:val="18"/>
                <w:lang w:eastAsia="lv-LV"/>
              </w:rPr>
              <w:t>2040</w:t>
            </w:r>
          </w:p>
        </w:tc>
      </w:tr>
      <w:tr w:rsidR="00343BAC" w:rsidRPr="00C8290A" w14:paraId="77783D63" w14:textId="77777777" w:rsidTr="00BD0B9F">
        <w:trPr>
          <w:cantSplit/>
          <w:trHeight w:val="20"/>
          <w:jc w:val="center"/>
        </w:trPr>
        <w:tc>
          <w:tcPr>
            <w:tcW w:w="3373" w:type="dxa"/>
            <w:shd w:val="clear" w:color="auto" w:fill="E5DFEC" w:themeFill="accent4" w:themeFillTint="33"/>
            <w:vAlign w:val="bottom"/>
            <w:hideMark/>
          </w:tcPr>
          <w:p w14:paraId="51C00EE6" w14:textId="77777777" w:rsidR="00BD0B9F" w:rsidRPr="00616ACB" w:rsidRDefault="00BD0B9F" w:rsidP="00BD0B9F">
            <w:pPr>
              <w:spacing w:before="40" w:after="40"/>
              <w:rPr>
                <w:rFonts w:ascii="Segoe UI Light" w:eastAsia="Times New Roman" w:hAnsi="Segoe UI Light"/>
                <w:b/>
                <w:sz w:val="16"/>
                <w:szCs w:val="18"/>
                <w:lang w:eastAsia="lv-LV"/>
              </w:rPr>
            </w:pPr>
            <w:bookmarkStart w:id="71" w:name="_Hlk40117391"/>
            <w:r w:rsidRPr="00616ACB">
              <w:rPr>
                <w:rFonts w:ascii="Segoe UI Light" w:eastAsia="Times New Roman" w:hAnsi="Segoe UI Light"/>
                <w:b/>
                <w:sz w:val="16"/>
                <w:szCs w:val="18"/>
                <w:lang w:eastAsia="lv-LV"/>
              </w:rPr>
              <w:t>Augstākā izglītība, tai skaitā:</w:t>
            </w:r>
          </w:p>
        </w:tc>
        <w:tc>
          <w:tcPr>
            <w:tcW w:w="623" w:type="dxa"/>
            <w:shd w:val="clear" w:color="auto" w:fill="E5DFEC" w:themeFill="accent4" w:themeFillTint="33"/>
            <w:noWrap/>
            <w:vAlign w:val="bottom"/>
            <w:hideMark/>
          </w:tcPr>
          <w:p w14:paraId="50085BB4" w14:textId="0D093C6B"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370</w:t>
            </w:r>
            <w:r>
              <w:rPr>
                <w:rFonts w:ascii="Segoe UI Light" w:hAnsi="Segoe UI Light"/>
                <w:b/>
                <w:sz w:val="16"/>
                <w:szCs w:val="18"/>
              </w:rPr>
              <w:t>,</w:t>
            </w:r>
            <w:r w:rsidRPr="00616ACB">
              <w:rPr>
                <w:rFonts w:ascii="Segoe UI Light" w:hAnsi="Segoe UI Light"/>
                <w:b/>
                <w:sz w:val="16"/>
                <w:szCs w:val="18"/>
              </w:rPr>
              <w:t>2</w:t>
            </w:r>
          </w:p>
        </w:tc>
        <w:tc>
          <w:tcPr>
            <w:tcW w:w="737" w:type="dxa"/>
            <w:shd w:val="clear" w:color="auto" w:fill="E5DFEC" w:themeFill="accent4" w:themeFillTint="33"/>
            <w:noWrap/>
            <w:vAlign w:val="bottom"/>
            <w:hideMark/>
          </w:tcPr>
          <w:p w14:paraId="6BB2F389" w14:textId="71DBAB63"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416</w:t>
            </w:r>
            <w:r>
              <w:rPr>
                <w:rFonts w:ascii="Segoe UI Light" w:hAnsi="Segoe UI Light"/>
                <w:b/>
                <w:sz w:val="16"/>
                <w:szCs w:val="18"/>
              </w:rPr>
              <w:t>,2</w:t>
            </w:r>
          </w:p>
        </w:tc>
        <w:tc>
          <w:tcPr>
            <w:tcW w:w="737" w:type="dxa"/>
            <w:shd w:val="clear" w:color="auto" w:fill="E5DFEC" w:themeFill="accent4" w:themeFillTint="33"/>
            <w:vAlign w:val="bottom"/>
            <w:hideMark/>
          </w:tcPr>
          <w:p w14:paraId="4B35C53B" w14:textId="1E9D329F"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45</w:t>
            </w:r>
            <w:r>
              <w:rPr>
                <w:rFonts w:ascii="Segoe UI Light" w:hAnsi="Segoe UI Light"/>
                <w:b/>
                <w:sz w:val="16"/>
                <w:szCs w:val="18"/>
              </w:rPr>
              <w:t>6,2</w:t>
            </w:r>
          </w:p>
        </w:tc>
        <w:tc>
          <w:tcPr>
            <w:tcW w:w="737" w:type="dxa"/>
            <w:shd w:val="clear" w:color="auto" w:fill="E5DFEC" w:themeFill="accent4" w:themeFillTint="33"/>
            <w:vAlign w:val="bottom"/>
            <w:hideMark/>
          </w:tcPr>
          <w:p w14:paraId="68DC4904" w14:textId="44FC17BA"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39,6</w:t>
            </w:r>
          </w:p>
        </w:tc>
        <w:tc>
          <w:tcPr>
            <w:tcW w:w="737" w:type="dxa"/>
            <w:shd w:val="clear" w:color="auto" w:fill="E5DFEC" w:themeFill="accent4" w:themeFillTint="33"/>
            <w:vAlign w:val="bottom"/>
            <w:hideMark/>
          </w:tcPr>
          <w:p w14:paraId="65E9FD76" w14:textId="7377DB20"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44,1</w:t>
            </w:r>
          </w:p>
        </w:tc>
        <w:tc>
          <w:tcPr>
            <w:tcW w:w="737" w:type="dxa"/>
            <w:shd w:val="clear" w:color="auto" w:fill="E5DFEC" w:themeFill="accent4" w:themeFillTint="33"/>
            <w:vAlign w:val="bottom"/>
            <w:hideMark/>
          </w:tcPr>
          <w:p w14:paraId="5CAD7DFE" w14:textId="1DF71B21"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49,3</w:t>
            </w:r>
          </w:p>
        </w:tc>
        <w:tc>
          <w:tcPr>
            <w:tcW w:w="737" w:type="dxa"/>
            <w:shd w:val="clear" w:color="auto" w:fill="E5DFEC" w:themeFill="accent4" w:themeFillTint="33"/>
            <w:vAlign w:val="bottom"/>
            <w:hideMark/>
          </w:tcPr>
          <w:p w14:paraId="06C76938" w14:textId="2C688ED7"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46,0</w:t>
            </w:r>
          </w:p>
        </w:tc>
        <w:tc>
          <w:tcPr>
            <w:tcW w:w="737" w:type="dxa"/>
            <w:shd w:val="clear" w:color="auto" w:fill="E5DFEC" w:themeFill="accent4" w:themeFillTint="33"/>
            <w:vAlign w:val="bottom"/>
            <w:hideMark/>
          </w:tcPr>
          <w:p w14:paraId="2B1C4B0F" w14:textId="2A2975ED"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86,1</w:t>
            </w:r>
          </w:p>
        </w:tc>
      </w:tr>
      <w:tr w:rsidR="00343BAC" w:rsidRPr="00C8290A" w14:paraId="0A18D3C9"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5AD7EEFB"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Izglītība</w:t>
            </w:r>
          </w:p>
        </w:tc>
        <w:tc>
          <w:tcPr>
            <w:tcW w:w="623" w:type="dxa"/>
            <w:shd w:val="clear" w:color="auto" w:fill="CCC0D9" w:themeFill="accent4" w:themeFillTint="66"/>
            <w:noWrap/>
            <w:vAlign w:val="bottom"/>
            <w:hideMark/>
          </w:tcPr>
          <w:p w14:paraId="28F8024E" w14:textId="025B060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50</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CCC0D9" w:themeFill="accent4" w:themeFillTint="66"/>
            <w:noWrap/>
            <w:vAlign w:val="bottom"/>
            <w:hideMark/>
          </w:tcPr>
          <w:p w14:paraId="4D7D2C1F" w14:textId="75824573"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48</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CCC0D9" w:themeFill="accent4" w:themeFillTint="66"/>
            <w:vAlign w:val="bottom"/>
            <w:hideMark/>
          </w:tcPr>
          <w:p w14:paraId="56128D88" w14:textId="4D52EDF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43</w:t>
            </w:r>
            <w:r>
              <w:rPr>
                <w:rFonts w:ascii="Segoe UI Light" w:hAnsi="Segoe UI Light"/>
                <w:sz w:val="16"/>
                <w:szCs w:val="18"/>
              </w:rPr>
              <w:t>,2</w:t>
            </w:r>
          </w:p>
        </w:tc>
        <w:tc>
          <w:tcPr>
            <w:tcW w:w="737" w:type="dxa"/>
            <w:shd w:val="clear" w:color="auto" w:fill="CCC0D9" w:themeFill="accent4" w:themeFillTint="66"/>
            <w:vAlign w:val="bottom"/>
            <w:hideMark/>
          </w:tcPr>
          <w:p w14:paraId="20CC864E" w14:textId="28D7E1DF"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5,4</w:t>
            </w:r>
          </w:p>
        </w:tc>
        <w:tc>
          <w:tcPr>
            <w:tcW w:w="737" w:type="dxa"/>
            <w:shd w:val="clear" w:color="auto" w:fill="CCC0D9" w:themeFill="accent4" w:themeFillTint="66"/>
            <w:vAlign w:val="bottom"/>
            <w:hideMark/>
          </w:tcPr>
          <w:p w14:paraId="61492764" w14:textId="296C087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5,2</w:t>
            </w:r>
          </w:p>
        </w:tc>
        <w:tc>
          <w:tcPr>
            <w:tcW w:w="737" w:type="dxa"/>
            <w:shd w:val="clear" w:color="auto" w:fill="CCC0D9" w:themeFill="accent4" w:themeFillTint="66"/>
            <w:vAlign w:val="bottom"/>
            <w:hideMark/>
          </w:tcPr>
          <w:p w14:paraId="4E7904FD" w14:textId="5AA60DD1"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4,7</w:t>
            </w:r>
          </w:p>
        </w:tc>
        <w:tc>
          <w:tcPr>
            <w:tcW w:w="737" w:type="dxa"/>
            <w:shd w:val="clear" w:color="auto" w:fill="CCC0D9" w:themeFill="accent4" w:themeFillTint="66"/>
            <w:vAlign w:val="bottom"/>
            <w:hideMark/>
          </w:tcPr>
          <w:p w14:paraId="13C139B3" w14:textId="7EFB8B99"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-1,9</w:t>
            </w:r>
          </w:p>
        </w:tc>
        <w:tc>
          <w:tcPr>
            <w:tcW w:w="737" w:type="dxa"/>
            <w:shd w:val="clear" w:color="auto" w:fill="CCC0D9" w:themeFill="accent4" w:themeFillTint="66"/>
            <w:vAlign w:val="bottom"/>
            <w:hideMark/>
          </w:tcPr>
          <w:p w14:paraId="76CF4F0E" w14:textId="681288F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-7,4</w:t>
            </w:r>
          </w:p>
        </w:tc>
      </w:tr>
      <w:bookmarkEnd w:id="71"/>
      <w:tr w:rsidR="00343BAC" w:rsidRPr="00C8290A" w14:paraId="61BBBD4E" w14:textId="77777777" w:rsidTr="00BD0B9F">
        <w:trPr>
          <w:cantSplit/>
          <w:trHeight w:val="20"/>
          <w:jc w:val="center"/>
        </w:trPr>
        <w:tc>
          <w:tcPr>
            <w:tcW w:w="3373" w:type="dxa"/>
            <w:shd w:val="clear" w:color="auto" w:fill="E5DFEC" w:themeFill="accent4" w:themeFillTint="33"/>
            <w:vAlign w:val="bottom"/>
            <w:hideMark/>
          </w:tcPr>
          <w:p w14:paraId="758177B2"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Humanitārās zinātnes un māksla</w:t>
            </w:r>
          </w:p>
        </w:tc>
        <w:tc>
          <w:tcPr>
            <w:tcW w:w="623" w:type="dxa"/>
            <w:shd w:val="clear" w:color="auto" w:fill="E5DFEC" w:themeFill="accent4" w:themeFillTint="33"/>
            <w:noWrap/>
            <w:vAlign w:val="bottom"/>
            <w:hideMark/>
          </w:tcPr>
          <w:p w14:paraId="02D9D1EB" w14:textId="0020AF4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18</w:t>
            </w:r>
            <w:r>
              <w:rPr>
                <w:rFonts w:ascii="Segoe UI Light" w:hAnsi="Segoe UI Light"/>
                <w:sz w:val="16"/>
                <w:szCs w:val="18"/>
              </w:rPr>
              <w:t>,</w:t>
            </w:r>
            <w:r w:rsidRPr="00C8290A">
              <w:rPr>
                <w:rFonts w:ascii="Segoe UI Light" w:hAnsi="Segoe UI Light"/>
                <w:sz w:val="16"/>
                <w:szCs w:val="18"/>
              </w:rPr>
              <w:t>9</w:t>
            </w:r>
          </w:p>
        </w:tc>
        <w:tc>
          <w:tcPr>
            <w:tcW w:w="737" w:type="dxa"/>
            <w:shd w:val="clear" w:color="auto" w:fill="E5DFEC" w:themeFill="accent4" w:themeFillTint="33"/>
            <w:noWrap/>
            <w:vAlign w:val="bottom"/>
            <w:hideMark/>
          </w:tcPr>
          <w:p w14:paraId="7956C75C" w14:textId="3CD1CE32"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24</w:t>
            </w:r>
            <w:r>
              <w:rPr>
                <w:rFonts w:ascii="Segoe UI Light" w:hAnsi="Segoe UI Light"/>
                <w:sz w:val="16"/>
                <w:szCs w:val="18"/>
              </w:rPr>
              <w:t>,2</w:t>
            </w:r>
          </w:p>
        </w:tc>
        <w:tc>
          <w:tcPr>
            <w:tcW w:w="737" w:type="dxa"/>
            <w:shd w:val="clear" w:color="auto" w:fill="E5DFEC" w:themeFill="accent4" w:themeFillTint="33"/>
            <w:vAlign w:val="bottom"/>
            <w:hideMark/>
          </w:tcPr>
          <w:p w14:paraId="112B0DF6" w14:textId="48D6F95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30</w:t>
            </w:r>
            <w:r>
              <w:rPr>
                <w:rFonts w:ascii="Segoe UI Light" w:hAnsi="Segoe UI Light"/>
                <w:sz w:val="16"/>
                <w:szCs w:val="18"/>
              </w:rPr>
              <w:t>,</w:t>
            </w:r>
            <w:r w:rsidRPr="00C8290A">
              <w:rPr>
                <w:rFonts w:ascii="Segoe UI Light" w:hAnsi="Segoe UI Light"/>
                <w:sz w:val="16"/>
                <w:szCs w:val="18"/>
              </w:rPr>
              <w:t>1</w:t>
            </w:r>
          </w:p>
        </w:tc>
        <w:tc>
          <w:tcPr>
            <w:tcW w:w="737" w:type="dxa"/>
            <w:shd w:val="clear" w:color="auto" w:fill="E5DFEC" w:themeFill="accent4" w:themeFillTint="33"/>
            <w:vAlign w:val="bottom"/>
            <w:hideMark/>
          </w:tcPr>
          <w:p w14:paraId="3BC35263" w14:textId="3BF99FD0"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2,0</w:t>
            </w:r>
          </w:p>
        </w:tc>
        <w:tc>
          <w:tcPr>
            <w:tcW w:w="737" w:type="dxa"/>
            <w:shd w:val="clear" w:color="auto" w:fill="E5DFEC" w:themeFill="accent4" w:themeFillTint="33"/>
            <w:vAlign w:val="bottom"/>
            <w:hideMark/>
          </w:tcPr>
          <w:p w14:paraId="4F3C6666" w14:textId="048990F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2,6</w:t>
            </w:r>
          </w:p>
        </w:tc>
        <w:tc>
          <w:tcPr>
            <w:tcW w:w="737" w:type="dxa"/>
            <w:shd w:val="clear" w:color="auto" w:fill="E5DFEC" w:themeFill="accent4" w:themeFillTint="33"/>
            <w:vAlign w:val="bottom"/>
            <w:hideMark/>
          </w:tcPr>
          <w:p w14:paraId="5B312700" w14:textId="06BE611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3,3</w:t>
            </w:r>
          </w:p>
        </w:tc>
        <w:tc>
          <w:tcPr>
            <w:tcW w:w="737" w:type="dxa"/>
            <w:shd w:val="clear" w:color="auto" w:fill="E5DFEC" w:themeFill="accent4" w:themeFillTint="33"/>
            <w:vAlign w:val="bottom"/>
            <w:hideMark/>
          </w:tcPr>
          <w:p w14:paraId="07B223F0" w14:textId="36957F4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5,3</w:t>
            </w:r>
          </w:p>
        </w:tc>
        <w:tc>
          <w:tcPr>
            <w:tcW w:w="737" w:type="dxa"/>
            <w:shd w:val="clear" w:color="auto" w:fill="E5DFEC" w:themeFill="accent4" w:themeFillTint="33"/>
            <w:vAlign w:val="bottom"/>
            <w:hideMark/>
          </w:tcPr>
          <w:p w14:paraId="5819681B" w14:textId="5F86757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11,2</w:t>
            </w:r>
          </w:p>
        </w:tc>
      </w:tr>
      <w:tr w:rsidR="00343BAC" w:rsidRPr="00C8290A" w14:paraId="3E2BD45A"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7A5A4FF2"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 xml:space="preserve">Sociālās zinātnes, </w:t>
            </w:r>
            <w:proofErr w:type="spellStart"/>
            <w:r w:rsidRPr="00C8290A">
              <w:rPr>
                <w:rFonts w:ascii="Segoe UI Light" w:eastAsia="Times New Roman" w:hAnsi="Segoe UI Light"/>
                <w:sz w:val="16"/>
                <w:szCs w:val="18"/>
                <w:lang w:eastAsia="lv-LV"/>
              </w:rPr>
              <w:t>komerczinības</w:t>
            </w:r>
            <w:proofErr w:type="spellEnd"/>
            <w:r w:rsidRPr="00C8290A">
              <w:rPr>
                <w:rFonts w:ascii="Segoe UI Light" w:eastAsia="Times New Roman" w:hAnsi="Segoe UI Light"/>
                <w:sz w:val="16"/>
                <w:szCs w:val="18"/>
                <w:lang w:eastAsia="lv-LV"/>
              </w:rPr>
              <w:t xml:space="preserve"> un tiesības</w:t>
            </w:r>
          </w:p>
        </w:tc>
        <w:tc>
          <w:tcPr>
            <w:tcW w:w="623" w:type="dxa"/>
            <w:shd w:val="clear" w:color="auto" w:fill="CCC0D9" w:themeFill="accent4" w:themeFillTint="66"/>
            <w:noWrap/>
            <w:vAlign w:val="bottom"/>
            <w:hideMark/>
          </w:tcPr>
          <w:p w14:paraId="75B9E55B" w14:textId="6A942E84"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156</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CCC0D9" w:themeFill="accent4" w:themeFillTint="66"/>
            <w:noWrap/>
            <w:vAlign w:val="bottom"/>
            <w:hideMark/>
          </w:tcPr>
          <w:p w14:paraId="77A0CA5E" w14:textId="503D37EB"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178</w:t>
            </w:r>
            <w:r>
              <w:rPr>
                <w:rFonts w:ascii="Segoe UI Light" w:hAnsi="Segoe UI Light"/>
                <w:sz w:val="16"/>
                <w:szCs w:val="18"/>
              </w:rPr>
              <w:t>,7</w:t>
            </w:r>
          </w:p>
        </w:tc>
        <w:tc>
          <w:tcPr>
            <w:tcW w:w="737" w:type="dxa"/>
            <w:shd w:val="clear" w:color="auto" w:fill="CCC0D9" w:themeFill="accent4" w:themeFillTint="66"/>
            <w:vAlign w:val="bottom"/>
            <w:hideMark/>
          </w:tcPr>
          <w:p w14:paraId="6E807128" w14:textId="7D327CB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193</w:t>
            </w:r>
            <w:r>
              <w:rPr>
                <w:rFonts w:ascii="Segoe UI Light" w:hAnsi="Segoe UI Light"/>
                <w:sz w:val="16"/>
                <w:szCs w:val="18"/>
              </w:rPr>
              <w:t>,6</w:t>
            </w:r>
          </w:p>
        </w:tc>
        <w:tc>
          <w:tcPr>
            <w:tcW w:w="737" w:type="dxa"/>
            <w:shd w:val="clear" w:color="auto" w:fill="CCC0D9" w:themeFill="accent4" w:themeFillTint="66"/>
            <w:vAlign w:val="bottom"/>
            <w:hideMark/>
          </w:tcPr>
          <w:p w14:paraId="5081F2DB" w14:textId="007E4AE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16,7</w:t>
            </w:r>
          </w:p>
        </w:tc>
        <w:tc>
          <w:tcPr>
            <w:tcW w:w="737" w:type="dxa"/>
            <w:shd w:val="clear" w:color="auto" w:fill="CCC0D9" w:themeFill="accent4" w:themeFillTint="66"/>
            <w:vAlign w:val="bottom"/>
            <w:hideMark/>
          </w:tcPr>
          <w:p w14:paraId="244EA7FB" w14:textId="4D632B5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19,0</w:t>
            </w:r>
          </w:p>
        </w:tc>
        <w:tc>
          <w:tcPr>
            <w:tcW w:w="737" w:type="dxa"/>
            <w:shd w:val="clear" w:color="auto" w:fill="CCC0D9" w:themeFill="accent4" w:themeFillTint="66"/>
            <w:vAlign w:val="bottom"/>
            <w:hideMark/>
          </w:tcPr>
          <w:p w14:paraId="788F1BA7" w14:textId="78621129"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20,9</w:t>
            </w:r>
          </w:p>
        </w:tc>
        <w:tc>
          <w:tcPr>
            <w:tcW w:w="737" w:type="dxa"/>
            <w:shd w:val="clear" w:color="auto" w:fill="CCC0D9" w:themeFill="accent4" w:themeFillTint="66"/>
            <w:vAlign w:val="bottom"/>
            <w:hideMark/>
          </w:tcPr>
          <w:p w14:paraId="2524BCD9" w14:textId="61886C6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22,6</w:t>
            </w:r>
          </w:p>
        </w:tc>
        <w:tc>
          <w:tcPr>
            <w:tcW w:w="737" w:type="dxa"/>
            <w:shd w:val="clear" w:color="auto" w:fill="CCC0D9" w:themeFill="accent4" w:themeFillTint="66"/>
            <w:vAlign w:val="bottom"/>
            <w:hideMark/>
          </w:tcPr>
          <w:p w14:paraId="0D6D88F5" w14:textId="1CC62C68"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37,5</w:t>
            </w:r>
          </w:p>
        </w:tc>
      </w:tr>
      <w:tr w:rsidR="00343BAC" w:rsidRPr="00C8290A" w14:paraId="360BB1EC" w14:textId="77777777" w:rsidTr="00BD0B9F">
        <w:trPr>
          <w:cantSplit/>
          <w:trHeight w:val="20"/>
          <w:jc w:val="center"/>
        </w:trPr>
        <w:tc>
          <w:tcPr>
            <w:tcW w:w="3373" w:type="dxa"/>
            <w:shd w:val="clear" w:color="auto" w:fill="E5DFEC" w:themeFill="accent4" w:themeFillTint="33"/>
            <w:vAlign w:val="bottom"/>
            <w:hideMark/>
          </w:tcPr>
          <w:p w14:paraId="327E6720"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Dabas zinātnes, matemātika un informācijas tehnoloģijas</w:t>
            </w:r>
          </w:p>
        </w:tc>
        <w:tc>
          <w:tcPr>
            <w:tcW w:w="623" w:type="dxa"/>
            <w:shd w:val="clear" w:color="auto" w:fill="E5DFEC" w:themeFill="accent4" w:themeFillTint="33"/>
            <w:noWrap/>
            <w:vAlign w:val="bottom"/>
            <w:hideMark/>
          </w:tcPr>
          <w:p w14:paraId="3646F5B7" w14:textId="5B5A5E73"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26</w:t>
            </w:r>
            <w:r>
              <w:rPr>
                <w:rFonts w:ascii="Segoe UI Light" w:hAnsi="Segoe UI Light"/>
                <w:sz w:val="16"/>
                <w:szCs w:val="18"/>
              </w:rPr>
              <w:t>,</w:t>
            </w:r>
            <w:r w:rsidRPr="00C8290A">
              <w:rPr>
                <w:rFonts w:ascii="Segoe UI Light" w:hAnsi="Segoe UI Light"/>
                <w:sz w:val="16"/>
                <w:szCs w:val="18"/>
              </w:rPr>
              <w:t>9</w:t>
            </w:r>
          </w:p>
        </w:tc>
        <w:tc>
          <w:tcPr>
            <w:tcW w:w="737" w:type="dxa"/>
            <w:shd w:val="clear" w:color="auto" w:fill="E5DFEC" w:themeFill="accent4" w:themeFillTint="33"/>
            <w:noWrap/>
            <w:vAlign w:val="bottom"/>
            <w:hideMark/>
          </w:tcPr>
          <w:p w14:paraId="5B4D4512" w14:textId="5C4B7C4B"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31</w:t>
            </w:r>
            <w:r>
              <w:rPr>
                <w:rFonts w:ascii="Segoe UI Light" w:hAnsi="Segoe UI Light"/>
                <w:sz w:val="16"/>
                <w:szCs w:val="18"/>
              </w:rPr>
              <w:t>,2</w:t>
            </w:r>
          </w:p>
        </w:tc>
        <w:tc>
          <w:tcPr>
            <w:tcW w:w="737" w:type="dxa"/>
            <w:shd w:val="clear" w:color="auto" w:fill="E5DFEC" w:themeFill="accent4" w:themeFillTint="33"/>
            <w:vAlign w:val="bottom"/>
            <w:hideMark/>
          </w:tcPr>
          <w:p w14:paraId="3E5FAA57" w14:textId="154EC6C1"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36</w:t>
            </w:r>
            <w:r>
              <w:rPr>
                <w:rFonts w:ascii="Segoe UI Light" w:hAnsi="Segoe UI Light"/>
                <w:sz w:val="16"/>
                <w:szCs w:val="18"/>
              </w:rPr>
              <w:t>,3</w:t>
            </w:r>
          </w:p>
        </w:tc>
        <w:tc>
          <w:tcPr>
            <w:tcW w:w="737" w:type="dxa"/>
            <w:shd w:val="clear" w:color="auto" w:fill="E5DFEC" w:themeFill="accent4" w:themeFillTint="33"/>
            <w:vAlign w:val="bottom"/>
            <w:hideMark/>
          </w:tcPr>
          <w:p w14:paraId="7716AD89" w14:textId="62029E3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2,9</w:t>
            </w:r>
          </w:p>
        </w:tc>
        <w:tc>
          <w:tcPr>
            <w:tcW w:w="737" w:type="dxa"/>
            <w:shd w:val="clear" w:color="auto" w:fill="E5DFEC" w:themeFill="accent4" w:themeFillTint="33"/>
            <w:vAlign w:val="bottom"/>
            <w:hideMark/>
          </w:tcPr>
          <w:p w14:paraId="3C0C4A1F" w14:textId="003D62F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3,3</w:t>
            </w:r>
          </w:p>
        </w:tc>
        <w:tc>
          <w:tcPr>
            <w:tcW w:w="737" w:type="dxa"/>
            <w:shd w:val="clear" w:color="auto" w:fill="E5DFEC" w:themeFill="accent4" w:themeFillTint="33"/>
            <w:vAlign w:val="bottom"/>
            <w:hideMark/>
          </w:tcPr>
          <w:p w14:paraId="3E8449B9" w14:textId="5D91D83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3,9</w:t>
            </w:r>
          </w:p>
        </w:tc>
        <w:tc>
          <w:tcPr>
            <w:tcW w:w="737" w:type="dxa"/>
            <w:shd w:val="clear" w:color="auto" w:fill="E5DFEC" w:themeFill="accent4" w:themeFillTint="33"/>
            <w:vAlign w:val="bottom"/>
            <w:hideMark/>
          </w:tcPr>
          <w:p w14:paraId="740D1C77" w14:textId="74284BE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4,2</w:t>
            </w:r>
          </w:p>
        </w:tc>
        <w:tc>
          <w:tcPr>
            <w:tcW w:w="737" w:type="dxa"/>
            <w:shd w:val="clear" w:color="auto" w:fill="E5DFEC" w:themeFill="accent4" w:themeFillTint="33"/>
            <w:vAlign w:val="bottom"/>
            <w:hideMark/>
          </w:tcPr>
          <w:p w14:paraId="3609EE67" w14:textId="67EA14B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9,3</w:t>
            </w:r>
          </w:p>
        </w:tc>
      </w:tr>
      <w:tr w:rsidR="00343BAC" w:rsidRPr="00C8290A" w14:paraId="677152E3"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79B56FAA"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Inženierzinātnes, ražošana un būvniecība</w:t>
            </w:r>
          </w:p>
        </w:tc>
        <w:tc>
          <w:tcPr>
            <w:tcW w:w="623" w:type="dxa"/>
            <w:shd w:val="clear" w:color="auto" w:fill="CCC0D9" w:themeFill="accent4" w:themeFillTint="66"/>
            <w:noWrap/>
            <w:vAlign w:val="bottom"/>
            <w:hideMark/>
          </w:tcPr>
          <w:p w14:paraId="4089D128" w14:textId="42AA5EA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56</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CCC0D9" w:themeFill="accent4" w:themeFillTint="66"/>
            <w:noWrap/>
            <w:vAlign w:val="bottom"/>
            <w:hideMark/>
          </w:tcPr>
          <w:p w14:paraId="0229C3E0" w14:textId="5981F87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w:t>
            </w:r>
            <w:r>
              <w:rPr>
                <w:rFonts w:ascii="Segoe UI Light" w:hAnsi="Segoe UI Light"/>
                <w:sz w:val="16"/>
                <w:szCs w:val="18"/>
              </w:rPr>
              <w:t>8,0</w:t>
            </w:r>
          </w:p>
        </w:tc>
        <w:tc>
          <w:tcPr>
            <w:tcW w:w="737" w:type="dxa"/>
            <w:shd w:val="clear" w:color="auto" w:fill="CCC0D9" w:themeFill="accent4" w:themeFillTint="66"/>
            <w:vAlign w:val="bottom"/>
            <w:hideMark/>
          </w:tcPr>
          <w:p w14:paraId="174C21C6" w14:textId="449E831F"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61</w:t>
            </w:r>
            <w:r>
              <w:rPr>
                <w:rFonts w:ascii="Segoe UI Light" w:hAnsi="Segoe UI Light"/>
                <w:sz w:val="16"/>
                <w:szCs w:val="18"/>
              </w:rPr>
              <w:t>,9</w:t>
            </w:r>
          </w:p>
        </w:tc>
        <w:tc>
          <w:tcPr>
            <w:tcW w:w="737" w:type="dxa"/>
            <w:shd w:val="clear" w:color="auto" w:fill="CCC0D9" w:themeFill="accent4" w:themeFillTint="66"/>
            <w:vAlign w:val="bottom"/>
            <w:hideMark/>
          </w:tcPr>
          <w:p w14:paraId="5EB861A7" w14:textId="61B8E5E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6,1</w:t>
            </w:r>
          </w:p>
        </w:tc>
        <w:tc>
          <w:tcPr>
            <w:tcW w:w="737" w:type="dxa"/>
            <w:shd w:val="clear" w:color="auto" w:fill="CCC0D9" w:themeFill="accent4" w:themeFillTint="66"/>
            <w:vAlign w:val="bottom"/>
            <w:hideMark/>
          </w:tcPr>
          <w:p w14:paraId="62872167" w14:textId="2FC1B7A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6,2</w:t>
            </w:r>
          </w:p>
        </w:tc>
        <w:tc>
          <w:tcPr>
            <w:tcW w:w="737" w:type="dxa"/>
            <w:shd w:val="clear" w:color="auto" w:fill="CCC0D9" w:themeFill="accent4" w:themeFillTint="66"/>
            <w:vAlign w:val="bottom"/>
            <w:hideMark/>
          </w:tcPr>
          <w:p w14:paraId="75194F2C" w14:textId="376CD489"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6,7</w:t>
            </w:r>
          </w:p>
        </w:tc>
        <w:tc>
          <w:tcPr>
            <w:tcW w:w="737" w:type="dxa"/>
            <w:shd w:val="clear" w:color="auto" w:fill="CCC0D9" w:themeFill="accent4" w:themeFillTint="66"/>
            <w:vAlign w:val="bottom"/>
            <w:hideMark/>
          </w:tcPr>
          <w:p w14:paraId="66FF3442" w14:textId="728A0FE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1,3</w:t>
            </w:r>
          </w:p>
        </w:tc>
        <w:tc>
          <w:tcPr>
            <w:tcW w:w="737" w:type="dxa"/>
            <w:shd w:val="clear" w:color="auto" w:fill="CCC0D9" w:themeFill="accent4" w:themeFillTint="66"/>
            <w:vAlign w:val="bottom"/>
            <w:hideMark/>
          </w:tcPr>
          <w:p w14:paraId="6784A9C2" w14:textId="7EE4B3F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5,1</w:t>
            </w:r>
          </w:p>
        </w:tc>
      </w:tr>
      <w:tr w:rsidR="00343BAC" w:rsidRPr="00C8290A" w14:paraId="2784350E" w14:textId="77777777" w:rsidTr="00BD0B9F">
        <w:trPr>
          <w:cantSplit/>
          <w:trHeight w:val="20"/>
          <w:jc w:val="center"/>
        </w:trPr>
        <w:tc>
          <w:tcPr>
            <w:tcW w:w="3373" w:type="dxa"/>
            <w:shd w:val="clear" w:color="auto" w:fill="E5DFEC" w:themeFill="accent4" w:themeFillTint="33"/>
            <w:vAlign w:val="bottom"/>
            <w:hideMark/>
          </w:tcPr>
          <w:p w14:paraId="0185BF63"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Lauksaimniecība</w:t>
            </w:r>
          </w:p>
        </w:tc>
        <w:tc>
          <w:tcPr>
            <w:tcW w:w="623" w:type="dxa"/>
            <w:shd w:val="clear" w:color="auto" w:fill="E5DFEC" w:themeFill="accent4" w:themeFillTint="33"/>
            <w:noWrap/>
            <w:vAlign w:val="bottom"/>
            <w:hideMark/>
          </w:tcPr>
          <w:p w14:paraId="030BE22E" w14:textId="05AB9AE6"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8</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E5DFEC" w:themeFill="accent4" w:themeFillTint="33"/>
            <w:noWrap/>
            <w:vAlign w:val="bottom"/>
            <w:hideMark/>
          </w:tcPr>
          <w:p w14:paraId="79F0AE70" w14:textId="3E1D8DC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8</w:t>
            </w:r>
            <w:r>
              <w:rPr>
                <w:rFonts w:ascii="Segoe UI Light" w:hAnsi="Segoe UI Light"/>
                <w:sz w:val="16"/>
                <w:szCs w:val="18"/>
              </w:rPr>
              <w:t>,6</w:t>
            </w:r>
          </w:p>
        </w:tc>
        <w:tc>
          <w:tcPr>
            <w:tcW w:w="737" w:type="dxa"/>
            <w:shd w:val="clear" w:color="auto" w:fill="E5DFEC" w:themeFill="accent4" w:themeFillTint="33"/>
            <w:vAlign w:val="bottom"/>
            <w:hideMark/>
          </w:tcPr>
          <w:p w14:paraId="2160FF14" w14:textId="2D7A54BB"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8</w:t>
            </w:r>
            <w:r>
              <w:rPr>
                <w:rFonts w:ascii="Segoe UI Light" w:hAnsi="Segoe UI Light"/>
                <w:sz w:val="16"/>
                <w:szCs w:val="18"/>
              </w:rPr>
              <w:t>,7</w:t>
            </w:r>
          </w:p>
        </w:tc>
        <w:tc>
          <w:tcPr>
            <w:tcW w:w="737" w:type="dxa"/>
            <w:shd w:val="clear" w:color="auto" w:fill="E5DFEC" w:themeFill="accent4" w:themeFillTint="33"/>
            <w:vAlign w:val="bottom"/>
            <w:hideMark/>
          </w:tcPr>
          <w:p w14:paraId="21265B4A" w14:textId="7E1B3CA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0,9</w:t>
            </w:r>
          </w:p>
        </w:tc>
        <w:tc>
          <w:tcPr>
            <w:tcW w:w="737" w:type="dxa"/>
            <w:shd w:val="clear" w:color="auto" w:fill="E5DFEC" w:themeFill="accent4" w:themeFillTint="33"/>
            <w:vAlign w:val="bottom"/>
            <w:hideMark/>
          </w:tcPr>
          <w:p w14:paraId="5788E220" w14:textId="78B9F597"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0,9</w:t>
            </w:r>
          </w:p>
        </w:tc>
        <w:tc>
          <w:tcPr>
            <w:tcW w:w="737" w:type="dxa"/>
            <w:shd w:val="clear" w:color="auto" w:fill="E5DFEC" w:themeFill="accent4" w:themeFillTint="33"/>
            <w:vAlign w:val="bottom"/>
            <w:hideMark/>
          </w:tcPr>
          <w:p w14:paraId="3957C0F7" w14:textId="1E7B7A3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0,9</w:t>
            </w:r>
          </w:p>
        </w:tc>
        <w:tc>
          <w:tcPr>
            <w:tcW w:w="737" w:type="dxa"/>
            <w:shd w:val="clear" w:color="auto" w:fill="E5DFEC" w:themeFill="accent4" w:themeFillTint="33"/>
            <w:vAlign w:val="bottom"/>
            <w:hideMark/>
          </w:tcPr>
          <w:p w14:paraId="76928750" w14:textId="18263044"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-0,2</w:t>
            </w:r>
          </w:p>
        </w:tc>
        <w:tc>
          <w:tcPr>
            <w:tcW w:w="737" w:type="dxa"/>
            <w:shd w:val="clear" w:color="auto" w:fill="E5DFEC" w:themeFill="accent4" w:themeFillTint="33"/>
            <w:vAlign w:val="bottom"/>
            <w:hideMark/>
          </w:tcPr>
          <w:p w14:paraId="6E5E021E" w14:textId="51549E1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0,0</w:t>
            </w:r>
          </w:p>
        </w:tc>
      </w:tr>
      <w:tr w:rsidR="00343BAC" w:rsidRPr="00C8290A" w14:paraId="0155F076"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15F4332E"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Veselības aprūpe un sociālā labklājība</w:t>
            </w:r>
          </w:p>
        </w:tc>
        <w:tc>
          <w:tcPr>
            <w:tcW w:w="623" w:type="dxa"/>
            <w:shd w:val="clear" w:color="auto" w:fill="CCC0D9" w:themeFill="accent4" w:themeFillTint="66"/>
            <w:noWrap/>
            <w:vAlign w:val="bottom"/>
            <w:hideMark/>
          </w:tcPr>
          <w:p w14:paraId="545C1E10" w14:textId="1D6CC946"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26</w:t>
            </w:r>
            <w:r>
              <w:rPr>
                <w:rFonts w:ascii="Segoe UI Light" w:hAnsi="Segoe UI Light"/>
                <w:sz w:val="16"/>
                <w:szCs w:val="18"/>
              </w:rPr>
              <w:t>,</w:t>
            </w:r>
            <w:r w:rsidRPr="00C8290A">
              <w:rPr>
                <w:rFonts w:ascii="Segoe UI Light" w:hAnsi="Segoe UI Light"/>
                <w:sz w:val="16"/>
                <w:szCs w:val="18"/>
              </w:rPr>
              <w:t>3</w:t>
            </w:r>
          </w:p>
        </w:tc>
        <w:tc>
          <w:tcPr>
            <w:tcW w:w="737" w:type="dxa"/>
            <w:shd w:val="clear" w:color="auto" w:fill="CCC0D9" w:themeFill="accent4" w:themeFillTint="66"/>
            <w:noWrap/>
            <w:vAlign w:val="bottom"/>
            <w:hideMark/>
          </w:tcPr>
          <w:p w14:paraId="6CFA280C" w14:textId="48E65049"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36</w:t>
            </w:r>
            <w:r>
              <w:rPr>
                <w:rFonts w:ascii="Segoe UI Light" w:hAnsi="Segoe UI Light"/>
                <w:sz w:val="16"/>
                <w:szCs w:val="18"/>
              </w:rPr>
              <w:t>,</w:t>
            </w:r>
            <w:r w:rsidRPr="00C8290A">
              <w:rPr>
                <w:rFonts w:ascii="Segoe UI Light" w:hAnsi="Segoe UI Light"/>
                <w:sz w:val="16"/>
                <w:szCs w:val="18"/>
              </w:rPr>
              <w:t>1</w:t>
            </w:r>
          </w:p>
        </w:tc>
        <w:tc>
          <w:tcPr>
            <w:tcW w:w="737" w:type="dxa"/>
            <w:shd w:val="clear" w:color="auto" w:fill="CCC0D9" w:themeFill="accent4" w:themeFillTint="66"/>
            <w:vAlign w:val="bottom"/>
            <w:hideMark/>
          </w:tcPr>
          <w:p w14:paraId="53DF4533" w14:textId="3941EAB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48</w:t>
            </w:r>
            <w:r>
              <w:rPr>
                <w:rFonts w:ascii="Segoe UI Light" w:hAnsi="Segoe UI Light"/>
                <w:sz w:val="16"/>
                <w:szCs w:val="18"/>
              </w:rPr>
              <w:t>,4</w:t>
            </w:r>
          </w:p>
        </w:tc>
        <w:tc>
          <w:tcPr>
            <w:tcW w:w="737" w:type="dxa"/>
            <w:shd w:val="clear" w:color="auto" w:fill="CCC0D9" w:themeFill="accent4" w:themeFillTint="66"/>
            <w:vAlign w:val="bottom"/>
            <w:hideMark/>
          </w:tcPr>
          <w:p w14:paraId="376EA4A6" w14:textId="38267B2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2,8</w:t>
            </w:r>
          </w:p>
        </w:tc>
        <w:tc>
          <w:tcPr>
            <w:tcW w:w="737" w:type="dxa"/>
            <w:shd w:val="clear" w:color="auto" w:fill="CCC0D9" w:themeFill="accent4" w:themeFillTint="66"/>
            <w:vAlign w:val="bottom"/>
            <w:hideMark/>
          </w:tcPr>
          <w:p w14:paraId="2AAF3618" w14:textId="6F84E2E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3,8</w:t>
            </w:r>
          </w:p>
        </w:tc>
        <w:tc>
          <w:tcPr>
            <w:tcW w:w="737" w:type="dxa"/>
            <w:shd w:val="clear" w:color="auto" w:fill="CCC0D9" w:themeFill="accent4" w:themeFillTint="66"/>
            <w:vAlign w:val="bottom"/>
            <w:hideMark/>
          </w:tcPr>
          <w:p w14:paraId="1EBAFCA1" w14:textId="7AC15C3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5,2</w:t>
            </w:r>
          </w:p>
        </w:tc>
        <w:tc>
          <w:tcPr>
            <w:tcW w:w="737" w:type="dxa"/>
            <w:shd w:val="clear" w:color="auto" w:fill="CCC0D9" w:themeFill="accent4" w:themeFillTint="66"/>
            <w:vAlign w:val="bottom"/>
            <w:hideMark/>
          </w:tcPr>
          <w:p w14:paraId="067A7207" w14:textId="5A16BFC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9,8</w:t>
            </w:r>
          </w:p>
        </w:tc>
        <w:tc>
          <w:tcPr>
            <w:tcW w:w="737" w:type="dxa"/>
            <w:shd w:val="clear" w:color="auto" w:fill="CCC0D9" w:themeFill="accent4" w:themeFillTint="66"/>
            <w:vAlign w:val="bottom"/>
            <w:hideMark/>
          </w:tcPr>
          <w:p w14:paraId="2275193D" w14:textId="73D7B08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22,0</w:t>
            </w:r>
          </w:p>
        </w:tc>
      </w:tr>
      <w:tr w:rsidR="00343BAC" w:rsidRPr="00C8290A" w14:paraId="29E1273E" w14:textId="77777777" w:rsidTr="00BD0B9F">
        <w:trPr>
          <w:cantSplit/>
          <w:trHeight w:val="20"/>
          <w:jc w:val="center"/>
        </w:trPr>
        <w:tc>
          <w:tcPr>
            <w:tcW w:w="3373" w:type="dxa"/>
            <w:shd w:val="clear" w:color="auto" w:fill="E5DFEC" w:themeFill="accent4" w:themeFillTint="33"/>
            <w:vAlign w:val="bottom"/>
          </w:tcPr>
          <w:p w14:paraId="58F6944A"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Pakalpojumi</w:t>
            </w:r>
          </w:p>
        </w:tc>
        <w:tc>
          <w:tcPr>
            <w:tcW w:w="623" w:type="dxa"/>
            <w:shd w:val="clear" w:color="auto" w:fill="E5DFEC" w:themeFill="accent4" w:themeFillTint="33"/>
            <w:noWrap/>
            <w:vAlign w:val="bottom"/>
          </w:tcPr>
          <w:p w14:paraId="06A3C848" w14:textId="181B4A56"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21</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E5DFEC" w:themeFill="accent4" w:themeFillTint="33"/>
            <w:noWrap/>
            <w:vAlign w:val="bottom"/>
          </w:tcPr>
          <w:p w14:paraId="54473897" w14:textId="0C19E3E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27</w:t>
            </w:r>
            <w:r>
              <w:rPr>
                <w:rFonts w:ascii="Segoe UI Light" w:hAnsi="Segoe UI Light"/>
                <w:sz w:val="16"/>
                <w:szCs w:val="18"/>
              </w:rPr>
              <w:t>,</w:t>
            </w:r>
            <w:r w:rsidRPr="00C8290A">
              <w:rPr>
                <w:rFonts w:ascii="Segoe UI Light" w:hAnsi="Segoe UI Light"/>
                <w:sz w:val="16"/>
                <w:szCs w:val="18"/>
              </w:rPr>
              <w:t>1</w:t>
            </w:r>
          </w:p>
        </w:tc>
        <w:tc>
          <w:tcPr>
            <w:tcW w:w="737" w:type="dxa"/>
            <w:shd w:val="clear" w:color="auto" w:fill="E5DFEC" w:themeFill="accent4" w:themeFillTint="33"/>
            <w:vAlign w:val="bottom"/>
          </w:tcPr>
          <w:p w14:paraId="4B52C8CE" w14:textId="2BAEF4CD"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w:t>
            </w:r>
            <w:r>
              <w:rPr>
                <w:rFonts w:ascii="Segoe UI Light" w:hAnsi="Segoe UI Light"/>
                <w:sz w:val="16"/>
                <w:szCs w:val="18"/>
              </w:rPr>
              <w:t>2,0</w:t>
            </w:r>
          </w:p>
        </w:tc>
        <w:tc>
          <w:tcPr>
            <w:tcW w:w="737" w:type="dxa"/>
            <w:shd w:val="clear" w:color="auto" w:fill="E5DFEC" w:themeFill="accent4" w:themeFillTint="33"/>
            <w:vAlign w:val="bottom"/>
          </w:tcPr>
          <w:p w14:paraId="41EE5968" w14:textId="5F57909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2,3</w:t>
            </w:r>
          </w:p>
        </w:tc>
        <w:tc>
          <w:tcPr>
            <w:tcW w:w="737" w:type="dxa"/>
            <w:shd w:val="clear" w:color="auto" w:fill="E5DFEC" w:themeFill="accent4" w:themeFillTint="33"/>
            <w:vAlign w:val="bottom"/>
          </w:tcPr>
          <w:p w14:paraId="6FE8CB10" w14:textId="18CCDFF1"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2,9</w:t>
            </w:r>
          </w:p>
        </w:tc>
        <w:tc>
          <w:tcPr>
            <w:tcW w:w="737" w:type="dxa"/>
            <w:shd w:val="clear" w:color="auto" w:fill="E5DFEC" w:themeFill="accent4" w:themeFillTint="33"/>
            <w:vAlign w:val="bottom"/>
          </w:tcPr>
          <w:p w14:paraId="50C30E50" w14:textId="5972927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3,5</w:t>
            </w:r>
          </w:p>
        </w:tc>
        <w:tc>
          <w:tcPr>
            <w:tcW w:w="737" w:type="dxa"/>
            <w:shd w:val="clear" w:color="auto" w:fill="E5DFEC" w:themeFill="accent4" w:themeFillTint="33"/>
            <w:vAlign w:val="bottom"/>
          </w:tcPr>
          <w:p w14:paraId="6608E34F" w14:textId="6C2E728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5,5</w:t>
            </w:r>
          </w:p>
        </w:tc>
        <w:tc>
          <w:tcPr>
            <w:tcW w:w="737" w:type="dxa"/>
            <w:shd w:val="clear" w:color="auto" w:fill="E5DFEC" w:themeFill="accent4" w:themeFillTint="33"/>
            <w:vAlign w:val="bottom"/>
          </w:tcPr>
          <w:p w14:paraId="7E053C24" w14:textId="5468D3F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10,4</w:t>
            </w:r>
          </w:p>
        </w:tc>
      </w:tr>
      <w:tr w:rsidR="00343BAC" w:rsidRPr="00C8290A" w14:paraId="122A8945"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tcPr>
          <w:p w14:paraId="3DAB3A3C" w14:textId="77777777" w:rsidR="00BD0B9F" w:rsidRPr="00C8290A" w:rsidRDefault="00BD0B9F" w:rsidP="00BD0B9F">
            <w:pPr>
              <w:spacing w:before="40" w:after="40"/>
              <w:ind w:left="171"/>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Citur neklasificētās tematiskās grupas</w:t>
            </w:r>
          </w:p>
        </w:tc>
        <w:tc>
          <w:tcPr>
            <w:tcW w:w="623" w:type="dxa"/>
            <w:shd w:val="clear" w:color="auto" w:fill="CCC0D9" w:themeFill="accent4" w:themeFillTint="66"/>
            <w:noWrap/>
            <w:vAlign w:val="bottom"/>
          </w:tcPr>
          <w:p w14:paraId="6CE5D8ED" w14:textId="58019859"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4</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CCC0D9" w:themeFill="accent4" w:themeFillTint="66"/>
            <w:noWrap/>
            <w:vAlign w:val="bottom"/>
          </w:tcPr>
          <w:p w14:paraId="48BFE0BA" w14:textId="097C2021"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CCC0D9" w:themeFill="accent4" w:themeFillTint="66"/>
            <w:vAlign w:val="bottom"/>
          </w:tcPr>
          <w:p w14:paraId="041D1751" w14:textId="0437A21F"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CCC0D9" w:themeFill="accent4" w:themeFillTint="66"/>
            <w:vAlign w:val="bottom"/>
          </w:tcPr>
          <w:p w14:paraId="6B14266F" w14:textId="758AFB9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0,4</w:t>
            </w:r>
          </w:p>
        </w:tc>
        <w:tc>
          <w:tcPr>
            <w:tcW w:w="737" w:type="dxa"/>
            <w:shd w:val="clear" w:color="auto" w:fill="CCC0D9" w:themeFill="accent4" w:themeFillTint="66"/>
            <w:vAlign w:val="bottom"/>
          </w:tcPr>
          <w:p w14:paraId="7F137060" w14:textId="7C23BF84"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0,4</w:t>
            </w:r>
          </w:p>
        </w:tc>
        <w:tc>
          <w:tcPr>
            <w:tcW w:w="737" w:type="dxa"/>
            <w:shd w:val="clear" w:color="auto" w:fill="CCC0D9" w:themeFill="accent4" w:themeFillTint="66"/>
            <w:vAlign w:val="bottom"/>
          </w:tcPr>
          <w:p w14:paraId="27CAFD0D" w14:textId="31C7E36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0,2</w:t>
            </w:r>
          </w:p>
        </w:tc>
        <w:tc>
          <w:tcPr>
            <w:tcW w:w="737" w:type="dxa"/>
            <w:shd w:val="clear" w:color="auto" w:fill="CCC0D9" w:themeFill="accent4" w:themeFillTint="66"/>
            <w:vAlign w:val="bottom"/>
          </w:tcPr>
          <w:p w14:paraId="315A9E09" w14:textId="0BE3A6EF"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-0,6</w:t>
            </w:r>
          </w:p>
        </w:tc>
        <w:tc>
          <w:tcPr>
            <w:tcW w:w="737" w:type="dxa"/>
            <w:shd w:val="clear" w:color="auto" w:fill="CCC0D9" w:themeFill="accent4" w:themeFillTint="66"/>
            <w:vAlign w:val="bottom"/>
          </w:tcPr>
          <w:p w14:paraId="7C6D8F97" w14:textId="7062283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-2,0</w:t>
            </w:r>
          </w:p>
        </w:tc>
      </w:tr>
      <w:tr w:rsidR="00343BAC" w:rsidRPr="00C8290A" w14:paraId="61CC6778" w14:textId="77777777" w:rsidTr="00BD0B9F">
        <w:trPr>
          <w:cantSplit/>
          <w:trHeight w:val="20"/>
          <w:jc w:val="center"/>
        </w:trPr>
        <w:tc>
          <w:tcPr>
            <w:tcW w:w="3373" w:type="dxa"/>
            <w:shd w:val="clear" w:color="auto" w:fill="E5DFEC" w:themeFill="accent4" w:themeFillTint="33"/>
            <w:vAlign w:val="bottom"/>
            <w:hideMark/>
          </w:tcPr>
          <w:p w14:paraId="04E0E7D3" w14:textId="77777777" w:rsidR="00BD0B9F" w:rsidRPr="00616ACB" w:rsidRDefault="00BD0B9F" w:rsidP="00BD0B9F">
            <w:pPr>
              <w:spacing w:before="40" w:after="40"/>
              <w:rPr>
                <w:rFonts w:ascii="Segoe UI Light" w:eastAsia="Times New Roman" w:hAnsi="Segoe UI Light"/>
                <w:b/>
                <w:sz w:val="16"/>
                <w:szCs w:val="18"/>
                <w:lang w:eastAsia="lv-LV"/>
              </w:rPr>
            </w:pPr>
            <w:r w:rsidRPr="00616ACB">
              <w:rPr>
                <w:rFonts w:ascii="Segoe UI Light" w:eastAsia="Times New Roman" w:hAnsi="Segoe UI Light"/>
                <w:b/>
                <w:sz w:val="16"/>
                <w:szCs w:val="18"/>
                <w:lang w:eastAsia="lv-LV"/>
              </w:rPr>
              <w:t>Vidējā izglītība, tai skaitā:</w:t>
            </w:r>
          </w:p>
        </w:tc>
        <w:tc>
          <w:tcPr>
            <w:tcW w:w="623" w:type="dxa"/>
            <w:shd w:val="clear" w:color="auto" w:fill="E5DFEC" w:themeFill="accent4" w:themeFillTint="33"/>
            <w:noWrap/>
            <w:vAlign w:val="bottom"/>
            <w:hideMark/>
          </w:tcPr>
          <w:p w14:paraId="432A2F44" w14:textId="36B1E115"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464</w:t>
            </w:r>
            <w:r>
              <w:rPr>
                <w:rFonts w:ascii="Segoe UI Light" w:hAnsi="Segoe UI Light"/>
                <w:b/>
                <w:sz w:val="16"/>
                <w:szCs w:val="18"/>
              </w:rPr>
              <w:t>,</w:t>
            </w:r>
            <w:r w:rsidRPr="00616ACB">
              <w:rPr>
                <w:rFonts w:ascii="Segoe UI Light" w:hAnsi="Segoe UI Light"/>
                <w:b/>
                <w:sz w:val="16"/>
                <w:szCs w:val="18"/>
              </w:rPr>
              <w:t>0</w:t>
            </w:r>
          </w:p>
        </w:tc>
        <w:tc>
          <w:tcPr>
            <w:tcW w:w="737" w:type="dxa"/>
            <w:shd w:val="clear" w:color="auto" w:fill="E5DFEC" w:themeFill="accent4" w:themeFillTint="33"/>
            <w:noWrap/>
            <w:vAlign w:val="bottom"/>
            <w:hideMark/>
          </w:tcPr>
          <w:p w14:paraId="44642496" w14:textId="6D5D2ABA"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400</w:t>
            </w:r>
            <w:r>
              <w:rPr>
                <w:rFonts w:ascii="Segoe UI Light" w:hAnsi="Segoe UI Light"/>
                <w:b/>
                <w:sz w:val="16"/>
                <w:szCs w:val="18"/>
              </w:rPr>
              <w:t>,1</w:t>
            </w:r>
          </w:p>
        </w:tc>
        <w:tc>
          <w:tcPr>
            <w:tcW w:w="737" w:type="dxa"/>
            <w:shd w:val="clear" w:color="auto" w:fill="E5DFEC" w:themeFill="accent4" w:themeFillTint="33"/>
            <w:vAlign w:val="bottom"/>
            <w:hideMark/>
          </w:tcPr>
          <w:p w14:paraId="50DC6303" w14:textId="303464FD" w:rsidR="00BD0B9F" w:rsidRPr="00616ACB" w:rsidRDefault="00BD0B9F" w:rsidP="00BD0B9F">
            <w:pPr>
              <w:tabs>
                <w:tab w:val="decimal" w:pos="315"/>
              </w:tabs>
              <w:spacing w:before="40" w:after="40"/>
              <w:rPr>
                <w:rFonts w:ascii="Segoe UI Light" w:hAnsi="Segoe UI Light"/>
                <w:b/>
                <w:sz w:val="16"/>
                <w:szCs w:val="18"/>
              </w:rPr>
            </w:pPr>
            <w:r w:rsidRPr="00616ACB">
              <w:rPr>
                <w:rFonts w:ascii="Segoe UI Light" w:hAnsi="Segoe UI Light"/>
                <w:b/>
                <w:sz w:val="16"/>
                <w:szCs w:val="18"/>
              </w:rPr>
              <w:t>36</w:t>
            </w:r>
            <w:r>
              <w:rPr>
                <w:rFonts w:ascii="Segoe UI Light" w:hAnsi="Segoe UI Light"/>
                <w:b/>
                <w:sz w:val="16"/>
                <w:szCs w:val="18"/>
              </w:rPr>
              <w:t>6,8</w:t>
            </w:r>
          </w:p>
        </w:tc>
        <w:tc>
          <w:tcPr>
            <w:tcW w:w="737" w:type="dxa"/>
            <w:shd w:val="clear" w:color="auto" w:fill="E5DFEC" w:themeFill="accent4" w:themeFillTint="33"/>
            <w:vAlign w:val="bottom"/>
            <w:hideMark/>
          </w:tcPr>
          <w:p w14:paraId="31CF3FBC" w14:textId="37A13B20"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49,6</w:t>
            </w:r>
          </w:p>
        </w:tc>
        <w:tc>
          <w:tcPr>
            <w:tcW w:w="737" w:type="dxa"/>
            <w:shd w:val="clear" w:color="auto" w:fill="E5DFEC" w:themeFill="accent4" w:themeFillTint="33"/>
            <w:vAlign w:val="bottom"/>
            <w:hideMark/>
          </w:tcPr>
          <w:p w14:paraId="76CCDA5F" w14:textId="48296D84"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42,4</w:t>
            </w:r>
          </w:p>
        </w:tc>
        <w:tc>
          <w:tcPr>
            <w:tcW w:w="737" w:type="dxa"/>
            <w:shd w:val="clear" w:color="auto" w:fill="E5DFEC" w:themeFill="accent4" w:themeFillTint="33"/>
            <w:vAlign w:val="bottom"/>
            <w:hideMark/>
          </w:tcPr>
          <w:p w14:paraId="2BE26EDE" w14:textId="5EF6CEE6"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39,7</w:t>
            </w:r>
          </w:p>
        </w:tc>
        <w:tc>
          <w:tcPr>
            <w:tcW w:w="737" w:type="dxa"/>
            <w:shd w:val="clear" w:color="auto" w:fill="E5DFEC" w:themeFill="accent4" w:themeFillTint="33"/>
            <w:vAlign w:val="bottom"/>
            <w:hideMark/>
          </w:tcPr>
          <w:p w14:paraId="28C3F3F8" w14:textId="7C6BFA1D"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-63,9</w:t>
            </w:r>
          </w:p>
        </w:tc>
        <w:tc>
          <w:tcPr>
            <w:tcW w:w="737" w:type="dxa"/>
            <w:shd w:val="clear" w:color="auto" w:fill="E5DFEC" w:themeFill="accent4" w:themeFillTint="33"/>
            <w:vAlign w:val="bottom"/>
            <w:hideMark/>
          </w:tcPr>
          <w:p w14:paraId="00734937" w14:textId="722A230B"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-97,2</w:t>
            </w:r>
          </w:p>
        </w:tc>
      </w:tr>
      <w:tr w:rsidR="00343BAC" w:rsidRPr="00C8290A" w14:paraId="1290EEE2" w14:textId="77777777" w:rsidTr="00BD0B9F">
        <w:trPr>
          <w:cnfStyle w:val="000000100000" w:firstRow="0" w:lastRow="0" w:firstColumn="0" w:lastColumn="0" w:oddVBand="0" w:evenVBand="0" w:oddHBand="1" w:evenHBand="0" w:firstRowFirstColumn="0" w:firstRowLastColumn="0" w:lastRowFirstColumn="0" w:lastRowLastColumn="0"/>
          <w:cantSplit/>
          <w:trHeight w:val="333"/>
          <w:jc w:val="center"/>
        </w:trPr>
        <w:tc>
          <w:tcPr>
            <w:tcW w:w="3373" w:type="dxa"/>
            <w:shd w:val="clear" w:color="auto" w:fill="CCC0D9" w:themeFill="accent4" w:themeFillTint="66"/>
            <w:vAlign w:val="bottom"/>
          </w:tcPr>
          <w:p w14:paraId="79AA520A" w14:textId="77777777" w:rsidR="00BD0B9F" w:rsidRPr="00616ACB" w:rsidRDefault="00BD0B9F" w:rsidP="00BD0B9F">
            <w:pPr>
              <w:spacing w:before="40" w:after="40"/>
              <w:ind w:left="170"/>
              <w:rPr>
                <w:rFonts w:ascii="Segoe UI Light" w:eastAsia="Times New Roman" w:hAnsi="Segoe UI Light"/>
                <w:b/>
                <w:bCs/>
                <w:sz w:val="16"/>
                <w:szCs w:val="18"/>
                <w:lang w:eastAsia="lv-LV"/>
              </w:rPr>
            </w:pPr>
            <w:r w:rsidRPr="00616ACB">
              <w:rPr>
                <w:rFonts w:ascii="Segoe UI Light" w:eastAsia="Times New Roman" w:hAnsi="Segoe UI Light"/>
                <w:b/>
                <w:bCs/>
                <w:sz w:val="16"/>
                <w:szCs w:val="18"/>
                <w:lang w:eastAsia="lv-LV"/>
              </w:rPr>
              <w:t>Arodizglītība un profesionālā vidējā izglītība:</w:t>
            </w:r>
          </w:p>
        </w:tc>
        <w:tc>
          <w:tcPr>
            <w:tcW w:w="623" w:type="dxa"/>
            <w:shd w:val="clear" w:color="auto" w:fill="CCC0D9" w:themeFill="accent4" w:themeFillTint="66"/>
            <w:noWrap/>
            <w:vAlign w:val="bottom"/>
          </w:tcPr>
          <w:p w14:paraId="161A4112" w14:textId="4022A5B9"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249</w:t>
            </w:r>
            <w:r>
              <w:rPr>
                <w:rFonts w:ascii="Segoe UI Light" w:hAnsi="Segoe UI Light"/>
                <w:b/>
                <w:bCs/>
                <w:sz w:val="16"/>
                <w:szCs w:val="18"/>
              </w:rPr>
              <w:t>,</w:t>
            </w:r>
            <w:r w:rsidRPr="00616ACB">
              <w:rPr>
                <w:rFonts w:ascii="Segoe UI Light" w:hAnsi="Segoe UI Light"/>
                <w:b/>
                <w:bCs/>
                <w:sz w:val="16"/>
                <w:szCs w:val="18"/>
              </w:rPr>
              <w:t>4</w:t>
            </w:r>
          </w:p>
        </w:tc>
        <w:tc>
          <w:tcPr>
            <w:tcW w:w="737" w:type="dxa"/>
            <w:shd w:val="clear" w:color="auto" w:fill="CCC0D9" w:themeFill="accent4" w:themeFillTint="66"/>
            <w:noWrap/>
            <w:vAlign w:val="bottom"/>
          </w:tcPr>
          <w:p w14:paraId="083F17B3" w14:textId="0A96BB88"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195</w:t>
            </w:r>
            <w:r>
              <w:rPr>
                <w:rFonts w:ascii="Segoe UI Light" w:hAnsi="Segoe UI Light"/>
                <w:b/>
                <w:bCs/>
                <w:sz w:val="16"/>
                <w:szCs w:val="18"/>
              </w:rPr>
              <w:t>,</w:t>
            </w:r>
            <w:r w:rsidRPr="00616ACB">
              <w:rPr>
                <w:rFonts w:ascii="Segoe UI Light" w:hAnsi="Segoe UI Light"/>
                <w:b/>
                <w:bCs/>
                <w:sz w:val="16"/>
                <w:szCs w:val="18"/>
              </w:rPr>
              <w:t>8</w:t>
            </w:r>
          </w:p>
        </w:tc>
        <w:tc>
          <w:tcPr>
            <w:tcW w:w="737" w:type="dxa"/>
            <w:shd w:val="clear" w:color="auto" w:fill="CCC0D9" w:themeFill="accent4" w:themeFillTint="66"/>
            <w:vAlign w:val="bottom"/>
          </w:tcPr>
          <w:p w14:paraId="777CDE6E" w14:textId="24BA3E02"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163</w:t>
            </w:r>
            <w:r>
              <w:rPr>
                <w:rFonts w:ascii="Segoe UI Light" w:hAnsi="Segoe UI Light"/>
                <w:b/>
                <w:bCs/>
                <w:sz w:val="16"/>
                <w:szCs w:val="18"/>
              </w:rPr>
              <w:t>,4</w:t>
            </w:r>
          </w:p>
        </w:tc>
        <w:tc>
          <w:tcPr>
            <w:tcW w:w="737" w:type="dxa"/>
            <w:shd w:val="clear" w:color="auto" w:fill="CCC0D9" w:themeFill="accent4" w:themeFillTint="66"/>
            <w:vAlign w:val="bottom"/>
          </w:tcPr>
          <w:p w14:paraId="0C6E08D7" w14:textId="74624874"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26,7</w:t>
            </w:r>
          </w:p>
        </w:tc>
        <w:tc>
          <w:tcPr>
            <w:tcW w:w="737" w:type="dxa"/>
            <w:shd w:val="clear" w:color="auto" w:fill="CCC0D9" w:themeFill="accent4" w:themeFillTint="66"/>
            <w:vAlign w:val="bottom"/>
          </w:tcPr>
          <w:p w14:paraId="7455E2B7" w14:textId="1BBAF511"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20,8</w:t>
            </w:r>
          </w:p>
        </w:tc>
        <w:tc>
          <w:tcPr>
            <w:tcW w:w="737" w:type="dxa"/>
            <w:shd w:val="clear" w:color="auto" w:fill="CCC0D9" w:themeFill="accent4" w:themeFillTint="66"/>
            <w:vAlign w:val="bottom"/>
          </w:tcPr>
          <w:p w14:paraId="1DE772AE" w14:textId="4C5305B7"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17,7</w:t>
            </w:r>
          </w:p>
        </w:tc>
        <w:tc>
          <w:tcPr>
            <w:tcW w:w="737" w:type="dxa"/>
            <w:shd w:val="clear" w:color="auto" w:fill="CCC0D9" w:themeFill="accent4" w:themeFillTint="66"/>
            <w:vAlign w:val="bottom"/>
          </w:tcPr>
          <w:p w14:paraId="53273BC6" w14:textId="6900D3CD"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-53,6</w:t>
            </w:r>
          </w:p>
        </w:tc>
        <w:tc>
          <w:tcPr>
            <w:tcW w:w="737" w:type="dxa"/>
            <w:shd w:val="clear" w:color="auto" w:fill="CCC0D9" w:themeFill="accent4" w:themeFillTint="66"/>
            <w:vAlign w:val="bottom"/>
          </w:tcPr>
          <w:p w14:paraId="232D0E79" w14:textId="6D2AB68A"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-85,9</w:t>
            </w:r>
          </w:p>
        </w:tc>
      </w:tr>
      <w:tr w:rsidR="00343BAC" w:rsidRPr="00C8290A" w14:paraId="37B036A6" w14:textId="77777777" w:rsidTr="00BD0B9F">
        <w:trPr>
          <w:cantSplit/>
          <w:trHeight w:val="20"/>
          <w:jc w:val="center"/>
        </w:trPr>
        <w:tc>
          <w:tcPr>
            <w:tcW w:w="3373" w:type="dxa"/>
            <w:shd w:val="clear" w:color="auto" w:fill="E5DFEC" w:themeFill="accent4" w:themeFillTint="33"/>
            <w:vAlign w:val="bottom"/>
            <w:hideMark/>
          </w:tcPr>
          <w:p w14:paraId="5D290D0C"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Izglītība</w:t>
            </w:r>
          </w:p>
        </w:tc>
        <w:tc>
          <w:tcPr>
            <w:tcW w:w="623" w:type="dxa"/>
            <w:shd w:val="clear" w:color="auto" w:fill="E5DFEC" w:themeFill="accent4" w:themeFillTint="33"/>
            <w:noWrap/>
            <w:vAlign w:val="bottom"/>
            <w:hideMark/>
          </w:tcPr>
          <w:p w14:paraId="0AE66100" w14:textId="0020F4C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E5DFEC" w:themeFill="accent4" w:themeFillTint="33"/>
            <w:noWrap/>
            <w:vAlign w:val="bottom"/>
            <w:hideMark/>
          </w:tcPr>
          <w:p w14:paraId="4323F618" w14:textId="4943585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w:t>
            </w:r>
            <w:r>
              <w:rPr>
                <w:rFonts w:ascii="Segoe UI Light" w:hAnsi="Segoe UI Light"/>
                <w:sz w:val="16"/>
                <w:szCs w:val="18"/>
              </w:rPr>
              <w:t>,</w:t>
            </w:r>
            <w:r w:rsidRPr="00C8290A">
              <w:rPr>
                <w:rFonts w:ascii="Segoe UI Light" w:hAnsi="Segoe UI Light"/>
                <w:sz w:val="16"/>
                <w:szCs w:val="18"/>
              </w:rPr>
              <w:t>4</w:t>
            </w:r>
          </w:p>
        </w:tc>
        <w:tc>
          <w:tcPr>
            <w:tcW w:w="737" w:type="dxa"/>
            <w:shd w:val="clear" w:color="auto" w:fill="E5DFEC" w:themeFill="accent4" w:themeFillTint="33"/>
            <w:vAlign w:val="bottom"/>
            <w:hideMark/>
          </w:tcPr>
          <w:p w14:paraId="55A4E04B" w14:textId="369DFA0F"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0</w:t>
            </w:r>
            <w:r>
              <w:rPr>
                <w:rFonts w:ascii="Segoe UI Light" w:hAnsi="Segoe UI Light"/>
                <w:sz w:val="16"/>
                <w:szCs w:val="18"/>
              </w:rPr>
              <w:t>,</w:t>
            </w:r>
            <w:r w:rsidRPr="00C8290A">
              <w:rPr>
                <w:rFonts w:ascii="Segoe UI Light" w:hAnsi="Segoe UI Light"/>
                <w:sz w:val="16"/>
                <w:szCs w:val="18"/>
              </w:rPr>
              <w:t>5</w:t>
            </w:r>
          </w:p>
        </w:tc>
        <w:tc>
          <w:tcPr>
            <w:tcW w:w="737" w:type="dxa"/>
            <w:shd w:val="clear" w:color="auto" w:fill="E5DFEC" w:themeFill="accent4" w:themeFillTint="33"/>
            <w:vAlign w:val="bottom"/>
            <w:hideMark/>
          </w:tcPr>
          <w:p w14:paraId="313D7477" w14:textId="7F3ECEE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0,2</w:t>
            </w:r>
          </w:p>
        </w:tc>
        <w:tc>
          <w:tcPr>
            <w:tcW w:w="737" w:type="dxa"/>
            <w:shd w:val="clear" w:color="auto" w:fill="E5DFEC" w:themeFill="accent4" w:themeFillTint="33"/>
            <w:vAlign w:val="bottom"/>
            <w:hideMark/>
          </w:tcPr>
          <w:p w14:paraId="1DA9BD31" w14:textId="190ED691"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0,1</w:t>
            </w:r>
          </w:p>
        </w:tc>
        <w:tc>
          <w:tcPr>
            <w:tcW w:w="737" w:type="dxa"/>
            <w:shd w:val="clear" w:color="auto" w:fill="E5DFEC" w:themeFill="accent4" w:themeFillTint="33"/>
            <w:vAlign w:val="bottom"/>
            <w:hideMark/>
          </w:tcPr>
          <w:p w14:paraId="13CBD0FA" w14:textId="60A3224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0,1</w:t>
            </w:r>
          </w:p>
        </w:tc>
        <w:tc>
          <w:tcPr>
            <w:tcW w:w="737" w:type="dxa"/>
            <w:shd w:val="clear" w:color="auto" w:fill="E5DFEC" w:themeFill="accent4" w:themeFillTint="33"/>
            <w:vAlign w:val="bottom"/>
            <w:hideMark/>
          </w:tcPr>
          <w:p w14:paraId="0D1CC7F0" w14:textId="1A3DB820"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-0,8</w:t>
            </w:r>
          </w:p>
        </w:tc>
        <w:tc>
          <w:tcPr>
            <w:tcW w:w="737" w:type="dxa"/>
            <w:shd w:val="clear" w:color="auto" w:fill="E5DFEC" w:themeFill="accent4" w:themeFillTint="33"/>
            <w:vAlign w:val="bottom"/>
            <w:hideMark/>
          </w:tcPr>
          <w:p w14:paraId="242EEFBF" w14:textId="7ED23840"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-1,7</w:t>
            </w:r>
          </w:p>
        </w:tc>
      </w:tr>
      <w:tr w:rsidR="00343BAC" w:rsidRPr="00C8290A" w14:paraId="760927C7"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7E2D43FC"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Humanitārās zinātnes un māksla</w:t>
            </w:r>
          </w:p>
        </w:tc>
        <w:tc>
          <w:tcPr>
            <w:tcW w:w="623" w:type="dxa"/>
            <w:shd w:val="clear" w:color="auto" w:fill="CCC0D9" w:themeFill="accent4" w:themeFillTint="66"/>
            <w:noWrap/>
            <w:vAlign w:val="bottom"/>
            <w:hideMark/>
          </w:tcPr>
          <w:p w14:paraId="299617E7" w14:textId="50E6C0F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7</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CCC0D9" w:themeFill="accent4" w:themeFillTint="66"/>
            <w:noWrap/>
            <w:vAlign w:val="bottom"/>
            <w:hideMark/>
          </w:tcPr>
          <w:p w14:paraId="7E1FCE68" w14:textId="08058D2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8</w:t>
            </w:r>
            <w:r>
              <w:rPr>
                <w:rFonts w:ascii="Segoe UI Light" w:hAnsi="Segoe UI Light"/>
                <w:sz w:val="16"/>
                <w:szCs w:val="18"/>
              </w:rPr>
              <w:t>,</w:t>
            </w:r>
            <w:r w:rsidRPr="00C8290A">
              <w:rPr>
                <w:rFonts w:ascii="Segoe UI Light" w:hAnsi="Segoe UI Light"/>
                <w:sz w:val="16"/>
                <w:szCs w:val="18"/>
              </w:rPr>
              <w:t>4</w:t>
            </w:r>
          </w:p>
        </w:tc>
        <w:tc>
          <w:tcPr>
            <w:tcW w:w="737" w:type="dxa"/>
            <w:shd w:val="clear" w:color="auto" w:fill="CCC0D9" w:themeFill="accent4" w:themeFillTint="66"/>
            <w:vAlign w:val="bottom"/>
            <w:hideMark/>
          </w:tcPr>
          <w:p w14:paraId="253E75A7" w14:textId="518A2872"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9</w:t>
            </w:r>
            <w:r>
              <w:rPr>
                <w:rFonts w:ascii="Segoe UI Light" w:hAnsi="Segoe UI Light"/>
                <w:sz w:val="16"/>
                <w:szCs w:val="18"/>
              </w:rPr>
              <w:t>,</w:t>
            </w:r>
            <w:r w:rsidRPr="00C8290A">
              <w:rPr>
                <w:rFonts w:ascii="Segoe UI Light" w:hAnsi="Segoe UI Light"/>
                <w:sz w:val="16"/>
                <w:szCs w:val="18"/>
              </w:rPr>
              <w:t>3</w:t>
            </w:r>
          </w:p>
        </w:tc>
        <w:tc>
          <w:tcPr>
            <w:tcW w:w="737" w:type="dxa"/>
            <w:shd w:val="clear" w:color="auto" w:fill="CCC0D9" w:themeFill="accent4" w:themeFillTint="66"/>
            <w:vAlign w:val="bottom"/>
            <w:hideMark/>
          </w:tcPr>
          <w:p w14:paraId="68344389" w14:textId="5848E7B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0,8</w:t>
            </w:r>
          </w:p>
        </w:tc>
        <w:tc>
          <w:tcPr>
            <w:tcW w:w="737" w:type="dxa"/>
            <w:shd w:val="clear" w:color="auto" w:fill="CCC0D9" w:themeFill="accent4" w:themeFillTint="66"/>
            <w:vAlign w:val="bottom"/>
            <w:hideMark/>
          </w:tcPr>
          <w:p w14:paraId="380FBDA1" w14:textId="0F435F4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0,9</w:t>
            </w:r>
          </w:p>
        </w:tc>
        <w:tc>
          <w:tcPr>
            <w:tcW w:w="737" w:type="dxa"/>
            <w:shd w:val="clear" w:color="auto" w:fill="CCC0D9" w:themeFill="accent4" w:themeFillTint="66"/>
            <w:vAlign w:val="bottom"/>
            <w:hideMark/>
          </w:tcPr>
          <w:p w14:paraId="4EEAA1AE" w14:textId="668C286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1,0</w:t>
            </w:r>
          </w:p>
        </w:tc>
        <w:tc>
          <w:tcPr>
            <w:tcW w:w="737" w:type="dxa"/>
            <w:shd w:val="clear" w:color="auto" w:fill="CCC0D9" w:themeFill="accent4" w:themeFillTint="66"/>
            <w:vAlign w:val="bottom"/>
            <w:hideMark/>
          </w:tcPr>
          <w:p w14:paraId="1A496209" w14:textId="77D01BCF"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0,8</w:t>
            </w:r>
          </w:p>
        </w:tc>
        <w:tc>
          <w:tcPr>
            <w:tcW w:w="737" w:type="dxa"/>
            <w:shd w:val="clear" w:color="auto" w:fill="CCC0D9" w:themeFill="accent4" w:themeFillTint="66"/>
            <w:vAlign w:val="bottom"/>
            <w:hideMark/>
          </w:tcPr>
          <w:p w14:paraId="0C42B43C" w14:textId="5B1E6857"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1,7</w:t>
            </w:r>
          </w:p>
        </w:tc>
      </w:tr>
      <w:tr w:rsidR="00343BAC" w:rsidRPr="00C8290A" w14:paraId="7C063CDC" w14:textId="77777777" w:rsidTr="00BD0B9F">
        <w:trPr>
          <w:cantSplit/>
          <w:trHeight w:val="20"/>
          <w:jc w:val="center"/>
        </w:trPr>
        <w:tc>
          <w:tcPr>
            <w:tcW w:w="3373" w:type="dxa"/>
            <w:shd w:val="clear" w:color="auto" w:fill="E5DFEC" w:themeFill="accent4" w:themeFillTint="33"/>
            <w:vAlign w:val="bottom"/>
            <w:hideMark/>
          </w:tcPr>
          <w:p w14:paraId="5847F028" w14:textId="77777777" w:rsidR="00BD0B9F" w:rsidRPr="00C8290A" w:rsidRDefault="00BD0B9F" w:rsidP="00BD0B9F">
            <w:pPr>
              <w:spacing w:before="40" w:after="40"/>
              <w:ind w:left="340"/>
              <w:rPr>
                <w:rFonts w:ascii="Segoe UI Light" w:eastAsia="Times New Roman" w:hAnsi="Segoe UI Light"/>
                <w:spacing w:val="-4"/>
                <w:sz w:val="16"/>
                <w:szCs w:val="18"/>
                <w:lang w:eastAsia="lv-LV"/>
              </w:rPr>
            </w:pPr>
            <w:r w:rsidRPr="00C8290A">
              <w:rPr>
                <w:rFonts w:ascii="Segoe UI Light" w:eastAsia="Times New Roman" w:hAnsi="Segoe UI Light"/>
                <w:spacing w:val="-4"/>
                <w:sz w:val="16"/>
                <w:szCs w:val="18"/>
                <w:lang w:eastAsia="lv-LV"/>
              </w:rPr>
              <w:t xml:space="preserve">Sociālās zinātnes, </w:t>
            </w:r>
            <w:proofErr w:type="spellStart"/>
            <w:r w:rsidRPr="00C8290A">
              <w:rPr>
                <w:rFonts w:ascii="Segoe UI Light" w:eastAsia="Times New Roman" w:hAnsi="Segoe UI Light"/>
                <w:spacing w:val="-4"/>
                <w:sz w:val="16"/>
                <w:szCs w:val="18"/>
                <w:lang w:eastAsia="lv-LV"/>
              </w:rPr>
              <w:t>komerczinības</w:t>
            </w:r>
            <w:proofErr w:type="spellEnd"/>
            <w:r w:rsidRPr="00C8290A">
              <w:rPr>
                <w:rFonts w:ascii="Segoe UI Light" w:eastAsia="Times New Roman" w:hAnsi="Segoe UI Light"/>
                <w:spacing w:val="-4"/>
                <w:sz w:val="16"/>
                <w:szCs w:val="18"/>
                <w:lang w:eastAsia="lv-LV"/>
              </w:rPr>
              <w:t xml:space="preserve"> un tiesības</w:t>
            </w:r>
          </w:p>
        </w:tc>
        <w:tc>
          <w:tcPr>
            <w:tcW w:w="623" w:type="dxa"/>
            <w:shd w:val="clear" w:color="auto" w:fill="E5DFEC" w:themeFill="accent4" w:themeFillTint="33"/>
            <w:noWrap/>
            <w:vAlign w:val="bottom"/>
            <w:hideMark/>
          </w:tcPr>
          <w:p w14:paraId="5AD519E7" w14:textId="14C01DEE"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29</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E5DFEC" w:themeFill="accent4" w:themeFillTint="33"/>
            <w:noWrap/>
            <w:vAlign w:val="bottom"/>
            <w:hideMark/>
          </w:tcPr>
          <w:p w14:paraId="3C4F97EC" w14:textId="6CB957E4"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22</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E5DFEC" w:themeFill="accent4" w:themeFillTint="33"/>
            <w:vAlign w:val="bottom"/>
            <w:hideMark/>
          </w:tcPr>
          <w:p w14:paraId="54840CE1" w14:textId="1672BCBE"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18</w:t>
            </w:r>
            <w:r>
              <w:rPr>
                <w:rFonts w:ascii="Segoe UI Light" w:hAnsi="Segoe UI Light"/>
                <w:sz w:val="16"/>
                <w:szCs w:val="18"/>
              </w:rPr>
              <w:t>,</w:t>
            </w:r>
            <w:r w:rsidRPr="00C8290A">
              <w:rPr>
                <w:rFonts w:ascii="Segoe UI Light" w:hAnsi="Segoe UI Light"/>
                <w:sz w:val="16"/>
                <w:szCs w:val="18"/>
              </w:rPr>
              <w:t>4</w:t>
            </w:r>
          </w:p>
        </w:tc>
        <w:tc>
          <w:tcPr>
            <w:tcW w:w="737" w:type="dxa"/>
            <w:shd w:val="clear" w:color="auto" w:fill="E5DFEC" w:themeFill="accent4" w:themeFillTint="33"/>
            <w:vAlign w:val="bottom"/>
            <w:hideMark/>
          </w:tcPr>
          <w:p w14:paraId="68EEECE7" w14:textId="631B0C59"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3,1</w:t>
            </w:r>
          </w:p>
        </w:tc>
        <w:tc>
          <w:tcPr>
            <w:tcW w:w="737" w:type="dxa"/>
            <w:shd w:val="clear" w:color="auto" w:fill="E5DFEC" w:themeFill="accent4" w:themeFillTint="33"/>
            <w:vAlign w:val="bottom"/>
            <w:hideMark/>
          </w:tcPr>
          <w:p w14:paraId="3103399A" w14:textId="1652FD2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2,4</w:t>
            </w:r>
          </w:p>
        </w:tc>
        <w:tc>
          <w:tcPr>
            <w:tcW w:w="737" w:type="dxa"/>
            <w:shd w:val="clear" w:color="auto" w:fill="E5DFEC" w:themeFill="accent4" w:themeFillTint="33"/>
            <w:vAlign w:val="bottom"/>
            <w:hideMark/>
          </w:tcPr>
          <w:p w14:paraId="63C5A10F" w14:textId="6ACD67E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2,0</w:t>
            </w:r>
          </w:p>
        </w:tc>
        <w:tc>
          <w:tcPr>
            <w:tcW w:w="737" w:type="dxa"/>
            <w:shd w:val="clear" w:color="auto" w:fill="E5DFEC" w:themeFill="accent4" w:themeFillTint="33"/>
            <w:vAlign w:val="bottom"/>
            <w:hideMark/>
          </w:tcPr>
          <w:p w14:paraId="2FC0ADAB" w14:textId="024ED776"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-6,6</w:t>
            </w:r>
          </w:p>
        </w:tc>
        <w:tc>
          <w:tcPr>
            <w:tcW w:w="737" w:type="dxa"/>
            <w:shd w:val="clear" w:color="auto" w:fill="E5DFEC" w:themeFill="accent4" w:themeFillTint="33"/>
            <w:vAlign w:val="bottom"/>
            <w:hideMark/>
          </w:tcPr>
          <w:p w14:paraId="0DD33E35" w14:textId="6240ADF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-10,8</w:t>
            </w:r>
          </w:p>
        </w:tc>
      </w:tr>
      <w:tr w:rsidR="00343BAC" w:rsidRPr="00C8290A" w14:paraId="304C7606"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1659BA50"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Dabas zinātnes, matemātika un informācijas tehnoloģijas</w:t>
            </w:r>
          </w:p>
        </w:tc>
        <w:tc>
          <w:tcPr>
            <w:tcW w:w="623" w:type="dxa"/>
            <w:shd w:val="clear" w:color="auto" w:fill="CCC0D9" w:themeFill="accent4" w:themeFillTint="66"/>
            <w:noWrap/>
            <w:vAlign w:val="bottom"/>
            <w:hideMark/>
          </w:tcPr>
          <w:p w14:paraId="0B4D423E" w14:textId="43C54001"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w:t>
            </w:r>
            <w:r>
              <w:rPr>
                <w:rFonts w:ascii="Segoe UI Light" w:hAnsi="Segoe UI Light"/>
                <w:sz w:val="16"/>
                <w:szCs w:val="18"/>
              </w:rPr>
              <w:t>,</w:t>
            </w:r>
            <w:r w:rsidRPr="00C8290A">
              <w:rPr>
                <w:rFonts w:ascii="Segoe UI Light" w:hAnsi="Segoe UI Light"/>
                <w:sz w:val="16"/>
                <w:szCs w:val="18"/>
              </w:rPr>
              <w:t>6</w:t>
            </w:r>
          </w:p>
        </w:tc>
        <w:tc>
          <w:tcPr>
            <w:tcW w:w="737" w:type="dxa"/>
            <w:shd w:val="clear" w:color="auto" w:fill="CCC0D9" w:themeFill="accent4" w:themeFillTint="66"/>
            <w:noWrap/>
            <w:vAlign w:val="bottom"/>
            <w:hideMark/>
          </w:tcPr>
          <w:p w14:paraId="2DF2FA53" w14:textId="71B94A66"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CCC0D9" w:themeFill="accent4" w:themeFillTint="66"/>
            <w:vAlign w:val="bottom"/>
            <w:hideMark/>
          </w:tcPr>
          <w:p w14:paraId="5D7A05A9" w14:textId="7056A27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7</w:t>
            </w:r>
            <w:r>
              <w:rPr>
                <w:rFonts w:ascii="Segoe UI Light" w:hAnsi="Segoe UI Light"/>
                <w:sz w:val="16"/>
                <w:szCs w:val="18"/>
              </w:rPr>
              <w:t>,</w:t>
            </w:r>
            <w:r w:rsidRPr="00C8290A">
              <w:rPr>
                <w:rFonts w:ascii="Segoe UI Light" w:hAnsi="Segoe UI Light"/>
                <w:sz w:val="16"/>
                <w:szCs w:val="18"/>
              </w:rPr>
              <w:t>1</w:t>
            </w:r>
          </w:p>
        </w:tc>
        <w:tc>
          <w:tcPr>
            <w:tcW w:w="737" w:type="dxa"/>
            <w:shd w:val="clear" w:color="auto" w:fill="CCC0D9" w:themeFill="accent4" w:themeFillTint="66"/>
            <w:vAlign w:val="bottom"/>
            <w:hideMark/>
          </w:tcPr>
          <w:p w14:paraId="2D38177C" w14:textId="43115F4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0,6</w:t>
            </w:r>
          </w:p>
        </w:tc>
        <w:tc>
          <w:tcPr>
            <w:tcW w:w="737" w:type="dxa"/>
            <w:shd w:val="clear" w:color="auto" w:fill="CCC0D9" w:themeFill="accent4" w:themeFillTint="66"/>
            <w:vAlign w:val="bottom"/>
            <w:hideMark/>
          </w:tcPr>
          <w:p w14:paraId="5BE9C9E2" w14:textId="335F7444"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0,6</w:t>
            </w:r>
          </w:p>
        </w:tc>
        <w:tc>
          <w:tcPr>
            <w:tcW w:w="737" w:type="dxa"/>
            <w:shd w:val="clear" w:color="auto" w:fill="CCC0D9" w:themeFill="accent4" w:themeFillTint="66"/>
            <w:vAlign w:val="bottom"/>
            <w:hideMark/>
          </w:tcPr>
          <w:p w14:paraId="32F2DB23" w14:textId="36AF71E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0,8</w:t>
            </w:r>
          </w:p>
        </w:tc>
        <w:tc>
          <w:tcPr>
            <w:tcW w:w="737" w:type="dxa"/>
            <w:shd w:val="clear" w:color="auto" w:fill="CCC0D9" w:themeFill="accent4" w:themeFillTint="66"/>
            <w:vAlign w:val="bottom"/>
            <w:hideMark/>
          </w:tcPr>
          <w:p w14:paraId="29CDA71B" w14:textId="40F8D9FE"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0,1</w:t>
            </w:r>
          </w:p>
        </w:tc>
        <w:tc>
          <w:tcPr>
            <w:tcW w:w="737" w:type="dxa"/>
            <w:shd w:val="clear" w:color="auto" w:fill="CCC0D9" w:themeFill="accent4" w:themeFillTint="66"/>
            <w:vAlign w:val="bottom"/>
            <w:hideMark/>
          </w:tcPr>
          <w:p w14:paraId="51908508" w14:textId="2CF7D7D0"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1,5</w:t>
            </w:r>
          </w:p>
        </w:tc>
      </w:tr>
      <w:tr w:rsidR="00343BAC" w:rsidRPr="00C8290A" w14:paraId="0657CB42" w14:textId="77777777" w:rsidTr="00BD0B9F">
        <w:trPr>
          <w:cantSplit/>
          <w:trHeight w:val="20"/>
          <w:jc w:val="center"/>
        </w:trPr>
        <w:tc>
          <w:tcPr>
            <w:tcW w:w="3373" w:type="dxa"/>
            <w:shd w:val="clear" w:color="auto" w:fill="E5DFEC" w:themeFill="accent4" w:themeFillTint="33"/>
            <w:vAlign w:val="bottom"/>
            <w:hideMark/>
          </w:tcPr>
          <w:p w14:paraId="00589029"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Inženierzinātnes, ražošana un būvniecība</w:t>
            </w:r>
          </w:p>
        </w:tc>
        <w:tc>
          <w:tcPr>
            <w:tcW w:w="623" w:type="dxa"/>
            <w:shd w:val="clear" w:color="auto" w:fill="E5DFEC" w:themeFill="accent4" w:themeFillTint="33"/>
            <w:noWrap/>
            <w:vAlign w:val="bottom"/>
            <w:hideMark/>
          </w:tcPr>
          <w:p w14:paraId="609F2F69" w14:textId="1D602E45"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125</w:t>
            </w:r>
            <w:r>
              <w:rPr>
                <w:rFonts w:ascii="Segoe UI Light" w:hAnsi="Segoe UI Light"/>
                <w:sz w:val="16"/>
                <w:szCs w:val="18"/>
              </w:rPr>
              <w:t>,</w:t>
            </w:r>
            <w:r w:rsidRPr="00C8290A">
              <w:rPr>
                <w:rFonts w:ascii="Segoe UI Light" w:hAnsi="Segoe UI Light"/>
                <w:sz w:val="16"/>
                <w:szCs w:val="18"/>
              </w:rPr>
              <w:t>8</w:t>
            </w:r>
          </w:p>
        </w:tc>
        <w:tc>
          <w:tcPr>
            <w:tcW w:w="737" w:type="dxa"/>
            <w:shd w:val="clear" w:color="auto" w:fill="E5DFEC" w:themeFill="accent4" w:themeFillTint="33"/>
            <w:noWrap/>
            <w:vAlign w:val="bottom"/>
            <w:hideMark/>
          </w:tcPr>
          <w:p w14:paraId="55EACA07" w14:textId="04C16C11"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91</w:t>
            </w:r>
            <w:r>
              <w:rPr>
                <w:rFonts w:ascii="Segoe UI Light" w:hAnsi="Segoe UI Light"/>
                <w:sz w:val="16"/>
                <w:szCs w:val="18"/>
              </w:rPr>
              <w:t>,4</w:t>
            </w:r>
          </w:p>
        </w:tc>
        <w:tc>
          <w:tcPr>
            <w:tcW w:w="737" w:type="dxa"/>
            <w:shd w:val="clear" w:color="auto" w:fill="E5DFEC" w:themeFill="accent4" w:themeFillTint="33"/>
            <w:vAlign w:val="bottom"/>
            <w:hideMark/>
          </w:tcPr>
          <w:p w14:paraId="2B555293" w14:textId="633BC3BC"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69</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E5DFEC" w:themeFill="accent4" w:themeFillTint="33"/>
            <w:vAlign w:val="bottom"/>
            <w:hideMark/>
          </w:tcPr>
          <w:p w14:paraId="034D97B0" w14:textId="32FFEE8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13,5</w:t>
            </w:r>
          </w:p>
        </w:tc>
        <w:tc>
          <w:tcPr>
            <w:tcW w:w="737" w:type="dxa"/>
            <w:shd w:val="clear" w:color="auto" w:fill="E5DFEC" w:themeFill="accent4" w:themeFillTint="33"/>
            <w:vAlign w:val="bottom"/>
            <w:hideMark/>
          </w:tcPr>
          <w:p w14:paraId="52C0FCF3" w14:textId="00FDC087"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9,7</w:t>
            </w:r>
          </w:p>
        </w:tc>
        <w:tc>
          <w:tcPr>
            <w:tcW w:w="737" w:type="dxa"/>
            <w:shd w:val="clear" w:color="auto" w:fill="E5DFEC" w:themeFill="accent4" w:themeFillTint="33"/>
            <w:vAlign w:val="bottom"/>
            <w:hideMark/>
          </w:tcPr>
          <w:p w14:paraId="50B4D118" w14:textId="386F6A18"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7,5</w:t>
            </w:r>
          </w:p>
        </w:tc>
        <w:tc>
          <w:tcPr>
            <w:tcW w:w="737" w:type="dxa"/>
            <w:shd w:val="clear" w:color="auto" w:fill="E5DFEC" w:themeFill="accent4" w:themeFillTint="33"/>
            <w:vAlign w:val="bottom"/>
            <w:hideMark/>
          </w:tcPr>
          <w:p w14:paraId="43C655E4" w14:textId="04589B0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-34,4</w:t>
            </w:r>
          </w:p>
        </w:tc>
        <w:tc>
          <w:tcPr>
            <w:tcW w:w="737" w:type="dxa"/>
            <w:shd w:val="clear" w:color="auto" w:fill="E5DFEC" w:themeFill="accent4" w:themeFillTint="33"/>
            <w:vAlign w:val="bottom"/>
            <w:hideMark/>
          </w:tcPr>
          <w:p w14:paraId="2AD9F34E" w14:textId="0855899A"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-56,6</w:t>
            </w:r>
          </w:p>
        </w:tc>
      </w:tr>
      <w:tr w:rsidR="00343BAC" w:rsidRPr="00C8290A" w14:paraId="2D34AFA8"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711D673C"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Lauksaimniecība</w:t>
            </w:r>
          </w:p>
        </w:tc>
        <w:tc>
          <w:tcPr>
            <w:tcW w:w="623" w:type="dxa"/>
            <w:shd w:val="clear" w:color="auto" w:fill="CCC0D9" w:themeFill="accent4" w:themeFillTint="66"/>
            <w:noWrap/>
            <w:vAlign w:val="bottom"/>
            <w:hideMark/>
          </w:tcPr>
          <w:p w14:paraId="100E54D9" w14:textId="38645912"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11</w:t>
            </w:r>
            <w:r>
              <w:rPr>
                <w:rFonts w:ascii="Segoe UI Light" w:hAnsi="Segoe UI Light"/>
                <w:sz w:val="16"/>
                <w:szCs w:val="18"/>
              </w:rPr>
              <w:t>,</w:t>
            </w:r>
            <w:r w:rsidRPr="00C8290A">
              <w:rPr>
                <w:rFonts w:ascii="Segoe UI Light" w:hAnsi="Segoe UI Light"/>
                <w:sz w:val="16"/>
                <w:szCs w:val="18"/>
              </w:rPr>
              <w:t>5</w:t>
            </w:r>
          </w:p>
        </w:tc>
        <w:tc>
          <w:tcPr>
            <w:tcW w:w="737" w:type="dxa"/>
            <w:shd w:val="clear" w:color="auto" w:fill="CCC0D9" w:themeFill="accent4" w:themeFillTint="66"/>
            <w:noWrap/>
            <w:vAlign w:val="bottom"/>
            <w:hideMark/>
          </w:tcPr>
          <w:p w14:paraId="10D9B99D" w14:textId="0275530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9</w:t>
            </w:r>
            <w:r>
              <w:rPr>
                <w:rFonts w:ascii="Segoe UI Light" w:hAnsi="Segoe UI Light"/>
                <w:sz w:val="16"/>
                <w:szCs w:val="18"/>
              </w:rPr>
              <w:t>,</w:t>
            </w:r>
            <w:r w:rsidRPr="00C8290A">
              <w:rPr>
                <w:rFonts w:ascii="Segoe UI Light" w:hAnsi="Segoe UI Light"/>
                <w:sz w:val="16"/>
                <w:szCs w:val="18"/>
              </w:rPr>
              <w:t>0</w:t>
            </w:r>
          </w:p>
        </w:tc>
        <w:tc>
          <w:tcPr>
            <w:tcW w:w="737" w:type="dxa"/>
            <w:shd w:val="clear" w:color="auto" w:fill="CCC0D9" w:themeFill="accent4" w:themeFillTint="66"/>
            <w:vAlign w:val="bottom"/>
            <w:hideMark/>
          </w:tcPr>
          <w:p w14:paraId="0BB27908" w14:textId="4A295234"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8</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CCC0D9" w:themeFill="accent4" w:themeFillTint="66"/>
            <w:vAlign w:val="bottom"/>
            <w:hideMark/>
          </w:tcPr>
          <w:p w14:paraId="58D9D5D6" w14:textId="2C983811"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1,2</w:t>
            </w:r>
          </w:p>
        </w:tc>
        <w:tc>
          <w:tcPr>
            <w:tcW w:w="737" w:type="dxa"/>
            <w:shd w:val="clear" w:color="auto" w:fill="CCC0D9" w:themeFill="accent4" w:themeFillTint="66"/>
            <w:vAlign w:val="bottom"/>
            <w:hideMark/>
          </w:tcPr>
          <w:p w14:paraId="37ED59D8" w14:textId="630A8F20"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1,0</w:t>
            </w:r>
          </w:p>
        </w:tc>
        <w:tc>
          <w:tcPr>
            <w:tcW w:w="737" w:type="dxa"/>
            <w:shd w:val="clear" w:color="auto" w:fill="CCC0D9" w:themeFill="accent4" w:themeFillTint="66"/>
            <w:vAlign w:val="bottom"/>
            <w:hideMark/>
          </w:tcPr>
          <w:p w14:paraId="279C8AE9" w14:textId="541E62A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0,9</w:t>
            </w:r>
          </w:p>
        </w:tc>
        <w:tc>
          <w:tcPr>
            <w:tcW w:w="737" w:type="dxa"/>
            <w:shd w:val="clear" w:color="auto" w:fill="CCC0D9" w:themeFill="accent4" w:themeFillTint="66"/>
            <w:vAlign w:val="bottom"/>
            <w:hideMark/>
          </w:tcPr>
          <w:p w14:paraId="3B89E583" w14:textId="17F12C6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-2,5</w:t>
            </w:r>
          </w:p>
        </w:tc>
        <w:tc>
          <w:tcPr>
            <w:tcW w:w="737" w:type="dxa"/>
            <w:shd w:val="clear" w:color="auto" w:fill="CCC0D9" w:themeFill="accent4" w:themeFillTint="66"/>
            <w:vAlign w:val="bottom"/>
            <w:hideMark/>
          </w:tcPr>
          <w:p w14:paraId="34369667" w14:textId="6575499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-3,3</w:t>
            </w:r>
          </w:p>
        </w:tc>
      </w:tr>
      <w:tr w:rsidR="00343BAC" w:rsidRPr="00C8290A" w14:paraId="416E25F9" w14:textId="77777777" w:rsidTr="00BD0B9F">
        <w:trPr>
          <w:cantSplit/>
          <w:trHeight w:val="20"/>
          <w:jc w:val="center"/>
        </w:trPr>
        <w:tc>
          <w:tcPr>
            <w:tcW w:w="3373" w:type="dxa"/>
            <w:shd w:val="clear" w:color="auto" w:fill="E5DFEC" w:themeFill="accent4" w:themeFillTint="33"/>
            <w:vAlign w:val="bottom"/>
            <w:hideMark/>
          </w:tcPr>
          <w:p w14:paraId="59438963"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Veselības aprūpe un sociālā labklājība</w:t>
            </w:r>
          </w:p>
        </w:tc>
        <w:tc>
          <w:tcPr>
            <w:tcW w:w="623" w:type="dxa"/>
            <w:shd w:val="clear" w:color="auto" w:fill="E5DFEC" w:themeFill="accent4" w:themeFillTint="33"/>
            <w:noWrap/>
            <w:vAlign w:val="bottom"/>
            <w:hideMark/>
          </w:tcPr>
          <w:p w14:paraId="0EFA6E23" w14:textId="742AA8D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11</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E5DFEC" w:themeFill="accent4" w:themeFillTint="33"/>
            <w:noWrap/>
            <w:vAlign w:val="bottom"/>
            <w:hideMark/>
          </w:tcPr>
          <w:p w14:paraId="38600005" w14:textId="1351A10F"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9</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E5DFEC" w:themeFill="accent4" w:themeFillTint="33"/>
            <w:vAlign w:val="bottom"/>
            <w:hideMark/>
          </w:tcPr>
          <w:p w14:paraId="55ED8859" w14:textId="39082008"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9</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E5DFEC" w:themeFill="accent4" w:themeFillTint="33"/>
            <w:vAlign w:val="bottom"/>
            <w:hideMark/>
          </w:tcPr>
          <w:p w14:paraId="14949195" w14:textId="5AC72E5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1,2</w:t>
            </w:r>
          </w:p>
        </w:tc>
        <w:tc>
          <w:tcPr>
            <w:tcW w:w="737" w:type="dxa"/>
            <w:shd w:val="clear" w:color="auto" w:fill="E5DFEC" w:themeFill="accent4" w:themeFillTint="33"/>
            <w:vAlign w:val="bottom"/>
            <w:hideMark/>
          </w:tcPr>
          <w:p w14:paraId="22A1AD0A" w14:textId="6783A452"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1,0</w:t>
            </w:r>
          </w:p>
        </w:tc>
        <w:tc>
          <w:tcPr>
            <w:tcW w:w="737" w:type="dxa"/>
            <w:shd w:val="clear" w:color="auto" w:fill="E5DFEC" w:themeFill="accent4" w:themeFillTint="33"/>
            <w:vAlign w:val="bottom"/>
            <w:hideMark/>
          </w:tcPr>
          <w:p w14:paraId="2F781D0B" w14:textId="042FC767"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1,1</w:t>
            </w:r>
          </w:p>
        </w:tc>
        <w:tc>
          <w:tcPr>
            <w:tcW w:w="737" w:type="dxa"/>
            <w:shd w:val="clear" w:color="auto" w:fill="E5DFEC" w:themeFill="accent4" w:themeFillTint="33"/>
            <w:vAlign w:val="bottom"/>
            <w:hideMark/>
          </w:tcPr>
          <w:p w14:paraId="2DFF029E" w14:textId="27B414F4"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-1,5</w:t>
            </w:r>
          </w:p>
        </w:tc>
        <w:tc>
          <w:tcPr>
            <w:tcW w:w="737" w:type="dxa"/>
            <w:shd w:val="clear" w:color="auto" w:fill="E5DFEC" w:themeFill="accent4" w:themeFillTint="33"/>
            <w:vAlign w:val="bottom"/>
            <w:hideMark/>
          </w:tcPr>
          <w:p w14:paraId="2B143626" w14:textId="5BF981B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-1,5</w:t>
            </w:r>
          </w:p>
        </w:tc>
      </w:tr>
      <w:tr w:rsidR="00343BAC" w:rsidRPr="00C8290A" w14:paraId="707DF535"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39B396F3"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Pakalpojumi</w:t>
            </w:r>
          </w:p>
        </w:tc>
        <w:tc>
          <w:tcPr>
            <w:tcW w:w="623" w:type="dxa"/>
            <w:shd w:val="clear" w:color="auto" w:fill="CCC0D9" w:themeFill="accent4" w:themeFillTint="66"/>
            <w:noWrap/>
            <w:vAlign w:val="bottom"/>
            <w:hideMark/>
          </w:tcPr>
          <w:p w14:paraId="39B2CBC8" w14:textId="16336C2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50</w:t>
            </w:r>
            <w:r>
              <w:rPr>
                <w:rFonts w:ascii="Segoe UI Light" w:hAnsi="Segoe UI Light"/>
                <w:sz w:val="16"/>
                <w:szCs w:val="18"/>
              </w:rPr>
              <w:t>,</w:t>
            </w:r>
            <w:r w:rsidRPr="00C8290A">
              <w:rPr>
                <w:rFonts w:ascii="Segoe UI Light" w:hAnsi="Segoe UI Light"/>
                <w:sz w:val="16"/>
                <w:szCs w:val="18"/>
              </w:rPr>
              <w:t>5</w:t>
            </w:r>
          </w:p>
        </w:tc>
        <w:tc>
          <w:tcPr>
            <w:tcW w:w="737" w:type="dxa"/>
            <w:shd w:val="clear" w:color="auto" w:fill="CCC0D9" w:themeFill="accent4" w:themeFillTint="66"/>
            <w:noWrap/>
            <w:vAlign w:val="bottom"/>
            <w:hideMark/>
          </w:tcPr>
          <w:p w14:paraId="1B4099E4" w14:textId="065E1836"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43</w:t>
            </w:r>
            <w:r>
              <w:rPr>
                <w:rFonts w:ascii="Segoe UI Light" w:hAnsi="Segoe UI Light"/>
                <w:sz w:val="16"/>
                <w:szCs w:val="18"/>
              </w:rPr>
              <w:t>,</w:t>
            </w:r>
            <w:r w:rsidRPr="00C8290A">
              <w:rPr>
                <w:rFonts w:ascii="Segoe UI Light" w:hAnsi="Segoe UI Light"/>
                <w:sz w:val="16"/>
                <w:szCs w:val="18"/>
              </w:rPr>
              <w:t>8</w:t>
            </w:r>
          </w:p>
        </w:tc>
        <w:tc>
          <w:tcPr>
            <w:tcW w:w="737" w:type="dxa"/>
            <w:shd w:val="clear" w:color="auto" w:fill="CCC0D9" w:themeFill="accent4" w:themeFillTint="66"/>
            <w:vAlign w:val="bottom"/>
            <w:hideMark/>
          </w:tcPr>
          <w:p w14:paraId="185C7854" w14:textId="66816B17"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39</w:t>
            </w:r>
            <w:r>
              <w:rPr>
                <w:rFonts w:ascii="Segoe UI Light" w:hAnsi="Segoe UI Light"/>
                <w:sz w:val="16"/>
                <w:szCs w:val="18"/>
              </w:rPr>
              <w:t>,</w:t>
            </w:r>
            <w:r w:rsidRPr="00C8290A">
              <w:rPr>
                <w:rFonts w:ascii="Segoe UI Light" w:hAnsi="Segoe UI Light"/>
                <w:sz w:val="16"/>
                <w:szCs w:val="18"/>
              </w:rPr>
              <w:t>2</w:t>
            </w:r>
          </w:p>
        </w:tc>
        <w:tc>
          <w:tcPr>
            <w:tcW w:w="737" w:type="dxa"/>
            <w:shd w:val="clear" w:color="auto" w:fill="CCC0D9" w:themeFill="accent4" w:themeFillTint="66"/>
            <w:vAlign w:val="bottom"/>
            <w:hideMark/>
          </w:tcPr>
          <w:p w14:paraId="2E80E058" w14:textId="3C8A2A29"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5,4</w:t>
            </w:r>
          </w:p>
        </w:tc>
        <w:tc>
          <w:tcPr>
            <w:tcW w:w="737" w:type="dxa"/>
            <w:shd w:val="clear" w:color="auto" w:fill="CCC0D9" w:themeFill="accent4" w:themeFillTint="66"/>
            <w:vAlign w:val="bottom"/>
            <w:hideMark/>
          </w:tcPr>
          <w:p w14:paraId="212B61CB" w14:textId="2096D11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4,6</w:t>
            </w:r>
          </w:p>
        </w:tc>
        <w:tc>
          <w:tcPr>
            <w:tcW w:w="737" w:type="dxa"/>
            <w:shd w:val="clear" w:color="auto" w:fill="CCC0D9" w:themeFill="accent4" w:themeFillTint="66"/>
            <w:vAlign w:val="bottom"/>
            <w:hideMark/>
          </w:tcPr>
          <w:p w14:paraId="185369B6" w14:textId="5517014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4,2</w:t>
            </w:r>
          </w:p>
        </w:tc>
        <w:tc>
          <w:tcPr>
            <w:tcW w:w="737" w:type="dxa"/>
            <w:shd w:val="clear" w:color="auto" w:fill="CCC0D9" w:themeFill="accent4" w:themeFillTint="66"/>
            <w:vAlign w:val="bottom"/>
            <w:hideMark/>
          </w:tcPr>
          <w:p w14:paraId="530B3119" w14:textId="634B44E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-6,7</w:t>
            </w:r>
          </w:p>
        </w:tc>
        <w:tc>
          <w:tcPr>
            <w:tcW w:w="737" w:type="dxa"/>
            <w:shd w:val="clear" w:color="auto" w:fill="CCC0D9" w:themeFill="accent4" w:themeFillTint="66"/>
            <w:vAlign w:val="bottom"/>
            <w:hideMark/>
          </w:tcPr>
          <w:p w14:paraId="6F677EF2" w14:textId="446547F3"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-11,3</w:t>
            </w:r>
          </w:p>
        </w:tc>
      </w:tr>
      <w:tr w:rsidR="00343BAC" w:rsidRPr="00C8290A" w14:paraId="7726D039" w14:textId="77777777" w:rsidTr="00BD0B9F">
        <w:trPr>
          <w:cantSplit/>
          <w:trHeight w:val="20"/>
          <w:jc w:val="center"/>
        </w:trPr>
        <w:tc>
          <w:tcPr>
            <w:tcW w:w="3373" w:type="dxa"/>
            <w:shd w:val="clear" w:color="auto" w:fill="E5DFEC" w:themeFill="accent4" w:themeFillTint="33"/>
            <w:vAlign w:val="bottom"/>
          </w:tcPr>
          <w:p w14:paraId="2B34F6A7" w14:textId="77777777" w:rsidR="00BD0B9F" w:rsidRPr="00C8290A" w:rsidRDefault="00BD0B9F" w:rsidP="00BD0B9F">
            <w:pPr>
              <w:spacing w:before="40" w:after="40"/>
              <w:ind w:left="340"/>
              <w:rPr>
                <w:rFonts w:ascii="Segoe UI Light" w:eastAsia="Times New Roman" w:hAnsi="Segoe UI Light"/>
                <w:sz w:val="16"/>
                <w:szCs w:val="18"/>
                <w:lang w:eastAsia="lv-LV"/>
              </w:rPr>
            </w:pPr>
            <w:r w:rsidRPr="00C8290A">
              <w:rPr>
                <w:rFonts w:ascii="Segoe UI Light" w:eastAsia="Times New Roman" w:hAnsi="Segoe UI Light"/>
                <w:sz w:val="16"/>
                <w:szCs w:val="18"/>
                <w:lang w:eastAsia="lv-LV"/>
              </w:rPr>
              <w:t>Citur neklasificētās tematiskās grupas</w:t>
            </w:r>
          </w:p>
        </w:tc>
        <w:tc>
          <w:tcPr>
            <w:tcW w:w="623" w:type="dxa"/>
            <w:shd w:val="clear" w:color="auto" w:fill="E5DFEC" w:themeFill="accent4" w:themeFillTint="33"/>
            <w:noWrap/>
            <w:vAlign w:val="bottom"/>
          </w:tcPr>
          <w:p w14:paraId="29E73D03" w14:textId="333CB5E0"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5</w:t>
            </w:r>
            <w:r>
              <w:rPr>
                <w:rFonts w:ascii="Segoe UI Light" w:hAnsi="Segoe UI Light"/>
                <w:sz w:val="16"/>
                <w:szCs w:val="18"/>
              </w:rPr>
              <w:t>,</w:t>
            </w:r>
            <w:r w:rsidRPr="00C8290A">
              <w:rPr>
                <w:rFonts w:ascii="Segoe UI Light" w:hAnsi="Segoe UI Light"/>
                <w:sz w:val="16"/>
                <w:szCs w:val="18"/>
              </w:rPr>
              <w:t>7</w:t>
            </w:r>
          </w:p>
        </w:tc>
        <w:tc>
          <w:tcPr>
            <w:tcW w:w="737" w:type="dxa"/>
            <w:shd w:val="clear" w:color="auto" w:fill="E5DFEC" w:themeFill="accent4" w:themeFillTint="33"/>
            <w:noWrap/>
            <w:vAlign w:val="bottom"/>
          </w:tcPr>
          <w:p w14:paraId="271C557D" w14:textId="7541B59C"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3</w:t>
            </w:r>
            <w:r>
              <w:rPr>
                <w:rFonts w:ascii="Segoe UI Light" w:hAnsi="Segoe UI Light"/>
                <w:sz w:val="16"/>
                <w:szCs w:val="18"/>
              </w:rPr>
              <w:t>,</w:t>
            </w:r>
            <w:r w:rsidRPr="00C8290A">
              <w:rPr>
                <w:rFonts w:ascii="Segoe UI Light" w:hAnsi="Segoe UI Light"/>
                <w:sz w:val="16"/>
                <w:szCs w:val="18"/>
              </w:rPr>
              <w:t>8</w:t>
            </w:r>
          </w:p>
        </w:tc>
        <w:tc>
          <w:tcPr>
            <w:tcW w:w="737" w:type="dxa"/>
            <w:shd w:val="clear" w:color="auto" w:fill="E5DFEC" w:themeFill="accent4" w:themeFillTint="33"/>
            <w:vAlign w:val="bottom"/>
          </w:tcPr>
          <w:p w14:paraId="05085523" w14:textId="779BF10F" w:rsidR="00BD0B9F" w:rsidRPr="00C8290A" w:rsidRDefault="00BD0B9F" w:rsidP="00BD0B9F">
            <w:pPr>
              <w:tabs>
                <w:tab w:val="decimal" w:pos="315"/>
              </w:tabs>
              <w:spacing w:before="40" w:after="40"/>
              <w:rPr>
                <w:rFonts w:ascii="Segoe UI Light" w:hAnsi="Segoe UI Light"/>
                <w:sz w:val="16"/>
                <w:szCs w:val="18"/>
              </w:rPr>
            </w:pPr>
            <w:r w:rsidRPr="00C8290A">
              <w:rPr>
                <w:rFonts w:ascii="Segoe UI Light" w:hAnsi="Segoe UI Light"/>
                <w:sz w:val="16"/>
                <w:szCs w:val="18"/>
              </w:rPr>
              <w:t>1</w:t>
            </w:r>
            <w:r>
              <w:rPr>
                <w:rFonts w:ascii="Segoe UI Light" w:hAnsi="Segoe UI Light"/>
                <w:sz w:val="16"/>
                <w:szCs w:val="18"/>
              </w:rPr>
              <w:t>,</w:t>
            </w:r>
            <w:r w:rsidRPr="00C8290A">
              <w:rPr>
                <w:rFonts w:ascii="Segoe UI Light" w:hAnsi="Segoe UI Light"/>
                <w:sz w:val="16"/>
                <w:szCs w:val="18"/>
              </w:rPr>
              <w:t>9</w:t>
            </w:r>
          </w:p>
        </w:tc>
        <w:tc>
          <w:tcPr>
            <w:tcW w:w="737" w:type="dxa"/>
            <w:shd w:val="clear" w:color="auto" w:fill="E5DFEC" w:themeFill="accent4" w:themeFillTint="33"/>
            <w:vAlign w:val="bottom"/>
          </w:tcPr>
          <w:p w14:paraId="2BB6C016" w14:textId="3EC7FA85"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0,6</w:t>
            </w:r>
          </w:p>
        </w:tc>
        <w:tc>
          <w:tcPr>
            <w:tcW w:w="737" w:type="dxa"/>
            <w:shd w:val="clear" w:color="auto" w:fill="E5DFEC" w:themeFill="accent4" w:themeFillTint="33"/>
            <w:vAlign w:val="bottom"/>
          </w:tcPr>
          <w:p w14:paraId="1CF3D174" w14:textId="4532E561"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0,4</w:t>
            </w:r>
          </w:p>
        </w:tc>
        <w:tc>
          <w:tcPr>
            <w:tcW w:w="737" w:type="dxa"/>
            <w:shd w:val="clear" w:color="auto" w:fill="E5DFEC" w:themeFill="accent4" w:themeFillTint="33"/>
            <w:vAlign w:val="bottom"/>
          </w:tcPr>
          <w:p w14:paraId="50B7113A" w14:textId="48EC473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0,2</w:t>
            </w:r>
          </w:p>
        </w:tc>
        <w:tc>
          <w:tcPr>
            <w:tcW w:w="737" w:type="dxa"/>
            <w:shd w:val="clear" w:color="auto" w:fill="E5DFEC" w:themeFill="accent4" w:themeFillTint="33"/>
            <w:vAlign w:val="bottom"/>
          </w:tcPr>
          <w:p w14:paraId="1A1CBFDB" w14:textId="52E2F57C"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-1,9</w:t>
            </w:r>
          </w:p>
        </w:tc>
        <w:tc>
          <w:tcPr>
            <w:tcW w:w="737" w:type="dxa"/>
            <w:shd w:val="clear" w:color="auto" w:fill="E5DFEC" w:themeFill="accent4" w:themeFillTint="33"/>
            <w:vAlign w:val="bottom"/>
          </w:tcPr>
          <w:p w14:paraId="5BF8E99B" w14:textId="0D716F9B" w:rsidR="00BD0B9F" w:rsidRPr="00BD0B9F" w:rsidRDefault="00BD0B9F" w:rsidP="00BD0B9F">
            <w:pPr>
              <w:tabs>
                <w:tab w:val="decimal" w:pos="315"/>
              </w:tabs>
              <w:spacing w:before="40" w:after="40"/>
              <w:rPr>
                <w:rFonts w:ascii="Segoe UI Light" w:hAnsi="Segoe UI Light" w:cs="Segoe UI Light"/>
                <w:sz w:val="16"/>
                <w:szCs w:val="16"/>
              </w:rPr>
            </w:pPr>
            <w:r w:rsidRPr="00BD0B9F">
              <w:rPr>
                <w:rFonts w:ascii="Segoe UI Light" w:hAnsi="Segoe UI Light" w:cs="Segoe UI Light"/>
                <w:color w:val="000000"/>
                <w:sz w:val="16"/>
                <w:szCs w:val="16"/>
              </w:rPr>
              <w:t>-3,8</w:t>
            </w:r>
          </w:p>
        </w:tc>
      </w:tr>
      <w:tr w:rsidR="00343BAC" w:rsidRPr="00C8290A" w14:paraId="70552EE8"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vAlign w:val="bottom"/>
            <w:hideMark/>
          </w:tcPr>
          <w:p w14:paraId="270F10A5" w14:textId="77777777" w:rsidR="00BD0B9F" w:rsidRPr="00616ACB" w:rsidRDefault="00BD0B9F" w:rsidP="00BD0B9F">
            <w:pPr>
              <w:spacing w:before="40" w:after="40"/>
              <w:ind w:left="170"/>
              <w:rPr>
                <w:rFonts w:ascii="Segoe UI Light" w:eastAsia="Times New Roman" w:hAnsi="Segoe UI Light"/>
                <w:b/>
                <w:bCs/>
                <w:sz w:val="16"/>
                <w:szCs w:val="18"/>
                <w:lang w:eastAsia="lv-LV"/>
              </w:rPr>
            </w:pPr>
            <w:r w:rsidRPr="00616ACB">
              <w:rPr>
                <w:rFonts w:ascii="Segoe UI Light" w:eastAsia="Times New Roman" w:hAnsi="Segoe UI Light"/>
                <w:b/>
                <w:bCs/>
                <w:sz w:val="16"/>
                <w:szCs w:val="18"/>
                <w:lang w:eastAsia="lv-LV"/>
              </w:rPr>
              <w:t>Vispārējā vidējā izglītība</w:t>
            </w:r>
          </w:p>
        </w:tc>
        <w:tc>
          <w:tcPr>
            <w:tcW w:w="623" w:type="dxa"/>
            <w:shd w:val="clear" w:color="auto" w:fill="CCC0D9" w:themeFill="accent4" w:themeFillTint="66"/>
            <w:noWrap/>
            <w:vAlign w:val="bottom"/>
            <w:hideMark/>
          </w:tcPr>
          <w:p w14:paraId="07FE6030" w14:textId="3430BA99"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214</w:t>
            </w:r>
            <w:r>
              <w:rPr>
                <w:rFonts w:ascii="Segoe UI Light" w:hAnsi="Segoe UI Light"/>
                <w:b/>
                <w:bCs/>
                <w:sz w:val="16"/>
                <w:szCs w:val="18"/>
              </w:rPr>
              <w:t>,</w:t>
            </w:r>
            <w:r w:rsidRPr="00616ACB">
              <w:rPr>
                <w:rFonts w:ascii="Segoe UI Light" w:hAnsi="Segoe UI Light"/>
                <w:b/>
                <w:bCs/>
                <w:sz w:val="16"/>
                <w:szCs w:val="18"/>
              </w:rPr>
              <w:t>6</w:t>
            </w:r>
          </w:p>
        </w:tc>
        <w:tc>
          <w:tcPr>
            <w:tcW w:w="737" w:type="dxa"/>
            <w:shd w:val="clear" w:color="auto" w:fill="CCC0D9" w:themeFill="accent4" w:themeFillTint="66"/>
            <w:noWrap/>
            <w:vAlign w:val="bottom"/>
            <w:hideMark/>
          </w:tcPr>
          <w:p w14:paraId="44BCC789" w14:textId="4CB54918"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204</w:t>
            </w:r>
            <w:r>
              <w:rPr>
                <w:rFonts w:ascii="Segoe UI Light" w:hAnsi="Segoe UI Light"/>
                <w:b/>
                <w:bCs/>
                <w:sz w:val="16"/>
                <w:szCs w:val="18"/>
              </w:rPr>
              <w:t>,3</w:t>
            </w:r>
          </w:p>
        </w:tc>
        <w:tc>
          <w:tcPr>
            <w:tcW w:w="737" w:type="dxa"/>
            <w:shd w:val="clear" w:color="auto" w:fill="CCC0D9" w:themeFill="accent4" w:themeFillTint="66"/>
            <w:vAlign w:val="bottom"/>
            <w:hideMark/>
          </w:tcPr>
          <w:p w14:paraId="193FB228" w14:textId="75E51E04"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203</w:t>
            </w:r>
            <w:r>
              <w:rPr>
                <w:rFonts w:ascii="Segoe UI Light" w:hAnsi="Segoe UI Light"/>
                <w:b/>
                <w:bCs/>
                <w:sz w:val="16"/>
                <w:szCs w:val="18"/>
              </w:rPr>
              <w:t>,3</w:t>
            </w:r>
          </w:p>
        </w:tc>
        <w:tc>
          <w:tcPr>
            <w:tcW w:w="737" w:type="dxa"/>
            <w:shd w:val="clear" w:color="auto" w:fill="CCC0D9" w:themeFill="accent4" w:themeFillTint="66"/>
            <w:vAlign w:val="bottom"/>
            <w:hideMark/>
          </w:tcPr>
          <w:p w14:paraId="3BA264C6" w14:textId="6C7A18E5"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23,0</w:t>
            </w:r>
          </w:p>
        </w:tc>
        <w:tc>
          <w:tcPr>
            <w:tcW w:w="737" w:type="dxa"/>
            <w:shd w:val="clear" w:color="auto" w:fill="CCC0D9" w:themeFill="accent4" w:themeFillTint="66"/>
            <w:vAlign w:val="bottom"/>
            <w:hideMark/>
          </w:tcPr>
          <w:p w14:paraId="6000DB44" w14:textId="346F2CE9"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21,7</w:t>
            </w:r>
          </w:p>
        </w:tc>
        <w:tc>
          <w:tcPr>
            <w:tcW w:w="737" w:type="dxa"/>
            <w:shd w:val="clear" w:color="auto" w:fill="CCC0D9" w:themeFill="accent4" w:themeFillTint="66"/>
            <w:vAlign w:val="bottom"/>
            <w:hideMark/>
          </w:tcPr>
          <w:p w14:paraId="1BE8A9A7" w14:textId="24E70BC4"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22,0</w:t>
            </w:r>
          </w:p>
        </w:tc>
        <w:tc>
          <w:tcPr>
            <w:tcW w:w="737" w:type="dxa"/>
            <w:shd w:val="clear" w:color="auto" w:fill="CCC0D9" w:themeFill="accent4" w:themeFillTint="66"/>
            <w:vAlign w:val="bottom"/>
            <w:hideMark/>
          </w:tcPr>
          <w:p w14:paraId="47C13F5D" w14:textId="7AA7A61C"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-10,3</w:t>
            </w:r>
          </w:p>
        </w:tc>
        <w:tc>
          <w:tcPr>
            <w:tcW w:w="737" w:type="dxa"/>
            <w:shd w:val="clear" w:color="auto" w:fill="CCC0D9" w:themeFill="accent4" w:themeFillTint="66"/>
            <w:vAlign w:val="bottom"/>
            <w:hideMark/>
          </w:tcPr>
          <w:p w14:paraId="5BA8A880" w14:textId="6C2F0673"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-11,2</w:t>
            </w:r>
          </w:p>
        </w:tc>
      </w:tr>
      <w:tr w:rsidR="00343BAC" w:rsidRPr="00C8290A" w14:paraId="36B70A22" w14:textId="77777777" w:rsidTr="00BD0B9F">
        <w:trPr>
          <w:cantSplit/>
          <w:trHeight w:val="20"/>
          <w:jc w:val="center"/>
        </w:trPr>
        <w:tc>
          <w:tcPr>
            <w:tcW w:w="3373" w:type="dxa"/>
            <w:shd w:val="clear" w:color="auto" w:fill="E5DFEC" w:themeFill="accent4" w:themeFillTint="33"/>
            <w:vAlign w:val="bottom"/>
          </w:tcPr>
          <w:p w14:paraId="0EF57684" w14:textId="77777777" w:rsidR="00BD0B9F" w:rsidRPr="00616ACB" w:rsidRDefault="00BD0B9F" w:rsidP="00BD0B9F">
            <w:pPr>
              <w:spacing w:before="40" w:after="40"/>
              <w:rPr>
                <w:rFonts w:ascii="Segoe UI Light" w:eastAsia="Times New Roman" w:hAnsi="Segoe UI Light"/>
                <w:b/>
                <w:bCs/>
                <w:sz w:val="16"/>
                <w:szCs w:val="18"/>
                <w:lang w:eastAsia="lv-LV"/>
              </w:rPr>
            </w:pPr>
            <w:r w:rsidRPr="00616ACB">
              <w:rPr>
                <w:rFonts w:ascii="Segoe UI Light" w:eastAsia="Times New Roman" w:hAnsi="Segoe UI Light"/>
                <w:b/>
                <w:bCs/>
                <w:sz w:val="16"/>
                <w:szCs w:val="18"/>
                <w:lang w:eastAsia="lv-LV"/>
              </w:rPr>
              <w:t>Pamatizglītība vai zemāka</w:t>
            </w:r>
          </w:p>
        </w:tc>
        <w:tc>
          <w:tcPr>
            <w:tcW w:w="623" w:type="dxa"/>
            <w:shd w:val="clear" w:color="auto" w:fill="E5DFEC" w:themeFill="accent4" w:themeFillTint="33"/>
            <w:vAlign w:val="bottom"/>
          </w:tcPr>
          <w:p w14:paraId="79D05FB8" w14:textId="1DE58684"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100</w:t>
            </w:r>
            <w:r>
              <w:rPr>
                <w:rFonts w:ascii="Segoe UI Light" w:hAnsi="Segoe UI Light"/>
                <w:b/>
                <w:bCs/>
                <w:sz w:val="16"/>
                <w:szCs w:val="18"/>
              </w:rPr>
              <w:t>,</w:t>
            </w:r>
            <w:r w:rsidRPr="00616ACB">
              <w:rPr>
                <w:rFonts w:ascii="Segoe UI Light" w:hAnsi="Segoe UI Light"/>
                <w:b/>
                <w:bCs/>
                <w:sz w:val="16"/>
                <w:szCs w:val="18"/>
              </w:rPr>
              <w:t>5</w:t>
            </w:r>
          </w:p>
        </w:tc>
        <w:tc>
          <w:tcPr>
            <w:tcW w:w="737" w:type="dxa"/>
            <w:shd w:val="clear" w:color="auto" w:fill="E5DFEC" w:themeFill="accent4" w:themeFillTint="33"/>
            <w:noWrap/>
            <w:vAlign w:val="bottom"/>
          </w:tcPr>
          <w:p w14:paraId="49F517C5" w14:textId="696858F0"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126</w:t>
            </w:r>
            <w:r>
              <w:rPr>
                <w:rFonts w:ascii="Segoe UI Light" w:hAnsi="Segoe UI Light"/>
                <w:b/>
                <w:bCs/>
                <w:sz w:val="16"/>
                <w:szCs w:val="18"/>
              </w:rPr>
              <w:t>,3</w:t>
            </w:r>
          </w:p>
        </w:tc>
        <w:tc>
          <w:tcPr>
            <w:tcW w:w="737" w:type="dxa"/>
            <w:shd w:val="clear" w:color="auto" w:fill="E5DFEC" w:themeFill="accent4" w:themeFillTint="33"/>
            <w:noWrap/>
            <w:vAlign w:val="bottom"/>
          </w:tcPr>
          <w:p w14:paraId="5A9DB935" w14:textId="0B5BDE70" w:rsidR="00BD0B9F" w:rsidRPr="00616ACB" w:rsidRDefault="00BD0B9F" w:rsidP="00BD0B9F">
            <w:pPr>
              <w:tabs>
                <w:tab w:val="decimal" w:pos="315"/>
              </w:tabs>
              <w:spacing w:before="40" w:after="40"/>
              <w:rPr>
                <w:rFonts w:ascii="Segoe UI Light" w:hAnsi="Segoe UI Light"/>
                <w:b/>
                <w:bCs/>
                <w:sz w:val="16"/>
                <w:szCs w:val="18"/>
              </w:rPr>
            </w:pPr>
            <w:r w:rsidRPr="00616ACB">
              <w:rPr>
                <w:rFonts w:ascii="Segoe UI Light" w:hAnsi="Segoe UI Light"/>
                <w:b/>
                <w:bCs/>
                <w:sz w:val="16"/>
                <w:szCs w:val="18"/>
              </w:rPr>
              <w:t>101</w:t>
            </w:r>
            <w:r>
              <w:rPr>
                <w:rFonts w:ascii="Segoe UI Light" w:hAnsi="Segoe UI Light"/>
                <w:b/>
                <w:bCs/>
                <w:sz w:val="16"/>
                <w:szCs w:val="18"/>
              </w:rPr>
              <w:t>,6</w:t>
            </w:r>
          </w:p>
        </w:tc>
        <w:tc>
          <w:tcPr>
            <w:tcW w:w="737" w:type="dxa"/>
            <w:shd w:val="clear" w:color="auto" w:fill="E5DFEC" w:themeFill="accent4" w:themeFillTint="33"/>
            <w:vAlign w:val="bottom"/>
          </w:tcPr>
          <w:p w14:paraId="6FD6FB85" w14:textId="1024E3BB"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10,8</w:t>
            </w:r>
          </w:p>
        </w:tc>
        <w:tc>
          <w:tcPr>
            <w:tcW w:w="737" w:type="dxa"/>
            <w:shd w:val="clear" w:color="auto" w:fill="E5DFEC" w:themeFill="accent4" w:themeFillTint="33"/>
            <w:vAlign w:val="bottom"/>
          </w:tcPr>
          <w:p w14:paraId="257C1248" w14:textId="49DC9E76"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13,4</w:t>
            </w:r>
          </w:p>
        </w:tc>
        <w:tc>
          <w:tcPr>
            <w:tcW w:w="737" w:type="dxa"/>
            <w:shd w:val="clear" w:color="auto" w:fill="E5DFEC" w:themeFill="accent4" w:themeFillTint="33"/>
            <w:vAlign w:val="bottom"/>
          </w:tcPr>
          <w:p w14:paraId="23D61C77" w14:textId="41558482"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11,0</w:t>
            </w:r>
          </w:p>
        </w:tc>
        <w:tc>
          <w:tcPr>
            <w:tcW w:w="737" w:type="dxa"/>
            <w:shd w:val="clear" w:color="auto" w:fill="E5DFEC" w:themeFill="accent4" w:themeFillTint="33"/>
            <w:vAlign w:val="bottom"/>
          </w:tcPr>
          <w:p w14:paraId="680EBF92" w14:textId="2CEDE3E2"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26,0</w:t>
            </w:r>
          </w:p>
        </w:tc>
        <w:tc>
          <w:tcPr>
            <w:tcW w:w="737" w:type="dxa"/>
            <w:shd w:val="clear" w:color="auto" w:fill="E5DFEC" w:themeFill="accent4" w:themeFillTint="33"/>
            <w:vAlign w:val="bottom"/>
          </w:tcPr>
          <w:p w14:paraId="18D822AD" w14:textId="2DD16F50"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1,1</w:t>
            </w:r>
          </w:p>
        </w:tc>
      </w:tr>
      <w:tr w:rsidR="00343BAC" w:rsidRPr="00C8290A" w14:paraId="42E71C2D" w14:textId="77777777" w:rsidTr="00BD0B9F">
        <w:trPr>
          <w:cnfStyle w:val="000000100000" w:firstRow="0" w:lastRow="0" w:firstColumn="0" w:lastColumn="0" w:oddVBand="0" w:evenVBand="0" w:oddHBand="1" w:evenHBand="0" w:firstRowFirstColumn="0" w:firstRowLastColumn="0" w:lastRowFirstColumn="0" w:lastRowLastColumn="0"/>
          <w:cantSplit/>
          <w:trHeight w:val="20"/>
          <w:jc w:val="center"/>
        </w:trPr>
        <w:tc>
          <w:tcPr>
            <w:tcW w:w="3373" w:type="dxa"/>
            <w:shd w:val="clear" w:color="auto" w:fill="CCC0D9" w:themeFill="accent4" w:themeFillTint="66"/>
            <w:noWrap/>
            <w:vAlign w:val="bottom"/>
            <w:hideMark/>
          </w:tcPr>
          <w:p w14:paraId="270C988A" w14:textId="77777777" w:rsidR="00BD0B9F" w:rsidRPr="00C8290A" w:rsidRDefault="00BD0B9F" w:rsidP="00BD0B9F">
            <w:pPr>
              <w:spacing w:before="40" w:after="40"/>
              <w:rPr>
                <w:rFonts w:ascii="Segoe UI Light" w:eastAsia="Times New Roman" w:hAnsi="Segoe UI Light"/>
                <w:b/>
                <w:sz w:val="16"/>
                <w:szCs w:val="18"/>
                <w:lang w:eastAsia="lv-LV"/>
              </w:rPr>
            </w:pPr>
            <w:r w:rsidRPr="00C8290A">
              <w:rPr>
                <w:rFonts w:ascii="Segoe UI Light" w:eastAsia="Times New Roman" w:hAnsi="Segoe UI Light"/>
                <w:b/>
                <w:sz w:val="16"/>
                <w:szCs w:val="18"/>
                <w:lang w:eastAsia="lv-LV"/>
              </w:rPr>
              <w:t>Kopā</w:t>
            </w:r>
          </w:p>
        </w:tc>
        <w:tc>
          <w:tcPr>
            <w:tcW w:w="623" w:type="dxa"/>
            <w:shd w:val="clear" w:color="auto" w:fill="CCC0D9" w:themeFill="accent4" w:themeFillTint="66"/>
            <w:noWrap/>
            <w:vAlign w:val="bottom"/>
            <w:hideMark/>
          </w:tcPr>
          <w:p w14:paraId="2944A5F9" w14:textId="3D97B693" w:rsidR="00BD0B9F" w:rsidRPr="00C8290A" w:rsidRDefault="00BD0B9F" w:rsidP="00BD0B9F">
            <w:pPr>
              <w:tabs>
                <w:tab w:val="decimal" w:pos="315"/>
              </w:tabs>
              <w:spacing w:before="40" w:after="40"/>
              <w:rPr>
                <w:rFonts w:ascii="Segoe UI Light" w:hAnsi="Segoe UI Light"/>
                <w:b/>
                <w:sz w:val="16"/>
                <w:szCs w:val="18"/>
              </w:rPr>
            </w:pPr>
            <w:r w:rsidRPr="00C8290A">
              <w:rPr>
                <w:rFonts w:ascii="Segoe UI Light" w:hAnsi="Segoe UI Light"/>
                <w:b/>
                <w:sz w:val="16"/>
                <w:szCs w:val="18"/>
              </w:rPr>
              <w:t>934</w:t>
            </w:r>
            <w:r>
              <w:rPr>
                <w:rFonts w:ascii="Segoe UI Light" w:hAnsi="Segoe UI Light"/>
                <w:b/>
                <w:sz w:val="16"/>
                <w:szCs w:val="18"/>
              </w:rPr>
              <w:t>,</w:t>
            </w:r>
            <w:r w:rsidRPr="00C8290A">
              <w:rPr>
                <w:rFonts w:ascii="Segoe UI Light" w:hAnsi="Segoe UI Light"/>
                <w:b/>
                <w:sz w:val="16"/>
                <w:szCs w:val="18"/>
              </w:rPr>
              <w:t>6</w:t>
            </w:r>
          </w:p>
        </w:tc>
        <w:tc>
          <w:tcPr>
            <w:tcW w:w="737" w:type="dxa"/>
            <w:shd w:val="clear" w:color="auto" w:fill="CCC0D9" w:themeFill="accent4" w:themeFillTint="66"/>
            <w:noWrap/>
            <w:vAlign w:val="bottom"/>
          </w:tcPr>
          <w:p w14:paraId="49A01201" w14:textId="321BDC08" w:rsidR="00BD0B9F" w:rsidRPr="00C8290A" w:rsidRDefault="00BD0B9F" w:rsidP="00BD0B9F">
            <w:pPr>
              <w:tabs>
                <w:tab w:val="decimal" w:pos="315"/>
              </w:tabs>
              <w:spacing w:before="40" w:after="40"/>
              <w:rPr>
                <w:rFonts w:ascii="Segoe UI Light" w:hAnsi="Segoe UI Light"/>
                <w:b/>
                <w:sz w:val="16"/>
                <w:szCs w:val="18"/>
              </w:rPr>
            </w:pPr>
            <w:r w:rsidRPr="00C8290A">
              <w:rPr>
                <w:rFonts w:ascii="Segoe UI Light" w:hAnsi="Segoe UI Light"/>
                <w:b/>
                <w:sz w:val="16"/>
                <w:szCs w:val="18"/>
              </w:rPr>
              <w:t>942</w:t>
            </w:r>
            <w:r>
              <w:rPr>
                <w:rFonts w:ascii="Segoe UI Light" w:hAnsi="Segoe UI Light"/>
                <w:b/>
                <w:sz w:val="16"/>
                <w:szCs w:val="18"/>
              </w:rPr>
              <w:t>,6</w:t>
            </w:r>
          </w:p>
        </w:tc>
        <w:tc>
          <w:tcPr>
            <w:tcW w:w="737" w:type="dxa"/>
            <w:shd w:val="clear" w:color="auto" w:fill="CCC0D9" w:themeFill="accent4" w:themeFillTint="66"/>
            <w:noWrap/>
            <w:vAlign w:val="bottom"/>
          </w:tcPr>
          <w:p w14:paraId="1CDF9452" w14:textId="3C579DE7" w:rsidR="00BD0B9F" w:rsidRPr="00C8290A" w:rsidRDefault="00BD0B9F" w:rsidP="00BD0B9F">
            <w:pPr>
              <w:tabs>
                <w:tab w:val="decimal" w:pos="315"/>
              </w:tabs>
              <w:spacing w:before="40" w:after="40"/>
              <w:rPr>
                <w:rFonts w:ascii="Segoe UI Light" w:hAnsi="Segoe UI Light"/>
                <w:b/>
                <w:sz w:val="16"/>
                <w:szCs w:val="18"/>
              </w:rPr>
            </w:pPr>
            <w:r w:rsidRPr="00C8290A">
              <w:rPr>
                <w:rFonts w:ascii="Segoe UI Light" w:hAnsi="Segoe UI Light"/>
                <w:b/>
                <w:sz w:val="16"/>
                <w:szCs w:val="18"/>
              </w:rPr>
              <w:t>924</w:t>
            </w:r>
            <w:r>
              <w:rPr>
                <w:rFonts w:ascii="Segoe UI Light" w:hAnsi="Segoe UI Light"/>
                <w:b/>
                <w:sz w:val="16"/>
                <w:szCs w:val="18"/>
              </w:rPr>
              <w:t>,</w:t>
            </w:r>
            <w:r w:rsidRPr="00C8290A">
              <w:rPr>
                <w:rFonts w:ascii="Segoe UI Light" w:hAnsi="Segoe UI Light"/>
                <w:b/>
                <w:sz w:val="16"/>
                <w:szCs w:val="18"/>
              </w:rPr>
              <w:t>6</w:t>
            </w:r>
          </w:p>
        </w:tc>
        <w:tc>
          <w:tcPr>
            <w:tcW w:w="737" w:type="dxa"/>
            <w:shd w:val="clear" w:color="auto" w:fill="CCC0D9" w:themeFill="accent4" w:themeFillTint="66"/>
            <w:vAlign w:val="bottom"/>
          </w:tcPr>
          <w:p w14:paraId="4849CD1A" w14:textId="08B8FE7F"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100,0</w:t>
            </w:r>
          </w:p>
        </w:tc>
        <w:tc>
          <w:tcPr>
            <w:tcW w:w="737" w:type="dxa"/>
            <w:shd w:val="clear" w:color="auto" w:fill="CCC0D9" w:themeFill="accent4" w:themeFillTint="66"/>
            <w:vAlign w:val="bottom"/>
          </w:tcPr>
          <w:p w14:paraId="524E4AF1" w14:textId="1902036B"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100,0</w:t>
            </w:r>
          </w:p>
        </w:tc>
        <w:tc>
          <w:tcPr>
            <w:tcW w:w="737" w:type="dxa"/>
            <w:shd w:val="clear" w:color="auto" w:fill="CCC0D9" w:themeFill="accent4" w:themeFillTint="66"/>
            <w:vAlign w:val="bottom"/>
          </w:tcPr>
          <w:p w14:paraId="209DD9FE" w14:textId="1665B62D"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100,0</w:t>
            </w:r>
          </w:p>
        </w:tc>
        <w:tc>
          <w:tcPr>
            <w:tcW w:w="737" w:type="dxa"/>
            <w:shd w:val="clear" w:color="auto" w:fill="CCC0D9" w:themeFill="accent4" w:themeFillTint="66"/>
            <w:vAlign w:val="bottom"/>
          </w:tcPr>
          <w:p w14:paraId="62C0A1F7" w14:textId="4D58CB03"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8,2</w:t>
            </w:r>
          </w:p>
        </w:tc>
        <w:tc>
          <w:tcPr>
            <w:tcW w:w="737" w:type="dxa"/>
            <w:shd w:val="clear" w:color="auto" w:fill="CCC0D9" w:themeFill="accent4" w:themeFillTint="66"/>
            <w:vAlign w:val="bottom"/>
          </w:tcPr>
          <w:p w14:paraId="13125F85" w14:textId="24B2C8D8" w:rsidR="00BD0B9F" w:rsidRPr="00BD0B9F" w:rsidRDefault="00BD0B9F" w:rsidP="00BD0B9F">
            <w:pPr>
              <w:tabs>
                <w:tab w:val="decimal" w:pos="315"/>
              </w:tabs>
              <w:spacing w:before="40" w:after="40"/>
              <w:rPr>
                <w:rFonts w:ascii="Segoe UI Light" w:hAnsi="Segoe UI Light" w:cs="Segoe UI Light"/>
                <w:b/>
                <w:bCs/>
                <w:sz w:val="16"/>
                <w:szCs w:val="16"/>
              </w:rPr>
            </w:pPr>
            <w:r w:rsidRPr="00BD0B9F">
              <w:rPr>
                <w:rFonts w:ascii="Segoe UI Light" w:hAnsi="Segoe UI Light" w:cs="Segoe UI Light"/>
                <w:b/>
                <w:bCs/>
                <w:color w:val="000000"/>
                <w:sz w:val="16"/>
                <w:szCs w:val="16"/>
              </w:rPr>
              <w:t>-10,0</w:t>
            </w:r>
          </w:p>
        </w:tc>
      </w:tr>
    </w:tbl>
    <w:p w14:paraId="3730C04B" w14:textId="77777777" w:rsidR="00A408E7" w:rsidRPr="003000D9" w:rsidRDefault="00A408E7" w:rsidP="00C24E26">
      <w:pPr>
        <w:spacing w:before="120"/>
        <w:jc w:val="both"/>
        <w:rPr>
          <w:rFonts w:cs="Calibri Light"/>
          <w:sz w:val="12"/>
          <w:szCs w:val="10"/>
        </w:rPr>
      </w:pPr>
      <w:r w:rsidRPr="003000D9">
        <w:rPr>
          <w:rFonts w:cs="Calibri Light"/>
          <w:sz w:val="12"/>
          <w:szCs w:val="10"/>
        </w:rPr>
        <w:t>Avots: *2021. gadā EM novērtējums, balstoties uz 2020. gada DSA datiem. EM prognozes 2030. un 2040. gadam.</w:t>
      </w:r>
    </w:p>
    <w:p w14:paraId="642EA6FD" w14:textId="0B184B3D" w:rsidR="003000D9" w:rsidRPr="00F90E1D" w:rsidRDefault="00C24E26" w:rsidP="00C24E26">
      <w:pPr>
        <w:jc w:val="both"/>
        <w:rPr>
          <w:color w:val="000000"/>
        </w:rPr>
      </w:pPr>
      <w:r>
        <w:rPr>
          <w:color w:val="000000" w:themeColor="text1"/>
        </w:rPr>
        <w:br/>
      </w:r>
      <w:r w:rsidR="003000D9" w:rsidRPr="4398C881">
        <w:rPr>
          <w:color w:val="000000" w:themeColor="text1"/>
        </w:rPr>
        <w:t xml:space="preserve">Tāpat </w:t>
      </w:r>
      <w:r w:rsidR="003000D9" w:rsidRPr="4398C881">
        <w:rPr>
          <w:b/>
          <w:bCs/>
          <w:color w:val="000000" w:themeColor="text1"/>
        </w:rPr>
        <w:t>būtiska problēma joprojām saglabājās studējošo atbirums STEM virzienos</w:t>
      </w:r>
      <w:r w:rsidR="003000D9" w:rsidRPr="4398C881">
        <w:rPr>
          <w:color w:val="000000" w:themeColor="text1"/>
        </w:rPr>
        <w:t>, kas būtiski ierobežo potenciālo darbaspēka pieaugumu šajās jomās. Aptuveni 28% no studējošiem STEM izglītības programmās ik gadu izkrīt no studijām.</w:t>
      </w:r>
    </w:p>
    <w:p w14:paraId="196F3E4F" w14:textId="70D7C47B" w:rsidR="00A408E7" w:rsidRPr="001231A9" w:rsidRDefault="0665C32D" w:rsidP="00C24E26">
      <w:pPr>
        <w:jc w:val="both"/>
        <w:rPr>
          <w:color w:val="000000"/>
          <w:highlight w:val="yellow"/>
        </w:rPr>
      </w:pPr>
      <w:r w:rsidRPr="4398C881">
        <w:rPr>
          <w:b/>
          <w:bCs/>
          <w:color w:val="000000"/>
          <w:spacing w:val="-2"/>
        </w:rPr>
        <w:t>Gan vidējā, gan ilgtermiņā turpinās samazināties vidējās kvalifikācijas darbaspēka piedāvājums</w:t>
      </w:r>
      <w:r w:rsidRPr="4398C881">
        <w:rPr>
          <w:color w:val="000000"/>
          <w:spacing w:val="-2"/>
        </w:rPr>
        <w:t>. Būtiskākais samazinājums sagaidāms starp iedzīvotājiem ar arodizglītību un profesionālo vidējo izglītību – līdz 2030. gadam darbaspēka piedāvājums samazināsies par aptuveni 21% jeb 53,6 tūkst., salīdzinot ar 2021.</w:t>
      </w:r>
      <w:r w:rsidR="1CE7FDB0" w:rsidRPr="4398C881">
        <w:rPr>
          <w:color w:val="000000"/>
          <w:spacing w:val="-2"/>
        </w:rPr>
        <w:t> </w:t>
      </w:r>
      <w:r w:rsidRPr="4398C881">
        <w:rPr>
          <w:color w:val="000000"/>
          <w:spacing w:val="-2"/>
        </w:rPr>
        <w:t xml:space="preserve">gadu, bet līdz 2040. gadam gandrīz par 86 tūkst. jeb 34%. </w:t>
      </w:r>
      <w:r w:rsidRPr="4398C881">
        <w:rPr>
          <w:color w:val="000000"/>
        </w:rPr>
        <w:t>Mērenāks darbaspēka piedāvājuma samazinājums sagaidāms ar vispārējo vidējo izglītību – aptuveni par 10,2 tūkst. jeb 4,8% līdz 2030. gadam, bet kopumā līdz 2040. gadam par 11 tūkst. jeb  5,1 procentu.</w:t>
      </w:r>
    </w:p>
    <w:p w14:paraId="5BB628E6" w14:textId="6CC935B6" w:rsidR="00A408E7" w:rsidRPr="001231A9" w:rsidRDefault="0665C32D" w:rsidP="00C24E26">
      <w:pPr>
        <w:jc w:val="both"/>
        <w:rPr>
          <w:color w:val="000000"/>
          <w:highlight w:val="yellow"/>
        </w:rPr>
      </w:pPr>
      <w:r w:rsidRPr="4398C881">
        <w:rPr>
          <w:color w:val="000000" w:themeColor="text1"/>
        </w:rPr>
        <w:t>Darbaspēka piedāvājuma samazinājums ar profesionālo vidējo izglītību sagaidāms gandrīz visās izglītības tematiskajās grupās, izņemot dabaszinātnes un informācijas tehnoloģijas. Būtiskākais samazinājums sagaidāms inženierzinātņu, ražošanas un būvniecības izglītības tematiskajā grupā, kas pašlaik veido aptuveni pusi no kopējā darbaspēka piedāvājuma ar profesionālo izglītību. Jāatzīmē, ka aptuveni 64% no ekonomiski aktīvajiem iedzīvotājiem ar izglītību šajā tematiskajā grupā ir vecumā virs 45 gadiem, līdz ar to līdz 2040. gadam aptuveni 80</w:t>
      </w:r>
      <w:r w:rsidR="1CE7FDB0" w:rsidRPr="4398C881">
        <w:rPr>
          <w:color w:val="000000" w:themeColor="text1"/>
        </w:rPr>
        <w:t> </w:t>
      </w:r>
      <w:r w:rsidRPr="4398C881">
        <w:rPr>
          <w:color w:val="000000" w:themeColor="text1"/>
        </w:rPr>
        <w:t xml:space="preserve">tūkst. atbilstošās kvalifikācijas darbinieki varētu pamest darba tirgu, kas ir vidēji 4200 speciālistu gadā. Vienlaikus atbilstošo izglītības tematisko grupu pašlaik beidz aptuveni 2100 absolventi gadā, līdz ar to, lai </w:t>
      </w:r>
      <w:r w:rsidRPr="4398C881">
        <w:rPr>
          <w:color w:val="000000" w:themeColor="text1"/>
        </w:rPr>
        <w:lastRenderedPageBreak/>
        <w:t>nodrošinātu atbilstošās kvalifikācijas darbaspēka piedāvājuma saglabāšanu esošā līmenī, sagatavoto jauno speciālistu skaitam būtu jābūt vismaz divreiz lielākam nekā tas ir dotajā mirklī.</w:t>
      </w:r>
    </w:p>
    <w:p w14:paraId="764BF557" w14:textId="0ECF96B6" w:rsidR="00A408E7" w:rsidRDefault="0665C32D" w:rsidP="00C24E26">
      <w:pPr>
        <w:jc w:val="both"/>
        <w:rPr>
          <w:color w:val="000000"/>
        </w:rPr>
      </w:pPr>
      <w:r w:rsidRPr="4398C881">
        <w:rPr>
          <w:color w:val="000000" w:themeColor="text1"/>
        </w:rPr>
        <w:t>Kopumā audzēkņu skaits profesionālajā izglītībā joprojām ir būtiski mazāks nekā būtu nepieciešams, lai novērstu darbaspēka novecošanās tendenču negatīvo ietekmi uz vidējās kvalifikācijas darbaspēka piedāvājumu. Lai nodrošinātu vidējās kvalifikācijas darbaspēka piedāvājuma atražošanu profesionāl</w:t>
      </w:r>
      <w:r w:rsidR="00660E02">
        <w:rPr>
          <w:color w:val="000000" w:themeColor="text1"/>
        </w:rPr>
        <w:t>ajā</w:t>
      </w:r>
      <w:r w:rsidRPr="4398C881">
        <w:rPr>
          <w:color w:val="000000" w:themeColor="text1"/>
        </w:rPr>
        <w:t xml:space="preserve"> izglītībā būtu jāuzņem vismaz divreiz vairāk audzēkņu nekā tas ir pašlaik, kā arī jāmazina izglītojamo atbirums. Tāpat būtiska loma izglītojamo plūsmas palielināšanai profesionālajā izglītībā var būt pieaugušo izglītības pasākumiem. Joprojām aptuveni 295</w:t>
      </w:r>
      <w:r w:rsidR="1CE7FDB0" w:rsidRPr="4398C881">
        <w:rPr>
          <w:color w:val="000000" w:themeColor="text1"/>
        </w:rPr>
        <w:t> </w:t>
      </w:r>
      <w:r w:rsidRPr="4398C881">
        <w:rPr>
          <w:color w:val="000000" w:themeColor="text1"/>
        </w:rPr>
        <w:t xml:space="preserve">tūkst. (29%) no iedzīvotājiem vecumā no 25 līdz 64 gadiem ir nepietiekams </w:t>
      </w:r>
      <w:r w:rsidR="00660E02">
        <w:rPr>
          <w:color w:val="000000" w:themeColor="text1"/>
        </w:rPr>
        <w:t>izglītības</w:t>
      </w:r>
      <w:r w:rsidR="00660E02" w:rsidRPr="4398C881">
        <w:rPr>
          <w:color w:val="000000" w:themeColor="text1"/>
        </w:rPr>
        <w:t xml:space="preserve"> </w:t>
      </w:r>
      <w:r w:rsidRPr="4398C881">
        <w:rPr>
          <w:color w:val="000000" w:themeColor="text1"/>
        </w:rPr>
        <w:t>līmenis (ar vidējo vispārējo izglītību, pamatizglītību vai zemāku izglītības līmeni), lai veiksmīgi integrētos darba tirgū, līdz ar to būtiski ir nodrošināt šiem cilvēkiem iespējas atgriezties izglītības sistēmā un paplašināt profesionālās prasmes/iegūt kvalifikāciju.</w:t>
      </w:r>
    </w:p>
    <w:p w14:paraId="5B0FF920" w14:textId="41A9C103" w:rsidR="00A408E7" w:rsidRDefault="0665C32D" w:rsidP="00C24E26">
      <w:pPr>
        <w:jc w:val="both"/>
        <w:rPr>
          <w:color w:val="000000"/>
          <w:spacing w:val="-4"/>
        </w:rPr>
      </w:pPr>
      <w:r w:rsidRPr="4398C881">
        <w:rPr>
          <w:b/>
          <w:bCs/>
          <w:color w:val="000000"/>
        </w:rPr>
        <w:t xml:space="preserve">Nākamajos gados var pieaugt zemas kvalifikācijas darbaspēka piedāvājums ar pamatizglītību un zemāku izglītības līmeni. </w:t>
      </w:r>
      <w:r w:rsidRPr="4398C881">
        <w:rPr>
          <w:color w:val="000000"/>
          <w:spacing w:val="-4"/>
        </w:rPr>
        <w:t>2021. gadā 8,2% no iedzīvotājiem vecumā no 20 līdz 64 gadiem iegūtais izglītības līmenis nebija augstāks par pamatizglītību. Aptuveni 65% jeb 58,3 tūkst. no tiem bija vecumā no 20- līdz 44</w:t>
      </w:r>
      <w:r w:rsidR="1CE7FDB0" w:rsidRPr="4398C881">
        <w:rPr>
          <w:color w:val="000000"/>
          <w:spacing w:val="-4"/>
        </w:rPr>
        <w:t> </w:t>
      </w:r>
      <w:r w:rsidRPr="4398C881">
        <w:rPr>
          <w:color w:val="000000"/>
          <w:spacing w:val="-4"/>
        </w:rPr>
        <w:t>gadiem (aptuveni 12% no kopējā iedzīvotāju skaita attiecīgajā vecuma grupā), tādēļ būtiska daļa no atbilstošās iedzīvotāju grupas nākamajos gados tikai vel sasniegs augstākās ekonomiskās aktivitātes vecuma kohortas (augstākā iedzīvotāju ekonomiskā aktivitāte parasti novērojama vecumā no 30 līdz 54 gadiem), līdz ar to arī kopumā palielinot zemas kvalifikācijas darbaspēka piedāvājumu darba tirgū.</w:t>
      </w:r>
    </w:p>
    <w:p w14:paraId="0ED51778" w14:textId="2D4C72B3" w:rsidR="00A408E7" w:rsidRDefault="00A408E7" w:rsidP="00C24E26">
      <w:pPr>
        <w:jc w:val="both"/>
        <w:rPr>
          <w:color w:val="000000"/>
          <w:spacing w:val="-4"/>
          <w:szCs w:val="20"/>
        </w:rPr>
      </w:pPr>
      <w:r>
        <w:rPr>
          <w:color w:val="000000"/>
          <w:spacing w:val="-4"/>
          <w:szCs w:val="20"/>
        </w:rPr>
        <w:t>Būtiskākais darbaspēka piedāvājuma pieaugums ar pamatizglītību un zemāku izglītības līmeni varētu būt vērojams līdz 2029. gadam, savukārt sākot ar 2030.</w:t>
      </w:r>
      <w:r w:rsidR="002B72F8">
        <w:rPr>
          <w:color w:val="000000"/>
          <w:spacing w:val="-4"/>
          <w:szCs w:val="20"/>
        </w:rPr>
        <w:t> </w:t>
      </w:r>
      <w:r>
        <w:rPr>
          <w:color w:val="000000"/>
          <w:spacing w:val="-4"/>
          <w:szCs w:val="20"/>
        </w:rPr>
        <w:t>gadu tas varētu pakāpeniski samazināties. Kopumā līdz 2030. gadam darbaspēka piedāvājums ar pamatizglītību un zemāku izglītības līmeni varētu pieaugt par 26 tūkstošiem.</w:t>
      </w:r>
    </w:p>
    <w:p w14:paraId="1FF21E14" w14:textId="77777777" w:rsidR="00A408E7" w:rsidRDefault="00A408E7" w:rsidP="00A408E7">
      <w:pPr>
        <w:jc w:val="both"/>
        <w:rPr>
          <w:color w:val="000000"/>
          <w:spacing w:val="-2"/>
          <w:szCs w:val="20"/>
        </w:rPr>
      </w:pPr>
      <w:r>
        <w:rPr>
          <w:color w:val="000000"/>
          <w:spacing w:val="-4"/>
          <w:szCs w:val="20"/>
        </w:rPr>
        <w:t xml:space="preserve">Būtisku ietekmi uz zemas kvalifikācijas darbaspēka piedāvājuma pieaugumu vidējā termiņā atstāj salīdzinoši </w:t>
      </w:r>
      <w:r w:rsidRPr="003A504F">
        <w:rPr>
          <w:color w:val="000000"/>
          <w:spacing w:val="-4"/>
          <w:szCs w:val="20"/>
        </w:rPr>
        <w:t>liel</w:t>
      </w:r>
      <w:r>
        <w:rPr>
          <w:color w:val="000000"/>
          <w:spacing w:val="-4"/>
          <w:szCs w:val="20"/>
        </w:rPr>
        <w:t xml:space="preserve">ais </w:t>
      </w:r>
      <w:r w:rsidRPr="003A504F">
        <w:rPr>
          <w:color w:val="000000"/>
          <w:spacing w:val="-4"/>
          <w:szCs w:val="20"/>
        </w:rPr>
        <w:t xml:space="preserve">pagājušā gadsimta 90-to gadu </w:t>
      </w:r>
      <w:r w:rsidRPr="003A504F">
        <w:rPr>
          <w:color w:val="000000"/>
          <w:spacing w:val="-2"/>
          <w:szCs w:val="20"/>
        </w:rPr>
        <w:t>otrā pusē</w:t>
      </w:r>
      <w:r>
        <w:rPr>
          <w:color w:val="000000"/>
          <w:spacing w:val="-4"/>
          <w:szCs w:val="20"/>
        </w:rPr>
        <w:t xml:space="preserve"> priekšlaicīgi izglītības sistēmu pametušo</w:t>
      </w:r>
      <w:r w:rsidRPr="003A504F">
        <w:rPr>
          <w:color w:val="000000"/>
          <w:spacing w:val="-4"/>
          <w:szCs w:val="20"/>
        </w:rPr>
        <w:t xml:space="preserve"> jauniešu skait</w:t>
      </w:r>
      <w:r>
        <w:rPr>
          <w:color w:val="000000"/>
          <w:spacing w:val="-4"/>
          <w:szCs w:val="20"/>
        </w:rPr>
        <w:t xml:space="preserve">s. </w:t>
      </w:r>
      <w:r w:rsidRPr="003A504F">
        <w:rPr>
          <w:color w:val="000000"/>
          <w:spacing w:val="-2"/>
          <w:szCs w:val="20"/>
        </w:rPr>
        <w:t xml:space="preserve">Tāpat </w:t>
      </w:r>
      <w:r>
        <w:rPr>
          <w:color w:val="000000"/>
          <w:spacing w:val="-2"/>
          <w:szCs w:val="20"/>
        </w:rPr>
        <w:t>nozīmīga</w:t>
      </w:r>
      <w:r w:rsidRPr="003A504F">
        <w:rPr>
          <w:color w:val="000000"/>
          <w:spacing w:val="-2"/>
          <w:szCs w:val="20"/>
        </w:rPr>
        <w:t xml:space="preserve"> ietekme uz iedzīvotāju plūsmu ar pamatizglītību ir </w:t>
      </w:r>
      <w:r>
        <w:rPr>
          <w:color w:val="000000"/>
          <w:spacing w:val="-2"/>
          <w:szCs w:val="20"/>
        </w:rPr>
        <w:t xml:space="preserve">audzēkņu </w:t>
      </w:r>
      <w:r w:rsidRPr="003A504F">
        <w:rPr>
          <w:color w:val="000000"/>
          <w:spacing w:val="-2"/>
          <w:szCs w:val="20"/>
        </w:rPr>
        <w:t>atbiruma</w:t>
      </w:r>
      <w:r>
        <w:rPr>
          <w:color w:val="000000"/>
          <w:spacing w:val="-2"/>
          <w:szCs w:val="20"/>
        </w:rPr>
        <w:t>m vidējās izglītības posmā – lai gan mācības tiek uzsāktas, tomēr liela daļa tās nepabeidz.</w:t>
      </w:r>
    </w:p>
    <w:p w14:paraId="1BBD68FE" w14:textId="77777777" w:rsidR="00240C32" w:rsidRPr="001231A9" w:rsidRDefault="00240C32" w:rsidP="00C24E26">
      <w:pPr>
        <w:jc w:val="both"/>
        <w:rPr>
          <w:color w:val="000000"/>
          <w:szCs w:val="20"/>
          <w:highlight w:val="yellow"/>
        </w:rPr>
      </w:pPr>
    </w:p>
    <w:p w14:paraId="4EBDE35A" w14:textId="4EA16692" w:rsidR="00E54709" w:rsidRPr="0016645F" w:rsidRDefault="00E54709" w:rsidP="00E54709">
      <w:pPr>
        <w:pStyle w:val="Heading3"/>
        <w:rPr>
          <w:sz w:val="24"/>
        </w:rPr>
      </w:pPr>
      <w:bookmarkStart w:id="72" w:name="_Toc106366806"/>
      <w:r w:rsidRPr="0016645F">
        <w:rPr>
          <w:sz w:val="24"/>
        </w:rPr>
        <w:t>3.3.3. Darbaspēka pie</w:t>
      </w:r>
      <w:r w:rsidR="00584E4C" w:rsidRPr="0016645F">
        <w:rPr>
          <w:sz w:val="24"/>
        </w:rPr>
        <w:t>prasījuma</w:t>
      </w:r>
      <w:r w:rsidRPr="0016645F">
        <w:rPr>
          <w:sz w:val="24"/>
        </w:rPr>
        <w:t xml:space="preserve"> un piedāvājuma atbilstība</w:t>
      </w:r>
      <w:bookmarkEnd w:id="72"/>
    </w:p>
    <w:p w14:paraId="306F2862" w14:textId="3083B4F8" w:rsidR="0016645F" w:rsidRDefault="094D5FF8" w:rsidP="0016645F">
      <w:pPr>
        <w:jc w:val="both"/>
      </w:pPr>
      <w:r>
        <w:t>Vidējā termiņā pēc Covid-19 krīzes situācija darba tirgū uzlabosies, bet kļūs arī arvien sarežģītāka, ko no vienas puses noteiks pieaugošais darbaspēka pieprasījums (gan jaunu darbavietu, gan aizvietojošā pieprasījuma izteiksmē), kas nepieciešams, lai uzturētu ekonomikas izaugsmi, bet no otras puses – demogrāfijas tendenču ietekmē krītošais darbaspēka piedāvājums. Tādejādi darbaspēka nepietiekamība dažādās tautsaimniecības nozarēs nākamajos gados kļūs arvien izteiktāka. Tāpat darbaspēka iztrūkumu saasinās neatbilstības starp darba tirgū pieprasītām un piedāvātām prasmēm, kā arī reģionālās darba tirgus disproporcijas.</w:t>
      </w:r>
    </w:p>
    <w:p w14:paraId="086D69C0" w14:textId="77777777" w:rsidR="00C24E26" w:rsidRPr="003B4CDA" w:rsidRDefault="00C24E26" w:rsidP="00C24E26">
      <w:pPr>
        <w:jc w:val="both"/>
      </w:pPr>
      <w:r>
        <w:t xml:space="preserve">Kopumā līdz 2030. gadam brīvās darbaspēka rezerves samazināsies līdz 53 tūkst. (no pašreizējam 71 tūkst.), bet līdz 2040. gadam starpība varētu samazināties līdz 46 tūkstošiem. Kopumā darba meklētāju skaits/ bezdarbs vidējā un ilgtermiņā būs tuvu dabiskam līmenim un to pamatā veidos </w:t>
      </w:r>
      <w:proofErr w:type="spellStart"/>
      <w:r>
        <w:t>frikcionālais</w:t>
      </w:r>
      <w:proofErr w:type="spellEnd"/>
      <w:r>
        <w:t xml:space="preserve"> un strukturālais bezdarbs.</w:t>
      </w:r>
    </w:p>
    <w:p w14:paraId="687E995A" w14:textId="77777777" w:rsidR="00C24E26" w:rsidRPr="003B4CDA" w:rsidRDefault="00C24E26" w:rsidP="00C24E26">
      <w:pPr>
        <w:jc w:val="both"/>
      </w:pPr>
      <w:r>
        <w:t>Ekonomikas izaugsme turpmākajos gados būs pamatā balstīta uz produktivitātes pieaugumu. Ņemot vērā Covid-19 pandēmijas negatīvo ietekmi 2020-2021. gadā, kopumā līdz 2030. gadam sagaidāms darbaspēka pieprasījuma kāpums – nodarbināto skaits varētu palielināties par 3% jeb 26 tūkst., salīdzinot ar 2021. gadu. Vienlaikus ilgtermiņā darbaspēka pieprasījums varētu pieaugt lēnāk, ņemot vērā arvien lielāku dažāda veida darbu automatizāciju un darbaspēka aizstāšanu ar tehnoloģijām. Tādejādi</w:t>
      </w:r>
      <w:r w:rsidRPr="4398C881">
        <w:rPr>
          <w:b/>
          <w:bCs/>
        </w:rPr>
        <w:t xml:space="preserve"> galvenās darba iespējas radīs aizvietojošais darbaspēka pieprasījums </w:t>
      </w:r>
      <w:r>
        <w:t>– brīvo darbavietu pieaugums, kas atbrīvojās esošajiem nodarbinātajiem izejot no darba tirgus (pensionējoties, slimības vai citu iemeslu dēļ pamatot darba tirgu).</w:t>
      </w:r>
    </w:p>
    <w:p w14:paraId="0B74B786" w14:textId="77777777" w:rsidR="00C24E26" w:rsidRDefault="00C24E26">
      <w:pPr>
        <w:spacing w:after="0"/>
        <w:rPr>
          <w:szCs w:val="26"/>
        </w:rPr>
      </w:pPr>
      <w:r>
        <w:rPr>
          <w:szCs w:val="26"/>
        </w:rPr>
        <w:br w:type="page"/>
      </w:r>
    </w:p>
    <w:p w14:paraId="336CFC29" w14:textId="50922787" w:rsidR="0016645F" w:rsidRPr="003B4CDA" w:rsidRDefault="0016645F" w:rsidP="0016645F">
      <w:pPr>
        <w:jc w:val="right"/>
        <w:rPr>
          <w:szCs w:val="26"/>
        </w:rPr>
      </w:pPr>
      <w:r w:rsidRPr="003B4CDA">
        <w:rPr>
          <w:szCs w:val="26"/>
        </w:rPr>
        <w:lastRenderedPageBreak/>
        <w:t>3.1</w:t>
      </w:r>
      <w:r w:rsidR="001179C2">
        <w:rPr>
          <w:szCs w:val="26"/>
        </w:rPr>
        <w:t>2</w:t>
      </w:r>
      <w:r w:rsidRPr="003B4CDA">
        <w:rPr>
          <w:szCs w:val="26"/>
        </w:rPr>
        <w:t>. attēls</w:t>
      </w:r>
    </w:p>
    <w:p w14:paraId="77129273" w14:textId="77777777" w:rsidR="0016645F" w:rsidRPr="003B4CDA" w:rsidRDefault="0016645F" w:rsidP="00C24E26">
      <w:pPr>
        <w:spacing w:after="120"/>
        <w:jc w:val="center"/>
        <w:rPr>
          <w:rFonts w:ascii="Segoe UI Light" w:hAnsi="Segoe UI Light"/>
          <w:i/>
          <w:color w:val="000000"/>
          <w:sz w:val="16"/>
        </w:rPr>
      </w:pPr>
      <w:r w:rsidRPr="003B4CDA">
        <w:rPr>
          <w:rFonts w:ascii="Segoe UI Light" w:hAnsi="Segoe UI Light"/>
          <w:b/>
          <w:color w:val="000000"/>
          <w:sz w:val="18"/>
          <w:szCs w:val="26"/>
        </w:rPr>
        <w:t>Darbaspēka pieprasījuma un piedāvājuma atbilstība</w:t>
      </w:r>
      <w:r w:rsidRPr="003B4CDA">
        <w:rPr>
          <w:rFonts w:ascii="Segoe UI Light" w:hAnsi="Segoe UI Light"/>
          <w:b/>
          <w:color w:val="000000"/>
          <w:sz w:val="18"/>
          <w:szCs w:val="26"/>
        </w:rPr>
        <w:br/>
      </w:r>
      <w:r w:rsidRPr="003B4CDA">
        <w:rPr>
          <w:rFonts w:ascii="Segoe UI Light" w:hAnsi="Segoe UI Light"/>
          <w:i/>
          <w:color w:val="000000"/>
          <w:sz w:val="16"/>
        </w:rPr>
        <w:t>tūkstošos un procentos</w:t>
      </w:r>
    </w:p>
    <w:p w14:paraId="1E8932A7" w14:textId="77777777" w:rsidR="0016645F" w:rsidRPr="003B4CDA" w:rsidRDefault="0016645F" w:rsidP="0016645F">
      <w:pPr>
        <w:jc w:val="both"/>
        <w:rPr>
          <w:rFonts w:ascii="Segoe UI Light" w:hAnsi="Segoe UI Light"/>
          <w:color w:val="000000" w:themeColor="text1"/>
          <w:szCs w:val="26"/>
        </w:rPr>
      </w:pP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6" behindDoc="0" locked="0" layoutInCell="1" allowOverlap="1" wp14:anchorId="792EA21F" wp14:editId="0D0E6E62">
                <wp:simplePos x="0" y="0"/>
                <wp:positionH relativeFrom="column">
                  <wp:posOffset>3835400</wp:posOffset>
                </wp:positionH>
                <wp:positionV relativeFrom="paragraph">
                  <wp:posOffset>809625</wp:posOffset>
                </wp:positionV>
                <wp:extent cx="1089328" cy="432435"/>
                <wp:effectExtent l="0" t="0" r="0" b="5715"/>
                <wp:wrapNone/>
                <wp:docPr id="3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328" cy="432435"/>
                        </a:xfrm>
                        <a:prstGeom prst="rect">
                          <a:avLst/>
                        </a:prstGeom>
                        <a:noFill/>
                        <a:ln w="9525">
                          <a:noFill/>
                          <a:miter lim="800000"/>
                          <a:headEnd/>
                          <a:tailEnd/>
                        </a:ln>
                      </wps:spPr>
                      <wps:txbx>
                        <w:txbxContent>
                          <w:p w14:paraId="5F41D9F6"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30</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5,6</w:t>
                            </w:r>
                            <w:r w:rsidRPr="00F542D3">
                              <w:rPr>
                                <w:rFonts w:ascii="Segoe UI Light" w:hAnsi="Segoe UI Light" w:cs="Arial"/>
                                <w:bCs/>
                                <w:color w:val="000000" w:themeColor="text1"/>
                                <w:sz w:val="16"/>
                                <w:szCs w:val="18"/>
                              </w:rPr>
                              <w:t>%</w:t>
                            </w:r>
                          </w:p>
                          <w:p w14:paraId="7C538BFA"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EA21F" id="TextBox 1" o:spid="_x0000_s1048" type="#_x0000_t202" style="position:absolute;left:0;text-align:left;margin-left:302pt;margin-top:63.75pt;width:85.75pt;height:34.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UNMQIAAEcEAAAOAAAAZHJzL2Uyb0RvYy54bWysU8GO0zAQvSPxD5bvNGnaQhs1XS1dFiEt&#10;C1KLODuO01jEHmO7TcrXM3aaUi03RA6WnZl5nvfmeX3Xq5achHUSdEGnk5QSoTlUUh8K+m3/+GZJ&#10;ifNMV6wFLQp6Fo7ebV6/WncmFxk00FbCEgTRLu9MQRvvTZ4kjjdCMTcBIzQGa7CKeTzaQ1JZ1iG6&#10;apMsTd8mHdjKWODCOfz7MATpJuLXteD+S1074UlbUOzNx9XGtQxrslmz/GCZaSS/tMH+oQvFpMZL&#10;r1APzDNytPIvKCW5BQe1n3BQCdS15CJyQDbT9AWbXcOMiFxQHGeuMrn/B8ufT18tkVVBZytKNFM4&#10;o73o/XvoyTSo0xmXY9LOYJrv8TdOOTJ15gn4D0c0bBumD+LeWugawSrsLlYmN6UDjgsgZfcZKryF&#10;HT1EoL62KkiHYhBExymdr5PBTggPV6bL1SxDL3GMzWfZfLYIzSUsH6uNdf6jAEXCpqAWJx/R2enJ&#10;+SF1TAmXaXiUbRun32rSFXS1yBax4CaipEdztlIVdJmGb7BLIPlBV7HYM9kOe+yl1dhSYB2IDpR9&#10;X/ZR3iwb1SyhOqMO+GiwzwbsL0o6NGBB3c8js4KS9pNGDVfT+Tw4Nh7mi3cZHuxtpLyN6KPaAnp8&#10;SgnTHFELWo7brR8Mj44zzD/pneHjEIMk+/47s+aim0fFn2E0HstfyDfkDgLe4wBrGbUNnAdaFwHQ&#10;rXE6l5cVnsPtOWb9ef+b3wAAAP//AwBQSwMEFAAGAAgAAAAhADig9w/fAAAACwEAAA8AAABkcnMv&#10;ZG93bnJldi54bWxMj81OwzAQhO9IvIO1SNyo0yo/NI1ToUKPFaXwAHZskkC8jmKnSd6e5QS33Z3R&#10;7DfFfrYdu5rBtw4FrFcRMIOV0y3WAj7ejw+PwHyQqGXn0AhYjId9eXtTyFy7Cd/M9RJqRiHocymg&#10;CaHPOfdVY6z0K9cbJO3TDVYGWoea60FOFG47vomilFvZIn1oZG8Ojam+L6MV8HJWi4rXX8f4OVqU&#10;fp1Oh2o8CXF/Nz/tgAUzhz8z/OITOpTEpNyI2rNOQBrF1CWQsMkSYOTIsoQGRZdtkgIvC/6/Q/kD&#10;AAD//wMAUEsBAi0AFAAGAAgAAAAhALaDOJL+AAAA4QEAABMAAAAAAAAAAAAAAAAAAAAAAFtDb250&#10;ZW50X1R5cGVzXS54bWxQSwECLQAUAAYACAAAACEAOP0h/9YAAACUAQAACwAAAAAAAAAAAAAAAAAv&#10;AQAAX3JlbHMvLnJlbHNQSwECLQAUAAYACAAAACEApvalDTECAABHBAAADgAAAAAAAAAAAAAAAAAu&#10;AgAAZHJzL2Uyb0RvYy54bWxQSwECLQAUAAYACAAAACEAOKD3D98AAAALAQAADwAAAAAAAAAAAAAA&#10;AACLBAAAZHJzL2Rvd25yZXYueG1sUEsFBgAAAAAEAAQA8wAAAJcFAAAAAA==&#10;" filled="f" stroked="f">
                <v:textbox>
                  <w:txbxContent>
                    <w:p w14:paraId="5F41D9F6"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30</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5,6</w:t>
                      </w:r>
                      <w:r w:rsidRPr="00F542D3">
                        <w:rPr>
                          <w:rFonts w:ascii="Segoe UI Light" w:hAnsi="Segoe UI Light" w:cs="Arial"/>
                          <w:bCs/>
                          <w:color w:val="000000" w:themeColor="text1"/>
                          <w:sz w:val="16"/>
                          <w:szCs w:val="18"/>
                        </w:rPr>
                        <w:t>%</w:t>
                      </w:r>
                    </w:p>
                    <w:p w14:paraId="7C538BFA"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v:shape>
            </w:pict>
          </mc:Fallback>
        </mc:AlternateContent>
      </w: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7" behindDoc="0" locked="0" layoutInCell="1" allowOverlap="1" wp14:anchorId="7DAD6776" wp14:editId="00670D1C">
                <wp:simplePos x="0" y="0"/>
                <wp:positionH relativeFrom="margin">
                  <wp:posOffset>2776855</wp:posOffset>
                </wp:positionH>
                <wp:positionV relativeFrom="paragraph">
                  <wp:posOffset>784225</wp:posOffset>
                </wp:positionV>
                <wp:extent cx="1292860" cy="414020"/>
                <wp:effectExtent l="0" t="0" r="0" b="5080"/>
                <wp:wrapNone/>
                <wp:docPr id="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414020"/>
                        </a:xfrm>
                        <a:prstGeom prst="rect">
                          <a:avLst/>
                        </a:prstGeom>
                        <a:noFill/>
                        <a:ln w="9525">
                          <a:noFill/>
                          <a:miter lim="800000"/>
                          <a:headEnd/>
                          <a:tailEnd/>
                        </a:ln>
                      </wps:spPr>
                      <wps:txbx>
                        <w:txbxContent>
                          <w:p w14:paraId="2C2DFF51"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22</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7,1</w:t>
                            </w:r>
                            <w:r w:rsidRPr="00F542D3">
                              <w:rPr>
                                <w:rFonts w:ascii="Segoe UI Light" w:hAnsi="Segoe UI Light" w:cs="Arial"/>
                                <w:bCs/>
                                <w:color w:val="000000" w:themeColor="text1"/>
                                <w:sz w:val="16"/>
                                <w:szCs w:val="18"/>
                              </w:rPr>
                              <w:t>%</w:t>
                            </w:r>
                          </w:p>
                          <w:p w14:paraId="7BA885E3"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D6776" id="_x0000_s1049" type="#_x0000_t202" style="position:absolute;left:0;text-align:left;margin-left:218.65pt;margin-top:61.75pt;width:101.8pt;height:32.6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ZTMQIAAEcEAAAOAAAAZHJzL2Uyb0RvYy54bWysU02P0zAQvSPxHyzfaT62Xdqo6Wrpsghp&#10;WZBaxNlxnMYi9hjbbdL99YydtlTLDZGDZWfGb+a9N17eDaojB2GdBF3SbJJSIjSHWupdSb9vH9/N&#10;KXGe6Zp1oEVJj8LRu9XbN8veFCKHFrpaWIIg2hW9KWnrvSmSxPFWKOYmYITGYANWMY9Hu0tqy3pE&#10;V12Sp+lt0oOtjQUunMO/D2OQriJ+0wjuvzaNE550JcXefFxtXKuwJqslK3aWmVbyUxvsH7pQTGos&#10;eoF6YJ6RvZV/QSnJLTho/ISDSqBpJBeRA7LJ0ldsNi0zInJBcZy5yOT+Hyx/PnyzRNYlvUGnNFPo&#10;0VYM/gMMJAvq9MYVmLQxmOYH/I0uR6bOPAH/6YiGdcv0TtxbC30rWI3dxZvJ1dURxwWQqv8CNVZh&#10;ew8RaGisCtKhGATR0aXjxRnshPBQMl/k81sMcYxNs2maR+sSVpxvG+v8JwGKhE1JLTof0dnhyXnk&#10;gannlFBMw6Psuuh+p0lf0sUsn8ULVxElPQ5nJ1VJ52n4xnEJJD/qOl72THbjHgt0GusE1oHoSNkP&#10;1RDlzW/OalZQH1EHfDTYZwv2hZIeB7Ck7teeWUFJ91mjhotsOg0TGw/T2XtkTOx1pLqO6L1aA854&#10;RgnTHFFLWp23az8OPE6cYf5Jbww/mxgk2Q4/mDUn3Twq/gznwWPFK/nG3FHAezSwkVHbwHmkdRIA&#10;pzVKfnpZ4Tlcn2PWn/e/+g0AAP//AwBQSwMEFAAGAAgAAAAhAKHuu2ffAAAACwEAAA8AAABkcnMv&#10;ZG93bnJldi54bWxMj8FSgzAQhu/O+A6ZdcabDS3YUiR0nGqPnWrtAyRkBZQkDAkF3t71pMfd/5t/&#10;v813k2nZFXvfOCtguYiAoS2dbmwl4PJxeEiB+SCtlq2zKGBGD7vi9iaXmXajfcfrOVSMSqzPpIA6&#10;hC7j3Jc1GukXrkNL2afrjQw09hXXvRyp3LR8FUVrbmRj6UItO9zXWH6fByPg9U3NKll+HZKXaFb6&#10;NB735XAU4v5uen4CFnAKfzD86pM6FOSk3GC1Z62AJN7EhFKwih+BEbFOoi0wRZs03QAvcv7/h+IH&#10;AAD//wMAUEsBAi0AFAAGAAgAAAAhALaDOJL+AAAA4QEAABMAAAAAAAAAAAAAAAAAAAAAAFtDb250&#10;ZW50X1R5cGVzXS54bWxQSwECLQAUAAYACAAAACEAOP0h/9YAAACUAQAACwAAAAAAAAAAAAAAAAAv&#10;AQAAX3JlbHMvLnJlbHNQSwECLQAUAAYACAAAACEAM3SWUzECAABHBAAADgAAAAAAAAAAAAAAAAAu&#10;AgAAZHJzL2Uyb0RvYy54bWxQSwECLQAUAAYACAAAACEAoe67Z98AAAALAQAADwAAAAAAAAAAAAAA&#10;AACLBAAAZHJzL2Rvd25yZXYueG1sUEsFBgAAAAAEAAQA8wAAAJcFAAAAAA==&#10;" filled="f" stroked="f">
                <v:textbox>
                  <w:txbxContent>
                    <w:p w14:paraId="2C2DFF51"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22</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7,1</w:t>
                      </w:r>
                      <w:r w:rsidRPr="00F542D3">
                        <w:rPr>
                          <w:rFonts w:ascii="Segoe UI Light" w:hAnsi="Segoe UI Light" w:cs="Arial"/>
                          <w:bCs/>
                          <w:color w:val="000000" w:themeColor="text1"/>
                          <w:sz w:val="16"/>
                          <w:szCs w:val="18"/>
                        </w:rPr>
                        <w:t>%</w:t>
                      </w:r>
                    </w:p>
                    <w:p w14:paraId="7BA885E3"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w10:wrap anchorx="margin"/>
              </v:shape>
            </w:pict>
          </mc:Fallback>
        </mc:AlternateContent>
      </w: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9" behindDoc="0" locked="0" layoutInCell="1" allowOverlap="1" wp14:anchorId="0C6EACBD" wp14:editId="0CE57FAB">
                <wp:simplePos x="0" y="0"/>
                <wp:positionH relativeFrom="column">
                  <wp:posOffset>2305050</wp:posOffset>
                </wp:positionH>
                <wp:positionV relativeFrom="paragraph">
                  <wp:posOffset>1626235</wp:posOffset>
                </wp:positionV>
                <wp:extent cx="1295400" cy="439420"/>
                <wp:effectExtent l="0" t="0" r="0" b="0"/>
                <wp:wrapNone/>
                <wp:docPr id="30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39420"/>
                        </a:xfrm>
                        <a:prstGeom prst="rect">
                          <a:avLst/>
                        </a:prstGeom>
                        <a:noFill/>
                        <a:ln w="9525">
                          <a:noFill/>
                          <a:miter lim="800000"/>
                          <a:headEnd/>
                          <a:tailEnd/>
                        </a:ln>
                      </wps:spPr>
                      <wps:txbx>
                        <w:txbxContent>
                          <w:p w14:paraId="0B254FE7"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2</w:t>
                            </w:r>
                            <w:r w:rsidRPr="00F542D3">
                              <w:rPr>
                                <w:rFonts w:ascii="Segoe UI Light" w:hAnsi="Segoe UI Light" w:cs="Arial"/>
                                <w:color w:val="000000" w:themeColor="text1"/>
                                <w:sz w:val="16"/>
                                <w:szCs w:val="18"/>
                              </w:rPr>
                              <w:t xml:space="preserve">0. gadā </w:t>
                            </w:r>
                            <w:r>
                              <w:rPr>
                                <w:rFonts w:ascii="Segoe UI Light" w:hAnsi="Segoe UI Light" w:cs="Arial"/>
                                <w:bCs/>
                                <w:color w:val="000000" w:themeColor="text1"/>
                                <w:sz w:val="16"/>
                                <w:szCs w:val="18"/>
                              </w:rPr>
                              <w:t>8,1</w:t>
                            </w:r>
                            <w:r w:rsidRPr="00F542D3">
                              <w:rPr>
                                <w:rFonts w:ascii="Segoe UI Light" w:hAnsi="Segoe UI Light" w:cs="Arial"/>
                                <w:bCs/>
                                <w:color w:val="000000" w:themeColor="text1"/>
                                <w:sz w:val="16"/>
                                <w:szCs w:val="18"/>
                              </w:rPr>
                              <w:t>%</w:t>
                            </w:r>
                          </w:p>
                          <w:p w14:paraId="3176FCE7"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EACBD" id="_x0000_s1050" type="#_x0000_t202" style="position:absolute;left:0;text-align:left;margin-left:181.5pt;margin-top:128.05pt;width:102pt;height:34.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ssMgIAAEgEAAAOAAAAZHJzL2Uyb0RvYy54bWysVMGO0zAQvSPxD5bvNGk2hW3UdLV0WYS0&#10;LEgt4uw4TmMRe4ztNilfz9hpSrXcEDlYtmfmzbw346zuBtWRo7BOgi7pfJZSIjSHWup9Sb/tHt/c&#10;UuI80zXrQIuSnoSjd+vXr1a9KUQGLXS1sARBtCt6U9LWe1MkieOtUMzNwAiNxgasYh6Pdp/UlvWI&#10;rrokS9O3SQ+2Nha4cA5vH0YjXUf8phHcf2kaJzzpSoq1+bjauFZhTdYrVuwtM63k5zLYP1ShmNSY&#10;9AL1wDwjByv/glKSW3DQ+BkHlUDTSC4iB2QzT1+w2bbMiMgFxXHmIpP7f7D8+fjVElmX9CbNKNFM&#10;YZN2YvDvYSDzIE9vXIFeW4N+fsBrbHOk6swT8B+OaNi0TO/FvbXQt4LVWF6MTK5CRxwXQKr+M9SY&#10;hR08RKChsSpoh2oQRMc2nS6twUoIDymz5SJP0cTRlt8s8yz2LmHFFG2s8x8FKBI2JbXY+ojOjk/O&#10;Iw90nVxCMg2Psuti+ztN+pIuF9kiBlxZlPQ4nZ1UJb1NwzfOSyD5Qdcx2DPZjXtM0GnME1gHoiNl&#10;P1RD1DfLJzUrqE+oA74arLMF+4uSHiewpO7ngVlBSfdJo4bLeZ6HkY2HfPEOGRN7bamuLfqgNoBD&#10;PqeEaY6oJa2m7caPE48jZ5h/0lvDpyYGSXbDd2bNWTePij/DNHmseCHf6DsKeI8NbGTUNnAeaZ0F&#10;wHGNkp+fVngP1+fo9ecHsP4NAAD//wMAUEsDBBQABgAIAAAAIQD5DLvN3wAAAAsBAAAPAAAAZHJz&#10;L2Rvd25yZXYueG1sTI/NTsMwEITvSLyDtUjcqPPTBBTiVKjQY0UpPIAdmyQQr6PYaZK3ZznBcWdG&#10;s9+Uu8X27GJG3zkUEG8iYAZrpztsBHy8H+4egPkgUcveoRGwGg+76vqqlIV2M76Zyzk0jErQF1JA&#10;G8JQcO7r1ljpN24wSN6nG60MdI4N16Ocqdz2PIminFvZIX1o5WD2ram/z5MV8HJSq9rGX4ftc7Qq&#10;/Tof9/V0FOL2Znl6BBbMEv7C8ItP6FARk3ITas96AWme0pYgIMnyGBglsvyeFEVWkqXAq5L/31D9&#10;AAAA//8DAFBLAQItABQABgAIAAAAIQC2gziS/gAAAOEBAAATAAAAAAAAAAAAAAAAAAAAAABbQ29u&#10;dGVudF9UeXBlc10ueG1sUEsBAi0AFAAGAAgAAAAhADj9If/WAAAAlAEAAAsAAAAAAAAAAAAAAAAA&#10;LwEAAF9yZWxzLy5yZWxzUEsBAi0AFAAGAAgAAAAhACt92ywyAgAASAQAAA4AAAAAAAAAAAAAAAAA&#10;LgIAAGRycy9lMm9Eb2MueG1sUEsBAi0AFAAGAAgAAAAhAPkMu83fAAAACwEAAA8AAAAAAAAAAAAA&#10;AAAAjAQAAGRycy9kb3ducmV2LnhtbFBLBQYAAAAABAAEAPMAAACYBQAAAAA=&#10;" filled="f" stroked="f">
                <v:textbox>
                  <w:txbxContent>
                    <w:p w14:paraId="0B254FE7"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Bezdarba līmenis 20</w:t>
                      </w:r>
                      <w:r>
                        <w:rPr>
                          <w:rFonts w:ascii="Segoe UI Light" w:hAnsi="Segoe UI Light" w:cs="Arial"/>
                          <w:color w:val="000000" w:themeColor="text1"/>
                          <w:sz w:val="16"/>
                          <w:szCs w:val="18"/>
                        </w:rPr>
                        <w:t>2</w:t>
                      </w:r>
                      <w:r w:rsidRPr="00F542D3">
                        <w:rPr>
                          <w:rFonts w:ascii="Segoe UI Light" w:hAnsi="Segoe UI Light" w:cs="Arial"/>
                          <w:color w:val="000000" w:themeColor="text1"/>
                          <w:sz w:val="16"/>
                          <w:szCs w:val="18"/>
                        </w:rPr>
                        <w:t xml:space="preserve">0. gadā </w:t>
                      </w:r>
                      <w:r>
                        <w:rPr>
                          <w:rFonts w:ascii="Segoe UI Light" w:hAnsi="Segoe UI Light" w:cs="Arial"/>
                          <w:bCs/>
                          <w:color w:val="000000" w:themeColor="text1"/>
                          <w:sz w:val="16"/>
                          <w:szCs w:val="18"/>
                        </w:rPr>
                        <w:t>8,1</w:t>
                      </w:r>
                      <w:r w:rsidRPr="00F542D3">
                        <w:rPr>
                          <w:rFonts w:ascii="Segoe UI Light" w:hAnsi="Segoe UI Light" w:cs="Arial"/>
                          <w:bCs/>
                          <w:color w:val="000000" w:themeColor="text1"/>
                          <w:sz w:val="16"/>
                          <w:szCs w:val="18"/>
                        </w:rPr>
                        <w:t>%</w:t>
                      </w:r>
                    </w:p>
                    <w:p w14:paraId="3176FCE7"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v:shape>
            </w:pict>
          </mc:Fallback>
        </mc:AlternateContent>
      </w: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8" behindDoc="0" locked="0" layoutInCell="1" allowOverlap="1" wp14:anchorId="5B5F7D08" wp14:editId="794C7625">
                <wp:simplePos x="0" y="0"/>
                <wp:positionH relativeFrom="column">
                  <wp:posOffset>4889830</wp:posOffset>
                </wp:positionH>
                <wp:positionV relativeFrom="paragraph">
                  <wp:posOffset>834466</wp:posOffset>
                </wp:positionV>
                <wp:extent cx="1089328" cy="470535"/>
                <wp:effectExtent l="0" t="0" r="0" b="5715"/>
                <wp:wrapNone/>
                <wp:docPr id="30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328" cy="470535"/>
                        </a:xfrm>
                        <a:prstGeom prst="rect">
                          <a:avLst/>
                        </a:prstGeom>
                        <a:noFill/>
                        <a:ln w="9525">
                          <a:noFill/>
                          <a:miter lim="800000"/>
                          <a:headEnd/>
                          <a:tailEnd/>
                        </a:ln>
                      </wps:spPr>
                      <wps:txbx>
                        <w:txbxContent>
                          <w:p w14:paraId="3CD0F54C" w14:textId="77777777" w:rsidR="005A28CF" w:rsidRDefault="005A28CF" w:rsidP="0016645F">
                            <w:pPr>
                              <w:pStyle w:val="NormalWeb"/>
                              <w:kinsoku w:val="0"/>
                              <w:overflowPunct w:val="0"/>
                              <w:jc w:val="center"/>
                              <w:textAlignment w:val="baseline"/>
                              <w:rPr>
                                <w:rFonts w:ascii="Segoe UI Light" w:hAnsi="Segoe UI Light"/>
                                <w:sz w:val="16"/>
                                <w:szCs w:val="18"/>
                              </w:rPr>
                            </w:pPr>
                            <w:r>
                              <w:rPr>
                                <w:rFonts w:ascii="Segoe UI Light" w:hAnsi="Segoe UI Light" w:cs="Arial"/>
                                <w:color w:val="000000" w:themeColor="text1"/>
                                <w:sz w:val="16"/>
                                <w:szCs w:val="18"/>
                              </w:rPr>
                              <w:t>Bezdarba līmenis 2040</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5,0</w:t>
                            </w:r>
                            <w:r w:rsidRPr="00F542D3">
                              <w:rPr>
                                <w:rFonts w:ascii="Segoe UI Light" w:hAnsi="Segoe UI Light" w:cs="Arial"/>
                                <w:bCs/>
                                <w:color w:val="000000" w:themeColor="text1"/>
                                <w:sz w:val="16"/>
                                <w:szCs w:val="18"/>
                              </w:rPr>
                              <w:t>%</w:t>
                            </w:r>
                          </w:p>
                          <w:p w14:paraId="375F341C"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F7D08" id="_x0000_s1051" type="#_x0000_t202" style="position:absolute;left:0;text-align:left;margin-left:385.05pt;margin-top:65.7pt;width:85.75pt;height:37.0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j3xMgIAAEgEAAAOAAAAZHJzL2Uyb0RvYy54bWysVE2P2jAQvVfqf7B8LwlfXYgIqy3brSrR&#10;bSWoejaOQ6zaHtc2JPTXd+wAi7a3qhwsOzPzPO/NM4v7TityFM5LMCUdDnJKhOFQSbMv6fft07sZ&#10;JT4wUzEFRpT0JDy9X759s2htIUbQgKqEIwhifNHakjYh2CLLPG+EZn4AVhgM1uA0C3h0+6xyrEV0&#10;rbJRnr/PWnCVdcCF9/j1sQ/SZcKva8HD17r2IhBVUuwtpNWldRfXbLlgxd4x20h+boP9QxeaSYOX&#10;XqEeWWDk4ORfUFpyBx7qMOCgM6hryUXigGyG+Ss2m4ZZkbigON5eZfL/D5Y/H785IquSjvMxJYZp&#10;HNJWdOEDdGQY5WmtLzBrYzEvdPgZx5yoersG/tMTA6uGmb14cA7aRrAK20uV2U1pj+MjyK79AhXe&#10;wg4BElBXOx21QzUIouOYTtfRYCeExyvz2Xw8QjNxjE3u8ul4GpvLWHGpts6HTwI0iZuSOhx9QmfH&#10;tQ996iUlXmbgSSqVxq8MaUs6n46mqeAmomVAdyqpSzrL46/3SyT50VSpODCp+j32ogy2FFlHoj3l&#10;0O26pC+iY0EM7qA6oQ74arDPBtxvSlp0YEn9rwNzghL12aCG8+FkEi2bDpPp3QgP7jayu42Yg14B&#10;mnxICTMcUUu6u2xXoXc8Ws6ysDYbyy9DjJJsux/M2bNuARV/hovzWPFKvj63F/ABB1jLpO0LrbMA&#10;aNc0nfPTiu/h9pyyXv4Aln8AAAD//wMAUEsDBBQABgAIAAAAIQCAcDcE3wAAAAsBAAAPAAAAZHJz&#10;L2Rvd25yZXYueG1sTI/LTsMwEEX3SPyDNUjsqJ2SvkKcChW6rIDCB9jxkATicRQ7TfL3mBUsR/fo&#10;3jP5frItu2DvG0cSkoUAhlQ601Al4eP9eLcF5oMio1pHKGFGD/vi+ipXmXEjveHlHCoWS8hnSkId&#10;Qpdx7ssarfIL1yHF7NP1VoV49hU3vRpjuW35Uog1t6qhuFCrDg81lt/nwUp4ftWzTpOvY/okZm1e&#10;xtOhHE5S3t5Mjw/AAk7hD4Zf/agORXTSbiDjWSthsxFJRGNwn6TAIrFLkzUwLWEpVivgRc7//1D8&#10;AAAA//8DAFBLAQItABQABgAIAAAAIQC2gziS/gAAAOEBAAATAAAAAAAAAAAAAAAAAAAAAABbQ29u&#10;dGVudF9UeXBlc10ueG1sUEsBAi0AFAAGAAgAAAAhADj9If/WAAAAlAEAAAsAAAAAAAAAAAAAAAAA&#10;LwEAAF9yZWxzLy5yZWxzUEsBAi0AFAAGAAgAAAAhAD3aPfEyAgAASAQAAA4AAAAAAAAAAAAAAAAA&#10;LgIAAGRycy9lMm9Eb2MueG1sUEsBAi0AFAAGAAgAAAAhAIBwNwTfAAAACwEAAA8AAAAAAAAAAAAA&#10;AAAAjAQAAGRycy9kb3ducmV2LnhtbFBLBQYAAAAABAAEAPMAAACYBQAAAAA=&#10;" filled="f" stroked="f">
                <v:textbox>
                  <w:txbxContent>
                    <w:p w14:paraId="3CD0F54C" w14:textId="77777777" w:rsidR="005A28CF" w:rsidRDefault="005A28CF" w:rsidP="0016645F">
                      <w:pPr>
                        <w:pStyle w:val="NormalWeb"/>
                        <w:kinsoku w:val="0"/>
                        <w:overflowPunct w:val="0"/>
                        <w:jc w:val="center"/>
                        <w:textAlignment w:val="baseline"/>
                        <w:rPr>
                          <w:rFonts w:ascii="Segoe UI Light" w:hAnsi="Segoe UI Light"/>
                          <w:sz w:val="16"/>
                          <w:szCs w:val="18"/>
                        </w:rPr>
                      </w:pPr>
                      <w:r>
                        <w:rPr>
                          <w:rFonts w:ascii="Segoe UI Light" w:hAnsi="Segoe UI Light" w:cs="Arial"/>
                          <w:color w:val="000000" w:themeColor="text1"/>
                          <w:sz w:val="16"/>
                          <w:szCs w:val="18"/>
                        </w:rPr>
                        <w:t>Bezdarba līmenis 2040</w:t>
                      </w:r>
                      <w:r w:rsidRPr="00F542D3">
                        <w:rPr>
                          <w:rFonts w:ascii="Segoe UI Light" w:hAnsi="Segoe UI Light" w:cs="Arial"/>
                          <w:color w:val="000000" w:themeColor="text1"/>
                          <w:sz w:val="16"/>
                          <w:szCs w:val="18"/>
                        </w:rPr>
                        <w:t xml:space="preserve">. gadā </w:t>
                      </w:r>
                      <w:r>
                        <w:rPr>
                          <w:rFonts w:ascii="Segoe UI Light" w:hAnsi="Segoe UI Light" w:cs="Arial"/>
                          <w:color w:val="000000" w:themeColor="text1"/>
                          <w:sz w:val="16"/>
                          <w:szCs w:val="18"/>
                        </w:rPr>
                        <w:t>5,0</w:t>
                      </w:r>
                      <w:r w:rsidRPr="00F542D3">
                        <w:rPr>
                          <w:rFonts w:ascii="Segoe UI Light" w:hAnsi="Segoe UI Light" w:cs="Arial"/>
                          <w:bCs/>
                          <w:color w:val="000000" w:themeColor="text1"/>
                          <w:sz w:val="16"/>
                          <w:szCs w:val="18"/>
                        </w:rPr>
                        <w:t>%</w:t>
                      </w:r>
                    </w:p>
                    <w:p w14:paraId="375F341C"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v:shape>
            </w:pict>
          </mc:Fallback>
        </mc:AlternateContent>
      </w: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5" behindDoc="0" locked="0" layoutInCell="1" allowOverlap="1" wp14:anchorId="055D6560" wp14:editId="6B06D822">
                <wp:simplePos x="0" y="0"/>
                <wp:positionH relativeFrom="column">
                  <wp:posOffset>1626336</wp:posOffset>
                </wp:positionH>
                <wp:positionV relativeFrom="paragraph">
                  <wp:posOffset>1094384</wp:posOffset>
                </wp:positionV>
                <wp:extent cx="1295400" cy="439420"/>
                <wp:effectExtent l="0" t="0" r="0" b="0"/>
                <wp:wrapNone/>
                <wp:docPr id="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39420"/>
                        </a:xfrm>
                        <a:prstGeom prst="rect">
                          <a:avLst/>
                        </a:prstGeom>
                        <a:noFill/>
                        <a:ln w="9525">
                          <a:noFill/>
                          <a:miter lim="800000"/>
                          <a:headEnd/>
                          <a:tailEnd/>
                        </a:ln>
                      </wps:spPr>
                      <wps:txbx>
                        <w:txbxContent>
                          <w:p w14:paraId="5A5EE54B"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 xml:space="preserve">Bezdarba līmenis 2010. gadā </w:t>
                            </w:r>
                            <w:r w:rsidRPr="00F542D3">
                              <w:rPr>
                                <w:rFonts w:ascii="Segoe UI Light" w:hAnsi="Segoe UI Light" w:cs="Arial"/>
                                <w:bCs/>
                                <w:color w:val="000000" w:themeColor="text1"/>
                                <w:sz w:val="16"/>
                                <w:szCs w:val="18"/>
                              </w:rPr>
                              <w:t>19,5%</w:t>
                            </w:r>
                          </w:p>
                          <w:p w14:paraId="058F6742"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D6560" id="_x0000_s1052" type="#_x0000_t202" style="position:absolute;left:0;text-align:left;margin-left:128.05pt;margin-top:86.15pt;width:102pt;height:34.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DhMgIAAEcEAAAOAAAAZHJzL2Uyb0RvYy54bWysU8Fu2zAMvQ/YPwi6L3bcpGuMOEWXrsOA&#10;rBuQDDvLshwLs0RNUmKnXz9KjrOguw3zQZBM8pHvkVze96olR2GdBF3Q6SSlRGgOldT7gn7fPb27&#10;o8R5pivWghYFPQlH71dv3yw7k4sMGmgrYQmCaJd3pqCN9yZPEscboZibgBEajTVYxTw+7T6pLOsQ&#10;XbVJlqa3SQe2Mha4cA7/Pg5Guor4dS24/1rXTnjSFhRr8/G08SzDmayWLN9bZhrJz2Wwf6hCMakx&#10;6QXqkXlGDlb+BaUkt+Cg9hMOKoG6llxEDshmmr5is22YEZELiuPMRSb3/2D58/GbJbIq6M2cEs0U&#10;9mgnev8BejIN6nTG5ei0Nejme/yNXY5MndkA/+mIhnXD9F48WAtdI1iF1cXI5Cp0wHEBpOy+QIVZ&#10;2MFDBOprq4J0KAZBdOzS6dIZrITwkDJbzGcpmjjaZjeLWRZbl7B8jDbW+U8CFAmXglrsfERnx43z&#10;yANdR5eQTMOTbNvY/VaTrqCLeTaPAVcWJT0OZytVQe/S8A3jEkh+1FUM9ky2wx0TtBrzBNaB6EDZ&#10;92Uf5c1uRzVLqE6oAy4N1tmAfaGkwwEsqPt1YFZQ0n7WqOFiOpuFiY2P2fw9Mib22lJeW/RBrQFn&#10;fEoJ0xxRC1qO17UfBh4nzjC/0VvDxyYGSXb9D2bNWTePij/DOHgsfyXf4DsI+IANrGXUNnAeaJ0F&#10;wGmNkp83K6zD9Tt6/dn/1W8AAAD//wMAUEsDBBQABgAIAAAAIQB+QouV3QAAAAsBAAAPAAAAZHJz&#10;L2Rvd25yZXYueG1sTI/BToQwEIbvJr5DMybe3BZk0SBlY1b3uFFXH6ClI6C0JbQs8PaOJz3OfH/+&#10;+abcLbZnZxxD552EZCOAoau96Vwj4eP9cHMPLETljOq9QwkrBthVlxelKoyf3RueT7FhVOJCoSS0&#10;MQ4F56Fu0aqw8QM6Yp9+tCrSODbcjGqmctvzVIicW9U5utCqAfct1t+nyUp4ftWrzpKvQ/YkVm1e&#10;5uO+no5SXl8tjw/AIi7xLwy/+qQOFTlpPzkTWC8h3eYJRQncpbfAKJHlgjaaUJZsgVcl//9D9QMA&#10;AP//AwBQSwECLQAUAAYACAAAACEAtoM4kv4AAADhAQAAEwAAAAAAAAAAAAAAAAAAAAAAW0NvbnRl&#10;bnRfVHlwZXNdLnhtbFBLAQItABQABgAIAAAAIQA4/SH/1gAAAJQBAAALAAAAAAAAAAAAAAAAAC8B&#10;AABfcmVscy8ucmVsc1BLAQItABQABgAIAAAAIQDTUxDhMgIAAEcEAAAOAAAAAAAAAAAAAAAAAC4C&#10;AABkcnMvZTJvRG9jLnhtbFBLAQItABQABgAIAAAAIQB+QouV3QAAAAsBAAAPAAAAAAAAAAAAAAAA&#10;AIwEAABkcnMvZG93bnJldi54bWxQSwUGAAAAAAQABADzAAAAlgUAAAAA&#10;" filled="f" stroked="f">
                <v:textbox>
                  <w:txbxContent>
                    <w:p w14:paraId="5A5EE54B"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 xml:space="preserve">Bezdarba līmenis 2010. gadā </w:t>
                      </w:r>
                      <w:r w:rsidRPr="00F542D3">
                        <w:rPr>
                          <w:rFonts w:ascii="Segoe UI Light" w:hAnsi="Segoe UI Light" w:cs="Arial"/>
                          <w:bCs/>
                          <w:color w:val="000000" w:themeColor="text1"/>
                          <w:sz w:val="16"/>
                          <w:szCs w:val="18"/>
                        </w:rPr>
                        <w:t>19,5%</w:t>
                      </w:r>
                    </w:p>
                    <w:p w14:paraId="058F6742"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v:shape>
            </w:pict>
          </mc:Fallback>
        </mc:AlternateContent>
      </w:r>
      <w:r w:rsidRPr="003B4CDA">
        <w:rPr>
          <w:rFonts w:ascii="Segoe UI Light" w:hAnsi="Segoe UI Light"/>
          <w:noProof/>
          <w:color w:val="000000" w:themeColor="text1"/>
          <w:szCs w:val="26"/>
          <w:lang w:eastAsia="lv-LV"/>
        </w:rPr>
        <mc:AlternateContent>
          <mc:Choice Requires="wps">
            <w:drawing>
              <wp:anchor distT="0" distB="0" distL="114300" distR="114300" simplePos="0" relativeHeight="251658264" behindDoc="0" locked="0" layoutInCell="1" allowOverlap="1" wp14:anchorId="009E7C67" wp14:editId="5B172C32">
                <wp:simplePos x="0" y="0"/>
                <wp:positionH relativeFrom="column">
                  <wp:posOffset>987425</wp:posOffset>
                </wp:positionH>
                <wp:positionV relativeFrom="paragraph">
                  <wp:posOffset>14605</wp:posOffset>
                </wp:positionV>
                <wp:extent cx="1364615" cy="405130"/>
                <wp:effectExtent l="0" t="0" r="0" b="0"/>
                <wp:wrapNone/>
                <wp:docPr id="3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05130"/>
                        </a:xfrm>
                        <a:prstGeom prst="rect">
                          <a:avLst/>
                        </a:prstGeom>
                        <a:noFill/>
                        <a:ln w="9525">
                          <a:noFill/>
                          <a:miter lim="800000"/>
                          <a:headEnd/>
                          <a:tailEnd/>
                        </a:ln>
                      </wps:spPr>
                      <wps:txbx>
                        <w:txbxContent>
                          <w:p w14:paraId="69790FDD"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 xml:space="preserve">Bezdarba līmenis 2007. gadā </w:t>
                            </w:r>
                            <w:r w:rsidRPr="00F542D3">
                              <w:rPr>
                                <w:rFonts w:ascii="Segoe UI Light" w:hAnsi="Segoe UI Light" w:cs="Arial"/>
                                <w:bCs/>
                                <w:color w:val="000000" w:themeColor="text1"/>
                                <w:sz w:val="16"/>
                                <w:szCs w:val="18"/>
                              </w:rPr>
                              <w:t>6,1%</w:t>
                            </w:r>
                          </w:p>
                          <w:p w14:paraId="646276A9"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wps:txbx>
                      <wps:bodyPr vert="horz" wrap="square" lIns="91440" tIns="45720" rIns="91440" bIns="45720" numCol="1" anchor="b"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E7C67" id="_x0000_s1053" type="#_x0000_t202" style="position:absolute;left:0;text-align:left;margin-left:77.75pt;margin-top:1.15pt;width:107.45pt;height:31.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zUMgIAAEcEAAAOAAAAZHJzL2Uyb0RvYy54bWysU01v2zAMvQ/YfxB0X2znq60Rp+jSdRjQ&#10;dQOSYWdZlmNhlqhJSuzs14+S4yzobsN8ECSTfOR7JFf3vWrJUVgnQRc0m6SUCM2hknpf0G+7p3e3&#10;lDjPdMVa0KKgJ+Ho/frtm1VncjGFBtpKWIIg2uWdKWjjvcmTxPFGKOYmYIRGYw1WMY9Pu08qyzpE&#10;V20yTdNl0oGtjAUunMO/j4ORriN+XQvuv9S1E560BcXafDxtPMtwJusVy/eWmUbycxnsH6pQTGpM&#10;eoF6ZJ6Rg5V/QSnJLTio/YSDSqCuJReRA7LJ0ldstg0zInJBcZy5yOT+Hyx/OX61RFYFnc0p0Uxh&#10;j3ai9++hJ1lQpzMuR6etQTff42/scmTqzDPwH45o2DRM78WDtdA1glVYXYxMrkIHHBdAyu4zVJiF&#10;HTxEoL62KkiHYhBExy6dLp3BSggPKWfL+TJbUMLRNk8X2Sy2LmH5GG2s8x8FKBIuBbXY+YjOjs/O&#10;Iw90HV1CMg1Psm1j91tNuoLeLaaLGHBlUdLjcLZSFfQ2Dd8wLoHkB13FYM9kO9wxQasxT2AdiA6U&#10;fV/2Ud7pzahmCdUJdcClwTobsL8o6XAAC+p+HpgVlLSfNGp4l83nYWLjY764meLDXlvKa4s+qA3g&#10;jGeUMM0RtaDleN34YeBx4gzzz3pr+NjEIMmu/86sOevmUfEXGAeP5a/kG3wHAR+wgbWM2gbOA62z&#10;ADitUfLzZoV1uH5Hrz/7v/4NAAD//wMAUEsDBBQABgAIAAAAIQAgFuII3QAAAAgBAAAPAAAAZHJz&#10;L2Rvd25yZXYueG1sTI9BT4NAFITvJv6HzTPxZhdawIayNKbaY2Ot/oBd9gko+5awS4F/73rS42Qm&#10;M98U+9l07IqDay0JiFcRMKTK6pZqAR/vx4ctMOcladlZQgELOtiXtzeFzLWd6A2vF1+zUEIulwIa&#10;7/ucc1c1aKRb2R4peJ92MNIHOdRcD3IK5abj6yjKuJEthYVG9nhosPq+jEbAy1ktKom/jslztCj9&#10;Op0O1XgS4v5uftoB8zj7vzD84gd0KAOTsiNpx7qg0zQNUQHrDbDgbx6jBJgSkGUx8LLg/w+UPwAA&#10;AP//AwBQSwECLQAUAAYACAAAACEAtoM4kv4AAADhAQAAEwAAAAAAAAAAAAAAAAAAAAAAW0NvbnRl&#10;bnRfVHlwZXNdLnhtbFBLAQItABQABgAIAAAAIQA4/SH/1gAAAJQBAAALAAAAAAAAAAAAAAAAAC8B&#10;AABfcmVscy8ucmVsc1BLAQItABQABgAIAAAAIQBUjLzUMgIAAEcEAAAOAAAAAAAAAAAAAAAAAC4C&#10;AABkcnMvZTJvRG9jLnhtbFBLAQItABQABgAIAAAAIQAgFuII3QAAAAgBAAAPAAAAAAAAAAAAAAAA&#10;AIwEAABkcnMvZG93bnJldi54bWxQSwUGAAAAAAQABADzAAAAlgUAAAAA&#10;" filled="f" stroked="f">
                <v:textbox>
                  <w:txbxContent>
                    <w:p w14:paraId="69790FDD" w14:textId="77777777" w:rsidR="005A28CF" w:rsidRDefault="005A28CF" w:rsidP="0016645F">
                      <w:pPr>
                        <w:pStyle w:val="NormalWeb"/>
                        <w:kinsoku w:val="0"/>
                        <w:overflowPunct w:val="0"/>
                        <w:jc w:val="center"/>
                        <w:textAlignment w:val="baseline"/>
                        <w:rPr>
                          <w:rFonts w:ascii="Segoe UI Light" w:hAnsi="Segoe UI Light"/>
                          <w:sz w:val="16"/>
                          <w:szCs w:val="18"/>
                        </w:rPr>
                      </w:pPr>
                      <w:r w:rsidRPr="00F542D3">
                        <w:rPr>
                          <w:rFonts w:ascii="Segoe UI Light" w:hAnsi="Segoe UI Light" w:cs="Arial"/>
                          <w:color w:val="000000" w:themeColor="text1"/>
                          <w:sz w:val="16"/>
                          <w:szCs w:val="18"/>
                        </w:rPr>
                        <w:t xml:space="preserve">Bezdarba līmenis 2007. gadā </w:t>
                      </w:r>
                      <w:r w:rsidRPr="00F542D3">
                        <w:rPr>
                          <w:rFonts w:ascii="Segoe UI Light" w:hAnsi="Segoe UI Light" w:cs="Arial"/>
                          <w:bCs/>
                          <w:color w:val="000000" w:themeColor="text1"/>
                          <w:sz w:val="16"/>
                          <w:szCs w:val="18"/>
                        </w:rPr>
                        <w:t>6,1%</w:t>
                      </w:r>
                    </w:p>
                    <w:p w14:paraId="646276A9" w14:textId="77777777" w:rsidR="005A28CF" w:rsidRPr="00F542D3" w:rsidRDefault="005A28CF" w:rsidP="0016645F">
                      <w:pPr>
                        <w:pStyle w:val="NormalWeb"/>
                        <w:kinsoku w:val="0"/>
                        <w:overflowPunct w:val="0"/>
                        <w:jc w:val="center"/>
                        <w:textAlignment w:val="baseline"/>
                        <w:rPr>
                          <w:rFonts w:ascii="Segoe UI Light" w:hAnsi="Segoe UI Light"/>
                          <w:sz w:val="16"/>
                          <w:szCs w:val="18"/>
                        </w:rPr>
                      </w:pPr>
                    </w:p>
                  </w:txbxContent>
                </v:textbox>
              </v:shape>
            </w:pict>
          </mc:Fallback>
        </mc:AlternateContent>
      </w:r>
      <w:r w:rsidRPr="003B4CDA">
        <w:rPr>
          <w:rFonts w:ascii="Segoe UI Light" w:hAnsi="Segoe UI Light"/>
          <w:noProof/>
          <w:color w:val="000000" w:themeColor="text1"/>
          <w:szCs w:val="26"/>
          <w:lang w:eastAsia="lv-LV"/>
        </w:rPr>
        <w:drawing>
          <wp:inline distT="0" distB="0" distL="0" distR="0" wp14:anchorId="23075D86" wp14:editId="6C9B9713">
            <wp:extent cx="5760085" cy="219456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1068E14D" w14:textId="77777777" w:rsidR="0016645F" w:rsidRPr="003000D9" w:rsidRDefault="0016645F" w:rsidP="0016645F">
      <w:pPr>
        <w:jc w:val="both"/>
        <w:rPr>
          <w:rFonts w:cs="Calibri Light"/>
          <w:sz w:val="12"/>
          <w:szCs w:val="10"/>
        </w:rPr>
      </w:pPr>
      <w:r w:rsidRPr="003000D9">
        <w:rPr>
          <w:rFonts w:cs="Calibri Light"/>
          <w:sz w:val="12"/>
          <w:szCs w:val="10"/>
        </w:rPr>
        <w:t>Avots: CSP dati līdz 2021. gadam, EM prognozes sākot ar 2022. gadu</w:t>
      </w:r>
    </w:p>
    <w:p w14:paraId="451F7300" w14:textId="17B1458E" w:rsidR="0016645F" w:rsidRDefault="00C24E26" w:rsidP="00C24E26">
      <w:pPr>
        <w:jc w:val="both"/>
      </w:pPr>
      <w:r>
        <w:br/>
      </w:r>
      <w:r w:rsidR="094D5FF8">
        <w:t>Sagaidāms, ka ekonomikai atlabstot pēc Covid-19 izraisītās pandēmijas, bezdarbs 2022. gadā samazināsies, arī nākamajos gados tas pamazām samazināsies, pietuvojoties savam dabiskam līmenim. Līdz 2030. gadam bezdarba līmenis varētu noslīdēt līdz 5,6% robežai, savukārt darba meklētāju skaits līdz 53 tūkstošiem. Pēc 2030. gada bezdarba rādītāji nostabilizēsies ap 5%, savukārt demogrāfijas tendenču negatīvā ietekme uz darbaspēka piedāvājumu lielā mērā tiks kompensēta ar iedzīvotāju ekonomiskās aktivitātes pieaugumu, kā arī darbaspēka migrācijas plūsmu izlīdzināšanos.</w:t>
      </w:r>
    </w:p>
    <w:p w14:paraId="3FCC388F" w14:textId="77777777" w:rsidR="00C24E26" w:rsidRPr="003B4CDA" w:rsidRDefault="00C24E26" w:rsidP="00C24E26">
      <w:pPr>
        <w:jc w:val="right"/>
        <w:rPr>
          <w:szCs w:val="26"/>
        </w:rPr>
      </w:pPr>
      <w:r w:rsidRPr="003B4CDA">
        <w:rPr>
          <w:szCs w:val="26"/>
        </w:rPr>
        <w:t>3.12. tabula</w:t>
      </w:r>
    </w:p>
    <w:p w14:paraId="18A2A808" w14:textId="77777777" w:rsidR="00C24E26" w:rsidRPr="003B4CDA" w:rsidRDefault="00C24E26" w:rsidP="00C24E26">
      <w:pPr>
        <w:spacing w:after="120"/>
        <w:jc w:val="center"/>
        <w:rPr>
          <w:rFonts w:ascii="Segoe UI Light" w:hAnsi="Segoe UI Light"/>
          <w:i/>
          <w:sz w:val="16"/>
          <w:szCs w:val="16"/>
        </w:rPr>
      </w:pPr>
      <w:r w:rsidRPr="003B4CDA">
        <w:rPr>
          <w:rFonts w:ascii="Segoe UI Light" w:hAnsi="Segoe UI Light"/>
          <w:b/>
          <w:sz w:val="18"/>
          <w:szCs w:val="16"/>
        </w:rPr>
        <w:t>Nodarbinātības un bezdarba galveno rādītāju prognozes</w:t>
      </w:r>
      <w:r w:rsidRPr="003B4CDA">
        <w:rPr>
          <w:rFonts w:ascii="Segoe UI Light" w:hAnsi="Segoe UI Light"/>
          <w:b/>
          <w:sz w:val="18"/>
          <w:szCs w:val="16"/>
        </w:rPr>
        <w:br/>
      </w:r>
      <w:r w:rsidRPr="003B4CDA">
        <w:rPr>
          <w:rFonts w:ascii="Segoe UI Light" w:hAnsi="Segoe UI Light"/>
          <w:i/>
          <w:sz w:val="16"/>
          <w:szCs w:val="16"/>
        </w:rPr>
        <w:t>15-74 gadu vecuma grupā</w:t>
      </w:r>
    </w:p>
    <w:tbl>
      <w:tblPr>
        <w:tblStyle w:val="GridTable5Dark-Accent31"/>
        <w:tblW w:w="497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6657"/>
        <w:gridCol w:w="666"/>
        <w:gridCol w:w="852"/>
        <w:gridCol w:w="846"/>
      </w:tblGrid>
      <w:tr w:rsidR="00C24E26" w:rsidRPr="003B4CDA" w14:paraId="1A7EFACC" w14:textId="77777777" w:rsidTr="00577A88">
        <w:trPr>
          <w:cnfStyle w:val="100000000000" w:firstRow="1" w:lastRow="0" w:firstColumn="0" w:lastColumn="0" w:oddVBand="0" w:evenVBand="0" w:oddHBand="0" w:evenHBand="0" w:firstRowFirstColumn="0" w:firstRowLastColumn="0" w:lastRowFirstColumn="0" w:lastRowLastColumn="0"/>
          <w:trHeight w:val="20"/>
          <w:jc w:val="center"/>
        </w:trPr>
        <w:tc>
          <w:tcPr>
            <w:tcW w:w="3690" w:type="pct"/>
            <w:shd w:val="clear" w:color="auto" w:fill="5F497A" w:themeFill="accent4" w:themeFillShade="BF"/>
            <w:noWrap/>
          </w:tcPr>
          <w:p w14:paraId="33150BD4" w14:textId="77777777" w:rsidR="00C24E26" w:rsidRPr="003B4CDA" w:rsidRDefault="00C24E26" w:rsidP="00577A88">
            <w:pPr>
              <w:spacing w:before="40" w:after="40"/>
              <w:jc w:val="both"/>
              <w:rPr>
                <w:rFonts w:ascii="Segoe UI Light" w:eastAsia="Arial Unicode MS" w:hAnsi="Segoe UI Light"/>
                <w:b w:val="0"/>
                <w:sz w:val="16"/>
                <w:szCs w:val="20"/>
              </w:rPr>
            </w:pPr>
          </w:p>
        </w:tc>
        <w:tc>
          <w:tcPr>
            <w:tcW w:w="369" w:type="pct"/>
            <w:shd w:val="clear" w:color="auto" w:fill="5F497A" w:themeFill="accent4" w:themeFillShade="BF"/>
            <w:hideMark/>
          </w:tcPr>
          <w:p w14:paraId="4973A473" w14:textId="77777777" w:rsidR="00C24E26" w:rsidRPr="003B4CDA" w:rsidRDefault="00C24E26" w:rsidP="00577A88">
            <w:pPr>
              <w:spacing w:before="40" w:after="40"/>
              <w:jc w:val="center"/>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21</w:t>
            </w:r>
          </w:p>
        </w:tc>
        <w:tc>
          <w:tcPr>
            <w:tcW w:w="472" w:type="pct"/>
            <w:shd w:val="clear" w:color="auto" w:fill="5F497A" w:themeFill="accent4" w:themeFillShade="BF"/>
            <w:hideMark/>
          </w:tcPr>
          <w:p w14:paraId="7478A0D9" w14:textId="77777777" w:rsidR="00C24E26" w:rsidRPr="003B4CDA" w:rsidRDefault="00C24E26" w:rsidP="00577A88">
            <w:pPr>
              <w:spacing w:before="40" w:after="40"/>
              <w:jc w:val="center"/>
              <w:rPr>
                <w:rFonts w:ascii="Segoe UI Light" w:hAnsi="Segoe UI Light"/>
                <w:sz w:val="16"/>
                <w:szCs w:val="20"/>
              </w:rPr>
            </w:pPr>
            <w:r w:rsidRPr="003B4CDA">
              <w:rPr>
                <w:rFonts w:ascii="Segoe UI Light" w:hAnsi="Segoe UI Light"/>
                <w:sz w:val="16"/>
                <w:szCs w:val="20"/>
              </w:rPr>
              <w:t>20</w:t>
            </w:r>
            <w:r>
              <w:rPr>
                <w:rFonts w:ascii="Segoe UI Light" w:hAnsi="Segoe UI Light"/>
                <w:sz w:val="16"/>
                <w:szCs w:val="20"/>
              </w:rPr>
              <w:t>30</w:t>
            </w:r>
          </w:p>
        </w:tc>
        <w:tc>
          <w:tcPr>
            <w:tcW w:w="469" w:type="pct"/>
            <w:shd w:val="clear" w:color="auto" w:fill="5F497A" w:themeFill="accent4" w:themeFillShade="BF"/>
            <w:hideMark/>
          </w:tcPr>
          <w:p w14:paraId="52BF9333" w14:textId="77777777" w:rsidR="00C24E26" w:rsidRPr="003B4CDA" w:rsidRDefault="00C24E26" w:rsidP="00577A88">
            <w:pPr>
              <w:spacing w:before="40" w:after="40"/>
              <w:jc w:val="center"/>
              <w:rPr>
                <w:rFonts w:ascii="Segoe UI Light" w:hAnsi="Segoe UI Light"/>
                <w:sz w:val="16"/>
                <w:szCs w:val="20"/>
              </w:rPr>
            </w:pPr>
            <w:r w:rsidRPr="003B4CDA">
              <w:rPr>
                <w:rFonts w:ascii="Segoe UI Light" w:hAnsi="Segoe UI Light"/>
                <w:sz w:val="16"/>
                <w:szCs w:val="20"/>
              </w:rPr>
              <w:t>2040</w:t>
            </w:r>
          </w:p>
        </w:tc>
      </w:tr>
      <w:tr w:rsidR="00C24E26" w:rsidRPr="003B4CDA" w14:paraId="3B6FD403" w14:textId="77777777" w:rsidTr="00577A88">
        <w:trPr>
          <w:cnfStyle w:val="000000100000" w:firstRow="0" w:lastRow="0" w:firstColumn="0" w:lastColumn="0" w:oddVBand="0" w:evenVBand="0" w:oddHBand="1" w:evenHBand="0" w:firstRowFirstColumn="0" w:firstRowLastColumn="0" w:lastRowFirstColumn="0" w:lastRowLastColumn="0"/>
          <w:trHeight w:val="20"/>
          <w:jc w:val="center"/>
        </w:trPr>
        <w:tc>
          <w:tcPr>
            <w:tcW w:w="3690" w:type="pct"/>
            <w:shd w:val="clear" w:color="auto" w:fill="E5DFEC" w:themeFill="accent4" w:themeFillTint="33"/>
            <w:hideMark/>
          </w:tcPr>
          <w:p w14:paraId="146833D6"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Iedzīvotāju skaits privātajās mājsaimniecībās, gada sākumā, tūkstošos</w:t>
            </w:r>
          </w:p>
        </w:tc>
        <w:tc>
          <w:tcPr>
            <w:tcW w:w="369" w:type="pct"/>
            <w:shd w:val="clear" w:color="auto" w:fill="E5DFEC" w:themeFill="accent4" w:themeFillTint="33"/>
            <w:hideMark/>
          </w:tcPr>
          <w:p w14:paraId="7C995668"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1401,8</w:t>
            </w:r>
          </w:p>
        </w:tc>
        <w:tc>
          <w:tcPr>
            <w:tcW w:w="472" w:type="pct"/>
            <w:shd w:val="clear" w:color="auto" w:fill="E5DFEC" w:themeFill="accent4" w:themeFillTint="33"/>
            <w:hideMark/>
          </w:tcPr>
          <w:p w14:paraId="2194C06E" w14:textId="77777777" w:rsidR="00C24E26" w:rsidRPr="003B4CDA" w:rsidRDefault="00C24E26" w:rsidP="00577A88">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13</w:t>
            </w:r>
            <w:r>
              <w:rPr>
                <w:rFonts w:ascii="Segoe UI Light" w:hAnsi="Segoe UI Light"/>
                <w:sz w:val="16"/>
                <w:szCs w:val="20"/>
              </w:rPr>
              <w:t>09</w:t>
            </w:r>
            <w:r w:rsidRPr="003B4CDA">
              <w:rPr>
                <w:rFonts w:ascii="Segoe UI Light" w:hAnsi="Segoe UI Light"/>
                <w:sz w:val="16"/>
                <w:szCs w:val="20"/>
              </w:rPr>
              <w:t>,</w:t>
            </w:r>
            <w:r>
              <w:rPr>
                <w:rFonts w:ascii="Segoe UI Light" w:hAnsi="Segoe UI Light"/>
                <w:sz w:val="16"/>
                <w:szCs w:val="20"/>
              </w:rPr>
              <w:t>0</w:t>
            </w:r>
          </w:p>
        </w:tc>
        <w:tc>
          <w:tcPr>
            <w:tcW w:w="469" w:type="pct"/>
            <w:shd w:val="clear" w:color="auto" w:fill="E5DFEC" w:themeFill="accent4" w:themeFillTint="33"/>
            <w:hideMark/>
          </w:tcPr>
          <w:p w14:paraId="62A6FE1F"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12</w:t>
            </w:r>
            <w:r>
              <w:rPr>
                <w:rFonts w:ascii="Segoe UI Light" w:hAnsi="Segoe UI Light"/>
                <w:sz w:val="16"/>
                <w:szCs w:val="20"/>
              </w:rPr>
              <w:t>49</w:t>
            </w:r>
            <w:r w:rsidRPr="003B4CDA">
              <w:rPr>
                <w:rFonts w:ascii="Segoe UI Light" w:hAnsi="Segoe UI Light"/>
                <w:sz w:val="16"/>
                <w:szCs w:val="20"/>
              </w:rPr>
              <w:t>,</w:t>
            </w:r>
            <w:r>
              <w:rPr>
                <w:rFonts w:ascii="Segoe UI Light" w:hAnsi="Segoe UI Light"/>
                <w:sz w:val="16"/>
                <w:szCs w:val="20"/>
              </w:rPr>
              <w:t>9</w:t>
            </w:r>
          </w:p>
        </w:tc>
      </w:tr>
      <w:tr w:rsidR="00C24E26" w:rsidRPr="003B4CDA" w14:paraId="51BE8875" w14:textId="77777777" w:rsidTr="00577A88">
        <w:trPr>
          <w:trHeight w:val="20"/>
          <w:jc w:val="center"/>
        </w:trPr>
        <w:tc>
          <w:tcPr>
            <w:tcW w:w="3690" w:type="pct"/>
            <w:shd w:val="clear" w:color="auto" w:fill="CCC0D9" w:themeFill="accent4" w:themeFillTint="66"/>
            <w:hideMark/>
          </w:tcPr>
          <w:p w14:paraId="4C254E62"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Nodarbināto iedzīvotāju skaits, tūkstošos</w:t>
            </w:r>
          </w:p>
        </w:tc>
        <w:tc>
          <w:tcPr>
            <w:tcW w:w="369" w:type="pct"/>
            <w:shd w:val="clear" w:color="auto" w:fill="CCC0D9" w:themeFill="accent4" w:themeFillTint="66"/>
            <w:hideMark/>
          </w:tcPr>
          <w:p w14:paraId="4E3CD088"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864</w:t>
            </w:r>
            <w:r w:rsidRPr="003B4CDA">
              <w:rPr>
                <w:rFonts w:ascii="Segoe UI Light" w:hAnsi="Segoe UI Light"/>
                <w:sz w:val="16"/>
                <w:szCs w:val="20"/>
              </w:rPr>
              <w:t>,0</w:t>
            </w:r>
          </w:p>
        </w:tc>
        <w:tc>
          <w:tcPr>
            <w:tcW w:w="472" w:type="pct"/>
            <w:shd w:val="clear" w:color="auto" w:fill="CCC0D9" w:themeFill="accent4" w:themeFillTint="66"/>
            <w:hideMark/>
          </w:tcPr>
          <w:p w14:paraId="0E18BD76"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890,1</w:t>
            </w:r>
          </w:p>
        </w:tc>
        <w:tc>
          <w:tcPr>
            <w:tcW w:w="469" w:type="pct"/>
            <w:shd w:val="clear" w:color="auto" w:fill="CCC0D9" w:themeFill="accent4" w:themeFillTint="66"/>
            <w:hideMark/>
          </w:tcPr>
          <w:p w14:paraId="6629195A" w14:textId="77777777" w:rsidR="00C24E26" w:rsidRPr="003B4CDA" w:rsidRDefault="00C24E26" w:rsidP="00577A88">
            <w:pPr>
              <w:tabs>
                <w:tab w:val="decimal" w:pos="452"/>
              </w:tabs>
              <w:spacing w:before="40" w:after="40"/>
              <w:jc w:val="center"/>
              <w:rPr>
                <w:rFonts w:ascii="Segoe UI Light" w:hAnsi="Segoe UI Light"/>
                <w:sz w:val="16"/>
                <w:szCs w:val="20"/>
              </w:rPr>
            </w:pPr>
            <w:r>
              <w:rPr>
                <w:rFonts w:ascii="Segoe UI Light" w:hAnsi="Segoe UI Light"/>
                <w:sz w:val="16"/>
                <w:szCs w:val="20"/>
              </w:rPr>
              <w:t>878,8</w:t>
            </w:r>
          </w:p>
        </w:tc>
      </w:tr>
      <w:tr w:rsidR="00C24E26" w:rsidRPr="003B4CDA" w14:paraId="6BED00B8" w14:textId="77777777" w:rsidTr="00577A88">
        <w:trPr>
          <w:cnfStyle w:val="000000100000" w:firstRow="0" w:lastRow="0" w:firstColumn="0" w:lastColumn="0" w:oddVBand="0" w:evenVBand="0" w:oddHBand="1" w:evenHBand="0" w:firstRowFirstColumn="0" w:firstRowLastColumn="0" w:lastRowFirstColumn="0" w:lastRowLastColumn="0"/>
          <w:trHeight w:val="20"/>
          <w:jc w:val="center"/>
        </w:trPr>
        <w:tc>
          <w:tcPr>
            <w:tcW w:w="3690" w:type="pct"/>
            <w:shd w:val="clear" w:color="auto" w:fill="E5DFEC" w:themeFill="accent4" w:themeFillTint="33"/>
            <w:hideMark/>
          </w:tcPr>
          <w:p w14:paraId="1585C686" w14:textId="77777777" w:rsidR="00C24E26" w:rsidRPr="003B4CDA" w:rsidRDefault="00C24E26" w:rsidP="00577A88">
            <w:pPr>
              <w:spacing w:before="40" w:after="40"/>
              <w:ind w:left="142"/>
              <w:rPr>
                <w:rFonts w:ascii="Segoe UI Light" w:hAnsi="Segoe UI Light"/>
                <w:sz w:val="16"/>
                <w:szCs w:val="20"/>
              </w:rPr>
            </w:pPr>
            <w:r w:rsidRPr="003B4CDA">
              <w:rPr>
                <w:rFonts w:ascii="Segoe UI Light" w:hAnsi="Segoe UI Light"/>
                <w:sz w:val="16"/>
                <w:szCs w:val="20"/>
              </w:rPr>
              <w:t>nodarbināto iedzīvotāju skaita izmaiņas, tūkstošos pret 20</w:t>
            </w:r>
            <w:r>
              <w:rPr>
                <w:rFonts w:ascii="Segoe UI Light" w:hAnsi="Segoe UI Light"/>
                <w:sz w:val="16"/>
                <w:szCs w:val="20"/>
              </w:rPr>
              <w:t>21</w:t>
            </w:r>
            <w:r w:rsidRPr="003B4CDA">
              <w:rPr>
                <w:rFonts w:ascii="Segoe UI Light" w:hAnsi="Segoe UI Light"/>
                <w:sz w:val="16"/>
                <w:szCs w:val="20"/>
              </w:rPr>
              <w:t>. gadu</w:t>
            </w:r>
          </w:p>
        </w:tc>
        <w:tc>
          <w:tcPr>
            <w:tcW w:w="369" w:type="pct"/>
            <w:shd w:val="clear" w:color="auto" w:fill="E5DFEC" w:themeFill="accent4" w:themeFillTint="33"/>
            <w:hideMark/>
          </w:tcPr>
          <w:p w14:paraId="481DCA3C" w14:textId="77777777" w:rsidR="00C24E26" w:rsidRPr="003B4CDA" w:rsidRDefault="00C24E26" w:rsidP="00577A88">
            <w:pPr>
              <w:spacing w:before="40" w:after="40"/>
              <w:jc w:val="center"/>
              <w:rPr>
                <w:rFonts w:ascii="Segoe UI Light" w:hAnsi="Segoe UI Light"/>
                <w:sz w:val="16"/>
                <w:szCs w:val="20"/>
              </w:rPr>
            </w:pPr>
            <w:r w:rsidRPr="003B4CDA">
              <w:rPr>
                <w:rFonts w:ascii="Segoe UI Light" w:hAnsi="Segoe UI Light"/>
                <w:sz w:val="16"/>
                <w:szCs w:val="20"/>
              </w:rPr>
              <w:t>–</w:t>
            </w:r>
          </w:p>
        </w:tc>
        <w:tc>
          <w:tcPr>
            <w:tcW w:w="472" w:type="pct"/>
            <w:shd w:val="clear" w:color="auto" w:fill="E5DFEC" w:themeFill="accent4" w:themeFillTint="33"/>
            <w:hideMark/>
          </w:tcPr>
          <w:p w14:paraId="39E44B8B"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26,1</w:t>
            </w:r>
          </w:p>
        </w:tc>
        <w:tc>
          <w:tcPr>
            <w:tcW w:w="469" w:type="pct"/>
            <w:shd w:val="clear" w:color="auto" w:fill="E5DFEC" w:themeFill="accent4" w:themeFillTint="33"/>
            <w:hideMark/>
          </w:tcPr>
          <w:p w14:paraId="0632F4FB"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14,</w:t>
            </w:r>
            <w:r>
              <w:rPr>
                <w:rFonts w:ascii="Segoe UI Light" w:hAnsi="Segoe UI Light"/>
                <w:sz w:val="16"/>
                <w:szCs w:val="20"/>
              </w:rPr>
              <w:t>8</w:t>
            </w:r>
          </w:p>
        </w:tc>
      </w:tr>
      <w:tr w:rsidR="00C24E26" w:rsidRPr="003B4CDA" w14:paraId="79275F7D" w14:textId="77777777" w:rsidTr="00577A88">
        <w:trPr>
          <w:trHeight w:val="20"/>
          <w:jc w:val="center"/>
        </w:trPr>
        <w:tc>
          <w:tcPr>
            <w:tcW w:w="3690" w:type="pct"/>
            <w:shd w:val="clear" w:color="auto" w:fill="CCC0D9" w:themeFill="accent4" w:themeFillTint="66"/>
            <w:hideMark/>
          </w:tcPr>
          <w:p w14:paraId="7E41943E" w14:textId="77777777" w:rsidR="00C24E26" w:rsidRPr="003B4CDA" w:rsidRDefault="00C24E26" w:rsidP="00577A88">
            <w:pPr>
              <w:spacing w:before="40" w:after="40"/>
              <w:ind w:left="142"/>
              <w:rPr>
                <w:rFonts w:ascii="Segoe UI Light" w:hAnsi="Segoe UI Light"/>
                <w:sz w:val="16"/>
                <w:szCs w:val="20"/>
              </w:rPr>
            </w:pPr>
            <w:r w:rsidRPr="003B4CDA">
              <w:rPr>
                <w:rFonts w:ascii="Segoe UI Light" w:hAnsi="Segoe UI Light"/>
                <w:sz w:val="16"/>
                <w:szCs w:val="20"/>
              </w:rPr>
              <w:t>nodarbināto iedzīvotāju skaita izmaiņas, procentos pret 20</w:t>
            </w:r>
            <w:r>
              <w:rPr>
                <w:rFonts w:ascii="Segoe UI Light" w:hAnsi="Segoe UI Light"/>
                <w:sz w:val="16"/>
                <w:szCs w:val="20"/>
              </w:rPr>
              <w:t>21</w:t>
            </w:r>
            <w:r w:rsidRPr="003B4CDA">
              <w:rPr>
                <w:rFonts w:ascii="Segoe UI Light" w:hAnsi="Segoe UI Light"/>
                <w:sz w:val="16"/>
                <w:szCs w:val="20"/>
              </w:rPr>
              <w:t>. gadu</w:t>
            </w:r>
          </w:p>
        </w:tc>
        <w:tc>
          <w:tcPr>
            <w:tcW w:w="369" w:type="pct"/>
            <w:shd w:val="clear" w:color="auto" w:fill="CCC0D9" w:themeFill="accent4" w:themeFillTint="66"/>
            <w:hideMark/>
          </w:tcPr>
          <w:p w14:paraId="34E1030A" w14:textId="77777777" w:rsidR="00C24E26" w:rsidRPr="003B4CDA" w:rsidRDefault="00C24E26" w:rsidP="00577A88">
            <w:pPr>
              <w:spacing w:before="40" w:after="40"/>
              <w:jc w:val="center"/>
              <w:rPr>
                <w:rFonts w:ascii="Segoe UI Light" w:hAnsi="Segoe UI Light"/>
                <w:sz w:val="16"/>
                <w:szCs w:val="20"/>
              </w:rPr>
            </w:pPr>
            <w:r w:rsidRPr="003B4CDA">
              <w:rPr>
                <w:rFonts w:ascii="Segoe UI Light" w:hAnsi="Segoe UI Light"/>
                <w:sz w:val="16"/>
                <w:szCs w:val="20"/>
              </w:rPr>
              <w:t>–</w:t>
            </w:r>
          </w:p>
        </w:tc>
        <w:tc>
          <w:tcPr>
            <w:tcW w:w="472" w:type="pct"/>
            <w:shd w:val="clear" w:color="auto" w:fill="CCC0D9" w:themeFill="accent4" w:themeFillTint="66"/>
            <w:hideMark/>
          </w:tcPr>
          <w:p w14:paraId="373E5B7E"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3,0</w:t>
            </w:r>
          </w:p>
        </w:tc>
        <w:tc>
          <w:tcPr>
            <w:tcW w:w="469" w:type="pct"/>
            <w:shd w:val="clear" w:color="auto" w:fill="CCC0D9" w:themeFill="accent4" w:themeFillTint="66"/>
            <w:hideMark/>
          </w:tcPr>
          <w:p w14:paraId="6E48C7D6"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1,</w:t>
            </w:r>
            <w:r>
              <w:rPr>
                <w:rFonts w:ascii="Segoe UI Light" w:hAnsi="Segoe UI Light"/>
                <w:sz w:val="16"/>
                <w:szCs w:val="20"/>
              </w:rPr>
              <w:t>7</w:t>
            </w:r>
          </w:p>
        </w:tc>
      </w:tr>
      <w:tr w:rsidR="00C24E26" w:rsidRPr="003B4CDA" w14:paraId="23532D54" w14:textId="77777777" w:rsidTr="00577A88">
        <w:trPr>
          <w:cnfStyle w:val="000000100000" w:firstRow="0" w:lastRow="0" w:firstColumn="0" w:lastColumn="0" w:oddVBand="0" w:evenVBand="0" w:oddHBand="1" w:evenHBand="0" w:firstRowFirstColumn="0" w:firstRowLastColumn="0" w:lastRowFirstColumn="0" w:lastRowLastColumn="0"/>
          <w:trHeight w:val="20"/>
          <w:jc w:val="center"/>
        </w:trPr>
        <w:tc>
          <w:tcPr>
            <w:tcW w:w="3690" w:type="pct"/>
            <w:shd w:val="clear" w:color="auto" w:fill="E5DFEC" w:themeFill="accent4" w:themeFillTint="33"/>
            <w:hideMark/>
          </w:tcPr>
          <w:p w14:paraId="76873D43"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Ekonomiski aktīvo iedzīvotāju skaits, tūkstošos</w:t>
            </w:r>
          </w:p>
        </w:tc>
        <w:tc>
          <w:tcPr>
            <w:tcW w:w="369" w:type="pct"/>
            <w:shd w:val="clear" w:color="auto" w:fill="E5DFEC" w:themeFill="accent4" w:themeFillTint="33"/>
            <w:hideMark/>
          </w:tcPr>
          <w:p w14:paraId="3D46211C"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934,6</w:t>
            </w:r>
          </w:p>
        </w:tc>
        <w:tc>
          <w:tcPr>
            <w:tcW w:w="472" w:type="pct"/>
            <w:shd w:val="clear" w:color="auto" w:fill="E5DFEC" w:themeFill="accent4" w:themeFillTint="33"/>
            <w:hideMark/>
          </w:tcPr>
          <w:p w14:paraId="46710D0F"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942,8</w:t>
            </w:r>
          </w:p>
        </w:tc>
        <w:tc>
          <w:tcPr>
            <w:tcW w:w="469" w:type="pct"/>
            <w:shd w:val="clear" w:color="auto" w:fill="E5DFEC" w:themeFill="accent4" w:themeFillTint="33"/>
            <w:hideMark/>
          </w:tcPr>
          <w:p w14:paraId="7A0EC2C6"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9</w:t>
            </w:r>
            <w:r>
              <w:rPr>
                <w:rFonts w:ascii="Segoe UI Light" w:hAnsi="Segoe UI Light"/>
                <w:sz w:val="16"/>
                <w:szCs w:val="20"/>
              </w:rPr>
              <w:t>24</w:t>
            </w:r>
            <w:r w:rsidRPr="003B4CDA">
              <w:rPr>
                <w:rFonts w:ascii="Segoe UI Light" w:hAnsi="Segoe UI Light"/>
                <w:sz w:val="16"/>
                <w:szCs w:val="20"/>
              </w:rPr>
              <w:t>,</w:t>
            </w:r>
            <w:r>
              <w:rPr>
                <w:rFonts w:ascii="Segoe UI Light" w:hAnsi="Segoe UI Light"/>
                <w:sz w:val="16"/>
                <w:szCs w:val="20"/>
              </w:rPr>
              <w:t>6</w:t>
            </w:r>
          </w:p>
        </w:tc>
      </w:tr>
      <w:tr w:rsidR="00C24E26" w:rsidRPr="003B4CDA" w14:paraId="5B7008BD" w14:textId="77777777" w:rsidTr="00577A88">
        <w:trPr>
          <w:trHeight w:val="20"/>
          <w:jc w:val="center"/>
        </w:trPr>
        <w:tc>
          <w:tcPr>
            <w:tcW w:w="3690" w:type="pct"/>
            <w:shd w:val="clear" w:color="auto" w:fill="CCC0D9" w:themeFill="accent4" w:themeFillTint="66"/>
            <w:hideMark/>
          </w:tcPr>
          <w:p w14:paraId="48FEABAF"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Darba meklētāju skaits, tūkstošos</w:t>
            </w:r>
          </w:p>
        </w:tc>
        <w:tc>
          <w:tcPr>
            <w:tcW w:w="369" w:type="pct"/>
            <w:shd w:val="clear" w:color="auto" w:fill="CCC0D9" w:themeFill="accent4" w:themeFillTint="66"/>
            <w:hideMark/>
          </w:tcPr>
          <w:p w14:paraId="6D0D2CF1"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70,6</w:t>
            </w:r>
          </w:p>
        </w:tc>
        <w:tc>
          <w:tcPr>
            <w:tcW w:w="472" w:type="pct"/>
            <w:shd w:val="clear" w:color="auto" w:fill="CCC0D9" w:themeFill="accent4" w:themeFillTint="66"/>
            <w:hideMark/>
          </w:tcPr>
          <w:p w14:paraId="2D82079F" w14:textId="77777777" w:rsidR="00C24E26" w:rsidRPr="003B4CDA" w:rsidRDefault="00C24E26" w:rsidP="00577A88">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52,</w:t>
            </w:r>
            <w:r>
              <w:rPr>
                <w:rFonts w:ascii="Segoe UI Light" w:hAnsi="Segoe UI Light"/>
                <w:sz w:val="16"/>
                <w:szCs w:val="20"/>
              </w:rPr>
              <w:t>6</w:t>
            </w:r>
          </w:p>
        </w:tc>
        <w:tc>
          <w:tcPr>
            <w:tcW w:w="469" w:type="pct"/>
            <w:shd w:val="clear" w:color="auto" w:fill="CCC0D9" w:themeFill="accent4" w:themeFillTint="66"/>
            <w:hideMark/>
          </w:tcPr>
          <w:p w14:paraId="706B3227"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4</w:t>
            </w:r>
            <w:r>
              <w:rPr>
                <w:rFonts w:ascii="Segoe UI Light" w:hAnsi="Segoe UI Light"/>
                <w:sz w:val="16"/>
                <w:szCs w:val="20"/>
              </w:rPr>
              <w:t>5</w:t>
            </w:r>
            <w:r w:rsidRPr="003B4CDA">
              <w:rPr>
                <w:rFonts w:ascii="Segoe UI Light" w:hAnsi="Segoe UI Light"/>
                <w:sz w:val="16"/>
                <w:szCs w:val="20"/>
              </w:rPr>
              <w:t>,8</w:t>
            </w:r>
          </w:p>
        </w:tc>
      </w:tr>
      <w:tr w:rsidR="00C24E26" w:rsidRPr="003B4CDA" w14:paraId="67DEF5C8" w14:textId="77777777" w:rsidTr="00577A88">
        <w:trPr>
          <w:cnfStyle w:val="000000100000" w:firstRow="0" w:lastRow="0" w:firstColumn="0" w:lastColumn="0" w:oddVBand="0" w:evenVBand="0" w:oddHBand="1" w:evenHBand="0" w:firstRowFirstColumn="0" w:firstRowLastColumn="0" w:lastRowFirstColumn="0" w:lastRowLastColumn="0"/>
          <w:trHeight w:val="20"/>
          <w:jc w:val="center"/>
        </w:trPr>
        <w:tc>
          <w:tcPr>
            <w:tcW w:w="3690" w:type="pct"/>
            <w:shd w:val="clear" w:color="auto" w:fill="E5DFEC" w:themeFill="accent4" w:themeFillTint="33"/>
            <w:hideMark/>
          </w:tcPr>
          <w:p w14:paraId="740C1D30"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Nodarbinātības līmenis, nodarbināto skaits pret kopējo iedzīvotāju skaitu</w:t>
            </w:r>
          </w:p>
        </w:tc>
        <w:tc>
          <w:tcPr>
            <w:tcW w:w="369" w:type="pct"/>
            <w:shd w:val="clear" w:color="auto" w:fill="E5DFEC" w:themeFill="accent4" w:themeFillTint="33"/>
            <w:hideMark/>
          </w:tcPr>
          <w:p w14:paraId="0FC8B52C"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62,5</w:t>
            </w:r>
          </w:p>
        </w:tc>
        <w:tc>
          <w:tcPr>
            <w:tcW w:w="472" w:type="pct"/>
            <w:shd w:val="clear" w:color="auto" w:fill="E5DFEC" w:themeFill="accent4" w:themeFillTint="33"/>
            <w:hideMark/>
          </w:tcPr>
          <w:p w14:paraId="21DB20D8"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68,0</w:t>
            </w:r>
          </w:p>
        </w:tc>
        <w:tc>
          <w:tcPr>
            <w:tcW w:w="469" w:type="pct"/>
            <w:shd w:val="clear" w:color="auto" w:fill="E5DFEC" w:themeFill="accent4" w:themeFillTint="33"/>
            <w:hideMark/>
          </w:tcPr>
          <w:p w14:paraId="6E87B95C" w14:textId="77777777" w:rsidR="00C24E26" w:rsidRPr="003B4CDA" w:rsidRDefault="00C24E26" w:rsidP="00577A88">
            <w:pPr>
              <w:tabs>
                <w:tab w:val="decimal" w:pos="452"/>
              </w:tabs>
              <w:spacing w:before="40" w:after="40"/>
              <w:jc w:val="center"/>
              <w:rPr>
                <w:rFonts w:ascii="Segoe UI Light" w:hAnsi="Segoe UI Light"/>
                <w:sz w:val="16"/>
                <w:szCs w:val="20"/>
              </w:rPr>
            </w:pPr>
            <w:r>
              <w:rPr>
                <w:rFonts w:ascii="Segoe UI Light" w:hAnsi="Segoe UI Light"/>
                <w:sz w:val="16"/>
                <w:szCs w:val="20"/>
              </w:rPr>
              <w:t>70,3</w:t>
            </w:r>
          </w:p>
        </w:tc>
      </w:tr>
      <w:tr w:rsidR="00C24E26" w:rsidRPr="003B4CDA" w14:paraId="22092F8A" w14:textId="77777777" w:rsidTr="00577A88">
        <w:trPr>
          <w:trHeight w:val="20"/>
          <w:jc w:val="center"/>
        </w:trPr>
        <w:tc>
          <w:tcPr>
            <w:tcW w:w="3690" w:type="pct"/>
            <w:shd w:val="clear" w:color="auto" w:fill="CCC0D9" w:themeFill="accent4" w:themeFillTint="66"/>
            <w:hideMark/>
          </w:tcPr>
          <w:p w14:paraId="6F87E121"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Līdzdalības līmenis, ekonomiski aktīvo iedzīvotāju skaits pret kopējo iedzīvotāju skaitu</w:t>
            </w:r>
          </w:p>
        </w:tc>
        <w:tc>
          <w:tcPr>
            <w:tcW w:w="369" w:type="pct"/>
            <w:shd w:val="clear" w:color="auto" w:fill="CCC0D9" w:themeFill="accent4" w:themeFillTint="66"/>
            <w:hideMark/>
          </w:tcPr>
          <w:p w14:paraId="4AD4A945"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67,7</w:t>
            </w:r>
          </w:p>
        </w:tc>
        <w:tc>
          <w:tcPr>
            <w:tcW w:w="472" w:type="pct"/>
            <w:shd w:val="clear" w:color="auto" w:fill="CCC0D9" w:themeFill="accent4" w:themeFillTint="66"/>
            <w:hideMark/>
          </w:tcPr>
          <w:p w14:paraId="5B6EA6B0" w14:textId="77777777" w:rsidR="00C24E26" w:rsidRPr="003B4CDA" w:rsidRDefault="00C24E26" w:rsidP="00577A88">
            <w:pPr>
              <w:tabs>
                <w:tab w:val="decimal" w:pos="472"/>
              </w:tabs>
              <w:spacing w:before="40" w:after="40"/>
              <w:jc w:val="center"/>
              <w:rPr>
                <w:rFonts w:ascii="Segoe UI Light" w:hAnsi="Segoe UI Light"/>
                <w:sz w:val="16"/>
                <w:szCs w:val="20"/>
              </w:rPr>
            </w:pPr>
            <w:r>
              <w:rPr>
                <w:rFonts w:ascii="Segoe UI Light" w:hAnsi="Segoe UI Light"/>
                <w:sz w:val="16"/>
                <w:szCs w:val="20"/>
              </w:rPr>
              <w:t>72,0</w:t>
            </w:r>
          </w:p>
        </w:tc>
        <w:tc>
          <w:tcPr>
            <w:tcW w:w="469" w:type="pct"/>
            <w:shd w:val="clear" w:color="auto" w:fill="CCC0D9" w:themeFill="accent4" w:themeFillTint="66"/>
            <w:hideMark/>
          </w:tcPr>
          <w:p w14:paraId="3EFD99FC"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74,0</w:t>
            </w:r>
          </w:p>
        </w:tc>
      </w:tr>
      <w:tr w:rsidR="00C24E26" w:rsidRPr="003B4CDA" w14:paraId="43FC6BAD" w14:textId="77777777" w:rsidTr="00577A88">
        <w:trPr>
          <w:cnfStyle w:val="000000100000" w:firstRow="0" w:lastRow="0" w:firstColumn="0" w:lastColumn="0" w:oddVBand="0" w:evenVBand="0" w:oddHBand="1" w:evenHBand="0" w:firstRowFirstColumn="0" w:firstRowLastColumn="0" w:lastRowFirstColumn="0" w:lastRowLastColumn="0"/>
          <w:trHeight w:val="20"/>
          <w:jc w:val="center"/>
        </w:trPr>
        <w:tc>
          <w:tcPr>
            <w:tcW w:w="3690" w:type="pct"/>
            <w:shd w:val="clear" w:color="auto" w:fill="E5DFEC" w:themeFill="accent4" w:themeFillTint="33"/>
            <w:hideMark/>
          </w:tcPr>
          <w:p w14:paraId="5571968D" w14:textId="77777777" w:rsidR="00C24E26" w:rsidRPr="003B4CDA" w:rsidRDefault="00C24E26" w:rsidP="00577A88">
            <w:pPr>
              <w:spacing w:before="40" w:after="40"/>
              <w:rPr>
                <w:rFonts w:ascii="Segoe UI Light" w:hAnsi="Segoe UI Light"/>
                <w:sz w:val="16"/>
                <w:szCs w:val="20"/>
              </w:rPr>
            </w:pPr>
            <w:r w:rsidRPr="003B4CDA">
              <w:rPr>
                <w:rFonts w:ascii="Segoe UI Light" w:hAnsi="Segoe UI Light"/>
                <w:sz w:val="16"/>
                <w:szCs w:val="20"/>
              </w:rPr>
              <w:t>Bezdarba līmenis, bezdarbnieku (darba meklētāju) īpatsvars ekonomiski aktīvo iedzīvotāju skaitā</w:t>
            </w:r>
          </w:p>
        </w:tc>
        <w:tc>
          <w:tcPr>
            <w:tcW w:w="369" w:type="pct"/>
            <w:shd w:val="clear" w:color="auto" w:fill="E5DFEC" w:themeFill="accent4" w:themeFillTint="33"/>
            <w:hideMark/>
          </w:tcPr>
          <w:p w14:paraId="01A97BC3" w14:textId="77777777" w:rsidR="00C24E26" w:rsidRPr="003B4CDA" w:rsidRDefault="00C24E26" w:rsidP="00577A88">
            <w:pPr>
              <w:spacing w:before="40" w:after="40"/>
              <w:jc w:val="center"/>
              <w:rPr>
                <w:rFonts w:ascii="Segoe UI Light" w:hAnsi="Segoe UI Light"/>
                <w:sz w:val="16"/>
                <w:szCs w:val="20"/>
              </w:rPr>
            </w:pPr>
            <w:r>
              <w:rPr>
                <w:rFonts w:ascii="Segoe UI Light" w:hAnsi="Segoe UI Light"/>
                <w:sz w:val="16"/>
                <w:szCs w:val="20"/>
              </w:rPr>
              <w:t>7,6</w:t>
            </w:r>
          </w:p>
        </w:tc>
        <w:tc>
          <w:tcPr>
            <w:tcW w:w="472" w:type="pct"/>
            <w:shd w:val="clear" w:color="auto" w:fill="E5DFEC" w:themeFill="accent4" w:themeFillTint="33"/>
            <w:hideMark/>
          </w:tcPr>
          <w:p w14:paraId="5DFDA7D4" w14:textId="77777777" w:rsidR="00C24E26" w:rsidRPr="003B4CDA" w:rsidRDefault="00C24E26" w:rsidP="00577A88">
            <w:pPr>
              <w:tabs>
                <w:tab w:val="decimal" w:pos="472"/>
              </w:tabs>
              <w:spacing w:before="40" w:after="40"/>
              <w:jc w:val="center"/>
              <w:rPr>
                <w:rFonts w:ascii="Segoe UI Light" w:hAnsi="Segoe UI Light"/>
                <w:sz w:val="16"/>
                <w:szCs w:val="20"/>
              </w:rPr>
            </w:pPr>
            <w:r w:rsidRPr="003B4CDA">
              <w:rPr>
                <w:rFonts w:ascii="Segoe UI Light" w:hAnsi="Segoe UI Light"/>
                <w:sz w:val="16"/>
                <w:szCs w:val="20"/>
              </w:rPr>
              <w:t>5,</w:t>
            </w:r>
            <w:r>
              <w:rPr>
                <w:rFonts w:ascii="Segoe UI Light" w:hAnsi="Segoe UI Light"/>
                <w:sz w:val="16"/>
                <w:szCs w:val="20"/>
              </w:rPr>
              <w:t>6</w:t>
            </w:r>
          </w:p>
        </w:tc>
        <w:tc>
          <w:tcPr>
            <w:tcW w:w="469" w:type="pct"/>
            <w:shd w:val="clear" w:color="auto" w:fill="E5DFEC" w:themeFill="accent4" w:themeFillTint="33"/>
            <w:hideMark/>
          </w:tcPr>
          <w:p w14:paraId="671C4E80" w14:textId="77777777" w:rsidR="00C24E26" w:rsidRPr="003B4CDA" w:rsidRDefault="00C24E26" w:rsidP="00577A88">
            <w:pPr>
              <w:tabs>
                <w:tab w:val="decimal" w:pos="452"/>
              </w:tabs>
              <w:spacing w:before="40" w:after="40"/>
              <w:jc w:val="center"/>
              <w:rPr>
                <w:rFonts w:ascii="Segoe UI Light" w:hAnsi="Segoe UI Light"/>
                <w:sz w:val="16"/>
                <w:szCs w:val="20"/>
              </w:rPr>
            </w:pPr>
            <w:r w:rsidRPr="003B4CDA">
              <w:rPr>
                <w:rFonts w:ascii="Segoe UI Light" w:hAnsi="Segoe UI Light"/>
                <w:sz w:val="16"/>
                <w:szCs w:val="20"/>
              </w:rPr>
              <w:t>5,0</w:t>
            </w:r>
          </w:p>
        </w:tc>
      </w:tr>
    </w:tbl>
    <w:p w14:paraId="45BBAA42" w14:textId="77777777" w:rsidR="00C24E26" w:rsidRPr="003000D9" w:rsidRDefault="00C24E26" w:rsidP="00C24E26">
      <w:pPr>
        <w:spacing w:before="120"/>
        <w:jc w:val="both"/>
        <w:rPr>
          <w:rFonts w:cs="Calibri Light"/>
          <w:sz w:val="12"/>
          <w:szCs w:val="10"/>
        </w:rPr>
      </w:pPr>
      <w:r w:rsidRPr="003000D9">
        <w:rPr>
          <w:rFonts w:cs="Calibri Light"/>
          <w:sz w:val="12"/>
          <w:szCs w:val="10"/>
        </w:rPr>
        <w:t>Avots: CSP dati 2021. gadam, EM prognozes 2030. un 2040. gadam</w:t>
      </w:r>
    </w:p>
    <w:p w14:paraId="628B9719" w14:textId="06C62312" w:rsidR="0016645F" w:rsidRPr="003B4CDA" w:rsidRDefault="00C24E26" w:rsidP="00C24E26">
      <w:pPr>
        <w:rPr>
          <w:b/>
          <w:szCs w:val="20"/>
        </w:rPr>
      </w:pPr>
      <w:r>
        <w:rPr>
          <w:b/>
          <w:szCs w:val="20"/>
        </w:rPr>
        <w:br/>
      </w:r>
      <w:r w:rsidR="0016645F" w:rsidRPr="003B4CDA">
        <w:rPr>
          <w:b/>
          <w:szCs w:val="20"/>
        </w:rPr>
        <w:t>Atbilstība pa izglītības tematiskajām grupām</w:t>
      </w:r>
    </w:p>
    <w:p w14:paraId="20307A98" w14:textId="77777777" w:rsidR="0016645F" w:rsidRPr="003B4CDA" w:rsidRDefault="0016645F" w:rsidP="0016645F">
      <w:pPr>
        <w:jc w:val="both"/>
        <w:rPr>
          <w:szCs w:val="20"/>
        </w:rPr>
      </w:pPr>
      <w:r w:rsidRPr="003B4CDA">
        <w:rPr>
          <w:szCs w:val="20"/>
        </w:rPr>
        <w:t>Līdz 2040. gadam darbaspēka pieprasījums turpinās pārkārtoties par labu pieprasījumam pēc speciālistiem ar augstāko izglītību. Līdzīgas tendences būs vērojamas arī piedāvājuma pusē. Vienlaikus darbaspēka pieprasījuma un piedāvājuma attiecība nebūs vienlīdz vienāda visos izglītības segmentos.</w:t>
      </w:r>
    </w:p>
    <w:p w14:paraId="7EDBCAE5" w14:textId="3E61E03A" w:rsidR="0016645F" w:rsidRPr="003B4CDA" w:rsidRDefault="094D5FF8" w:rsidP="0016645F">
      <w:pPr>
        <w:jc w:val="both"/>
      </w:pPr>
      <w:r>
        <w:t xml:space="preserve">Kopumā gan vidējā, gan ilgtermiņā augstākās kvalifikācijas darbaspēka pieprasījums un piedāvājums būs tuvu līdzsvaram, kas nozīmē, ka manevra iespējas attiecībā uz augstākās kvalifikācijas darbaspēka piesaisti būs stipri ierobežotas. Tāpat izteiktāka nepietiekamība būs vērojama pēc speciālistiem ar profesionālo izglītību. Līdz 2030. gadam plaisa starp darbaspēka pieprasījumu un piedāvājumu ar profesionālo izglītību varētu palielināties līdz 69 tūkst. speciālistu. Līdz ar to, daļā no vidējās kvalifikācijas darbavietu var nākties piesaistīt darbaspēku bez </w:t>
      </w:r>
      <w:r>
        <w:lastRenderedPageBreak/>
        <w:t>profesionālās kvalifikācijas – ar vidējo vispārējo izglītību vai pamatizglītību, kas kopumā var samazināt katras individuālās darbavietas summāro pienesumu pievienoto vērtību ķēdē.</w:t>
      </w:r>
    </w:p>
    <w:p w14:paraId="51039D70" w14:textId="1FEAA778" w:rsidR="0016645F" w:rsidRPr="008832C3" w:rsidRDefault="0016645F" w:rsidP="0016645F">
      <w:pPr>
        <w:jc w:val="right"/>
        <w:rPr>
          <w:szCs w:val="26"/>
        </w:rPr>
      </w:pPr>
      <w:r w:rsidRPr="008832C3">
        <w:rPr>
          <w:szCs w:val="26"/>
        </w:rPr>
        <w:t>3.1</w:t>
      </w:r>
      <w:r w:rsidR="001179C2">
        <w:rPr>
          <w:szCs w:val="26"/>
        </w:rPr>
        <w:t>3</w:t>
      </w:r>
      <w:r w:rsidRPr="008832C3">
        <w:rPr>
          <w:szCs w:val="26"/>
        </w:rPr>
        <w:t>. attēls</w:t>
      </w:r>
    </w:p>
    <w:p w14:paraId="12BBC169" w14:textId="77777777" w:rsidR="0016645F" w:rsidRPr="008832C3" w:rsidRDefault="0016645F" w:rsidP="00C24E26">
      <w:pPr>
        <w:spacing w:after="0"/>
        <w:jc w:val="center"/>
        <w:rPr>
          <w:rFonts w:ascii="Segoe UI Light" w:hAnsi="Segoe UI Light"/>
          <w:b/>
          <w:sz w:val="18"/>
          <w:szCs w:val="26"/>
        </w:rPr>
      </w:pPr>
      <w:r w:rsidRPr="008832C3">
        <w:rPr>
          <w:rFonts w:ascii="Segoe UI Light" w:hAnsi="Segoe UI Light"/>
          <w:b/>
          <w:sz w:val="18"/>
          <w:szCs w:val="26"/>
        </w:rPr>
        <w:t>Prognozējamais darbaspēka pārpalikums/iztrūkums un absolventu skaits pa izglītības posmiem un jomām</w:t>
      </w:r>
    </w:p>
    <w:p w14:paraId="47F785F4" w14:textId="463A140E" w:rsidR="0016645F" w:rsidRDefault="0016645F" w:rsidP="0016645F">
      <w:pPr>
        <w:jc w:val="center"/>
        <w:rPr>
          <w:rFonts w:ascii="Segoe UI Light" w:hAnsi="Segoe UI Light"/>
          <w:i/>
          <w:sz w:val="16"/>
          <w:szCs w:val="26"/>
        </w:rPr>
      </w:pPr>
      <w:r w:rsidRPr="008832C3">
        <w:rPr>
          <w:rFonts w:ascii="Segoe UI Light" w:hAnsi="Segoe UI Light"/>
          <w:i/>
          <w:sz w:val="16"/>
          <w:szCs w:val="26"/>
        </w:rPr>
        <w:t>piedāvājuma un pieprasījuma starpība 2030. gadā, absolventu skaits 2021. gadā</w:t>
      </w:r>
    </w:p>
    <w:p w14:paraId="04279FA0" w14:textId="129B07AD" w:rsidR="008832C3" w:rsidRPr="003B4CDA" w:rsidRDefault="00F86D80" w:rsidP="4398C881">
      <w:pPr>
        <w:jc w:val="center"/>
        <w:rPr>
          <w:szCs w:val="20"/>
        </w:rPr>
      </w:pPr>
      <w:r>
        <w:rPr>
          <w:noProof/>
          <w:szCs w:val="20"/>
        </w:rPr>
        <w:drawing>
          <wp:inline distT="0" distB="0" distL="0" distR="0" wp14:anchorId="224FD1AD" wp14:editId="38F1DFE3">
            <wp:extent cx="5653773" cy="3230245"/>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670291" cy="3239682"/>
                    </a:xfrm>
                    <a:prstGeom prst="rect">
                      <a:avLst/>
                    </a:prstGeom>
                    <a:noFill/>
                  </pic:spPr>
                </pic:pic>
              </a:graphicData>
            </a:graphic>
          </wp:inline>
        </w:drawing>
      </w:r>
    </w:p>
    <w:p w14:paraId="40751283" w14:textId="7DBC97A9" w:rsidR="008832C3" w:rsidRPr="003A6537" w:rsidRDefault="008832C3" w:rsidP="00C24E26">
      <w:pPr>
        <w:rPr>
          <w:rFonts w:cs="Calibri Light"/>
          <w:sz w:val="12"/>
          <w:szCs w:val="10"/>
        </w:rPr>
      </w:pPr>
      <w:bookmarkStart w:id="73" w:name="_Hlk40692966"/>
      <w:r w:rsidRPr="003A6537">
        <w:rPr>
          <w:rFonts w:cs="Calibri Light"/>
          <w:sz w:val="12"/>
          <w:szCs w:val="10"/>
        </w:rPr>
        <w:t>*</w:t>
      </w:r>
      <w:r w:rsidR="006E4124" w:rsidRPr="003A6537">
        <w:rPr>
          <w:rFonts w:cs="Calibri Light"/>
          <w:sz w:val="12"/>
          <w:szCs w:val="10"/>
        </w:rPr>
        <w:t> </w:t>
      </w:r>
      <w:r w:rsidRPr="003A6537">
        <w:rPr>
          <w:rFonts w:cs="Calibri Light"/>
          <w:sz w:val="12"/>
          <w:szCs w:val="10"/>
        </w:rPr>
        <w:t>EM novērtējums, no 2020.</w:t>
      </w:r>
      <w:r w:rsidR="006E4124" w:rsidRPr="003A6537">
        <w:rPr>
          <w:rFonts w:cs="Calibri Light"/>
          <w:sz w:val="12"/>
          <w:szCs w:val="10"/>
        </w:rPr>
        <w:t> </w:t>
      </w:r>
      <w:r w:rsidRPr="003A6537">
        <w:rPr>
          <w:rFonts w:cs="Calibri Light"/>
          <w:sz w:val="12"/>
          <w:szCs w:val="10"/>
        </w:rPr>
        <w:t>gadā beigušu skaita.</w:t>
      </w:r>
      <w:r w:rsidR="003A6537">
        <w:rPr>
          <w:rFonts w:cs="Calibri Light"/>
          <w:sz w:val="12"/>
          <w:szCs w:val="10"/>
        </w:rPr>
        <w:br/>
      </w:r>
      <w:r w:rsidR="0016645F" w:rsidRPr="003A6537">
        <w:rPr>
          <w:rFonts w:cs="Calibri Light"/>
          <w:sz w:val="12"/>
          <w:szCs w:val="10"/>
        </w:rPr>
        <w:t>Avots: CSP dati 2021. gadam, EM prognozes 2030. gadam</w:t>
      </w:r>
    </w:p>
    <w:p w14:paraId="596450A8" w14:textId="2F3DCCAC" w:rsidR="0016645F" w:rsidRDefault="00C24E26" w:rsidP="0016645F">
      <w:pPr>
        <w:jc w:val="both"/>
      </w:pPr>
      <w:r>
        <w:br/>
      </w:r>
      <w:r w:rsidR="094D5FF8">
        <w:t xml:space="preserve">Vienlaikus būtisks darbaspēka pārpalikums sagaidāms ar vispārējo vidējo izglītību un pamatizglītību. Šādas kvalifikācijas darbaspēka pārpalikums līdz 2030. gadam varētu sasniegt </w:t>
      </w:r>
      <w:r w:rsidR="00F86D80">
        <w:t xml:space="preserve">gandrīz </w:t>
      </w:r>
      <w:r w:rsidR="094D5FF8">
        <w:t>96 tūkst. (34 tūkst. ar vidējo vispārējo izglītību un 62 tūkst. ar pamatizglītību). Darbaspēka pārpalikumu šajās grupās lielā mērā noteiks atbilstošās kvalifikācijas darbaspēka pieprasījuma samazināšanās – arvien vairāk vienkāršas profesijas un manuālie darbi tiks aizvietoti ar dažādiem tehnoloģiskiem risinājumiem. Tāpat sagaidāms, ka vidējā termiņā palielināsies darbaspēka piedāvājums ar pamatizglītību un zemāku izglītības līmeni, līdz ar to pusei no šiem cilvēkiem 2030. gadā varētu būt problēmas atrast piemērotu darbu un iekļauties darba tirgū.</w:t>
      </w:r>
    </w:p>
    <w:p w14:paraId="75C18227" w14:textId="77777777" w:rsidR="00043D23" w:rsidRDefault="00043D23">
      <w:pPr>
        <w:spacing w:after="0"/>
        <w:rPr>
          <w:szCs w:val="26"/>
        </w:rPr>
      </w:pPr>
      <w:r>
        <w:rPr>
          <w:szCs w:val="26"/>
        </w:rPr>
        <w:br w:type="page"/>
      </w:r>
    </w:p>
    <w:p w14:paraId="1052A589" w14:textId="2F0E5AD5" w:rsidR="0016645F" w:rsidRPr="003B4CDA" w:rsidRDefault="0016645F" w:rsidP="0016645F">
      <w:pPr>
        <w:jc w:val="right"/>
        <w:rPr>
          <w:szCs w:val="26"/>
        </w:rPr>
      </w:pPr>
      <w:r w:rsidRPr="003B4CDA">
        <w:rPr>
          <w:szCs w:val="26"/>
        </w:rPr>
        <w:lastRenderedPageBreak/>
        <w:t>3.1</w:t>
      </w:r>
      <w:r w:rsidR="001179C2">
        <w:rPr>
          <w:szCs w:val="26"/>
        </w:rPr>
        <w:t>4</w:t>
      </w:r>
      <w:r w:rsidRPr="003B4CDA">
        <w:rPr>
          <w:szCs w:val="26"/>
        </w:rPr>
        <w:t>. attēls</w:t>
      </w:r>
    </w:p>
    <w:bookmarkEnd w:id="73"/>
    <w:p w14:paraId="4DA5261A" w14:textId="77777777" w:rsidR="0016645F" w:rsidRPr="003B4CDA" w:rsidRDefault="0016645F" w:rsidP="0016645F">
      <w:pPr>
        <w:jc w:val="center"/>
        <w:rPr>
          <w:rFonts w:ascii="Segoe UI Light" w:hAnsi="Segoe UI Light"/>
          <w:i/>
          <w:sz w:val="16"/>
          <w:szCs w:val="26"/>
        </w:rPr>
      </w:pPr>
      <w:r w:rsidRPr="003B4CDA">
        <w:rPr>
          <w:rFonts w:ascii="Segoe UI Light" w:hAnsi="Segoe UI Light"/>
          <w:b/>
          <w:sz w:val="18"/>
          <w:szCs w:val="26"/>
        </w:rPr>
        <w:t>Darbaspēka pietiekamība pa izglītības līmeņiem</w:t>
      </w:r>
      <w:r w:rsidRPr="003B4CDA">
        <w:rPr>
          <w:rFonts w:ascii="Segoe UI Light" w:hAnsi="Segoe UI Light"/>
          <w:b/>
          <w:sz w:val="18"/>
          <w:szCs w:val="26"/>
        </w:rPr>
        <w:br/>
      </w:r>
      <w:r w:rsidRPr="003B4CDA">
        <w:rPr>
          <w:rFonts w:ascii="Segoe UI Light" w:hAnsi="Segoe UI Light"/>
          <w:i/>
          <w:sz w:val="16"/>
          <w:szCs w:val="26"/>
        </w:rPr>
        <w:t>piedāvājuma un pieprasījuma attiecība 20</w:t>
      </w:r>
      <w:r>
        <w:rPr>
          <w:rFonts w:ascii="Segoe UI Light" w:hAnsi="Segoe UI Light"/>
          <w:i/>
          <w:sz w:val="16"/>
          <w:szCs w:val="26"/>
        </w:rPr>
        <w:t>30</w:t>
      </w:r>
      <w:r w:rsidRPr="003B4CDA">
        <w:rPr>
          <w:rFonts w:ascii="Segoe UI Light" w:hAnsi="Segoe UI Light"/>
          <w:i/>
          <w:sz w:val="16"/>
          <w:szCs w:val="26"/>
        </w:rPr>
        <w:t>. gadā, procentos pieprasījums pret piedāvājumu</w:t>
      </w:r>
    </w:p>
    <w:p w14:paraId="53B3892A" w14:textId="77777777" w:rsidR="0016645F" w:rsidRPr="003B4CDA" w:rsidRDefault="0016645F" w:rsidP="0016645F">
      <w:pPr>
        <w:jc w:val="center"/>
        <w:rPr>
          <w:bCs/>
          <w:iCs/>
          <w:sz w:val="18"/>
          <w:szCs w:val="26"/>
        </w:rPr>
      </w:pPr>
      <w:r w:rsidRPr="003B4CDA">
        <w:rPr>
          <w:bCs/>
          <w:iCs/>
          <w:noProof/>
          <w:sz w:val="18"/>
          <w:szCs w:val="26"/>
          <w:lang w:eastAsia="lv-LV"/>
        </w:rPr>
        <w:drawing>
          <wp:inline distT="0" distB="0" distL="0" distR="0" wp14:anchorId="0725F146" wp14:editId="55A5C865">
            <wp:extent cx="4319905" cy="2009775"/>
            <wp:effectExtent l="0" t="0" r="444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4273A034" w14:textId="77777777" w:rsidR="0016645F" w:rsidRPr="003B4CDA" w:rsidRDefault="0016645F" w:rsidP="0016645F">
      <w:pPr>
        <w:tabs>
          <w:tab w:val="center" w:pos="2268"/>
          <w:tab w:val="center" w:pos="6804"/>
        </w:tabs>
        <w:rPr>
          <w:rFonts w:ascii="Segoe UI Light" w:hAnsi="Segoe UI Light"/>
          <w:bCs/>
          <w:i/>
          <w:iCs/>
          <w:sz w:val="16"/>
          <w:szCs w:val="26"/>
        </w:rPr>
      </w:pPr>
      <w:r w:rsidRPr="003B4CDA">
        <w:rPr>
          <w:rFonts w:ascii="Segoe UI Light" w:hAnsi="Segoe UI Light"/>
          <w:bCs/>
          <w:iCs/>
          <w:sz w:val="16"/>
          <w:szCs w:val="26"/>
        </w:rPr>
        <w:tab/>
        <w:t>Augstākā izglītība</w:t>
      </w:r>
      <w:r w:rsidRPr="003B4CDA">
        <w:rPr>
          <w:rFonts w:ascii="Segoe UI Light" w:hAnsi="Segoe UI Light"/>
          <w:bCs/>
          <w:iCs/>
          <w:sz w:val="16"/>
          <w:szCs w:val="26"/>
        </w:rPr>
        <w:tab/>
        <w:t>Profesionālā vidējā izglītība</w:t>
      </w:r>
      <w:r w:rsidRPr="003B4CDA">
        <w:rPr>
          <w:rFonts w:ascii="Segoe UI Light" w:hAnsi="Segoe UI Light"/>
          <w:bCs/>
          <w:iCs/>
          <w:sz w:val="16"/>
          <w:szCs w:val="26"/>
        </w:rPr>
        <w:br/>
      </w:r>
      <w:r w:rsidRPr="003B4CDA">
        <w:rPr>
          <w:rFonts w:ascii="Segoe UI Light" w:hAnsi="Segoe UI Light"/>
          <w:bCs/>
          <w:i/>
          <w:iCs/>
          <w:sz w:val="16"/>
          <w:szCs w:val="26"/>
        </w:rPr>
        <w:tab/>
        <w:t>tūkst.</w:t>
      </w:r>
      <w:r w:rsidRPr="003B4CDA">
        <w:rPr>
          <w:rFonts w:ascii="Segoe UI Light" w:hAnsi="Segoe UI Light"/>
          <w:bCs/>
          <w:i/>
          <w:iCs/>
          <w:sz w:val="16"/>
          <w:szCs w:val="26"/>
        </w:rPr>
        <w:tab/>
        <w:t>tūkst.</w:t>
      </w:r>
    </w:p>
    <w:p w14:paraId="68D5CADF" w14:textId="77777777" w:rsidR="0016645F" w:rsidRPr="003B4CDA" w:rsidRDefault="0016645F" w:rsidP="0016645F">
      <w:pPr>
        <w:jc w:val="center"/>
        <w:rPr>
          <w:rFonts w:ascii="Segoe UI Light" w:hAnsi="Segoe UI Light"/>
          <w:bCs/>
          <w:iCs/>
          <w:sz w:val="18"/>
          <w:szCs w:val="26"/>
        </w:rPr>
      </w:pPr>
      <w:r w:rsidRPr="003B4CDA">
        <w:rPr>
          <w:rFonts w:ascii="Segoe UI Light" w:hAnsi="Segoe UI Light"/>
          <w:bCs/>
          <w:iCs/>
          <w:noProof/>
          <w:sz w:val="18"/>
          <w:szCs w:val="26"/>
          <w:lang w:eastAsia="lv-LV"/>
        </w:rPr>
        <w:drawing>
          <wp:inline distT="0" distB="0" distL="0" distR="0" wp14:anchorId="5405ACD9" wp14:editId="1FE1B726">
            <wp:extent cx="2808000" cy="18000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r w:rsidRPr="003B4CDA">
        <w:rPr>
          <w:rFonts w:ascii="Segoe UI Light" w:hAnsi="Segoe UI Light"/>
          <w:bCs/>
          <w:iCs/>
          <w:sz w:val="18"/>
          <w:szCs w:val="26"/>
        </w:rPr>
        <w:t xml:space="preserve">    </w:t>
      </w:r>
      <w:r w:rsidRPr="003B4CDA">
        <w:rPr>
          <w:rFonts w:ascii="Segoe UI Light" w:hAnsi="Segoe UI Light"/>
          <w:bCs/>
          <w:iCs/>
          <w:noProof/>
          <w:sz w:val="18"/>
          <w:szCs w:val="26"/>
          <w:lang w:eastAsia="lv-LV"/>
        </w:rPr>
        <w:drawing>
          <wp:inline distT="0" distB="0" distL="0" distR="0" wp14:anchorId="32BB0D85" wp14:editId="313BFEC7">
            <wp:extent cx="2808000" cy="1800000"/>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8FCFDBC" w14:textId="77777777" w:rsidR="0016645F" w:rsidRPr="003B4CDA" w:rsidRDefault="0016645F" w:rsidP="0016645F">
      <w:pPr>
        <w:tabs>
          <w:tab w:val="center" w:pos="2268"/>
          <w:tab w:val="center" w:pos="6804"/>
        </w:tabs>
        <w:rPr>
          <w:rFonts w:ascii="Segoe UI Light" w:hAnsi="Segoe UI Light"/>
          <w:bCs/>
          <w:i/>
          <w:iCs/>
          <w:sz w:val="16"/>
          <w:szCs w:val="26"/>
        </w:rPr>
      </w:pPr>
      <w:r w:rsidRPr="003B4CDA">
        <w:rPr>
          <w:rFonts w:ascii="Segoe UI Light" w:hAnsi="Segoe UI Light"/>
          <w:bCs/>
          <w:iCs/>
          <w:sz w:val="16"/>
          <w:szCs w:val="26"/>
        </w:rPr>
        <w:tab/>
        <w:t>Vispārējā vidējā izglītība</w:t>
      </w:r>
      <w:r w:rsidRPr="003B4CDA">
        <w:rPr>
          <w:rFonts w:ascii="Segoe UI Light" w:hAnsi="Segoe UI Light"/>
          <w:bCs/>
          <w:iCs/>
          <w:sz w:val="16"/>
          <w:szCs w:val="26"/>
        </w:rPr>
        <w:tab/>
        <w:t>Pamatizglītība</w:t>
      </w:r>
      <w:r w:rsidRPr="003B4CDA">
        <w:rPr>
          <w:rFonts w:ascii="Segoe UI Light" w:hAnsi="Segoe UI Light"/>
          <w:bCs/>
          <w:iCs/>
          <w:sz w:val="16"/>
          <w:szCs w:val="26"/>
        </w:rPr>
        <w:br/>
      </w:r>
      <w:r w:rsidRPr="003B4CDA">
        <w:rPr>
          <w:rFonts w:ascii="Segoe UI Light" w:hAnsi="Segoe UI Light"/>
          <w:bCs/>
          <w:i/>
          <w:iCs/>
          <w:sz w:val="16"/>
          <w:szCs w:val="26"/>
        </w:rPr>
        <w:tab/>
        <w:t>tūkst.</w:t>
      </w:r>
      <w:r w:rsidRPr="003B4CDA">
        <w:rPr>
          <w:rFonts w:ascii="Segoe UI Light" w:hAnsi="Segoe UI Light"/>
          <w:bCs/>
          <w:i/>
          <w:iCs/>
          <w:sz w:val="16"/>
          <w:szCs w:val="26"/>
        </w:rPr>
        <w:tab/>
        <w:t>tūkst.</w:t>
      </w:r>
    </w:p>
    <w:p w14:paraId="5C9EDBF4" w14:textId="77777777" w:rsidR="0016645F" w:rsidRPr="003B4CDA" w:rsidRDefault="0016645F" w:rsidP="0016645F">
      <w:pPr>
        <w:jc w:val="center"/>
        <w:rPr>
          <w:rFonts w:ascii="Segoe UI Light" w:hAnsi="Segoe UI Light"/>
          <w:bCs/>
          <w:iCs/>
          <w:sz w:val="18"/>
          <w:szCs w:val="26"/>
        </w:rPr>
      </w:pPr>
      <w:r w:rsidRPr="003B4CDA">
        <w:rPr>
          <w:rFonts w:ascii="Segoe UI Light" w:hAnsi="Segoe UI Light"/>
          <w:bCs/>
          <w:iCs/>
          <w:noProof/>
          <w:sz w:val="18"/>
          <w:szCs w:val="26"/>
          <w:lang w:eastAsia="lv-LV"/>
        </w:rPr>
        <w:drawing>
          <wp:inline distT="0" distB="0" distL="0" distR="0" wp14:anchorId="72DFBBAF" wp14:editId="3BF1FFF3">
            <wp:extent cx="2808000" cy="1800000"/>
            <wp:effectExtent l="0" t="0" r="0" b="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r w:rsidRPr="003B4CDA">
        <w:rPr>
          <w:rFonts w:ascii="Segoe UI Light" w:hAnsi="Segoe UI Light"/>
          <w:bCs/>
          <w:iCs/>
          <w:sz w:val="18"/>
          <w:szCs w:val="26"/>
        </w:rPr>
        <w:t xml:space="preserve">    </w:t>
      </w:r>
      <w:r w:rsidRPr="003B4CDA">
        <w:rPr>
          <w:rFonts w:ascii="Segoe UI Light" w:hAnsi="Segoe UI Light"/>
          <w:bCs/>
          <w:iCs/>
          <w:noProof/>
          <w:sz w:val="18"/>
          <w:szCs w:val="26"/>
          <w:lang w:eastAsia="lv-LV"/>
        </w:rPr>
        <w:drawing>
          <wp:inline distT="0" distB="0" distL="0" distR="0" wp14:anchorId="2EB5EABF" wp14:editId="1E183F69">
            <wp:extent cx="2808000" cy="1800000"/>
            <wp:effectExtent l="0" t="0" r="0" b="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5569047E" w14:textId="77777777" w:rsidR="0016645F" w:rsidRPr="003B4CDA" w:rsidRDefault="0016645F" w:rsidP="0016645F">
      <w:pPr>
        <w:spacing w:after="0"/>
        <w:rPr>
          <w:szCs w:val="26"/>
        </w:rPr>
      </w:pPr>
      <w:r w:rsidRPr="003B4CDA">
        <w:rPr>
          <w:szCs w:val="26"/>
        </w:rPr>
        <w:br w:type="page"/>
      </w:r>
    </w:p>
    <w:p w14:paraId="38DE4258" w14:textId="4F535C44" w:rsidR="0016645F" w:rsidRPr="003B4CDA" w:rsidRDefault="0016645F" w:rsidP="0016645F">
      <w:pPr>
        <w:jc w:val="right"/>
        <w:rPr>
          <w:szCs w:val="26"/>
        </w:rPr>
      </w:pPr>
      <w:r w:rsidRPr="003B4CDA">
        <w:rPr>
          <w:szCs w:val="26"/>
        </w:rPr>
        <w:lastRenderedPageBreak/>
        <w:t>3.1</w:t>
      </w:r>
      <w:r w:rsidR="001179C2">
        <w:rPr>
          <w:szCs w:val="26"/>
        </w:rPr>
        <w:t>5</w:t>
      </w:r>
      <w:r w:rsidRPr="003B4CDA">
        <w:rPr>
          <w:szCs w:val="26"/>
        </w:rPr>
        <w:t>. attēls</w:t>
      </w:r>
    </w:p>
    <w:p w14:paraId="41A40B60" w14:textId="77777777" w:rsidR="0016645F" w:rsidRPr="003B4CDA" w:rsidRDefault="0016645F" w:rsidP="0016645F">
      <w:pPr>
        <w:jc w:val="center"/>
        <w:rPr>
          <w:rFonts w:ascii="Segoe UI Light" w:hAnsi="Segoe UI Light"/>
          <w:i/>
          <w:sz w:val="16"/>
        </w:rPr>
      </w:pPr>
      <w:r w:rsidRPr="003B4CDA">
        <w:rPr>
          <w:rFonts w:ascii="Segoe UI Light" w:hAnsi="Segoe UI Light"/>
          <w:b/>
          <w:sz w:val="18"/>
          <w:szCs w:val="26"/>
        </w:rPr>
        <w:t xml:space="preserve">Darbaspēka piedāvājuma un pieprasījuma prognozes </w:t>
      </w:r>
      <w:r w:rsidRPr="003B4CDA">
        <w:rPr>
          <w:rFonts w:ascii="Segoe UI Light" w:hAnsi="Segoe UI Light"/>
          <w:b/>
          <w:sz w:val="18"/>
          <w:szCs w:val="26"/>
          <w:u w:val="single"/>
        </w:rPr>
        <w:t xml:space="preserve">ar augstāko </w:t>
      </w:r>
      <w:r w:rsidRPr="003B4CDA">
        <w:rPr>
          <w:rFonts w:ascii="Segoe UI Light" w:hAnsi="Segoe UI Light"/>
          <w:b/>
          <w:bCs/>
          <w:color w:val="000000"/>
          <w:sz w:val="18"/>
          <w:szCs w:val="26"/>
          <w:u w:val="single"/>
        </w:rPr>
        <w:t>izglītību</w:t>
      </w:r>
      <w:r w:rsidRPr="003B4CDA">
        <w:rPr>
          <w:rFonts w:ascii="Segoe UI Light" w:hAnsi="Segoe UI Light"/>
          <w:b/>
          <w:bCs/>
          <w:color w:val="000000"/>
          <w:sz w:val="18"/>
          <w:szCs w:val="26"/>
        </w:rPr>
        <w:t xml:space="preserve"> sadalījumā pa izglītības tematiskajām grupām</w:t>
      </w:r>
      <w:r w:rsidRPr="003B4CDA">
        <w:rPr>
          <w:rFonts w:ascii="Segoe UI Light" w:hAnsi="Segoe UI Light"/>
          <w:b/>
          <w:bCs/>
          <w:color w:val="000000"/>
          <w:sz w:val="18"/>
          <w:szCs w:val="26"/>
        </w:rPr>
        <w:br/>
      </w:r>
      <w:r w:rsidRPr="003B4CDA">
        <w:rPr>
          <w:rFonts w:ascii="Segoe UI Light" w:hAnsi="Segoe UI Light"/>
          <w:bCs/>
          <w:i/>
          <w:color w:val="000000"/>
          <w:sz w:val="16"/>
        </w:rPr>
        <w:t>procentos, pieprasījums pret piedāvājumu 20</w:t>
      </w:r>
      <w:r>
        <w:rPr>
          <w:rFonts w:ascii="Segoe UI Light" w:hAnsi="Segoe UI Light"/>
          <w:bCs/>
          <w:i/>
          <w:color w:val="000000"/>
          <w:sz w:val="16"/>
        </w:rPr>
        <w:t>30</w:t>
      </w:r>
      <w:r w:rsidRPr="003B4CDA">
        <w:rPr>
          <w:rFonts w:ascii="Segoe UI Light" w:hAnsi="Segoe UI Light"/>
          <w:bCs/>
          <w:i/>
          <w:color w:val="000000"/>
          <w:sz w:val="16"/>
        </w:rPr>
        <w:t>. gadā</w:t>
      </w:r>
    </w:p>
    <w:p w14:paraId="4D5540CF" w14:textId="77777777" w:rsidR="0016645F" w:rsidRPr="003B4CDA" w:rsidRDefault="0016645F" w:rsidP="0016645F">
      <w:pPr>
        <w:rPr>
          <w:rFonts w:ascii="Segoe UI Light" w:hAnsi="Segoe UI Light"/>
          <w:sz w:val="18"/>
        </w:rPr>
      </w:pPr>
      <w:r w:rsidRPr="003B4CDA">
        <w:rPr>
          <w:rFonts w:ascii="Segoe UI Light" w:hAnsi="Segoe UI Light"/>
          <w:bCs/>
          <w:iCs/>
          <w:noProof/>
          <w:sz w:val="18"/>
          <w:szCs w:val="26"/>
          <w:lang w:eastAsia="lv-LV"/>
        </w:rPr>
        <w:drawing>
          <wp:inline distT="0" distB="0" distL="0" distR="0" wp14:anchorId="32400B68" wp14:editId="5E02640E">
            <wp:extent cx="5760085" cy="1733703"/>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6645F" w:rsidRPr="003B4CDA" w14:paraId="2BB0755C" w14:textId="77777777" w:rsidTr="4398C881">
        <w:trPr>
          <w:cantSplit/>
          <w:trHeight w:val="2041"/>
        </w:trPr>
        <w:tc>
          <w:tcPr>
            <w:tcW w:w="9071" w:type="dxa"/>
            <w:textDirection w:val="btLr"/>
          </w:tcPr>
          <w:p w14:paraId="5AA4245B" w14:textId="77777777" w:rsidR="0016645F" w:rsidRPr="003B4CDA" w:rsidRDefault="0016645F" w:rsidP="00D209BD">
            <w:pPr>
              <w:spacing w:before="840"/>
              <w:ind w:left="113" w:right="113"/>
              <w:jc w:val="right"/>
              <w:rPr>
                <w:rFonts w:ascii="Segoe UI Light" w:hAnsi="Segoe UI Light"/>
                <w:sz w:val="16"/>
              </w:rPr>
            </w:pPr>
            <w:r w:rsidRPr="003B4CDA">
              <w:rPr>
                <w:rFonts w:ascii="Segoe UI Light" w:hAnsi="Segoe UI Light"/>
                <w:bCs/>
                <w:iCs/>
                <w:sz w:val="16"/>
                <w:szCs w:val="26"/>
              </w:rPr>
              <w:t>Izglītība</w:t>
            </w:r>
          </w:p>
          <w:p w14:paraId="6613AB1F" w14:textId="77777777" w:rsidR="0016645F" w:rsidRPr="003B4CDA" w:rsidRDefault="0016645F" w:rsidP="00D209BD">
            <w:pPr>
              <w:spacing w:before="720"/>
              <w:ind w:left="113" w:right="113"/>
              <w:jc w:val="right"/>
              <w:rPr>
                <w:rFonts w:ascii="Segoe UI Light" w:hAnsi="Segoe UI Light"/>
                <w:sz w:val="16"/>
              </w:rPr>
            </w:pPr>
            <w:r w:rsidRPr="003B4CDA">
              <w:rPr>
                <w:rFonts w:ascii="Segoe UI Light" w:hAnsi="Segoe UI Light"/>
                <w:bCs/>
                <w:iCs/>
                <w:sz w:val="16"/>
                <w:szCs w:val="26"/>
              </w:rPr>
              <w:t xml:space="preserve">Humanitārās </w:t>
            </w:r>
            <w:r w:rsidRPr="003B4CDA">
              <w:rPr>
                <w:rFonts w:ascii="Segoe UI Light" w:hAnsi="Segoe UI Light"/>
                <w:bCs/>
                <w:iCs/>
                <w:sz w:val="16"/>
                <w:szCs w:val="26"/>
              </w:rPr>
              <w:br/>
              <w:t>zinātnes un māksla</w:t>
            </w:r>
          </w:p>
          <w:p w14:paraId="1B98ABF7" w14:textId="77777777" w:rsidR="0016645F" w:rsidRPr="003B4CDA" w:rsidRDefault="0016645F" w:rsidP="00D209BD">
            <w:pPr>
              <w:spacing w:before="600"/>
              <w:ind w:left="113" w:right="113"/>
              <w:jc w:val="right"/>
              <w:rPr>
                <w:rFonts w:ascii="Segoe UI Light" w:hAnsi="Segoe UI Light"/>
                <w:sz w:val="16"/>
              </w:rPr>
            </w:pPr>
            <w:r w:rsidRPr="003B4CDA">
              <w:rPr>
                <w:rFonts w:ascii="Segoe UI Light" w:hAnsi="Segoe UI Light"/>
                <w:bCs/>
                <w:iCs/>
                <w:sz w:val="16"/>
                <w:szCs w:val="26"/>
              </w:rPr>
              <w:t xml:space="preserve">Sociālās zinātnes, </w:t>
            </w:r>
            <w:proofErr w:type="spellStart"/>
            <w:r w:rsidRPr="003B4CDA">
              <w:rPr>
                <w:rFonts w:ascii="Segoe UI Light" w:hAnsi="Segoe UI Light"/>
                <w:bCs/>
                <w:iCs/>
                <w:sz w:val="16"/>
                <w:szCs w:val="26"/>
              </w:rPr>
              <w:t>komerczinības</w:t>
            </w:r>
            <w:proofErr w:type="spellEnd"/>
            <w:r w:rsidRPr="003B4CDA">
              <w:rPr>
                <w:rFonts w:ascii="Segoe UI Light" w:hAnsi="Segoe UI Light"/>
                <w:bCs/>
                <w:iCs/>
                <w:sz w:val="16"/>
                <w:szCs w:val="26"/>
              </w:rPr>
              <w:t xml:space="preserve"> un tiesības</w:t>
            </w:r>
          </w:p>
          <w:p w14:paraId="4B09E531" w14:textId="77777777" w:rsidR="0016645F" w:rsidRPr="003B4CDA" w:rsidRDefault="0016645F" w:rsidP="00D209BD">
            <w:pPr>
              <w:spacing w:before="480"/>
              <w:ind w:left="113" w:right="113"/>
              <w:jc w:val="right"/>
              <w:rPr>
                <w:rFonts w:ascii="Segoe UI Light" w:hAnsi="Segoe UI Light"/>
                <w:bCs/>
                <w:iCs/>
                <w:sz w:val="16"/>
                <w:szCs w:val="26"/>
              </w:rPr>
            </w:pPr>
            <w:r w:rsidRPr="003B4CDA">
              <w:rPr>
                <w:rFonts w:ascii="Segoe UI Light" w:hAnsi="Segoe UI Light"/>
                <w:bCs/>
                <w:iCs/>
                <w:sz w:val="16"/>
                <w:szCs w:val="26"/>
              </w:rPr>
              <w:t>Dabas zinātnes, matemātika un informācijas tehnoloģijas</w:t>
            </w:r>
          </w:p>
          <w:p w14:paraId="55AA670F" w14:textId="77777777" w:rsidR="0016645F" w:rsidRPr="003B4CDA" w:rsidRDefault="0016645F" w:rsidP="00D209BD">
            <w:pPr>
              <w:spacing w:before="600"/>
              <w:ind w:left="113" w:right="113"/>
              <w:jc w:val="right"/>
              <w:rPr>
                <w:rFonts w:ascii="Segoe UI Light" w:hAnsi="Segoe UI Light"/>
                <w:bCs/>
                <w:iCs/>
                <w:sz w:val="16"/>
                <w:szCs w:val="26"/>
              </w:rPr>
            </w:pPr>
            <w:r w:rsidRPr="003B4CDA">
              <w:rPr>
                <w:rFonts w:ascii="Segoe UI Light" w:hAnsi="Segoe UI Light"/>
                <w:bCs/>
                <w:iCs/>
                <w:sz w:val="16"/>
                <w:szCs w:val="26"/>
              </w:rPr>
              <w:t>Inženierzinātnes, ražošana un būvniecība</w:t>
            </w:r>
          </w:p>
          <w:p w14:paraId="054097A0" w14:textId="77777777" w:rsidR="0016645F" w:rsidRPr="003B4CDA" w:rsidRDefault="0016645F" w:rsidP="00D209BD">
            <w:pPr>
              <w:spacing w:before="720"/>
              <w:ind w:left="113" w:right="113"/>
              <w:jc w:val="right"/>
              <w:rPr>
                <w:rFonts w:ascii="Segoe UI Light" w:hAnsi="Segoe UI Light"/>
                <w:sz w:val="16"/>
              </w:rPr>
            </w:pPr>
            <w:r w:rsidRPr="003B4CDA">
              <w:rPr>
                <w:rFonts w:ascii="Segoe UI Light" w:hAnsi="Segoe UI Light"/>
                <w:bCs/>
                <w:iCs/>
                <w:sz w:val="16"/>
                <w:szCs w:val="26"/>
              </w:rPr>
              <w:t>Lauksaimniecība</w:t>
            </w:r>
          </w:p>
          <w:p w14:paraId="1A057B31" w14:textId="77777777" w:rsidR="0016645F" w:rsidRPr="003B4CDA" w:rsidRDefault="0016645F" w:rsidP="00D209BD">
            <w:pPr>
              <w:spacing w:before="720"/>
              <w:ind w:left="113" w:right="113"/>
              <w:jc w:val="right"/>
              <w:rPr>
                <w:rFonts w:ascii="Segoe UI Light" w:hAnsi="Segoe UI Light"/>
                <w:sz w:val="16"/>
              </w:rPr>
            </w:pPr>
            <w:r w:rsidRPr="003B4CDA">
              <w:rPr>
                <w:rFonts w:ascii="Segoe UI Light" w:hAnsi="Segoe UI Light"/>
                <w:bCs/>
                <w:iCs/>
                <w:sz w:val="16"/>
                <w:szCs w:val="26"/>
              </w:rPr>
              <w:t>Veselības aprūpe un sociālā labklājība</w:t>
            </w:r>
          </w:p>
          <w:p w14:paraId="5F53C4C4" w14:textId="77777777" w:rsidR="0016645F" w:rsidRPr="003B4CDA" w:rsidRDefault="0016645F" w:rsidP="00D209BD">
            <w:pPr>
              <w:spacing w:before="720"/>
              <w:ind w:left="113" w:right="113"/>
              <w:jc w:val="right"/>
              <w:rPr>
                <w:rFonts w:ascii="Segoe UI Light" w:hAnsi="Segoe UI Light"/>
                <w:sz w:val="16"/>
              </w:rPr>
            </w:pPr>
            <w:r w:rsidRPr="003B4CDA">
              <w:rPr>
                <w:rFonts w:ascii="Segoe UI Light" w:hAnsi="Segoe UI Light"/>
                <w:bCs/>
                <w:iCs/>
                <w:sz w:val="16"/>
                <w:szCs w:val="26"/>
              </w:rPr>
              <w:t>Pakalpojumi</w:t>
            </w:r>
          </w:p>
        </w:tc>
      </w:tr>
    </w:tbl>
    <w:p w14:paraId="79706F8B" w14:textId="792D4CFD" w:rsidR="4398C881" w:rsidRDefault="4398C881"/>
    <w:p w14:paraId="46983360" w14:textId="77777777" w:rsidR="0016645F" w:rsidRPr="003B4CDA" w:rsidRDefault="0016645F" w:rsidP="0016645F">
      <w:pPr>
        <w:jc w:val="center"/>
        <w:rPr>
          <w:b/>
          <w:bCs/>
          <w:color w:val="000000"/>
          <w:sz w:val="18"/>
          <w:szCs w:val="20"/>
        </w:rPr>
      </w:pPr>
      <w:r w:rsidRPr="003B4CDA">
        <w:rPr>
          <w:b/>
          <w:bCs/>
          <w:color w:val="000000"/>
          <w:sz w:val="18"/>
          <w:szCs w:val="20"/>
        </w:rPr>
        <w:t>Izglītība</w:t>
      </w:r>
    </w:p>
    <w:p w14:paraId="57F7BB52"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55DA23A3"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1CC54DAC" wp14:editId="58417821">
            <wp:extent cx="1440000" cy="1440000"/>
            <wp:effectExtent l="0" t="0" r="8255" b="825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62AA701D" wp14:editId="0D3C5F89">
            <wp:extent cx="2808000" cy="1440000"/>
            <wp:effectExtent l="0" t="0" r="0" b="825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5D984865" wp14:editId="361E2FFF">
            <wp:extent cx="1440000" cy="1440000"/>
            <wp:effectExtent l="0" t="0" r="8255" b="825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2C95FECE" w14:textId="77777777" w:rsidR="0016645F" w:rsidRPr="003B4CDA" w:rsidRDefault="0016645F" w:rsidP="0016645F">
      <w:pPr>
        <w:jc w:val="center"/>
        <w:rPr>
          <w:b/>
          <w:bCs/>
          <w:color w:val="000000"/>
          <w:sz w:val="18"/>
          <w:szCs w:val="20"/>
        </w:rPr>
      </w:pPr>
      <w:r w:rsidRPr="003B4CDA">
        <w:rPr>
          <w:b/>
          <w:bCs/>
          <w:color w:val="000000"/>
          <w:sz w:val="18"/>
          <w:szCs w:val="20"/>
        </w:rPr>
        <w:t>Humanitārās zinātnes un māksla</w:t>
      </w:r>
    </w:p>
    <w:p w14:paraId="115CEF78"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355B7EC6"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3F24134B" wp14:editId="6604ECED">
            <wp:extent cx="1440000" cy="1440000"/>
            <wp:effectExtent l="0" t="0" r="8255" b="8255"/>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66022147" wp14:editId="6029C8A9">
            <wp:extent cx="2808000" cy="1440000"/>
            <wp:effectExtent l="0" t="0" r="0" b="825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3BA5A399" wp14:editId="5C81F13B">
            <wp:extent cx="1440000" cy="1440000"/>
            <wp:effectExtent l="0" t="0" r="8255" b="825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121B43E8" w14:textId="77777777" w:rsidR="0016645F" w:rsidRPr="003B4CDA" w:rsidRDefault="0016645F" w:rsidP="0016645F">
      <w:pPr>
        <w:spacing w:after="0"/>
        <w:rPr>
          <w:szCs w:val="26"/>
        </w:rPr>
      </w:pPr>
      <w:r w:rsidRPr="003B4CDA">
        <w:rPr>
          <w:szCs w:val="26"/>
        </w:rPr>
        <w:br w:type="page"/>
      </w:r>
    </w:p>
    <w:p w14:paraId="3B08C3D1" w14:textId="57470E0D" w:rsidR="0016645F" w:rsidRPr="003B4CDA" w:rsidRDefault="0016645F" w:rsidP="0016645F">
      <w:pPr>
        <w:jc w:val="right"/>
        <w:rPr>
          <w:szCs w:val="26"/>
        </w:rPr>
      </w:pPr>
      <w:r w:rsidRPr="003B4CDA">
        <w:rPr>
          <w:szCs w:val="26"/>
        </w:rPr>
        <w:lastRenderedPageBreak/>
        <w:t>3.1</w:t>
      </w:r>
      <w:r w:rsidR="001179C2">
        <w:rPr>
          <w:szCs w:val="26"/>
        </w:rPr>
        <w:t>5</w:t>
      </w:r>
      <w:r w:rsidRPr="003B4CDA">
        <w:rPr>
          <w:szCs w:val="26"/>
        </w:rPr>
        <w:t>. attēla turpinājums</w:t>
      </w:r>
    </w:p>
    <w:p w14:paraId="5A4D0D07" w14:textId="77777777" w:rsidR="0016645F" w:rsidRPr="003B4CDA" w:rsidRDefault="0016645F" w:rsidP="0016645F">
      <w:pPr>
        <w:jc w:val="center"/>
        <w:rPr>
          <w:b/>
          <w:bCs/>
          <w:color w:val="000000"/>
          <w:sz w:val="18"/>
          <w:szCs w:val="20"/>
        </w:rPr>
      </w:pPr>
      <w:r w:rsidRPr="003B4CDA">
        <w:rPr>
          <w:b/>
          <w:bCs/>
          <w:color w:val="000000"/>
          <w:sz w:val="18"/>
          <w:szCs w:val="20"/>
        </w:rPr>
        <w:t xml:space="preserve">Sociālās zinātnes, </w:t>
      </w:r>
      <w:proofErr w:type="spellStart"/>
      <w:r w:rsidRPr="003B4CDA">
        <w:rPr>
          <w:b/>
          <w:bCs/>
          <w:color w:val="000000"/>
          <w:sz w:val="18"/>
          <w:szCs w:val="20"/>
        </w:rPr>
        <w:t>komerczinības</w:t>
      </w:r>
      <w:proofErr w:type="spellEnd"/>
      <w:r w:rsidRPr="003B4CDA">
        <w:rPr>
          <w:b/>
          <w:bCs/>
          <w:color w:val="000000"/>
          <w:sz w:val="18"/>
          <w:szCs w:val="20"/>
        </w:rPr>
        <w:t xml:space="preserve"> un tiesības</w:t>
      </w:r>
    </w:p>
    <w:p w14:paraId="58F9B928"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7F4117C8"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00105DAC" wp14:editId="0EE63EEB">
            <wp:extent cx="1440000" cy="1440000"/>
            <wp:effectExtent l="0" t="0" r="8255" b="825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32087006" wp14:editId="3E03D695">
            <wp:extent cx="2808000" cy="1440000"/>
            <wp:effectExtent l="0" t="0" r="0" b="8255"/>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0DB1AFDF" wp14:editId="732EB735">
            <wp:extent cx="1440000" cy="1440000"/>
            <wp:effectExtent l="0" t="0" r="8255" b="825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7F3A5534" w14:textId="77777777" w:rsidR="0016645F" w:rsidRPr="003B4CDA" w:rsidRDefault="0016645F" w:rsidP="0016645F">
      <w:pPr>
        <w:spacing w:after="0"/>
        <w:rPr>
          <w:szCs w:val="26"/>
        </w:rPr>
      </w:pPr>
    </w:p>
    <w:p w14:paraId="7BE3AE56" w14:textId="77777777" w:rsidR="0016645F" w:rsidRPr="003B4CDA" w:rsidRDefault="0016645F" w:rsidP="0016645F">
      <w:pPr>
        <w:jc w:val="center"/>
        <w:rPr>
          <w:b/>
          <w:bCs/>
          <w:color w:val="000000"/>
          <w:sz w:val="18"/>
          <w:szCs w:val="20"/>
        </w:rPr>
      </w:pPr>
      <w:r w:rsidRPr="003B4CDA">
        <w:rPr>
          <w:b/>
          <w:bCs/>
          <w:color w:val="000000"/>
          <w:sz w:val="18"/>
          <w:szCs w:val="20"/>
        </w:rPr>
        <w:t>Dabas zinātnes, matemātika un informācijas tehnoloģijas</w:t>
      </w:r>
    </w:p>
    <w:p w14:paraId="68A42295"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7BCFAC61"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52D8FC48" wp14:editId="695328F3">
            <wp:extent cx="1440000" cy="1440000"/>
            <wp:effectExtent l="0" t="0" r="8255" b="825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3656E777" wp14:editId="344BEE24">
            <wp:extent cx="2808000" cy="1440000"/>
            <wp:effectExtent l="0" t="0" r="0" b="8255"/>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2F73F086" wp14:editId="0DDF0233">
            <wp:extent cx="1440000" cy="1440000"/>
            <wp:effectExtent l="0" t="0" r="8255" b="825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691507E9" w14:textId="77777777" w:rsidR="0016645F" w:rsidRPr="003B4CDA" w:rsidRDefault="0016645F" w:rsidP="0016645F">
      <w:pPr>
        <w:ind w:right="-285"/>
        <w:rPr>
          <w:bCs/>
          <w:color w:val="000000"/>
          <w:sz w:val="16"/>
        </w:rPr>
      </w:pPr>
    </w:p>
    <w:p w14:paraId="66DD6D74" w14:textId="77777777" w:rsidR="0016645F" w:rsidRPr="003B4CDA" w:rsidRDefault="0016645F" w:rsidP="0016645F">
      <w:pPr>
        <w:jc w:val="center"/>
        <w:rPr>
          <w:b/>
          <w:bCs/>
          <w:color w:val="000000"/>
          <w:sz w:val="18"/>
          <w:szCs w:val="20"/>
        </w:rPr>
      </w:pPr>
      <w:r w:rsidRPr="003B4CDA">
        <w:rPr>
          <w:b/>
          <w:bCs/>
          <w:color w:val="000000"/>
          <w:sz w:val="18"/>
          <w:szCs w:val="20"/>
        </w:rPr>
        <w:t>Inženierzinātnes, ražošana un būvniecība</w:t>
      </w:r>
    </w:p>
    <w:p w14:paraId="57BCE5FD"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04CFF581"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3F6416E0" wp14:editId="7DCE59A0">
            <wp:extent cx="1440000" cy="1440000"/>
            <wp:effectExtent l="0" t="0" r="8255" b="8255"/>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70514F8D" wp14:editId="5FFBB703">
            <wp:extent cx="2808000" cy="1440000"/>
            <wp:effectExtent l="0" t="0" r="0" b="8255"/>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2BC1D751" wp14:editId="466E0C93">
            <wp:extent cx="1440000" cy="1440000"/>
            <wp:effectExtent l="0" t="0" r="8255" b="825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3909FA21" w14:textId="77777777" w:rsidR="0016645F" w:rsidRPr="003B4CDA" w:rsidRDefault="0016645F" w:rsidP="0016645F">
      <w:pPr>
        <w:spacing w:after="0"/>
        <w:rPr>
          <w:b/>
          <w:bCs/>
          <w:color w:val="000000"/>
          <w:sz w:val="18"/>
          <w:szCs w:val="20"/>
        </w:rPr>
      </w:pPr>
      <w:r w:rsidRPr="003B4CDA">
        <w:rPr>
          <w:b/>
          <w:bCs/>
          <w:color w:val="000000"/>
          <w:sz w:val="18"/>
          <w:szCs w:val="20"/>
        </w:rPr>
        <w:br w:type="page"/>
      </w:r>
    </w:p>
    <w:p w14:paraId="4ECD9A88" w14:textId="1379B6FE" w:rsidR="0016645F" w:rsidRPr="003B4CDA" w:rsidRDefault="0016645F" w:rsidP="0016645F">
      <w:pPr>
        <w:jc w:val="right"/>
        <w:rPr>
          <w:szCs w:val="26"/>
        </w:rPr>
      </w:pPr>
      <w:r w:rsidRPr="003B4CDA">
        <w:rPr>
          <w:szCs w:val="26"/>
        </w:rPr>
        <w:lastRenderedPageBreak/>
        <w:t>3.1</w:t>
      </w:r>
      <w:r w:rsidR="001179C2">
        <w:rPr>
          <w:szCs w:val="26"/>
        </w:rPr>
        <w:t>5</w:t>
      </w:r>
      <w:r w:rsidRPr="003B4CDA">
        <w:rPr>
          <w:szCs w:val="26"/>
        </w:rPr>
        <w:t>. attēla turpinājums</w:t>
      </w:r>
    </w:p>
    <w:p w14:paraId="40AE2561" w14:textId="77777777" w:rsidR="0016645F" w:rsidRPr="003B4CDA" w:rsidRDefault="0016645F" w:rsidP="0016645F">
      <w:pPr>
        <w:jc w:val="center"/>
        <w:rPr>
          <w:b/>
          <w:bCs/>
          <w:color w:val="000000"/>
          <w:sz w:val="18"/>
          <w:szCs w:val="20"/>
        </w:rPr>
      </w:pPr>
      <w:r w:rsidRPr="003B4CDA">
        <w:rPr>
          <w:b/>
          <w:bCs/>
          <w:color w:val="000000"/>
          <w:sz w:val="18"/>
          <w:szCs w:val="20"/>
        </w:rPr>
        <w:t>Lauksaimniecība</w:t>
      </w:r>
    </w:p>
    <w:p w14:paraId="73DCC923"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781D27D1"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06E54E8E" wp14:editId="26034753">
            <wp:extent cx="1440000" cy="1440000"/>
            <wp:effectExtent l="0" t="0" r="8255" b="8255"/>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66D3F54B" wp14:editId="56A8E96C">
            <wp:extent cx="2808000" cy="1440000"/>
            <wp:effectExtent l="0" t="0" r="0" b="8255"/>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0F01968E" wp14:editId="4AF98EF1">
            <wp:extent cx="1440000" cy="1440000"/>
            <wp:effectExtent l="0" t="0" r="8255" b="8255"/>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19FDCC79" w14:textId="77777777" w:rsidR="003A6537" w:rsidRDefault="003A6537" w:rsidP="0016645F">
      <w:pPr>
        <w:jc w:val="center"/>
        <w:rPr>
          <w:b/>
          <w:bCs/>
          <w:color w:val="000000"/>
          <w:sz w:val="18"/>
          <w:szCs w:val="20"/>
        </w:rPr>
      </w:pPr>
    </w:p>
    <w:p w14:paraId="7A234275" w14:textId="2B7DF3C6" w:rsidR="0016645F" w:rsidRPr="003B4CDA" w:rsidRDefault="0016645F" w:rsidP="0016645F">
      <w:pPr>
        <w:jc w:val="center"/>
        <w:rPr>
          <w:b/>
          <w:bCs/>
          <w:color w:val="000000"/>
          <w:sz w:val="18"/>
          <w:szCs w:val="20"/>
        </w:rPr>
      </w:pPr>
      <w:r w:rsidRPr="003B4CDA">
        <w:rPr>
          <w:b/>
          <w:bCs/>
          <w:color w:val="000000"/>
          <w:sz w:val="18"/>
          <w:szCs w:val="20"/>
        </w:rPr>
        <w:t>Veselības aprūpe un sociālā labklājība</w:t>
      </w:r>
    </w:p>
    <w:p w14:paraId="35B98B06"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2A173D39"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62ED86B8" wp14:editId="4D563282">
            <wp:extent cx="1440000" cy="1440000"/>
            <wp:effectExtent l="0" t="0" r="8255" b="825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7EDC941E" wp14:editId="290FAD53">
            <wp:extent cx="2808000" cy="1440000"/>
            <wp:effectExtent l="0" t="0" r="0" b="8255"/>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68BD1992" wp14:editId="398AE7DB">
            <wp:extent cx="1440000" cy="1440000"/>
            <wp:effectExtent l="0" t="0" r="8255" b="8255"/>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05291CFE" w14:textId="77777777" w:rsidR="003A6537" w:rsidRDefault="003A6537" w:rsidP="0016645F">
      <w:pPr>
        <w:jc w:val="center"/>
        <w:rPr>
          <w:b/>
          <w:bCs/>
          <w:color w:val="000000"/>
          <w:sz w:val="18"/>
          <w:szCs w:val="20"/>
        </w:rPr>
      </w:pPr>
    </w:p>
    <w:p w14:paraId="52BCCB6C" w14:textId="3899F3C2" w:rsidR="0016645F" w:rsidRPr="003B4CDA" w:rsidRDefault="0016645F" w:rsidP="0016645F">
      <w:pPr>
        <w:jc w:val="center"/>
        <w:rPr>
          <w:b/>
          <w:bCs/>
          <w:color w:val="000000"/>
          <w:sz w:val="18"/>
          <w:szCs w:val="20"/>
        </w:rPr>
      </w:pPr>
      <w:r w:rsidRPr="003B4CDA">
        <w:rPr>
          <w:b/>
          <w:bCs/>
          <w:color w:val="000000"/>
          <w:sz w:val="18"/>
          <w:szCs w:val="20"/>
        </w:rPr>
        <w:t>Pakalpojumi</w:t>
      </w:r>
    </w:p>
    <w:p w14:paraId="2FD4D9D5"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13B593ED"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20ED9307" wp14:editId="552E3E8C">
            <wp:extent cx="1440000" cy="1440000"/>
            <wp:effectExtent l="0" t="0" r="8255" b="8255"/>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6A2253E1" wp14:editId="597921DE">
            <wp:extent cx="2808000" cy="1440000"/>
            <wp:effectExtent l="0" t="0" r="0" b="8255"/>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7F49465D" wp14:editId="391D56A5">
            <wp:extent cx="1440000" cy="1440000"/>
            <wp:effectExtent l="0" t="0" r="8255" b="825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37F8B2E1" w14:textId="77777777" w:rsidR="0016645F" w:rsidRPr="003A6537" w:rsidRDefault="0016645F" w:rsidP="0016645F">
      <w:pPr>
        <w:jc w:val="both"/>
        <w:rPr>
          <w:rFonts w:cs="Calibri Light"/>
          <w:sz w:val="12"/>
          <w:szCs w:val="10"/>
        </w:rPr>
      </w:pPr>
      <w:r w:rsidRPr="003A6537">
        <w:rPr>
          <w:rFonts w:cs="Calibri Light"/>
          <w:sz w:val="12"/>
          <w:szCs w:val="10"/>
        </w:rPr>
        <w:t>Avots: CSP dati 2019. gadam, EM prognozes sākot ar 2020. gadu</w:t>
      </w:r>
    </w:p>
    <w:p w14:paraId="5AF33C07" w14:textId="6EB0DF94" w:rsidR="0016645F" w:rsidRPr="003B4CDA" w:rsidRDefault="00C24E26" w:rsidP="0016645F">
      <w:pPr>
        <w:jc w:val="both"/>
      </w:pPr>
      <w:r>
        <w:br/>
      </w:r>
      <w:r w:rsidR="094D5FF8">
        <w:t xml:space="preserve">Saglabājoties esošai augstākās izglītības piedāvājuma struktūrai, būtiskākais darbaspēka iztrūkums </w:t>
      </w:r>
      <w:r w:rsidR="094D5FF8" w:rsidRPr="4398C881">
        <w:rPr>
          <w:b/>
          <w:bCs/>
        </w:rPr>
        <w:t xml:space="preserve">augstākās izglītības grupā </w:t>
      </w:r>
      <w:r w:rsidR="094D5FF8">
        <w:t xml:space="preserve">sagaidāms pēc speciālistiem ar izglītību inženierzinātņu, dabaszinātņu un IKT (STEM) jomās. Atbilstošās kvalifikācijas speciālistu iztrūkums līdz 2030. gadam varētu </w:t>
      </w:r>
      <w:r w:rsidR="00197A45">
        <w:t xml:space="preserve">pārsniegt </w:t>
      </w:r>
      <w:r w:rsidR="094D5FF8">
        <w:t>9 tūkst.</w:t>
      </w:r>
      <w:r w:rsidR="00197A45">
        <w:t xml:space="preserve"> speciālistu</w:t>
      </w:r>
      <w:r w:rsidR="094D5FF8">
        <w:t xml:space="preserve">, galvenokārt tādās jomās kā </w:t>
      </w:r>
      <w:r w:rsidR="00197A45">
        <w:t xml:space="preserve">datorzinātnes, </w:t>
      </w:r>
      <w:r w:rsidR="094D5FF8">
        <w:t>arhitektūra un būvniecība, fizikālās un inženierzinātnēs.</w:t>
      </w:r>
    </w:p>
    <w:p w14:paraId="4052ADA9" w14:textId="042FDD7E" w:rsidR="0016645F" w:rsidRPr="003B4CDA" w:rsidRDefault="094D5FF8" w:rsidP="0016645F">
      <w:pPr>
        <w:jc w:val="both"/>
      </w:pPr>
      <w:r>
        <w:lastRenderedPageBreak/>
        <w:t>Neskatoties uz to, ka joprojām tiek sagatavoti mazāk speciālistu ar izglītību STEM virzienos nekā darba tirgū turpmākajos gados būs nepieciešams, tomēr situācija ir jūtami uzlabojusies, salīdzinot ar 2020. gada EM darba tirgus prognozēm, kad uz 2030. gadu tika prognozēts vairāk nekā 19 tūkst. speciālistu iztrūkums ar STEM izglītību. Jāatzīmē, ka STEM virzienu absolventu īpatsvars studijas beigušo kopskaitā laika periodā no 2008. gada līdz 2021. gadam ir pieaudzis no 13% līdz 19%, kas kopumā ir arī palielinājis jauno speciālistu piedāvājumu darba tirgū.</w:t>
      </w:r>
    </w:p>
    <w:p w14:paraId="3EDD136C" w14:textId="77777777" w:rsidR="0016645F" w:rsidRPr="003B4CDA" w:rsidRDefault="0016645F" w:rsidP="0016645F">
      <w:pPr>
        <w:jc w:val="both"/>
      </w:pPr>
      <w:r w:rsidRPr="003B4CDA">
        <w:t>Lauksaimniecības tematiskajā grupā 20</w:t>
      </w:r>
      <w:r>
        <w:t>20</w:t>
      </w:r>
      <w:r w:rsidRPr="003B4CDA">
        <w:t>.</w:t>
      </w:r>
      <w:r>
        <w:t> </w:t>
      </w:r>
      <w:r w:rsidRPr="003B4CDA">
        <w:t xml:space="preserve">gada prognozēs </w:t>
      </w:r>
      <w:r>
        <w:t xml:space="preserve">tika paredzēts, ka </w:t>
      </w:r>
      <w:r w:rsidRPr="003B4CDA">
        <w:t>darbaspēka atražošanās n</w:t>
      </w:r>
      <w:r>
        <w:t>ebūs</w:t>
      </w:r>
      <w:r w:rsidRPr="003B4CDA">
        <w:t xml:space="preserve"> pietiekama, tāpēc līdz 20</w:t>
      </w:r>
      <w:r>
        <w:t>30</w:t>
      </w:r>
      <w:r w:rsidRPr="003B4CDA">
        <w:t>.</w:t>
      </w:r>
      <w:r>
        <w:t> </w:t>
      </w:r>
      <w:r w:rsidRPr="003B4CDA">
        <w:t>gadam varētu veidoties darbaspēka iztrūkums</w:t>
      </w:r>
      <w:r>
        <w:t>.</w:t>
      </w:r>
      <w:r w:rsidRPr="003B4CDA">
        <w:t xml:space="preserve"> Pārskatītās prognozes liecina, ka šajā grupā situācija </w:t>
      </w:r>
      <w:r>
        <w:t xml:space="preserve">ir </w:t>
      </w:r>
      <w:r w:rsidRPr="003B4CDA">
        <w:t xml:space="preserve">būtiski uzlabojusies un darbaspēka pieprasījums un piedāvājums </w:t>
      </w:r>
      <w:r>
        <w:t>būs</w:t>
      </w:r>
      <w:r w:rsidRPr="003B4CDA">
        <w:t xml:space="preserve"> tuvu līdzsvaram. </w:t>
      </w:r>
      <w:r>
        <w:t xml:space="preserve">Tomēr </w:t>
      </w:r>
      <w:r w:rsidRPr="002179F9">
        <w:t xml:space="preserve">lauksaimniecības tematiskajā grupā absolventu skaits </w:t>
      </w:r>
      <w:r>
        <w:t xml:space="preserve">ir samazinājies pēdējos gados un </w:t>
      </w:r>
      <w:r w:rsidRPr="002179F9">
        <w:t>joprojām ir nepietiekams, lai kompensētu lauksaimniecības speciālistu samazinājumu, ko nosaka darbaspēka novecošanās.</w:t>
      </w:r>
    </w:p>
    <w:p w14:paraId="423EE6B5" w14:textId="77777777" w:rsidR="0016645F" w:rsidRPr="003B4CDA" w:rsidRDefault="0016645F" w:rsidP="0016645F">
      <w:pPr>
        <w:jc w:val="both"/>
      </w:pPr>
      <w:r w:rsidRPr="003B4CDA">
        <w:t xml:space="preserve">Vienlaikus veselības un sociālās aprūpes izglītības tematiskajā grupā situācija </w:t>
      </w:r>
      <w:r>
        <w:t>turpina būt</w:t>
      </w:r>
      <w:r w:rsidRPr="003B4CDA">
        <w:t xml:space="preserve"> sabalansēta, kur kopumā vidējā</w:t>
      </w:r>
      <w:r>
        <w:t xml:space="preserve"> termiņā </w:t>
      </w:r>
      <w:r w:rsidRPr="003B4CDA">
        <w:t xml:space="preserve">darbaspēka pieprasījums un piedāvājums būs tuvu līdzsvaram. </w:t>
      </w:r>
      <w:r>
        <w:t>Tomēr</w:t>
      </w:r>
      <w:r w:rsidRPr="003B4CDA">
        <w:t xml:space="preserve"> ilgtermiņā </w:t>
      </w:r>
      <w:r>
        <w:t xml:space="preserve">darbaspēka piedāvājums var nedaudz pārsniegt pieprasījumu. </w:t>
      </w:r>
      <w:r w:rsidRPr="00B31C1C">
        <w:t xml:space="preserve">Jāatzīmē, ka pēdējo 5 gadu laikā absolventu skaits veselības un sociālās aprūpes tematiskajā grupā pieaudzis par vairāk nekā 20%, savukārt kopš 2000. gada tas ir </w:t>
      </w:r>
      <w:proofErr w:type="spellStart"/>
      <w:r w:rsidRPr="00B31C1C">
        <w:t>pieckāršojies</w:t>
      </w:r>
      <w:proofErr w:type="spellEnd"/>
      <w:r w:rsidRPr="00B31C1C">
        <w:t>.</w:t>
      </w:r>
    </w:p>
    <w:p w14:paraId="02258ABE" w14:textId="77777777" w:rsidR="0016645F" w:rsidRPr="003B4CDA" w:rsidRDefault="0016645F" w:rsidP="0016645F">
      <w:pPr>
        <w:jc w:val="both"/>
      </w:pPr>
      <w:r w:rsidRPr="003B4CDA">
        <w:t xml:space="preserve">Relatīvajā izteiksmē lielākais darbaspēka pārpalikums ar augstāko izglītību prognozējams humanitāro zinātņu un pakalpojumu tematiskajās grupās. </w:t>
      </w:r>
      <w:r w:rsidRPr="00E56421">
        <w:t>Jāatzīmē, ka kopš 2011. gada šajās izglītības programmās absolventu skaits ir samazinājies par 30 procentiem.</w:t>
      </w:r>
    </w:p>
    <w:p w14:paraId="75485E75" w14:textId="3B50D34F" w:rsidR="0016645F" w:rsidRPr="003B4CDA" w:rsidRDefault="094D5FF8" w:rsidP="0016645F">
      <w:pPr>
        <w:jc w:val="both"/>
      </w:pPr>
      <w:r>
        <w:t xml:space="preserve">Absolūtā izteiksmē lielākais darbaspēka pārpalikums joprojām sagaidāms ar izglītību sociālās un </w:t>
      </w:r>
      <w:proofErr w:type="spellStart"/>
      <w:r>
        <w:t>komerczinātnēs</w:t>
      </w:r>
      <w:proofErr w:type="spellEnd"/>
      <w:r>
        <w:t xml:space="preserve"> un, salīdzinot ar 2020. gada prognozēto, pārpalikums kopumā ir palielinājies – par 6,5 tūkst. speciālistu 2030. gadā. Jāatzīmē, ka sociālo un </w:t>
      </w:r>
      <w:proofErr w:type="spellStart"/>
      <w:r>
        <w:t>komerczinību</w:t>
      </w:r>
      <w:proofErr w:type="spellEnd"/>
      <w:r>
        <w:t xml:space="preserve"> programmās pēdējos 10 gados absolventu skaits strauji samazinās. Ja pirms 10 gadiem to skaits veidoja vairāk nekā pusi no kopējā absolventu skaita augstskolās, tad 2021.</w:t>
      </w:r>
      <w:r w:rsidR="6341AC55">
        <w:t> </w:t>
      </w:r>
      <w:r>
        <w:t>gadā tas veidoja nedaudz vairāk par trešo daļu. Jāņem vērā, ka minētās izmaiņas izglītības piedāvājumā jūtamu ietekmi darba tirgū dos tikai ilgtermiņā – pēc 15-20 gadiem, tāpēc plaisa starp atbilstošās kvalifikācijas speciālistu piedāvājumu un pieprasījumu nākamajos gados turpinās pieaugt.</w:t>
      </w:r>
    </w:p>
    <w:p w14:paraId="745C9AA0" w14:textId="799DD53E" w:rsidR="0016645F" w:rsidRPr="003B4CDA" w:rsidRDefault="094D5FF8" w:rsidP="0016645F">
      <w:pPr>
        <w:jc w:val="both"/>
      </w:pPr>
      <w:r>
        <w:t>Gan vidējā, gan ilgtermiņā tuvu līdzsvaram saglabāsies darbaspēka pieprasījuma un piedāvājuma attiecība tematiskajā grupā „Izglītība”. Jāatzīmē, ka kopumā darbaspēka pieprasījums pēc izglītības speciālistiem turpmākajos gados varētu samazināties, kas saistīts gan ar skolu tīkla optimizāciju, gan arī kopējo izglītojamo skaita samazināšanos. Vienlaikus jāatzīmē, ka arī atbilstošās kvalifikācijas darbaspēka piedāvājums samazināsies – jauno darba tirgū ienākošo speciālistu skaits ir mazāks nekā tie kuri iziet no tā dēļ pensionēšanās u.c. faktoriem. 2021. gadā aptuveni puse no kopējā darbaspēka piedāvājuma ar augstāko izglītību tematiskajā grupa „Izglītība” bija vecumā virs 50 gadiem, tādejādi nākamo 10-15 gadu laikā vairums no tiem pametīs darba tirgu.</w:t>
      </w:r>
    </w:p>
    <w:p w14:paraId="12AD7F03" w14:textId="77777777" w:rsidR="00103B84" w:rsidRDefault="00103B84">
      <w:pPr>
        <w:spacing w:after="0"/>
        <w:rPr>
          <w:szCs w:val="26"/>
        </w:rPr>
      </w:pPr>
      <w:r>
        <w:rPr>
          <w:szCs w:val="26"/>
        </w:rPr>
        <w:br w:type="page"/>
      </w:r>
    </w:p>
    <w:p w14:paraId="1FA4E117" w14:textId="751B78B0" w:rsidR="0016645F" w:rsidRPr="003B4CDA" w:rsidRDefault="0016645F" w:rsidP="0016645F">
      <w:pPr>
        <w:jc w:val="right"/>
        <w:rPr>
          <w:szCs w:val="26"/>
        </w:rPr>
      </w:pPr>
      <w:r w:rsidRPr="003B4CDA">
        <w:rPr>
          <w:szCs w:val="26"/>
        </w:rPr>
        <w:lastRenderedPageBreak/>
        <w:t>3.1</w:t>
      </w:r>
      <w:r w:rsidR="001179C2">
        <w:rPr>
          <w:szCs w:val="26"/>
        </w:rPr>
        <w:t>6</w:t>
      </w:r>
      <w:r w:rsidRPr="003B4CDA">
        <w:rPr>
          <w:szCs w:val="26"/>
        </w:rPr>
        <w:t>. attēls</w:t>
      </w:r>
    </w:p>
    <w:p w14:paraId="135BF7AA" w14:textId="77777777" w:rsidR="0016645F" w:rsidRPr="003B4CDA" w:rsidRDefault="0016645F" w:rsidP="0016645F">
      <w:pPr>
        <w:jc w:val="center"/>
        <w:rPr>
          <w:rFonts w:ascii="Segoe UI Light" w:hAnsi="Segoe UI Light"/>
          <w:i/>
          <w:sz w:val="16"/>
        </w:rPr>
      </w:pPr>
      <w:r w:rsidRPr="003B4CDA">
        <w:rPr>
          <w:rFonts w:ascii="Segoe UI Light" w:hAnsi="Segoe UI Light"/>
          <w:b/>
          <w:sz w:val="18"/>
          <w:szCs w:val="26"/>
        </w:rPr>
        <w:t xml:space="preserve">Darbaspēka piedāvājuma un pieprasījuma prognozes </w:t>
      </w:r>
      <w:r w:rsidRPr="003B4CDA">
        <w:rPr>
          <w:rFonts w:ascii="Segoe UI Light" w:hAnsi="Segoe UI Light"/>
          <w:b/>
          <w:sz w:val="18"/>
          <w:szCs w:val="26"/>
          <w:u w:val="single"/>
        </w:rPr>
        <w:t xml:space="preserve">ar vidējo </w:t>
      </w:r>
      <w:r w:rsidRPr="003B4CDA">
        <w:rPr>
          <w:rFonts w:ascii="Segoe UI Light" w:hAnsi="Segoe UI Light"/>
          <w:b/>
          <w:bCs/>
          <w:color w:val="000000"/>
          <w:sz w:val="18"/>
          <w:szCs w:val="26"/>
          <w:u w:val="single"/>
        </w:rPr>
        <w:t>izglītību</w:t>
      </w:r>
      <w:r w:rsidRPr="003B4CDA">
        <w:rPr>
          <w:rFonts w:ascii="Segoe UI Light" w:hAnsi="Segoe UI Light"/>
          <w:b/>
          <w:bCs/>
          <w:color w:val="000000"/>
          <w:sz w:val="18"/>
          <w:szCs w:val="26"/>
        </w:rPr>
        <w:t xml:space="preserve"> sadalījumā pa izglītības tematiskajām grupām</w:t>
      </w:r>
      <w:r w:rsidRPr="003B4CDA">
        <w:rPr>
          <w:rFonts w:ascii="Segoe UI Light" w:hAnsi="Segoe UI Light"/>
          <w:b/>
          <w:bCs/>
          <w:color w:val="000000"/>
          <w:sz w:val="18"/>
          <w:szCs w:val="26"/>
        </w:rPr>
        <w:br/>
      </w:r>
      <w:r w:rsidRPr="003B4CDA">
        <w:rPr>
          <w:rFonts w:ascii="Segoe UI Light" w:hAnsi="Segoe UI Light"/>
          <w:bCs/>
          <w:i/>
          <w:color w:val="000000"/>
          <w:sz w:val="16"/>
        </w:rPr>
        <w:t>procentos, pieprasījums pret piedāvājumu 20</w:t>
      </w:r>
      <w:r>
        <w:rPr>
          <w:rFonts w:ascii="Segoe UI Light" w:hAnsi="Segoe UI Light"/>
          <w:bCs/>
          <w:i/>
          <w:color w:val="000000"/>
          <w:sz w:val="16"/>
        </w:rPr>
        <w:t>30</w:t>
      </w:r>
      <w:r w:rsidRPr="003B4CDA">
        <w:rPr>
          <w:rFonts w:ascii="Segoe UI Light" w:hAnsi="Segoe UI Light"/>
          <w:bCs/>
          <w:i/>
          <w:color w:val="000000"/>
          <w:sz w:val="16"/>
        </w:rPr>
        <w:t>. gadā</w:t>
      </w:r>
    </w:p>
    <w:p w14:paraId="4A38F319" w14:textId="77777777" w:rsidR="0016645F" w:rsidRPr="003B4CDA" w:rsidRDefault="0016645F" w:rsidP="0016645F">
      <w:pPr>
        <w:rPr>
          <w:rFonts w:ascii="Segoe UI Light" w:hAnsi="Segoe UI Light"/>
          <w:sz w:val="18"/>
        </w:rPr>
      </w:pPr>
      <w:r w:rsidRPr="003B4CDA">
        <w:rPr>
          <w:rFonts w:ascii="Segoe UI Light" w:hAnsi="Segoe UI Light"/>
          <w:bCs/>
          <w:iCs/>
          <w:noProof/>
          <w:sz w:val="18"/>
          <w:szCs w:val="26"/>
          <w:lang w:eastAsia="lv-LV"/>
        </w:rPr>
        <w:drawing>
          <wp:inline distT="0" distB="0" distL="0" distR="0" wp14:anchorId="3591D155" wp14:editId="3618781B">
            <wp:extent cx="5760085" cy="1382573"/>
            <wp:effectExtent l="0" t="0" r="0" b="8255"/>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6645F" w:rsidRPr="003B4CDA" w14:paraId="656AFEB0" w14:textId="77777777" w:rsidTr="00D209BD">
        <w:trPr>
          <w:cantSplit/>
          <w:trHeight w:val="1928"/>
        </w:trPr>
        <w:tc>
          <w:tcPr>
            <w:tcW w:w="9071" w:type="dxa"/>
            <w:textDirection w:val="btLr"/>
          </w:tcPr>
          <w:p w14:paraId="05D2E4B8" w14:textId="77777777" w:rsidR="0016645F" w:rsidRPr="003B4CDA" w:rsidRDefault="0016645F" w:rsidP="00D209BD">
            <w:pPr>
              <w:spacing w:before="720"/>
              <w:ind w:left="113" w:right="113"/>
              <w:jc w:val="right"/>
              <w:rPr>
                <w:rFonts w:ascii="Segoe UI Light" w:hAnsi="Segoe UI Light"/>
                <w:sz w:val="16"/>
                <w:szCs w:val="16"/>
              </w:rPr>
            </w:pPr>
            <w:r w:rsidRPr="003B4CDA">
              <w:rPr>
                <w:rFonts w:ascii="Segoe UI Light" w:hAnsi="Segoe UI Light"/>
                <w:bCs/>
                <w:iCs/>
                <w:sz w:val="16"/>
                <w:szCs w:val="16"/>
              </w:rPr>
              <w:t xml:space="preserve">Humanitārās </w:t>
            </w:r>
            <w:r w:rsidRPr="003B4CDA">
              <w:rPr>
                <w:rFonts w:ascii="Segoe UI Light" w:hAnsi="Segoe UI Light"/>
                <w:bCs/>
                <w:iCs/>
                <w:sz w:val="16"/>
                <w:szCs w:val="16"/>
              </w:rPr>
              <w:br/>
              <w:t>zinātnes un māksla</w:t>
            </w:r>
          </w:p>
          <w:p w14:paraId="069D2A22" w14:textId="77777777" w:rsidR="0016645F" w:rsidRPr="003B4CDA" w:rsidRDefault="0016645F" w:rsidP="00D209BD">
            <w:pPr>
              <w:spacing w:before="600"/>
              <w:ind w:left="113" w:right="113"/>
              <w:jc w:val="right"/>
              <w:rPr>
                <w:rFonts w:ascii="Segoe UI Light" w:hAnsi="Segoe UI Light"/>
                <w:sz w:val="16"/>
                <w:szCs w:val="16"/>
              </w:rPr>
            </w:pPr>
            <w:r w:rsidRPr="003B4CDA">
              <w:rPr>
                <w:rFonts w:ascii="Segoe UI Light" w:hAnsi="Segoe UI Light"/>
                <w:bCs/>
                <w:iCs/>
                <w:sz w:val="16"/>
                <w:szCs w:val="16"/>
              </w:rPr>
              <w:t xml:space="preserve">Sociālās zinātnes, </w:t>
            </w:r>
            <w:proofErr w:type="spellStart"/>
            <w:r w:rsidRPr="003B4CDA">
              <w:rPr>
                <w:rFonts w:ascii="Segoe UI Light" w:hAnsi="Segoe UI Light"/>
                <w:bCs/>
                <w:iCs/>
                <w:sz w:val="16"/>
                <w:szCs w:val="16"/>
              </w:rPr>
              <w:t>komerczinības</w:t>
            </w:r>
            <w:proofErr w:type="spellEnd"/>
            <w:r w:rsidRPr="003B4CDA">
              <w:rPr>
                <w:rFonts w:ascii="Segoe UI Light" w:hAnsi="Segoe UI Light"/>
                <w:bCs/>
                <w:iCs/>
                <w:sz w:val="16"/>
                <w:szCs w:val="16"/>
              </w:rPr>
              <w:t xml:space="preserve"> un tiesības</w:t>
            </w:r>
          </w:p>
          <w:p w14:paraId="5666122C" w14:textId="77777777" w:rsidR="0016645F" w:rsidRPr="003B4CDA" w:rsidRDefault="0016645F" w:rsidP="00D209BD">
            <w:pPr>
              <w:spacing w:before="540"/>
              <w:ind w:left="113" w:right="113"/>
              <w:jc w:val="right"/>
              <w:rPr>
                <w:rFonts w:ascii="Segoe UI Light" w:hAnsi="Segoe UI Light"/>
                <w:bCs/>
                <w:iCs/>
                <w:sz w:val="16"/>
                <w:szCs w:val="16"/>
              </w:rPr>
            </w:pPr>
            <w:r w:rsidRPr="003B4CDA">
              <w:rPr>
                <w:rFonts w:ascii="Segoe UI Light" w:hAnsi="Segoe UI Light"/>
                <w:bCs/>
                <w:iCs/>
                <w:sz w:val="16"/>
                <w:szCs w:val="16"/>
              </w:rPr>
              <w:t>Dabas zinātnes, matemātika un informācijas tehnoloģijas</w:t>
            </w:r>
          </w:p>
          <w:p w14:paraId="24D40830" w14:textId="77777777" w:rsidR="0016645F" w:rsidRPr="003B4CDA" w:rsidRDefault="0016645F" w:rsidP="00D209BD">
            <w:pPr>
              <w:spacing w:before="480"/>
              <w:ind w:left="113" w:right="113"/>
              <w:jc w:val="right"/>
              <w:rPr>
                <w:rFonts w:ascii="Segoe UI Light" w:hAnsi="Segoe UI Light"/>
                <w:bCs/>
                <w:iCs/>
                <w:sz w:val="16"/>
                <w:szCs w:val="16"/>
              </w:rPr>
            </w:pPr>
            <w:r w:rsidRPr="003B4CDA">
              <w:rPr>
                <w:rFonts w:ascii="Segoe UI Light" w:hAnsi="Segoe UI Light"/>
                <w:bCs/>
                <w:iCs/>
                <w:sz w:val="16"/>
                <w:szCs w:val="16"/>
              </w:rPr>
              <w:t>Inženierzinātnes, ražošana un būvniecība</w:t>
            </w:r>
          </w:p>
          <w:p w14:paraId="754AE9FC" w14:textId="77777777" w:rsidR="0016645F" w:rsidRPr="003B4CDA" w:rsidRDefault="0016645F" w:rsidP="00D209BD">
            <w:pPr>
              <w:spacing w:before="720"/>
              <w:ind w:left="113" w:right="113"/>
              <w:jc w:val="right"/>
              <w:rPr>
                <w:rFonts w:ascii="Segoe UI Light" w:hAnsi="Segoe UI Light"/>
                <w:sz w:val="16"/>
                <w:szCs w:val="16"/>
              </w:rPr>
            </w:pPr>
            <w:r w:rsidRPr="003B4CDA">
              <w:rPr>
                <w:rFonts w:ascii="Segoe UI Light" w:hAnsi="Segoe UI Light"/>
                <w:bCs/>
                <w:iCs/>
                <w:sz w:val="16"/>
                <w:szCs w:val="16"/>
              </w:rPr>
              <w:t>Lauksaimniecība</w:t>
            </w:r>
          </w:p>
          <w:p w14:paraId="55FF4C80" w14:textId="77777777" w:rsidR="0016645F" w:rsidRPr="003B4CDA" w:rsidRDefault="0016645F" w:rsidP="00D209BD">
            <w:pPr>
              <w:spacing w:before="720"/>
              <w:ind w:left="113" w:right="113"/>
              <w:jc w:val="right"/>
              <w:rPr>
                <w:rFonts w:ascii="Segoe UI Light" w:hAnsi="Segoe UI Light"/>
                <w:sz w:val="16"/>
                <w:szCs w:val="16"/>
              </w:rPr>
            </w:pPr>
            <w:r w:rsidRPr="003B4CDA">
              <w:rPr>
                <w:rFonts w:ascii="Segoe UI Light" w:hAnsi="Segoe UI Light"/>
                <w:bCs/>
                <w:iCs/>
                <w:sz w:val="16"/>
                <w:szCs w:val="16"/>
              </w:rPr>
              <w:t>Veselības aprūpe un sociālā labklājība</w:t>
            </w:r>
          </w:p>
          <w:p w14:paraId="3E26B054" w14:textId="77777777" w:rsidR="0016645F" w:rsidRPr="003B4CDA" w:rsidRDefault="0016645F" w:rsidP="00D209BD">
            <w:pPr>
              <w:spacing w:before="720"/>
              <w:ind w:left="113" w:right="113"/>
              <w:jc w:val="right"/>
              <w:rPr>
                <w:rFonts w:ascii="Segoe UI Light" w:hAnsi="Segoe UI Light"/>
                <w:bCs/>
                <w:iCs/>
                <w:sz w:val="16"/>
                <w:szCs w:val="16"/>
              </w:rPr>
            </w:pPr>
            <w:r w:rsidRPr="003B4CDA">
              <w:rPr>
                <w:rFonts w:ascii="Segoe UI Light" w:hAnsi="Segoe UI Light"/>
                <w:bCs/>
                <w:iCs/>
                <w:sz w:val="16"/>
                <w:szCs w:val="16"/>
              </w:rPr>
              <w:t>Pakalpojumi</w:t>
            </w:r>
          </w:p>
          <w:p w14:paraId="6D475A95" w14:textId="77777777" w:rsidR="0016645F" w:rsidRPr="003B4CDA" w:rsidRDefault="0016645F" w:rsidP="00D209BD">
            <w:pPr>
              <w:spacing w:before="660"/>
              <w:ind w:left="113" w:right="113"/>
              <w:jc w:val="right"/>
              <w:rPr>
                <w:rFonts w:ascii="Segoe UI Light" w:hAnsi="Segoe UI Light"/>
                <w:sz w:val="16"/>
                <w:szCs w:val="16"/>
              </w:rPr>
            </w:pPr>
            <w:r w:rsidRPr="003B4CDA">
              <w:rPr>
                <w:rFonts w:ascii="Segoe UI Light" w:hAnsi="Segoe UI Light"/>
                <w:bCs/>
                <w:iCs/>
                <w:sz w:val="16"/>
                <w:szCs w:val="16"/>
              </w:rPr>
              <w:t>Vispārējās izglītības un citur neklasificētās tematiskās grupas</w:t>
            </w:r>
          </w:p>
        </w:tc>
      </w:tr>
    </w:tbl>
    <w:p w14:paraId="07572AB5" w14:textId="77777777" w:rsidR="00103B84" w:rsidRDefault="00103B84" w:rsidP="0016645F">
      <w:pPr>
        <w:spacing w:after="0"/>
        <w:jc w:val="right"/>
        <w:rPr>
          <w:szCs w:val="26"/>
        </w:rPr>
      </w:pPr>
    </w:p>
    <w:p w14:paraId="6CE8F5A2" w14:textId="77777777" w:rsidR="0016645F" w:rsidRPr="003B4CDA" w:rsidRDefault="0016645F" w:rsidP="0016645F">
      <w:pPr>
        <w:jc w:val="center"/>
        <w:rPr>
          <w:b/>
          <w:bCs/>
          <w:color w:val="000000"/>
          <w:sz w:val="18"/>
          <w:szCs w:val="20"/>
        </w:rPr>
      </w:pPr>
      <w:r w:rsidRPr="003B4CDA">
        <w:rPr>
          <w:b/>
          <w:bCs/>
          <w:color w:val="000000"/>
          <w:sz w:val="18"/>
          <w:szCs w:val="20"/>
        </w:rPr>
        <w:t>Humanitārās zinātnes un māksla</w:t>
      </w:r>
    </w:p>
    <w:p w14:paraId="40243878"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48972DBB"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63C46F8F" wp14:editId="01F8B34B">
            <wp:extent cx="1440000" cy="1440000"/>
            <wp:effectExtent l="0" t="0" r="8255" b="8255"/>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3D02FEC4" wp14:editId="7B8FAA37">
            <wp:extent cx="2808000" cy="1440000"/>
            <wp:effectExtent l="0" t="0" r="0" b="825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5BEE9ADA" wp14:editId="6BB78591">
            <wp:extent cx="1440000" cy="1440000"/>
            <wp:effectExtent l="0" t="0" r="8255" b="8255"/>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6AC24C7A" w14:textId="77777777" w:rsidR="0016645F" w:rsidRPr="003B4CDA" w:rsidRDefault="0016645F" w:rsidP="0016645F">
      <w:pPr>
        <w:spacing w:after="0"/>
        <w:rPr>
          <w:color w:val="000000"/>
          <w:sz w:val="18"/>
          <w:szCs w:val="20"/>
        </w:rPr>
      </w:pPr>
    </w:p>
    <w:p w14:paraId="3AFCD397" w14:textId="77777777" w:rsidR="0016645F" w:rsidRPr="003B4CDA" w:rsidRDefault="0016645F" w:rsidP="0016645F">
      <w:pPr>
        <w:jc w:val="center"/>
        <w:rPr>
          <w:b/>
          <w:bCs/>
          <w:color w:val="000000"/>
          <w:sz w:val="18"/>
          <w:szCs w:val="20"/>
        </w:rPr>
      </w:pPr>
      <w:r w:rsidRPr="003B4CDA">
        <w:rPr>
          <w:b/>
          <w:bCs/>
          <w:color w:val="000000"/>
          <w:sz w:val="18"/>
          <w:szCs w:val="20"/>
        </w:rPr>
        <w:t xml:space="preserve">Sociālās zinātnes, </w:t>
      </w:r>
      <w:proofErr w:type="spellStart"/>
      <w:r w:rsidRPr="003B4CDA">
        <w:rPr>
          <w:b/>
          <w:bCs/>
          <w:color w:val="000000"/>
          <w:sz w:val="18"/>
          <w:szCs w:val="20"/>
        </w:rPr>
        <w:t>komerczinības</w:t>
      </w:r>
      <w:proofErr w:type="spellEnd"/>
      <w:r w:rsidRPr="003B4CDA">
        <w:rPr>
          <w:b/>
          <w:bCs/>
          <w:color w:val="000000"/>
          <w:sz w:val="18"/>
          <w:szCs w:val="20"/>
        </w:rPr>
        <w:t xml:space="preserve"> un tiesības</w:t>
      </w:r>
    </w:p>
    <w:p w14:paraId="104E1795"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1EEB6CCC"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7A8C0CD9" wp14:editId="69D5E6BA">
            <wp:extent cx="1440000" cy="1440000"/>
            <wp:effectExtent l="0" t="0" r="8255" b="8255"/>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4E015E30" wp14:editId="51820D12">
            <wp:extent cx="2808000" cy="1440000"/>
            <wp:effectExtent l="0" t="0" r="0" b="8255"/>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4E82E214" wp14:editId="0E27E64C">
            <wp:extent cx="1440000" cy="1440000"/>
            <wp:effectExtent l="0" t="0" r="8255" b="8255"/>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0E483C22" w14:textId="77777777" w:rsidR="00103B84" w:rsidRDefault="00103B84">
      <w:pPr>
        <w:spacing w:after="0"/>
        <w:rPr>
          <w:szCs w:val="26"/>
        </w:rPr>
      </w:pPr>
      <w:r>
        <w:rPr>
          <w:szCs w:val="26"/>
        </w:rPr>
        <w:br w:type="page"/>
      </w:r>
    </w:p>
    <w:p w14:paraId="553A4B24" w14:textId="101A4DA9" w:rsidR="00103B84" w:rsidRPr="003B4CDA" w:rsidRDefault="00103B84" w:rsidP="00103B84">
      <w:pPr>
        <w:spacing w:after="0"/>
        <w:jc w:val="right"/>
        <w:rPr>
          <w:szCs w:val="26"/>
        </w:rPr>
      </w:pPr>
      <w:r w:rsidRPr="003B4CDA">
        <w:rPr>
          <w:szCs w:val="26"/>
        </w:rPr>
        <w:lastRenderedPageBreak/>
        <w:t>3.1</w:t>
      </w:r>
      <w:r w:rsidR="001179C2">
        <w:rPr>
          <w:szCs w:val="26"/>
        </w:rPr>
        <w:t>6</w:t>
      </w:r>
      <w:r w:rsidRPr="003B4CDA">
        <w:rPr>
          <w:szCs w:val="26"/>
        </w:rPr>
        <w:t>. attēla turpinājums</w:t>
      </w:r>
    </w:p>
    <w:p w14:paraId="127EA8B5" w14:textId="77777777" w:rsidR="0016645F" w:rsidRPr="003B4CDA" w:rsidRDefault="0016645F" w:rsidP="0016645F">
      <w:pPr>
        <w:jc w:val="center"/>
        <w:rPr>
          <w:b/>
          <w:bCs/>
          <w:color w:val="000000"/>
          <w:sz w:val="18"/>
          <w:szCs w:val="20"/>
        </w:rPr>
      </w:pPr>
      <w:r w:rsidRPr="003B4CDA">
        <w:rPr>
          <w:b/>
          <w:bCs/>
          <w:color w:val="000000"/>
          <w:sz w:val="18"/>
          <w:szCs w:val="20"/>
        </w:rPr>
        <w:t>Dabas zinātnes, matemātika un informācijas tehnoloģijas</w:t>
      </w:r>
    </w:p>
    <w:p w14:paraId="201ADC35"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417E966D"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2BBA9A99" wp14:editId="30C9A0C5">
            <wp:extent cx="1440000" cy="1440000"/>
            <wp:effectExtent l="0" t="0" r="8255" b="825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42298074" wp14:editId="053C4695">
            <wp:extent cx="2808000" cy="1440000"/>
            <wp:effectExtent l="0" t="0" r="0" b="8255"/>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09EB2801" wp14:editId="1D6A5B79">
            <wp:extent cx="1440000" cy="1440000"/>
            <wp:effectExtent l="0" t="0" r="8255" b="8255"/>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65E4D95F" w14:textId="77777777" w:rsidR="00103B84" w:rsidRDefault="00103B84" w:rsidP="0016645F">
      <w:pPr>
        <w:jc w:val="right"/>
        <w:rPr>
          <w:szCs w:val="26"/>
        </w:rPr>
      </w:pPr>
    </w:p>
    <w:p w14:paraId="0780F6AB" w14:textId="77777777" w:rsidR="0016645F" w:rsidRPr="003B4CDA" w:rsidRDefault="0016645F" w:rsidP="0016645F">
      <w:pPr>
        <w:jc w:val="center"/>
        <w:rPr>
          <w:b/>
          <w:bCs/>
          <w:color w:val="000000"/>
          <w:sz w:val="18"/>
          <w:szCs w:val="20"/>
        </w:rPr>
      </w:pPr>
      <w:r w:rsidRPr="003B4CDA">
        <w:rPr>
          <w:b/>
          <w:bCs/>
          <w:color w:val="000000"/>
          <w:sz w:val="18"/>
          <w:szCs w:val="20"/>
        </w:rPr>
        <w:t>Inženierzinātnes, ražošana un būvniecība</w:t>
      </w:r>
    </w:p>
    <w:p w14:paraId="7983A468"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4A472304"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1443F1C6" wp14:editId="0D9EF0FB">
            <wp:extent cx="1440000" cy="1440000"/>
            <wp:effectExtent l="0" t="0" r="825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258F7B91" wp14:editId="746C69D7">
            <wp:extent cx="2808000" cy="1440000"/>
            <wp:effectExtent l="0" t="0" r="0" b="8255"/>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45E03600" wp14:editId="4584791D">
            <wp:extent cx="1440000" cy="1440000"/>
            <wp:effectExtent l="0" t="0" r="8255" b="8255"/>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26172666" w14:textId="77777777" w:rsidR="0016645F" w:rsidRPr="003B4CDA" w:rsidRDefault="0016645F" w:rsidP="0016645F">
      <w:pPr>
        <w:spacing w:after="0"/>
        <w:rPr>
          <w:szCs w:val="26"/>
        </w:rPr>
      </w:pPr>
    </w:p>
    <w:p w14:paraId="6128D7A4" w14:textId="77777777" w:rsidR="0016645F" w:rsidRPr="003B4CDA" w:rsidRDefault="0016645F" w:rsidP="0016645F">
      <w:pPr>
        <w:jc w:val="center"/>
        <w:rPr>
          <w:b/>
          <w:bCs/>
          <w:color w:val="000000"/>
          <w:sz w:val="18"/>
          <w:szCs w:val="20"/>
        </w:rPr>
      </w:pPr>
      <w:r w:rsidRPr="003B4CDA">
        <w:rPr>
          <w:b/>
          <w:bCs/>
          <w:color w:val="000000"/>
          <w:sz w:val="18"/>
          <w:szCs w:val="20"/>
        </w:rPr>
        <w:t>Lauksaimniecība</w:t>
      </w:r>
    </w:p>
    <w:p w14:paraId="76E59E71"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61FC5C85"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06272295" wp14:editId="266667D3">
            <wp:extent cx="1440000" cy="1440000"/>
            <wp:effectExtent l="0" t="0" r="8255" b="825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41A9DE3F" wp14:editId="36B6E425">
            <wp:extent cx="2808000" cy="1440000"/>
            <wp:effectExtent l="0" t="0" r="0" b="8255"/>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5AED3C75" wp14:editId="5A352EDE">
            <wp:extent cx="1440000" cy="1440000"/>
            <wp:effectExtent l="0" t="0" r="8255" b="8255"/>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297643BE" w14:textId="77777777" w:rsidR="0016645F" w:rsidRPr="003B4CDA" w:rsidRDefault="0016645F" w:rsidP="0016645F">
      <w:pPr>
        <w:ind w:right="-285"/>
        <w:rPr>
          <w:bCs/>
          <w:color w:val="000000"/>
          <w:sz w:val="16"/>
        </w:rPr>
      </w:pPr>
    </w:p>
    <w:p w14:paraId="498456AE" w14:textId="77777777" w:rsidR="00103B84" w:rsidRDefault="00103B84">
      <w:pPr>
        <w:spacing w:after="0"/>
        <w:rPr>
          <w:szCs w:val="26"/>
        </w:rPr>
      </w:pPr>
      <w:r>
        <w:rPr>
          <w:szCs w:val="26"/>
        </w:rPr>
        <w:br w:type="page"/>
      </w:r>
    </w:p>
    <w:p w14:paraId="59A7B8DC" w14:textId="233053D8" w:rsidR="00103B84" w:rsidRPr="003B4CDA" w:rsidRDefault="00103B84" w:rsidP="00103B84">
      <w:pPr>
        <w:jc w:val="right"/>
        <w:rPr>
          <w:szCs w:val="26"/>
        </w:rPr>
      </w:pPr>
      <w:r w:rsidRPr="003B4CDA">
        <w:rPr>
          <w:szCs w:val="26"/>
        </w:rPr>
        <w:lastRenderedPageBreak/>
        <w:t>3.1</w:t>
      </w:r>
      <w:r w:rsidR="001179C2">
        <w:rPr>
          <w:szCs w:val="26"/>
        </w:rPr>
        <w:t>6</w:t>
      </w:r>
      <w:r w:rsidRPr="003B4CDA">
        <w:rPr>
          <w:szCs w:val="26"/>
        </w:rPr>
        <w:t>. attēla turpinājums</w:t>
      </w:r>
    </w:p>
    <w:p w14:paraId="3911994E" w14:textId="77777777" w:rsidR="0016645F" w:rsidRPr="003B4CDA" w:rsidRDefault="0016645F" w:rsidP="0016645F">
      <w:pPr>
        <w:jc w:val="center"/>
        <w:rPr>
          <w:b/>
          <w:bCs/>
          <w:color w:val="000000"/>
          <w:sz w:val="18"/>
          <w:szCs w:val="20"/>
        </w:rPr>
      </w:pPr>
      <w:r w:rsidRPr="003B4CDA">
        <w:rPr>
          <w:b/>
          <w:bCs/>
          <w:color w:val="000000"/>
          <w:sz w:val="18"/>
          <w:szCs w:val="20"/>
        </w:rPr>
        <w:t>Veselības aprūpe un sociālā labklājība</w:t>
      </w:r>
    </w:p>
    <w:p w14:paraId="73331189"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2027. gadā</w:t>
      </w:r>
    </w:p>
    <w:p w14:paraId="0934AA8F"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4553D6BC" wp14:editId="3C61CD34">
            <wp:extent cx="1440000" cy="1440000"/>
            <wp:effectExtent l="0" t="0" r="8255" b="8255"/>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0F0A14BE" wp14:editId="495705AC">
            <wp:extent cx="2808000" cy="1440000"/>
            <wp:effectExtent l="0" t="0" r="0" b="8255"/>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413C50D2" wp14:editId="41F54FEC">
            <wp:extent cx="1440000" cy="1440000"/>
            <wp:effectExtent l="0" t="0" r="8255" b="8255"/>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57DD0B57" w14:textId="77777777" w:rsidR="00103B84" w:rsidRDefault="00103B84" w:rsidP="0016645F">
      <w:pPr>
        <w:jc w:val="right"/>
        <w:rPr>
          <w:szCs w:val="26"/>
        </w:rPr>
      </w:pPr>
    </w:p>
    <w:p w14:paraId="3C62C048" w14:textId="77777777" w:rsidR="0016645F" w:rsidRPr="003B4CDA" w:rsidRDefault="0016645F" w:rsidP="0016645F">
      <w:pPr>
        <w:jc w:val="center"/>
        <w:rPr>
          <w:b/>
          <w:bCs/>
          <w:color w:val="000000"/>
          <w:sz w:val="18"/>
          <w:szCs w:val="20"/>
        </w:rPr>
      </w:pPr>
      <w:r w:rsidRPr="003B4CDA">
        <w:rPr>
          <w:b/>
          <w:bCs/>
          <w:color w:val="000000"/>
          <w:sz w:val="18"/>
          <w:szCs w:val="20"/>
        </w:rPr>
        <w:t>Pakalpojumi</w:t>
      </w:r>
    </w:p>
    <w:p w14:paraId="33774CC5"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02C8E767"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7B07DD15" wp14:editId="77B9725A">
            <wp:extent cx="1440000" cy="1440000"/>
            <wp:effectExtent l="0" t="0" r="8255" b="8255"/>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2064CD20" wp14:editId="7C5FA025">
            <wp:extent cx="2808000" cy="1440000"/>
            <wp:effectExtent l="0" t="0" r="0" b="8255"/>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58843AF1" wp14:editId="63D6123B">
            <wp:extent cx="1440000" cy="1440000"/>
            <wp:effectExtent l="0" t="0" r="8255" b="825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706218FB" w14:textId="77777777" w:rsidR="0016645F" w:rsidRPr="003B4CDA" w:rsidRDefault="0016645F" w:rsidP="0016645F">
      <w:pPr>
        <w:ind w:right="-285"/>
        <w:rPr>
          <w:bCs/>
          <w:color w:val="000000"/>
          <w:sz w:val="16"/>
        </w:rPr>
      </w:pPr>
    </w:p>
    <w:p w14:paraId="7E6548B9" w14:textId="77777777" w:rsidR="0016645F" w:rsidRPr="003B4CDA" w:rsidRDefault="0016645F" w:rsidP="0016645F">
      <w:pPr>
        <w:jc w:val="center"/>
        <w:rPr>
          <w:b/>
          <w:bCs/>
          <w:color w:val="000000"/>
          <w:sz w:val="18"/>
          <w:szCs w:val="20"/>
        </w:rPr>
      </w:pPr>
      <w:r w:rsidRPr="003B4CDA">
        <w:rPr>
          <w:b/>
          <w:bCs/>
          <w:color w:val="000000"/>
          <w:sz w:val="18"/>
          <w:szCs w:val="20"/>
        </w:rPr>
        <w:t>Vispārējās izglītības un citur neklasificētās tematiskās grupas</w:t>
      </w:r>
    </w:p>
    <w:p w14:paraId="0EA3D593" w14:textId="77777777" w:rsidR="0016645F" w:rsidRPr="003B4CDA" w:rsidRDefault="0016645F" w:rsidP="0016645F">
      <w:pPr>
        <w:tabs>
          <w:tab w:val="center" w:pos="1134"/>
          <w:tab w:val="center" w:pos="4536"/>
          <w:tab w:val="center" w:pos="7938"/>
        </w:tabs>
        <w:rPr>
          <w:bCs/>
          <w:color w:val="000000"/>
          <w:sz w:val="16"/>
        </w:rPr>
      </w:pPr>
      <w:r w:rsidRPr="003B4CDA">
        <w:rPr>
          <w:bCs/>
          <w:color w:val="000000"/>
          <w:sz w:val="16"/>
        </w:rPr>
        <w:tab/>
        <w:t>Piedāvājuma struktūra</w:t>
      </w:r>
      <w:r w:rsidRPr="003B4CDA">
        <w:rPr>
          <w:bCs/>
          <w:color w:val="000000"/>
          <w:sz w:val="16"/>
        </w:rPr>
        <w:tab/>
        <w:t>Piedāvājuma un pieprasījuma dinamika</w:t>
      </w:r>
      <w:r w:rsidRPr="003B4CDA">
        <w:rPr>
          <w:bCs/>
          <w:color w:val="000000"/>
          <w:sz w:val="16"/>
        </w:rPr>
        <w:tab/>
        <w:t>Neatbilstība</w:t>
      </w:r>
      <w:r w:rsidRPr="003B4CDA">
        <w:rPr>
          <w:bCs/>
          <w:color w:val="000000"/>
          <w:sz w:val="16"/>
        </w:rPr>
        <w:br/>
      </w:r>
      <w:r w:rsidRPr="003B4CDA">
        <w:rPr>
          <w:bCs/>
          <w:color w:val="000000"/>
          <w:sz w:val="16"/>
        </w:rPr>
        <w:tab/>
        <w:t>procentos, 20</w:t>
      </w:r>
      <w:r>
        <w:rPr>
          <w:bCs/>
          <w:color w:val="000000"/>
          <w:sz w:val="16"/>
        </w:rPr>
        <w:t>30</w:t>
      </w:r>
      <w:r w:rsidRPr="003B4CDA">
        <w:rPr>
          <w:bCs/>
          <w:color w:val="000000"/>
          <w:sz w:val="16"/>
        </w:rPr>
        <w:t>. gadā</w:t>
      </w:r>
      <w:r w:rsidRPr="003B4CDA">
        <w:rPr>
          <w:bCs/>
          <w:color w:val="000000"/>
          <w:sz w:val="16"/>
        </w:rPr>
        <w:tab/>
        <w:t>tūkstošos</w:t>
      </w:r>
      <w:r w:rsidRPr="003B4CDA">
        <w:rPr>
          <w:bCs/>
          <w:color w:val="000000"/>
          <w:sz w:val="16"/>
        </w:rPr>
        <w:tab/>
        <w:t xml:space="preserve">pieprasījums pret piedāvājumu, </w:t>
      </w:r>
      <w:r w:rsidRPr="003B4CDA">
        <w:rPr>
          <w:bCs/>
          <w:color w:val="000000"/>
          <w:sz w:val="16"/>
        </w:rPr>
        <w:br/>
      </w:r>
      <w:r w:rsidRPr="003B4CDA">
        <w:rPr>
          <w:bCs/>
          <w:color w:val="000000"/>
          <w:sz w:val="16"/>
        </w:rPr>
        <w:tab/>
      </w:r>
      <w:r w:rsidRPr="003B4CDA">
        <w:rPr>
          <w:bCs/>
          <w:color w:val="000000"/>
          <w:sz w:val="16"/>
        </w:rPr>
        <w:tab/>
      </w:r>
      <w:r w:rsidRPr="003B4CDA">
        <w:rPr>
          <w:bCs/>
          <w:color w:val="000000"/>
          <w:sz w:val="16"/>
        </w:rPr>
        <w:tab/>
        <w:t>procentos, 20</w:t>
      </w:r>
      <w:r>
        <w:rPr>
          <w:bCs/>
          <w:color w:val="000000"/>
          <w:sz w:val="16"/>
        </w:rPr>
        <w:t>30</w:t>
      </w:r>
      <w:r w:rsidRPr="003B4CDA">
        <w:rPr>
          <w:bCs/>
          <w:color w:val="000000"/>
          <w:sz w:val="16"/>
        </w:rPr>
        <w:t>. gadā</w:t>
      </w:r>
    </w:p>
    <w:p w14:paraId="3E451F53" w14:textId="77777777" w:rsidR="0016645F" w:rsidRPr="003B4CDA" w:rsidRDefault="0016645F" w:rsidP="0016645F">
      <w:pPr>
        <w:ind w:right="-285"/>
        <w:rPr>
          <w:bCs/>
          <w:color w:val="000000"/>
          <w:sz w:val="16"/>
        </w:rPr>
      </w:pPr>
      <w:r w:rsidRPr="003B4CDA">
        <w:rPr>
          <w:bCs/>
          <w:noProof/>
          <w:color w:val="000000"/>
          <w:sz w:val="16"/>
          <w:lang w:eastAsia="lv-LV"/>
        </w:rPr>
        <w:drawing>
          <wp:inline distT="0" distB="0" distL="0" distR="0" wp14:anchorId="268643BE" wp14:editId="07E18F7E">
            <wp:extent cx="1440000" cy="1440000"/>
            <wp:effectExtent l="0" t="0" r="8255" b="8255"/>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sidRPr="003B4CDA">
        <w:rPr>
          <w:bCs/>
          <w:color w:val="000000"/>
          <w:sz w:val="16"/>
        </w:rPr>
        <w:t xml:space="preserve">   </w:t>
      </w:r>
      <w:r w:rsidRPr="003B4CDA">
        <w:rPr>
          <w:bCs/>
          <w:iCs/>
          <w:noProof/>
          <w:sz w:val="18"/>
          <w:szCs w:val="26"/>
          <w:lang w:eastAsia="lv-LV"/>
        </w:rPr>
        <w:drawing>
          <wp:inline distT="0" distB="0" distL="0" distR="0" wp14:anchorId="734A827A" wp14:editId="334BC209">
            <wp:extent cx="2808000" cy="1440000"/>
            <wp:effectExtent l="0" t="0" r="0" b="825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r w:rsidRPr="003B4CDA">
        <w:rPr>
          <w:bCs/>
          <w:color w:val="000000"/>
          <w:sz w:val="16"/>
        </w:rPr>
        <w:t xml:space="preserve">   </w:t>
      </w:r>
      <w:r w:rsidRPr="003B4CDA">
        <w:rPr>
          <w:bCs/>
          <w:noProof/>
          <w:color w:val="000000"/>
          <w:sz w:val="16"/>
          <w:lang w:eastAsia="lv-LV"/>
        </w:rPr>
        <w:drawing>
          <wp:inline distT="0" distB="0" distL="0" distR="0" wp14:anchorId="1E82ED9F" wp14:editId="1FE2A51C">
            <wp:extent cx="1440000" cy="1440000"/>
            <wp:effectExtent l="0" t="0" r="8255" b="8255"/>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7CCF9275" w14:textId="77777777" w:rsidR="0016645F" w:rsidRPr="00103B84" w:rsidRDefault="0016645F" w:rsidP="00C24E26">
      <w:pPr>
        <w:spacing w:before="120"/>
        <w:jc w:val="both"/>
        <w:rPr>
          <w:rFonts w:cs="Calibri Light"/>
          <w:sz w:val="12"/>
          <w:szCs w:val="10"/>
        </w:rPr>
      </w:pPr>
      <w:r w:rsidRPr="00103B84">
        <w:rPr>
          <w:rFonts w:cs="Calibri Light"/>
          <w:sz w:val="12"/>
          <w:szCs w:val="10"/>
        </w:rPr>
        <w:t>Avots: CSP dati līdz 2019. gadam, EM prognozes sākot ar 2020. gadu</w:t>
      </w:r>
    </w:p>
    <w:p w14:paraId="42329481" w14:textId="53C0DE1E" w:rsidR="0016645F" w:rsidRPr="003B4CDA" w:rsidRDefault="00C24E26" w:rsidP="0016645F">
      <w:pPr>
        <w:jc w:val="both"/>
      </w:pPr>
      <w:r>
        <w:br/>
      </w:r>
      <w:r w:rsidR="094D5FF8">
        <w:t xml:space="preserve">Nepietiekams darbaspēka piedāvājums </w:t>
      </w:r>
      <w:r w:rsidR="094D5FF8" w:rsidRPr="4398C881">
        <w:rPr>
          <w:b/>
          <w:bCs/>
        </w:rPr>
        <w:t>ar profesionālo izglītību</w:t>
      </w:r>
      <w:r w:rsidR="094D5FF8">
        <w:t xml:space="preserve"> sagaidāms gandrīz visās izglītības tematiskajās grupās. Būtiskākais iztrūkums sagaidāms inženierzinātņu, ražošanas un būvniecības tematiskajās grupās – galvenokārt tādās jomas kā būvniecība un civilā celtniecība, mehānika un metālapstrāde, </w:t>
      </w:r>
      <w:proofErr w:type="spellStart"/>
      <w:r w:rsidR="094D5FF8">
        <w:t>mašīnzinības</w:t>
      </w:r>
      <w:proofErr w:type="spellEnd"/>
      <w:r w:rsidR="094D5FF8">
        <w:t xml:space="preserve">, kā arī kokapstrādes tehnoloģijas un izstrādājumu izgatavošana. Inženierzinātņu, ražošanas un būvniecības vidējās </w:t>
      </w:r>
      <w:r w:rsidR="094D5FF8">
        <w:lastRenderedPageBreak/>
        <w:t>kvalifikācijas speciālistu iztrūkums līdz 2030. gadam varētu pieaugt līdz aptuveni 43 tūkst. speciālistu. Relatīvajā izteiksmē speciālistu iztrūkums ar izglītību inženierzinātņu un ražošanas tematiskajā grupā ir pieaudzis, salīdzinot ar 2020. gada darba tirgus prognozēm, un tendence iztrūkumam pakāpeniski pieaugt ilgtermiņā saglabājas, kas lielā mērā atspoguļo atbilstošā izglītības piedāvājuma strukturālās izmaiņas – gan uzņemto audzēkņu, gan absolventu īpatsvars attiecīgajā tematiskajā grupā kopš 2008. gada ir sarucis par attiecīgi 8 un 7</w:t>
      </w:r>
      <w:r w:rsidR="6341AC55">
        <w:t> </w:t>
      </w:r>
      <w:r w:rsidR="094D5FF8">
        <w:t>procentpunktiem.</w:t>
      </w:r>
    </w:p>
    <w:p w14:paraId="2977F866" w14:textId="77777777" w:rsidR="0016645F" w:rsidRPr="003B4CDA" w:rsidRDefault="0016645F" w:rsidP="0016645F">
      <w:pPr>
        <w:jc w:val="both"/>
        <w:rPr>
          <w:szCs w:val="20"/>
        </w:rPr>
      </w:pPr>
      <w:r w:rsidRPr="003B4CDA">
        <w:rPr>
          <w:szCs w:val="20"/>
        </w:rPr>
        <w:t xml:space="preserve">Attiecība starp darbaspēka pieprasījumu un piedāvājumu ir pieaugusi sociālās zinātnēs, </w:t>
      </w:r>
      <w:proofErr w:type="spellStart"/>
      <w:r w:rsidRPr="003B4CDA">
        <w:rPr>
          <w:szCs w:val="20"/>
        </w:rPr>
        <w:t>komerczinībās</w:t>
      </w:r>
      <w:proofErr w:type="spellEnd"/>
      <w:r w:rsidRPr="003B4CDA">
        <w:rPr>
          <w:szCs w:val="20"/>
        </w:rPr>
        <w:t xml:space="preserve"> un tiesībās, kā arī dabas zinātnēs,</w:t>
      </w:r>
      <w:r w:rsidRPr="003B4CDA">
        <w:t xml:space="preserve"> </w:t>
      </w:r>
      <w:r w:rsidRPr="003B4CDA">
        <w:rPr>
          <w:szCs w:val="20"/>
        </w:rPr>
        <w:t>matemātikā un informācijas tehnoloģijās</w:t>
      </w:r>
      <w:r>
        <w:rPr>
          <w:szCs w:val="20"/>
        </w:rPr>
        <w:t xml:space="preserve">, </w:t>
      </w:r>
      <w:r w:rsidRPr="003B4CDA">
        <w:rPr>
          <w:szCs w:val="20"/>
        </w:rPr>
        <w:t>veselības aprūpē un sociālajā labklājībā</w:t>
      </w:r>
      <w:r>
        <w:rPr>
          <w:szCs w:val="20"/>
        </w:rPr>
        <w:t xml:space="preserve"> un pakalpojumos</w:t>
      </w:r>
      <w:r w:rsidRPr="005D6D2B">
        <w:rPr>
          <w:szCs w:val="20"/>
        </w:rPr>
        <w:t>. Līdzīgi kā inženierzinātnēs, arī šajās tematiskajās grupās, izņemot  dabas zinātnēs, matemātikā un informācijas tehnoloģijās, absolventu īpatsvars pēdējos gados ir samazinājies. Turklāt veselības aprūpes un sociālās labklājības tematiskajā grupā iztrūkums pieaug darbaspēka novecošanās dēļ, kā arī daudzas medicīnas programmas vairs neīsteno profesionālās vidējās izglītības līmeni un pamatā pārstrukturētas uz koledžām, kas nozīmē, ka jauni atbilstošās kvalifikācijas speciālisti nāk klāt ievērojami mazāk.</w:t>
      </w:r>
    </w:p>
    <w:p w14:paraId="48646FE4" w14:textId="77777777" w:rsidR="0016645F" w:rsidRPr="003B4CDA" w:rsidRDefault="0016645F" w:rsidP="0016645F">
      <w:pPr>
        <w:jc w:val="right"/>
        <w:rPr>
          <w:szCs w:val="26"/>
        </w:rPr>
      </w:pPr>
      <w:r w:rsidRPr="003B4CDA">
        <w:rPr>
          <w:szCs w:val="26"/>
        </w:rPr>
        <w:t>3.13. tabula</w:t>
      </w:r>
    </w:p>
    <w:p w14:paraId="5025689A" w14:textId="77777777" w:rsidR="0016645F" w:rsidRPr="003B4CDA" w:rsidRDefault="0016645F" w:rsidP="0016645F">
      <w:pPr>
        <w:spacing w:after="120"/>
        <w:jc w:val="center"/>
        <w:rPr>
          <w:rFonts w:ascii="Segoe UI Light" w:hAnsi="Segoe UI Light"/>
          <w:i/>
          <w:sz w:val="16"/>
        </w:rPr>
      </w:pPr>
      <w:r w:rsidRPr="003B4CDA">
        <w:rPr>
          <w:rFonts w:ascii="Segoe UI Light" w:hAnsi="Segoe UI Light"/>
          <w:b/>
          <w:sz w:val="18"/>
          <w:szCs w:val="26"/>
        </w:rPr>
        <w:t>Darbaspēka pieprasījuma un piedāvājuma prognozes pa izglītības tematiskām grupām</w:t>
      </w:r>
      <w:r w:rsidRPr="003B4CDA">
        <w:rPr>
          <w:rFonts w:ascii="Segoe UI Light" w:hAnsi="Segoe UI Light"/>
          <w:b/>
          <w:sz w:val="18"/>
          <w:szCs w:val="26"/>
        </w:rPr>
        <w:br/>
      </w:r>
      <w:r w:rsidRPr="003B4CDA">
        <w:rPr>
          <w:rFonts w:ascii="Segoe UI Light" w:hAnsi="Segoe UI Light"/>
          <w:i/>
          <w:sz w:val="16"/>
        </w:rPr>
        <w:t>Saglabājoties pašreizējai darbaspēka sagatavošanas struktūrai</w:t>
      </w:r>
    </w:p>
    <w:tbl>
      <w:tblPr>
        <w:tblStyle w:val="GridTable5Dark-Accent31"/>
        <w:tblW w:w="5103" w:type="pc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3275"/>
        <w:gridCol w:w="992"/>
        <w:gridCol w:w="996"/>
        <w:gridCol w:w="1001"/>
        <w:gridCol w:w="992"/>
        <w:gridCol w:w="996"/>
        <w:gridCol w:w="996"/>
      </w:tblGrid>
      <w:tr w:rsidR="00A36BBF" w:rsidRPr="003B4CDA" w14:paraId="41F4CFD9" w14:textId="77777777" w:rsidTr="00103B84">
        <w:trPr>
          <w:cnfStyle w:val="100000000000" w:firstRow="1" w:lastRow="0" w:firstColumn="0" w:lastColumn="0" w:oddVBand="0" w:evenVBand="0" w:oddHBand="0" w:evenHBand="0" w:firstRowFirstColumn="0" w:firstRowLastColumn="0" w:lastRowFirstColumn="0" w:lastRowLastColumn="0"/>
          <w:cantSplit/>
          <w:trHeight w:val="20"/>
        </w:trPr>
        <w:tc>
          <w:tcPr>
            <w:tcW w:w="1771" w:type="pct"/>
            <w:shd w:val="clear" w:color="auto" w:fill="5F497A" w:themeFill="accent4" w:themeFillShade="BF"/>
            <w:hideMark/>
          </w:tcPr>
          <w:p w14:paraId="462AAF91" w14:textId="77777777" w:rsidR="0016645F" w:rsidRPr="003B4CDA" w:rsidRDefault="0016645F" w:rsidP="00D209BD">
            <w:pPr>
              <w:spacing w:before="40" w:after="40"/>
              <w:jc w:val="center"/>
              <w:rPr>
                <w:rFonts w:ascii="Segoe UI Light" w:eastAsia="Times New Roman" w:hAnsi="Segoe UI Light"/>
                <w:b w:val="0"/>
                <w:bCs w:val="0"/>
                <w:sz w:val="16"/>
                <w:szCs w:val="16"/>
              </w:rPr>
            </w:pPr>
          </w:p>
        </w:tc>
        <w:tc>
          <w:tcPr>
            <w:tcW w:w="1616" w:type="pct"/>
            <w:gridSpan w:val="3"/>
            <w:shd w:val="clear" w:color="auto" w:fill="5F497A" w:themeFill="accent4" w:themeFillShade="BF"/>
          </w:tcPr>
          <w:p w14:paraId="6E9E1C6C" w14:textId="77777777" w:rsidR="0016645F" w:rsidRPr="003B4CDA" w:rsidRDefault="0016645F" w:rsidP="00D209BD">
            <w:pPr>
              <w:spacing w:before="40" w:after="40"/>
              <w:jc w:val="center"/>
              <w:rPr>
                <w:rFonts w:ascii="Segoe UI Light" w:eastAsia="Times New Roman" w:hAnsi="Segoe UI Light"/>
                <w:sz w:val="16"/>
                <w:szCs w:val="16"/>
              </w:rPr>
            </w:pPr>
            <w:r w:rsidRPr="003B4CDA">
              <w:rPr>
                <w:rFonts w:ascii="Segoe UI Light" w:eastAsia="Times New Roman" w:hAnsi="Segoe UI Light"/>
                <w:sz w:val="16"/>
                <w:szCs w:val="16"/>
              </w:rPr>
              <w:t>20</w:t>
            </w:r>
            <w:r>
              <w:rPr>
                <w:rFonts w:ascii="Segoe UI Light" w:eastAsia="Times New Roman" w:hAnsi="Segoe UI Light"/>
                <w:sz w:val="16"/>
                <w:szCs w:val="16"/>
              </w:rPr>
              <w:t>30</w:t>
            </w:r>
          </w:p>
        </w:tc>
        <w:tc>
          <w:tcPr>
            <w:tcW w:w="1613" w:type="pct"/>
            <w:gridSpan w:val="3"/>
            <w:shd w:val="clear" w:color="auto" w:fill="5F497A" w:themeFill="accent4" w:themeFillShade="BF"/>
          </w:tcPr>
          <w:p w14:paraId="42B557C4" w14:textId="77777777" w:rsidR="0016645F" w:rsidRPr="003B4CDA" w:rsidRDefault="0016645F" w:rsidP="00D209BD">
            <w:pPr>
              <w:spacing w:before="40" w:after="40"/>
              <w:jc w:val="center"/>
              <w:rPr>
                <w:rFonts w:ascii="Segoe UI Light" w:eastAsia="Times New Roman" w:hAnsi="Segoe UI Light"/>
                <w:sz w:val="16"/>
                <w:szCs w:val="16"/>
              </w:rPr>
            </w:pPr>
            <w:r w:rsidRPr="003B4CDA">
              <w:rPr>
                <w:rFonts w:ascii="Segoe UI Light" w:eastAsia="Times New Roman" w:hAnsi="Segoe UI Light"/>
                <w:sz w:val="16"/>
                <w:szCs w:val="16"/>
              </w:rPr>
              <w:t>2040</w:t>
            </w:r>
          </w:p>
        </w:tc>
      </w:tr>
      <w:tr w:rsidR="009C6CF4" w:rsidRPr="003B4CDA" w14:paraId="37BA72DE"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5F497A" w:themeFill="accent4" w:themeFillShade="BF"/>
            <w:hideMark/>
          </w:tcPr>
          <w:p w14:paraId="67D682E8" w14:textId="77777777" w:rsidR="0016645F" w:rsidRPr="003B4CDA" w:rsidRDefault="0016645F" w:rsidP="00D209BD">
            <w:pPr>
              <w:spacing w:before="40" w:after="40"/>
              <w:jc w:val="center"/>
              <w:rPr>
                <w:rFonts w:ascii="Segoe UI Light" w:eastAsia="Times New Roman" w:hAnsi="Segoe UI Light"/>
                <w:bCs/>
                <w:color w:val="FFFFFF" w:themeColor="background1"/>
                <w:sz w:val="16"/>
                <w:szCs w:val="16"/>
              </w:rPr>
            </w:pPr>
          </w:p>
        </w:tc>
        <w:tc>
          <w:tcPr>
            <w:tcW w:w="536" w:type="pct"/>
            <w:shd w:val="clear" w:color="auto" w:fill="5F497A" w:themeFill="accent4" w:themeFillShade="BF"/>
          </w:tcPr>
          <w:p w14:paraId="2B68FEA3"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pieprasījums</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tūkst.</w:t>
            </w:r>
          </w:p>
        </w:tc>
        <w:tc>
          <w:tcPr>
            <w:tcW w:w="538" w:type="pct"/>
            <w:shd w:val="clear" w:color="auto" w:fill="5F497A" w:themeFill="accent4" w:themeFillShade="BF"/>
          </w:tcPr>
          <w:p w14:paraId="75FD6C75"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 xml:space="preserve">piedāvājums </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tūkst.</w:t>
            </w:r>
          </w:p>
        </w:tc>
        <w:tc>
          <w:tcPr>
            <w:tcW w:w="541" w:type="pct"/>
            <w:shd w:val="clear" w:color="auto" w:fill="5F497A" w:themeFill="accent4" w:themeFillShade="BF"/>
          </w:tcPr>
          <w:p w14:paraId="1636BC04"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 xml:space="preserve">atbilstība </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procentos</w:t>
            </w:r>
          </w:p>
        </w:tc>
        <w:tc>
          <w:tcPr>
            <w:tcW w:w="536" w:type="pct"/>
            <w:shd w:val="clear" w:color="auto" w:fill="5F497A" w:themeFill="accent4" w:themeFillShade="BF"/>
          </w:tcPr>
          <w:p w14:paraId="4CD7B481"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 xml:space="preserve">pieprasījums </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tūkst.</w:t>
            </w:r>
          </w:p>
        </w:tc>
        <w:tc>
          <w:tcPr>
            <w:tcW w:w="538" w:type="pct"/>
            <w:shd w:val="clear" w:color="auto" w:fill="5F497A" w:themeFill="accent4" w:themeFillShade="BF"/>
          </w:tcPr>
          <w:p w14:paraId="0A34848B"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 xml:space="preserve">piedāvājums </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tūkst.</w:t>
            </w:r>
          </w:p>
        </w:tc>
        <w:tc>
          <w:tcPr>
            <w:tcW w:w="538" w:type="pct"/>
            <w:shd w:val="clear" w:color="auto" w:fill="5F497A" w:themeFill="accent4" w:themeFillShade="BF"/>
          </w:tcPr>
          <w:p w14:paraId="1BCD8D82" w14:textId="77777777" w:rsidR="0016645F" w:rsidRPr="003B4CDA" w:rsidRDefault="0016645F" w:rsidP="00D209BD">
            <w:pPr>
              <w:spacing w:before="40" w:after="40"/>
              <w:ind w:left="-57" w:right="-57"/>
              <w:jc w:val="center"/>
              <w:rPr>
                <w:rFonts w:ascii="Segoe UI Light" w:eastAsia="Times New Roman" w:hAnsi="Segoe UI Light"/>
                <w:b/>
                <w:color w:val="FFFFFF" w:themeColor="background1"/>
                <w:sz w:val="16"/>
                <w:szCs w:val="16"/>
              </w:rPr>
            </w:pPr>
            <w:r w:rsidRPr="003B4CDA">
              <w:rPr>
                <w:rFonts w:ascii="Segoe UI Light" w:eastAsia="Times New Roman" w:hAnsi="Segoe UI Light"/>
                <w:b/>
                <w:color w:val="FFFFFF" w:themeColor="background1"/>
                <w:sz w:val="16"/>
                <w:szCs w:val="16"/>
              </w:rPr>
              <w:t xml:space="preserve">atbilstība </w:t>
            </w:r>
            <w:r w:rsidRPr="003B4CDA">
              <w:rPr>
                <w:rFonts w:ascii="Segoe UI Light" w:eastAsia="Times New Roman" w:hAnsi="Segoe UI Light"/>
                <w:b/>
                <w:color w:val="FFFFFF" w:themeColor="background1"/>
                <w:sz w:val="16"/>
                <w:szCs w:val="16"/>
              </w:rPr>
              <w:br/>
            </w:r>
            <w:r w:rsidRPr="003B4CDA">
              <w:rPr>
                <w:rFonts w:ascii="Segoe UI Light" w:eastAsia="Times New Roman" w:hAnsi="Segoe UI Light"/>
                <w:color w:val="FFFFFF" w:themeColor="background1"/>
                <w:sz w:val="14"/>
                <w:szCs w:val="16"/>
              </w:rPr>
              <w:t>procentos</w:t>
            </w:r>
          </w:p>
        </w:tc>
      </w:tr>
      <w:tr w:rsidR="009C6CF4" w:rsidRPr="003B4CDA" w14:paraId="496B9C81" w14:textId="77777777" w:rsidTr="00103B84">
        <w:trPr>
          <w:cantSplit/>
          <w:trHeight w:val="20"/>
        </w:trPr>
        <w:tc>
          <w:tcPr>
            <w:tcW w:w="1771" w:type="pct"/>
            <w:shd w:val="clear" w:color="auto" w:fill="E5DFEC" w:themeFill="accent4" w:themeFillTint="33"/>
            <w:hideMark/>
          </w:tcPr>
          <w:p w14:paraId="06D582CC" w14:textId="77777777" w:rsidR="0016645F" w:rsidRPr="003B4CDA" w:rsidRDefault="0016645F" w:rsidP="00D209BD">
            <w:pPr>
              <w:spacing w:before="40" w:after="40"/>
              <w:rPr>
                <w:rFonts w:ascii="Segoe UI Light" w:eastAsia="Times New Roman" w:hAnsi="Segoe UI Light"/>
                <w:color w:val="000000"/>
                <w:sz w:val="16"/>
                <w:szCs w:val="16"/>
              </w:rPr>
            </w:pPr>
            <w:r w:rsidRPr="003B4CDA">
              <w:rPr>
                <w:rFonts w:ascii="Segoe UI Light" w:eastAsia="Times New Roman" w:hAnsi="Segoe UI Light"/>
                <w:bCs/>
                <w:sz w:val="16"/>
                <w:szCs w:val="16"/>
              </w:rPr>
              <w:t>Augstākā izglītība, tai skaitā:</w:t>
            </w:r>
          </w:p>
        </w:tc>
        <w:tc>
          <w:tcPr>
            <w:tcW w:w="536" w:type="pct"/>
            <w:shd w:val="clear" w:color="auto" w:fill="E5DFEC" w:themeFill="accent4" w:themeFillTint="33"/>
          </w:tcPr>
          <w:p w14:paraId="48077EE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390,4</w:t>
            </w:r>
          </w:p>
        </w:tc>
        <w:tc>
          <w:tcPr>
            <w:tcW w:w="538" w:type="pct"/>
            <w:shd w:val="clear" w:color="auto" w:fill="E5DFEC" w:themeFill="accent4" w:themeFillTint="33"/>
          </w:tcPr>
          <w:p w14:paraId="629C905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416,2</w:t>
            </w:r>
          </w:p>
        </w:tc>
        <w:tc>
          <w:tcPr>
            <w:tcW w:w="541" w:type="pct"/>
            <w:shd w:val="clear" w:color="auto" w:fill="E5DFEC" w:themeFill="accent4" w:themeFillTint="33"/>
          </w:tcPr>
          <w:p w14:paraId="2B59BEA2"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9</w:t>
            </w:r>
            <w:r>
              <w:rPr>
                <w:rFonts w:ascii="Segoe UI Light" w:eastAsia="Times New Roman" w:hAnsi="Segoe UI Light" w:cs="Segoe UI Light"/>
                <w:bCs/>
                <w:sz w:val="16"/>
                <w:szCs w:val="16"/>
              </w:rPr>
              <w:t>4</w:t>
            </w:r>
          </w:p>
        </w:tc>
        <w:tc>
          <w:tcPr>
            <w:tcW w:w="536" w:type="pct"/>
            <w:shd w:val="clear" w:color="auto" w:fill="E5DFEC" w:themeFill="accent4" w:themeFillTint="33"/>
          </w:tcPr>
          <w:p w14:paraId="2CF317B5"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417,7</w:t>
            </w:r>
          </w:p>
        </w:tc>
        <w:tc>
          <w:tcPr>
            <w:tcW w:w="538" w:type="pct"/>
            <w:shd w:val="clear" w:color="auto" w:fill="E5DFEC" w:themeFill="accent4" w:themeFillTint="33"/>
          </w:tcPr>
          <w:p w14:paraId="04E13FD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456,2</w:t>
            </w:r>
          </w:p>
        </w:tc>
        <w:tc>
          <w:tcPr>
            <w:tcW w:w="538" w:type="pct"/>
            <w:shd w:val="clear" w:color="auto" w:fill="E5DFEC" w:themeFill="accent4" w:themeFillTint="33"/>
          </w:tcPr>
          <w:p w14:paraId="505AE0B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9</w:t>
            </w:r>
            <w:r>
              <w:rPr>
                <w:rFonts w:ascii="Segoe UI Light" w:eastAsia="Times New Roman" w:hAnsi="Segoe UI Light" w:cs="Segoe UI Light"/>
                <w:bCs/>
                <w:sz w:val="16"/>
                <w:szCs w:val="16"/>
              </w:rPr>
              <w:t>2</w:t>
            </w:r>
          </w:p>
        </w:tc>
      </w:tr>
      <w:tr w:rsidR="009C6CF4" w:rsidRPr="003B4CDA" w14:paraId="380BF67B"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hideMark/>
          </w:tcPr>
          <w:p w14:paraId="405FDA67"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Izglītība</w:t>
            </w:r>
          </w:p>
        </w:tc>
        <w:tc>
          <w:tcPr>
            <w:tcW w:w="536" w:type="pct"/>
            <w:shd w:val="clear" w:color="auto" w:fill="CCC0D9" w:themeFill="accent4" w:themeFillTint="66"/>
          </w:tcPr>
          <w:p w14:paraId="384A7D9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45,5</w:t>
            </w:r>
          </w:p>
        </w:tc>
        <w:tc>
          <w:tcPr>
            <w:tcW w:w="538" w:type="pct"/>
            <w:shd w:val="clear" w:color="auto" w:fill="CCC0D9" w:themeFill="accent4" w:themeFillTint="66"/>
          </w:tcPr>
          <w:p w14:paraId="1CC080A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48,7</w:t>
            </w:r>
          </w:p>
        </w:tc>
        <w:tc>
          <w:tcPr>
            <w:tcW w:w="541" w:type="pct"/>
            <w:shd w:val="clear" w:color="auto" w:fill="CCC0D9" w:themeFill="accent4" w:themeFillTint="66"/>
          </w:tcPr>
          <w:p w14:paraId="2013E04F"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9</w:t>
            </w:r>
            <w:r>
              <w:rPr>
                <w:rFonts w:ascii="Segoe UI Light" w:hAnsi="Segoe UI Light" w:cs="Segoe UI Light"/>
                <w:sz w:val="16"/>
                <w:szCs w:val="16"/>
              </w:rPr>
              <w:t>3</w:t>
            </w:r>
          </w:p>
        </w:tc>
        <w:tc>
          <w:tcPr>
            <w:tcW w:w="536" w:type="pct"/>
            <w:shd w:val="clear" w:color="auto" w:fill="CCC0D9" w:themeFill="accent4" w:themeFillTint="66"/>
          </w:tcPr>
          <w:p w14:paraId="3590EA2D"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41,2</w:t>
            </w:r>
          </w:p>
        </w:tc>
        <w:tc>
          <w:tcPr>
            <w:tcW w:w="538" w:type="pct"/>
            <w:shd w:val="clear" w:color="auto" w:fill="CCC0D9" w:themeFill="accent4" w:themeFillTint="66"/>
          </w:tcPr>
          <w:p w14:paraId="1374920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43,2</w:t>
            </w:r>
          </w:p>
        </w:tc>
        <w:tc>
          <w:tcPr>
            <w:tcW w:w="538" w:type="pct"/>
            <w:shd w:val="clear" w:color="auto" w:fill="CCC0D9" w:themeFill="accent4" w:themeFillTint="66"/>
          </w:tcPr>
          <w:p w14:paraId="7A12A33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9</w:t>
            </w:r>
            <w:r>
              <w:rPr>
                <w:rFonts w:ascii="Segoe UI Light" w:hAnsi="Segoe UI Light" w:cs="Segoe UI Light"/>
                <w:sz w:val="16"/>
                <w:szCs w:val="16"/>
              </w:rPr>
              <w:t>5</w:t>
            </w:r>
          </w:p>
        </w:tc>
      </w:tr>
      <w:tr w:rsidR="009C6CF4" w:rsidRPr="003B4CDA" w14:paraId="38160A39" w14:textId="77777777" w:rsidTr="00103B84">
        <w:trPr>
          <w:cantSplit/>
          <w:trHeight w:val="20"/>
        </w:trPr>
        <w:tc>
          <w:tcPr>
            <w:tcW w:w="1771" w:type="pct"/>
            <w:shd w:val="clear" w:color="auto" w:fill="E5DFEC" w:themeFill="accent4" w:themeFillTint="33"/>
            <w:hideMark/>
          </w:tcPr>
          <w:p w14:paraId="3DFB9870"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Humanitārās zinātnes un māksla</w:t>
            </w:r>
          </w:p>
        </w:tc>
        <w:tc>
          <w:tcPr>
            <w:tcW w:w="536" w:type="pct"/>
            <w:shd w:val="clear" w:color="auto" w:fill="E5DFEC" w:themeFill="accent4" w:themeFillTint="33"/>
          </w:tcPr>
          <w:p w14:paraId="7813CCA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20,4</w:t>
            </w:r>
          </w:p>
        </w:tc>
        <w:tc>
          <w:tcPr>
            <w:tcW w:w="538" w:type="pct"/>
            <w:shd w:val="clear" w:color="auto" w:fill="E5DFEC" w:themeFill="accent4" w:themeFillTint="33"/>
          </w:tcPr>
          <w:p w14:paraId="2A9F76A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24,2</w:t>
            </w:r>
          </w:p>
        </w:tc>
        <w:tc>
          <w:tcPr>
            <w:tcW w:w="541" w:type="pct"/>
            <w:shd w:val="clear" w:color="auto" w:fill="E5DFEC" w:themeFill="accent4" w:themeFillTint="33"/>
          </w:tcPr>
          <w:p w14:paraId="4297462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4</w:t>
            </w:r>
          </w:p>
        </w:tc>
        <w:tc>
          <w:tcPr>
            <w:tcW w:w="536" w:type="pct"/>
            <w:shd w:val="clear" w:color="auto" w:fill="E5DFEC" w:themeFill="accent4" w:themeFillTint="33"/>
          </w:tcPr>
          <w:p w14:paraId="406BE299"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22,6</w:t>
            </w:r>
          </w:p>
        </w:tc>
        <w:tc>
          <w:tcPr>
            <w:tcW w:w="538" w:type="pct"/>
            <w:shd w:val="clear" w:color="auto" w:fill="E5DFEC" w:themeFill="accent4" w:themeFillTint="33"/>
          </w:tcPr>
          <w:p w14:paraId="05E0CE8B"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30,1</w:t>
            </w:r>
          </w:p>
        </w:tc>
        <w:tc>
          <w:tcPr>
            <w:tcW w:w="538" w:type="pct"/>
            <w:shd w:val="clear" w:color="auto" w:fill="E5DFEC" w:themeFill="accent4" w:themeFillTint="33"/>
          </w:tcPr>
          <w:p w14:paraId="1C605E8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75</w:t>
            </w:r>
          </w:p>
        </w:tc>
      </w:tr>
      <w:tr w:rsidR="009C6CF4" w:rsidRPr="003B4CDA" w14:paraId="316DA696"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hideMark/>
          </w:tcPr>
          <w:p w14:paraId="40930F9D" w14:textId="77777777" w:rsidR="0016645F" w:rsidRPr="003B4CDA" w:rsidRDefault="0016645F" w:rsidP="00D209BD">
            <w:pPr>
              <w:spacing w:before="40" w:after="40"/>
              <w:ind w:left="187" w:right="-113"/>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 xml:space="preserve">Sociālās zinātnes, </w:t>
            </w:r>
            <w:proofErr w:type="spellStart"/>
            <w:r w:rsidRPr="003B4CDA">
              <w:rPr>
                <w:rFonts w:ascii="Segoe UI Light" w:eastAsia="Times New Roman" w:hAnsi="Segoe UI Light"/>
                <w:color w:val="000000"/>
                <w:sz w:val="16"/>
                <w:szCs w:val="16"/>
              </w:rPr>
              <w:t>komerczinības</w:t>
            </w:r>
            <w:proofErr w:type="spellEnd"/>
            <w:r w:rsidRPr="003B4CDA">
              <w:rPr>
                <w:rFonts w:ascii="Segoe UI Light" w:eastAsia="Times New Roman" w:hAnsi="Segoe UI Light"/>
                <w:color w:val="000000"/>
                <w:sz w:val="16"/>
                <w:szCs w:val="16"/>
              </w:rPr>
              <w:t xml:space="preserve"> un tiesības</w:t>
            </w:r>
          </w:p>
        </w:tc>
        <w:tc>
          <w:tcPr>
            <w:tcW w:w="536" w:type="pct"/>
            <w:shd w:val="clear" w:color="auto" w:fill="CCC0D9" w:themeFill="accent4" w:themeFillTint="66"/>
          </w:tcPr>
          <w:p w14:paraId="64CACAE2"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156,0</w:t>
            </w:r>
          </w:p>
        </w:tc>
        <w:tc>
          <w:tcPr>
            <w:tcW w:w="538" w:type="pct"/>
            <w:shd w:val="clear" w:color="auto" w:fill="CCC0D9" w:themeFill="accent4" w:themeFillTint="66"/>
          </w:tcPr>
          <w:p w14:paraId="52D61991"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178,7</w:t>
            </w:r>
          </w:p>
        </w:tc>
        <w:tc>
          <w:tcPr>
            <w:tcW w:w="541" w:type="pct"/>
            <w:shd w:val="clear" w:color="auto" w:fill="CCC0D9" w:themeFill="accent4" w:themeFillTint="66"/>
          </w:tcPr>
          <w:p w14:paraId="7A9FA4DE"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87</w:t>
            </w:r>
          </w:p>
        </w:tc>
        <w:tc>
          <w:tcPr>
            <w:tcW w:w="536" w:type="pct"/>
            <w:shd w:val="clear" w:color="auto" w:fill="CCC0D9" w:themeFill="accent4" w:themeFillTint="66"/>
          </w:tcPr>
          <w:p w14:paraId="5984C6A4"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164,3</w:t>
            </w:r>
          </w:p>
        </w:tc>
        <w:tc>
          <w:tcPr>
            <w:tcW w:w="538" w:type="pct"/>
            <w:shd w:val="clear" w:color="auto" w:fill="CCC0D9" w:themeFill="accent4" w:themeFillTint="66"/>
          </w:tcPr>
          <w:p w14:paraId="55C5744B"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193,6</w:t>
            </w:r>
          </w:p>
        </w:tc>
        <w:tc>
          <w:tcPr>
            <w:tcW w:w="538" w:type="pct"/>
            <w:shd w:val="clear" w:color="auto" w:fill="CCC0D9" w:themeFill="accent4" w:themeFillTint="66"/>
          </w:tcPr>
          <w:p w14:paraId="130B3E9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5</w:t>
            </w:r>
          </w:p>
        </w:tc>
      </w:tr>
      <w:tr w:rsidR="009C6CF4" w:rsidRPr="003B4CDA" w14:paraId="7B7EA8A1" w14:textId="77777777" w:rsidTr="00103B84">
        <w:trPr>
          <w:cantSplit/>
          <w:trHeight w:val="20"/>
        </w:trPr>
        <w:tc>
          <w:tcPr>
            <w:tcW w:w="1771" w:type="pct"/>
            <w:shd w:val="clear" w:color="auto" w:fill="E5DFEC" w:themeFill="accent4" w:themeFillTint="33"/>
            <w:hideMark/>
          </w:tcPr>
          <w:p w14:paraId="569CA002"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Dabas zinātnes, matemātika un informācijas tehnoloģijas</w:t>
            </w:r>
          </w:p>
        </w:tc>
        <w:tc>
          <w:tcPr>
            <w:tcW w:w="536" w:type="pct"/>
            <w:shd w:val="clear" w:color="auto" w:fill="E5DFEC" w:themeFill="accent4" w:themeFillTint="33"/>
          </w:tcPr>
          <w:p w14:paraId="51B34C8F"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36,8</w:t>
            </w:r>
          </w:p>
        </w:tc>
        <w:tc>
          <w:tcPr>
            <w:tcW w:w="538" w:type="pct"/>
            <w:shd w:val="clear" w:color="auto" w:fill="E5DFEC" w:themeFill="accent4" w:themeFillTint="33"/>
          </w:tcPr>
          <w:p w14:paraId="668CF00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31,2</w:t>
            </w:r>
          </w:p>
        </w:tc>
        <w:tc>
          <w:tcPr>
            <w:tcW w:w="541" w:type="pct"/>
            <w:shd w:val="clear" w:color="auto" w:fill="E5DFEC" w:themeFill="accent4" w:themeFillTint="33"/>
          </w:tcPr>
          <w:p w14:paraId="47E018F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118</w:t>
            </w:r>
          </w:p>
        </w:tc>
        <w:tc>
          <w:tcPr>
            <w:tcW w:w="536" w:type="pct"/>
            <w:shd w:val="clear" w:color="auto" w:fill="E5DFEC" w:themeFill="accent4" w:themeFillTint="33"/>
          </w:tcPr>
          <w:p w14:paraId="7B2AF4A6"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44,7</w:t>
            </w:r>
          </w:p>
        </w:tc>
        <w:tc>
          <w:tcPr>
            <w:tcW w:w="538" w:type="pct"/>
            <w:shd w:val="clear" w:color="auto" w:fill="E5DFEC" w:themeFill="accent4" w:themeFillTint="33"/>
          </w:tcPr>
          <w:p w14:paraId="39F88F9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36,3</w:t>
            </w:r>
          </w:p>
        </w:tc>
        <w:tc>
          <w:tcPr>
            <w:tcW w:w="538" w:type="pct"/>
            <w:shd w:val="clear" w:color="auto" w:fill="E5DFEC" w:themeFill="accent4" w:themeFillTint="33"/>
          </w:tcPr>
          <w:p w14:paraId="0FA9ADD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23</w:t>
            </w:r>
          </w:p>
        </w:tc>
      </w:tr>
      <w:tr w:rsidR="009C6CF4" w:rsidRPr="003B4CDA" w14:paraId="70755BE5"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hideMark/>
          </w:tcPr>
          <w:p w14:paraId="45182A0A"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Inženierzinātnes, ražošana un būvniecība</w:t>
            </w:r>
          </w:p>
        </w:tc>
        <w:tc>
          <w:tcPr>
            <w:tcW w:w="536" w:type="pct"/>
            <w:shd w:val="clear" w:color="auto" w:fill="CCC0D9" w:themeFill="accent4" w:themeFillTint="66"/>
          </w:tcPr>
          <w:p w14:paraId="4B119DB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61,6</w:t>
            </w:r>
          </w:p>
        </w:tc>
        <w:tc>
          <w:tcPr>
            <w:tcW w:w="538" w:type="pct"/>
            <w:shd w:val="clear" w:color="auto" w:fill="CCC0D9" w:themeFill="accent4" w:themeFillTint="66"/>
          </w:tcPr>
          <w:p w14:paraId="7DDC7EBF"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58,0</w:t>
            </w:r>
          </w:p>
        </w:tc>
        <w:tc>
          <w:tcPr>
            <w:tcW w:w="541" w:type="pct"/>
            <w:shd w:val="clear" w:color="auto" w:fill="CCC0D9" w:themeFill="accent4" w:themeFillTint="66"/>
          </w:tcPr>
          <w:p w14:paraId="0EF75C9A"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106</w:t>
            </w:r>
          </w:p>
        </w:tc>
        <w:tc>
          <w:tcPr>
            <w:tcW w:w="536" w:type="pct"/>
            <w:shd w:val="clear" w:color="auto" w:fill="CCC0D9" w:themeFill="accent4" w:themeFillTint="66"/>
          </w:tcPr>
          <w:p w14:paraId="42A8331F"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65,4</w:t>
            </w:r>
          </w:p>
        </w:tc>
        <w:tc>
          <w:tcPr>
            <w:tcW w:w="538" w:type="pct"/>
            <w:shd w:val="clear" w:color="auto" w:fill="CCC0D9" w:themeFill="accent4" w:themeFillTint="66"/>
          </w:tcPr>
          <w:p w14:paraId="49BE086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61,9</w:t>
            </w:r>
          </w:p>
        </w:tc>
        <w:tc>
          <w:tcPr>
            <w:tcW w:w="538" w:type="pct"/>
            <w:shd w:val="clear" w:color="auto" w:fill="CCC0D9" w:themeFill="accent4" w:themeFillTint="66"/>
          </w:tcPr>
          <w:p w14:paraId="1A56011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06</w:t>
            </w:r>
          </w:p>
        </w:tc>
      </w:tr>
      <w:tr w:rsidR="009C6CF4" w:rsidRPr="003B4CDA" w14:paraId="6B1B00D8" w14:textId="77777777" w:rsidTr="00103B84">
        <w:trPr>
          <w:cantSplit/>
          <w:trHeight w:val="20"/>
        </w:trPr>
        <w:tc>
          <w:tcPr>
            <w:tcW w:w="1771" w:type="pct"/>
            <w:shd w:val="clear" w:color="auto" w:fill="E5DFEC" w:themeFill="accent4" w:themeFillTint="33"/>
            <w:hideMark/>
          </w:tcPr>
          <w:p w14:paraId="61536064"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Lauksaimniecība</w:t>
            </w:r>
          </w:p>
        </w:tc>
        <w:tc>
          <w:tcPr>
            <w:tcW w:w="536" w:type="pct"/>
            <w:shd w:val="clear" w:color="auto" w:fill="E5DFEC" w:themeFill="accent4" w:themeFillTint="33"/>
          </w:tcPr>
          <w:p w14:paraId="56A5D47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8,7</w:t>
            </w:r>
          </w:p>
        </w:tc>
        <w:tc>
          <w:tcPr>
            <w:tcW w:w="538" w:type="pct"/>
            <w:shd w:val="clear" w:color="auto" w:fill="E5DFEC" w:themeFill="accent4" w:themeFillTint="33"/>
          </w:tcPr>
          <w:p w14:paraId="32D3AD0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8,6</w:t>
            </w:r>
          </w:p>
        </w:tc>
        <w:tc>
          <w:tcPr>
            <w:tcW w:w="541" w:type="pct"/>
            <w:shd w:val="clear" w:color="auto" w:fill="E5DFEC" w:themeFill="accent4" w:themeFillTint="33"/>
          </w:tcPr>
          <w:p w14:paraId="7DA26F7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102</w:t>
            </w:r>
          </w:p>
        </w:tc>
        <w:tc>
          <w:tcPr>
            <w:tcW w:w="536" w:type="pct"/>
            <w:shd w:val="clear" w:color="auto" w:fill="E5DFEC" w:themeFill="accent4" w:themeFillTint="33"/>
          </w:tcPr>
          <w:p w14:paraId="5B9AF45B"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6</w:t>
            </w:r>
          </w:p>
        </w:tc>
        <w:tc>
          <w:tcPr>
            <w:tcW w:w="538" w:type="pct"/>
            <w:shd w:val="clear" w:color="auto" w:fill="E5DFEC" w:themeFill="accent4" w:themeFillTint="33"/>
          </w:tcPr>
          <w:p w14:paraId="629D35E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8,7</w:t>
            </w:r>
          </w:p>
        </w:tc>
        <w:tc>
          <w:tcPr>
            <w:tcW w:w="538" w:type="pct"/>
            <w:shd w:val="clear" w:color="auto" w:fill="E5DFEC" w:themeFill="accent4" w:themeFillTint="33"/>
          </w:tcPr>
          <w:p w14:paraId="4428C50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99</w:t>
            </w:r>
          </w:p>
        </w:tc>
      </w:tr>
      <w:tr w:rsidR="009C6CF4" w:rsidRPr="003B4CDA" w14:paraId="399C2EFC"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hideMark/>
          </w:tcPr>
          <w:p w14:paraId="05FC48DF"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Veselības aprūpe un sociālā labklājība</w:t>
            </w:r>
          </w:p>
        </w:tc>
        <w:tc>
          <w:tcPr>
            <w:tcW w:w="536" w:type="pct"/>
            <w:shd w:val="clear" w:color="auto" w:fill="CCC0D9" w:themeFill="accent4" w:themeFillTint="66"/>
          </w:tcPr>
          <w:p w14:paraId="3A8443CA"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34,8</w:t>
            </w:r>
          </w:p>
        </w:tc>
        <w:tc>
          <w:tcPr>
            <w:tcW w:w="538" w:type="pct"/>
            <w:shd w:val="clear" w:color="auto" w:fill="CCC0D9" w:themeFill="accent4" w:themeFillTint="66"/>
          </w:tcPr>
          <w:p w14:paraId="7F297FB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36,1</w:t>
            </w:r>
          </w:p>
        </w:tc>
        <w:tc>
          <w:tcPr>
            <w:tcW w:w="541" w:type="pct"/>
            <w:shd w:val="clear" w:color="auto" w:fill="CCC0D9" w:themeFill="accent4" w:themeFillTint="66"/>
          </w:tcPr>
          <w:p w14:paraId="761649F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96</w:t>
            </w:r>
          </w:p>
        </w:tc>
        <w:tc>
          <w:tcPr>
            <w:tcW w:w="536" w:type="pct"/>
            <w:shd w:val="clear" w:color="auto" w:fill="CCC0D9" w:themeFill="accent4" w:themeFillTint="66"/>
          </w:tcPr>
          <w:p w14:paraId="501FFCD1"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42,5</w:t>
            </w:r>
          </w:p>
        </w:tc>
        <w:tc>
          <w:tcPr>
            <w:tcW w:w="538" w:type="pct"/>
            <w:shd w:val="clear" w:color="auto" w:fill="CCC0D9" w:themeFill="accent4" w:themeFillTint="66"/>
          </w:tcPr>
          <w:p w14:paraId="7632BC6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48,4</w:t>
            </w:r>
          </w:p>
        </w:tc>
        <w:tc>
          <w:tcPr>
            <w:tcW w:w="538" w:type="pct"/>
            <w:shd w:val="clear" w:color="auto" w:fill="CCC0D9" w:themeFill="accent4" w:themeFillTint="66"/>
          </w:tcPr>
          <w:p w14:paraId="1372E3D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88</w:t>
            </w:r>
          </w:p>
        </w:tc>
      </w:tr>
      <w:tr w:rsidR="009C6CF4" w:rsidRPr="003B4CDA" w14:paraId="32AF449C" w14:textId="77777777" w:rsidTr="00103B84">
        <w:trPr>
          <w:cantSplit/>
          <w:trHeight w:val="20"/>
        </w:trPr>
        <w:tc>
          <w:tcPr>
            <w:tcW w:w="1771" w:type="pct"/>
            <w:shd w:val="clear" w:color="auto" w:fill="E5DFEC" w:themeFill="accent4" w:themeFillTint="33"/>
            <w:hideMark/>
          </w:tcPr>
          <w:p w14:paraId="37C35F00" w14:textId="77777777" w:rsidR="0016645F" w:rsidRPr="003B4CDA" w:rsidRDefault="0016645F" w:rsidP="00D209BD">
            <w:pPr>
              <w:spacing w:before="40" w:after="40"/>
              <w:ind w:left="186"/>
              <w:rPr>
                <w:rFonts w:ascii="Segoe UI Light" w:eastAsia="Times New Roman" w:hAnsi="Segoe UI Light"/>
                <w:color w:val="000000"/>
                <w:sz w:val="16"/>
                <w:szCs w:val="16"/>
              </w:rPr>
            </w:pPr>
            <w:r w:rsidRPr="003B4CDA">
              <w:rPr>
                <w:rFonts w:ascii="Segoe UI Light" w:eastAsia="Times New Roman" w:hAnsi="Segoe UI Light"/>
                <w:color w:val="000000"/>
                <w:sz w:val="16"/>
                <w:szCs w:val="16"/>
              </w:rPr>
              <w:t>Pakalpojumi</w:t>
            </w:r>
          </w:p>
        </w:tc>
        <w:tc>
          <w:tcPr>
            <w:tcW w:w="536" w:type="pct"/>
            <w:shd w:val="clear" w:color="auto" w:fill="E5DFEC" w:themeFill="accent4" w:themeFillTint="33"/>
          </w:tcPr>
          <w:p w14:paraId="5D205A9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26,6</w:t>
            </w:r>
          </w:p>
        </w:tc>
        <w:tc>
          <w:tcPr>
            <w:tcW w:w="538" w:type="pct"/>
            <w:shd w:val="clear" w:color="auto" w:fill="E5DFEC" w:themeFill="accent4" w:themeFillTint="33"/>
          </w:tcPr>
          <w:p w14:paraId="3D4039A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30,7</w:t>
            </w:r>
          </w:p>
        </w:tc>
        <w:tc>
          <w:tcPr>
            <w:tcW w:w="541" w:type="pct"/>
            <w:shd w:val="clear" w:color="auto" w:fill="E5DFEC" w:themeFill="accent4" w:themeFillTint="33"/>
          </w:tcPr>
          <w:p w14:paraId="63F0C3F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87</w:t>
            </w:r>
          </w:p>
        </w:tc>
        <w:tc>
          <w:tcPr>
            <w:tcW w:w="536" w:type="pct"/>
            <w:shd w:val="clear" w:color="auto" w:fill="E5DFEC" w:themeFill="accent4" w:themeFillTint="33"/>
          </w:tcPr>
          <w:p w14:paraId="269A9DB8"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28,4</w:t>
            </w:r>
          </w:p>
        </w:tc>
        <w:tc>
          <w:tcPr>
            <w:tcW w:w="538" w:type="pct"/>
            <w:shd w:val="clear" w:color="auto" w:fill="E5DFEC" w:themeFill="accent4" w:themeFillTint="33"/>
          </w:tcPr>
          <w:p w14:paraId="14A15E2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34,1</w:t>
            </w:r>
          </w:p>
        </w:tc>
        <w:tc>
          <w:tcPr>
            <w:tcW w:w="538" w:type="pct"/>
            <w:shd w:val="clear" w:color="auto" w:fill="E5DFEC" w:themeFill="accent4" w:themeFillTint="33"/>
          </w:tcPr>
          <w:p w14:paraId="0DA5F4D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83</w:t>
            </w:r>
          </w:p>
        </w:tc>
      </w:tr>
      <w:tr w:rsidR="009C6CF4" w:rsidRPr="003B4CDA" w14:paraId="560B5477"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hideMark/>
          </w:tcPr>
          <w:p w14:paraId="08E7E05A" w14:textId="77777777" w:rsidR="0016645F" w:rsidRPr="003B4CDA" w:rsidRDefault="0016645F" w:rsidP="00D209BD">
            <w:pPr>
              <w:spacing w:before="40" w:after="40"/>
              <w:rPr>
                <w:rFonts w:ascii="Segoe UI Light" w:eastAsia="Times New Roman" w:hAnsi="Segoe UI Light"/>
                <w:bCs/>
                <w:sz w:val="16"/>
                <w:szCs w:val="16"/>
              </w:rPr>
            </w:pPr>
            <w:r w:rsidRPr="003B4CDA">
              <w:rPr>
                <w:rFonts w:ascii="Segoe UI Light" w:eastAsia="Times New Roman" w:hAnsi="Segoe UI Light"/>
                <w:bCs/>
                <w:sz w:val="16"/>
                <w:szCs w:val="16"/>
              </w:rPr>
              <w:t>Vidējā izglītība</w:t>
            </w:r>
            <w:r w:rsidRPr="003B4CDA">
              <w:rPr>
                <w:rFonts w:ascii="Segoe UI Light" w:eastAsia="Times New Roman" w:hAnsi="Segoe UI Light"/>
                <w:bCs/>
                <w:sz w:val="16"/>
                <w:szCs w:val="18"/>
                <w:lang w:eastAsia="lv-LV"/>
              </w:rPr>
              <w:t>, tai skaitā:</w:t>
            </w:r>
          </w:p>
        </w:tc>
        <w:tc>
          <w:tcPr>
            <w:tcW w:w="536" w:type="pct"/>
            <w:shd w:val="clear" w:color="auto" w:fill="CCC0D9" w:themeFill="accent4" w:themeFillTint="66"/>
          </w:tcPr>
          <w:p w14:paraId="4296A1B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435,1</w:t>
            </w:r>
          </w:p>
        </w:tc>
        <w:tc>
          <w:tcPr>
            <w:tcW w:w="538" w:type="pct"/>
            <w:shd w:val="clear" w:color="auto" w:fill="CCC0D9" w:themeFill="accent4" w:themeFillTint="66"/>
          </w:tcPr>
          <w:p w14:paraId="27C65B6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400,1</w:t>
            </w:r>
          </w:p>
        </w:tc>
        <w:tc>
          <w:tcPr>
            <w:tcW w:w="541" w:type="pct"/>
            <w:shd w:val="clear" w:color="auto" w:fill="CCC0D9" w:themeFill="accent4" w:themeFillTint="66"/>
          </w:tcPr>
          <w:p w14:paraId="7FAD05D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10</w:t>
            </w:r>
            <w:r>
              <w:rPr>
                <w:rFonts w:ascii="Segoe UI Light" w:eastAsia="Times New Roman" w:hAnsi="Segoe UI Light" w:cs="Segoe UI Light"/>
                <w:bCs/>
                <w:sz w:val="16"/>
                <w:szCs w:val="16"/>
              </w:rPr>
              <w:t>9</w:t>
            </w:r>
          </w:p>
        </w:tc>
        <w:tc>
          <w:tcPr>
            <w:tcW w:w="536" w:type="pct"/>
            <w:shd w:val="clear" w:color="auto" w:fill="CCC0D9" w:themeFill="accent4" w:themeFillTint="66"/>
          </w:tcPr>
          <w:p w14:paraId="2BC5BBE9"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411,9</w:t>
            </w:r>
          </w:p>
        </w:tc>
        <w:tc>
          <w:tcPr>
            <w:tcW w:w="538" w:type="pct"/>
            <w:shd w:val="clear" w:color="auto" w:fill="CCC0D9" w:themeFill="accent4" w:themeFillTint="66"/>
          </w:tcPr>
          <w:p w14:paraId="5BC6931D"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366,8</w:t>
            </w:r>
          </w:p>
        </w:tc>
        <w:tc>
          <w:tcPr>
            <w:tcW w:w="538" w:type="pct"/>
            <w:shd w:val="clear" w:color="auto" w:fill="CCC0D9" w:themeFill="accent4" w:themeFillTint="66"/>
          </w:tcPr>
          <w:p w14:paraId="6C06A59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12</w:t>
            </w:r>
          </w:p>
        </w:tc>
      </w:tr>
      <w:tr w:rsidR="009C6CF4" w:rsidRPr="003B4CDA" w14:paraId="6C6A2142" w14:textId="77777777" w:rsidTr="00103B84">
        <w:trPr>
          <w:cantSplit/>
          <w:trHeight w:val="20"/>
        </w:trPr>
        <w:tc>
          <w:tcPr>
            <w:tcW w:w="1771" w:type="pct"/>
            <w:shd w:val="clear" w:color="auto" w:fill="E5DFEC" w:themeFill="accent4" w:themeFillTint="33"/>
          </w:tcPr>
          <w:p w14:paraId="0BB44581" w14:textId="77777777" w:rsidR="0016645F" w:rsidRPr="003B4CDA" w:rsidRDefault="0016645F" w:rsidP="00D209BD">
            <w:pPr>
              <w:spacing w:before="40" w:after="40"/>
              <w:ind w:left="170"/>
              <w:rPr>
                <w:rFonts w:ascii="Segoe UI Light" w:eastAsia="Times New Roman" w:hAnsi="Segoe UI Light"/>
                <w:sz w:val="16"/>
                <w:szCs w:val="16"/>
              </w:rPr>
            </w:pPr>
            <w:r w:rsidRPr="003B4CDA">
              <w:rPr>
                <w:rFonts w:ascii="Segoe UI Light" w:eastAsia="Times New Roman" w:hAnsi="Segoe UI Light"/>
                <w:sz w:val="16"/>
                <w:szCs w:val="16"/>
              </w:rPr>
              <w:t>Profesionālā vidējā izglītība, tai skaitā:</w:t>
            </w:r>
          </w:p>
        </w:tc>
        <w:tc>
          <w:tcPr>
            <w:tcW w:w="536" w:type="pct"/>
            <w:shd w:val="clear" w:color="auto" w:fill="E5DFEC" w:themeFill="accent4" w:themeFillTint="33"/>
          </w:tcPr>
          <w:p w14:paraId="1DDB2B6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264,8</w:t>
            </w:r>
          </w:p>
        </w:tc>
        <w:tc>
          <w:tcPr>
            <w:tcW w:w="538" w:type="pct"/>
            <w:shd w:val="clear" w:color="auto" w:fill="E5DFEC" w:themeFill="accent4" w:themeFillTint="33"/>
          </w:tcPr>
          <w:p w14:paraId="7C1CB11B"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195,8</w:t>
            </w:r>
          </w:p>
        </w:tc>
        <w:tc>
          <w:tcPr>
            <w:tcW w:w="541" w:type="pct"/>
            <w:shd w:val="clear" w:color="auto" w:fill="E5DFEC" w:themeFill="accent4" w:themeFillTint="33"/>
          </w:tcPr>
          <w:p w14:paraId="73C35CD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35</w:t>
            </w:r>
          </w:p>
        </w:tc>
        <w:tc>
          <w:tcPr>
            <w:tcW w:w="536" w:type="pct"/>
            <w:shd w:val="clear" w:color="auto" w:fill="E5DFEC" w:themeFill="accent4" w:themeFillTint="33"/>
          </w:tcPr>
          <w:p w14:paraId="28CD3351"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277,9</w:t>
            </w:r>
          </w:p>
        </w:tc>
        <w:tc>
          <w:tcPr>
            <w:tcW w:w="538" w:type="pct"/>
            <w:shd w:val="clear" w:color="auto" w:fill="E5DFEC" w:themeFill="accent4" w:themeFillTint="33"/>
          </w:tcPr>
          <w:p w14:paraId="63367F7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163,4</w:t>
            </w:r>
          </w:p>
        </w:tc>
        <w:tc>
          <w:tcPr>
            <w:tcW w:w="538" w:type="pct"/>
            <w:shd w:val="clear" w:color="auto" w:fill="E5DFEC" w:themeFill="accent4" w:themeFillTint="33"/>
          </w:tcPr>
          <w:p w14:paraId="3CC4FEA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1</w:t>
            </w:r>
            <w:r>
              <w:rPr>
                <w:rFonts w:ascii="Segoe UI Light" w:eastAsia="Times New Roman" w:hAnsi="Segoe UI Light" w:cs="Segoe UI Light"/>
                <w:bCs/>
                <w:sz w:val="16"/>
                <w:szCs w:val="16"/>
              </w:rPr>
              <w:t>70</w:t>
            </w:r>
          </w:p>
        </w:tc>
      </w:tr>
      <w:tr w:rsidR="009C6CF4" w:rsidRPr="003B4CDA" w14:paraId="32578513"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3E8AE3F4"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Izglītība</w:t>
            </w:r>
          </w:p>
        </w:tc>
        <w:tc>
          <w:tcPr>
            <w:tcW w:w="536" w:type="pct"/>
            <w:shd w:val="clear" w:color="auto" w:fill="CCC0D9" w:themeFill="accent4" w:themeFillTint="66"/>
          </w:tcPr>
          <w:p w14:paraId="7157CE9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1,6</w:t>
            </w:r>
          </w:p>
        </w:tc>
        <w:tc>
          <w:tcPr>
            <w:tcW w:w="538" w:type="pct"/>
            <w:shd w:val="clear" w:color="auto" w:fill="CCC0D9" w:themeFill="accent4" w:themeFillTint="66"/>
          </w:tcPr>
          <w:p w14:paraId="509D9DF2"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4</w:t>
            </w:r>
          </w:p>
        </w:tc>
        <w:tc>
          <w:tcPr>
            <w:tcW w:w="541" w:type="pct"/>
            <w:shd w:val="clear" w:color="auto" w:fill="CCC0D9" w:themeFill="accent4" w:themeFillTint="66"/>
          </w:tcPr>
          <w:p w14:paraId="49C1292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117</w:t>
            </w:r>
          </w:p>
        </w:tc>
        <w:tc>
          <w:tcPr>
            <w:tcW w:w="536" w:type="pct"/>
            <w:shd w:val="clear" w:color="auto" w:fill="CCC0D9" w:themeFill="accent4" w:themeFillTint="66"/>
          </w:tcPr>
          <w:p w14:paraId="125487A6"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1</w:t>
            </w:r>
          </w:p>
        </w:tc>
        <w:tc>
          <w:tcPr>
            <w:tcW w:w="538" w:type="pct"/>
            <w:shd w:val="clear" w:color="auto" w:fill="CCC0D9" w:themeFill="accent4" w:themeFillTint="66"/>
          </w:tcPr>
          <w:p w14:paraId="4FE4B3E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0,</w:t>
            </w:r>
            <w:r>
              <w:rPr>
                <w:rFonts w:ascii="Segoe UI Light" w:hAnsi="Segoe UI Light" w:cs="Segoe UI Light"/>
                <w:sz w:val="16"/>
                <w:szCs w:val="16"/>
              </w:rPr>
              <w:t>5</w:t>
            </w:r>
          </w:p>
        </w:tc>
        <w:tc>
          <w:tcPr>
            <w:tcW w:w="538" w:type="pct"/>
            <w:shd w:val="clear" w:color="auto" w:fill="CCC0D9" w:themeFill="accent4" w:themeFillTint="66"/>
          </w:tcPr>
          <w:p w14:paraId="13D6CBDC" w14:textId="77777777" w:rsidR="0016645F" w:rsidRPr="00B25837" w:rsidRDefault="0016645F" w:rsidP="00D209BD">
            <w:pPr>
              <w:tabs>
                <w:tab w:val="decimal" w:pos="582"/>
              </w:tabs>
              <w:spacing w:before="40" w:after="40"/>
              <w:rPr>
                <w:rFonts w:ascii="Segoe UI Light" w:hAnsi="Segoe UI Light" w:cs="Segoe UI Light"/>
                <w:sz w:val="16"/>
                <w:szCs w:val="16"/>
              </w:rPr>
            </w:pPr>
            <w:r>
              <w:rPr>
                <w:rFonts w:ascii="Segoe UI Light" w:hAnsi="Segoe UI Light" w:cs="Segoe UI Light"/>
                <w:sz w:val="16"/>
                <w:szCs w:val="16"/>
              </w:rPr>
              <w:t>225</w:t>
            </w:r>
          </w:p>
        </w:tc>
      </w:tr>
      <w:tr w:rsidR="009C6CF4" w:rsidRPr="003B4CDA" w14:paraId="11704E9A" w14:textId="77777777" w:rsidTr="00103B84">
        <w:trPr>
          <w:cantSplit/>
          <w:trHeight w:val="20"/>
        </w:trPr>
        <w:tc>
          <w:tcPr>
            <w:tcW w:w="1771" w:type="pct"/>
            <w:shd w:val="clear" w:color="auto" w:fill="E5DFEC" w:themeFill="accent4" w:themeFillTint="33"/>
          </w:tcPr>
          <w:p w14:paraId="6298EEAF"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Humanitārās zinātnes un māksla</w:t>
            </w:r>
          </w:p>
        </w:tc>
        <w:tc>
          <w:tcPr>
            <w:tcW w:w="536" w:type="pct"/>
            <w:shd w:val="clear" w:color="auto" w:fill="E5DFEC" w:themeFill="accent4" w:themeFillTint="33"/>
          </w:tcPr>
          <w:p w14:paraId="2009A60A"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7,2</w:t>
            </w:r>
          </w:p>
        </w:tc>
        <w:tc>
          <w:tcPr>
            <w:tcW w:w="538" w:type="pct"/>
            <w:shd w:val="clear" w:color="auto" w:fill="E5DFEC" w:themeFill="accent4" w:themeFillTint="33"/>
          </w:tcPr>
          <w:p w14:paraId="2D3387C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w:t>
            </w:r>
            <w:r w:rsidRPr="003B4CDA">
              <w:rPr>
                <w:rFonts w:ascii="Segoe UI Light" w:hAnsi="Segoe UI Light" w:cs="Segoe UI Light"/>
                <w:sz w:val="16"/>
                <w:szCs w:val="16"/>
              </w:rPr>
              <w:t>,4</w:t>
            </w:r>
          </w:p>
        </w:tc>
        <w:tc>
          <w:tcPr>
            <w:tcW w:w="541" w:type="pct"/>
            <w:shd w:val="clear" w:color="auto" w:fill="E5DFEC" w:themeFill="accent4" w:themeFillTint="33"/>
          </w:tcPr>
          <w:p w14:paraId="2CECB55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86</w:t>
            </w:r>
          </w:p>
        </w:tc>
        <w:tc>
          <w:tcPr>
            <w:tcW w:w="536" w:type="pct"/>
            <w:shd w:val="clear" w:color="auto" w:fill="E5DFEC" w:themeFill="accent4" w:themeFillTint="33"/>
          </w:tcPr>
          <w:p w14:paraId="0FF56821"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6,9</w:t>
            </w:r>
          </w:p>
        </w:tc>
        <w:tc>
          <w:tcPr>
            <w:tcW w:w="538" w:type="pct"/>
            <w:shd w:val="clear" w:color="auto" w:fill="E5DFEC" w:themeFill="accent4" w:themeFillTint="33"/>
          </w:tcPr>
          <w:p w14:paraId="54A88331"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9,3</w:t>
            </w:r>
          </w:p>
        </w:tc>
        <w:tc>
          <w:tcPr>
            <w:tcW w:w="538" w:type="pct"/>
            <w:shd w:val="clear" w:color="auto" w:fill="E5DFEC" w:themeFill="accent4" w:themeFillTint="33"/>
          </w:tcPr>
          <w:p w14:paraId="5FBDDA6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7</w:t>
            </w:r>
            <w:r>
              <w:rPr>
                <w:rFonts w:ascii="Segoe UI Light" w:hAnsi="Segoe UI Light" w:cs="Segoe UI Light"/>
                <w:sz w:val="16"/>
                <w:szCs w:val="16"/>
              </w:rPr>
              <w:t>4</w:t>
            </w:r>
          </w:p>
        </w:tc>
      </w:tr>
      <w:tr w:rsidR="009C6CF4" w:rsidRPr="003B4CDA" w14:paraId="6D72F96C"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1C8431BB" w14:textId="77777777" w:rsidR="0016645F" w:rsidRPr="00D66911" w:rsidRDefault="0016645F" w:rsidP="00D209BD">
            <w:pPr>
              <w:spacing w:before="40" w:after="40"/>
              <w:ind w:left="340" w:right="-107"/>
              <w:rPr>
                <w:rFonts w:ascii="Segoe UI Light" w:eastAsia="Times New Roman" w:hAnsi="Segoe UI Light"/>
                <w:color w:val="000000"/>
                <w:spacing w:val="-4"/>
                <w:sz w:val="16"/>
                <w:szCs w:val="16"/>
              </w:rPr>
            </w:pPr>
            <w:r w:rsidRPr="00D66911">
              <w:rPr>
                <w:rFonts w:ascii="Segoe UI Light" w:eastAsia="Times New Roman" w:hAnsi="Segoe UI Light"/>
                <w:color w:val="000000"/>
                <w:spacing w:val="-4"/>
                <w:sz w:val="16"/>
                <w:szCs w:val="16"/>
              </w:rPr>
              <w:t xml:space="preserve">Sociālās zinātnes, </w:t>
            </w:r>
            <w:proofErr w:type="spellStart"/>
            <w:r w:rsidRPr="00D66911">
              <w:rPr>
                <w:rFonts w:ascii="Segoe UI Light" w:eastAsia="Times New Roman" w:hAnsi="Segoe UI Light"/>
                <w:color w:val="000000"/>
                <w:spacing w:val="-4"/>
                <w:sz w:val="16"/>
                <w:szCs w:val="16"/>
              </w:rPr>
              <w:t>komerczinības</w:t>
            </w:r>
            <w:proofErr w:type="spellEnd"/>
            <w:r w:rsidRPr="00D66911">
              <w:rPr>
                <w:rFonts w:ascii="Segoe UI Light" w:eastAsia="Times New Roman" w:hAnsi="Segoe UI Light"/>
                <w:color w:val="000000"/>
                <w:spacing w:val="-4"/>
                <w:sz w:val="16"/>
                <w:szCs w:val="16"/>
              </w:rPr>
              <w:t xml:space="preserve"> un tiesības</w:t>
            </w:r>
          </w:p>
        </w:tc>
        <w:tc>
          <w:tcPr>
            <w:tcW w:w="536" w:type="pct"/>
            <w:shd w:val="clear" w:color="auto" w:fill="CCC0D9" w:themeFill="accent4" w:themeFillTint="66"/>
          </w:tcPr>
          <w:p w14:paraId="167486DD"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29,4</w:t>
            </w:r>
          </w:p>
        </w:tc>
        <w:tc>
          <w:tcPr>
            <w:tcW w:w="538" w:type="pct"/>
            <w:shd w:val="clear" w:color="auto" w:fill="CCC0D9" w:themeFill="accent4" w:themeFillTint="66"/>
          </w:tcPr>
          <w:p w14:paraId="0F667B0B"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22,6</w:t>
            </w:r>
          </w:p>
        </w:tc>
        <w:tc>
          <w:tcPr>
            <w:tcW w:w="541" w:type="pct"/>
            <w:shd w:val="clear" w:color="auto" w:fill="CCC0D9" w:themeFill="accent4" w:themeFillTint="66"/>
          </w:tcPr>
          <w:p w14:paraId="698B15A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130</w:t>
            </w:r>
          </w:p>
        </w:tc>
        <w:tc>
          <w:tcPr>
            <w:tcW w:w="536" w:type="pct"/>
            <w:shd w:val="clear" w:color="auto" w:fill="CCC0D9" w:themeFill="accent4" w:themeFillTint="66"/>
          </w:tcPr>
          <w:p w14:paraId="17CAC4DF"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30,3</w:t>
            </w:r>
          </w:p>
        </w:tc>
        <w:tc>
          <w:tcPr>
            <w:tcW w:w="538" w:type="pct"/>
            <w:shd w:val="clear" w:color="auto" w:fill="CCC0D9" w:themeFill="accent4" w:themeFillTint="66"/>
          </w:tcPr>
          <w:p w14:paraId="58EF55A2"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18,4</w:t>
            </w:r>
          </w:p>
        </w:tc>
        <w:tc>
          <w:tcPr>
            <w:tcW w:w="538" w:type="pct"/>
            <w:shd w:val="clear" w:color="auto" w:fill="CCC0D9" w:themeFill="accent4" w:themeFillTint="66"/>
          </w:tcPr>
          <w:p w14:paraId="70B511A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165</w:t>
            </w:r>
          </w:p>
        </w:tc>
      </w:tr>
      <w:tr w:rsidR="009C6CF4" w:rsidRPr="003B4CDA" w14:paraId="5448116C" w14:textId="77777777" w:rsidTr="00103B84">
        <w:trPr>
          <w:cantSplit/>
          <w:trHeight w:val="20"/>
        </w:trPr>
        <w:tc>
          <w:tcPr>
            <w:tcW w:w="1771" w:type="pct"/>
            <w:shd w:val="clear" w:color="auto" w:fill="E5DFEC" w:themeFill="accent4" w:themeFillTint="33"/>
          </w:tcPr>
          <w:p w14:paraId="6ED7A8A1"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Dabas zinātnes, matemātika un informācijas tehnoloģijas</w:t>
            </w:r>
          </w:p>
        </w:tc>
        <w:tc>
          <w:tcPr>
            <w:tcW w:w="536" w:type="pct"/>
            <w:shd w:val="clear" w:color="auto" w:fill="E5DFEC" w:themeFill="accent4" w:themeFillTint="33"/>
          </w:tcPr>
          <w:p w14:paraId="626D2731"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7,1</w:t>
            </w:r>
          </w:p>
        </w:tc>
        <w:tc>
          <w:tcPr>
            <w:tcW w:w="538" w:type="pct"/>
            <w:shd w:val="clear" w:color="auto" w:fill="E5DFEC" w:themeFill="accent4" w:themeFillTint="33"/>
          </w:tcPr>
          <w:p w14:paraId="108562A3"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5,7</w:t>
            </w:r>
          </w:p>
        </w:tc>
        <w:tc>
          <w:tcPr>
            <w:tcW w:w="541" w:type="pct"/>
            <w:shd w:val="clear" w:color="auto" w:fill="E5DFEC" w:themeFill="accent4" w:themeFillTint="33"/>
          </w:tcPr>
          <w:p w14:paraId="6825C6E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12</w:t>
            </w:r>
            <w:r>
              <w:rPr>
                <w:rFonts w:ascii="Segoe UI Light" w:hAnsi="Segoe UI Light" w:cs="Segoe UI Light"/>
                <w:sz w:val="16"/>
                <w:szCs w:val="16"/>
              </w:rPr>
              <w:t>4</w:t>
            </w:r>
          </w:p>
        </w:tc>
        <w:tc>
          <w:tcPr>
            <w:tcW w:w="536" w:type="pct"/>
            <w:shd w:val="clear" w:color="auto" w:fill="E5DFEC" w:themeFill="accent4" w:themeFillTint="33"/>
          </w:tcPr>
          <w:p w14:paraId="0C4C74E5"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8,3</w:t>
            </w:r>
          </w:p>
        </w:tc>
        <w:tc>
          <w:tcPr>
            <w:tcW w:w="538" w:type="pct"/>
            <w:shd w:val="clear" w:color="auto" w:fill="E5DFEC" w:themeFill="accent4" w:themeFillTint="33"/>
          </w:tcPr>
          <w:p w14:paraId="6C2D3B06"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7,1</w:t>
            </w:r>
          </w:p>
        </w:tc>
        <w:tc>
          <w:tcPr>
            <w:tcW w:w="538" w:type="pct"/>
            <w:shd w:val="clear" w:color="auto" w:fill="E5DFEC" w:themeFill="accent4" w:themeFillTint="33"/>
          </w:tcPr>
          <w:p w14:paraId="1E3E3A1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18</w:t>
            </w:r>
          </w:p>
        </w:tc>
      </w:tr>
      <w:tr w:rsidR="009C6CF4" w:rsidRPr="003B4CDA" w14:paraId="603860EC"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6BD1407C"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Inženierzinātnes, ražošana un būvniecība</w:t>
            </w:r>
          </w:p>
        </w:tc>
        <w:tc>
          <w:tcPr>
            <w:tcW w:w="536" w:type="pct"/>
            <w:shd w:val="clear" w:color="auto" w:fill="CCC0D9" w:themeFill="accent4" w:themeFillTint="66"/>
          </w:tcPr>
          <w:p w14:paraId="55A3D69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134,7</w:t>
            </w:r>
          </w:p>
        </w:tc>
        <w:tc>
          <w:tcPr>
            <w:tcW w:w="538" w:type="pct"/>
            <w:shd w:val="clear" w:color="auto" w:fill="CCC0D9" w:themeFill="accent4" w:themeFillTint="66"/>
          </w:tcPr>
          <w:p w14:paraId="096C87A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91,4</w:t>
            </w:r>
          </w:p>
        </w:tc>
        <w:tc>
          <w:tcPr>
            <w:tcW w:w="541" w:type="pct"/>
            <w:shd w:val="clear" w:color="auto" w:fill="CCC0D9" w:themeFill="accent4" w:themeFillTint="66"/>
          </w:tcPr>
          <w:p w14:paraId="239D8E0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147</w:t>
            </w:r>
          </w:p>
        </w:tc>
        <w:tc>
          <w:tcPr>
            <w:tcW w:w="536" w:type="pct"/>
            <w:shd w:val="clear" w:color="auto" w:fill="CCC0D9" w:themeFill="accent4" w:themeFillTint="66"/>
          </w:tcPr>
          <w:p w14:paraId="6E5E7363"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139,4</w:t>
            </w:r>
          </w:p>
        </w:tc>
        <w:tc>
          <w:tcPr>
            <w:tcW w:w="538" w:type="pct"/>
            <w:shd w:val="clear" w:color="auto" w:fill="CCC0D9" w:themeFill="accent4" w:themeFillTint="66"/>
          </w:tcPr>
          <w:p w14:paraId="387D9CCB"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69,2</w:t>
            </w:r>
          </w:p>
        </w:tc>
        <w:tc>
          <w:tcPr>
            <w:tcW w:w="538" w:type="pct"/>
            <w:shd w:val="clear" w:color="auto" w:fill="CCC0D9" w:themeFill="accent4" w:themeFillTint="66"/>
          </w:tcPr>
          <w:p w14:paraId="45F4ED1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201</w:t>
            </w:r>
          </w:p>
        </w:tc>
      </w:tr>
      <w:tr w:rsidR="009C6CF4" w:rsidRPr="003B4CDA" w14:paraId="5D3845C3" w14:textId="77777777" w:rsidTr="00103B84">
        <w:trPr>
          <w:cantSplit/>
          <w:trHeight w:val="20"/>
        </w:trPr>
        <w:tc>
          <w:tcPr>
            <w:tcW w:w="1771" w:type="pct"/>
            <w:shd w:val="clear" w:color="auto" w:fill="E5DFEC" w:themeFill="accent4" w:themeFillTint="33"/>
          </w:tcPr>
          <w:p w14:paraId="6DEB2834"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Lauksaimniecība</w:t>
            </w:r>
          </w:p>
        </w:tc>
        <w:tc>
          <w:tcPr>
            <w:tcW w:w="536" w:type="pct"/>
            <w:shd w:val="clear" w:color="auto" w:fill="E5DFEC" w:themeFill="accent4" w:themeFillTint="33"/>
          </w:tcPr>
          <w:p w14:paraId="7172575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11,1</w:t>
            </w:r>
          </w:p>
        </w:tc>
        <w:tc>
          <w:tcPr>
            <w:tcW w:w="538" w:type="pct"/>
            <w:shd w:val="clear" w:color="auto" w:fill="E5DFEC" w:themeFill="accent4" w:themeFillTint="33"/>
          </w:tcPr>
          <w:p w14:paraId="4A8E6A0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9,0</w:t>
            </w:r>
          </w:p>
        </w:tc>
        <w:tc>
          <w:tcPr>
            <w:tcW w:w="541" w:type="pct"/>
            <w:shd w:val="clear" w:color="auto" w:fill="E5DFEC" w:themeFill="accent4" w:themeFillTint="33"/>
          </w:tcPr>
          <w:p w14:paraId="5486168F"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123</w:t>
            </w:r>
          </w:p>
        </w:tc>
        <w:tc>
          <w:tcPr>
            <w:tcW w:w="536" w:type="pct"/>
            <w:shd w:val="clear" w:color="auto" w:fill="E5DFEC" w:themeFill="accent4" w:themeFillTint="33"/>
          </w:tcPr>
          <w:p w14:paraId="371C5680"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11,0</w:t>
            </w:r>
          </w:p>
        </w:tc>
        <w:tc>
          <w:tcPr>
            <w:tcW w:w="538" w:type="pct"/>
            <w:shd w:val="clear" w:color="auto" w:fill="E5DFEC" w:themeFill="accent4" w:themeFillTint="33"/>
          </w:tcPr>
          <w:p w14:paraId="552F2B3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8,</w:t>
            </w:r>
            <w:r>
              <w:rPr>
                <w:rFonts w:ascii="Segoe UI Light" w:hAnsi="Segoe UI Light" w:cs="Segoe UI Light"/>
                <w:sz w:val="16"/>
                <w:szCs w:val="16"/>
              </w:rPr>
              <w:t>2</w:t>
            </w:r>
          </w:p>
        </w:tc>
        <w:tc>
          <w:tcPr>
            <w:tcW w:w="538" w:type="pct"/>
            <w:shd w:val="clear" w:color="auto" w:fill="E5DFEC" w:themeFill="accent4" w:themeFillTint="33"/>
          </w:tcPr>
          <w:p w14:paraId="0D99B81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135</w:t>
            </w:r>
          </w:p>
        </w:tc>
      </w:tr>
      <w:tr w:rsidR="009C6CF4" w:rsidRPr="003B4CDA" w14:paraId="36242D93"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52D929E6"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Veselības aprūpe un sociālā labklājība</w:t>
            </w:r>
          </w:p>
        </w:tc>
        <w:tc>
          <w:tcPr>
            <w:tcW w:w="536" w:type="pct"/>
            <w:shd w:val="clear" w:color="auto" w:fill="CCC0D9" w:themeFill="accent4" w:themeFillTint="66"/>
          </w:tcPr>
          <w:p w14:paraId="70293125"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14,7</w:t>
            </w:r>
          </w:p>
        </w:tc>
        <w:tc>
          <w:tcPr>
            <w:tcW w:w="538" w:type="pct"/>
            <w:shd w:val="clear" w:color="auto" w:fill="CCC0D9" w:themeFill="accent4" w:themeFillTint="66"/>
          </w:tcPr>
          <w:p w14:paraId="774F5B6A"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9,7</w:t>
            </w:r>
          </w:p>
        </w:tc>
        <w:tc>
          <w:tcPr>
            <w:tcW w:w="541" w:type="pct"/>
            <w:shd w:val="clear" w:color="auto" w:fill="CCC0D9" w:themeFill="accent4" w:themeFillTint="66"/>
          </w:tcPr>
          <w:p w14:paraId="3A72DED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151</w:t>
            </w:r>
          </w:p>
        </w:tc>
        <w:tc>
          <w:tcPr>
            <w:tcW w:w="536" w:type="pct"/>
            <w:shd w:val="clear" w:color="auto" w:fill="CCC0D9" w:themeFill="accent4" w:themeFillTint="66"/>
          </w:tcPr>
          <w:p w14:paraId="63DB4574"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sidRPr="003B4CDA">
              <w:rPr>
                <w:rFonts w:ascii="Segoe UI Light" w:hAnsi="Segoe UI Light" w:cs="Segoe UI Light"/>
                <w:sz w:val="16"/>
                <w:szCs w:val="16"/>
              </w:rPr>
              <w:t>17,</w:t>
            </w:r>
            <w:r>
              <w:rPr>
                <w:rFonts w:ascii="Segoe UI Light" w:hAnsi="Segoe UI Light" w:cs="Segoe UI Light"/>
                <w:sz w:val="16"/>
                <w:szCs w:val="16"/>
              </w:rPr>
              <w:t>2</w:t>
            </w:r>
          </w:p>
        </w:tc>
        <w:tc>
          <w:tcPr>
            <w:tcW w:w="538" w:type="pct"/>
            <w:shd w:val="clear" w:color="auto" w:fill="CCC0D9" w:themeFill="accent4" w:themeFillTint="66"/>
          </w:tcPr>
          <w:p w14:paraId="6E045631"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9,7</w:t>
            </w:r>
          </w:p>
        </w:tc>
        <w:tc>
          <w:tcPr>
            <w:tcW w:w="538" w:type="pct"/>
            <w:shd w:val="clear" w:color="auto" w:fill="CCC0D9" w:themeFill="accent4" w:themeFillTint="66"/>
          </w:tcPr>
          <w:p w14:paraId="376B9AF3"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w:t>
            </w:r>
            <w:r>
              <w:rPr>
                <w:rFonts w:ascii="Segoe UI Light" w:hAnsi="Segoe UI Light" w:cs="Segoe UI Light"/>
                <w:sz w:val="16"/>
                <w:szCs w:val="16"/>
              </w:rPr>
              <w:t>77</w:t>
            </w:r>
          </w:p>
        </w:tc>
      </w:tr>
      <w:tr w:rsidR="009C6CF4" w:rsidRPr="003B4CDA" w14:paraId="2ECB7714" w14:textId="77777777" w:rsidTr="00103B84">
        <w:trPr>
          <w:cantSplit/>
          <w:trHeight w:val="20"/>
        </w:trPr>
        <w:tc>
          <w:tcPr>
            <w:tcW w:w="1771" w:type="pct"/>
            <w:shd w:val="clear" w:color="auto" w:fill="E5DFEC" w:themeFill="accent4" w:themeFillTint="33"/>
          </w:tcPr>
          <w:p w14:paraId="24F53D51" w14:textId="77777777" w:rsidR="0016645F" w:rsidRPr="003B4CDA" w:rsidRDefault="0016645F" w:rsidP="00D209BD">
            <w:pPr>
              <w:spacing w:before="40" w:after="40"/>
              <w:ind w:left="340"/>
              <w:rPr>
                <w:rFonts w:ascii="Segoe UI Light" w:eastAsia="Times New Roman" w:hAnsi="Segoe UI Light"/>
                <w:sz w:val="16"/>
                <w:szCs w:val="16"/>
              </w:rPr>
            </w:pPr>
            <w:r w:rsidRPr="003B4CDA">
              <w:rPr>
                <w:rFonts w:ascii="Segoe UI Light" w:eastAsia="Times New Roman" w:hAnsi="Segoe UI Light"/>
                <w:sz w:val="16"/>
                <w:szCs w:val="16"/>
              </w:rPr>
              <w:t>Pakalpojumi</w:t>
            </w:r>
          </w:p>
        </w:tc>
        <w:tc>
          <w:tcPr>
            <w:tcW w:w="536" w:type="pct"/>
            <w:shd w:val="clear" w:color="auto" w:fill="E5DFEC" w:themeFill="accent4" w:themeFillTint="33"/>
          </w:tcPr>
          <w:p w14:paraId="6F3E08E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52,2</w:t>
            </w:r>
          </w:p>
        </w:tc>
        <w:tc>
          <w:tcPr>
            <w:tcW w:w="538" w:type="pct"/>
            <w:shd w:val="clear" w:color="auto" w:fill="E5DFEC" w:themeFill="accent4" w:themeFillTint="33"/>
          </w:tcPr>
          <w:p w14:paraId="39E80312"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43,8</w:t>
            </w:r>
          </w:p>
        </w:tc>
        <w:tc>
          <w:tcPr>
            <w:tcW w:w="541" w:type="pct"/>
            <w:shd w:val="clear" w:color="auto" w:fill="E5DFEC" w:themeFill="accent4" w:themeFillTint="33"/>
          </w:tcPr>
          <w:p w14:paraId="14CAA74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119</w:t>
            </w:r>
          </w:p>
        </w:tc>
        <w:tc>
          <w:tcPr>
            <w:tcW w:w="536" w:type="pct"/>
            <w:shd w:val="clear" w:color="auto" w:fill="E5DFEC" w:themeFill="accent4" w:themeFillTint="33"/>
          </w:tcPr>
          <w:p w14:paraId="3D800B30"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55,7</w:t>
            </w:r>
          </w:p>
        </w:tc>
        <w:tc>
          <w:tcPr>
            <w:tcW w:w="538" w:type="pct"/>
            <w:shd w:val="clear" w:color="auto" w:fill="E5DFEC" w:themeFill="accent4" w:themeFillTint="33"/>
          </w:tcPr>
          <w:p w14:paraId="7439F358"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39,2</w:t>
            </w:r>
          </w:p>
        </w:tc>
        <w:tc>
          <w:tcPr>
            <w:tcW w:w="538" w:type="pct"/>
            <w:shd w:val="clear" w:color="auto" w:fill="E5DFEC" w:themeFill="accent4" w:themeFillTint="33"/>
          </w:tcPr>
          <w:p w14:paraId="6E397F0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142</w:t>
            </w:r>
          </w:p>
        </w:tc>
      </w:tr>
      <w:tr w:rsidR="009C6CF4" w:rsidRPr="003B4CDA" w14:paraId="595099E4"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4EA40904" w14:textId="77777777" w:rsidR="0016645F" w:rsidRPr="003B4CDA" w:rsidRDefault="0016645F" w:rsidP="00D209BD">
            <w:pPr>
              <w:spacing w:before="40" w:after="40"/>
              <w:ind w:left="170"/>
              <w:rPr>
                <w:rFonts w:ascii="Segoe UI Light" w:eastAsia="Times New Roman" w:hAnsi="Segoe UI Light"/>
                <w:color w:val="000000"/>
                <w:sz w:val="16"/>
                <w:szCs w:val="16"/>
              </w:rPr>
            </w:pPr>
            <w:r w:rsidRPr="003B4CDA">
              <w:rPr>
                <w:rFonts w:ascii="Segoe UI Light" w:eastAsia="Times New Roman" w:hAnsi="Segoe UI Light"/>
                <w:sz w:val="16"/>
                <w:szCs w:val="16"/>
              </w:rPr>
              <w:t>Vispārējā vidējā izglītība</w:t>
            </w:r>
          </w:p>
        </w:tc>
        <w:tc>
          <w:tcPr>
            <w:tcW w:w="536" w:type="pct"/>
            <w:shd w:val="clear" w:color="auto" w:fill="CCC0D9" w:themeFill="accent4" w:themeFillTint="66"/>
          </w:tcPr>
          <w:p w14:paraId="05FAB4A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170,3</w:t>
            </w:r>
          </w:p>
        </w:tc>
        <w:tc>
          <w:tcPr>
            <w:tcW w:w="538" w:type="pct"/>
            <w:shd w:val="clear" w:color="auto" w:fill="CCC0D9" w:themeFill="accent4" w:themeFillTint="66"/>
          </w:tcPr>
          <w:p w14:paraId="7DF00D40"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204,3</w:t>
            </w:r>
          </w:p>
        </w:tc>
        <w:tc>
          <w:tcPr>
            <w:tcW w:w="541" w:type="pct"/>
            <w:shd w:val="clear" w:color="auto" w:fill="CCC0D9" w:themeFill="accent4" w:themeFillTint="66"/>
          </w:tcPr>
          <w:p w14:paraId="7D395A1D"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83</w:t>
            </w:r>
          </w:p>
        </w:tc>
        <w:tc>
          <w:tcPr>
            <w:tcW w:w="536" w:type="pct"/>
            <w:shd w:val="clear" w:color="auto" w:fill="CCC0D9" w:themeFill="accent4" w:themeFillTint="66"/>
          </w:tcPr>
          <w:p w14:paraId="1C431322"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Pr>
                <w:rFonts w:ascii="Segoe UI Light" w:hAnsi="Segoe UI Light" w:cs="Segoe UI Light"/>
                <w:sz w:val="16"/>
                <w:szCs w:val="16"/>
              </w:rPr>
              <w:t>134,0</w:t>
            </w:r>
          </w:p>
        </w:tc>
        <w:tc>
          <w:tcPr>
            <w:tcW w:w="538" w:type="pct"/>
            <w:shd w:val="clear" w:color="auto" w:fill="CCC0D9" w:themeFill="accent4" w:themeFillTint="66"/>
          </w:tcPr>
          <w:p w14:paraId="5441B7E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203,3</w:t>
            </w:r>
          </w:p>
        </w:tc>
        <w:tc>
          <w:tcPr>
            <w:tcW w:w="538" w:type="pct"/>
            <w:shd w:val="clear" w:color="auto" w:fill="CCC0D9" w:themeFill="accent4" w:themeFillTint="66"/>
          </w:tcPr>
          <w:p w14:paraId="7839B7E4"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w:t>
            </w:r>
            <w:r w:rsidRPr="003B4CDA">
              <w:rPr>
                <w:rFonts w:ascii="Segoe UI Light" w:hAnsi="Segoe UI Light" w:cs="Segoe UI Light"/>
                <w:sz w:val="16"/>
                <w:szCs w:val="16"/>
              </w:rPr>
              <w:t>6</w:t>
            </w:r>
          </w:p>
        </w:tc>
      </w:tr>
      <w:tr w:rsidR="009C6CF4" w:rsidRPr="003B4CDA" w14:paraId="36E83135" w14:textId="77777777" w:rsidTr="00103B84">
        <w:trPr>
          <w:cantSplit/>
          <w:trHeight w:val="20"/>
        </w:trPr>
        <w:tc>
          <w:tcPr>
            <w:tcW w:w="1771" w:type="pct"/>
            <w:shd w:val="clear" w:color="auto" w:fill="E5DFEC" w:themeFill="accent4" w:themeFillTint="33"/>
          </w:tcPr>
          <w:p w14:paraId="042CA79C" w14:textId="77777777" w:rsidR="0016645F" w:rsidRPr="003B4CDA" w:rsidRDefault="0016645F" w:rsidP="00D209BD">
            <w:pPr>
              <w:spacing w:before="40" w:after="40"/>
              <w:rPr>
                <w:rFonts w:ascii="Segoe UI Light" w:eastAsia="Times New Roman" w:hAnsi="Segoe UI Light"/>
                <w:color w:val="000000"/>
                <w:sz w:val="16"/>
                <w:szCs w:val="16"/>
              </w:rPr>
            </w:pPr>
            <w:r w:rsidRPr="003B4CDA">
              <w:rPr>
                <w:rFonts w:ascii="Segoe UI Light" w:eastAsia="Times New Roman" w:hAnsi="Segoe UI Light"/>
                <w:bCs/>
                <w:sz w:val="16"/>
                <w:szCs w:val="16"/>
              </w:rPr>
              <w:t>Pamatizglītība un zemāka par pamatizglītību</w:t>
            </w:r>
          </w:p>
        </w:tc>
        <w:tc>
          <w:tcPr>
            <w:tcW w:w="536" w:type="pct"/>
            <w:shd w:val="clear" w:color="auto" w:fill="E5DFEC" w:themeFill="accent4" w:themeFillTint="33"/>
          </w:tcPr>
          <w:p w14:paraId="4026AEBD"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64,7</w:t>
            </w:r>
          </w:p>
        </w:tc>
        <w:tc>
          <w:tcPr>
            <w:tcW w:w="538" w:type="pct"/>
            <w:shd w:val="clear" w:color="auto" w:fill="E5DFEC" w:themeFill="accent4" w:themeFillTint="33"/>
          </w:tcPr>
          <w:p w14:paraId="270A62CD"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hAnsi="Segoe UI Light" w:cs="Segoe UI Light"/>
                <w:sz w:val="16"/>
                <w:szCs w:val="16"/>
              </w:rPr>
              <w:t>12</w:t>
            </w:r>
            <w:r>
              <w:rPr>
                <w:rFonts w:ascii="Segoe UI Light" w:hAnsi="Segoe UI Light" w:cs="Segoe UI Light"/>
                <w:sz w:val="16"/>
                <w:szCs w:val="16"/>
              </w:rPr>
              <w:t>6,5</w:t>
            </w:r>
          </w:p>
        </w:tc>
        <w:tc>
          <w:tcPr>
            <w:tcW w:w="541" w:type="pct"/>
            <w:shd w:val="clear" w:color="auto" w:fill="E5DFEC" w:themeFill="accent4" w:themeFillTint="33"/>
          </w:tcPr>
          <w:p w14:paraId="547D19A7"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5</w:t>
            </w:r>
            <w:r>
              <w:rPr>
                <w:rFonts w:ascii="Segoe UI Light" w:eastAsia="Times New Roman" w:hAnsi="Segoe UI Light" w:cs="Segoe UI Light"/>
                <w:bCs/>
                <w:sz w:val="16"/>
                <w:szCs w:val="16"/>
              </w:rPr>
              <w:t>1</w:t>
            </w:r>
          </w:p>
        </w:tc>
        <w:tc>
          <w:tcPr>
            <w:tcW w:w="536" w:type="pct"/>
            <w:shd w:val="clear" w:color="auto" w:fill="E5DFEC" w:themeFill="accent4" w:themeFillTint="33"/>
          </w:tcPr>
          <w:p w14:paraId="5E4E0AEF" w14:textId="77777777" w:rsidR="0016645F" w:rsidRPr="003B4CDA" w:rsidRDefault="0016645F" w:rsidP="00D209BD">
            <w:pPr>
              <w:tabs>
                <w:tab w:val="decimal" w:pos="582"/>
              </w:tabs>
              <w:spacing w:before="40" w:after="40"/>
              <w:rPr>
                <w:rFonts w:ascii="Segoe UI Light" w:eastAsia="Times New Roman" w:hAnsi="Segoe UI Light"/>
                <w:bCs/>
                <w:sz w:val="16"/>
                <w:szCs w:val="16"/>
              </w:rPr>
            </w:pPr>
            <w:r w:rsidRPr="003B4CDA">
              <w:rPr>
                <w:rFonts w:ascii="Segoe UI Light" w:hAnsi="Segoe UI Light" w:cs="Segoe UI Light"/>
                <w:sz w:val="16"/>
                <w:szCs w:val="16"/>
              </w:rPr>
              <w:t>4</w:t>
            </w:r>
            <w:r>
              <w:rPr>
                <w:rFonts w:ascii="Segoe UI Light" w:hAnsi="Segoe UI Light" w:cs="Segoe UI Light"/>
                <w:sz w:val="16"/>
                <w:szCs w:val="16"/>
              </w:rPr>
              <w:t>9,3</w:t>
            </w:r>
          </w:p>
        </w:tc>
        <w:tc>
          <w:tcPr>
            <w:tcW w:w="538" w:type="pct"/>
            <w:shd w:val="clear" w:color="auto" w:fill="E5DFEC" w:themeFill="accent4" w:themeFillTint="33"/>
          </w:tcPr>
          <w:p w14:paraId="730668E9"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Pr>
                <w:rFonts w:ascii="Segoe UI Light" w:hAnsi="Segoe UI Light" w:cs="Segoe UI Light"/>
                <w:sz w:val="16"/>
                <w:szCs w:val="16"/>
              </w:rPr>
              <w:t>101,6</w:t>
            </w:r>
          </w:p>
        </w:tc>
        <w:tc>
          <w:tcPr>
            <w:tcW w:w="538" w:type="pct"/>
            <w:shd w:val="clear" w:color="auto" w:fill="E5DFEC" w:themeFill="accent4" w:themeFillTint="33"/>
          </w:tcPr>
          <w:p w14:paraId="57F396AC" w14:textId="77777777" w:rsidR="0016645F" w:rsidRPr="003B4CDA" w:rsidRDefault="0016645F" w:rsidP="00D209BD">
            <w:pPr>
              <w:tabs>
                <w:tab w:val="decimal" w:pos="582"/>
              </w:tabs>
              <w:spacing w:before="40" w:after="40"/>
              <w:rPr>
                <w:rFonts w:ascii="Segoe UI Light" w:eastAsia="Times New Roman" w:hAnsi="Segoe UI Light" w:cs="Segoe UI Light"/>
                <w:bCs/>
                <w:sz w:val="16"/>
                <w:szCs w:val="16"/>
              </w:rPr>
            </w:pPr>
            <w:r w:rsidRPr="003B4CDA">
              <w:rPr>
                <w:rFonts w:ascii="Segoe UI Light" w:eastAsia="Times New Roman" w:hAnsi="Segoe UI Light" w:cs="Segoe UI Light"/>
                <w:bCs/>
                <w:sz w:val="16"/>
                <w:szCs w:val="16"/>
              </w:rPr>
              <w:t>4</w:t>
            </w:r>
            <w:r>
              <w:rPr>
                <w:rFonts w:ascii="Segoe UI Light" w:eastAsia="Times New Roman" w:hAnsi="Segoe UI Light" w:cs="Segoe UI Light"/>
                <w:bCs/>
                <w:sz w:val="16"/>
                <w:szCs w:val="16"/>
              </w:rPr>
              <w:t>8</w:t>
            </w:r>
          </w:p>
        </w:tc>
      </w:tr>
      <w:tr w:rsidR="009C6CF4" w:rsidRPr="003B4CDA" w14:paraId="62E913AD" w14:textId="77777777" w:rsidTr="00103B84">
        <w:trPr>
          <w:cnfStyle w:val="000000100000" w:firstRow="0" w:lastRow="0" w:firstColumn="0" w:lastColumn="0" w:oddVBand="0" w:evenVBand="0" w:oddHBand="1" w:evenHBand="0" w:firstRowFirstColumn="0" w:firstRowLastColumn="0" w:lastRowFirstColumn="0" w:lastRowLastColumn="0"/>
          <w:cantSplit/>
          <w:trHeight w:val="20"/>
        </w:trPr>
        <w:tc>
          <w:tcPr>
            <w:tcW w:w="1771" w:type="pct"/>
            <w:shd w:val="clear" w:color="auto" w:fill="CCC0D9" w:themeFill="accent4" w:themeFillTint="66"/>
          </w:tcPr>
          <w:p w14:paraId="04B4873D" w14:textId="77777777" w:rsidR="0016645F" w:rsidRPr="003B4CDA" w:rsidRDefault="0016645F" w:rsidP="00D209BD">
            <w:pPr>
              <w:spacing w:before="40" w:after="40"/>
              <w:rPr>
                <w:rFonts w:ascii="Segoe UI Light" w:eastAsia="Times New Roman" w:hAnsi="Segoe UI Light"/>
                <w:b/>
                <w:color w:val="000000"/>
                <w:sz w:val="16"/>
                <w:szCs w:val="16"/>
              </w:rPr>
            </w:pPr>
            <w:r w:rsidRPr="003B4CDA">
              <w:rPr>
                <w:rFonts w:ascii="Segoe UI Light" w:eastAsia="Times New Roman" w:hAnsi="Segoe UI Light"/>
                <w:b/>
                <w:bCs/>
                <w:sz w:val="16"/>
                <w:szCs w:val="16"/>
              </w:rPr>
              <w:t>Kopā</w:t>
            </w:r>
          </w:p>
        </w:tc>
        <w:tc>
          <w:tcPr>
            <w:tcW w:w="536" w:type="pct"/>
            <w:shd w:val="clear" w:color="auto" w:fill="CCC0D9" w:themeFill="accent4" w:themeFillTint="66"/>
          </w:tcPr>
          <w:p w14:paraId="1CB4DF7E" w14:textId="77777777" w:rsidR="0016645F" w:rsidRPr="003B4CDA" w:rsidRDefault="0016645F" w:rsidP="00D209BD">
            <w:pPr>
              <w:tabs>
                <w:tab w:val="decimal" w:pos="582"/>
              </w:tabs>
              <w:spacing w:before="40" w:after="40"/>
              <w:rPr>
                <w:rFonts w:ascii="Segoe UI Light" w:eastAsia="Times New Roman" w:hAnsi="Segoe UI Light" w:cs="Segoe UI Light"/>
                <w:b/>
                <w:bCs/>
                <w:sz w:val="16"/>
                <w:szCs w:val="16"/>
              </w:rPr>
            </w:pPr>
            <w:r>
              <w:rPr>
                <w:rFonts w:ascii="Segoe UI Light" w:hAnsi="Segoe UI Light" w:cs="Segoe UI Light"/>
                <w:b/>
                <w:bCs/>
                <w:sz w:val="16"/>
                <w:szCs w:val="16"/>
              </w:rPr>
              <w:t>890,1</w:t>
            </w:r>
          </w:p>
        </w:tc>
        <w:tc>
          <w:tcPr>
            <w:tcW w:w="538" w:type="pct"/>
            <w:shd w:val="clear" w:color="auto" w:fill="CCC0D9" w:themeFill="accent4" w:themeFillTint="66"/>
          </w:tcPr>
          <w:p w14:paraId="61EE9E51" w14:textId="77777777" w:rsidR="0016645F" w:rsidRPr="003B4CDA" w:rsidRDefault="0016645F" w:rsidP="00D209BD">
            <w:pPr>
              <w:tabs>
                <w:tab w:val="decimal" w:pos="582"/>
              </w:tabs>
              <w:spacing w:before="40" w:after="40"/>
              <w:rPr>
                <w:rFonts w:ascii="Segoe UI Light" w:eastAsia="Times New Roman" w:hAnsi="Segoe UI Light" w:cs="Segoe UI Light"/>
                <w:b/>
                <w:bCs/>
                <w:sz w:val="16"/>
                <w:szCs w:val="16"/>
              </w:rPr>
            </w:pPr>
            <w:r w:rsidRPr="003B4CDA">
              <w:rPr>
                <w:rFonts w:ascii="Segoe UI Light" w:hAnsi="Segoe UI Light" w:cs="Segoe UI Light"/>
                <w:b/>
                <w:bCs/>
                <w:sz w:val="16"/>
                <w:szCs w:val="16"/>
              </w:rPr>
              <w:t>9</w:t>
            </w:r>
            <w:r>
              <w:rPr>
                <w:rFonts w:ascii="Segoe UI Light" w:hAnsi="Segoe UI Light" w:cs="Segoe UI Light"/>
                <w:b/>
                <w:bCs/>
                <w:sz w:val="16"/>
                <w:szCs w:val="16"/>
              </w:rPr>
              <w:t>42,7</w:t>
            </w:r>
          </w:p>
        </w:tc>
        <w:tc>
          <w:tcPr>
            <w:tcW w:w="541" w:type="pct"/>
            <w:shd w:val="clear" w:color="auto" w:fill="CCC0D9" w:themeFill="accent4" w:themeFillTint="66"/>
          </w:tcPr>
          <w:p w14:paraId="1A3C7673" w14:textId="77777777" w:rsidR="0016645F" w:rsidRPr="003B4CDA" w:rsidRDefault="0016645F" w:rsidP="00D209BD">
            <w:pPr>
              <w:tabs>
                <w:tab w:val="decimal" w:pos="582"/>
              </w:tabs>
              <w:spacing w:before="40" w:after="40"/>
              <w:rPr>
                <w:rFonts w:ascii="Segoe UI Light" w:eastAsia="Times New Roman" w:hAnsi="Segoe UI Light" w:cs="Segoe UI Light"/>
                <w:b/>
                <w:bCs/>
                <w:sz w:val="16"/>
                <w:szCs w:val="16"/>
              </w:rPr>
            </w:pPr>
            <w:r w:rsidRPr="003B4CDA">
              <w:rPr>
                <w:rFonts w:ascii="Segoe UI Light" w:eastAsia="Times New Roman" w:hAnsi="Segoe UI Light" w:cs="Segoe UI Light"/>
                <w:b/>
                <w:bCs/>
                <w:sz w:val="16"/>
                <w:szCs w:val="16"/>
              </w:rPr>
              <w:t>94</w:t>
            </w:r>
          </w:p>
        </w:tc>
        <w:tc>
          <w:tcPr>
            <w:tcW w:w="536" w:type="pct"/>
            <w:shd w:val="clear" w:color="auto" w:fill="CCC0D9" w:themeFill="accent4" w:themeFillTint="66"/>
          </w:tcPr>
          <w:p w14:paraId="1C98D845" w14:textId="77777777" w:rsidR="0016645F" w:rsidRPr="003B4CDA" w:rsidRDefault="0016645F" w:rsidP="00D209BD">
            <w:pPr>
              <w:tabs>
                <w:tab w:val="decimal" w:pos="582"/>
              </w:tabs>
              <w:spacing w:before="40" w:after="40"/>
              <w:rPr>
                <w:rFonts w:ascii="Segoe UI Light" w:eastAsia="Times New Roman" w:hAnsi="Segoe UI Light"/>
                <w:b/>
                <w:bCs/>
                <w:sz w:val="16"/>
                <w:szCs w:val="16"/>
              </w:rPr>
            </w:pPr>
            <w:r>
              <w:rPr>
                <w:rFonts w:ascii="Segoe UI Light" w:hAnsi="Segoe UI Light" w:cs="Segoe UI Light"/>
                <w:b/>
                <w:bCs/>
                <w:sz w:val="16"/>
                <w:szCs w:val="16"/>
              </w:rPr>
              <w:t>878,8</w:t>
            </w:r>
          </w:p>
        </w:tc>
        <w:tc>
          <w:tcPr>
            <w:tcW w:w="538" w:type="pct"/>
            <w:shd w:val="clear" w:color="auto" w:fill="CCC0D9" w:themeFill="accent4" w:themeFillTint="66"/>
          </w:tcPr>
          <w:p w14:paraId="2EAD9547" w14:textId="77777777" w:rsidR="0016645F" w:rsidRPr="003B4CDA" w:rsidRDefault="0016645F" w:rsidP="00D209BD">
            <w:pPr>
              <w:tabs>
                <w:tab w:val="decimal" w:pos="582"/>
              </w:tabs>
              <w:spacing w:before="40" w:after="40"/>
              <w:rPr>
                <w:rFonts w:ascii="Segoe UI Light" w:eastAsia="Times New Roman" w:hAnsi="Segoe UI Light" w:cs="Segoe UI Light"/>
                <w:b/>
                <w:bCs/>
                <w:sz w:val="16"/>
                <w:szCs w:val="16"/>
              </w:rPr>
            </w:pPr>
            <w:r>
              <w:rPr>
                <w:rFonts w:ascii="Segoe UI Light" w:hAnsi="Segoe UI Light" w:cs="Segoe UI Light"/>
                <w:b/>
                <w:bCs/>
                <w:sz w:val="16"/>
                <w:szCs w:val="16"/>
              </w:rPr>
              <w:t>924,6</w:t>
            </w:r>
          </w:p>
        </w:tc>
        <w:tc>
          <w:tcPr>
            <w:tcW w:w="538" w:type="pct"/>
            <w:shd w:val="clear" w:color="auto" w:fill="CCC0D9" w:themeFill="accent4" w:themeFillTint="66"/>
          </w:tcPr>
          <w:p w14:paraId="54447FD6" w14:textId="77777777" w:rsidR="0016645F" w:rsidRPr="003B4CDA" w:rsidRDefault="0016645F" w:rsidP="00D209BD">
            <w:pPr>
              <w:tabs>
                <w:tab w:val="decimal" w:pos="582"/>
              </w:tabs>
              <w:spacing w:before="40" w:after="40"/>
              <w:rPr>
                <w:rFonts w:ascii="Segoe UI Light" w:eastAsia="Times New Roman" w:hAnsi="Segoe UI Light" w:cs="Segoe UI Light"/>
                <w:b/>
                <w:bCs/>
                <w:sz w:val="16"/>
                <w:szCs w:val="16"/>
              </w:rPr>
            </w:pPr>
            <w:r w:rsidRPr="003B4CDA">
              <w:rPr>
                <w:rFonts w:ascii="Segoe UI Light" w:eastAsia="Times New Roman" w:hAnsi="Segoe UI Light" w:cs="Segoe UI Light"/>
                <w:b/>
                <w:bCs/>
                <w:sz w:val="16"/>
                <w:szCs w:val="16"/>
              </w:rPr>
              <w:t>95</w:t>
            </w:r>
          </w:p>
        </w:tc>
      </w:tr>
    </w:tbl>
    <w:p w14:paraId="22A4B302" w14:textId="77777777" w:rsidR="0016645F" w:rsidRPr="00103B84" w:rsidRDefault="0016645F" w:rsidP="00C24E26">
      <w:pPr>
        <w:spacing w:before="120"/>
        <w:jc w:val="both"/>
        <w:rPr>
          <w:rFonts w:cs="Calibri Light"/>
          <w:sz w:val="12"/>
          <w:szCs w:val="10"/>
        </w:rPr>
      </w:pPr>
      <w:r w:rsidRPr="00103B84">
        <w:rPr>
          <w:rFonts w:cs="Calibri Light"/>
          <w:sz w:val="12"/>
          <w:szCs w:val="10"/>
        </w:rPr>
        <w:t>Avots: EM prognozes</w:t>
      </w:r>
    </w:p>
    <w:p w14:paraId="2374216E" w14:textId="2915FBF8" w:rsidR="0016645F" w:rsidRDefault="00C24E26" w:rsidP="0016645F">
      <w:pPr>
        <w:jc w:val="both"/>
        <w:rPr>
          <w:szCs w:val="20"/>
        </w:rPr>
      </w:pPr>
      <w:r>
        <w:rPr>
          <w:szCs w:val="20"/>
        </w:rPr>
        <w:br/>
      </w:r>
      <w:r w:rsidR="0016645F" w:rsidRPr="003B4CDA">
        <w:rPr>
          <w:szCs w:val="20"/>
        </w:rPr>
        <w:t>Vienlaikus, ja 20</w:t>
      </w:r>
      <w:r w:rsidR="0016645F">
        <w:rPr>
          <w:szCs w:val="20"/>
        </w:rPr>
        <w:t>20</w:t>
      </w:r>
      <w:r w:rsidR="0016645F" w:rsidRPr="003B4CDA">
        <w:rPr>
          <w:szCs w:val="20"/>
        </w:rPr>
        <w:t>. gada prognozēs lauksaimniecības tematiskajā grupā bija prognozēts darbaspēka pārpalikums, tad jaunākās prognozes liecina, ka šajā grupā līdz 203</w:t>
      </w:r>
      <w:r w:rsidR="0016645F">
        <w:rPr>
          <w:szCs w:val="20"/>
        </w:rPr>
        <w:t>0</w:t>
      </w:r>
      <w:r w:rsidR="0016645F" w:rsidRPr="003B4CDA">
        <w:rPr>
          <w:szCs w:val="20"/>
        </w:rPr>
        <w:t>. gadam varētu veidoties darbaspēka</w:t>
      </w:r>
      <w:r w:rsidR="0016645F" w:rsidRPr="0086145C">
        <w:rPr>
          <w:szCs w:val="20"/>
        </w:rPr>
        <w:t xml:space="preserve"> </w:t>
      </w:r>
      <w:r w:rsidR="0016645F" w:rsidRPr="003B4CDA">
        <w:rPr>
          <w:szCs w:val="20"/>
        </w:rPr>
        <w:t>iztrūkums</w:t>
      </w:r>
      <w:r w:rsidR="0016645F">
        <w:rPr>
          <w:szCs w:val="20"/>
        </w:rPr>
        <w:t xml:space="preserve"> un</w:t>
      </w:r>
      <w:r w:rsidR="0016645F" w:rsidRPr="003B4CDA">
        <w:rPr>
          <w:szCs w:val="20"/>
        </w:rPr>
        <w:t xml:space="preserve"> starpība starp pieprasījumu un piedāvājumu pakāpeniski </w:t>
      </w:r>
      <w:r w:rsidR="0016645F">
        <w:rPr>
          <w:szCs w:val="20"/>
        </w:rPr>
        <w:t>paliel</w:t>
      </w:r>
      <w:r w:rsidR="0016645F" w:rsidRPr="003B4CDA">
        <w:rPr>
          <w:szCs w:val="20"/>
        </w:rPr>
        <w:t>ināsies darbaspēka novecošanās dēļ. Tāpat jāņem vērā salīdzinoši nelielais atbilstošās kvalifikācijas speciālistu piedāvājums darba tirgū.</w:t>
      </w:r>
    </w:p>
    <w:p w14:paraId="390360A3" w14:textId="77777777" w:rsidR="00C24E26" w:rsidRDefault="00C24E26" w:rsidP="0016645F">
      <w:pPr>
        <w:jc w:val="both"/>
        <w:rPr>
          <w:b/>
          <w:szCs w:val="20"/>
        </w:rPr>
      </w:pPr>
    </w:p>
    <w:p w14:paraId="7D505E6E" w14:textId="70D86764" w:rsidR="0016645F" w:rsidRPr="003B4CDA" w:rsidRDefault="0016645F" w:rsidP="0016645F">
      <w:pPr>
        <w:jc w:val="both"/>
        <w:rPr>
          <w:b/>
          <w:szCs w:val="20"/>
        </w:rPr>
      </w:pPr>
      <w:r w:rsidRPr="003B4CDA">
        <w:rPr>
          <w:b/>
          <w:szCs w:val="20"/>
        </w:rPr>
        <w:lastRenderedPageBreak/>
        <w:t>Darbaspēka pieprasījuma un piedāvājuma atbilstība pa profesiju grupām</w:t>
      </w:r>
    </w:p>
    <w:p w14:paraId="0F43A696" w14:textId="77777777" w:rsidR="0016645F" w:rsidRPr="003B4CDA" w:rsidRDefault="0016645F" w:rsidP="0016645F">
      <w:pPr>
        <w:jc w:val="both"/>
        <w:rPr>
          <w:szCs w:val="20"/>
        </w:rPr>
      </w:pPr>
      <w:r w:rsidRPr="003B4CDA">
        <w:rPr>
          <w:szCs w:val="20"/>
        </w:rPr>
        <w:t xml:space="preserve">Gan vidējā, gan ilgtermiņā būtiskākais </w:t>
      </w:r>
      <w:r w:rsidRPr="003B4CDA">
        <w:rPr>
          <w:b/>
          <w:szCs w:val="20"/>
        </w:rPr>
        <w:t>darbaspēka iztrūkums veidosies pēc vidējās kvalifikācijas darbiniekiem</w:t>
      </w:r>
      <w:r w:rsidRPr="003B4CDA">
        <w:rPr>
          <w:szCs w:val="20"/>
        </w:rPr>
        <w:t xml:space="preserve"> tādās profesijās kā </w:t>
      </w:r>
      <w:r>
        <w:rPr>
          <w:szCs w:val="20"/>
        </w:rPr>
        <w:t>būvnieki</w:t>
      </w:r>
      <w:r w:rsidRPr="003B4CDA">
        <w:rPr>
          <w:szCs w:val="20"/>
        </w:rPr>
        <w:t xml:space="preserve"> un kokapstrādes speciālisti, būvnieki, pašgājēju mašīnu un iekārtu vadītāji un operatori, </w:t>
      </w:r>
      <w:r>
        <w:rPr>
          <w:szCs w:val="20"/>
        </w:rPr>
        <w:t>metālapstrādes un mašīnbūves strādnieki</w:t>
      </w:r>
      <w:r w:rsidRPr="003B4CDA">
        <w:rPr>
          <w:szCs w:val="20"/>
        </w:rPr>
        <w:t>, elektrisko un elektronisko iekārtu speciālisti. Gandrīz visās šajās specialitātēs nākamajos gados sagaidāms darbaspēka piedāvājuma samazinājums, ko no vienas puses nosaka darbaspēka novecošanās un iziešana no darba tirgus, bet no otras puses, nepietiekamais profesionālās izglītības piedāvājums atbilstošajās specialitātēs.</w:t>
      </w:r>
    </w:p>
    <w:p w14:paraId="315A8F73" w14:textId="77777777" w:rsidR="0016645F" w:rsidRPr="003B4CDA" w:rsidRDefault="0016645F" w:rsidP="0016645F">
      <w:pPr>
        <w:jc w:val="both"/>
        <w:rPr>
          <w:szCs w:val="20"/>
        </w:rPr>
      </w:pPr>
      <w:r w:rsidRPr="003B4CDA">
        <w:rPr>
          <w:szCs w:val="20"/>
        </w:rPr>
        <w:t>Vienlaikus lielākais darbaspēka pārpalikums būs pakalpojumu un tirdzniecības profesijās, kā arī kalpotāju profesijās, kur liela daļa no nodarbinātajiem ir ar vidējo vispārējo izglītību, savukārt darba meklētāju skaits ar šādu izglītību saglabāsies augsts.</w:t>
      </w:r>
    </w:p>
    <w:p w14:paraId="7A3E0923" w14:textId="6998A7B1" w:rsidR="0016645F" w:rsidRPr="003B4CDA" w:rsidRDefault="0016645F" w:rsidP="0016645F">
      <w:pPr>
        <w:jc w:val="right"/>
        <w:rPr>
          <w:szCs w:val="26"/>
        </w:rPr>
      </w:pPr>
      <w:r w:rsidRPr="003B4CDA">
        <w:rPr>
          <w:szCs w:val="26"/>
        </w:rPr>
        <w:t>3.1</w:t>
      </w:r>
      <w:r w:rsidR="001179C2">
        <w:rPr>
          <w:szCs w:val="26"/>
        </w:rPr>
        <w:t>7</w:t>
      </w:r>
      <w:r w:rsidRPr="003B4CDA">
        <w:rPr>
          <w:szCs w:val="26"/>
        </w:rPr>
        <w:t>. attēls</w:t>
      </w:r>
    </w:p>
    <w:p w14:paraId="38F1862A" w14:textId="77777777" w:rsidR="0016645F" w:rsidRPr="003B4CDA" w:rsidRDefault="0016645F" w:rsidP="00C24E26">
      <w:pPr>
        <w:spacing w:after="120"/>
        <w:jc w:val="center"/>
        <w:rPr>
          <w:rFonts w:ascii="Segoe UI Light" w:hAnsi="Segoe UI Light"/>
          <w:b/>
          <w:bCs/>
          <w:color w:val="000000"/>
          <w:sz w:val="16"/>
        </w:rPr>
      </w:pPr>
      <w:r w:rsidRPr="003B4CDA">
        <w:rPr>
          <w:rFonts w:ascii="Segoe UI Light" w:hAnsi="Segoe UI Light"/>
          <w:b/>
          <w:sz w:val="18"/>
          <w:szCs w:val="26"/>
        </w:rPr>
        <w:t xml:space="preserve">Darbaspēka piedāvājuma un pieprasījuma prognozes </w:t>
      </w:r>
      <w:r w:rsidRPr="003B4CDA">
        <w:rPr>
          <w:rFonts w:ascii="Segoe UI Light" w:hAnsi="Segoe UI Light"/>
          <w:b/>
          <w:bCs/>
          <w:color w:val="000000"/>
          <w:sz w:val="18"/>
          <w:szCs w:val="26"/>
        </w:rPr>
        <w:t xml:space="preserve">sadalījumā pa profesiju grupām </w:t>
      </w:r>
      <w:r w:rsidRPr="003B4CDA">
        <w:rPr>
          <w:rFonts w:ascii="Segoe UI Light" w:hAnsi="Segoe UI Light"/>
          <w:b/>
          <w:bCs/>
          <w:color w:val="000000"/>
          <w:sz w:val="18"/>
          <w:szCs w:val="26"/>
        </w:rPr>
        <w:br/>
      </w:r>
      <w:r w:rsidRPr="003B4CDA">
        <w:rPr>
          <w:rFonts w:ascii="Segoe UI Light" w:hAnsi="Segoe UI Light"/>
          <w:bCs/>
          <w:i/>
          <w:color w:val="000000"/>
          <w:sz w:val="16"/>
        </w:rPr>
        <w:t>tūkstošos</w:t>
      </w:r>
    </w:p>
    <w:p w14:paraId="24B4DC3D" w14:textId="77777777" w:rsidR="0016645F" w:rsidRPr="003B4CDA" w:rsidRDefault="0016645F" w:rsidP="0016645F">
      <w:pPr>
        <w:tabs>
          <w:tab w:val="center" w:pos="1560"/>
          <w:tab w:val="center" w:pos="4678"/>
          <w:tab w:val="center" w:pos="7655"/>
        </w:tabs>
        <w:rPr>
          <w:rFonts w:ascii="Segoe UI Light" w:hAnsi="Segoe UI Light"/>
          <w:sz w:val="16"/>
          <w:szCs w:val="20"/>
        </w:rPr>
      </w:pPr>
      <w:r w:rsidRPr="003B4CDA">
        <w:rPr>
          <w:rFonts w:ascii="Segoe UI Light" w:hAnsi="Segoe UI Light"/>
          <w:bCs/>
          <w:sz w:val="16"/>
          <w:szCs w:val="20"/>
        </w:rPr>
        <w:tab/>
        <w:t>Vadītāji</w:t>
      </w:r>
      <w:r w:rsidRPr="003B4CDA">
        <w:rPr>
          <w:rFonts w:ascii="Segoe UI Light" w:hAnsi="Segoe UI Light"/>
          <w:bCs/>
          <w:sz w:val="16"/>
          <w:szCs w:val="20"/>
        </w:rPr>
        <w:tab/>
        <w:t>Vecākie speciālisti</w:t>
      </w:r>
      <w:r w:rsidRPr="003B4CDA">
        <w:rPr>
          <w:rFonts w:ascii="Segoe UI Light" w:hAnsi="Segoe UI Light"/>
          <w:bCs/>
          <w:sz w:val="16"/>
          <w:szCs w:val="20"/>
        </w:rPr>
        <w:tab/>
      </w:r>
      <w:proofErr w:type="spellStart"/>
      <w:r w:rsidRPr="003B4CDA">
        <w:rPr>
          <w:rFonts w:ascii="Segoe UI Light" w:hAnsi="Segoe UI Light"/>
          <w:bCs/>
          <w:sz w:val="16"/>
          <w:szCs w:val="20"/>
        </w:rPr>
        <w:t>Speciālisti</w:t>
      </w:r>
      <w:proofErr w:type="spellEnd"/>
    </w:p>
    <w:p w14:paraId="4971E7FA" w14:textId="77777777" w:rsidR="0016645F" w:rsidRPr="003B4CDA" w:rsidRDefault="0016645F" w:rsidP="0016645F">
      <w:pPr>
        <w:tabs>
          <w:tab w:val="center" w:pos="1560"/>
          <w:tab w:val="center" w:pos="4678"/>
          <w:tab w:val="center" w:pos="7655"/>
        </w:tabs>
        <w:ind w:right="-193"/>
        <w:rPr>
          <w:rFonts w:ascii="Segoe UI Light" w:hAnsi="Segoe UI Light"/>
          <w:sz w:val="16"/>
          <w:szCs w:val="20"/>
        </w:rPr>
      </w:pPr>
      <w:r w:rsidRPr="003B4CDA">
        <w:rPr>
          <w:rFonts w:ascii="Segoe UI Light" w:hAnsi="Segoe UI Light"/>
          <w:noProof/>
          <w:sz w:val="16"/>
          <w:szCs w:val="20"/>
          <w:lang w:eastAsia="lv-LV"/>
        </w:rPr>
        <w:drawing>
          <wp:inline distT="0" distB="0" distL="0" distR="0" wp14:anchorId="54E4ED6D" wp14:editId="6D7548A9">
            <wp:extent cx="1944000" cy="1440000"/>
            <wp:effectExtent l="0" t="0" r="0" b="0"/>
            <wp:docPr id="313" name="Chart 3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r w:rsidRPr="003B4CDA">
        <w:rPr>
          <w:rFonts w:ascii="Segoe UI Light" w:hAnsi="Segoe UI Light"/>
          <w:noProof/>
          <w:sz w:val="16"/>
          <w:szCs w:val="20"/>
          <w:lang w:eastAsia="lv-LV"/>
        </w:rPr>
        <w:drawing>
          <wp:inline distT="0" distB="0" distL="0" distR="0" wp14:anchorId="477161F9" wp14:editId="63C85A8E">
            <wp:extent cx="1944000" cy="1440000"/>
            <wp:effectExtent l="0" t="0" r="0" b="0"/>
            <wp:docPr id="260" name="Chart 2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r w:rsidRPr="003B4CDA">
        <w:rPr>
          <w:rFonts w:ascii="Segoe UI Light" w:hAnsi="Segoe UI Light"/>
          <w:noProof/>
          <w:sz w:val="16"/>
          <w:szCs w:val="20"/>
          <w:lang w:eastAsia="lv-LV"/>
        </w:rPr>
        <w:drawing>
          <wp:inline distT="0" distB="0" distL="0" distR="0" wp14:anchorId="1846F645" wp14:editId="75627221">
            <wp:extent cx="1944000" cy="1440000"/>
            <wp:effectExtent l="0" t="0" r="0" b="0"/>
            <wp:docPr id="111" name="Chart 1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31DD372A" w14:textId="77777777" w:rsidR="0016645F" w:rsidRPr="003B4CDA" w:rsidRDefault="0016645F" w:rsidP="0016645F">
      <w:pPr>
        <w:tabs>
          <w:tab w:val="center" w:pos="1560"/>
          <w:tab w:val="center" w:pos="4678"/>
          <w:tab w:val="center" w:pos="7655"/>
        </w:tabs>
        <w:rPr>
          <w:rFonts w:ascii="Segoe UI Light" w:hAnsi="Segoe UI Light"/>
          <w:sz w:val="16"/>
          <w:szCs w:val="20"/>
        </w:rPr>
      </w:pPr>
      <w:r w:rsidRPr="003B4CDA">
        <w:rPr>
          <w:rFonts w:ascii="Segoe UI Light" w:hAnsi="Segoe UI Light"/>
          <w:bCs/>
          <w:sz w:val="16"/>
          <w:szCs w:val="20"/>
        </w:rPr>
        <w:tab/>
        <w:t>Kalpotāji</w:t>
      </w:r>
      <w:r w:rsidRPr="003B4CDA">
        <w:rPr>
          <w:rFonts w:ascii="Segoe UI Light" w:hAnsi="Segoe UI Light"/>
          <w:bCs/>
          <w:sz w:val="16"/>
          <w:szCs w:val="20"/>
        </w:rPr>
        <w:tab/>
        <w:t>Pakalpojumu un tirdzniecības darbinieki</w:t>
      </w:r>
      <w:r w:rsidRPr="003B4CDA">
        <w:rPr>
          <w:rFonts w:ascii="Segoe UI Light" w:hAnsi="Segoe UI Light"/>
          <w:sz w:val="16"/>
          <w:szCs w:val="20"/>
        </w:rPr>
        <w:tab/>
      </w:r>
      <w:r w:rsidRPr="003B4CDA">
        <w:rPr>
          <w:rFonts w:ascii="Segoe UI Light" w:hAnsi="Segoe UI Light"/>
          <w:bCs/>
          <w:sz w:val="16"/>
          <w:szCs w:val="20"/>
        </w:rPr>
        <w:t>Kvalificēti lauksaimniecības,</w:t>
      </w:r>
      <w:r w:rsidRPr="003B4CDA">
        <w:rPr>
          <w:rFonts w:ascii="Segoe UI Light" w:hAnsi="Segoe UI Light"/>
          <w:bCs/>
          <w:sz w:val="16"/>
          <w:szCs w:val="20"/>
        </w:rPr>
        <w:br/>
      </w:r>
      <w:r w:rsidRPr="003B4CDA">
        <w:rPr>
          <w:rFonts w:ascii="Segoe UI Light" w:hAnsi="Segoe UI Light"/>
          <w:bCs/>
          <w:sz w:val="16"/>
          <w:szCs w:val="20"/>
        </w:rPr>
        <w:tab/>
      </w:r>
      <w:r w:rsidRPr="003B4CDA">
        <w:rPr>
          <w:rFonts w:ascii="Segoe UI Light" w:hAnsi="Segoe UI Light"/>
          <w:bCs/>
          <w:sz w:val="16"/>
          <w:szCs w:val="20"/>
        </w:rPr>
        <w:tab/>
      </w:r>
      <w:r w:rsidRPr="003B4CDA">
        <w:rPr>
          <w:rFonts w:ascii="Segoe UI Light" w:hAnsi="Segoe UI Light"/>
          <w:bCs/>
          <w:sz w:val="16"/>
          <w:szCs w:val="20"/>
        </w:rPr>
        <w:tab/>
        <w:t>mežsaimniecības darbinieki</w:t>
      </w:r>
    </w:p>
    <w:p w14:paraId="0E9A1BD4" w14:textId="77777777" w:rsidR="0016645F" w:rsidRPr="003B4CDA" w:rsidRDefault="0016645F" w:rsidP="0016645F">
      <w:pPr>
        <w:tabs>
          <w:tab w:val="center" w:pos="1560"/>
          <w:tab w:val="center" w:pos="4678"/>
          <w:tab w:val="center" w:pos="7655"/>
        </w:tabs>
        <w:ind w:right="-193"/>
        <w:rPr>
          <w:rFonts w:ascii="Segoe UI Light" w:hAnsi="Segoe UI Light"/>
          <w:sz w:val="16"/>
          <w:szCs w:val="20"/>
        </w:rPr>
      </w:pPr>
      <w:r w:rsidRPr="003B4CDA">
        <w:rPr>
          <w:rFonts w:ascii="Segoe UI Light" w:hAnsi="Segoe UI Light"/>
          <w:noProof/>
          <w:sz w:val="16"/>
          <w:szCs w:val="20"/>
          <w:lang w:eastAsia="lv-LV"/>
        </w:rPr>
        <w:drawing>
          <wp:inline distT="0" distB="0" distL="0" distR="0" wp14:anchorId="5CC15D9D" wp14:editId="0131332B">
            <wp:extent cx="1944000" cy="1440000"/>
            <wp:effectExtent l="0" t="0" r="0" b="0"/>
            <wp:docPr id="112" name="Chart 1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r w:rsidRPr="003B4CDA">
        <w:rPr>
          <w:rFonts w:ascii="Segoe UI Light" w:hAnsi="Segoe UI Light"/>
          <w:noProof/>
          <w:sz w:val="16"/>
          <w:szCs w:val="20"/>
          <w:lang w:eastAsia="lv-LV"/>
        </w:rPr>
        <w:drawing>
          <wp:inline distT="0" distB="0" distL="0" distR="0" wp14:anchorId="5784B802" wp14:editId="19941832">
            <wp:extent cx="1944000" cy="1440000"/>
            <wp:effectExtent l="0" t="0" r="0" b="0"/>
            <wp:docPr id="113" name="Chart 1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r w:rsidRPr="003B4CDA">
        <w:rPr>
          <w:rFonts w:ascii="Segoe UI Light" w:hAnsi="Segoe UI Light"/>
          <w:noProof/>
          <w:sz w:val="16"/>
          <w:szCs w:val="20"/>
          <w:lang w:eastAsia="lv-LV"/>
        </w:rPr>
        <w:drawing>
          <wp:inline distT="0" distB="0" distL="0" distR="0" wp14:anchorId="6170F195" wp14:editId="44F0BC8B">
            <wp:extent cx="1944000" cy="1440000"/>
            <wp:effectExtent l="0" t="0" r="0" b="0"/>
            <wp:docPr id="114" name="Chart 1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492A5820" w14:textId="77777777" w:rsidR="0016645F" w:rsidRPr="003B4CDA" w:rsidRDefault="0016645F" w:rsidP="0016645F">
      <w:pPr>
        <w:tabs>
          <w:tab w:val="center" w:pos="1560"/>
          <w:tab w:val="center" w:pos="4678"/>
          <w:tab w:val="center" w:pos="7655"/>
        </w:tabs>
        <w:rPr>
          <w:rFonts w:ascii="Segoe UI Light" w:hAnsi="Segoe UI Light"/>
          <w:sz w:val="16"/>
          <w:szCs w:val="20"/>
        </w:rPr>
      </w:pPr>
      <w:r w:rsidRPr="003B4CDA">
        <w:rPr>
          <w:rFonts w:ascii="Segoe UI Light" w:hAnsi="Segoe UI Light"/>
          <w:bCs/>
          <w:sz w:val="16"/>
          <w:szCs w:val="20"/>
        </w:rPr>
        <w:tab/>
        <w:t>Kvalificēti strādnieki un amatnieki</w:t>
      </w:r>
      <w:r w:rsidRPr="003B4CDA">
        <w:rPr>
          <w:rFonts w:ascii="Segoe UI Light" w:hAnsi="Segoe UI Light"/>
          <w:sz w:val="16"/>
          <w:szCs w:val="20"/>
        </w:rPr>
        <w:tab/>
      </w:r>
      <w:r w:rsidRPr="003B4CDA">
        <w:rPr>
          <w:rFonts w:ascii="Segoe UI Light" w:hAnsi="Segoe UI Light"/>
          <w:bCs/>
          <w:sz w:val="16"/>
          <w:szCs w:val="20"/>
        </w:rPr>
        <w:t>Iekārtu un mašīnu operatori,</w:t>
      </w:r>
      <w:r w:rsidRPr="003B4CDA">
        <w:rPr>
          <w:rFonts w:ascii="Segoe UI Light" w:hAnsi="Segoe UI Light"/>
          <w:sz w:val="16"/>
          <w:szCs w:val="20"/>
        </w:rPr>
        <w:tab/>
      </w:r>
      <w:r w:rsidRPr="003B4CDA">
        <w:rPr>
          <w:rFonts w:ascii="Segoe UI Light" w:hAnsi="Segoe UI Light"/>
          <w:bCs/>
          <w:sz w:val="16"/>
          <w:szCs w:val="20"/>
        </w:rPr>
        <w:t>Vienkāršās profesijas</w:t>
      </w:r>
      <w:r w:rsidRPr="003B4CDA">
        <w:rPr>
          <w:rFonts w:ascii="Segoe UI Light" w:hAnsi="Segoe UI Light"/>
          <w:bCs/>
          <w:sz w:val="16"/>
          <w:szCs w:val="20"/>
        </w:rPr>
        <w:br/>
      </w:r>
      <w:r w:rsidRPr="003B4CDA">
        <w:rPr>
          <w:rFonts w:ascii="Segoe UI Light" w:hAnsi="Segoe UI Light"/>
          <w:bCs/>
          <w:sz w:val="16"/>
          <w:szCs w:val="20"/>
        </w:rPr>
        <w:tab/>
      </w:r>
      <w:r w:rsidRPr="003B4CDA">
        <w:rPr>
          <w:rFonts w:ascii="Segoe UI Light" w:hAnsi="Segoe UI Light"/>
          <w:bCs/>
          <w:sz w:val="16"/>
          <w:szCs w:val="20"/>
        </w:rPr>
        <w:tab/>
        <w:t>izstrādājumu montieri</w:t>
      </w:r>
    </w:p>
    <w:p w14:paraId="7883A1BB" w14:textId="77777777" w:rsidR="0016645F" w:rsidRPr="003B4CDA" w:rsidRDefault="0016645F" w:rsidP="0016645F">
      <w:pPr>
        <w:tabs>
          <w:tab w:val="center" w:pos="1560"/>
          <w:tab w:val="center" w:pos="4678"/>
          <w:tab w:val="center" w:pos="7655"/>
        </w:tabs>
        <w:ind w:right="-193"/>
        <w:rPr>
          <w:rFonts w:ascii="Segoe UI Light" w:hAnsi="Segoe UI Light"/>
          <w:sz w:val="16"/>
          <w:szCs w:val="20"/>
        </w:rPr>
      </w:pPr>
      <w:r w:rsidRPr="003B4CDA">
        <w:rPr>
          <w:rFonts w:ascii="Segoe UI Light" w:hAnsi="Segoe UI Light"/>
          <w:noProof/>
          <w:sz w:val="16"/>
          <w:szCs w:val="20"/>
          <w:lang w:eastAsia="lv-LV"/>
        </w:rPr>
        <w:drawing>
          <wp:inline distT="0" distB="0" distL="0" distR="0" wp14:anchorId="627DEB0C" wp14:editId="13AF214D">
            <wp:extent cx="1944000" cy="1440000"/>
            <wp:effectExtent l="0" t="0" r="0" b="0"/>
            <wp:docPr id="116" name="Chart 1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r w:rsidRPr="003B4CDA">
        <w:rPr>
          <w:rFonts w:ascii="Segoe UI Light" w:hAnsi="Segoe UI Light"/>
          <w:noProof/>
          <w:sz w:val="16"/>
          <w:szCs w:val="20"/>
          <w:lang w:eastAsia="lv-LV"/>
        </w:rPr>
        <w:drawing>
          <wp:inline distT="0" distB="0" distL="0" distR="0" wp14:anchorId="409D36B4" wp14:editId="6A4865EA">
            <wp:extent cx="1944000" cy="1440000"/>
            <wp:effectExtent l="0" t="0" r="0" b="0"/>
            <wp:docPr id="117" name="Chart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r w:rsidRPr="003B4CDA">
        <w:rPr>
          <w:rFonts w:ascii="Segoe UI Light" w:hAnsi="Segoe UI Light"/>
          <w:noProof/>
          <w:sz w:val="16"/>
          <w:szCs w:val="20"/>
          <w:lang w:eastAsia="lv-LV"/>
        </w:rPr>
        <w:drawing>
          <wp:inline distT="0" distB="0" distL="0" distR="0" wp14:anchorId="767AA9A1" wp14:editId="5ACA8DB5">
            <wp:extent cx="1944000" cy="1440000"/>
            <wp:effectExtent l="0" t="0" r="0" b="0"/>
            <wp:docPr id="118" name="Chart 1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6CE08887" w14:textId="77777777" w:rsidR="0016645F" w:rsidRPr="00103B84" w:rsidRDefault="0016645F" w:rsidP="0016645F">
      <w:pPr>
        <w:jc w:val="both"/>
        <w:rPr>
          <w:rFonts w:cs="Calibri Light"/>
          <w:sz w:val="12"/>
          <w:szCs w:val="10"/>
        </w:rPr>
      </w:pPr>
      <w:r w:rsidRPr="00103B84">
        <w:rPr>
          <w:rFonts w:cs="Calibri Light"/>
          <w:sz w:val="12"/>
          <w:szCs w:val="10"/>
        </w:rPr>
        <w:t>Avots: CSP dati 2019. gadam, EM prognozes sākot ar 2020. gadu</w:t>
      </w:r>
    </w:p>
    <w:p w14:paraId="621D1095" w14:textId="77777777" w:rsidR="00C24E26" w:rsidRDefault="00C24E26" w:rsidP="0016645F">
      <w:pPr>
        <w:jc w:val="both"/>
        <w:rPr>
          <w:b/>
          <w:szCs w:val="20"/>
        </w:rPr>
      </w:pPr>
    </w:p>
    <w:p w14:paraId="7CE29E26" w14:textId="519F2A0D" w:rsidR="0016645F" w:rsidRPr="003B4CDA" w:rsidRDefault="0016645F" w:rsidP="0016645F">
      <w:pPr>
        <w:jc w:val="both"/>
        <w:rPr>
          <w:szCs w:val="20"/>
        </w:rPr>
      </w:pPr>
      <w:r w:rsidRPr="003B4CDA">
        <w:rPr>
          <w:b/>
          <w:szCs w:val="20"/>
        </w:rPr>
        <w:lastRenderedPageBreak/>
        <w:t>Augstākās kvalifikācijas profesijās</w:t>
      </w:r>
      <w:r w:rsidRPr="003B4CDA">
        <w:rPr>
          <w:szCs w:val="20"/>
        </w:rPr>
        <w:t xml:space="preserve"> vidējā un ilgtermiņā turpinās augt gan darbaspēka pieprasījums, gan piedāvājums, tādejādi kopumā pieprasījums un piedāvājums saglabāsies līdzsvarā. Vienlaikus izteiktāka darbaspēka nepietiekamība varētu veidoties atsevišķās augstākās kvalifikācijas profesij</w:t>
      </w:r>
      <w:r>
        <w:rPr>
          <w:szCs w:val="20"/>
        </w:rPr>
        <w:t>ā</w:t>
      </w:r>
      <w:r w:rsidRPr="003B4CDA">
        <w:rPr>
          <w:szCs w:val="20"/>
        </w:rPr>
        <w:t xml:space="preserve">s. Būtiskākā darbaspēka nepietiekamība vidējā termiņā varētu veidoties IKT speciālistu profesijās (datu bāzu un tīklu vecākie speciālisti, programmētāji/lietojumprogrammu veidotāji un analītiķi, informācijas tehnoloģiju darbības un lietotāju atbalsta speciālisti, telekomunikāciju un radiosakaru iekārtu speciālisti), zinātnes un inženierzinātņu profesijās (matemātikas, statistiķu un aktuāru profesijās, tehnoloģisko procesu kontroles profesijās, </w:t>
      </w:r>
      <w:proofErr w:type="spellStart"/>
      <w:r w:rsidRPr="003B4CDA">
        <w:rPr>
          <w:szCs w:val="20"/>
        </w:rPr>
        <w:t>elektrotehnoloģiju</w:t>
      </w:r>
      <w:proofErr w:type="spellEnd"/>
      <w:r w:rsidRPr="003B4CDA">
        <w:rPr>
          <w:szCs w:val="20"/>
        </w:rPr>
        <w:t xml:space="preserve"> inženieru,</w:t>
      </w:r>
      <w:r w:rsidRPr="00273C34">
        <w:t xml:space="preserve"> </w:t>
      </w:r>
      <w:r w:rsidRPr="00273C34">
        <w:rPr>
          <w:szCs w:val="20"/>
        </w:rPr>
        <w:t>fizikas un Zemes zinātņu vecākie speciālisti</w:t>
      </w:r>
      <w:r>
        <w:rPr>
          <w:szCs w:val="20"/>
        </w:rPr>
        <w:t>,</w:t>
      </w:r>
      <w:r w:rsidRPr="003B4CDA">
        <w:rPr>
          <w:szCs w:val="20"/>
        </w:rPr>
        <w:t xml:space="preserve"> arhitekti, plānotāji, ģeodēzijas un kartogrāfijas inženieri un dizaineri, kā arī kuģu un gaisa kuģu vadītāji un tehniskie speciālisti), veselības jomas vecāko speciālistu profesijās (ārsti un ārstu palīgi, medicīnas māsu un vecmāšu profesijās), kā arī dažādu līmeņu vadītāju profesijās (</w:t>
      </w:r>
      <w:r>
        <w:rPr>
          <w:szCs w:val="20"/>
        </w:rPr>
        <w:t>t</w:t>
      </w:r>
      <w:r w:rsidRPr="00C9373D">
        <w:rPr>
          <w:szCs w:val="20"/>
        </w:rPr>
        <w:t>irdzniecīb</w:t>
      </w:r>
      <w:r>
        <w:rPr>
          <w:szCs w:val="20"/>
        </w:rPr>
        <w:t>as</w:t>
      </w:r>
      <w:r w:rsidRPr="00C9373D">
        <w:rPr>
          <w:szCs w:val="20"/>
        </w:rPr>
        <w:t xml:space="preserve"> un attīstības jom</w:t>
      </w:r>
      <w:r>
        <w:rPr>
          <w:szCs w:val="20"/>
        </w:rPr>
        <w:t>ās,</w:t>
      </w:r>
      <w:r w:rsidRPr="00C9373D">
        <w:t xml:space="preserve"> </w:t>
      </w:r>
      <w:r>
        <w:t>l</w:t>
      </w:r>
      <w:r w:rsidRPr="00C9373D">
        <w:rPr>
          <w:szCs w:val="20"/>
        </w:rPr>
        <w:t>auksaimniecības, mežsaimniecības un zivsaimniecības ražošan</w:t>
      </w:r>
      <w:r>
        <w:rPr>
          <w:szCs w:val="20"/>
        </w:rPr>
        <w:t>ā,</w:t>
      </w:r>
      <w:r w:rsidRPr="00C9373D">
        <w:rPr>
          <w:szCs w:val="20"/>
        </w:rPr>
        <w:t xml:space="preserve"> </w:t>
      </w:r>
      <w:r>
        <w:rPr>
          <w:szCs w:val="20"/>
        </w:rPr>
        <w:t xml:space="preserve">kā arī </w:t>
      </w:r>
      <w:r w:rsidRPr="003B4CDA">
        <w:rPr>
          <w:szCs w:val="20"/>
        </w:rPr>
        <w:t>IKT).</w:t>
      </w:r>
    </w:p>
    <w:p w14:paraId="729BFBB7" w14:textId="77777777" w:rsidR="0016645F" w:rsidRPr="00103B84" w:rsidRDefault="0016645F" w:rsidP="00C24E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right"/>
        <w:rPr>
          <w:rFonts w:ascii="Segoe UI Light" w:hAnsi="Segoe UI Light"/>
          <w:b/>
          <w:sz w:val="16"/>
          <w:szCs w:val="16"/>
        </w:rPr>
      </w:pPr>
      <w:bookmarkStart w:id="74" w:name="_Toc390350678"/>
      <w:bookmarkStart w:id="75" w:name="_Toc466629875"/>
      <w:bookmarkStart w:id="76" w:name="_Toc517281425"/>
      <w:r w:rsidRPr="00103B84">
        <w:rPr>
          <w:rFonts w:ascii="Segoe UI Light" w:hAnsi="Segoe UI Light"/>
          <w:b/>
          <w:sz w:val="16"/>
          <w:szCs w:val="16"/>
        </w:rPr>
        <w:t>Prasmju piedāvājuma un pieprasījuma neatbilstības Eiropā*</w:t>
      </w:r>
    </w:p>
    <w:p w14:paraId="63437348" w14:textId="77777777" w:rsidR="0016645F" w:rsidRDefault="0016645F" w:rsidP="00C24E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00BA5173">
        <w:rPr>
          <w:rFonts w:ascii="Segoe UI Light" w:hAnsi="Segoe UI Light"/>
          <w:sz w:val="16"/>
          <w:szCs w:val="16"/>
        </w:rPr>
        <w:t xml:space="preserve">Paredzams, ka pandēmijas ietekmē pieaugs prasmju neatbilstība Eiropā. Arī digitālo tehnoloģiju attīstība veidos arvien lielāku nesabalansētību darba tirgū. Aizvien aktuālāks kļūs jautājums par sabiedrības novecošanos un sudraba ekonomikas izaicinājumiem darba tirgū.  Līdz ar to īpaši svarīgas būs politikas iniciatīvas attiecībā uz </w:t>
      </w:r>
      <w:proofErr w:type="spellStart"/>
      <w:r w:rsidRPr="00BA5173">
        <w:rPr>
          <w:rFonts w:ascii="Segoe UI Light" w:hAnsi="Segoe UI Light"/>
          <w:sz w:val="16"/>
          <w:szCs w:val="16"/>
        </w:rPr>
        <w:t>pārkvalifikāciju</w:t>
      </w:r>
      <w:proofErr w:type="spellEnd"/>
      <w:r w:rsidRPr="00BA5173">
        <w:rPr>
          <w:rFonts w:ascii="Segoe UI Light" w:hAnsi="Segoe UI Light"/>
          <w:sz w:val="16"/>
          <w:szCs w:val="16"/>
        </w:rPr>
        <w:t xml:space="preserve"> vai esošo prasmju pilnveidošanu.</w:t>
      </w:r>
    </w:p>
    <w:p w14:paraId="2DAA7C01" w14:textId="28713DDB" w:rsidR="0016645F" w:rsidRDefault="0016645F" w:rsidP="00C24E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sz w:val="16"/>
          <w:szCs w:val="16"/>
        </w:rPr>
      </w:pPr>
      <w:bookmarkStart w:id="77" w:name="_Hlk103247766"/>
      <w:r w:rsidRPr="001824A7">
        <w:rPr>
          <w:rFonts w:ascii="Segoe UI Light" w:hAnsi="Segoe UI Light"/>
          <w:b/>
          <w:bCs/>
          <w:sz w:val="16"/>
          <w:szCs w:val="16"/>
        </w:rPr>
        <w:t xml:space="preserve">Pieaugs augstas kvalifikācijas darbaspēka īpatsvars. </w:t>
      </w:r>
      <w:r w:rsidRPr="001824A7">
        <w:rPr>
          <w:rFonts w:ascii="Segoe UI Light" w:hAnsi="Segoe UI Light"/>
          <w:sz w:val="16"/>
          <w:szCs w:val="16"/>
        </w:rPr>
        <w:t xml:space="preserve">Saskaņā ar </w:t>
      </w:r>
      <w:proofErr w:type="spellStart"/>
      <w:r w:rsidRPr="001824A7">
        <w:rPr>
          <w:rFonts w:ascii="Segoe UI Light" w:hAnsi="Segoe UI Light"/>
          <w:sz w:val="16"/>
          <w:szCs w:val="16"/>
        </w:rPr>
        <w:t>Cedefop</w:t>
      </w:r>
      <w:proofErr w:type="spellEnd"/>
      <w:r w:rsidRPr="001824A7">
        <w:rPr>
          <w:rFonts w:ascii="Segoe UI Light" w:hAnsi="Segoe UI Light"/>
          <w:sz w:val="16"/>
          <w:szCs w:val="16"/>
        </w:rPr>
        <w:t>, augstas kvalifikācijas darbaspēks pieaugs no 26% 2021.</w:t>
      </w:r>
      <w:r w:rsidR="00E029D7">
        <w:rPr>
          <w:rFonts w:ascii="Segoe UI Light" w:hAnsi="Segoe UI Light"/>
          <w:sz w:val="16"/>
          <w:szCs w:val="16"/>
        </w:rPr>
        <w:t> </w:t>
      </w:r>
      <w:r w:rsidRPr="001824A7">
        <w:rPr>
          <w:rFonts w:ascii="Segoe UI Light" w:hAnsi="Segoe UI Light"/>
          <w:sz w:val="16"/>
          <w:szCs w:val="16"/>
        </w:rPr>
        <w:t>gadā līdz 40% 2030.</w:t>
      </w:r>
      <w:r w:rsidR="00E029D7">
        <w:rPr>
          <w:rFonts w:ascii="Segoe UI Light" w:hAnsi="Segoe UI Light"/>
          <w:sz w:val="16"/>
          <w:szCs w:val="16"/>
        </w:rPr>
        <w:t> </w:t>
      </w:r>
      <w:r w:rsidRPr="001824A7">
        <w:rPr>
          <w:rFonts w:ascii="Segoe UI Light" w:hAnsi="Segoe UI Light"/>
          <w:sz w:val="16"/>
          <w:szCs w:val="16"/>
        </w:rPr>
        <w:t>gadā (salīdzinājumam, 2000.</w:t>
      </w:r>
      <w:r w:rsidR="00E029D7">
        <w:rPr>
          <w:rFonts w:ascii="Segoe UI Light" w:hAnsi="Segoe UI Light"/>
          <w:sz w:val="16"/>
          <w:szCs w:val="16"/>
        </w:rPr>
        <w:t> </w:t>
      </w:r>
      <w:r w:rsidRPr="001824A7">
        <w:rPr>
          <w:rFonts w:ascii="Segoe UI Light" w:hAnsi="Segoe UI Light"/>
          <w:sz w:val="16"/>
          <w:szCs w:val="16"/>
        </w:rPr>
        <w:t>gadā – 21%), savukārt zemas kvalifikācijas ievērojami saruks un veidos tikai 15% no visa darbaspēka 2030.</w:t>
      </w:r>
      <w:r w:rsidR="00E029D7">
        <w:rPr>
          <w:rFonts w:ascii="Segoe UI Light" w:hAnsi="Segoe UI Light"/>
          <w:sz w:val="16"/>
          <w:szCs w:val="16"/>
        </w:rPr>
        <w:t> </w:t>
      </w:r>
      <w:r w:rsidRPr="001824A7">
        <w:rPr>
          <w:rFonts w:ascii="Segoe UI Light" w:hAnsi="Segoe UI Light"/>
          <w:sz w:val="16"/>
          <w:szCs w:val="16"/>
        </w:rPr>
        <w:t xml:space="preserve">gadā. </w:t>
      </w:r>
      <w:r w:rsidRPr="001824A7">
        <w:rPr>
          <w:rFonts w:ascii="Segoe UI Light" w:hAnsi="Segoe UI Light"/>
          <w:bCs/>
          <w:sz w:val="16"/>
          <w:szCs w:val="16"/>
        </w:rPr>
        <w:t xml:space="preserve">Pieprasījums pēc zemas kvalifikācijas darbaspēka būs ievērojami zemāks nekā piedāvājums un </w:t>
      </w:r>
      <w:r w:rsidRPr="001824A7">
        <w:rPr>
          <w:rFonts w:ascii="Segoe UI Light" w:hAnsi="Segoe UI Light"/>
          <w:sz w:val="16"/>
          <w:szCs w:val="16"/>
        </w:rPr>
        <w:t>cilvēkiem ar pamatizglītību vai bez izglītības būs arvien grūtāk atrast darbu, jo viņus no darba tirgus izspiedīs darbaspēks ar augstāku kvalifikāciju. Darbaspēka īpatsvars ar vidēju kvalifikāciju paliks gandrīz nemainīgs un 2030.</w:t>
      </w:r>
      <w:r w:rsidR="00E029D7">
        <w:rPr>
          <w:rFonts w:ascii="Segoe UI Light" w:hAnsi="Segoe UI Light"/>
          <w:sz w:val="16"/>
          <w:szCs w:val="16"/>
        </w:rPr>
        <w:t> </w:t>
      </w:r>
      <w:r w:rsidRPr="001824A7">
        <w:rPr>
          <w:rFonts w:ascii="Segoe UI Light" w:hAnsi="Segoe UI Light"/>
          <w:sz w:val="16"/>
          <w:szCs w:val="16"/>
        </w:rPr>
        <w:t>gadā veidos 45% no visa darbaspēka.</w:t>
      </w:r>
    </w:p>
    <w:p w14:paraId="12401ED0" w14:textId="1B51B3F3" w:rsidR="00103B84" w:rsidRPr="00103B84" w:rsidRDefault="00103B84" w:rsidP="00103B84">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i/>
          <w:iCs/>
          <w:sz w:val="16"/>
          <w:szCs w:val="16"/>
        </w:rPr>
      </w:pPr>
      <w:r w:rsidRPr="00103B84">
        <w:rPr>
          <w:rFonts w:ascii="Segoe UI Light" w:hAnsi="Segoe UI Light"/>
          <w:b/>
          <w:bCs/>
          <w:sz w:val="16"/>
          <w:szCs w:val="16"/>
        </w:rPr>
        <w:t>ES darbaspēka pieprasījuma un piedāvājuma attiecība ES pēc kvalifikācijas līmeņa</w:t>
      </w:r>
      <w:r>
        <w:rPr>
          <w:rFonts w:ascii="Segoe UI Light" w:hAnsi="Segoe UI Light"/>
          <w:b/>
          <w:bCs/>
          <w:sz w:val="16"/>
          <w:szCs w:val="16"/>
        </w:rPr>
        <w:br/>
      </w:r>
      <w:r w:rsidRPr="00103B84">
        <w:rPr>
          <w:rFonts w:ascii="Segoe UI Light" w:hAnsi="Segoe UI Light"/>
          <w:i/>
          <w:iCs/>
          <w:sz w:val="16"/>
          <w:szCs w:val="16"/>
        </w:rPr>
        <w:t>2030.gads, pieprasījums pret piedāvājumu, piedāvājums =100</w:t>
      </w:r>
    </w:p>
    <w:bookmarkEnd w:id="77"/>
    <w:p w14:paraId="00640CF5" w14:textId="77777777" w:rsidR="0016645F" w:rsidRDefault="0016645F" w:rsidP="0016645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center"/>
        <w:rPr>
          <w:rFonts w:ascii="Segoe UI Light" w:hAnsi="Segoe UI Light"/>
          <w:sz w:val="16"/>
          <w:szCs w:val="16"/>
        </w:rPr>
      </w:pPr>
      <w:r w:rsidRPr="00D249AE">
        <w:rPr>
          <w:noProof/>
        </w:rPr>
        <w:drawing>
          <wp:inline distT="0" distB="0" distL="0" distR="0" wp14:anchorId="27AB3B49" wp14:editId="4D911D89">
            <wp:extent cx="5760000" cy="1800000"/>
            <wp:effectExtent l="0" t="0" r="0" b="0"/>
            <wp:docPr id="78" name="Chart 78">
              <a:extLst xmlns:a="http://schemas.openxmlformats.org/drawingml/2006/main">
                <a:ext uri="{FF2B5EF4-FFF2-40B4-BE49-F238E27FC236}">
                  <a16:creationId xmlns:a16="http://schemas.microsoft.com/office/drawing/2014/main" id="{9B30232F-4664-45D4-8647-EE327DBCD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15CFB930" w14:textId="77777777" w:rsidR="00103B84" w:rsidRDefault="00103B84" w:rsidP="00C24E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sz w:val="16"/>
          <w:szCs w:val="16"/>
        </w:rPr>
      </w:pPr>
    </w:p>
    <w:p w14:paraId="1951B746" w14:textId="5326E298" w:rsidR="0016645F" w:rsidRPr="00BA5173" w:rsidRDefault="0016645F" w:rsidP="00C24E26">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120"/>
        <w:jc w:val="both"/>
        <w:rPr>
          <w:rFonts w:ascii="Segoe UI Light" w:hAnsi="Segoe UI Light"/>
          <w:sz w:val="16"/>
          <w:szCs w:val="16"/>
        </w:rPr>
      </w:pPr>
      <w:r w:rsidRPr="00BA5173">
        <w:rPr>
          <w:rFonts w:ascii="Segoe UI Light" w:hAnsi="Segoe UI Light"/>
          <w:sz w:val="16"/>
          <w:szCs w:val="16"/>
        </w:rPr>
        <w:t>Lai gan paredzams, ka 2030.</w:t>
      </w:r>
      <w:r w:rsidR="00E029D7">
        <w:rPr>
          <w:rFonts w:ascii="Segoe UI Light" w:hAnsi="Segoe UI Light"/>
          <w:sz w:val="16"/>
          <w:szCs w:val="16"/>
        </w:rPr>
        <w:t> </w:t>
      </w:r>
      <w:r w:rsidRPr="00BA5173">
        <w:rPr>
          <w:rFonts w:ascii="Segoe UI Light" w:hAnsi="Segoe UI Light"/>
          <w:sz w:val="16"/>
          <w:szCs w:val="16"/>
        </w:rPr>
        <w:t xml:space="preserve">gadā pieprasījums pēc augstas kvalifikācijas darbaspēka pat nedaudz pārsniegs piedāvājumu, tuvākos gados augstas kvalifikācijas darbaspēka piedāvājums varētu pieaugt straujāk nekā pieprasījums. Tā kā jaunieši, kas ienāk darba tirgū ir ar augstāku izglītību nekā vecākās kohortas, kas pamet darbu tirgu (daudziem ir nepieciešamās prasmes, bet nav atbilstošas formālās kvalifikācijas), paredzams, ka darbinieku īpatsvars ar augstāko kvalifikāciju pieaugs. Daži augsti kvalificēti darbinieki nonāks </w:t>
      </w:r>
      <w:r>
        <w:rPr>
          <w:rFonts w:ascii="Segoe UI Light" w:hAnsi="Segoe UI Light"/>
          <w:sz w:val="16"/>
          <w:szCs w:val="16"/>
        </w:rPr>
        <w:t>profesijās</w:t>
      </w:r>
      <w:r w:rsidRPr="00BA5173">
        <w:rPr>
          <w:rFonts w:ascii="Segoe UI Light" w:hAnsi="Segoe UI Light"/>
          <w:sz w:val="16"/>
          <w:szCs w:val="16"/>
        </w:rPr>
        <w:t>, kas prasa zemāku kvalifikāciju. Tajā pašā laikā paredzams, ka profesijās, kurām nepieciešamas augsta līmeņa prasmes, būs tās, kurām 2030.</w:t>
      </w:r>
      <w:r w:rsidR="00E029D7">
        <w:rPr>
          <w:rFonts w:ascii="Segoe UI Light" w:hAnsi="Segoe UI Light"/>
          <w:sz w:val="16"/>
          <w:szCs w:val="16"/>
        </w:rPr>
        <w:t> </w:t>
      </w:r>
      <w:r w:rsidRPr="00BA5173">
        <w:rPr>
          <w:rFonts w:ascii="Segoe UI Light" w:hAnsi="Segoe UI Light"/>
          <w:sz w:val="16"/>
          <w:szCs w:val="16"/>
        </w:rPr>
        <w:t xml:space="preserve">gadā būs vislielākās </w:t>
      </w:r>
      <w:proofErr w:type="spellStart"/>
      <w:r w:rsidRPr="00BA5173">
        <w:rPr>
          <w:rFonts w:ascii="Segoe UI Light" w:hAnsi="Segoe UI Light"/>
          <w:sz w:val="16"/>
          <w:szCs w:val="16"/>
        </w:rPr>
        <w:t>rekrutēšanas</w:t>
      </w:r>
      <w:proofErr w:type="spellEnd"/>
      <w:r w:rsidRPr="00BA5173">
        <w:rPr>
          <w:rFonts w:ascii="Segoe UI Light" w:hAnsi="Segoe UI Light"/>
          <w:sz w:val="16"/>
          <w:szCs w:val="16"/>
        </w:rPr>
        <w:t xml:space="preserve"> grūtības, jo automatizācija veicinās esošo darbinieku prasmju novecošanu. Tas radīs </w:t>
      </w:r>
      <w:r>
        <w:rPr>
          <w:rFonts w:ascii="Segoe UI Light" w:hAnsi="Segoe UI Light"/>
          <w:sz w:val="16"/>
          <w:szCs w:val="16"/>
        </w:rPr>
        <w:t>situāciju</w:t>
      </w:r>
      <w:r w:rsidRPr="00BA5173">
        <w:rPr>
          <w:rFonts w:ascii="Segoe UI Light" w:hAnsi="Segoe UI Light"/>
          <w:sz w:val="16"/>
          <w:szCs w:val="16"/>
        </w:rPr>
        <w:t xml:space="preserve">, ka darbaspēks ir </w:t>
      </w:r>
      <w:r>
        <w:rPr>
          <w:rFonts w:ascii="Segoe UI Light" w:hAnsi="Segoe UI Light"/>
          <w:sz w:val="16"/>
          <w:szCs w:val="16"/>
        </w:rPr>
        <w:t>ar augstāko kvalifikāciju/izglītību</w:t>
      </w:r>
      <w:r w:rsidRPr="00BA5173">
        <w:rPr>
          <w:rFonts w:ascii="Segoe UI Light" w:hAnsi="Segoe UI Light"/>
          <w:sz w:val="16"/>
          <w:szCs w:val="16"/>
        </w:rPr>
        <w:t xml:space="preserve">, </w:t>
      </w:r>
      <w:r>
        <w:rPr>
          <w:rFonts w:ascii="Segoe UI Light" w:hAnsi="Segoe UI Light"/>
          <w:sz w:val="16"/>
          <w:szCs w:val="16"/>
        </w:rPr>
        <w:t>tomēr ar nepietiekamām profesionālām prasmēm</w:t>
      </w:r>
      <w:r w:rsidRPr="00BA5173">
        <w:rPr>
          <w:rFonts w:ascii="Segoe UI Light" w:hAnsi="Segoe UI Light"/>
          <w:sz w:val="16"/>
          <w:szCs w:val="16"/>
        </w:rPr>
        <w:t>.</w:t>
      </w:r>
      <w:r w:rsidRPr="00BA5173">
        <w:rPr>
          <w:rFonts w:ascii="Segoe UI Light" w:hAnsi="Segoe UI Light"/>
          <w:sz w:val="16"/>
          <w:szCs w:val="16"/>
          <w:vertAlign w:val="superscript"/>
        </w:rPr>
        <w:footnoteReference w:id="22"/>
      </w:r>
      <w:r w:rsidRPr="00BA5173">
        <w:rPr>
          <w:rFonts w:ascii="Segoe UI Light" w:hAnsi="Segoe UI Light"/>
          <w:sz w:val="16"/>
          <w:szCs w:val="16"/>
        </w:rPr>
        <w:t xml:space="preserve"> </w:t>
      </w:r>
    </w:p>
    <w:p w14:paraId="21814903" w14:textId="77777777" w:rsidR="0016645F" w:rsidRPr="00103B84" w:rsidRDefault="0016645F" w:rsidP="0016645F">
      <w:pPr>
        <w:pBdr>
          <w:top w:val="single" w:sz="4" w:space="6" w:color="auto" w:shadow="1"/>
          <w:left w:val="single" w:sz="4" w:space="6" w:color="auto" w:shadow="1"/>
          <w:bottom w:val="single" w:sz="4" w:space="6" w:color="auto" w:shadow="1"/>
          <w:right w:val="single" w:sz="4" w:space="6" w:color="auto" w:shadow="1"/>
        </w:pBdr>
        <w:shd w:val="clear" w:color="auto" w:fill="E5DFEC" w:themeFill="accent4" w:themeFillTint="33"/>
        <w:spacing w:after="60"/>
        <w:jc w:val="both"/>
        <w:rPr>
          <w:rFonts w:ascii="Segoe UI Light" w:hAnsi="Segoe UI Light"/>
          <w:bCs/>
          <w:sz w:val="12"/>
          <w:szCs w:val="14"/>
        </w:rPr>
      </w:pPr>
      <w:r w:rsidRPr="00103B84">
        <w:rPr>
          <w:rFonts w:ascii="Segoe UI Light" w:hAnsi="Segoe UI Light"/>
          <w:sz w:val="12"/>
          <w:szCs w:val="12"/>
        </w:rPr>
        <w:t xml:space="preserve">* saskaņā ar </w:t>
      </w:r>
      <w:proofErr w:type="spellStart"/>
      <w:r w:rsidRPr="00103B84">
        <w:rPr>
          <w:rFonts w:ascii="Segoe UI Light" w:hAnsi="Segoe UI Light"/>
          <w:i/>
          <w:iCs/>
          <w:sz w:val="12"/>
          <w:szCs w:val="12"/>
        </w:rPr>
        <w:t>Cedefop</w:t>
      </w:r>
      <w:proofErr w:type="spellEnd"/>
      <w:r w:rsidRPr="00103B84">
        <w:rPr>
          <w:rFonts w:ascii="Segoe UI Light" w:hAnsi="Segoe UI Light"/>
          <w:sz w:val="12"/>
          <w:szCs w:val="12"/>
        </w:rPr>
        <w:t xml:space="preserve"> prognozēm</w:t>
      </w:r>
    </w:p>
    <w:bookmarkEnd w:id="74"/>
    <w:bookmarkEnd w:id="75"/>
    <w:bookmarkEnd w:id="76"/>
    <w:p w14:paraId="5598C56D" w14:textId="77777777" w:rsidR="00103B84" w:rsidRDefault="00103B84">
      <w:pPr>
        <w:spacing w:after="0"/>
        <w:rPr>
          <w:szCs w:val="26"/>
        </w:rPr>
      </w:pPr>
      <w:r>
        <w:rPr>
          <w:szCs w:val="26"/>
        </w:rPr>
        <w:br w:type="page"/>
      </w:r>
    </w:p>
    <w:p w14:paraId="1F897696" w14:textId="08BA33BE" w:rsidR="0016645F" w:rsidRPr="003B4CDA" w:rsidRDefault="0016645F" w:rsidP="00AD75B1">
      <w:pPr>
        <w:spacing w:after="0"/>
        <w:jc w:val="right"/>
        <w:rPr>
          <w:szCs w:val="26"/>
        </w:rPr>
      </w:pPr>
      <w:r w:rsidRPr="003B4CDA">
        <w:rPr>
          <w:szCs w:val="26"/>
        </w:rPr>
        <w:lastRenderedPageBreak/>
        <w:t>3.1</w:t>
      </w:r>
      <w:r w:rsidR="001179C2">
        <w:rPr>
          <w:szCs w:val="26"/>
        </w:rPr>
        <w:t>8</w:t>
      </w:r>
      <w:r w:rsidRPr="003B4CDA">
        <w:rPr>
          <w:szCs w:val="26"/>
        </w:rPr>
        <w:t>. attēls</w:t>
      </w:r>
    </w:p>
    <w:p w14:paraId="77971242" w14:textId="77777777" w:rsidR="0016645F" w:rsidRPr="003B4CDA" w:rsidRDefault="0016645F" w:rsidP="0016645F">
      <w:pPr>
        <w:jc w:val="center"/>
        <w:rPr>
          <w:rFonts w:ascii="Segoe UI Light" w:hAnsi="Segoe UI Light"/>
          <w:i/>
          <w:sz w:val="16"/>
          <w:szCs w:val="26"/>
        </w:rPr>
      </w:pPr>
      <w:r w:rsidRPr="003B4CDA">
        <w:rPr>
          <w:rFonts w:ascii="Segoe UI Light" w:hAnsi="Segoe UI Light"/>
          <w:b/>
          <w:sz w:val="18"/>
          <w:szCs w:val="26"/>
        </w:rPr>
        <w:t>Darbaspēka pieprasījuma un piedāvājuma attiecība pa profesiju grupām</w:t>
      </w:r>
      <w:r w:rsidRPr="003B4CDA">
        <w:rPr>
          <w:rFonts w:ascii="Segoe UI Light" w:hAnsi="Segoe UI Light"/>
          <w:b/>
          <w:sz w:val="18"/>
          <w:szCs w:val="26"/>
        </w:rPr>
        <w:br/>
      </w:r>
      <w:r w:rsidRPr="003B4CDA">
        <w:rPr>
          <w:rFonts w:ascii="Segoe UI Light" w:hAnsi="Segoe UI Light"/>
          <w:i/>
          <w:sz w:val="16"/>
          <w:szCs w:val="26"/>
          <w:u w:val="single"/>
        </w:rPr>
        <w:t>20</w:t>
      </w:r>
      <w:r>
        <w:rPr>
          <w:rFonts w:ascii="Segoe UI Light" w:hAnsi="Segoe UI Light"/>
          <w:i/>
          <w:sz w:val="16"/>
          <w:szCs w:val="26"/>
          <w:u w:val="single"/>
        </w:rPr>
        <w:t>30</w:t>
      </w:r>
      <w:r w:rsidRPr="003B4CDA">
        <w:rPr>
          <w:rFonts w:ascii="Segoe UI Light" w:hAnsi="Segoe UI Light"/>
          <w:i/>
          <w:sz w:val="16"/>
          <w:szCs w:val="26"/>
          <w:u w:val="single"/>
        </w:rPr>
        <w:t>. gads,</w:t>
      </w:r>
      <w:r w:rsidRPr="003B4CDA">
        <w:rPr>
          <w:rFonts w:ascii="Segoe UI Light" w:hAnsi="Segoe UI Light"/>
          <w:i/>
          <w:sz w:val="16"/>
          <w:szCs w:val="26"/>
        </w:rPr>
        <w:t xml:space="preserve"> pieprasījums pret piedāvājumu, procentos</w:t>
      </w:r>
    </w:p>
    <w:p w14:paraId="79A46FE6" w14:textId="77777777" w:rsidR="0016645F" w:rsidRPr="003B4CDA" w:rsidRDefault="0016645F" w:rsidP="0016645F">
      <w:pPr>
        <w:jc w:val="both"/>
        <w:rPr>
          <w:rFonts w:ascii="Segoe UI Light" w:hAnsi="Segoe UI Light"/>
          <w:szCs w:val="26"/>
        </w:rPr>
      </w:pPr>
      <w:r w:rsidRPr="003B4CDA">
        <w:rPr>
          <w:rFonts w:ascii="Segoe UI Light" w:hAnsi="Segoe UI Light"/>
          <w:bCs/>
          <w:iCs/>
          <w:noProof/>
          <w:sz w:val="18"/>
          <w:szCs w:val="26"/>
          <w:lang w:eastAsia="lv-LV"/>
        </w:rPr>
        <w:drawing>
          <wp:inline distT="0" distB="0" distL="0" distR="0" wp14:anchorId="0EE9798A" wp14:editId="5C9A705D">
            <wp:extent cx="5760085" cy="1440000"/>
            <wp:effectExtent l="0" t="0" r="0" b="8255"/>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6645F" w:rsidRPr="003B4CDA" w14:paraId="3BAFD6C9" w14:textId="77777777" w:rsidTr="00D209BD">
        <w:trPr>
          <w:cantSplit/>
          <w:trHeight w:val="2041"/>
          <w:jc w:val="right"/>
        </w:trPr>
        <w:tc>
          <w:tcPr>
            <w:tcW w:w="9071" w:type="dxa"/>
            <w:textDirection w:val="btLr"/>
          </w:tcPr>
          <w:p w14:paraId="3465C98F" w14:textId="77777777" w:rsidR="0016645F" w:rsidRPr="003B4CDA" w:rsidRDefault="0016645F" w:rsidP="00D209BD">
            <w:pPr>
              <w:spacing w:before="720"/>
              <w:ind w:right="57"/>
              <w:jc w:val="right"/>
              <w:rPr>
                <w:rFonts w:ascii="Segoe UI Light" w:hAnsi="Segoe UI Light"/>
                <w:sz w:val="16"/>
                <w:szCs w:val="16"/>
              </w:rPr>
            </w:pPr>
            <w:r w:rsidRPr="003B4CDA">
              <w:rPr>
                <w:rFonts w:ascii="Segoe UI Light" w:hAnsi="Segoe UI Light"/>
                <w:sz w:val="16"/>
                <w:szCs w:val="16"/>
              </w:rPr>
              <w:t>Kopā</w:t>
            </w:r>
          </w:p>
          <w:p w14:paraId="3FF2484B"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Vadītāji</w:t>
            </w:r>
          </w:p>
          <w:p w14:paraId="4CCC3AD0"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Vecākie speciālisti</w:t>
            </w:r>
          </w:p>
          <w:p w14:paraId="51F92809"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Speciālisti</w:t>
            </w:r>
          </w:p>
          <w:p w14:paraId="5E81BF61"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Kalpotāji</w:t>
            </w:r>
          </w:p>
          <w:p w14:paraId="3297CB79" w14:textId="77777777" w:rsidR="0016645F" w:rsidRPr="003B4CDA" w:rsidRDefault="0016645F" w:rsidP="00D209BD">
            <w:pPr>
              <w:spacing w:before="480"/>
              <w:ind w:right="57"/>
              <w:jc w:val="right"/>
              <w:rPr>
                <w:rFonts w:ascii="Segoe UI Light" w:hAnsi="Segoe UI Light"/>
                <w:sz w:val="16"/>
                <w:szCs w:val="16"/>
              </w:rPr>
            </w:pPr>
            <w:r w:rsidRPr="003B4CDA">
              <w:rPr>
                <w:rFonts w:ascii="Segoe UI Light" w:hAnsi="Segoe UI Light"/>
                <w:sz w:val="16"/>
                <w:szCs w:val="16"/>
              </w:rPr>
              <w:t>Pakalpojumu un tirdzniecības darbinieki</w:t>
            </w:r>
          </w:p>
          <w:p w14:paraId="0465B5A1" w14:textId="77777777" w:rsidR="0016645F" w:rsidRPr="003B4CDA" w:rsidRDefault="0016645F" w:rsidP="00D209BD">
            <w:pPr>
              <w:spacing w:before="300"/>
              <w:ind w:right="57"/>
              <w:jc w:val="right"/>
              <w:rPr>
                <w:rFonts w:ascii="Segoe UI Light" w:hAnsi="Segoe UI Light"/>
                <w:sz w:val="16"/>
                <w:szCs w:val="16"/>
              </w:rPr>
            </w:pPr>
            <w:r w:rsidRPr="003B4CDA">
              <w:rPr>
                <w:rFonts w:ascii="Segoe UI Light" w:hAnsi="Segoe UI Light"/>
                <w:sz w:val="16"/>
                <w:szCs w:val="16"/>
              </w:rPr>
              <w:t>Kvalificēti lauksaimniecības, mežsaimniecības un zivsaimniecības darbinieki</w:t>
            </w:r>
          </w:p>
          <w:p w14:paraId="4CF59EB4" w14:textId="77777777" w:rsidR="0016645F" w:rsidRPr="003B4CDA" w:rsidRDefault="0016645F" w:rsidP="00D209BD">
            <w:pPr>
              <w:spacing w:before="300"/>
              <w:ind w:right="57"/>
              <w:jc w:val="right"/>
              <w:rPr>
                <w:rFonts w:ascii="Segoe UI Light" w:hAnsi="Segoe UI Light"/>
                <w:sz w:val="16"/>
                <w:szCs w:val="16"/>
              </w:rPr>
            </w:pPr>
            <w:r w:rsidRPr="003B4CDA">
              <w:rPr>
                <w:rFonts w:ascii="Segoe UI Light" w:hAnsi="Segoe UI Light"/>
                <w:sz w:val="16"/>
                <w:szCs w:val="16"/>
              </w:rPr>
              <w:t>Kvalificēti strādnieki un amatnieki</w:t>
            </w:r>
          </w:p>
          <w:p w14:paraId="05D64898" w14:textId="77777777" w:rsidR="0016645F" w:rsidRPr="003B4CDA" w:rsidRDefault="0016645F" w:rsidP="00D209BD">
            <w:pPr>
              <w:spacing w:before="360"/>
              <w:ind w:right="57"/>
              <w:jc w:val="right"/>
              <w:rPr>
                <w:rFonts w:ascii="Segoe UI Light" w:hAnsi="Segoe UI Light"/>
                <w:sz w:val="16"/>
                <w:szCs w:val="16"/>
              </w:rPr>
            </w:pPr>
            <w:r w:rsidRPr="003B4CDA">
              <w:rPr>
                <w:rFonts w:ascii="Segoe UI Light" w:hAnsi="Segoe UI Light"/>
                <w:sz w:val="16"/>
                <w:szCs w:val="16"/>
              </w:rPr>
              <w:t>Iekārtu un mašīnu operatori un izstrādājumu montieri</w:t>
            </w:r>
          </w:p>
          <w:p w14:paraId="08ABA399" w14:textId="77777777" w:rsidR="0016645F" w:rsidRPr="003B4CDA" w:rsidRDefault="0016645F" w:rsidP="00D209BD">
            <w:pPr>
              <w:spacing w:before="540"/>
              <w:ind w:right="57"/>
              <w:jc w:val="right"/>
              <w:rPr>
                <w:rFonts w:ascii="Segoe UI Light" w:hAnsi="Segoe UI Light"/>
                <w:sz w:val="16"/>
                <w:szCs w:val="16"/>
              </w:rPr>
            </w:pPr>
            <w:r w:rsidRPr="003B4CDA">
              <w:rPr>
                <w:rFonts w:ascii="Segoe UI Light" w:hAnsi="Segoe UI Light"/>
                <w:sz w:val="16"/>
                <w:szCs w:val="16"/>
              </w:rPr>
              <w:t>Vienkāršās profesijas</w:t>
            </w:r>
          </w:p>
        </w:tc>
      </w:tr>
    </w:tbl>
    <w:p w14:paraId="432F3932" w14:textId="77777777" w:rsidR="00103B84" w:rsidRDefault="00103B84" w:rsidP="0016645F">
      <w:pPr>
        <w:jc w:val="center"/>
        <w:rPr>
          <w:szCs w:val="26"/>
        </w:rPr>
      </w:pPr>
    </w:p>
    <w:p w14:paraId="1B836EAC" w14:textId="60DAC11C" w:rsidR="0016645F" w:rsidRPr="003B4CDA" w:rsidRDefault="0016645F" w:rsidP="0016645F">
      <w:pPr>
        <w:jc w:val="center"/>
        <w:rPr>
          <w:rFonts w:ascii="Segoe UI Light" w:hAnsi="Segoe UI Light"/>
          <w:i/>
          <w:sz w:val="16"/>
          <w:szCs w:val="26"/>
        </w:rPr>
      </w:pPr>
      <w:r w:rsidRPr="003B4CDA">
        <w:rPr>
          <w:rFonts w:ascii="Segoe UI Light" w:hAnsi="Segoe UI Light"/>
          <w:b/>
          <w:sz w:val="18"/>
          <w:szCs w:val="26"/>
        </w:rPr>
        <w:t>Darbaspēka pieprasījuma un piedāvājuma attiecība pa profesiju grupām</w:t>
      </w:r>
      <w:r w:rsidRPr="003B4CDA">
        <w:rPr>
          <w:rFonts w:ascii="Segoe UI Light" w:hAnsi="Segoe UI Light"/>
          <w:b/>
          <w:sz w:val="18"/>
          <w:szCs w:val="26"/>
        </w:rPr>
        <w:br/>
      </w:r>
      <w:r w:rsidRPr="003B4CDA">
        <w:rPr>
          <w:rFonts w:ascii="Segoe UI Light" w:hAnsi="Segoe UI Light"/>
          <w:i/>
          <w:sz w:val="16"/>
          <w:szCs w:val="26"/>
          <w:u w:val="single"/>
        </w:rPr>
        <w:t>2040. gads</w:t>
      </w:r>
      <w:r w:rsidRPr="003B4CDA">
        <w:rPr>
          <w:rFonts w:ascii="Segoe UI Light" w:hAnsi="Segoe UI Light"/>
          <w:i/>
          <w:sz w:val="16"/>
          <w:szCs w:val="26"/>
        </w:rPr>
        <w:t>, pieprasījums pret piedāvājumu, procentos</w:t>
      </w:r>
    </w:p>
    <w:p w14:paraId="1C398DA2" w14:textId="77777777" w:rsidR="0016645F" w:rsidRPr="003B4CDA" w:rsidRDefault="0016645F" w:rsidP="0016645F">
      <w:pPr>
        <w:jc w:val="both"/>
        <w:rPr>
          <w:rFonts w:ascii="Segoe UI Light" w:hAnsi="Segoe UI Light"/>
          <w:szCs w:val="26"/>
        </w:rPr>
      </w:pPr>
      <w:r w:rsidRPr="003B4CDA">
        <w:rPr>
          <w:rFonts w:ascii="Segoe UI Light" w:hAnsi="Segoe UI Light"/>
          <w:bCs/>
          <w:iCs/>
          <w:noProof/>
          <w:sz w:val="18"/>
          <w:szCs w:val="26"/>
          <w:lang w:eastAsia="lv-LV"/>
        </w:rPr>
        <w:drawing>
          <wp:inline distT="0" distB="0" distL="0" distR="0" wp14:anchorId="44583B77" wp14:editId="68D88FCF">
            <wp:extent cx="5760085" cy="1440000"/>
            <wp:effectExtent l="0" t="0" r="0" b="825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6645F" w:rsidRPr="003B4CDA" w14:paraId="43E0AD8B" w14:textId="77777777" w:rsidTr="00D209BD">
        <w:trPr>
          <w:cantSplit/>
          <w:trHeight w:val="2041"/>
          <w:jc w:val="right"/>
        </w:trPr>
        <w:tc>
          <w:tcPr>
            <w:tcW w:w="9071" w:type="dxa"/>
            <w:textDirection w:val="btLr"/>
          </w:tcPr>
          <w:p w14:paraId="66FB4ED3" w14:textId="77777777" w:rsidR="0016645F" w:rsidRPr="003B4CDA" w:rsidRDefault="0016645F" w:rsidP="00D209BD">
            <w:pPr>
              <w:spacing w:before="720"/>
              <w:ind w:right="57"/>
              <w:jc w:val="right"/>
              <w:rPr>
                <w:rFonts w:ascii="Segoe UI Light" w:hAnsi="Segoe UI Light"/>
                <w:sz w:val="16"/>
                <w:szCs w:val="16"/>
              </w:rPr>
            </w:pPr>
            <w:r w:rsidRPr="003B4CDA">
              <w:rPr>
                <w:rFonts w:ascii="Segoe UI Light" w:hAnsi="Segoe UI Light"/>
                <w:sz w:val="16"/>
                <w:szCs w:val="16"/>
              </w:rPr>
              <w:t>Kopā</w:t>
            </w:r>
          </w:p>
          <w:p w14:paraId="520BDFB9"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Vadītāji</w:t>
            </w:r>
          </w:p>
          <w:p w14:paraId="2C92ABB4"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Vecākie speciālisti</w:t>
            </w:r>
          </w:p>
          <w:p w14:paraId="11D1D6A9"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Speciālisti</w:t>
            </w:r>
          </w:p>
          <w:p w14:paraId="3A24C2B3" w14:textId="77777777" w:rsidR="0016645F" w:rsidRPr="003B4CDA" w:rsidRDefault="0016645F" w:rsidP="00D209BD">
            <w:pPr>
              <w:spacing w:before="620"/>
              <w:ind w:right="57"/>
              <w:jc w:val="right"/>
              <w:rPr>
                <w:rFonts w:ascii="Segoe UI Light" w:hAnsi="Segoe UI Light"/>
                <w:sz w:val="16"/>
                <w:szCs w:val="16"/>
              </w:rPr>
            </w:pPr>
            <w:r w:rsidRPr="003B4CDA">
              <w:rPr>
                <w:rFonts w:ascii="Segoe UI Light" w:hAnsi="Segoe UI Light"/>
                <w:sz w:val="16"/>
                <w:szCs w:val="16"/>
              </w:rPr>
              <w:t>Kalpotāji</w:t>
            </w:r>
          </w:p>
          <w:p w14:paraId="2F4E146F" w14:textId="77777777" w:rsidR="0016645F" w:rsidRPr="003B4CDA" w:rsidRDefault="0016645F" w:rsidP="00D209BD">
            <w:pPr>
              <w:spacing w:before="480"/>
              <w:ind w:right="57"/>
              <w:jc w:val="right"/>
              <w:rPr>
                <w:rFonts w:ascii="Segoe UI Light" w:hAnsi="Segoe UI Light"/>
                <w:sz w:val="16"/>
                <w:szCs w:val="16"/>
              </w:rPr>
            </w:pPr>
            <w:r w:rsidRPr="003B4CDA">
              <w:rPr>
                <w:rFonts w:ascii="Segoe UI Light" w:hAnsi="Segoe UI Light"/>
                <w:sz w:val="16"/>
                <w:szCs w:val="16"/>
              </w:rPr>
              <w:t>Pakalpojumu un tirdzniecības darbinieki</w:t>
            </w:r>
          </w:p>
          <w:p w14:paraId="6172C422" w14:textId="77777777" w:rsidR="0016645F" w:rsidRPr="003B4CDA" w:rsidRDefault="0016645F" w:rsidP="00D209BD">
            <w:pPr>
              <w:spacing w:before="300"/>
              <w:ind w:right="57"/>
              <w:jc w:val="right"/>
              <w:rPr>
                <w:rFonts w:ascii="Segoe UI Light" w:hAnsi="Segoe UI Light"/>
                <w:sz w:val="16"/>
                <w:szCs w:val="16"/>
              </w:rPr>
            </w:pPr>
            <w:r w:rsidRPr="003B4CDA">
              <w:rPr>
                <w:rFonts w:ascii="Segoe UI Light" w:hAnsi="Segoe UI Light"/>
                <w:sz w:val="16"/>
                <w:szCs w:val="16"/>
              </w:rPr>
              <w:t>Kvalificēti lauksaimniecības, mežsaimniecības un zivsaimniecības darbinieki</w:t>
            </w:r>
          </w:p>
          <w:p w14:paraId="0ADB3614" w14:textId="77777777" w:rsidR="0016645F" w:rsidRPr="003B4CDA" w:rsidRDefault="0016645F" w:rsidP="00D209BD">
            <w:pPr>
              <w:spacing w:before="300"/>
              <w:ind w:right="57"/>
              <w:jc w:val="right"/>
              <w:rPr>
                <w:rFonts w:ascii="Segoe UI Light" w:hAnsi="Segoe UI Light"/>
                <w:sz w:val="16"/>
                <w:szCs w:val="16"/>
              </w:rPr>
            </w:pPr>
            <w:r w:rsidRPr="003B4CDA">
              <w:rPr>
                <w:rFonts w:ascii="Segoe UI Light" w:hAnsi="Segoe UI Light"/>
                <w:sz w:val="16"/>
                <w:szCs w:val="16"/>
              </w:rPr>
              <w:t>Kvalificēti strādnieki un amatnieki</w:t>
            </w:r>
          </w:p>
          <w:p w14:paraId="16B65C0F" w14:textId="77777777" w:rsidR="0016645F" w:rsidRPr="003B4CDA" w:rsidRDefault="0016645F" w:rsidP="00D209BD">
            <w:pPr>
              <w:spacing w:before="360"/>
              <w:ind w:right="57"/>
              <w:jc w:val="right"/>
              <w:rPr>
                <w:rFonts w:ascii="Segoe UI Light" w:hAnsi="Segoe UI Light"/>
                <w:sz w:val="16"/>
                <w:szCs w:val="16"/>
              </w:rPr>
            </w:pPr>
            <w:r w:rsidRPr="003B4CDA">
              <w:rPr>
                <w:rFonts w:ascii="Segoe UI Light" w:hAnsi="Segoe UI Light"/>
                <w:sz w:val="16"/>
                <w:szCs w:val="16"/>
              </w:rPr>
              <w:t>Iekārtu un mašīnu operatori un izstrādājumu montieri</w:t>
            </w:r>
          </w:p>
          <w:p w14:paraId="6CF6672A" w14:textId="77777777" w:rsidR="0016645F" w:rsidRPr="003B4CDA" w:rsidRDefault="0016645F" w:rsidP="00D209BD">
            <w:pPr>
              <w:spacing w:before="540"/>
              <w:ind w:right="57"/>
              <w:jc w:val="right"/>
              <w:rPr>
                <w:rFonts w:ascii="Segoe UI Light" w:hAnsi="Segoe UI Light"/>
                <w:sz w:val="16"/>
                <w:szCs w:val="16"/>
              </w:rPr>
            </w:pPr>
            <w:r w:rsidRPr="003B4CDA">
              <w:rPr>
                <w:rFonts w:ascii="Segoe UI Light" w:hAnsi="Segoe UI Light"/>
                <w:sz w:val="16"/>
                <w:szCs w:val="16"/>
              </w:rPr>
              <w:t>Vienkāršās profesijas</w:t>
            </w:r>
          </w:p>
        </w:tc>
      </w:tr>
    </w:tbl>
    <w:p w14:paraId="1D6E8DEE" w14:textId="77777777" w:rsidR="0016645F" w:rsidRPr="00103B84" w:rsidRDefault="0016645F" w:rsidP="0016645F">
      <w:pPr>
        <w:jc w:val="both"/>
        <w:rPr>
          <w:rFonts w:cs="Calibri Light"/>
          <w:sz w:val="12"/>
          <w:szCs w:val="10"/>
        </w:rPr>
      </w:pPr>
      <w:r w:rsidRPr="00103B84">
        <w:rPr>
          <w:rFonts w:cs="Calibri Light"/>
          <w:sz w:val="12"/>
          <w:szCs w:val="10"/>
        </w:rPr>
        <w:t>Avots: EM prognozes</w:t>
      </w:r>
    </w:p>
    <w:p w14:paraId="3547B489" w14:textId="1012187F" w:rsidR="0016645F" w:rsidRPr="003B4CDA" w:rsidRDefault="00C24E26" w:rsidP="00103B84">
      <w:pPr>
        <w:jc w:val="both"/>
        <w:rPr>
          <w:szCs w:val="20"/>
        </w:rPr>
      </w:pPr>
      <w:r>
        <w:rPr>
          <w:szCs w:val="20"/>
        </w:rPr>
        <w:br/>
      </w:r>
      <w:r w:rsidR="0016645F" w:rsidRPr="003B4CDA">
        <w:rPr>
          <w:szCs w:val="20"/>
        </w:rPr>
        <w:t>Sagaidāms, ka būtisks darbaspēka pārpalikums saglabāsies vienkāršajās profesijās, ņemot vērā darbaspēka piedāvājuma ar pamatizglītību pieaugumu vidējā termiņā, kā arī ievērojamo darbaspēka pārpalikumu ar vispārējo vidējo izglītību. Jāņem vērā, ka vidējā un ilgtermiņā, līdz ar automatizācijas tendencēm, būtiskākais darbavietu samazinājums sagaidāms profesijās ar augstu manuālo un atkārtojamu darbu īpatsvaru.</w:t>
      </w:r>
    </w:p>
    <w:p w14:paraId="3FEE94C3" w14:textId="2BD57488" w:rsidR="00490B57" w:rsidRPr="001231A9" w:rsidRDefault="0016645F" w:rsidP="00103B84">
      <w:pPr>
        <w:jc w:val="both"/>
        <w:rPr>
          <w:highlight w:val="yellow"/>
        </w:rPr>
      </w:pPr>
      <w:r w:rsidRPr="003B4CDA">
        <w:rPr>
          <w:szCs w:val="20"/>
        </w:rPr>
        <w:t xml:space="preserve">Saglabājoties līdzšinējai darbaspēka sagatavošanas struktūrai un apjomam, ilgtermiņā disproporcijas padziļināsies jau iepriekš minētajās vidējās kvalifikācijas profesijās – iekārtu un mašīnu operatoru, kā arī kvalificētu strādnieku un amatnieku profesijās piedāvājums būs ievērojami mazāks nekā pieprasījums. Pieprasījums pārsniegs piedāvājumu arī kvalificētu lauksaimniecības, mežsaimniecības un zivsaimniecības darbinieku profesiju grupā, tā kā šajā profesiju grupā ir augsts nodarbināto īpatsvars </w:t>
      </w:r>
      <w:proofErr w:type="spellStart"/>
      <w:r w:rsidRPr="003B4CDA">
        <w:rPr>
          <w:szCs w:val="20"/>
        </w:rPr>
        <w:t>pirmspensijas</w:t>
      </w:r>
      <w:proofErr w:type="spellEnd"/>
      <w:r w:rsidRPr="003B4CDA">
        <w:rPr>
          <w:szCs w:val="20"/>
        </w:rPr>
        <w:t xml:space="preserve"> vecumā, bet vienlaikus relatīvi mazs </w:t>
      </w:r>
      <w:proofErr w:type="spellStart"/>
      <w:r w:rsidRPr="003B4CDA">
        <w:rPr>
          <w:szCs w:val="20"/>
        </w:rPr>
        <w:t>jaunpienācēju</w:t>
      </w:r>
      <w:proofErr w:type="spellEnd"/>
      <w:r w:rsidRPr="003B4CDA">
        <w:rPr>
          <w:szCs w:val="20"/>
        </w:rPr>
        <w:t xml:space="preserve"> skaits no izglītības sistēmas.</w:t>
      </w:r>
      <w:r w:rsidR="00490B57" w:rsidRPr="001231A9">
        <w:rPr>
          <w:highlight w:val="yellow"/>
        </w:rPr>
        <w:br w:type="page"/>
      </w:r>
    </w:p>
    <w:p w14:paraId="5624B8A8" w14:textId="1954469F" w:rsidR="00490B57" w:rsidRPr="000B119E" w:rsidRDefault="00490B57" w:rsidP="00C24E26">
      <w:pPr>
        <w:pStyle w:val="Heading1"/>
        <w:spacing w:after="360"/>
        <w:rPr>
          <w:color w:val="000000" w:themeColor="text1"/>
        </w:rPr>
      </w:pPr>
      <w:bookmarkStart w:id="78" w:name="_Toc517876445"/>
      <w:bookmarkStart w:id="79" w:name="_Toc106366807"/>
      <w:r w:rsidRPr="000B119E">
        <w:rPr>
          <w:color w:val="000000" w:themeColor="text1"/>
        </w:rPr>
        <w:lastRenderedPageBreak/>
        <w:t xml:space="preserve">4. </w:t>
      </w:r>
      <w:r w:rsidR="00F572F5" w:rsidRPr="000B119E">
        <w:rPr>
          <w:caps w:val="0"/>
          <w:color w:val="000000" w:themeColor="text1"/>
        </w:rPr>
        <w:t>PĀRSKATS PAR ĪSTENOTAJIEM UN PLĀNOTAJIEM IZGLĪTĪBAS UN NODARBINĀTĪBAS PASĀKUMI</w:t>
      </w:r>
      <w:bookmarkEnd w:id="78"/>
      <w:r w:rsidR="00F572F5" w:rsidRPr="000B119E">
        <w:rPr>
          <w:caps w:val="0"/>
          <w:color w:val="000000" w:themeColor="text1"/>
        </w:rPr>
        <w:t>EM</w:t>
      </w:r>
      <w:bookmarkEnd w:id="79"/>
    </w:p>
    <w:p w14:paraId="61C7C5BA" w14:textId="77777777" w:rsidR="00CA2D5A" w:rsidRDefault="00CA2D5A" w:rsidP="00C24E26">
      <w:pPr>
        <w:jc w:val="both"/>
        <w:rPr>
          <w:rFonts w:eastAsia="Times New Roman"/>
          <w:szCs w:val="20"/>
          <w:lang w:eastAsia="lv-LV"/>
        </w:rPr>
      </w:pPr>
      <w:r>
        <w:rPr>
          <w:rFonts w:eastAsia="Times New Roman"/>
          <w:szCs w:val="20"/>
          <w:lang w:eastAsia="lv-LV"/>
        </w:rPr>
        <w:t>Iepriekšējos gados īstenotie nodarbinātības veicināšanas un prasmju attīstības pasākumi kopumā ir devuši labvēlīgu ietekmi gan uz iedzīvotāju nodarbinātību, gan uz darbaspēka pietiekamību un prasmju atbilstību. Ilgtermiņa tendences kopumā uzrāda sabalansētāku izglītības piedāvājuma struktūru, kas pakāpeniski atspoguļojas arī darba tirgū. Vienlaikus, neskatoties uz uzlabojumiem izglītības piedāvājumā, joprojām daudzas strukturālās problēmas saglabājas aktuālas – nepietiekama STEM speciālistu sagatavošana, liels jauniešu īpatsvars, kas neturpina mācības vidējā vai augstākajā izglītības līmenī, vai pamet izglītības sistēmu priekšlaicīgi, nepietiekams izglītojamo skaits profesionālās izglītības virzienos u.c. problēmas. Tāpat izglītības pasākumu ietekme bieži vien ir lēna un ietekmes mērogs nepietiekams, savukārt pieaugušo izglītības sniegtās iespējas netiek pietiekami izmantotas un iedzīvotāju iesaiste pieaugušo izglītībā būtiski atpaliek no izvirzītā mērķa.</w:t>
      </w:r>
    </w:p>
    <w:p w14:paraId="47F9654F" w14:textId="74FE07BB" w:rsidR="00CA2D5A" w:rsidRPr="001A67D5" w:rsidRDefault="00CA2D5A" w:rsidP="00C24E26">
      <w:pPr>
        <w:jc w:val="both"/>
        <w:rPr>
          <w:rFonts w:eastAsia="Times New Roman"/>
          <w:szCs w:val="20"/>
          <w:lang w:eastAsia="lv-LV"/>
        </w:rPr>
      </w:pPr>
      <w:bookmarkStart w:id="80" w:name="_Hlk103758957"/>
      <w:proofErr w:type="spellStart"/>
      <w:r w:rsidRPr="7A74AD50">
        <w:rPr>
          <w:rFonts w:eastAsia="Times New Roman"/>
          <w:lang w:eastAsia="lv-LV"/>
        </w:rPr>
        <w:t>Cilvēkkapitāla</w:t>
      </w:r>
      <w:proofErr w:type="spellEnd"/>
      <w:r w:rsidRPr="7A74AD50">
        <w:rPr>
          <w:rFonts w:eastAsia="Times New Roman"/>
          <w:lang w:eastAsia="lv-LV"/>
        </w:rPr>
        <w:t xml:space="preserve"> attīstības jautājumi būtiski izvirzījās Covid-19 pandēmijas apstākļos, ņemot vērā tās ietekmi uz Latvijas tautsaimniecību. 2020.</w:t>
      </w:r>
      <w:r w:rsidR="00F32036" w:rsidRPr="7A74AD50">
        <w:rPr>
          <w:rFonts w:eastAsia="Times New Roman"/>
          <w:lang w:eastAsia="lv-LV"/>
        </w:rPr>
        <w:t> </w:t>
      </w:r>
      <w:r w:rsidRPr="7A74AD50">
        <w:rPr>
          <w:rFonts w:eastAsia="Times New Roman"/>
          <w:lang w:eastAsia="lv-LV"/>
        </w:rPr>
        <w:t xml:space="preserve">gada pavasarī </w:t>
      </w:r>
      <w:bookmarkStart w:id="81" w:name="_Hlk103788568"/>
      <w:r w:rsidRPr="7A74AD50">
        <w:rPr>
          <w:rFonts w:eastAsia="Times New Roman"/>
          <w:lang w:eastAsia="lv-LV"/>
        </w:rPr>
        <w:t>izstrādātajā stratēģijā Latvijai COVID-19 krīzes radīto seku mazināšanai</w:t>
      </w:r>
      <w:bookmarkEnd w:id="81"/>
      <w:r w:rsidRPr="7A74AD50">
        <w:rPr>
          <w:rFonts w:eastAsia="Times New Roman"/>
          <w:vertAlign w:val="superscript"/>
          <w:lang w:eastAsia="lv-LV"/>
        </w:rPr>
        <w:footnoteReference w:id="23"/>
      </w:r>
      <w:r w:rsidRPr="7A74AD50">
        <w:rPr>
          <w:rFonts w:eastAsia="Times New Roman"/>
          <w:lang w:eastAsia="lv-LV"/>
        </w:rPr>
        <w:t xml:space="preserve"> kā īstermiņa mērķis tika izvirzīts maksimāli iespējama darba vietu saglabāšana, Covid-19 radītā bezdarba mazināšana, digitālo prasmju palielināšana sabiedrībai. Covid-19 krīzē vitāli svarīgi bija saglabāt ierobežoto uzņēmumu kapacitāti, lai, atceļot ierobežojumus, tie spētu ātri atjaunot savu darbību. Kopumā krīzē tika izmaksāti vairāk nekā 200 milj. </w:t>
      </w:r>
      <w:proofErr w:type="spellStart"/>
      <w:r w:rsidRPr="7A74AD50">
        <w:rPr>
          <w:rFonts w:eastAsia="Times New Roman"/>
          <w:i/>
          <w:lang w:eastAsia="lv-LV"/>
        </w:rPr>
        <w:t>euro</w:t>
      </w:r>
      <w:proofErr w:type="spellEnd"/>
      <w:r w:rsidRPr="7A74AD50">
        <w:rPr>
          <w:rFonts w:eastAsia="Times New Roman"/>
          <w:lang w:eastAsia="lv-LV"/>
        </w:rPr>
        <w:t xml:space="preserve"> dīkstāves un subsidētās darbavietas atbalstam, kā arī vairāk nekā 560 milj. </w:t>
      </w:r>
      <w:proofErr w:type="spellStart"/>
      <w:r w:rsidRPr="7A74AD50">
        <w:rPr>
          <w:rFonts w:eastAsia="Times New Roman"/>
          <w:i/>
          <w:lang w:eastAsia="lv-LV"/>
        </w:rPr>
        <w:t>euro</w:t>
      </w:r>
      <w:proofErr w:type="spellEnd"/>
      <w:r w:rsidRPr="7A74AD50">
        <w:rPr>
          <w:rFonts w:eastAsia="Times New Roman"/>
          <w:lang w:eastAsia="lv-LV"/>
        </w:rPr>
        <w:t xml:space="preserve"> apgrozāmo līdzekļu </w:t>
      </w:r>
      <w:proofErr w:type="spellStart"/>
      <w:r w:rsidRPr="7A74AD50">
        <w:rPr>
          <w:rFonts w:eastAsia="Times New Roman"/>
          <w:lang w:eastAsia="lv-LV"/>
        </w:rPr>
        <w:t>grantam</w:t>
      </w:r>
      <w:proofErr w:type="spellEnd"/>
      <w:r w:rsidRPr="7A74AD50">
        <w:rPr>
          <w:rFonts w:eastAsia="Times New Roman"/>
          <w:lang w:eastAsia="lv-LV"/>
        </w:rPr>
        <w:t xml:space="preserve">. Atbalsts ievērojami mazināja negatīvo ietekmi uz darba tirgu. Covid-19 krīzes laikā bezdarbnieku skaits nevienu mēnesi nepārsniedza 80 tūkstošus. Vienlaikus sniegts arī atbalsts sociāli mazāk aizsargātajām iedzīvotāju grupām, tai skaitā bezdarbniekiem (ieviests bezdarbnieka palīdzības pabalsts, pagarināts laiks īslaicīgai nodarbinātībai, nezaudējot bezdarbnieka statusu, </w:t>
      </w:r>
      <w:r w:rsidRPr="001A67D5">
        <w:rPr>
          <w:rFonts w:eastAsia="Times New Roman"/>
          <w:lang w:eastAsia="lv-LV"/>
        </w:rPr>
        <w:t>paplašināti nodarbinātības atbalsta pasākumi u.c.).</w:t>
      </w:r>
    </w:p>
    <w:p w14:paraId="45B06163" w14:textId="0A4015B7" w:rsidR="00CA2D5A" w:rsidRPr="001A67D5" w:rsidRDefault="00CA2D5A" w:rsidP="00C24E26">
      <w:pPr>
        <w:jc w:val="both"/>
        <w:rPr>
          <w:rFonts w:eastAsia="Times New Roman"/>
          <w:szCs w:val="20"/>
          <w:lang w:eastAsia="lv-LV"/>
        </w:rPr>
      </w:pPr>
      <w:r w:rsidRPr="00361731">
        <w:rPr>
          <w:rFonts w:eastAsia="Times New Roman"/>
          <w:lang w:eastAsia="lv-LV"/>
        </w:rPr>
        <w:t xml:space="preserve">Vidēja termiņa mērķis ir funkcionālas pieaugušo izglītības sistēmas izveide </w:t>
      </w:r>
      <w:r w:rsidR="00280642" w:rsidRPr="000C591A">
        <w:rPr>
          <w:rFonts w:eastAsia="Times New Roman"/>
          <w:lang w:eastAsia="lv-LV"/>
        </w:rPr>
        <w:t>personu ar zemu izglītību</w:t>
      </w:r>
      <w:r w:rsidRPr="001A67D5">
        <w:rPr>
          <w:rFonts w:eastAsia="Times New Roman"/>
          <w:lang w:eastAsia="lv-LV"/>
        </w:rPr>
        <w:t xml:space="preserve"> īpatsvara samazināšanai, nepārtrauktas prasmju, iemaņu un kompetenču attīstībai un sociālekonomiskās paradigmas pārmaiņām – nākotnes izglītības koncepta ieviešanai. </w:t>
      </w:r>
      <w:proofErr w:type="spellStart"/>
      <w:r w:rsidRPr="001A67D5">
        <w:rPr>
          <w:rFonts w:eastAsia="Times New Roman"/>
          <w:lang w:eastAsia="lv-LV"/>
        </w:rPr>
        <w:t>Cilvēkkapitāla</w:t>
      </w:r>
      <w:proofErr w:type="spellEnd"/>
      <w:r w:rsidRPr="001A67D5">
        <w:rPr>
          <w:rFonts w:eastAsia="Times New Roman"/>
          <w:lang w:eastAsia="lv-LV"/>
        </w:rPr>
        <w:t xml:space="preserve"> stiprināšana un mūžizglītība ir iekļauti starp Latvijas attīstības prioritātēm arī </w:t>
      </w:r>
      <w:bookmarkStart w:id="82" w:name="_Hlk103789278"/>
      <w:r w:rsidRPr="00361731">
        <w:rPr>
          <w:rFonts w:eastAsia="Times New Roman"/>
          <w:i/>
          <w:lang w:eastAsia="lv-LV"/>
        </w:rPr>
        <w:t>Nacionālā industriālās politikas pamatnostādnēs 2021.-2027.</w:t>
      </w:r>
      <w:r w:rsidR="00F32036" w:rsidRPr="001A67D5">
        <w:rPr>
          <w:rFonts w:eastAsia="Times New Roman"/>
          <w:i/>
          <w:lang w:eastAsia="lv-LV"/>
        </w:rPr>
        <w:t> </w:t>
      </w:r>
      <w:r w:rsidRPr="001A67D5">
        <w:rPr>
          <w:rFonts w:eastAsia="Times New Roman"/>
          <w:i/>
          <w:lang w:eastAsia="lv-LV"/>
        </w:rPr>
        <w:t>gadam</w:t>
      </w:r>
      <w:bookmarkEnd w:id="82"/>
      <w:r w:rsidRPr="001A67D5">
        <w:rPr>
          <w:vertAlign w:val="superscript"/>
        </w:rPr>
        <w:footnoteReference w:id="24"/>
      </w:r>
      <w:r w:rsidRPr="001A67D5">
        <w:rPr>
          <w:rFonts w:eastAsia="Times New Roman"/>
          <w:lang w:eastAsia="lv-LV"/>
        </w:rPr>
        <w:t>.</w:t>
      </w:r>
    </w:p>
    <w:bookmarkEnd w:id="80"/>
    <w:p w14:paraId="1A94FD11" w14:textId="214276FD" w:rsidR="00CA2D5A" w:rsidRPr="001A67D5" w:rsidRDefault="00C24E26" w:rsidP="00C24E26">
      <w:pPr>
        <w:jc w:val="both"/>
        <w:rPr>
          <w:rFonts w:eastAsia="Times New Roman"/>
          <w:szCs w:val="20"/>
          <w:lang w:eastAsia="lv-LV"/>
        </w:rPr>
      </w:pPr>
      <w:r>
        <w:rPr>
          <w:rFonts w:eastAsia="Times New Roman"/>
          <w:b/>
          <w:lang w:eastAsia="lv-LV"/>
        </w:rPr>
        <w:br/>
      </w:r>
      <w:r w:rsidR="00CA2D5A" w:rsidRPr="001A67D5">
        <w:rPr>
          <w:rFonts w:eastAsia="Times New Roman"/>
          <w:b/>
          <w:lang w:eastAsia="lv-LV"/>
        </w:rPr>
        <w:t>Izglītības piedāvājuma uzlabošanas virzieni.</w:t>
      </w:r>
      <w:r w:rsidR="00CA2D5A" w:rsidRPr="001A67D5">
        <w:rPr>
          <w:rFonts w:ascii="Segoe UI Light" w:hAnsi="Segoe UI Light" w:cs="Segoe UI Light"/>
          <w:bCs/>
          <w:color w:val="000000"/>
          <w:sz w:val="16"/>
          <w:szCs w:val="16"/>
        </w:rPr>
        <w:t xml:space="preserve"> </w:t>
      </w:r>
      <w:r w:rsidR="00CA2D5A" w:rsidRPr="001A67D5">
        <w:rPr>
          <w:rFonts w:eastAsia="Times New Roman"/>
          <w:lang w:eastAsia="lv-LV"/>
        </w:rPr>
        <w:t>MK 2021.</w:t>
      </w:r>
      <w:r w:rsidR="00F32036" w:rsidRPr="001A67D5">
        <w:rPr>
          <w:rFonts w:eastAsia="Times New Roman"/>
          <w:lang w:eastAsia="lv-LV"/>
        </w:rPr>
        <w:t> </w:t>
      </w:r>
      <w:r w:rsidR="00CA2D5A" w:rsidRPr="001A67D5">
        <w:rPr>
          <w:rFonts w:eastAsia="Times New Roman"/>
          <w:lang w:eastAsia="lv-LV"/>
        </w:rPr>
        <w:t>gada 21.</w:t>
      </w:r>
      <w:r w:rsidR="00F32036" w:rsidRPr="001A67D5">
        <w:rPr>
          <w:rFonts w:eastAsia="Times New Roman"/>
          <w:lang w:eastAsia="lv-LV"/>
        </w:rPr>
        <w:t> </w:t>
      </w:r>
      <w:r w:rsidR="00CA2D5A" w:rsidRPr="001A67D5">
        <w:rPr>
          <w:rFonts w:eastAsia="Times New Roman"/>
          <w:lang w:eastAsia="lv-LV"/>
        </w:rPr>
        <w:t xml:space="preserve">jūnijā apstiprināja </w:t>
      </w:r>
      <w:bookmarkStart w:id="83" w:name="_Hlk103789449"/>
      <w:r w:rsidR="00CA2D5A" w:rsidRPr="001A67D5">
        <w:rPr>
          <w:rFonts w:eastAsia="Times New Roman"/>
          <w:lang w:eastAsia="lv-LV"/>
        </w:rPr>
        <w:t>Izglītības attīstības pamatnostādnes 2021.-2027.</w:t>
      </w:r>
      <w:r w:rsidR="00F32036" w:rsidRPr="001A67D5">
        <w:rPr>
          <w:rFonts w:eastAsia="Times New Roman"/>
          <w:lang w:eastAsia="lv-LV"/>
        </w:rPr>
        <w:t> </w:t>
      </w:r>
      <w:r w:rsidR="00CA2D5A" w:rsidRPr="001A67D5">
        <w:rPr>
          <w:rFonts w:eastAsia="Times New Roman"/>
          <w:lang w:eastAsia="lv-LV"/>
        </w:rPr>
        <w:t xml:space="preserve">gadam </w:t>
      </w:r>
      <w:r w:rsidR="00CA2D5A" w:rsidRPr="001A67D5">
        <w:rPr>
          <w:rFonts w:eastAsia="Times New Roman"/>
          <w:i/>
          <w:lang w:eastAsia="lv-LV"/>
        </w:rPr>
        <w:t>“Nākotnes prasmes nākotnes sabiedrībai”</w:t>
      </w:r>
      <w:bookmarkEnd w:id="83"/>
      <w:r w:rsidR="00CA2D5A" w:rsidRPr="001A67D5">
        <w:rPr>
          <w:rStyle w:val="FootnoteReference"/>
          <w:rFonts w:eastAsia="Times New Roman"/>
          <w:i/>
          <w:lang w:eastAsia="lv-LV"/>
        </w:rPr>
        <w:footnoteReference w:id="25"/>
      </w:r>
      <w:r w:rsidR="00CA2D5A" w:rsidRPr="001A67D5">
        <w:rPr>
          <w:rFonts w:eastAsia="Times New Roman"/>
          <w:lang w:eastAsia="lv-LV"/>
        </w:rPr>
        <w:t>, kas aptver visus izglītības veidus un pakāpes. Pamatnostādnes paredz visās izglītības jomās galveno uzmanību pievērst sākto reformu ieviešanai un nepieciešamo atbalsta sistēmu (cilvēkresursu, sadarbības tīklu, pārvaldības, kvalitātes) attīstībai un nodrošināšanai, tādējādi nostiprinot pārmaiņu ilgtspēju. Nozīmīgākās plānotās pārmaiņas četrās izglītības jomās:</w:t>
      </w:r>
    </w:p>
    <w:p w14:paraId="60BD3071" w14:textId="1D7F7674" w:rsidR="00CA2D5A" w:rsidRPr="00F32036" w:rsidRDefault="00CA2D5A" w:rsidP="002338E7">
      <w:pPr>
        <w:pStyle w:val="ListParagraph"/>
        <w:numPr>
          <w:ilvl w:val="0"/>
          <w:numId w:val="14"/>
        </w:numPr>
        <w:spacing w:after="120"/>
        <w:jc w:val="both"/>
        <w:rPr>
          <w:rFonts w:eastAsia="Times New Roman"/>
          <w:szCs w:val="20"/>
          <w:lang w:eastAsia="lv-LV"/>
        </w:rPr>
      </w:pPr>
      <w:r w:rsidRPr="001A67D5">
        <w:rPr>
          <w:rFonts w:eastAsia="Times New Roman"/>
          <w:b/>
          <w:bCs/>
          <w:szCs w:val="20"/>
          <w:lang w:eastAsia="lv-LV"/>
        </w:rPr>
        <w:t xml:space="preserve">vispārējā izglītībā </w:t>
      </w:r>
      <w:r w:rsidR="00F32036" w:rsidRPr="001A67D5">
        <w:rPr>
          <w:rFonts w:eastAsia="Times New Roman"/>
          <w:b/>
          <w:bCs/>
          <w:szCs w:val="20"/>
          <w:lang w:eastAsia="lv-LV"/>
        </w:rPr>
        <w:t xml:space="preserve">– </w:t>
      </w:r>
      <w:r w:rsidRPr="001A67D5">
        <w:rPr>
          <w:rFonts w:eastAsia="Times New Roman"/>
          <w:szCs w:val="20"/>
          <w:lang w:eastAsia="lv-LV"/>
        </w:rPr>
        <w:t>ieviest un nostiprināt kompetenču pieeju ar mērķi uzlabot mācīšanu</w:t>
      </w:r>
      <w:r w:rsidRPr="00F32036">
        <w:rPr>
          <w:rFonts w:eastAsia="Times New Roman"/>
          <w:szCs w:val="20"/>
          <w:lang w:eastAsia="lv-LV"/>
        </w:rPr>
        <w:t>, mācīšanos un skolēnu sniegumu, piesaistīt jaunus pedagogus, nodrošinot pedagogu ataudzi un nodrošināt mērķtiecīgu atbalsta sistēmu iekļaujošas izglītības nostiprināšanai;</w:t>
      </w:r>
    </w:p>
    <w:p w14:paraId="54F852E4" w14:textId="3F58D085" w:rsidR="00CA2D5A" w:rsidRPr="00F32036" w:rsidRDefault="00CA2D5A" w:rsidP="002338E7">
      <w:pPr>
        <w:pStyle w:val="ListParagraph"/>
        <w:numPr>
          <w:ilvl w:val="0"/>
          <w:numId w:val="14"/>
        </w:numPr>
        <w:spacing w:after="120"/>
        <w:jc w:val="both"/>
        <w:rPr>
          <w:rFonts w:eastAsia="Times New Roman"/>
          <w:szCs w:val="20"/>
          <w:lang w:eastAsia="lv-LV"/>
        </w:rPr>
      </w:pPr>
      <w:r w:rsidRPr="00F32036">
        <w:rPr>
          <w:rFonts w:eastAsia="Times New Roman"/>
          <w:b/>
          <w:bCs/>
          <w:szCs w:val="20"/>
          <w:lang w:eastAsia="lv-LV"/>
        </w:rPr>
        <w:t xml:space="preserve">profesionālajā izglītībā </w:t>
      </w:r>
      <w:r w:rsidR="00F32036" w:rsidRPr="00F32036">
        <w:rPr>
          <w:rFonts w:eastAsia="Times New Roman"/>
          <w:b/>
          <w:bCs/>
          <w:szCs w:val="20"/>
          <w:lang w:eastAsia="lv-LV"/>
        </w:rPr>
        <w:t>–</w:t>
      </w:r>
      <w:r w:rsidRPr="00F32036">
        <w:rPr>
          <w:rFonts w:eastAsia="Times New Roman"/>
          <w:b/>
          <w:bCs/>
          <w:szCs w:val="20"/>
          <w:lang w:eastAsia="lv-LV"/>
        </w:rPr>
        <w:t xml:space="preserve"> </w:t>
      </w:r>
      <w:r w:rsidRPr="00F32036">
        <w:rPr>
          <w:rFonts w:eastAsia="Times New Roman"/>
          <w:szCs w:val="20"/>
          <w:lang w:eastAsia="lv-LV"/>
        </w:rPr>
        <w:t>nostiprināt profesionālās izglītības iestādes kā nozaru izcilības un inovāciju centrus, attīstīt elastīgu un ilgtspējīgu izglītības piedāvājumu un stiprināt koordinētu un stratēģisku sadarbību ar tautsaimniecības nozaru pārstāvjiem un darba devējiem;</w:t>
      </w:r>
    </w:p>
    <w:p w14:paraId="5590C79F" w14:textId="4FE5E000" w:rsidR="00CA2D5A" w:rsidRPr="00F32036" w:rsidRDefault="00CA2D5A" w:rsidP="002338E7">
      <w:pPr>
        <w:pStyle w:val="ListParagraph"/>
        <w:numPr>
          <w:ilvl w:val="0"/>
          <w:numId w:val="14"/>
        </w:numPr>
        <w:spacing w:after="120"/>
        <w:jc w:val="both"/>
        <w:rPr>
          <w:rFonts w:eastAsia="Times New Roman"/>
          <w:szCs w:val="20"/>
          <w:lang w:eastAsia="lv-LV"/>
        </w:rPr>
      </w:pPr>
      <w:r w:rsidRPr="00F32036">
        <w:rPr>
          <w:rFonts w:eastAsia="Times New Roman"/>
          <w:b/>
          <w:bCs/>
          <w:szCs w:val="20"/>
          <w:lang w:eastAsia="lv-LV"/>
        </w:rPr>
        <w:t xml:space="preserve">augstākajā izglītībā </w:t>
      </w:r>
      <w:r w:rsidR="00F32036" w:rsidRPr="00F32036">
        <w:rPr>
          <w:rFonts w:eastAsia="Times New Roman"/>
          <w:b/>
          <w:bCs/>
          <w:szCs w:val="20"/>
          <w:lang w:eastAsia="lv-LV"/>
        </w:rPr>
        <w:t>–</w:t>
      </w:r>
      <w:r w:rsidRPr="00F32036">
        <w:rPr>
          <w:rFonts w:eastAsia="Times New Roman"/>
          <w:szCs w:val="20"/>
          <w:lang w:eastAsia="lv-LV"/>
        </w:rPr>
        <w:t xml:space="preserve"> nostiprināt akadēmiskā personāla kvalitāti un nodrošināt ilgtspējīgu akadēmisko karjeru, veicināt izcilību augstākajā izglītībā un stiprināt augstākās izglītības institūciju pārvaldību;</w:t>
      </w:r>
    </w:p>
    <w:p w14:paraId="52D198C2" w14:textId="6D3CE5B3" w:rsidR="00103B84" w:rsidRPr="00542D37" w:rsidRDefault="00CA2D5A" w:rsidP="00CA2D5A">
      <w:pPr>
        <w:pStyle w:val="ListParagraph"/>
        <w:numPr>
          <w:ilvl w:val="0"/>
          <w:numId w:val="14"/>
        </w:numPr>
        <w:spacing w:after="120"/>
        <w:jc w:val="both"/>
        <w:rPr>
          <w:rFonts w:eastAsia="Times New Roman"/>
          <w:szCs w:val="20"/>
          <w:lang w:eastAsia="lv-LV"/>
        </w:rPr>
      </w:pPr>
      <w:r w:rsidRPr="00F32036">
        <w:rPr>
          <w:rFonts w:eastAsia="Times New Roman"/>
          <w:b/>
          <w:bCs/>
          <w:szCs w:val="20"/>
          <w:lang w:eastAsia="lv-LV"/>
        </w:rPr>
        <w:t>pieaugušo izglītībā</w:t>
      </w:r>
      <w:r w:rsidRPr="00F32036">
        <w:rPr>
          <w:rFonts w:eastAsia="Times New Roman"/>
          <w:szCs w:val="20"/>
          <w:lang w:eastAsia="lv-LV"/>
        </w:rPr>
        <w:t xml:space="preserve"> </w:t>
      </w:r>
      <w:r w:rsidR="00F32036" w:rsidRPr="00F32036">
        <w:rPr>
          <w:rFonts w:eastAsia="Times New Roman"/>
          <w:b/>
          <w:bCs/>
          <w:szCs w:val="20"/>
          <w:lang w:eastAsia="lv-LV"/>
        </w:rPr>
        <w:t>–</w:t>
      </w:r>
      <w:r w:rsidRPr="00F32036">
        <w:rPr>
          <w:rFonts w:eastAsia="Times New Roman"/>
          <w:szCs w:val="20"/>
          <w:lang w:eastAsia="lv-LV"/>
        </w:rPr>
        <w:t xml:space="preserve"> palielināt dalību pieaugušo izglītībā, jo īpaši iedzīvotāju grupām, kas mazāk iesaistās mācībās, paaugstināt pieaugušo izglītības kvalitāti un izveidot ilgtspējīgu un sociāli atbildīgu pieaugušo izglītības finansējuma sistēmu.</w:t>
      </w:r>
    </w:p>
    <w:p w14:paraId="77D52E69" w14:textId="0DDB79E4" w:rsidR="00CA2D5A" w:rsidRDefault="00C24E26" w:rsidP="00C24E26">
      <w:pPr>
        <w:jc w:val="both"/>
        <w:rPr>
          <w:rFonts w:eastAsia="Times New Roman"/>
          <w:szCs w:val="20"/>
          <w:lang w:eastAsia="lv-LV"/>
        </w:rPr>
      </w:pPr>
      <w:r>
        <w:rPr>
          <w:rFonts w:eastAsia="Times New Roman"/>
          <w:szCs w:val="20"/>
          <w:lang w:eastAsia="lv-LV"/>
        </w:rPr>
        <w:br/>
      </w:r>
      <w:r w:rsidR="00CA2D5A">
        <w:rPr>
          <w:rFonts w:eastAsia="Times New Roman"/>
          <w:szCs w:val="20"/>
          <w:lang w:eastAsia="lv-LV"/>
        </w:rPr>
        <w:t xml:space="preserve">Lai sasniegtu pamatnostādnēs noteiktos mērķus, izstrādāts </w:t>
      </w:r>
      <w:r w:rsidR="00CA2D5A">
        <w:rPr>
          <w:rFonts w:eastAsia="Times New Roman"/>
          <w:i/>
          <w:iCs/>
          <w:szCs w:val="20"/>
          <w:lang w:eastAsia="lv-LV"/>
        </w:rPr>
        <w:t>Rīcības plāna 2021.-2023.</w:t>
      </w:r>
      <w:r w:rsidR="00F32036">
        <w:rPr>
          <w:rFonts w:eastAsia="Times New Roman"/>
          <w:i/>
          <w:iCs/>
          <w:szCs w:val="20"/>
          <w:lang w:eastAsia="lv-LV"/>
        </w:rPr>
        <w:t> </w:t>
      </w:r>
      <w:r w:rsidR="00CA2D5A">
        <w:rPr>
          <w:rFonts w:eastAsia="Times New Roman"/>
          <w:i/>
          <w:iCs/>
          <w:szCs w:val="20"/>
          <w:lang w:eastAsia="lv-LV"/>
        </w:rPr>
        <w:t>gadam</w:t>
      </w:r>
      <w:r w:rsidR="00CA2D5A">
        <w:rPr>
          <w:rFonts w:eastAsia="Times New Roman"/>
          <w:szCs w:val="20"/>
          <w:lang w:eastAsia="lv-LV"/>
        </w:rPr>
        <w:t xml:space="preserve"> projekts, kuru 2022.</w:t>
      </w:r>
      <w:r w:rsidR="00F32036">
        <w:rPr>
          <w:rFonts w:eastAsia="Times New Roman"/>
          <w:szCs w:val="20"/>
          <w:lang w:eastAsia="lv-LV"/>
        </w:rPr>
        <w:t> </w:t>
      </w:r>
      <w:r w:rsidR="00CA2D5A">
        <w:rPr>
          <w:rFonts w:eastAsia="Times New Roman"/>
          <w:szCs w:val="20"/>
          <w:lang w:eastAsia="lv-LV"/>
        </w:rPr>
        <w:t xml:space="preserve">gada maijā plānots apstiprināt MK. Plāna īstenošanas trīs gados paredzēts īstenot darbības, kas saistītas ar esošo sistēmu, procesu un pieeju </w:t>
      </w:r>
      <w:proofErr w:type="spellStart"/>
      <w:r w:rsidR="00CA2D5A">
        <w:rPr>
          <w:rFonts w:eastAsia="Times New Roman"/>
          <w:szCs w:val="20"/>
          <w:lang w:eastAsia="lv-LV"/>
        </w:rPr>
        <w:t>izvērtējumu</w:t>
      </w:r>
      <w:proofErr w:type="spellEnd"/>
      <w:r w:rsidR="00CA2D5A">
        <w:rPr>
          <w:rFonts w:eastAsia="Times New Roman"/>
          <w:szCs w:val="20"/>
          <w:lang w:eastAsia="lv-LV"/>
        </w:rPr>
        <w:t xml:space="preserve">; jaunu un pilnveidotu risinājumu, rīku un metožu izstrādi (konceptuāls redzējums); normatīvās bāzes pilnveidi vai jauna regulējuma sagatavošanu; vadlīniju, kritēriju un metodiku izstrādi; dažāda veida informatīvu, konsultatīvu un metodisku atbalstu plašam iesaistīto pušu lokam (personāls, izglītojamie, vadītāji, partneri), aktuālo prasmju (t.sk. digitālo) attīstīšanu un nostiprināšanu dažādām </w:t>
      </w:r>
      <w:r w:rsidR="00CA2D5A">
        <w:rPr>
          <w:rFonts w:eastAsia="Times New Roman"/>
          <w:szCs w:val="20"/>
          <w:lang w:eastAsia="lv-LV"/>
        </w:rPr>
        <w:lastRenderedPageBreak/>
        <w:t xml:space="preserve">mērķa grupām (pedagogiem, akadēmiskajam personālam, izglītojamajiem) sadarbību un partnerību veidošanu, pieredzes apmaiņu un zināšanu pārnesi, mācību vides un infrastruktūras uzlabošanu, datu un informācijas (sistēmu) pārvaldību, kā arī institucionālo un cilvēkresursu pārvaldību. </w:t>
      </w:r>
    </w:p>
    <w:p w14:paraId="486269E1" w14:textId="0748EA71" w:rsidR="00CA2D5A" w:rsidRPr="00A81E28" w:rsidRDefault="00CA2D5A" w:rsidP="00C24E26">
      <w:pPr>
        <w:jc w:val="both"/>
        <w:rPr>
          <w:rFonts w:eastAsia="Times New Roman"/>
          <w:bCs/>
          <w:szCs w:val="20"/>
          <w:lang w:eastAsia="lv-LV"/>
        </w:rPr>
      </w:pPr>
      <w:r w:rsidRPr="7A74AD50">
        <w:rPr>
          <w:rFonts w:eastAsia="Times New Roman"/>
          <w:b/>
          <w:lang w:eastAsia="lv-LV"/>
        </w:rPr>
        <w:t xml:space="preserve">Aktīvās darba tirgus politikas (ADTP) pasākumu pilnveide un attīstība. </w:t>
      </w:r>
      <w:r w:rsidRPr="7A74AD50">
        <w:rPr>
          <w:rFonts w:eastAsia="Times New Roman"/>
          <w:lang w:eastAsia="lv-LV"/>
        </w:rPr>
        <w:t>2022.</w:t>
      </w:r>
      <w:r w:rsidR="00F32036" w:rsidRPr="7A74AD50">
        <w:rPr>
          <w:rFonts w:eastAsia="Times New Roman"/>
          <w:lang w:eastAsia="lv-LV"/>
        </w:rPr>
        <w:t> </w:t>
      </w:r>
      <w:r w:rsidRPr="7A74AD50">
        <w:rPr>
          <w:rFonts w:eastAsia="Times New Roman"/>
          <w:lang w:eastAsia="lv-LV"/>
        </w:rPr>
        <w:t xml:space="preserve">gada septembrī MK apstiprināja </w:t>
      </w:r>
      <w:r w:rsidRPr="7A74AD50">
        <w:rPr>
          <w:rFonts w:eastAsia="Times New Roman"/>
          <w:i/>
          <w:lang w:eastAsia="lv-LV"/>
        </w:rPr>
        <w:t>Sociālās aizsardzības un darba tirgus politikas pamatnostādnes 2021.-2027.</w:t>
      </w:r>
      <w:r w:rsidR="00F32036" w:rsidRPr="7A74AD50">
        <w:rPr>
          <w:rFonts w:eastAsia="Times New Roman"/>
          <w:i/>
          <w:lang w:eastAsia="lv-LV"/>
        </w:rPr>
        <w:t> </w:t>
      </w:r>
      <w:r w:rsidRPr="7A74AD50">
        <w:rPr>
          <w:rFonts w:eastAsia="Times New Roman"/>
          <w:i/>
          <w:lang w:eastAsia="lv-LV"/>
        </w:rPr>
        <w:t>gadam</w:t>
      </w:r>
      <w:r w:rsidRPr="7A74AD50">
        <w:rPr>
          <w:rStyle w:val="FootnoteReference"/>
          <w:rFonts w:eastAsia="Times New Roman"/>
          <w:lang w:eastAsia="lv-LV"/>
        </w:rPr>
        <w:footnoteReference w:id="26"/>
      </w:r>
      <w:r w:rsidRPr="7A74AD50">
        <w:rPr>
          <w:rFonts w:eastAsia="Times New Roman"/>
          <w:lang w:eastAsia="lv-LV"/>
        </w:rPr>
        <w:t>. ADTP vidējā termiņa mērķis ir izveidot iekļaujošu darba tirgu ikvienam un rūpēties par esošo darba vietu kvalitāti, tādējādi atbalstot ilgtermiņa līdzdalību darba tirgū. Līdz 2027.</w:t>
      </w:r>
      <w:r w:rsidR="00F32036" w:rsidRPr="7A74AD50">
        <w:rPr>
          <w:rFonts w:eastAsia="Times New Roman"/>
          <w:lang w:eastAsia="lv-LV"/>
        </w:rPr>
        <w:t> </w:t>
      </w:r>
      <w:r w:rsidRPr="7A74AD50">
        <w:rPr>
          <w:rFonts w:eastAsia="Times New Roman"/>
          <w:lang w:eastAsia="lv-LV"/>
        </w:rPr>
        <w:t>gadam plānots:</w:t>
      </w:r>
    </w:p>
    <w:p w14:paraId="0284C0C6" w14:textId="77777777" w:rsidR="00CA2D5A" w:rsidRPr="00F32036" w:rsidRDefault="00CA2D5A" w:rsidP="00A81E28">
      <w:pPr>
        <w:pStyle w:val="ListParagraph"/>
        <w:numPr>
          <w:ilvl w:val="0"/>
          <w:numId w:val="15"/>
        </w:numPr>
        <w:spacing w:after="120"/>
        <w:ind w:left="357" w:hanging="357"/>
        <w:contextualSpacing w:val="0"/>
        <w:jc w:val="both"/>
        <w:rPr>
          <w:rFonts w:eastAsia="Times New Roman"/>
          <w:bCs/>
          <w:szCs w:val="20"/>
          <w:lang w:eastAsia="lv-LV"/>
        </w:rPr>
      </w:pPr>
      <w:r w:rsidRPr="00F32036">
        <w:rPr>
          <w:rFonts w:eastAsia="Times New Roman"/>
          <w:bCs/>
          <w:szCs w:val="20"/>
          <w:lang w:eastAsia="lv-LV"/>
        </w:rPr>
        <w:t>sasniegt 80% nodarbinātības līmeni iedzīvotājiem vecuma grupā no 20-64 gadiem;</w:t>
      </w:r>
    </w:p>
    <w:p w14:paraId="39E40BDA" w14:textId="77777777" w:rsidR="00CA2D5A" w:rsidRPr="00F32036" w:rsidRDefault="00CA2D5A" w:rsidP="00A81E28">
      <w:pPr>
        <w:pStyle w:val="ListParagraph"/>
        <w:numPr>
          <w:ilvl w:val="0"/>
          <w:numId w:val="15"/>
        </w:numPr>
        <w:spacing w:after="120"/>
        <w:ind w:left="357" w:hanging="357"/>
        <w:contextualSpacing w:val="0"/>
        <w:jc w:val="both"/>
        <w:rPr>
          <w:rFonts w:eastAsia="Times New Roman"/>
          <w:bCs/>
          <w:szCs w:val="20"/>
          <w:lang w:eastAsia="lv-LV"/>
        </w:rPr>
      </w:pPr>
      <w:r w:rsidRPr="00F32036">
        <w:rPr>
          <w:rFonts w:eastAsia="Times New Roman"/>
          <w:bCs/>
          <w:szCs w:val="20"/>
          <w:lang w:eastAsia="lv-LV"/>
        </w:rPr>
        <w:t>sasniegt 50% nodarbinātības līmeni personām ar invaliditāti vecuma grupā no 20-64 gadiem;</w:t>
      </w:r>
    </w:p>
    <w:p w14:paraId="6EE80AEE" w14:textId="76AA8D0D" w:rsidR="00103B84" w:rsidRPr="00542D37" w:rsidRDefault="00CA2D5A" w:rsidP="00CA2D5A">
      <w:pPr>
        <w:pStyle w:val="ListParagraph"/>
        <w:numPr>
          <w:ilvl w:val="0"/>
          <w:numId w:val="15"/>
        </w:numPr>
        <w:spacing w:after="120"/>
        <w:jc w:val="both"/>
        <w:rPr>
          <w:rFonts w:eastAsia="Times New Roman"/>
          <w:bCs/>
          <w:szCs w:val="20"/>
          <w:lang w:eastAsia="lv-LV"/>
        </w:rPr>
      </w:pPr>
      <w:r w:rsidRPr="00F32036">
        <w:rPr>
          <w:rFonts w:eastAsia="Times New Roman"/>
          <w:bCs/>
          <w:szCs w:val="20"/>
          <w:lang w:eastAsia="lv-LV"/>
        </w:rPr>
        <w:t>samazināt ilgstošo reģistrēto bezdarbnieku īpatsvaru līdz 15%.</w:t>
      </w:r>
    </w:p>
    <w:p w14:paraId="3DEF1F12" w14:textId="37DFD939" w:rsidR="00CA2D5A" w:rsidRPr="001A67D5" w:rsidRDefault="00C24E26" w:rsidP="00C24E26">
      <w:pPr>
        <w:jc w:val="both"/>
        <w:rPr>
          <w:rFonts w:eastAsia="Times New Roman"/>
          <w:bCs/>
          <w:szCs w:val="20"/>
          <w:lang w:eastAsia="lv-LV"/>
        </w:rPr>
      </w:pPr>
      <w:r>
        <w:rPr>
          <w:rFonts w:eastAsia="Times New Roman"/>
          <w:bCs/>
          <w:szCs w:val="20"/>
          <w:lang w:eastAsia="lv-LV"/>
        </w:rPr>
        <w:br/>
      </w:r>
      <w:r w:rsidR="00CA2D5A">
        <w:rPr>
          <w:rFonts w:eastAsia="Times New Roman"/>
          <w:bCs/>
          <w:szCs w:val="20"/>
          <w:lang w:eastAsia="lv-LV"/>
        </w:rPr>
        <w:t xml:space="preserve">Esošo ADTP pasākumu pilnveide un attīstība tiek plānota tā, lai palīdzētu visiem darbspējīgajiem iedzīvotājiem iekļauties darba tirgū, īpašu atbalstu sniedzot nelabvēlīgākā situācijā esošajiem un augstākam bezdarba riskam pakļautajiem iedzīvotājiem (cilvēki ar zemu izglītības līmeni, ilgstošie bezdarbnieki, personas ar invaliditāti, gados vecākas personas u.c.). Iekļaujoša darba tirgus veidošana paredz savlaicīga un individuāli pielāgota atbalsta sniegšanu, </w:t>
      </w:r>
      <w:r w:rsidR="00CA2D5A" w:rsidRPr="001A67D5">
        <w:rPr>
          <w:rFonts w:eastAsia="Times New Roman"/>
          <w:bCs/>
          <w:szCs w:val="20"/>
          <w:lang w:eastAsia="lv-LV"/>
        </w:rPr>
        <w:t xml:space="preserve">lai uzlabotu nodarbinātības vai </w:t>
      </w:r>
      <w:proofErr w:type="spellStart"/>
      <w:r w:rsidR="00CA2D5A" w:rsidRPr="001A67D5">
        <w:rPr>
          <w:rFonts w:eastAsia="Times New Roman"/>
          <w:bCs/>
          <w:szCs w:val="20"/>
          <w:lang w:eastAsia="lv-LV"/>
        </w:rPr>
        <w:t>pašnodarbinātības</w:t>
      </w:r>
      <w:proofErr w:type="spellEnd"/>
      <w:r w:rsidR="00CA2D5A" w:rsidRPr="001A67D5">
        <w:rPr>
          <w:rFonts w:eastAsia="Times New Roman"/>
          <w:bCs/>
          <w:szCs w:val="20"/>
          <w:lang w:eastAsia="lv-LV"/>
        </w:rPr>
        <w:t xml:space="preserve"> izredzes, atbalstu pārejā no ekonomiskās </w:t>
      </w:r>
      <w:proofErr w:type="spellStart"/>
      <w:r w:rsidR="00CA2D5A" w:rsidRPr="001A67D5">
        <w:rPr>
          <w:rFonts w:eastAsia="Times New Roman"/>
          <w:bCs/>
          <w:szCs w:val="20"/>
          <w:lang w:eastAsia="lv-LV"/>
        </w:rPr>
        <w:t>neaktivitātes</w:t>
      </w:r>
      <w:proofErr w:type="spellEnd"/>
      <w:r w:rsidR="00CA2D5A" w:rsidRPr="001A67D5">
        <w:rPr>
          <w:rFonts w:eastAsia="Times New Roman"/>
          <w:bCs/>
          <w:szCs w:val="20"/>
          <w:lang w:eastAsia="lv-LV"/>
        </w:rPr>
        <w:t xml:space="preserve"> uz nodarbinātību un starp dažādām profesijām un nozarēm, kvalitatīvu un drošu darba vietu attīstību, nodarbināto nabadzības riska novēršanu, iespēju radīšanu </w:t>
      </w:r>
      <w:proofErr w:type="spellStart"/>
      <w:r w:rsidR="00CA2D5A" w:rsidRPr="001A67D5">
        <w:rPr>
          <w:rFonts w:eastAsia="Times New Roman"/>
          <w:bCs/>
          <w:szCs w:val="20"/>
          <w:lang w:eastAsia="lv-LV"/>
        </w:rPr>
        <w:t>pārkvalifikācijai</w:t>
      </w:r>
      <w:proofErr w:type="spellEnd"/>
      <w:r w:rsidR="00CA2D5A" w:rsidRPr="001A67D5">
        <w:rPr>
          <w:rFonts w:eastAsia="Times New Roman"/>
          <w:bCs/>
          <w:szCs w:val="20"/>
          <w:lang w:eastAsia="lv-LV"/>
        </w:rPr>
        <w:t xml:space="preserve"> un izglītībai visa darba mūža garumā.</w:t>
      </w:r>
    </w:p>
    <w:p w14:paraId="28DBE985" w14:textId="219D3ECB" w:rsidR="00A81E28" w:rsidRPr="001A67D5" w:rsidRDefault="00C24E26" w:rsidP="00C24E26">
      <w:pPr>
        <w:jc w:val="both"/>
        <w:rPr>
          <w:rFonts w:eastAsiaTheme="minorHAnsi"/>
          <w:szCs w:val="20"/>
          <w:lang w:eastAsia="lv-LV"/>
        </w:rPr>
      </w:pPr>
      <w:r>
        <w:rPr>
          <w:b/>
          <w:bCs/>
          <w:szCs w:val="20"/>
          <w:lang w:eastAsia="lv-LV"/>
        </w:rPr>
        <w:br/>
      </w:r>
      <w:r w:rsidR="00A81E28" w:rsidRPr="001A67D5">
        <w:rPr>
          <w:b/>
          <w:bCs/>
          <w:szCs w:val="20"/>
          <w:lang w:eastAsia="lv-LV"/>
        </w:rPr>
        <w:t xml:space="preserve">Darbaspēka iekšējās mobilitātes veicināšana. </w:t>
      </w:r>
      <w:r w:rsidR="00A81E28" w:rsidRPr="001A67D5">
        <w:rPr>
          <w:szCs w:val="20"/>
          <w:lang w:eastAsia="lv-LV"/>
        </w:rPr>
        <w:t xml:space="preserve">Lai mazinātu darba tirgus reģionālās atšķirības un palielinātu iedzīvotāju iesaisti nodarbinātībā, kā arī palielināt reģionu iespējas reaģēt uz pieaugošām darbaspēka vajadzībām un uzņemt nepieciešamos </w:t>
      </w:r>
      <w:r w:rsidR="00A81E28" w:rsidRPr="000C591A">
        <w:rPr>
          <w:szCs w:val="20"/>
          <w:lang w:eastAsia="lv-LV"/>
        </w:rPr>
        <w:t>darbinieku</w:t>
      </w:r>
      <w:r w:rsidR="00A74632" w:rsidRPr="000C591A">
        <w:rPr>
          <w:szCs w:val="20"/>
          <w:lang w:eastAsia="lv-LV"/>
        </w:rPr>
        <w:t>s</w:t>
      </w:r>
      <w:r w:rsidR="00A81E28" w:rsidRPr="001A67D5">
        <w:rPr>
          <w:szCs w:val="20"/>
          <w:lang w:eastAsia="lv-LV"/>
        </w:rPr>
        <w:t>, īstenoti vairāki pasākumi darbaspēka iekšējās mobilitātes veicināšanai:</w:t>
      </w:r>
    </w:p>
    <w:p w14:paraId="179A5CF9" w14:textId="45503F70" w:rsidR="00A81E28" w:rsidRPr="001A67D5" w:rsidRDefault="00A81E28" w:rsidP="00A81E28">
      <w:pPr>
        <w:pStyle w:val="ListParagraph"/>
        <w:numPr>
          <w:ilvl w:val="0"/>
          <w:numId w:val="16"/>
        </w:numPr>
        <w:spacing w:after="120" w:line="252" w:lineRule="auto"/>
        <w:jc w:val="both"/>
        <w:rPr>
          <w:rFonts w:eastAsia="Times New Roman"/>
          <w:szCs w:val="20"/>
          <w:lang w:eastAsia="lv-LV"/>
        </w:rPr>
      </w:pPr>
      <w:r w:rsidRPr="001A67D5">
        <w:rPr>
          <w:rFonts w:eastAsia="Times New Roman"/>
          <w:b/>
          <w:bCs/>
          <w:i/>
          <w:iCs/>
          <w:szCs w:val="20"/>
          <w:lang w:eastAsia="lv-LV"/>
        </w:rPr>
        <w:t>Īres mājokļa pieejamības veicināšana reģionos.</w:t>
      </w:r>
      <w:r w:rsidRPr="001A67D5">
        <w:rPr>
          <w:rFonts w:eastAsia="Times New Roman"/>
          <w:b/>
          <w:bCs/>
          <w:szCs w:val="20"/>
          <w:lang w:eastAsia="lv-LV"/>
        </w:rPr>
        <w:t xml:space="preserve"> </w:t>
      </w:r>
      <w:r w:rsidRPr="001A67D5">
        <w:rPr>
          <w:rFonts w:eastAsia="Times New Roman"/>
          <w:szCs w:val="20"/>
          <w:lang w:eastAsia="lv-LV"/>
        </w:rPr>
        <w:t xml:space="preserve">Darbaspēka pieejamību reģionos ar lielāku ekonomisko aktivitāti kavē kvalitatīvu un iedzīvotāju maksātspējai atbilstošu mājokļu trūkums. Sadarbības projekta ietvaros ar OECD, 2020.gadā ir izstrādāti priekšlikumi efektīviem atbalsta instrumentiem mājokļu pieejamības nodrošināšanai Latvijā. EM ir izstrādājusi atbalsta programmu zemas īres maksas mājokļu būvniecībai Latvijas reģionos, un tam ir pieejams ANM finansējums 42,9 milj. </w:t>
      </w:r>
      <w:proofErr w:type="spellStart"/>
      <w:r w:rsidRPr="001A67D5">
        <w:rPr>
          <w:rFonts w:eastAsia="Times New Roman"/>
          <w:i/>
          <w:iCs/>
          <w:szCs w:val="20"/>
          <w:lang w:eastAsia="lv-LV"/>
        </w:rPr>
        <w:t>euro</w:t>
      </w:r>
      <w:proofErr w:type="spellEnd"/>
      <w:r w:rsidRPr="001A67D5">
        <w:rPr>
          <w:rFonts w:eastAsia="Times New Roman"/>
          <w:szCs w:val="20"/>
          <w:lang w:eastAsia="lv-LV"/>
        </w:rPr>
        <w:t xml:space="preserve">. Par šo finansējumu paredzēts uzbūvēt 700 zemas īres maksas dzīvokļu, kas būs pieejami mājsaimniecībām, kas ir pārāk turīgas, lai saņemtu pabalstus mājokļu jautājumu risināšanai, bet vienlaikus nav tik turīgas, lai varētu atļauties hipotekāros kredītus (t.s. neatbalstītais vidusslānis). Atbalsts nekustamā īpašuma attīstītājiem mājokļu būvniecībai tiks sniegts aizdevuma un kapitāla atlaides veidā, un atbalsta sniedzējs būs AS </w:t>
      </w:r>
      <w:r w:rsidRPr="001A67D5">
        <w:rPr>
          <w:rFonts w:eastAsia="Times New Roman"/>
          <w:i/>
          <w:iCs/>
          <w:szCs w:val="20"/>
          <w:lang w:eastAsia="lv-LV"/>
        </w:rPr>
        <w:t xml:space="preserve">"Attīstības finanšu institūcija </w:t>
      </w:r>
      <w:proofErr w:type="spellStart"/>
      <w:r w:rsidRPr="001A67D5">
        <w:rPr>
          <w:rFonts w:eastAsia="Times New Roman"/>
          <w:i/>
          <w:iCs/>
          <w:szCs w:val="20"/>
          <w:lang w:eastAsia="lv-LV"/>
        </w:rPr>
        <w:t>Altum</w:t>
      </w:r>
      <w:proofErr w:type="spellEnd"/>
      <w:r w:rsidRPr="001A67D5">
        <w:rPr>
          <w:rFonts w:eastAsia="Times New Roman"/>
          <w:szCs w:val="20"/>
          <w:lang w:eastAsia="lv-LV"/>
        </w:rPr>
        <w:t>". Paredzēts, ka programmas īstenošana tiks uzsākta 2022. gada vasarā.</w:t>
      </w:r>
    </w:p>
    <w:p w14:paraId="17ED8524" w14:textId="06589F03" w:rsidR="00A81E28" w:rsidRDefault="00A81E28" w:rsidP="00A81E28">
      <w:pPr>
        <w:spacing w:after="120"/>
        <w:ind w:left="360"/>
        <w:jc w:val="both"/>
        <w:rPr>
          <w:rFonts w:eastAsiaTheme="minorHAnsi"/>
          <w:szCs w:val="20"/>
          <w:lang w:eastAsia="lv-LV"/>
        </w:rPr>
      </w:pPr>
      <w:r w:rsidRPr="001A67D5">
        <w:rPr>
          <w:szCs w:val="20"/>
          <w:lang w:eastAsia="lv-LV"/>
        </w:rPr>
        <w:t xml:space="preserve">Papildus EM, izmantojot EK tehniskā atbalsta instrumentu, ir uzsākusi sadarbības projektu ar OECD, lai padziļināti izpētītu ārvalstu praksi un iespējas Latvijā ieviest </w:t>
      </w:r>
      <w:r w:rsidRPr="001A67D5">
        <w:rPr>
          <w:i/>
          <w:iCs/>
          <w:szCs w:val="20"/>
          <w:lang w:eastAsia="lv-LV"/>
        </w:rPr>
        <w:t>ilgtermiņa mājokļu pieejamības fondu – finanšu apgrozības fondu</w:t>
      </w:r>
      <w:r w:rsidRPr="001A67D5">
        <w:rPr>
          <w:szCs w:val="20"/>
          <w:lang w:eastAsia="lv-LV"/>
        </w:rPr>
        <w:t xml:space="preserve"> (</w:t>
      </w:r>
      <w:proofErr w:type="spellStart"/>
      <w:r w:rsidRPr="001A67D5">
        <w:rPr>
          <w:i/>
          <w:iCs/>
          <w:szCs w:val="20"/>
          <w:lang w:eastAsia="lv-LV"/>
        </w:rPr>
        <w:t>revolving</w:t>
      </w:r>
      <w:proofErr w:type="spellEnd"/>
      <w:r w:rsidRPr="001A67D5">
        <w:rPr>
          <w:i/>
          <w:iCs/>
          <w:szCs w:val="20"/>
          <w:lang w:eastAsia="lv-LV"/>
        </w:rPr>
        <w:t xml:space="preserve"> </w:t>
      </w:r>
      <w:proofErr w:type="spellStart"/>
      <w:r w:rsidRPr="001A67D5">
        <w:rPr>
          <w:i/>
          <w:iCs/>
          <w:szCs w:val="20"/>
          <w:lang w:eastAsia="lv-LV"/>
        </w:rPr>
        <w:t>fund</w:t>
      </w:r>
      <w:proofErr w:type="spellEnd"/>
      <w:r w:rsidRPr="001A67D5">
        <w:rPr>
          <w:szCs w:val="20"/>
          <w:lang w:eastAsia="lv-LV"/>
        </w:rPr>
        <w:t>), tam nepieciešamajam tiesiskajam regulējumam, finansēšanas iespējām, kā arī fonda pārvaldības modelim. Projekts ilgs līdz 2023. gada pavasarim</w:t>
      </w:r>
      <w:r>
        <w:rPr>
          <w:szCs w:val="20"/>
          <w:lang w:eastAsia="lv-LV"/>
        </w:rPr>
        <w:t>.</w:t>
      </w:r>
    </w:p>
    <w:p w14:paraId="0E1970E6" w14:textId="77777777" w:rsidR="00A81E28" w:rsidRDefault="00A81E28" w:rsidP="00A81E28">
      <w:pPr>
        <w:pStyle w:val="ListParagraph"/>
        <w:numPr>
          <w:ilvl w:val="0"/>
          <w:numId w:val="16"/>
        </w:numPr>
        <w:spacing w:after="120" w:line="252" w:lineRule="auto"/>
        <w:ind w:left="357" w:hanging="357"/>
        <w:contextualSpacing w:val="0"/>
        <w:jc w:val="both"/>
        <w:rPr>
          <w:rFonts w:eastAsia="Times New Roman"/>
          <w:szCs w:val="20"/>
        </w:rPr>
      </w:pPr>
      <w:r w:rsidRPr="00D209BD">
        <w:rPr>
          <w:rFonts w:eastAsia="Times New Roman"/>
          <w:b/>
          <w:bCs/>
          <w:i/>
          <w:iCs/>
          <w:szCs w:val="20"/>
        </w:rPr>
        <w:t>Mājokļu atbalsta programmas īstenošana</w:t>
      </w:r>
      <w:r>
        <w:rPr>
          <w:rFonts w:eastAsia="Times New Roman"/>
          <w:b/>
          <w:bCs/>
          <w:szCs w:val="20"/>
        </w:rPr>
        <w:t xml:space="preserve">. </w:t>
      </w:r>
      <w:r>
        <w:rPr>
          <w:rFonts w:eastAsia="Times New Roman"/>
          <w:szCs w:val="20"/>
        </w:rPr>
        <w:t xml:space="preserve">Kvalificēta darbaspēka piesaisti reģioniem veicina arī kopš 2018. gada 1. marta augstas kvalifikācijas speciālistiem (vecumā līdz 35 gadiem,  kas ieguvušas augstāko vai profesionālo izglītību) pieejamais valsts atbalsts mājokļa iegādei. Jaunie speciālisti, kuriem ir pastāvīgi ienākumi, bet nav pietiekamu uzkrājumu pirmās iemaksas veikšanai, var saņemt garantiju mājokļa iegādei vai būvniecībai 20% apmērā no aizdevuma summas, kas nepārsniedz 50 tūkst. </w:t>
      </w:r>
      <w:proofErr w:type="spellStart"/>
      <w:r>
        <w:rPr>
          <w:rFonts w:eastAsia="Times New Roman"/>
          <w:i/>
          <w:iCs/>
          <w:szCs w:val="20"/>
        </w:rPr>
        <w:t>euro</w:t>
      </w:r>
      <w:proofErr w:type="spellEnd"/>
      <w:r>
        <w:rPr>
          <w:rFonts w:eastAsia="Times New Roman"/>
          <w:szCs w:val="20"/>
        </w:rPr>
        <w:t xml:space="preserve">. </w:t>
      </w:r>
      <w:bookmarkStart w:id="84" w:name="_Hlk103850894"/>
      <w:r>
        <w:rPr>
          <w:rFonts w:eastAsia="Times New Roman"/>
          <w:szCs w:val="20"/>
        </w:rPr>
        <w:t xml:space="preserve">Jaunajiem speciālistiem līdz 2022. gada maijam piešķirtas vairāk kā 4 300 garantijas un kopējais piešķirtais garantiju apjoms – 35 milj. </w:t>
      </w:r>
      <w:proofErr w:type="spellStart"/>
      <w:r>
        <w:rPr>
          <w:rFonts w:eastAsia="Times New Roman"/>
          <w:i/>
          <w:iCs/>
          <w:szCs w:val="20"/>
        </w:rPr>
        <w:t>euro</w:t>
      </w:r>
      <w:proofErr w:type="spellEnd"/>
      <w:r>
        <w:rPr>
          <w:rFonts w:eastAsia="Times New Roman"/>
          <w:szCs w:val="20"/>
        </w:rPr>
        <w:t>.</w:t>
      </w:r>
      <w:bookmarkEnd w:id="84"/>
    </w:p>
    <w:p w14:paraId="57AD4792" w14:textId="63049090" w:rsidR="00CA2D5A" w:rsidRDefault="00CA2D5A" w:rsidP="002338E7">
      <w:pPr>
        <w:pStyle w:val="ListParagraph"/>
        <w:numPr>
          <w:ilvl w:val="0"/>
          <w:numId w:val="16"/>
        </w:numPr>
        <w:spacing w:after="120"/>
        <w:jc w:val="both"/>
      </w:pPr>
      <w:r w:rsidRPr="00D209BD">
        <w:rPr>
          <w:b/>
          <w:i/>
          <w:iCs/>
        </w:rPr>
        <w:t>Mobilitātes atbalsts ADTP pasākumu ietvaros</w:t>
      </w:r>
      <w:r>
        <w:t xml:space="preserve">. Lai veicinātu darba vai apmācību piedāvājuma pieņemšanu ārpus deklarētās dzīvesvietas, NVA īstenoto pasākumu ietvaros dalībniekiem pēc pieprasījuma tiek segti transporta un dzīvojamās telpas īres izdevumi uzsākot jaunās darba tiesiskās attiecības (pirmajos četros mēnešos) vai uzsākot mācībās (visā mācību īstenošanas periodā). Finanšu atlīdzību izmaksā par katru darba tiesisko attiecību mēnesi, nepārsniedzot 150 </w:t>
      </w:r>
      <w:proofErr w:type="spellStart"/>
      <w:r w:rsidRPr="00F32036">
        <w:rPr>
          <w:i/>
          <w:iCs/>
        </w:rPr>
        <w:t>euro</w:t>
      </w:r>
      <w:proofErr w:type="spellEnd"/>
      <w:r>
        <w:t xml:space="preserve"> mēnesī dzīvojamās telpas īres izmaksu segšanai vai 7 </w:t>
      </w:r>
      <w:proofErr w:type="spellStart"/>
      <w:r w:rsidRPr="00F32036">
        <w:rPr>
          <w:i/>
          <w:iCs/>
        </w:rPr>
        <w:t>euro</w:t>
      </w:r>
      <w:proofErr w:type="spellEnd"/>
      <w:r>
        <w:t xml:space="preserve"> dienā transporta izdevumu segšanai. 2021.</w:t>
      </w:r>
      <w:r w:rsidR="00F32036">
        <w:t> </w:t>
      </w:r>
      <w:r>
        <w:t xml:space="preserve">gadā reģionālās mobilitātes atbalsts tika sniegts 1 628 NVA </w:t>
      </w:r>
      <w:r>
        <w:lastRenderedPageBreak/>
        <w:t>klientiem (2019.</w:t>
      </w:r>
      <w:r w:rsidR="00F32036">
        <w:t> </w:t>
      </w:r>
      <w:r>
        <w:t>gadā – 3 864), bet jāņem vērā, ka daudzi pasākumi tika īstenoti attālināti, līdz ar to C</w:t>
      </w:r>
      <w:r w:rsidR="00F32036">
        <w:t>ovid</w:t>
      </w:r>
      <w:r>
        <w:t>-19 pandēmijas gados saņēmēju skaits būtiski samazinājās.</w:t>
      </w:r>
    </w:p>
    <w:p w14:paraId="2D9F9FA8" w14:textId="287EB87B" w:rsidR="00CA2D5A" w:rsidRDefault="00C24E26" w:rsidP="00C24E26">
      <w:pPr>
        <w:jc w:val="both"/>
        <w:rPr>
          <w:rFonts w:eastAsia="Times New Roman"/>
          <w:szCs w:val="20"/>
          <w:lang w:eastAsia="lv-LV"/>
        </w:rPr>
      </w:pPr>
      <w:r>
        <w:rPr>
          <w:rFonts w:eastAsia="Times New Roman"/>
          <w:b/>
          <w:bCs/>
          <w:szCs w:val="20"/>
          <w:lang w:eastAsia="lv-LV"/>
        </w:rPr>
        <w:br/>
      </w:r>
      <w:r w:rsidR="00CA2D5A">
        <w:rPr>
          <w:rFonts w:eastAsia="Times New Roman"/>
          <w:b/>
          <w:bCs/>
          <w:szCs w:val="20"/>
          <w:lang w:eastAsia="lv-LV"/>
        </w:rPr>
        <w:t>Nodarbinātības padome</w:t>
      </w:r>
      <w:r w:rsidR="00CA2D5A">
        <w:rPr>
          <w:rFonts w:eastAsia="Times New Roman"/>
          <w:szCs w:val="20"/>
          <w:lang w:eastAsia="lv-LV"/>
        </w:rPr>
        <w:t xml:space="preserve"> darbojas kopš 2016.</w:t>
      </w:r>
      <w:r w:rsidR="00F32036">
        <w:rPr>
          <w:rFonts w:eastAsia="Times New Roman"/>
          <w:szCs w:val="20"/>
          <w:lang w:eastAsia="lv-LV"/>
        </w:rPr>
        <w:t> </w:t>
      </w:r>
      <w:r w:rsidR="00CA2D5A">
        <w:rPr>
          <w:rFonts w:eastAsia="Times New Roman"/>
          <w:szCs w:val="20"/>
          <w:lang w:eastAsia="lv-LV"/>
        </w:rPr>
        <w:t xml:space="preserve">gada trīs ministru (ekonomikas, izglītības un zinātnes, un labklājības ministru) sastāvā ar mērķi īstenot stratēģisku pārraudzību un saskaņotu starpresoru sadarbību nepieciešamo darba tirgus reformu jeb pārkārtojumu plānošanā, izstrādē un ieviešanā, lai tādējādi mazinātu disproporcijas Latvijas darba tirgū. Padome ir koleģiāla neformāla ministru diskusiju platforma. Īpašu uzmanību Nodarbinātības padome ir pievērsusi jautājumiem par ieguldījumu </w:t>
      </w:r>
      <w:proofErr w:type="spellStart"/>
      <w:r w:rsidR="00CA2D5A">
        <w:rPr>
          <w:rFonts w:eastAsia="Times New Roman"/>
          <w:szCs w:val="20"/>
          <w:lang w:eastAsia="lv-LV"/>
        </w:rPr>
        <w:t>cilvēkkapitālā</w:t>
      </w:r>
      <w:proofErr w:type="spellEnd"/>
      <w:r w:rsidR="00CA2D5A">
        <w:rPr>
          <w:rFonts w:eastAsia="Times New Roman"/>
          <w:szCs w:val="20"/>
          <w:lang w:eastAsia="lv-LV"/>
        </w:rPr>
        <w:t xml:space="preserve"> un darbaspēka (īpaši mazkvalificētā darbaspēka) prasmju attīstībai.</w:t>
      </w:r>
    </w:p>
    <w:p w14:paraId="5FBCADEC" w14:textId="77777777" w:rsidR="00CA2D5A" w:rsidRDefault="00CA2D5A" w:rsidP="00CA2D5A">
      <w:pPr>
        <w:spacing w:after="120"/>
        <w:jc w:val="both"/>
        <w:rPr>
          <w:rFonts w:eastAsia="Times New Roman"/>
          <w:szCs w:val="20"/>
          <w:lang w:eastAsia="lv-LV"/>
        </w:rPr>
      </w:pPr>
    </w:p>
    <w:p w14:paraId="646911EC" w14:textId="77777777" w:rsidR="00CA2D5A" w:rsidRPr="00F32036" w:rsidRDefault="00CA2D5A" w:rsidP="00F32036">
      <w:pPr>
        <w:pStyle w:val="Heading2"/>
        <w:rPr>
          <w:color w:val="000000" w:themeColor="text1"/>
        </w:rPr>
      </w:pPr>
      <w:bookmarkStart w:id="85" w:name="_Toc40208732"/>
      <w:bookmarkStart w:id="86" w:name="_Toc517876446"/>
      <w:bookmarkStart w:id="87" w:name="_Toc41981845"/>
      <w:bookmarkStart w:id="88" w:name="_Toc106366808"/>
      <w:bookmarkStart w:id="89" w:name="_Hlk103329530"/>
      <w:r w:rsidRPr="00F32036">
        <w:rPr>
          <w:color w:val="000000" w:themeColor="text1"/>
        </w:rPr>
        <w:t xml:space="preserve">4.1. </w:t>
      </w:r>
      <w:bookmarkEnd w:id="85"/>
      <w:bookmarkEnd w:id="86"/>
      <w:bookmarkEnd w:id="87"/>
      <w:r w:rsidRPr="00F32036">
        <w:rPr>
          <w:color w:val="000000" w:themeColor="text1"/>
        </w:rPr>
        <w:t>Aktuālie pasākumi vispārējā izglītībā</w:t>
      </w:r>
      <w:bookmarkEnd w:id="88"/>
    </w:p>
    <w:bookmarkEnd w:id="89"/>
    <w:p w14:paraId="2DE166BF" w14:textId="77777777" w:rsidR="00CA2D5A" w:rsidRPr="002338E7" w:rsidRDefault="00CA2D5A" w:rsidP="00C24E26">
      <w:pPr>
        <w:jc w:val="both"/>
        <w:rPr>
          <w:rFonts w:cs="Calibri Light"/>
          <w:bCs/>
          <w:szCs w:val="20"/>
        </w:rPr>
      </w:pPr>
      <w:r w:rsidRPr="002338E7">
        <w:rPr>
          <w:rFonts w:cs="Calibri Light"/>
          <w:b/>
          <w:szCs w:val="20"/>
        </w:rPr>
        <w:t>Kompetencēs balstīta izglītības satura ieviešana</w:t>
      </w:r>
      <w:r w:rsidRPr="002338E7">
        <w:rPr>
          <w:rFonts w:cs="Calibri Light"/>
          <w:bCs/>
          <w:szCs w:val="20"/>
        </w:rPr>
        <w:t>. Turpinās vispārējās izglītības satura reforma, pakāpeniski ieviešot kompetenču pieeju mācību saturā, kas veicina izglītības atbilstību mainīgajām darba tirgus prasībām.</w:t>
      </w:r>
      <w:r w:rsidRPr="002338E7">
        <w:rPr>
          <w:rFonts w:cs="Calibri Light"/>
        </w:rPr>
        <w:t xml:space="preserve"> </w:t>
      </w:r>
      <w:r w:rsidRPr="002338E7">
        <w:rPr>
          <w:rFonts w:cs="Calibri Light"/>
          <w:bCs/>
          <w:szCs w:val="20"/>
        </w:rPr>
        <w:t>Kopš 2019./2020. mācību gada turpinās pilnveidotā vispārējās izglītības satura ieviešana, paredzot, ka 2022./2023.mācību gada beigās tiks kārtoti valsts pārbaudes darbi pamatizglītībā un vispārējā vidējā izglītībā atbilstoši jaunā vispārējās izglītības standarta prasībām.</w:t>
      </w:r>
      <w:r w:rsidRPr="002338E7">
        <w:rPr>
          <w:rFonts w:cs="Calibri Light"/>
        </w:rPr>
        <w:t xml:space="preserve"> </w:t>
      </w:r>
      <w:r w:rsidRPr="002338E7">
        <w:rPr>
          <w:rFonts w:cs="Calibri Light"/>
          <w:bCs/>
          <w:szCs w:val="20"/>
        </w:rPr>
        <w:t>Vidējās izglītības satura apguve paredzēta ne tikai optimālajā līmenī, bet arī izvēles mācību priekšmetos un kursos – padziļināti augstākajā līmenī, veicinot jauniešu mērķtiecīgāku ceļu uz augstāko izglītību.</w:t>
      </w:r>
      <w:r w:rsidRPr="002338E7">
        <w:rPr>
          <w:rFonts w:cs="Calibri Light"/>
          <w:szCs w:val="20"/>
        </w:rPr>
        <w:t xml:space="preserve"> Kompetenču pieejas ieviešanai īstenota profesionālā pilnveide pedagogiem, t.sk. pedagogiem, kas īsteno mācību procesu vidusskolas padziļinātā satura apguvei (augstākajā līmenī).</w:t>
      </w:r>
    </w:p>
    <w:p w14:paraId="3B2F8953" w14:textId="64C9C300" w:rsidR="00CA2D5A" w:rsidRDefault="00CA2D5A" w:rsidP="00C24E26">
      <w:pPr>
        <w:jc w:val="both"/>
        <w:rPr>
          <w:bCs/>
          <w:szCs w:val="20"/>
        </w:rPr>
      </w:pPr>
      <w:r>
        <w:rPr>
          <w:bCs/>
          <w:szCs w:val="20"/>
        </w:rPr>
        <w:t>Iecerēta minimālā eksāmenu rezultātu sliekšņa paaugstināšana centralizētajos eksāmenos, lai saņemtu dokumentu par vidējās izglītības iegūšanu.</w:t>
      </w:r>
      <w:r>
        <w:t xml:space="preserve"> </w:t>
      </w:r>
      <w:r>
        <w:rPr>
          <w:bCs/>
          <w:szCs w:val="20"/>
        </w:rPr>
        <w:t>Paredzēts, ka minimālā sliekšņa palielināšana notiks pakāpeniski, attiecīgi katru gadu trīs gadu laikā to palielinot par 5%: 2022./2023.</w:t>
      </w:r>
      <w:r w:rsidR="002338E7">
        <w:rPr>
          <w:bCs/>
          <w:szCs w:val="20"/>
        </w:rPr>
        <w:t> </w:t>
      </w:r>
      <w:r>
        <w:rPr>
          <w:bCs/>
          <w:szCs w:val="20"/>
        </w:rPr>
        <w:t>gada minimālais eksāmenu rezultātu slieksnis būs 10%, 2023./2024.</w:t>
      </w:r>
      <w:r w:rsidR="002338E7">
        <w:rPr>
          <w:bCs/>
          <w:szCs w:val="20"/>
        </w:rPr>
        <w:t> </w:t>
      </w:r>
      <w:r>
        <w:rPr>
          <w:bCs/>
          <w:szCs w:val="20"/>
        </w:rPr>
        <w:t>gadā – 15%, savukārt 2024./2025.</w:t>
      </w:r>
      <w:r w:rsidR="002338E7">
        <w:rPr>
          <w:bCs/>
          <w:szCs w:val="20"/>
        </w:rPr>
        <w:t> </w:t>
      </w:r>
      <w:r>
        <w:rPr>
          <w:bCs/>
          <w:szCs w:val="20"/>
        </w:rPr>
        <w:t xml:space="preserve">gadā </w:t>
      </w:r>
      <w:r w:rsidR="002338E7">
        <w:rPr>
          <w:bCs/>
          <w:szCs w:val="20"/>
        </w:rPr>
        <w:t xml:space="preserve">– </w:t>
      </w:r>
      <w:r>
        <w:rPr>
          <w:bCs/>
          <w:szCs w:val="20"/>
        </w:rPr>
        <w:t>20%.</w:t>
      </w:r>
    </w:p>
    <w:p w14:paraId="29B40A1F" w14:textId="77777777" w:rsidR="00CA2D5A" w:rsidRPr="001A67D5" w:rsidRDefault="00CA2D5A" w:rsidP="00C24E26">
      <w:pPr>
        <w:jc w:val="both"/>
        <w:rPr>
          <w:bCs/>
          <w:szCs w:val="20"/>
        </w:rPr>
      </w:pPr>
      <w:r>
        <w:rPr>
          <w:b/>
          <w:szCs w:val="20"/>
        </w:rPr>
        <w:t>STEM izglītības veicināšana</w:t>
      </w:r>
      <w:r>
        <w:rPr>
          <w:bCs/>
          <w:szCs w:val="20"/>
        </w:rPr>
        <w:t xml:space="preserve">. Valsts izglītības standartā pamatizglītībā un vidējā izglītībā mērķtiecīgi izveidoti vienoti sasniedzamie rezultāti dabaszinātņu mācību jomas priekšmetos, tādējādi ir samazināta mācību satura  sadrumstalotība, kas ļauj skolēnam saskatīt šo mācību priekšmetu savstarpējo saistību un gūt dziļāku izpratni un </w:t>
      </w:r>
      <w:r w:rsidRPr="001A67D5">
        <w:rPr>
          <w:bCs/>
          <w:szCs w:val="20"/>
        </w:rPr>
        <w:t>zināšanas STEM mācību priekšmetos. Ievērojami lielāks akcents ir likts uz pētniecību un likumsakarību apgūšanu praktiskā ceļā, kā arī tehnoloģiju izmantošanu STEM mācību priekšmetos.</w:t>
      </w:r>
    </w:p>
    <w:p w14:paraId="0E48B407" w14:textId="77777777" w:rsidR="00542D37" w:rsidRPr="001A67D5" w:rsidRDefault="00542D37" w:rsidP="00C24E26">
      <w:pPr>
        <w:jc w:val="both"/>
        <w:rPr>
          <w:rFonts w:cs="Calibri Light"/>
          <w:szCs w:val="20"/>
        </w:rPr>
      </w:pPr>
      <w:r w:rsidRPr="000C591A">
        <w:rPr>
          <w:rFonts w:cs="Calibri Light"/>
          <w:szCs w:val="20"/>
        </w:rPr>
        <w:t xml:space="preserve">ESF atbalsta ietvaros ir izstrādāts mācību saturs un mācību līdzekļu piemēri no pirmsskolas līdz vidusskolai visās mācību jomās, arī STEM. Ir izstrādāti labās prakses e-piemēri matemātikā un dabaszinātnēs.  Turpinās darbs pie digitālu mācību un metodisko līdzekļu izstrādes vidējā izglītībā. Lai veicinātu tehnoloģiju ienākšanu skolās, ir uzsāktas mācības izglītības tehnoloģiju </w:t>
      </w:r>
      <w:proofErr w:type="spellStart"/>
      <w:r w:rsidRPr="000C591A">
        <w:rPr>
          <w:rFonts w:cs="Calibri Light"/>
          <w:szCs w:val="20"/>
        </w:rPr>
        <w:t>mentoriem</w:t>
      </w:r>
      <w:proofErr w:type="spellEnd"/>
      <w:r w:rsidRPr="000C591A">
        <w:rPr>
          <w:rFonts w:cs="Calibri Light"/>
          <w:szCs w:val="20"/>
        </w:rPr>
        <w:t xml:space="preserve">, paredzot 1600 tehnoloģiju </w:t>
      </w:r>
      <w:proofErr w:type="spellStart"/>
      <w:r w:rsidRPr="000C591A">
        <w:rPr>
          <w:rFonts w:cs="Calibri Light"/>
          <w:szCs w:val="20"/>
        </w:rPr>
        <w:t>mentoru</w:t>
      </w:r>
      <w:proofErr w:type="spellEnd"/>
      <w:r w:rsidRPr="000C591A">
        <w:rPr>
          <w:rFonts w:cs="Calibri Light"/>
          <w:szCs w:val="20"/>
        </w:rPr>
        <w:t xml:space="preserve"> sagatavošanu. Ir ieviesta mācīšanās platforma </w:t>
      </w:r>
      <w:r w:rsidRPr="000C591A">
        <w:rPr>
          <w:rFonts w:cs="Calibri Light"/>
          <w:i/>
          <w:iCs/>
          <w:szCs w:val="20"/>
        </w:rPr>
        <w:t>skolo.lv</w:t>
      </w:r>
      <w:r w:rsidRPr="000C591A">
        <w:rPr>
          <w:rFonts w:cs="Calibri Light"/>
          <w:szCs w:val="20"/>
        </w:rPr>
        <w:t xml:space="preserve">, kā arī izstrādātie mācību un metodiskie līdzekļi digitālā formātā pieejami mācību resursu krātuvē </w:t>
      </w:r>
      <w:r w:rsidRPr="000C591A">
        <w:rPr>
          <w:rFonts w:cs="Calibri Light"/>
          <w:i/>
          <w:iCs/>
          <w:szCs w:val="20"/>
        </w:rPr>
        <w:t>mape.skola2030.lv</w:t>
      </w:r>
      <w:r w:rsidRPr="000C591A">
        <w:rPr>
          <w:rFonts w:cs="Calibri Light"/>
          <w:szCs w:val="20"/>
        </w:rPr>
        <w:t>.</w:t>
      </w:r>
      <w:r w:rsidRPr="001A67D5">
        <w:rPr>
          <w:rFonts w:cs="Calibri Light"/>
          <w:szCs w:val="20"/>
        </w:rPr>
        <w:t xml:space="preserve"> </w:t>
      </w:r>
    </w:p>
    <w:p w14:paraId="28E6F56A" w14:textId="45349BC5" w:rsidR="00CA2D5A" w:rsidRPr="001A67D5" w:rsidRDefault="00CA2D5A" w:rsidP="00C24E26">
      <w:pPr>
        <w:jc w:val="both"/>
        <w:rPr>
          <w:bCs/>
          <w:szCs w:val="20"/>
        </w:rPr>
      </w:pPr>
      <w:r w:rsidRPr="001A67D5">
        <w:rPr>
          <w:bCs/>
          <w:szCs w:val="20"/>
        </w:rPr>
        <w:t xml:space="preserve">Lai risinātu pedagogu trūkumu, t.sk. STEM jomās, īstermiņa risinājums ir skolotāju izglītības projekts </w:t>
      </w:r>
      <w:r w:rsidRPr="001A67D5">
        <w:rPr>
          <w:bCs/>
          <w:i/>
          <w:iCs/>
          <w:szCs w:val="20"/>
        </w:rPr>
        <w:t>“</w:t>
      </w:r>
      <w:proofErr w:type="spellStart"/>
      <w:r w:rsidRPr="001A67D5">
        <w:rPr>
          <w:bCs/>
          <w:i/>
          <w:iCs/>
          <w:szCs w:val="20"/>
        </w:rPr>
        <w:t>Mācītspēks</w:t>
      </w:r>
      <w:proofErr w:type="spellEnd"/>
      <w:r w:rsidRPr="001A67D5">
        <w:rPr>
          <w:bCs/>
          <w:i/>
          <w:iCs/>
          <w:szCs w:val="20"/>
        </w:rPr>
        <w:t>”</w:t>
      </w:r>
      <w:r w:rsidRPr="001A67D5">
        <w:rPr>
          <w:bCs/>
          <w:szCs w:val="20"/>
        </w:rPr>
        <w:t xml:space="preserve">. Projekta ietvaros skolotāja darbam tiek piesaistīti un sagatavoti cilvēki ar iepriekš iegūtu augstāko izglītību kādā konkrētā jomā, dodot iespēju viņiem ātri ienākt izglītības sistēmā. </w:t>
      </w:r>
    </w:p>
    <w:p w14:paraId="3F619962" w14:textId="389EC7FD" w:rsidR="00CA2D5A" w:rsidRPr="002338E7" w:rsidRDefault="00CA2D5A" w:rsidP="00C24E26">
      <w:pPr>
        <w:jc w:val="both"/>
        <w:rPr>
          <w:rFonts w:eastAsiaTheme="minorHAnsi" w:cs="Calibri Light"/>
          <w:szCs w:val="20"/>
        </w:rPr>
      </w:pPr>
      <w:r w:rsidRPr="001A67D5">
        <w:rPr>
          <w:rFonts w:cs="Calibri Light"/>
          <w:b/>
          <w:bCs/>
          <w:szCs w:val="20"/>
        </w:rPr>
        <w:t>Atbalsts izglītojamo individuālo kompetenču attīstībai.</w:t>
      </w:r>
      <w:r w:rsidRPr="001A67D5">
        <w:rPr>
          <w:rFonts w:cs="Calibri Light"/>
          <w:szCs w:val="20"/>
        </w:rPr>
        <w:t xml:space="preserve"> Ar ESF atbalstu īstenoti pasākumi skolēnu kompetenču attīstībai galvenokārt STEM jomā, gan sniedzot atbalstu padziļinātai mācību satura apguvei, gan</w:t>
      </w:r>
      <w:r w:rsidRPr="002338E7">
        <w:rPr>
          <w:rFonts w:cs="Calibri Light"/>
          <w:szCs w:val="20"/>
        </w:rPr>
        <w:t xml:space="preserve"> paplašinot interešu izglītības iespējas pamatizglītībā. Līdz 2022.</w:t>
      </w:r>
      <w:r w:rsidR="002338E7">
        <w:rPr>
          <w:rFonts w:cs="Calibri Light"/>
          <w:szCs w:val="20"/>
        </w:rPr>
        <w:t> </w:t>
      </w:r>
      <w:r w:rsidRPr="002338E7">
        <w:rPr>
          <w:rFonts w:cs="Calibri Light"/>
          <w:szCs w:val="20"/>
        </w:rPr>
        <w:t xml:space="preserve">gada maijam pasākumos iesaistīti vairāk kā 195 tūkst. skolēnu. Sadarbībā ar augstskolām plānots attīstīt </w:t>
      </w:r>
      <w:proofErr w:type="spellStart"/>
      <w:r w:rsidRPr="002338E7">
        <w:rPr>
          <w:rFonts w:cs="Calibri Light"/>
          <w:szCs w:val="20"/>
        </w:rPr>
        <w:t>autorrisinājumus</w:t>
      </w:r>
      <w:proofErr w:type="spellEnd"/>
      <w:r w:rsidRPr="002338E7">
        <w:rPr>
          <w:rFonts w:cs="Calibri Light"/>
          <w:szCs w:val="20"/>
        </w:rPr>
        <w:t xml:space="preserve"> STEM jomas </w:t>
      </w:r>
      <w:proofErr w:type="spellStart"/>
      <w:r w:rsidRPr="002338E7">
        <w:rPr>
          <w:rFonts w:cs="Calibri Light"/>
          <w:szCs w:val="20"/>
        </w:rPr>
        <w:t>pamatkursu</w:t>
      </w:r>
      <w:proofErr w:type="spellEnd"/>
      <w:r w:rsidRPr="002338E7">
        <w:rPr>
          <w:rFonts w:cs="Calibri Light"/>
          <w:szCs w:val="20"/>
        </w:rPr>
        <w:t xml:space="preserve"> un padziļināto kursu apguves veicināšanai vidusskolā. Ar ESF atbalstu tiek nodrošināts arī atbalsts nacionāla un starptautiska mēroga pasākumu īstenošanai izglītojamo talantu attīstībai. Nodrošināta gan mācību priekšmetu olimpiāžu un zinātnisko konkursu norise valsts un starptautiskā līmenī, gan sniegts atbalsts talantīgu izglītojamo attīstībai un pedagogu profesionālajai pilnveidei darbam ar talantīgiem izglītojamiem, t.sk. meiteņu sasniegumu un talantu attīstībai STEM jomā.</w:t>
      </w:r>
    </w:p>
    <w:p w14:paraId="1E460F15" w14:textId="4AE36781" w:rsidR="00CA2D5A" w:rsidRDefault="00CA2D5A" w:rsidP="00C24E26">
      <w:pPr>
        <w:jc w:val="both"/>
        <w:rPr>
          <w:szCs w:val="20"/>
        </w:rPr>
      </w:pPr>
      <w:r>
        <w:rPr>
          <w:b/>
          <w:szCs w:val="20"/>
        </w:rPr>
        <w:t xml:space="preserve">Atbalsts priekšlaicīgas mācību pārtraukšanas samazināšanai </w:t>
      </w:r>
      <w:r>
        <w:rPr>
          <w:szCs w:val="20"/>
        </w:rPr>
        <w:t>Ar ES fondu atbalstu tiek īstenoti preventīvi un intervences pasākumi,</w:t>
      </w:r>
      <w:r>
        <w:t xml:space="preserve"> </w:t>
      </w:r>
      <w:r>
        <w:rPr>
          <w:szCs w:val="20"/>
        </w:rPr>
        <w:t xml:space="preserve">iesaistot pašvaldības, skolas, pedagogus un vecākus, lai laikus identificētu bērnus un </w:t>
      </w:r>
      <w:r>
        <w:rPr>
          <w:szCs w:val="20"/>
        </w:rPr>
        <w:lastRenderedPageBreak/>
        <w:t>jauniešus ar risku pārtraukt mācības un sniegtu viņiem personalizētu atbalstu.</w:t>
      </w:r>
      <w:r>
        <w:t xml:space="preserve"> </w:t>
      </w:r>
      <w:r>
        <w:rPr>
          <w:bCs/>
          <w:szCs w:val="20"/>
        </w:rPr>
        <w:t xml:space="preserve">Nodrošināts ekonomisks atbalsts (kompensācija sabiedriskā transporta, dienesta viesnīcas, ēdināšanas izdevumiem, individuālo mācību līdzekļu iegādei u.c. </w:t>
      </w:r>
      <w:r>
        <w:rPr>
          <w:szCs w:val="20"/>
        </w:rPr>
        <w:t>izdevumiem), individuāls konsultatīvs atbalsts (psihologu, logopēdu u.c. speciālistu iesaiste) un konsultācijas mācību priekšmetos, t.sk. STEM. Līdz 2021.</w:t>
      </w:r>
      <w:r w:rsidR="002338E7">
        <w:rPr>
          <w:szCs w:val="20"/>
        </w:rPr>
        <w:t> </w:t>
      </w:r>
      <w:r>
        <w:rPr>
          <w:szCs w:val="20"/>
        </w:rPr>
        <w:t>gada beigām iesaistījušās 584 izglītības iestādes un atbalsta ietvaros nodrošināti vairāk nekā 73 tūkst. individuālie riska mazināšanas plāni un atbalsta pasākumi priekšlaicīgas mācību pārtraukšanas riska izglītojamiem. Uzsākta interaktīva rīka izveide, kas palīdzēs izglītības iestādēm novērtēt priekšlaicīgas mācību pārtraukšanas riskus un tos vadīt.</w:t>
      </w:r>
    </w:p>
    <w:p w14:paraId="00BD613D" w14:textId="4674125B" w:rsidR="00CA2D5A" w:rsidRDefault="00CA2D5A" w:rsidP="00C24E26">
      <w:pPr>
        <w:jc w:val="both"/>
        <w:rPr>
          <w:bCs/>
          <w:szCs w:val="20"/>
        </w:rPr>
      </w:pPr>
      <w:r>
        <w:rPr>
          <w:bCs/>
          <w:szCs w:val="20"/>
        </w:rPr>
        <w:t xml:space="preserve">Jauniešiem, kas nav iesaistīti ne nodarbinātībā, ne izglītībā, ne mācībās (NEET), ir iespēja saņemt </w:t>
      </w:r>
      <w:proofErr w:type="spellStart"/>
      <w:r>
        <w:rPr>
          <w:bCs/>
          <w:szCs w:val="20"/>
        </w:rPr>
        <w:t>mentora</w:t>
      </w:r>
      <w:proofErr w:type="spellEnd"/>
      <w:r>
        <w:rPr>
          <w:bCs/>
          <w:szCs w:val="20"/>
        </w:rPr>
        <w:t xml:space="preserve"> atbalstu īstenojot individuālo atbalsta programmu vai atbalstu sociālai iekļaušanai, sekmējot jauniešu atgriešanos izglītībā vai iesaistot nodarbinātībā. Līdz 2021.</w:t>
      </w:r>
      <w:r w:rsidR="002338E7">
        <w:rPr>
          <w:bCs/>
          <w:szCs w:val="20"/>
        </w:rPr>
        <w:t> </w:t>
      </w:r>
      <w:r>
        <w:rPr>
          <w:bCs/>
          <w:szCs w:val="20"/>
        </w:rPr>
        <w:t>gada beigām projektā ir iesaistījušies 3 945 jaunieši.</w:t>
      </w:r>
    </w:p>
    <w:p w14:paraId="7C481502" w14:textId="64530E21" w:rsidR="00CA2D5A" w:rsidRPr="000C591A" w:rsidRDefault="00CA2D5A" w:rsidP="00C24E26">
      <w:pPr>
        <w:jc w:val="both"/>
      </w:pPr>
      <w:r w:rsidRPr="35B90772">
        <w:rPr>
          <w:b/>
        </w:rPr>
        <w:t>Karjeras atbalsts</w:t>
      </w:r>
      <w:r>
        <w:t xml:space="preserve"> palīdz skolēniem pieņemt apzinātu un motivētu lēmumu par savu turpmāko izglītības vai darba karjeru, </w:t>
      </w:r>
      <w:r w:rsidRPr="001A67D5">
        <w:t xml:space="preserve">tādējādi arī veicina izglītības priekšlaicīgas pārtraukšanas mazināšanu. Karjeras atbalsta pieejamības uzlabošanai kopš </w:t>
      </w:r>
      <w:r w:rsidRPr="000C591A">
        <w:t>201</w:t>
      </w:r>
      <w:r w:rsidR="005A28CF" w:rsidRPr="000C591A">
        <w:t>7</w:t>
      </w:r>
      <w:r w:rsidRPr="000C591A">
        <w:t>.</w:t>
      </w:r>
      <w:r w:rsidR="002338E7" w:rsidRPr="000C591A">
        <w:t> </w:t>
      </w:r>
      <w:r w:rsidRPr="000C591A">
        <w:t>gada</w:t>
      </w:r>
      <w:r w:rsidRPr="001A67D5">
        <w:t xml:space="preserve"> tiek īstenots ESF projekts </w:t>
      </w:r>
      <w:r w:rsidRPr="001A67D5">
        <w:rPr>
          <w:i/>
        </w:rPr>
        <w:t>Karjeras atbalsts vispārējās un profesionālās izglītības iestādēs</w:t>
      </w:r>
      <w:r w:rsidRPr="001A67D5">
        <w:t>. Projektā iesaistītajās izglītības iestādēs</w:t>
      </w:r>
      <w:r w:rsidR="005A28CF" w:rsidRPr="001A67D5">
        <w:t xml:space="preserve"> </w:t>
      </w:r>
      <w:r w:rsidR="005A28CF" w:rsidRPr="000C591A">
        <w:t>(visa projekta laikā 430)</w:t>
      </w:r>
      <w:r w:rsidRPr="001A67D5">
        <w:t xml:space="preserve"> tiek nodrošināts pedagoga karjeras konsultanta darbs un karjeras atbalsta pasākumi izglītojamajiem. 2021./2022.</w:t>
      </w:r>
      <w:r w:rsidR="002338E7" w:rsidRPr="001A67D5">
        <w:t> </w:t>
      </w:r>
      <w:r w:rsidRPr="001A67D5">
        <w:t>mācību gadā projektā piedalās 295 izglītības iestādes, t.sk. 15 PIKC, piesaistot 189 pedagogus karjeras konsultantus</w:t>
      </w:r>
      <w:r w:rsidR="005A28CF" w:rsidRPr="001A67D5">
        <w:t xml:space="preserve">, </w:t>
      </w:r>
      <w:r w:rsidRPr="001A67D5">
        <w:t>karjeras attīstības atbalstu saņēmuši 68,2 tūkst. izglītojamo.</w:t>
      </w:r>
      <w:r w:rsidR="005A28CF" w:rsidRPr="001A67D5">
        <w:t xml:space="preserve"> </w:t>
      </w:r>
    </w:p>
    <w:p w14:paraId="745AE23D" w14:textId="6A55F9A3" w:rsidR="00CA2D5A" w:rsidRPr="001A67D5" w:rsidRDefault="00CA2D5A" w:rsidP="00C24E26">
      <w:pPr>
        <w:jc w:val="both"/>
        <w:rPr>
          <w:bCs/>
          <w:szCs w:val="20"/>
        </w:rPr>
      </w:pPr>
      <w:r w:rsidRPr="001A67D5">
        <w:rPr>
          <w:b/>
          <w:szCs w:val="20"/>
        </w:rPr>
        <w:t xml:space="preserve">Vispārējās izglītības iestāžu tīkla sakārtošana. </w:t>
      </w:r>
      <w:r w:rsidRPr="001A67D5">
        <w:rPr>
          <w:bCs/>
          <w:szCs w:val="20"/>
        </w:rPr>
        <w:t>Lai nodrošinātu iespēju ikvienam skolēnam iegūt kvalitatīvu izglītību neatkarīgi no dzīves vietas, kopš 2016.</w:t>
      </w:r>
      <w:r w:rsidR="002338E7" w:rsidRPr="001A67D5">
        <w:rPr>
          <w:bCs/>
          <w:szCs w:val="20"/>
        </w:rPr>
        <w:t> </w:t>
      </w:r>
      <w:r w:rsidRPr="001A67D5">
        <w:rPr>
          <w:bCs/>
          <w:szCs w:val="20"/>
        </w:rPr>
        <w:t>gada turpinās darbs pie vispārējās izglītības iestāžu tīkla sakārtošanas. Meklējot piemērotākos risinājumus kvalitatīvas izglītības un skolu tīkla efektivitātes nodrošināšanai, veiktas izmaiņas pašvaldību vispārējās izglītības iestāžu tīklā, pašvaldībām lemjot par to dibināto izglītības iestāžu reorganizāciju vai likvidāciju.</w:t>
      </w:r>
      <w:r w:rsidR="00EF34B0" w:rsidRPr="001A67D5">
        <w:rPr>
          <w:bCs/>
          <w:szCs w:val="20"/>
        </w:rPr>
        <w:t xml:space="preserve"> </w:t>
      </w:r>
      <w:r w:rsidR="00EF34B0" w:rsidRPr="000C591A">
        <w:rPr>
          <w:bCs/>
          <w:szCs w:val="20"/>
        </w:rPr>
        <w:t xml:space="preserve">ANM ietvaros ir paredzēta pasākuma </w:t>
      </w:r>
      <w:r w:rsidR="00EF34B0" w:rsidRPr="000C591A">
        <w:rPr>
          <w:bCs/>
          <w:i/>
          <w:iCs/>
          <w:szCs w:val="20"/>
        </w:rPr>
        <w:t>„Izglītības iestāžu infrastruktūras pilnveide un aprīkošana”</w:t>
      </w:r>
      <w:r w:rsidR="00EF34B0" w:rsidRPr="000C591A">
        <w:rPr>
          <w:bCs/>
          <w:szCs w:val="20"/>
        </w:rPr>
        <w:t xml:space="preserve"> īstenošana, kas paredz atbalstu pašvaldībām vispārējās izglītības iestāžu tīkla sakārtošanai, stiprinot izglītojamo skaita ziņā ilgtspējīgas pamatskolas, kas izveidotas pašvaldības vidusskolu tīkla kārtošanas rezultātā. Pasākuma īstenošanas rezultātā tiks modernizēta mācību vide 20 pamatskolām ārpus pašvaldību administratīvajiem centriem.</w:t>
      </w:r>
    </w:p>
    <w:p w14:paraId="5DA634EC" w14:textId="6D7950D2" w:rsidR="00CA2D5A" w:rsidRDefault="00CA2D5A" w:rsidP="00C24E26">
      <w:pPr>
        <w:jc w:val="both"/>
        <w:rPr>
          <w:bCs/>
          <w:szCs w:val="20"/>
        </w:rPr>
      </w:pPr>
      <w:r w:rsidRPr="001A67D5">
        <w:rPr>
          <w:b/>
          <w:szCs w:val="20"/>
        </w:rPr>
        <w:t xml:space="preserve">Jauna vispārējās izglītības iestāžu pedagogu atalgojuma finansēšanas modeļa </w:t>
      </w:r>
      <w:r w:rsidRPr="001A67D5">
        <w:rPr>
          <w:bCs/>
          <w:szCs w:val="20"/>
        </w:rPr>
        <w:t>(</w:t>
      </w:r>
      <w:r w:rsidRPr="001A67D5">
        <w:rPr>
          <w:bCs/>
          <w:i/>
          <w:iCs/>
          <w:szCs w:val="20"/>
        </w:rPr>
        <w:t>Skolēns pašvaldībā</w:t>
      </w:r>
      <w:r w:rsidRPr="001A67D5">
        <w:rPr>
          <w:bCs/>
          <w:szCs w:val="20"/>
        </w:rPr>
        <w:t>)</w:t>
      </w:r>
      <w:r w:rsidRPr="001A67D5">
        <w:rPr>
          <w:b/>
          <w:szCs w:val="20"/>
        </w:rPr>
        <w:t xml:space="preserve"> ieviešana</w:t>
      </w:r>
      <w:r w:rsidRPr="001A67D5">
        <w:rPr>
          <w:bCs/>
          <w:szCs w:val="20"/>
        </w:rPr>
        <w:t xml:space="preserve"> veicinās izglītības iestāžu tīkla tālāku sakārtošanu. No 2022.</w:t>
      </w:r>
      <w:r w:rsidR="002338E7" w:rsidRPr="001A67D5">
        <w:rPr>
          <w:bCs/>
          <w:szCs w:val="20"/>
        </w:rPr>
        <w:t> </w:t>
      </w:r>
      <w:r w:rsidRPr="001A67D5">
        <w:rPr>
          <w:bCs/>
          <w:szCs w:val="20"/>
        </w:rPr>
        <w:t>gada 1.</w:t>
      </w:r>
      <w:r w:rsidR="002338E7" w:rsidRPr="001A67D5">
        <w:rPr>
          <w:bCs/>
          <w:szCs w:val="20"/>
        </w:rPr>
        <w:t> </w:t>
      </w:r>
      <w:r w:rsidRPr="001A67D5">
        <w:rPr>
          <w:bCs/>
          <w:szCs w:val="20"/>
        </w:rPr>
        <w:t>septembra valsts finansējumu pedagogu darba samaksai plānots aprēķināt un pārskaitīt pašvaldībām (atbilstoši izglītojamo</w:t>
      </w:r>
      <w:r>
        <w:rPr>
          <w:bCs/>
          <w:szCs w:val="20"/>
        </w:rPr>
        <w:t xml:space="preserve"> skaitam pašvaldībā), kuras to tālāk sadalīs savām izglītības iestādēm, nodrošinot iedzīvotāju vajadzībām atbilstošu kvalitatīvu izglītības pakalpojumu.</w:t>
      </w:r>
    </w:p>
    <w:p w14:paraId="4C4917D4" w14:textId="0ADEBAB7" w:rsidR="00CA2D5A" w:rsidRDefault="00CA2D5A" w:rsidP="00C24E26">
      <w:pPr>
        <w:jc w:val="both"/>
        <w:rPr>
          <w:bCs/>
          <w:szCs w:val="20"/>
        </w:rPr>
      </w:pPr>
      <w:r>
        <w:rPr>
          <w:bCs/>
          <w:szCs w:val="20"/>
        </w:rPr>
        <w:t>Aprēķinot pedagogu darba samaksu vidējās izglītības pakāpē, no 2021./2022.</w:t>
      </w:r>
      <w:r w:rsidR="002338E7">
        <w:rPr>
          <w:bCs/>
          <w:szCs w:val="20"/>
        </w:rPr>
        <w:t> </w:t>
      </w:r>
      <w:r>
        <w:rPr>
          <w:bCs/>
          <w:szCs w:val="20"/>
        </w:rPr>
        <w:t xml:space="preserve">mācību gada tiks ņemta vērā katras izglītības iestādes kvalitāte </w:t>
      </w:r>
      <w:r w:rsidR="002338E7">
        <w:rPr>
          <w:bCs/>
          <w:szCs w:val="20"/>
        </w:rPr>
        <w:t xml:space="preserve">– </w:t>
      </w:r>
      <w:r>
        <w:rPr>
          <w:bCs/>
          <w:szCs w:val="20"/>
        </w:rPr>
        <w:t>akreditācijas rezultāti un obligāto centralizēto eksāmenu indeksa aprēķins. 2022.</w:t>
      </w:r>
      <w:r w:rsidR="002338E7">
        <w:rPr>
          <w:bCs/>
          <w:szCs w:val="20"/>
        </w:rPr>
        <w:t> </w:t>
      </w:r>
      <w:r>
        <w:rPr>
          <w:bCs/>
          <w:szCs w:val="20"/>
        </w:rPr>
        <w:t xml:space="preserve">gada sākumā izveidota </w:t>
      </w:r>
      <w:proofErr w:type="spellStart"/>
      <w:r>
        <w:rPr>
          <w:bCs/>
          <w:szCs w:val="20"/>
        </w:rPr>
        <w:t>starpinstitucionāla</w:t>
      </w:r>
      <w:proofErr w:type="spellEnd"/>
      <w:r>
        <w:rPr>
          <w:bCs/>
          <w:szCs w:val="20"/>
        </w:rPr>
        <w:t xml:space="preserve"> darba grupa, kura izstrādās priekšlikumus pedagogu darba samaksas paaugstināšanai un darba slodžu sabalansēšanai no 2023.</w:t>
      </w:r>
      <w:r w:rsidR="002338E7">
        <w:rPr>
          <w:bCs/>
          <w:szCs w:val="20"/>
        </w:rPr>
        <w:t> </w:t>
      </w:r>
      <w:r>
        <w:rPr>
          <w:bCs/>
          <w:szCs w:val="20"/>
        </w:rPr>
        <w:t>gada 1.</w:t>
      </w:r>
      <w:r w:rsidR="002338E7">
        <w:rPr>
          <w:bCs/>
          <w:szCs w:val="20"/>
        </w:rPr>
        <w:t> </w:t>
      </w:r>
      <w:r>
        <w:rPr>
          <w:bCs/>
          <w:szCs w:val="20"/>
        </w:rPr>
        <w:t>septembra.</w:t>
      </w:r>
    </w:p>
    <w:p w14:paraId="7C27ADE6" w14:textId="31343A66" w:rsidR="00103B84" w:rsidRDefault="00CA2D5A" w:rsidP="00C24E26">
      <w:pPr>
        <w:jc w:val="both"/>
        <w:rPr>
          <w:bCs/>
          <w:szCs w:val="20"/>
        </w:rPr>
      </w:pPr>
      <w:r>
        <w:rPr>
          <w:b/>
          <w:szCs w:val="20"/>
        </w:rPr>
        <w:t>Vispārējās izglītības iestāžu infrastruktūras modernizācija</w:t>
      </w:r>
      <w:r>
        <w:rPr>
          <w:bCs/>
          <w:szCs w:val="20"/>
        </w:rPr>
        <w:t>.</w:t>
      </w:r>
      <w:r>
        <w:t xml:space="preserve"> </w:t>
      </w:r>
      <w:r>
        <w:rPr>
          <w:bCs/>
          <w:szCs w:val="20"/>
        </w:rPr>
        <w:t>Piesaistot ERAF līdzfinansējumu tiek īstenoti projekti pašvaldību dibinātu vispārējās izglītības iestāžu mācību vides uzlabošanai, radot modernu, ergonomisku un higiēnas prasībām atbilstošu mācību vidi, kas papildināta ar modernu, mācību procesam nepieciešamu informācijas un komunikāciju tehnoloģiju aprīkojumu un risinājumiem. Līdz 2023.</w:t>
      </w:r>
      <w:r w:rsidR="002338E7">
        <w:rPr>
          <w:bCs/>
          <w:szCs w:val="20"/>
        </w:rPr>
        <w:t> </w:t>
      </w:r>
      <w:r>
        <w:rPr>
          <w:bCs/>
          <w:szCs w:val="20"/>
        </w:rPr>
        <w:t>gadam tiks īstenoti 45 projekti (agrākajos nacionālas un reģionālas attīstības centros, atsevišķās Pierīgas pašvaldībās un Viļakas pilsētā), kas paredz modernizēt 95 izglītības iestādei. Atsevišķās pašvaldībās, kurās vērojams izglītojamo skaita pieaugums un esošas infrastruktūras nepietiekamība, paredzēta arī jaunu izglītības iestāžu ēku būvniecība (piemēram, Ādažu un Ogres novada pašvaldībās), kā arī jaunu piebūvju būvniecība. 2021.</w:t>
      </w:r>
      <w:r w:rsidR="002338E7">
        <w:rPr>
          <w:bCs/>
          <w:szCs w:val="20"/>
        </w:rPr>
        <w:t> </w:t>
      </w:r>
      <w:r>
        <w:rPr>
          <w:bCs/>
          <w:szCs w:val="20"/>
        </w:rPr>
        <w:t>gadā ir pabeigta 23 projektu īstenošana, un modernizētas 55 izglītības iestādes. Papildus ar valsts budžeta atbalstu 22 pašvaldību dibinātajās vispārējās izglītības iestādēs 2021.-2022.</w:t>
      </w:r>
      <w:r w:rsidR="00F32036">
        <w:rPr>
          <w:bCs/>
          <w:szCs w:val="20"/>
        </w:rPr>
        <w:t> </w:t>
      </w:r>
      <w:r>
        <w:rPr>
          <w:bCs/>
          <w:szCs w:val="20"/>
        </w:rPr>
        <w:t xml:space="preserve">gadā tiek īstenoti augstas gatavības projekti ventilācijas sistēmu uzlabošanai. </w:t>
      </w:r>
    </w:p>
    <w:p w14:paraId="3BB126CF" w14:textId="77777777" w:rsidR="00175DAA" w:rsidRPr="009A05F8" w:rsidRDefault="00175DAA" w:rsidP="009A05F8">
      <w:pPr>
        <w:jc w:val="both"/>
        <w:rPr>
          <w:bCs/>
          <w:szCs w:val="20"/>
        </w:rPr>
      </w:pPr>
    </w:p>
    <w:p w14:paraId="3876A987" w14:textId="77777777" w:rsidR="00C24E26" w:rsidRDefault="00C24E26">
      <w:pPr>
        <w:spacing w:after="0"/>
        <w:rPr>
          <w:rFonts w:ascii="Cambria" w:hAnsi="Cambria"/>
          <w:b/>
          <w:caps/>
          <w:color w:val="000000" w:themeColor="text1"/>
          <w:sz w:val="28"/>
        </w:rPr>
      </w:pPr>
      <w:r>
        <w:rPr>
          <w:color w:val="000000" w:themeColor="text1"/>
        </w:rPr>
        <w:br w:type="page"/>
      </w:r>
    </w:p>
    <w:p w14:paraId="6A66F355" w14:textId="20780C25" w:rsidR="00CA2D5A" w:rsidRPr="00F32036" w:rsidRDefault="00CA2D5A" w:rsidP="002338E7">
      <w:pPr>
        <w:pStyle w:val="Heading2"/>
        <w:rPr>
          <w:color w:val="000000" w:themeColor="text1"/>
        </w:rPr>
      </w:pPr>
      <w:bookmarkStart w:id="90" w:name="_Toc106366809"/>
      <w:r w:rsidRPr="002338E7">
        <w:rPr>
          <w:color w:val="000000" w:themeColor="text1"/>
        </w:rPr>
        <w:lastRenderedPageBreak/>
        <w:t>4.2. Aktuālie pasākumi profesionālajā vidējā izglītībā</w:t>
      </w:r>
      <w:bookmarkEnd w:id="90"/>
    </w:p>
    <w:p w14:paraId="0A91E643" w14:textId="77777777" w:rsidR="00CA2D5A" w:rsidRDefault="00CA2D5A" w:rsidP="00C24E26">
      <w:pPr>
        <w:jc w:val="both"/>
        <w:rPr>
          <w:szCs w:val="20"/>
        </w:rPr>
      </w:pPr>
      <w:r>
        <w:rPr>
          <w:b/>
          <w:szCs w:val="20"/>
        </w:rPr>
        <w:t>Profesionālās izglītības satura reforma</w:t>
      </w:r>
      <w:r>
        <w:rPr>
          <w:b/>
          <w:i/>
          <w:szCs w:val="20"/>
        </w:rPr>
        <w:t xml:space="preserve"> </w:t>
      </w:r>
      <w:r>
        <w:rPr>
          <w:szCs w:val="20"/>
        </w:rPr>
        <w:t>turpinās</w:t>
      </w:r>
      <w:r>
        <w:rPr>
          <w:szCs w:val="20"/>
          <w:vertAlign w:val="superscript"/>
        </w:rPr>
        <w:t xml:space="preserve"> </w:t>
      </w:r>
      <w:r>
        <w:rPr>
          <w:szCs w:val="20"/>
        </w:rPr>
        <w:t>ar ES fondu atbalstu, nodrošinot (1) parēju uz sasniedzamajos mācību rezultātos balstītu profesionālās izglītības procesu, kā arī (2) ieviešot modulāro pieeju profesionālās izglītības programmu īstenošanā. Tās mērķis ir izveidot patstāvīgu, kvalitatīvu un tautsaimniecības nozaru attīstības vajadzībām atbilstošu profesionālās izglītības sistēmu, kas spēj ātri reaģēt uz darba tirgus pieprasījumu, izvērtējot un atjaunojot izglītības saturu atbilstoši nozaru kvalifikācijas struktūrai.</w:t>
      </w:r>
    </w:p>
    <w:p w14:paraId="1A3B5EC6" w14:textId="5A41D0C6" w:rsidR="00CA2D5A" w:rsidRPr="001A67D5" w:rsidRDefault="00CA2D5A" w:rsidP="00C24E26">
      <w:pPr>
        <w:jc w:val="both"/>
        <w:rPr>
          <w:szCs w:val="20"/>
        </w:rPr>
      </w:pPr>
      <w:r>
        <w:rPr>
          <w:szCs w:val="20"/>
        </w:rPr>
        <w:t xml:space="preserve">Lai nodrošinātu profesionālās izglītības atbilstību darba tirgus prasībām, paaugstinātu tās pievilcību, kā arī nostiprinātu sadarbību ar sociālajiem partneriem un turpinātu iesākto profesionālās izglītības reformu, ESF projekta </w:t>
      </w:r>
      <w:r>
        <w:rPr>
          <w:i/>
          <w:iCs/>
          <w:szCs w:val="20"/>
        </w:rPr>
        <w:t xml:space="preserve">“Nozaru kvalifikācijas </w:t>
      </w:r>
      <w:r w:rsidRPr="001A67D5">
        <w:rPr>
          <w:i/>
          <w:iCs/>
          <w:szCs w:val="20"/>
        </w:rPr>
        <w:t>sistēmas pilnveide profesionālās izglītības attīstībai un kvalitātes nodrošināšanai”</w:t>
      </w:r>
      <w:r w:rsidRPr="001A67D5">
        <w:rPr>
          <w:szCs w:val="20"/>
        </w:rPr>
        <w:t xml:space="preserve"> ietvaros kopš 2016. gada: pilnveidotas 14 nozaru kvalifikācijas struktūras  un izstrādāta jauna nozares kvalifikācijas struktūra Mākslas nozares dizaina un radošo industriju sektoram; izstrādāti 202 profesiju standarti un/vai profesionālās kvalifikācijas prasības</w:t>
      </w:r>
      <w:r w:rsidR="00175DAA" w:rsidRPr="001A67D5">
        <w:rPr>
          <w:szCs w:val="20"/>
        </w:rPr>
        <w:t xml:space="preserve"> </w:t>
      </w:r>
      <w:r w:rsidR="00175DAA" w:rsidRPr="000C591A">
        <w:rPr>
          <w:szCs w:val="20"/>
        </w:rPr>
        <w:t>(LKI 2.-5. līmenī)</w:t>
      </w:r>
      <w:r w:rsidRPr="001A67D5">
        <w:rPr>
          <w:szCs w:val="20"/>
        </w:rPr>
        <w:t xml:space="preserve">; izstrādāts profesionālās kvalifikācijas eksāmenu saturs 206 profesionālajām kvalifikācijām; izstrādātas modulārās profesionālās izglītības programmas </w:t>
      </w:r>
      <w:r w:rsidRPr="000C591A">
        <w:rPr>
          <w:szCs w:val="20"/>
        </w:rPr>
        <w:t>18</w:t>
      </w:r>
      <w:r w:rsidR="00175DAA" w:rsidRPr="000C591A">
        <w:rPr>
          <w:szCs w:val="20"/>
        </w:rPr>
        <w:t>5</w:t>
      </w:r>
      <w:r w:rsidRPr="000C591A">
        <w:rPr>
          <w:szCs w:val="20"/>
        </w:rPr>
        <w:t xml:space="preserve"> profesionālajām kvalifikācijām (LKI 2.-4.</w:t>
      </w:r>
      <w:r w:rsidR="00F32036" w:rsidRPr="000C591A">
        <w:rPr>
          <w:szCs w:val="20"/>
        </w:rPr>
        <w:t> </w:t>
      </w:r>
      <w:r w:rsidRPr="000C591A">
        <w:rPr>
          <w:szCs w:val="20"/>
        </w:rPr>
        <w:t>līmenis); izstrādāti</w:t>
      </w:r>
      <w:r w:rsidR="00175DAA" w:rsidRPr="000C591A">
        <w:t xml:space="preserve"> </w:t>
      </w:r>
      <w:r w:rsidR="00175DAA" w:rsidRPr="000C591A">
        <w:rPr>
          <w:szCs w:val="20"/>
        </w:rPr>
        <w:t>vai iegādāti</w:t>
      </w:r>
      <w:r w:rsidRPr="000C591A">
        <w:rPr>
          <w:szCs w:val="20"/>
        </w:rPr>
        <w:t xml:space="preserve"> 31 digitālie mācību līdzekļi un iegādāta</w:t>
      </w:r>
      <w:r w:rsidR="0026459F" w:rsidRPr="000C591A">
        <w:rPr>
          <w:szCs w:val="20"/>
        </w:rPr>
        <w:t>s</w:t>
      </w:r>
      <w:r w:rsidRPr="000C591A">
        <w:rPr>
          <w:szCs w:val="20"/>
        </w:rPr>
        <w:t xml:space="preserve"> 13</w:t>
      </w:r>
      <w:r w:rsidR="0026459F" w:rsidRPr="000C591A">
        <w:rPr>
          <w:szCs w:val="20"/>
        </w:rPr>
        <w:t>8</w:t>
      </w:r>
      <w:r w:rsidRPr="000C591A">
        <w:rPr>
          <w:szCs w:val="20"/>
        </w:rPr>
        <w:t xml:space="preserve"> simulācijas iekārta</w:t>
      </w:r>
      <w:r w:rsidR="0026459F" w:rsidRPr="000C591A">
        <w:rPr>
          <w:szCs w:val="20"/>
        </w:rPr>
        <w:t>s</w:t>
      </w:r>
      <w:r w:rsidRPr="000C591A">
        <w:rPr>
          <w:szCs w:val="20"/>
        </w:rPr>
        <w:t>.</w:t>
      </w:r>
    </w:p>
    <w:p w14:paraId="72AFA1E0" w14:textId="77777777" w:rsidR="00CA2D5A" w:rsidRDefault="00CA2D5A" w:rsidP="00C24E26">
      <w:pPr>
        <w:jc w:val="both"/>
        <w:rPr>
          <w:szCs w:val="20"/>
        </w:rPr>
      </w:pPr>
      <w:r w:rsidRPr="001A67D5">
        <w:rPr>
          <w:szCs w:val="20"/>
        </w:rPr>
        <w:t>Tāpat ar ESF atbalstu izstrādāti profesionālās izglītības programmu paraugi, kuru mērķis ir atvieglot un nodrošināt izglītības programmu izstrādes procesu profesionālām izglītības iestādēm, nodrošināt efektīvu izglītības kvalitātes</w:t>
      </w:r>
      <w:r>
        <w:rPr>
          <w:szCs w:val="20"/>
        </w:rPr>
        <w:t xml:space="preserve"> vadību un uzraudzību, mazināt administratīvo slogu, atvieglojot dokumentu izstrādes un aprites procesus izglītības programmu licencēšanai.</w:t>
      </w:r>
    </w:p>
    <w:p w14:paraId="56E2074F" w14:textId="607BC5B5" w:rsidR="00CA2D5A" w:rsidRDefault="00CA2D5A" w:rsidP="00C24E26">
      <w:pPr>
        <w:jc w:val="both"/>
        <w:rPr>
          <w:szCs w:val="20"/>
        </w:rPr>
      </w:pPr>
      <w:r>
        <w:rPr>
          <w:szCs w:val="20"/>
        </w:rPr>
        <w:t>2021./2022.</w:t>
      </w:r>
      <w:r w:rsidR="00F32036">
        <w:rPr>
          <w:szCs w:val="20"/>
        </w:rPr>
        <w:t> </w:t>
      </w:r>
      <w:r>
        <w:rPr>
          <w:szCs w:val="20"/>
        </w:rPr>
        <w:t>mācību gadā uzsākta jauna valsts profesionālās vidējās izglītības standarta ieviešana. Programmu vispārizglītojošais saturs tiek pielāgots atbilstoši vispārējās vidējās izglītības standarta prasībām.</w:t>
      </w:r>
    </w:p>
    <w:p w14:paraId="383F4222" w14:textId="48F30D5E" w:rsidR="00CA2D5A" w:rsidRDefault="00CA2D5A" w:rsidP="00C24E26">
      <w:pPr>
        <w:jc w:val="both"/>
        <w:rPr>
          <w:szCs w:val="20"/>
        </w:rPr>
      </w:pPr>
      <w:r>
        <w:rPr>
          <w:szCs w:val="20"/>
        </w:rPr>
        <w:t>2022.</w:t>
      </w:r>
      <w:r w:rsidR="00F32036">
        <w:rPr>
          <w:szCs w:val="20"/>
        </w:rPr>
        <w:t> </w:t>
      </w:r>
      <w:r>
        <w:rPr>
          <w:szCs w:val="20"/>
        </w:rPr>
        <w:t>gada 1.</w:t>
      </w:r>
      <w:r w:rsidR="00F32036">
        <w:rPr>
          <w:szCs w:val="20"/>
        </w:rPr>
        <w:t> </w:t>
      </w:r>
      <w:r>
        <w:rPr>
          <w:szCs w:val="20"/>
        </w:rPr>
        <w:t xml:space="preserve">aprīlī stājās spēkā grozījumi </w:t>
      </w:r>
      <w:r>
        <w:rPr>
          <w:i/>
          <w:iCs/>
          <w:szCs w:val="20"/>
        </w:rPr>
        <w:t>Profesionālās izglītības likumā</w:t>
      </w:r>
      <w:r>
        <w:rPr>
          <w:szCs w:val="20"/>
        </w:rPr>
        <w:t>: (1) paplašināts likuma darbības tvērums, aptverot visus LKI līmeņus, t.sk. arī profesionālo augstāko izglītību; (2) precizēta profesionālo izglītības iestāžu tipoloģija, nosakot, kādas izglītības programmas atbilstoši LKI līmenim katra no tām īsteno (noteikti četri profesionālās izglītības iestāžu statusi – tehnikums, mākslas izglītības kompetences centrs, profesionālā vidusskola un profesionālās tālākizglītības centrs); (3) pilnveidots regulējums attiecībā uz modulārajām profesionālās izglītības programmām, sasniegto mācīšanās rezultātu uzkrāšanas, pārnešanas un atzīšanas principiem un kārtību, kā arī profesionālās kvalifikācijas daļas apguvi apliecinošiem dokumentiem; (4) precizētas Nozares ekspertu padomes funkcijas un tiesības, kā arī noteikts, ka Nozares ekspertu padomju darbības koordināciju finansēs no valsts budžeta; (5) paredzēts ieviest profesionālās izglītības programmu absolventu monitoringu; (6) paredzēta izglītojamo apdrošināšana pret nelaimes gadījumiem mācību laikā; (7) noteikta pāreja no programmu akreditācijas uz izglītības iestādes akreditāciju; (8) precizētas normas un paplašinātas iespējas attiecībā uz profesionālās tālākizglītības un profesionālās pilnveides izglītības programmu apguvi u.c.</w:t>
      </w:r>
    </w:p>
    <w:p w14:paraId="6DD8E36C" w14:textId="4F76221F" w:rsidR="00CA2D5A" w:rsidRDefault="00CA2D5A" w:rsidP="00C24E26">
      <w:pPr>
        <w:jc w:val="both"/>
        <w:rPr>
          <w:szCs w:val="20"/>
        </w:rPr>
      </w:pPr>
      <w:bookmarkStart w:id="91" w:name="_Hlk102039243"/>
      <w:r>
        <w:rPr>
          <w:b/>
          <w:bCs/>
          <w:szCs w:val="20"/>
        </w:rPr>
        <w:t xml:space="preserve">Pedagogu kompetenču pilnveide. </w:t>
      </w:r>
      <w:r>
        <w:rPr>
          <w:szCs w:val="20"/>
        </w:rPr>
        <w:t>Kopš 2016.</w:t>
      </w:r>
      <w:r w:rsidR="002338E7">
        <w:rPr>
          <w:szCs w:val="20"/>
        </w:rPr>
        <w:t> </w:t>
      </w:r>
      <w:r>
        <w:rPr>
          <w:szCs w:val="20"/>
        </w:rPr>
        <w:t xml:space="preserve">gada nogales ESF projektā </w:t>
      </w:r>
      <w:r>
        <w:rPr>
          <w:i/>
          <w:iCs/>
          <w:szCs w:val="20"/>
        </w:rPr>
        <w:t>“Profesionālās izglītības iestāžu efektīva pārvaldība un personāla kompetences pilnveide”</w:t>
      </w:r>
      <w:r>
        <w:rPr>
          <w:szCs w:val="20"/>
        </w:rPr>
        <w:t xml:space="preserve"> kopumā dažādos kursos piedalījušies vairāk kā 12 tūkst. profesionālajā izglītībā iesaistīto personu. Tostarp, lai veicinātu mūsdienīgu mācību metožu ieviešanu, profesionālās izglītības skolotāji piedalījās darbnīcās par digitālo rīku integrāciju mācību procesā (īpaši Covid-19 krīzes laikā un pēc tās) un </w:t>
      </w:r>
      <w:proofErr w:type="spellStart"/>
      <w:r>
        <w:rPr>
          <w:szCs w:val="20"/>
        </w:rPr>
        <w:t>mentoringa</w:t>
      </w:r>
      <w:proofErr w:type="spellEnd"/>
      <w:r>
        <w:rPr>
          <w:szCs w:val="20"/>
        </w:rPr>
        <w:t xml:space="preserve"> apmācībās jauno skolotāju atbalstam.</w:t>
      </w:r>
    </w:p>
    <w:p w14:paraId="3499949B" w14:textId="0207ECF6" w:rsidR="00CA2D5A" w:rsidRDefault="00CA2D5A" w:rsidP="00C24E26">
      <w:pPr>
        <w:jc w:val="both"/>
        <w:rPr>
          <w:szCs w:val="20"/>
        </w:rPr>
      </w:pPr>
      <w:r>
        <w:rPr>
          <w:szCs w:val="20"/>
        </w:rPr>
        <w:t>Papildus ar valsts budžeta atbalstu 2020.</w:t>
      </w:r>
      <w:r w:rsidR="002338E7">
        <w:rPr>
          <w:szCs w:val="20"/>
        </w:rPr>
        <w:t> </w:t>
      </w:r>
      <w:r>
        <w:rPr>
          <w:szCs w:val="20"/>
        </w:rPr>
        <w:t>gadā pedagogu profesionālās kompetences pilnveide nodrošināta 14</w:t>
      </w:r>
      <w:r w:rsidR="00F32036">
        <w:rPr>
          <w:szCs w:val="20"/>
        </w:rPr>
        <w:t> </w:t>
      </w:r>
      <w:r>
        <w:rPr>
          <w:szCs w:val="20"/>
        </w:rPr>
        <w:t>tūkst. pedagogiem, t.sk. 2,1 tūkst. pedagogu apguva digitālās prasmes. Savukārt 2021.</w:t>
      </w:r>
      <w:r w:rsidR="00F32036">
        <w:rPr>
          <w:szCs w:val="20"/>
        </w:rPr>
        <w:t> </w:t>
      </w:r>
      <w:r>
        <w:rPr>
          <w:szCs w:val="20"/>
        </w:rPr>
        <w:t>gadā šāda iespēja piedāvāta 14,7 tūkst. pedagogu.</w:t>
      </w:r>
    </w:p>
    <w:bookmarkEnd w:id="91"/>
    <w:p w14:paraId="02E6C738" w14:textId="05BF0E31" w:rsidR="00CA2D5A" w:rsidRDefault="00CA2D5A" w:rsidP="00C24E26">
      <w:pPr>
        <w:jc w:val="both"/>
        <w:rPr>
          <w:szCs w:val="20"/>
        </w:rPr>
      </w:pPr>
      <w:r>
        <w:rPr>
          <w:b/>
          <w:szCs w:val="20"/>
        </w:rPr>
        <w:t>Darba vidē balstītu mācību (DVB mācību) ieviešana</w:t>
      </w:r>
      <w:r>
        <w:rPr>
          <w:szCs w:val="20"/>
        </w:rPr>
        <w:t xml:space="preserve"> ir bijusi viena no prioritātēm, veicot kvalitatīvas reformas profesionālās izglītības sistēmā. Atšķirībā no tradicionālās izglītības ieguves formas, DVB mācībām ir cita pieeja mācību procesa organizēšanā (prakses daļa) ar nelielu izglītojamo skaitu mācību grupās, mācību īstenošana darba vietā un mācību ilgums. noteikšanā. LDDK sadarbībā ar profesionālās izglītības iestādēm un uzņēmumiem kopš 2017.</w:t>
      </w:r>
      <w:r w:rsidR="00F32036">
        <w:rPr>
          <w:szCs w:val="20"/>
        </w:rPr>
        <w:t> </w:t>
      </w:r>
      <w:r>
        <w:rPr>
          <w:szCs w:val="20"/>
        </w:rPr>
        <w:t xml:space="preserve">gada īsteno ESF projektu </w:t>
      </w:r>
      <w:r>
        <w:rPr>
          <w:i/>
          <w:iCs/>
          <w:szCs w:val="20"/>
        </w:rPr>
        <w:t>“Profesionālo izglītības iestāžu audzēkņu dalība darba vidē balstītās mācībās un mācību praksēs uzņēmumos”</w:t>
      </w:r>
      <w:r>
        <w:rPr>
          <w:szCs w:val="20"/>
        </w:rPr>
        <w:t>, kura mērķis ir veicināt DVB mācību ieviešanu. Projekta īstenošana stiprina profesionālās izglītības kvalitāti un popularitāti, kā arī sagatavo kvalificētus speciālistus uzņēmējiem nozarēs, kurās to trūkums jūtams visvairāk. Projektā ir iesaistījušās 37 profesionālās izglītības iestādes un 2853 uzņēmumi. Līdz 2022.</w:t>
      </w:r>
      <w:r w:rsidR="00F32036">
        <w:rPr>
          <w:szCs w:val="20"/>
        </w:rPr>
        <w:t> </w:t>
      </w:r>
      <w:r>
        <w:rPr>
          <w:szCs w:val="20"/>
        </w:rPr>
        <w:t xml:space="preserve">gada martam DVB mācībās iesaistījies 2 721 izglītojamais un 8 909 izglītojamie </w:t>
      </w:r>
      <w:r w:rsidR="00F32036">
        <w:rPr>
          <w:szCs w:val="20"/>
        </w:rPr>
        <w:t>–</w:t>
      </w:r>
      <w:r>
        <w:rPr>
          <w:szCs w:val="20"/>
        </w:rPr>
        <w:t xml:space="preserve"> mācību praksē uzņēmumā.</w:t>
      </w:r>
    </w:p>
    <w:p w14:paraId="6A7558B4" w14:textId="2C2C8E6F" w:rsidR="00CA2D5A" w:rsidRPr="001A67D5" w:rsidRDefault="586EC83B" w:rsidP="00C24E26">
      <w:pPr>
        <w:jc w:val="both"/>
      </w:pPr>
      <w:r w:rsidRPr="4398C881">
        <w:rPr>
          <w:b/>
          <w:bCs/>
        </w:rPr>
        <w:lastRenderedPageBreak/>
        <w:t>Profesionālās izglītības iestāžu tīkla sakārtošana un infrastruktūras modernizācija</w:t>
      </w:r>
      <w:r w:rsidRPr="4398C881">
        <w:rPr>
          <w:b/>
          <w:bCs/>
          <w:i/>
          <w:iCs/>
        </w:rPr>
        <w:t xml:space="preserve">. </w:t>
      </w:r>
      <w:r>
        <w:t>IZM padotībā esošo profesionālās vidējās izglītības iestāžu skaits samazināts no 60 iestādēm 2009./2010.</w:t>
      </w:r>
      <w:r w:rsidR="21CFA06B">
        <w:t> </w:t>
      </w:r>
      <w:r>
        <w:t>mācību gadā līdz 21 iestādei 2017./2018.</w:t>
      </w:r>
      <w:r w:rsidR="21CFA06B">
        <w:t> </w:t>
      </w:r>
      <w:r>
        <w:t xml:space="preserve">mācību gadā, bet KM padotībā esošo profesionālās vidējās izglītības iestāžu skaits </w:t>
      </w:r>
      <w:r w:rsidR="21CFA06B">
        <w:t>–</w:t>
      </w:r>
      <w:r>
        <w:t xml:space="preserve"> no 14 iestādēm 2004./2005.</w:t>
      </w:r>
      <w:r w:rsidR="21CFA06B">
        <w:t> </w:t>
      </w:r>
      <w:r>
        <w:t>mācību gadā līdz 10 iestādēm 2017./2018.</w:t>
      </w:r>
      <w:r w:rsidR="21CFA06B">
        <w:t> </w:t>
      </w:r>
      <w:r>
        <w:t>mācību gadā. Līdz 2021./2022.</w:t>
      </w:r>
      <w:r w:rsidR="21CFA06B">
        <w:t> </w:t>
      </w:r>
      <w:r>
        <w:t xml:space="preserve">mācību gadam IZM un KM </w:t>
      </w:r>
      <w:r w:rsidRPr="001A67D5">
        <w:t xml:space="preserve">padotībā esošo profesionālās izglītības iestāžu skaits nav mainījies. Lai tālāk modernizētu profesionālās izglītības iestāžu infrastruktūru, prioritārās izglītības programmas un to izvietojumu reģionos, veicināta </w:t>
      </w:r>
      <w:bookmarkStart w:id="92" w:name="_Hlk103818154"/>
      <w:r w:rsidR="00CA2D5A" w:rsidRPr="001A67D5">
        <w:t xml:space="preserve">Profesionālās izglītības kompetences centra </w:t>
      </w:r>
      <w:bookmarkEnd w:id="92"/>
      <w:r w:rsidR="00CA2D5A" w:rsidRPr="001A67D5">
        <w:t>(</w:t>
      </w:r>
      <w:r w:rsidRPr="001A67D5">
        <w:t>PIKC</w:t>
      </w:r>
      <w:r w:rsidR="00CA2D5A" w:rsidRPr="001A67D5">
        <w:t>)</w:t>
      </w:r>
      <w:r w:rsidRPr="001A67D5">
        <w:t xml:space="preserve"> statusa iegūšana. PIKC statusu kopā ieguvušas 23 profesionālās izglītības iestādes (t.sk. viena koledža).</w:t>
      </w:r>
    </w:p>
    <w:p w14:paraId="32D8D56C" w14:textId="0EBC711D" w:rsidR="00CA2D5A" w:rsidRPr="001A67D5" w:rsidRDefault="00D44384" w:rsidP="00C24E26">
      <w:pPr>
        <w:jc w:val="both"/>
      </w:pPr>
      <w:r w:rsidRPr="000C591A">
        <w:t>Līdz 2022.gada maijam ar</w:t>
      </w:r>
      <w:r w:rsidR="00CA2D5A" w:rsidRPr="001A67D5">
        <w:t xml:space="preserve"> ERAF atbalstu pabeigti 14 projekti (11 IZM, 2 pašvaldību un 2 KM padotībā esošās profesionālās izglītības iestādēs) un turpinās 10 projekti profesionālās izglītības iestāžu infrastruktūras modernizācijai, kas paredz aprīkojuma un iekārtu iegādi, mācību un koplietošanas telpu un āra laukumu infrastruktūras modernizēšanu vai jaunu izbūvi, metodiskā centra funkciju stiprināšanu, dabaszinātņu (fizika, ķīmija, bioloģija) un matemātikas kabinetu iekārtošanu un jaunu izveidi, IKT ieviešanu un ergonomiskas mācību vides izveidi. Kopumā līdz 2023. gadam 24 projektos tiks sniegts atbalsts 23 profesionālās izglītības iestādēm.</w:t>
      </w:r>
    </w:p>
    <w:p w14:paraId="52E06678" w14:textId="3B728D88" w:rsidR="2DD64786" w:rsidRPr="000C591A" w:rsidRDefault="31ED8F3C" w:rsidP="00C24E26">
      <w:pPr>
        <w:jc w:val="both"/>
      </w:pPr>
      <w:r w:rsidRPr="001A67D5">
        <w:t>Papildus augstas gatavības projektu</w:t>
      </w:r>
      <w:r w:rsidRPr="000C591A">
        <w:t xml:space="preserve"> īstenošanai</w:t>
      </w:r>
      <w:r w:rsidR="35EBF474" w:rsidRPr="000C591A">
        <w:t xml:space="preserve"> (</w:t>
      </w:r>
      <w:r w:rsidRPr="000C591A">
        <w:t>kas saistīti ar Covid-</w:t>
      </w:r>
      <w:r w:rsidR="61EE3571" w:rsidRPr="000C591A">
        <w:t>19 krīzes pārvarēšanu un ekonomikas atlabšanu</w:t>
      </w:r>
      <w:r w:rsidR="72E7AAA5" w:rsidRPr="000C591A">
        <w:t>)</w:t>
      </w:r>
      <w:r w:rsidR="35EBF474" w:rsidRPr="000C591A">
        <w:t xml:space="preserve"> plānots ieguldīt gandrīz 18  milj. </w:t>
      </w:r>
      <w:proofErr w:type="spellStart"/>
      <w:r w:rsidR="35EBF474" w:rsidRPr="000C591A">
        <w:rPr>
          <w:i/>
        </w:rPr>
        <w:t>euro</w:t>
      </w:r>
      <w:proofErr w:type="spellEnd"/>
      <w:r w:rsidR="35EBF474" w:rsidRPr="000C591A">
        <w:t xml:space="preserve"> valsts budžeta finansējumu</w:t>
      </w:r>
      <w:r w:rsidR="61EE3571" w:rsidRPr="001A67D5">
        <w:t xml:space="preserve"> </w:t>
      </w:r>
      <w:r w:rsidR="61EE3571" w:rsidRPr="000C591A">
        <w:t>8</w:t>
      </w:r>
      <w:r w:rsidR="61EE3571" w:rsidRPr="001A67D5">
        <w:t xml:space="preserve"> IZM </w:t>
      </w:r>
      <w:r w:rsidR="72E7AAA5" w:rsidRPr="001A67D5">
        <w:t xml:space="preserve">un </w:t>
      </w:r>
      <w:r w:rsidR="72E7AAA5" w:rsidRPr="000C591A">
        <w:t>2</w:t>
      </w:r>
      <w:r w:rsidR="72E7AAA5" w:rsidRPr="001A67D5">
        <w:t xml:space="preserve"> KM profesionālās </w:t>
      </w:r>
      <w:r w:rsidR="35EBF474" w:rsidRPr="000C591A">
        <w:t xml:space="preserve">izglītības iestāžu modernizācijas projektu turpināšanai Rīgā, Liepājā, Kuldīgā, Daugavpilī un Rēzeknē. </w:t>
      </w:r>
    </w:p>
    <w:p w14:paraId="43806D85" w14:textId="6CE888F8" w:rsidR="00CA2D5A" w:rsidRDefault="00CA2D5A" w:rsidP="00C24E26">
      <w:pPr>
        <w:jc w:val="both"/>
      </w:pPr>
      <w:r w:rsidRPr="001A67D5">
        <w:rPr>
          <w:b/>
        </w:rPr>
        <w:t>Sadarbības stiprināšana ar sociālajiem partneriem</w:t>
      </w:r>
      <w:r w:rsidRPr="001A67D5">
        <w:t xml:space="preserve"> </w:t>
      </w:r>
      <w:r w:rsidRPr="001A67D5">
        <w:rPr>
          <w:b/>
        </w:rPr>
        <w:t>un nozares organizācijām</w:t>
      </w:r>
      <w:r w:rsidRPr="001A67D5">
        <w:t>, lai nodrošinātu speciālistu</w:t>
      </w:r>
      <w:r>
        <w:t xml:space="preserve"> sagatavošanu atbilstoši darba tirgus prasībām. Visās IZM padotībā esošajās profesionālajās izglītības iestādēs kopš 2016. gada sākuma darbojas koleģiāla padomdevēju institūciju – konvents. Tā mērķis ir veicināt profesionālās izglītības iestādes attīstību, nosakot tās darbības stratēģiskos virzienus, atbilstoši darba tirgus prasībām.</w:t>
      </w:r>
    </w:p>
    <w:p w14:paraId="30F666A0" w14:textId="77777777" w:rsidR="00CA2D5A" w:rsidRDefault="586EC83B" w:rsidP="00C24E26">
      <w:pPr>
        <w:jc w:val="both"/>
      </w:pPr>
      <w:r>
        <w:t>Darbojas LDDK, Lauksaimnieku organizāciju sadarbības padomes</w:t>
      </w:r>
      <w:r w:rsidR="00CA2D5A">
        <w:t xml:space="preserve"> (LOSP)</w:t>
      </w:r>
      <w:r>
        <w:t xml:space="preserve"> un Kultūrizglītības padomes koordinētās </w:t>
      </w:r>
      <w:r w:rsidR="00CA2D5A">
        <w:t>Nozaru ekspertu padomes</w:t>
      </w:r>
      <w:r>
        <w:t xml:space="preserve"> </w:t>
      </w:r>
      <w:r w:rsidR="00CA2D5A">
        <w:t>(</w:t>
      </w:r>
      <w:r>
        <w:t>NEP</w:t>
      </w:r>
      <w:r w:rsidR="00CA2D5A">
        <w:t>)</w:t>
      </w:r>
      <w:r>
        <w:t>, nozaru ekspertiem iesaistoties profesionālās izglītības satura attīstībā, īstenošanā un kvalifikācijas eksāmenu vērtēšanā, kā arī reformu īstenošanā profesionālajā izglītībā, t.sk. risinot jautājumus, kas saistās ar attiecīgās nozares speciālistu pieprasījumu un piedāvājumu darba tirgū.</w:t>
      </w:r>
      <w:bookmarkStart w:id="93" w:name="_Hlk103588225"/>
    </w:p>
    <w:p w14:paraId="77CBE3C2" w14:textId="77777777" w:rsidR="00CA2D5A" w:rsidRDefault="00CA2D5A" w:rsidP="00C24E26">
      <w:pPr>
        <w:jc w:val="both"/>
        <w:rPr>
          <w:szCs w:val="20"/>
        </w:rPr>
      </w:pPr>
    </w:p>
    <w:p w14:paraId="63ED8F4C" w14:textId="3352121A" w:rsidR="00CA2D5A" w:rsidRPr="00F32036" w:rsidRDefault="00CA2D5A" w:rsidP="002338E7">
      <w:pPr>
        <w:pStyle w:val="Heading2"/>
        <w:rPr>
          <w:color w:val="000000" w:themeColor="text1"/>
        </w:rPr>
      </w:pPr>
      <w:bookmarkStart w:id="94" w:name="_Toc106366810"/>
      <w:r w:rsidRPr="002338E7">
        <w:rPr>
          <w:color w:val="000000" w:themeColor="text1"/>
        </w:rPr>
        <w:t>4.</w:t>
      </w:r>
      <w:r w:rsidR="00F32036" w:rsidRPr="002338E7">
        <w:rPr>
          <w:color w:val="000000" w:themeColor="text1"/>
        </w:rPr>
        <w:t>3</w:t>
      </w:r>
      <w:r w:rsidRPr="002338E7">
        <w:rPr>
          <w:color w:val="000000" w:themeColor="text1"/>
        </w:rPr>
        <w:t>. Aktuālie pasākumi augstākajā izglītībā</w:t>
      </w:r>
      <w:bookmarkEnd w:id="94"/>
    </w:p>
    <w:bookmarkEnd w:id="93"/>
    <w:p w14:paraId="2B9F4056" w14:textId="6682B9E5" w:rsidR="00CA2D5A" w:rsidRDefault="00CA2D5A" w:rsidP="00C24E26">
      <w:pPr>
        <w:jc w:val="both"/>
        <w:rPr>
          <w:bCs/>
          <w:szCs w:val="20"/>
        </w:rPr>
      </w:pPr>
      <w:r>
        <w:rPr>
          <w:b/>
          <w:szCs w:val="20"/>
        </w:rPr>
        <w:t>Augstskolu iekšējās pārvaldības modeļa maiņa un jauna augstākās izglītības institūciju tipoloģijas ieviešana.</w:t>
      </w:r>
      <w:r>
        <w:rPr>
          <w:bCs/>
          <w:szCs w:val="20"/>
        </w:rPr>
        <w:t xml:space="preserve"> 2021.</w:t>
      </w:r>
      <w:r w:rsidR="00F32036">
        <w:rPr>
          <w:bCs/>
          <w:szCs w:val="20"/>
        </w:rPr>
        <w:t> </w:t>
      </w:r>
      <w:r>
        <w:rPr>
          <w:bCs/>
          <w:szCs w:val="20"/>
        </w:rPr>
        <w:t>gada 16.</w:t>
      </w:r>
      <w:r w:rsidR="00F32036">
        <w:rPr>
          <w:bCs/>
          <w:szCs w:val="20"/>
        </w:rPr>
        <w:t> </w:t>
      </w:r>
      <w:r>
        <w:rPr>
          <w:bCs/>
          <w:szCs w:val="20"/>
        </w:rPr>
        <w:t xml:space="preserve">augustā stājās spēkā grozījumi </w:t>
      </w:r>
      <w:r>
        <w:rPr>
          <w:bCs/>
          <w:i/>
          <w:iCs/>
          <w:szCs w:val="20"/>
        </w:rPr>
        <w:t>Augstskolu likumā</w:t>
      </w:r>
      <w:r>
        <w:rPr>
          <w:bCs/>
          <w:szCs w:val="20"/>
        </w:rPr>
        <w:t xml:space="preserve">, kas ietver divas būtiskas izmaiņas: (1) nosaka augstskolu tipus:  zinātnes universitātes, mākslu un kultūras universitātes, lietišķo zinātņu universitātes un lietišķo zinātņu augstskolas (paredzēts, ka augstskolas tipu nosaka tās dibinātājs); (2) paredz ieviest valsts dibinātajās augstskolās jaunu iekšējās pārvaldības institūciju </w:t>
      </w:r>
      <w:r w:rsidR="002338E7">
        <w:rPr>
          <w:bCs/>
          <w:szCs w:val="20"/>
        </w:rPr>
        <w:t>–</w:t>
      </w:r>
      <w:r>
        <w:rPr>
          <w:bCs/>
          <w:szCs w:val="20"/>
        </w:rPr>
        <w:t xml:space="preserve"> </w:t>
      </w:r>
      <w:r>
        <w:rPr>
          <w:bCs/>
          <w:i/>
          <w:iCs/>
          <w:szCs w:val="20"/>
        </w:rPr>
        <w:t>augstskolas padomi</w:t>
      </w:r>
      <w:r>
        <w:rPr>
          <w:bCs/>
          <w:szCs w:val="20"/>
        </w:rPr>
        <w:t>. Noteikts, ka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 2021.</w:t>
      </w:r>
      <w:r w:rsidR="00F32036">
        <w:rPr>
          <w:bCs/>
          <w:szCs w:val="20"/>
        </w:rPr>
        <w:t> </w:t>
      </w:r>
      <w:r>
        <w:rPr>
          <w:bCs/>
          <w:szCs w:val="20"/>
        </w:rPr>
        <w:t>gada septembrī MK apstiprināja augstskolu tipus 16 valsts augstskolām. Latvijas augstskolu padomju izveide un apstiprināšana MK noslēdzās 2022.</w:t>
      </w:r>
      <w:r w:rsidR="00F32036">
        <w:rPr>
          <w:bCs/>
          <w:szCs w:val="20"/>
        </w:rPr>
        <w:t> </w:t>
      </w:r>
      <w:r>
        <w:rPr>
          <w:bCs/>
          <w:szCs w:val="20"/>
        </w:rPr>
        <w:t>gada aprīļa vidū.</w:t>
      </w:r>
    </w:p>
    <w:p w14:paraId="1773E209" w14:textId="334AD361" w:rsidR="00CA2D5A" w:rsidRDefault="00CA2D5A" w:rsidP="00C24E26">
      <w:pPr>
        <w:jc w:val="both"/>
        <w:rPr>
          <w:bCs/>
          <w:szCs w:val="20"/>
        </w:rPr>
      </w:pPr>
      <w:r>
        <w:rPr>
          <w:bCs/>
          <w:szCs w:val="20"/>
        </w:rPr>
        <w:t>MK 2021.</w:t>
      </w:r>
      <w:r w:rsidR="00F32036">
        <w:rPr>
          <w:bCs/>
          <w:szCs w:val="20"/>
        </w:rPr>
        <w:t> </w:t>
      </w:r>
      <w:r>
        <w:rPr>
          <w:bCs/>
          <w:szCs w:val="20"/>
        </w:rPr>
        <w:t>gada septembrī atbalstīja arī stratēģisku virzību uz spēcīgāku augstākās izglītības institucionālās sistēmas izveidi. Paredzēts reorganizēt Liepājas universitāti, pievienojot to kādai no zinātnes universitātēm un izveidojot zinātnes universitātes ekosistēmu Liepājā. Reorganizējot Daugavpils Universitāti un Rēzeknes Tehnoloģiju akadēmiju, tiks izveidota jauna valsts augstskola Latgales reģionā, kurai būs augstāka starptautiskā konkurētspēja, kā arī lielāks ieguldījums reģiona tautsaimniecības attīstībā. Reorganizācijas risinājumi līdz 2022.</w:t>
      </w:r>
      <w:r w:rsidR="00F32036">
        <w:rPr>
          <w:bCs/>
          <w:szCs w:val="20"/>
        </w:rPr>
        <w:t> </w:t>
      </w:r>
      <w:r>
        <w:rPr>
          <w:bCs/>
          <w:szCs w:val="20"/>
        </w:rPr>
        <w:t>gada 1.</w:t>
      </w:r>
      <w:r w:rsidR="00F32036">
        <w:rPr>
          <w:bCs/>
          <w:szCs w:val="20"/>
        </w:rPr>
        <w:t> </w:t>
      </w:r>
      <w:r>
        <w:rPr>
          <w:bCs/>
          <w:szCs w:val="20"/>
        </w:rPr>
        <w:t>septembrim jāiesniedz izskatīšanai MK. Bez tam plānota Latvijas Jūras akadēmijas nodošana Rīgas Tehniskajai universitātei un Liepājas Jūrniecības koledžas nodošanu Rīgas Tehniskajai universitātei aģentūras statusā, tādējādi koncentrējot jūrniecības izglītības īstenošanu vienotā un savstarpēji integrētā sistēmā.</w:t>
      </w:r>
    </w:p>
    <w:p w14:paraId="53B32EFD" w14:textId="086944F9" w:rsidR="00CA2D5A" w:rsidRDefault="00CA2D5A" w:rsidP="00C24E26">
      <w:pPr>
        <w:jc w:val="both"/>
        <w:rPr>
          <w:bCs/>
          <w:szCs w:val="20"/>
        </w:rPr>
      </w:pPr>
      <w:r>
        <w:rPr>
          <w:bCs/>
          <w:i/>
          <w:iCs/>
          <w:szCs w:val="20"/>
        </w:rPr>
        <w:t>Nacionālais atveseļošanas un noturības plāna</w:t>
      </w:r>
      <w:r>
        <w:rPr>
          <w:bCs/>
          <w:szCs w:val="20"/>
        </w:rPr>
        <w:t xml:space="preserve"> 2023.-2026.</w:t>
      </w:r>
      <w:r w:rsidR="00F32036">
        <w:rPr>
          <w:bCs/>
          <w:szCs w:val="20"/>
        </w:rPr>
        <w:t> </w:t>
      </w:r>
      <w:r>
        <w:rPr>
          <w:bCs/>
          <w:szCs w:val="20"/>
        </w:rPr>
        <w:t>gadam ietvaros plānots nostiprināt augstskolu stratēģisko specializāciju un koncentrēt izglītības piedāvājumu efektīvāk izmantojot resursus, tostarp akadēmisko personālu un infrastruktūru. Paredzēta cilvēkresursu jaudas kāpināšana, attīstot un atjaunojot uz industrijas un sabiedrības attīstības vajadzībām orientētu P&amp;A personālu.</w:t>
      </w:r>
    </w:p>
    <w:p w14:paraId="1C1E70D6" w14:textId="7BE28DB0" w:rsidR="00CA2D5A" w:rsidRDefault="00CA2D5A" w:rsidP="00C24E26">
      <w:pPr>
        <w:jc w:val="both"/>
        <w:rPr>
          <w:bCs/>
          <w:szCs w:val="20"/>
        </w:rPr>
      </w:pPr>
      <w:r>
        <w:rPr>
          <w:b/>
          <w:szCs w:val="20"/>
        </w:rPr>
        <w:lastRenderedPageBreak/>
        <w:t>Jauna doktorantūras modeļa ieviešana</w:t>
      </w:r>
      <w:r>
        <w:rPr>
          <w:bCs/>
          <w:szCs w:val="20"/>
        </w:rPr>
        <w:t xml:space="preserve"> noritēs pakāpeniski līdz 2026.</w:t>
      </w:r>
      <w:r w:rsidR="00F32036">
        <w:rPr>
          <w:bCs/>
          <w:szCs w:val="20"/>
        </w:rPr>
        <w:t> </w:t>
      </w:r>
      <w:r>
        <w:rPr>
          <w:bCs/>
          <w:szCs w:val="20"/>
        </w:rPr>
        <w:t>gadam saskaņā ar</w:t>
      </w:r>
      <w:r>
        <w:rPr>
          <w:b/>
          <w:szCs w:val="20"/>
        </w:rPr>
        <w:t xml:space="preserve"> </w:t>
      </w:r>
      <w:r>
        <w:rPr>
          <w:bCs/>
          <w:szCs w:val="20"/>
        </w:rPr>
        <w:t>MK 2020.</w:t>
      </w:r>
      <w:r w:rsidR="00F32036">
        <w:rPr>
          <w:bCs/>
          <w:szCs w:val="20"/>
        </w:rPr>
        <w:t> </w:t>
      </w:r>
      <w:r>
        <w:rPr>
          <w:bCs/>
          <w:szCs w:val="20"/>
        </w:rPr>
        <w:t>gada 16.</w:t>
      </w:r>
      <w:r w:rsidR="00F32036">
        <w:rPr>
          <w:bCs/>
          <w:szCs w:val="20"/>
        </w:rPr>
        <w:t> </w:t>
      </w:r>
      <w:r>
        <w:rPr>
          <w:bCs/>
          <w:szCs w:val="20"/>
        </w:rPr>
        <w:t xml:space="preserve">jūnijā atbalstītajā konceptuālajā ziņojumā  </w:t>
      </w:r>
      <w:r>
        <w:rPr>
          <w:bCs/>
          <w:i/>
          <w:iCs/>
          <w:szCs w:val="20"/>
        </w:rPr>
        <w:t>“Par jauna doktorantūras modeļa ieviešanu Latvijā”</w:t>
      </w:r>
      <w:r>
        <w:rPr>
          <w:bCs/>
          <w:szCs w:val="20"/>
        </w:rPr>
        <w:t xml:space="preserve"> ietverto risinājumu.</w:t>
      </w:r>
      <w:r>
        <w:t xml:space="preserve"> </w:t>
      </w:r>
      <w:r>
        <w:rPr>
          <w:bCs/>
          <w:szCs w:val="20"/>
        </w:rPr>
        <w:t>Paredzēts būtiski uzlabot doktorantūras studiju kvalitāti un ieviest jaunu finansēšanas kārtību, nodrošinot doktorantiem konkurētspējīgu atalgojumu studiju laikā, kā arī noteikt vienotu promocijas kārtību, tādējādi sekmējot cilvēkresursu ataudzi augstākajā izglītībā un pētniecībā.</w:t>
      </w:r>
    </w:p>
    <w:p w14:paraId="56DB7BD0" w14:textId="41FE3169" w:rsidR="00CA2D5A" w:rsidRDefault="00CA2D5A" w:rsidP="00C24E26">
      <w:pPr>
        <w:jc w:val="both"/>
        <w:rPr>
          <w:bCs/>
          <w:szCs w:val="20"/>
        </w:rPr>
      </w:pPr>
      <w:r>
        <w:rPr>
          <w:bCs/>
          <w:szCs w:val="20"/>
        </w:rPr>
        <w:t xml:space="preserve">Pakāpeniska pāreja uz jauno doktorantūras finansēšanas modeli (līdzšinējo stipendiju vietā doktorantam piešķirot atalgojumu – vismaz 1000 </w:t>
      </w:r>
      <w:proofErr w:type="spellStart"/>
      <w:r>
        <w:rPr>
          <w:bCs/>
          <w:i/>
          <w:iCs/>
          <w:szCs w:val="20"/>
        </w:rPr>
        <w:t>euro</w:t>
      </w:r>
      <w:proofErr w:type="spellEnd"/>
      <w:r>
        <w:rPr>
          <w:bCs/>
          <w:szCs w:val="20"/>
        </w:rPr>
        <w:t xml:space="preserve"> mēnesī) notiek ar ES fondu atbalstu un saskaņā ar izstrādātu un IZM saskaņotu doktora studiju attīstības plānu. Līdz 2023.</w:t>
      </w:r>
      <w:r w:rsidR="00F32036">
        <w:rPr>
          <w:bCs/>
          <w:szCs w:val="20"/>
        </w:rPr>
        <w:t> </w:t>
      </w:r>
      <w:r>
        <w:rPr>
          <w:bCs/>
          <w:szCs w:val="20"/>
        </w:rPr>
        <w:t>gada beigām ES fondu atbalsts kopumā paredzēts 341 doktorantam. Paredzēts, ka, sākot no 2024.</w:t>
      </w:r>
      <w:r w:rsidR="00F32036">
        <w:rPr>
          <w:bCs/>
          <w:szCs w:val="20"/>
        </w:rPr>
        <w:t> </w:t>
      </w:r>
      <w:r>
        <w:rPr>
          <w:bCs/>
          <w:szCs w:val="20"/>
        </w:rPr>
        <w:t>gada, doktoranta atalgojums tiks piešķirts visiem no jauna uzņemtajiem doktorantiem, kuri konkursa kārtībā būs ieguvuši valsts budžeta studiju vietu, un tas tiks nodrošināts visu doktorantūras laiku (trīs līdz četrus studiju gadus) par 0,5 slodzi. Otru slodzes daļu (vai vismaz daļu no otras slodzes) segs doktora studiju programmas īstenotājs, iesaistot un nodarbinot pētnieciskajā vai studiju darbā.</w:t>
      </w:r>
    </w:p>
    <w:p w14:paraId="3D29ABA3" w14:textId="35F12FF1" w:rsidR="00CA2D5A" w:rsidRDefault="00CA2D5A" w:rsidP="00C24E26">
      <w:pPr>
        <w:jc w:val="both"/>
        <w:rPr>
          <w:highlight w:val="green"/>
        </w:rPr>
      </w:pPr>
      <w:r w:rsidRPr="7A74AD50">
        <w:rPr>
          <w:b/>
        </w:rPr>
        <w:t>Akadēmiskās karjeras reformas izstrāde un ieviešana</w:t>
      </w:r>
      <w:r>
        <w:t xml:space="preserve">, pamatojoties uz Pasaules Bankas ekspertu īstenotā projekta </w:t>
      </w:r>
      <w:r w:rsidRPr="7A74AD50">
        <w:rPr>
          <w:i/>
        </w:rPr>
        <w:t xml:space="preserve">“Latvia: </w:t>
      </w:r>
      <w:proofErr w:type="spellStart"/>
      <w:r w:rsidRPr="7A74AD50">
        <w:rPr>
          <w:i/>
        </w:rPr>
        <w:t>Academic</w:t>
      </w:r>
      <w:proofErr w:type="spellEnd"/>
      <w:r w:rsidRPr="7A74AD50">
        <w:rPr>
          <w:i/>
        </w:rPr>
        <w:t xml:space="preserve"> </w:t>
      </w:r>
      <w:proofErr w:type="spellStart"/>
      <w:r w:rsidRPr="7A74AD50">
        <w:rPr>
          <w:i/>
        </w:rPr>
        <w:t>Career</w:t>
      </w:r>
      <w:proofErr w:type="spellEnd"/>
      <w:r w:rsidRPr="7A74AD50">
        <w:rPr>
          <w:i/>
        </w:rPr>
        <w:t xml:space="preserve"> </w:t>
      </w:r>
      <w:proofErr w:type="spellStart"/>
      <w:r w:rsidRPr="7A74AD50">
        <w:rPr>
          <w:i/>
        </w:rPr>
        <w:t>Model</w:t>
      </w:r>
      <w:proofErr w:type="spellEnd"/>
      <w:r w:rsidRPr="7A74AD50">
        <w:rPr>
          <w:i/>
        </w:rPr>
        <w:t>”</w:t>
      </w:r>
      <w:r>
        <w:t xml:space="preserve"> (</w:t>
      </w:r>
      <w:r w:rsidRPr="7A74AD50">
        <w:rPr>
          <w:i/>
        </w:rPr>
        <w:t>Akadēmiskās karjeras modelis Latvijai</w:t>
      </w:r>
      <w:r>
        <w:t>) ieteikumiem un augstākās izglītības un zinātnes jomas pārstāvju priekšlikumiem, ieviešana notiks Latvijā pakāpeniski līdz 2026.</w:t>
      </w:r>
      <w:r w:rsidR="00F32036">
        <w:t> </w:t>
      </w:r>
      <w:r>
        <w:t xml:space="preserve">gada beigām. Jaunais akadēmiskās karjeras ietvars paaugstinās akadēmiskās karjeras pievilcību Latvijā un tādējādi veicinās labākā akadēmiskā personāla un zinātnieku, tostarp ārvalstu, piesaisti  darbam Latvijas augstskolās un zinātniskajos institūtos. Tas arī spēcinās Latvijas akadēmiskā personāla un zinātnieku profesionālo kompetenci, savstarpējo sadarbību un integrāciju pasaules zinātnes norisēs, kā arī sadarbību ar dažādu tautsaimniecības nozaru pārstāvjiem </w:t>
      </w:r>
      <w:proofErr w:type="spellStart"/>
      <w:r>
        <w:t>inovācijspēju</w:t>
      </w:r>
      <w:proofErr w:type="spellEnd"/>
      <w:r>
        <w:t xml:space="preserve"> attīstīšanai.</w:t>
      </w:r>
    </w:p>
    <w:p w14:paraId="02AA543A" w14:textId="75556D4C" w:rsidR="00CA2D5A" w:rsidRDefault="00CA2D5A" w:rsidP="00C24E26">
      <w:pPr>
        <w:jc w:val="both"/>
        <w:rPr>
          <w:bCs/>
          <w:szCs w:val="20"/>
        </w:rPr>
      </w:pPr>
      <w:r>
        <w:rPr>
          <w:bCs/>
          <w:szCs w:val="20"/>
        </w:rPr>
        <w:t>Sagaidāms, ka jaunais ietvars risinās vairākus ar izglītības piedāvājuma uzlabošanu saistītus jautājumus: (1) doktora grāda ieguvēja nodrošināšana ar akadēmiskajai karjerai atbilstošām pedagoģiskajām prasmēm; (2) plašas, sistēmiskas iespējas akadēmiskā personāla nepārtrauktai profesionālajai attīstībai, kas jo īpaši vērsta uz pedagoģisko prasmju uzlabošanu; (3) atbalsts starpinstitūciju akadēmiskā personāla profesionālajai attīstībai, tostarp mobilitātei ar mērķi docēt; (4) dažādu mācīšanas metožu ieviešana, ņemot vērā studentu dažādību un vajadzības; (5) pedagoģiskās un pētnieciskās darba slodzes līdzsvarošana arī vēlākos karjeras posmos (pētniecība bieži vien tiek vērtēta augstāk nekā pedagoģiskais darbs, jo īpaši vēlākos akadēmiskās karjeras posmos).</w:t>
      </w:r>
    </w:p>
    <w:p w14:paraId="5B6DD789" w14:textId="45B01840" w:rsidR="00CA2D5A" w:rsidRDefault="00CA2D5A" w:rsidP="00C24E26">
      <w:pPr>
        <w:pStyle w:val="xmsonormal"/>
        <w:shd w:val="clear" w:color="auto" w:fill="FFFFFF"/>
        <w:spacing w:before="0" w:beforeAutospacing="0" w:after="240" w:afterAutospacing="0"/>
        <w:jc w:val="both"/>
        <w:rPr>
          <w:rFonts w:ascii="Calibri Light" w:eastAsia="Calibri" w:hAnsi="Calibri Light"/>
          <w:bCs/>
          <w:sz w:val="20"/>
          <w:szCs w:val="20"/>
        </w:rPr>
      </w:pPr>
      <w:r>
        <w:rPr>
          <w:rFonts w:ascii="Calibri Light" w:eastAsia="Calibri" w:hAnsi="Calibri Light"/>
          <w:b/>
          <w:sz w:val="20"/>
          <w:szCs w:val="20"/>
          <w:lang w:eastAsia="en-US"/>
        </w:rPr>
        <w:t>Augstākās izglītības finansēšana.</w:t>
      </w:r>
      <w:r>
        <w:rPr>
          <w:rFonts w:ascii="Calibri Light" w:eastAsia="Calibri" w:hAnsi="Calibri Light"/>
          <w:bCs/>
          <w:sz w:val="20"/>
          <w:szCs w:val="20"/>
          <w:lang w:eastAsia="en-US"/>
        </w:rPr>
        <w:t xml:space="preserve"> 2015. gadā, lai sekmētu augstākās izglītības un zinātnes virzību uz izcilību, tika ieviests jauns trīs pīlāru augstākās izglītības finansēšanas modelis. Otrajā pīlārā tika ieviests snieguma finansējums atbilstoši politikas mērķiem par akadēmiskā personāla atjaunotni un pētniecībā balstīto augstāko izglītību- finansējuma piešķīrumā tiek ņemti vērā tādi rādītāji kā zinātniskās institūcijas piesaistītais pētniecības finansējums, iestādes darbinieki </w:t>
      </w:r>
      <w:r w:rsidR="002338E7">
        <w:rPr>
          <w:rFonts w:ascii="Calibri Light" w:eastAsia="Calibri" w:hAnsi="Calibri Light"/>
          <w:bCs/>
          <w:sz w:val="20"/>
          <w:szCs w:val="20"/>
          <w:lang w:eastAsia="en-US"/>
        </w:rPr>
        <w:t>–</w:t>
      </w:r>
      <w:r>
        <w:rPr>
          <w:rFonts w:ascii="Calibri Light" w:eastAsia="Calibri" w:hAnsi="Calibri Light"/>
          <w:bCs/>
          <w:sz w:val="20"/>
          <w:szCs w:val="20"/>
          <w:lang w:eastAsia="en-US"/>
        </w:rPr>
        <w:t xml:space="preserve"> jaunie doktoranti un maģistranti, kā arī rādītāji par sadarbību ar uzņēmējiem un piesaistīto starptautisko projektu finansējumu. </w:t>
      </w:r>
      <w:r>
        <w:rPr>
          <w:rFonts w:ascii="Calibri Light" w:eastAsia="Calibri" w:hAnsi="Calibri Light"/>
          <w:bCs/>
          <w:sz w:val="20"/>
          <w:szCs w:val="20"/>
        </w:rPr>
        <w:t xml:space="preserve">Ik gadu 14 augstskolām un koledžām, kas veiksmīgāk iesaistījušas pētniecībā un radošajā darbā studentus un jaunos zinātniekus, īstenojušas starptautiskos pētniecības projektus un sadarbojušās ar uzņēmējiem, tika piešķirts snieguma finansējums kopumā 6,5 milj. </w:t>
      </w:r>
      <w:proofErr w:type="spellStart"/>
      <w:r>
        <w:rPr>
          <w:rFonts w:ascii="Calibri Light" w:eastAsia="Calibri" w:hAnsi="Calibri Light"/>
          <w:bCs/>
          <w:i/>
          <w:iCs/>
          <w:sz w:val="20"/>
          <w:szCs w:val="20"/>
        </w:rPr>
        <w:t>euro</w:t>
      </w:r>
      <w:proofErr w:type="spellEnd"/>
      <w:r>
        <w:rPr>
          <w:rFonts w:ascii="Calibri Light" w:eastAsia="Calibri" w:hAnsi="Calibri Light"/>
          <w:bCs/>
          <w:sz w:val="20"/>
          <w:szCs w:val="20"/>
        </w:rPr>
        <w:t xml:space="preserve"> apmērā.</w:t>
      </w:r>
    </w:p>
    <w:p w14:paraId="1FF291E5" w14:textId="602266D1" w:rsidR="00CA2D5A" w:rsidRDefault="00CA2D5A" w:rsidP="00C24E26">
      <w:pPr>
        <w:jc w:val="both"/>
        <w:rPr>
          <w:szCs w:val="20"/>
        </w:rPr>
      </w:pPr>
      <w:r>
        <w:rPr>
          <w:b/>
          <w:szCs w:val="20"/>
        </w:rPr>
        <w:t>Studiju programmu fragmentācijas mazināšanās, resursu koplietošana.</w:t>
      </w:r>
      <w:r>
        <w:rPr>
          <w:szCs w:val="20"/>
        </w:rPr>
        <w:t xml:space="preserve"> Turpinās ES struktūrfondu programmu īstenošana, kuru ietvaros līdz 2023. gadam tiks investēts ESF finansējums: (1) jaunu, spēcīgu un starptautiski konkurētspējīgu studiju programmu izveidē; (2) mērķtiecīgai akadēmiskā personāla stiprināšanai (pasniedzēju kompetenču un prasmju paaugstināšanai) stratēģiskās specializācijas jomās, t.sk. jaunu pasniedzēju (doktorantu) un ārvalstu pasniedzēju piesaistei; kā arī (3) augstākās izglītības institūciju pārvaldības un organizatorisko procesu uzlabošanai, kas ietver gan vadības personāla kompetenču paaugstināšanu, lai izveidotu augstāko izglītības institūciju vadītāju un līderu loku, kas ir kompetenti darbam starptautiskā līmenī un veicina pārmaiņu vadības kultūru, gan arī augstskolu sadarbības stiprināšanu ar industriju (studiju programmu satura pilnveidei un salāgošanai ar nozares attīstības vajadzībām). Projektus īsteno gan valsts, gan privātās augstākās izglītības iestādes, t.sk. arī koledžas. Līdz 2022. gada aprīlim izstrādātas 7 kopīgas doktora studiju programmas, 61 studiju programmas ES valodās un 22 pedagoģijas studiju programmas. Sniegts ESF atbalsts 378 doktorantu, 239 ārvalsts pasniedzēju piesaistei darbam augstākās izglītības institūcijās, kā arī 1986 pasniedzēju profesionālās kompetences pilnveidei. 18 augstākās izglītības institūcijās atbalstīta attīstības stratēģiju un rezultātu pārvaldības ieviešana.</w:t>
      </w:r>
    </w:p>
    <w:p w14:paraId="37D3B09E" w14:textId="4E839BB9" w:rsidR="00CA2D5A" w:rsidRPr="00CA2D5A" w:rsidRDefault="00CA2D5A" w:rsidP="00C24E26">
      <w:pPr>
        <w:jc w:val="both"/>
        <w:rPr>
          <w:bCs/>
          <w:spacing w:val="-2"/>
          <w:szCs w:val="20"/>
        </w:rPr>
      </w:pPr>
      <w:r>
        <w:rPr>
          <w:b/>
          <w:spacing w:val="-2"/>
          <w:szCs w:val="20"/>
        </w:rPr>
        <w:t xml:space="preserve">Jaunas pedagogu sagatavošanas sistēmas ieviešana un nostiprināšana </w:t>
      </w:r>
      <w:r>
        <w:rPr>
          <w:spacing w:val="-2"/>
          <w:szCs w:val="20"/>
        </w:rPr>
        <w:t>augstskolās, ņemot vērā</w:t>
      </w:r>
      <w:r>
        <w:rPr>
          <w:b/>
          <w:spacing w:val="-2"/>
          <w:szCs w:val="20"/>
        </w:rPr>
        <w:t xml:space="preserve"> </w:t>
      </w:r>
      <w:r>
        <w:rPr>
          <w:spacing w:val="-2"/>
          <w:szCs w:val="20"/>
        </w:rPr>
        <w:t xml:space="preserve">izglītības satura reformu, kas izvirza konceptuāli citas prasības jauno pedagogu sagatavošanā. </w:t>
      </w:r>
      <w:r>
        <w:rPr>
          <w:szCs w:val="20"/>
        </w:rPr>
        <w:t>ES fondu projektu ietvaros, sadarbojoties tām augstākās izglītības iestādēm, kas īsteno skolotāju sagatavošanas studiju programmas, uzsākta jauna skolotāju izglītības satura izstrāde – notiek darbs pie pedagoģijas studiju programmu sakārtošanas, kā arī jaunas, viengadīgas DVB studiju programmas ieviešanas skolotāja kvalifikācijas iegūšanai. Kopumā 11,3</w:t>
      </w:r>
      <w:r w:rsidR="00A81E28">
        <w:rPr>
          <w:szCs w:val="20"/>
        </w:rPr>
        <w:t> </w:t>
      </w:r>
      <w:r>
        <w:rPr>
          <w:szCs w:val="20"/>
        </w:rPr>
        <w:t xml:space="preserve">milj. </w:t>
      </w:r>
      <w:proofErr w:type="spellStart"/>
      <w:r>
        <w:rPr>
          <w:i/>
          <w:iCs/>
          <w:szCs w:val="20"/>
        </w:rPr>
        <w:t>euro</w:t>
      </w:r>
      <w:proofErr w:type="spellEnd"/>
      <w:r>
        <w:rPr>
          <w:szCs w:val="20"/>
        </w:rPr>
        <w:t xml:space="preserve"> </w:t>
      </w:r>
      <w:r>
        <w:rPr>
          <w:szCs w:val="20"/>
        </w:rPr>
        <w:lastRenderedPageBreak/>
        <w:t>novirzīti skolotāju izglītības attīstībai. Jaunā DVB studiju programmu skolotāju sagatavošanai tiek īstenota no 2020. gada vasaras, un tai var pieteikties pretendenti ar jau iegūtu augstāko izglītību.</w:t>
      </w:r>
    </w:p>
    <w:p w14:paraId="4F2B809A" w14:textId="77777777" w:rsidR="00CA2D5A" w:rsidRDefault="00CA2D5A" w:rsidP="00C24E26">
      <w:pPr>
        <w:jc w:val="both"/>
        <w:rPr>
          <w:bCs/>
          <w:szCs w:val="20"/>
        </w:rPr>
      </w:pPr>
      <w:r>
        <w:rPr>
          <w:b/>
          <w:szCs w:val="20"/>
        </w:rPr>
        <w:t xml:space="preserve">Studējošo </w:t>
      </w:r>
      <w:proofErr w:type="spellStart"/>
      <w:r>
        <w:rPr>
          <w:b/>
          <w:szCs w:val="20"/>
        </w:rPr>
        <w:t>inovētspēju</w:t>
      </w:r>
      <w:proofErr w:type="spellEnd"/>
      <w:r>
        <w:rPr>
          <w:b/>
          <w:szCs w:val="20"/>
        </w:rPr>
        <w:t xml:space="preserve"> attīstība</w:t>
      </w:r>
      <w:r>
        <w:rPr>
          <w:szCs w:val="20"/>
        </w:rPr>
        <w:t xml:space="preserve">. Ar ES fondu atbalstu tiek īstenotas augstskolu izstrādātas </w:t>
      </w:r>
      <w:r>
        <w:rPr>
          <w:i/>
          <w:iCs/>
          <w:szCs w:val="20"/>
        </w:rPr>
        <w:t>Studentu inovāciju programmas</w:t>
      </w:r>
      <w:r>
        <w:rPr>
          <w:szCs w:val="20"/>
        </w:rPr>
        <w:t xml:space="preserve"> – pasākumu kopums, kas ir mērķēts uz studējošo inovāciju spēju, uzņēmīguma un </w:t>
      </w:r>
      <w:proofErr w:type="spellStart"/>
      <w:r>
        <w:rPr>
          <w:szCs w:val="20"/>
        </w:rPr>
        <w:t>uzņēmējspēju</w:t>
      </w:r>
      <w:proofErr w:type="spellEnd"/>
      <w:r>
        <w:rPr>
          <w:szCs w:val="20"/>
        </w:rPr>
        <w:t xml:space="preserve"> attīstību, sniedzot ieguldījumu jauna augsti kvalificēta darbaspēka attīstībai. Studenti tiek iesaistīti inovatīvu risinājumu izstrādē, lai risinātu praktiskas sabiedrības vai nozares problēmas, tādējādi izmantojot zināšanas praksē un mācoties darot. Jaunā studiju pieeja paredz stiprināt pētniecībā un praktiskā pieredzē balstītas augstākās izglītības īstenošanu. Īpaši tiek stiprināta augstskolu sadarbība ar uzņēmumiem, iesaistot nozares speciālistus un praktiķus kā studentu darbu vadītājus un </w:t>
      </w:r>
      <w:proofErr w:type="spellStart"/>
      <w:r>
        <w:rPr>
          <w:szCs w:val="20"/>
        </w:rPr>
        <w:t>mentorus</w:t>
      </w:r>
      <w:proofErr w:type="spellEnd"/>
      <w:r>
        <w:rPr>
          <w:szCs w:val="20"/>
        </w:rPr>
        <w:t>, studējošo darbu novērtētājus un padomdevējus. Projektu īstenošana tika uzsākta 2019. gadā un ilgs līdz 2023. gadam, kopā īstenojot 9 projektus</w:t>
      </w:r>
      <w:r>
        <w:rPr>
          <w:bCs/>
          <w:szCs w:val="20"/>
        </w:rPr>
        <w:t>.</w:t>
      </w:r>
    </w:p>
    <w:p w14:paraId="52F180AA" w14:textId="30AC347E" w:rsidR="00CA2D5A" w:rsidRDefault="00CA2D5A" w:rsidP="00C24E26">
      <w:pPr>
        <w:jc w:val="both"/>
        <w:rPr>
          <w:bCs/>
          <w:szCs w:val="20"/>
        </w:rPr>
      </w:pPr>
      <w:r>
        <w:rPr>
          <w:b/>
          <w:szCs w:val="20"/>
        </w:rPr>
        <w:t xml:space="preserve">Augstākās izglītības institūciju materiāli tehniskās bāzes modernizēšana. </w:t>
      </w:r>
      <w:r>
        <w:rPr>
          <w:bCs/>
          <w:szCs w:val="20"/>
        </w:rPr>
        <w:t xml:space="preserve">Ar ES fondu atbalstu tiek īstenota virkne pasākumu, lai paaugstinātu augstākās izglītības kvalitāti, nodrošinātu ciešāku augstākās izglītības sasaisti ar tautsaimniecību un zinātniskajām institūcijām, īpaši STEM jomās, t.sk. medicīnas un radošo industriju, studiju programmu īstenošanai. Tiek uzlabota augstskolu infrastruktūra, iegādātas iekārtas, modernizēta studiju vide, tostarp arī mācību vide koledžas. Līdz 2021. gada beigām nozīmīgākie pabeigtie objekti ir Latvijas Universitātes Akadēmiskā centra Zinātņu mājas būvniecība, kā arī Rīgas Tehniskās universitātes mācību korpusa Ķīpsalas ielā  pārbūve, pielāgojot to </w:t>
      </w:r>
      <w:proofErr w:type="spellStart"/>
      <w:r>
        <w:rPr>
          <w:bCs/>
          <w:szCs w:val="20"/>
        </w:rPr>
        <w:t>Mašīnzinību</w:t>
      </w:r>
      <w:proofErr w:type="spellEnd"/>
      <w:r>
        <w:rPr>
          <w:bCs/>
          <w:szCs w:val="20"/>
        </w:rPr>
        <w:t>, transporta un aeronautikas fakultātes vajadzībām.</w:t>
      </w:r>
    </w:p>
    <w:p w14:paraId="15E1E91B" w14:textId="77777777" w:rsidR="00CA2D5A" w:rsidRDefault="00CA2D5A" w:rsidP="00CA2D5A">
      <w:pPr>
        <w:jc w:val="both"/>
        <w:rPr>
          <w:bCs/>
          <w:szCs w:val="20"/>
        </w:rPr>
      </w:pPr>
    </w:p>
    <w:p w14:paraId="16B86124" w14:textId="3A86C69E" w:rsidR="00CA2D5A" w:rsidRPr="00CA2D5A" w:rsidRDefault="00CA2D5A" w:rsidP="002338E7">
      <w:pPr>
        <w:pStyle w:val="Heading2"/>
        <w:rPr>
          <w:color w:val="000000" w:themeColor="text1"/>
        </w:rPr>
      </w:pPr>
      <w:bookmarkStart w:id="95" w:name="_Toc106366811"/>
      <w:r w:rsidRPr="002338E7">
        <w:rPr>
          <w:color w:val="000000" w:themeColor="text1"/>
        </w:rPr>
        <w:t>4.</w:t>
      </w:r>
      <w:r w:rsidR="00F32036" w:rsidRPr="002338E7">
        <w:rPr>
          <w:color w:val="000000" w:themeColor="text1"/>
        </w:rPr>
        <w:t>4</w:t>
      </w:r>
      <w:r w:rsidRPr="002338E7">
        <w:rPr>
          <w:color w:val="000000" w:themeColor="text1"/>
        </w:rPr>
        <w:t>. Aktuālie pasākumi pieaugušo izglītībā</w:t>
      </w:r>
      <w:bookmarkEnd w:id="95"/>
    </w:p>
    <w:p w14:paraId="3A735BA0" w14:textId="4F11F236" w:rsidR="00CA2D5A" w:rsidRDefault="00CA2D5A" w:rsidP="004172F8">
      <w:pPr>
        <w:jc w:val="both"/>
        <w:rPr>
          <w:szCs w:val="20"/>
        </w:rPr>
      </w:pPr>
      <w:r w:rsidRPr="7A74AD50">
        <w:rPr>
          <w:b/>
        </w:rPr>
        <w:t>Sabiedrības izpratnes veicināšana par pieaugušo izglītības nozīmību.</w:t>
      </w:r>
      <w:r w:rsidRPr="7A74AD50">
        <w:t xml:space="preserve"> Lai vairotu iedzīvotāju informētību un izpratni ir par izglītību kā pastāvīgu procesu visas dzīves garumā un tās lomu mūsdienu mainīgajā ekonomikā, EM 2021. gadā īstenoja plašu sabiedrības informēšanas kampaņu </w:t>
      </w:r>
      <w:r w:rsidRPr="7A74AD50">
        <w:rPr>
          <w:i/>
        </w:rPr>
        <w:t>“Esi konkurētspējīgs! Uzdrošinies mācīties mūža garumā!”</w:t>
      </w:r>
      <w:r w:rsidRPr="7A74AD50">
        <w:rPr>
          <w:rStyle w:val="FootnoteReference"/>
        </w:rPr>
        <w:footnoteReference w:id="27"/>
      </w:r>
      <w:r>
        <w:rPr>
          <w:szCs w:val="20"/>
        </w:rPr>
        <w:t>.</w:t>
      </w:r>
      <w:r>
        <w:t xml:space="preserve"> </w:t>
      </w:r>
      <w:r w:rsidRPr="7A74AD50">
        <w:t xml:space="preserve">Kampaņas ietvaros īstenotas vairākas informatīvi skaidrojošās aktivitātes par mūžizglītības nozīmi, ieguvumiem un iespējām atsākt mācīties vai mainīt profesiju, tostarp cilvēku stāsti par jaunas profesijas apguvi, uzņēmēju pieredze, ieguldot darbinieku zināšanās un prasmēs, raksti par nākotnes darba tirgus tendencēm, kā arī ieteikumi jaunu zināšanu un prasmju apguvei vai pārkvalificēšanās iespējām. Lai mērķtiecīgāk sasniegtu personas ar zemu izglītību un piedāvātu tai atbilstošāku mācību piedāvājumu, ES fondu izvērtēšanas atbalsta ietvaros veikts </w:t>
      </w:r>
      <w:r w:rsidRPr="7A74AD50">
        <w:rPr>
          <w:i/>
        </w:rPr>
        <w:t xml:space="preserve">Nodarbināto pieaugušo ar zemu kvalifikāciju efektīvākas iesaistes mācībās </w:t>
      </w:r>
      <w:proofErr w:type="spellStart"/>
      <w:r w:rsidRPr="7A74AD50">
        <w:rPr>
          <w:i/>
        </w:rPr>
        <w:t>izvērtējums</w:t>
      </w:r>
      <w:proofErr w:type="spellEnd"/>
      <w:r w:rsidRPr="7A74AD50">
        <w:rPr>
          <w:i/>
        </w:rPr>
        <w:t>.</w:t>
      </w:r>
    </w:p>
    <w:p w14:paraId="768ECFC8" w14:textId="7A135047" w:rsidR="00CA2D5A" w:rsidRDefault="00CA2D5A" w:rsidP="004172F8">
      <w:pPr>
        <w:jc w:val="both"/>
        <w:rPr>
          <w:bCs/>
          <w:szCs w:val="20"/>
        </w:rPr>
      </w:pPr>
      <w:r>
        <w:rPr>
          <w:b/>
          <w:szCs w:val="20"/>
        </w:rPr>
        <w:t xml:space="preserve">Ilgtspējīgas un sociāli atbildīgas atbalsta sistēmas pieaugušo izglītībai izveide. </w:t>
      </w:r>
      <w:r>
        <w:rPr>
          <w:bCs/>
          <w:szCs w:val="20"/>
        </w:rPr>
        <w:t xml:space="preserve">2022. gada 1. aprīlī stājās spēkā grozījumi </w:t>
      </w:r>
      <w:r>
        <w:rPr>
          <w:bCs/>
          <w:i/>
          <w:iCs/>
          <w:szCs w:val="20"/>
        </w:rPr>
        <w:t>Profesionālās izglītības likumā</w:t>
      </w:r>
      <w:r>
        <w:rPr>
          <w:bCs/>
          <w:szCs w:val="20"/>
        </w:rPr>
        <w:t xml:space="preserve">, kas paredz modulāro profesionālās izglītības programmu izmantošanu pieaugušo izglītībā un nosaka izglītības dokumentus, ko izsniedz par programmas moduļa apguvi. Modulārās pieejas ieviešana ir profesionālās izglītības programmu saturiska pārstrukturēšana, dodot iespēju cilvēkiem efektīvi pārvaldīt pārmaiņas un ātrāk pielāgoties jaunajām attīstības tendencēm nozarē. Saskaņā ar </w:t>
      </w:r>
      <w:r>
        <w:rPr>
          <w:bCs/>
          <w:i/>
          <w:iCs/>
          <w:szCs w:val="20"/>
        </w:rPr>
        <w:t>Profesionālās izglītības likuma</w:t>
      </w:r>
      <w:r>
        <w:rPr>
          <w:bCs/>
          <w:szCs w:val="20"/>
        </w:rPr>
        <w:t xml:space="preserve"> grozījumiem tiek izstrādāts tiesiskais regulējums, nosakot prasības un kārtību, kādā atzīst personas kompetenci uzņemšanai profesionālās izglītības programmas vēlākos mācību posmos. Šis tiesiskais regulējums ļaus personām atgriezties izglītības sistēmā, lai turpinātu mācības pēc iepriekšējā izglītībā vai profesionālajā pieredzē iegūtās kompetences novērtēšanas un iegūt profesionālo kvalifikāciju.</w:t>
      </w:r>
    </w:p>
    <w:p w14:paraId="5FC61082" w14:textId="0E668075" w:rsidR="00CA2D5A" w:rsidRDefault="13D4367E" w:rsidP="004172F8">
      <w:pPr>
        <w:jc w:val="both"/>
      </w:pPr>
      <w:r>
        <w:t>2021. gada jūlijā EK Strukturālo reformu atbalsta ģenerāldirektorāts sadarbībā ar OECD uzsāka IZM pieteiktā Tehniskā atbalsta instrumenta projekta “</w:t>
      </w:r>
      <w:r w:rsidRPr="145F534C">
        <w:rPr>
          <w:i/>
          <w:iCs/>
        </w:rPr>
        <w:t>Atbalsts darba devējiem prasmju attīstīšanas veicināšanā Latvijā” (“</w:t>
      </w:r>
      <w:proofErr w:type="spellStart"/>
      <w:r w:rsidRPr="145F534C">
        <w:rPr>
          <w:i/>
          <w:iCs/>
        </w:rPr>
        <w:t>Support</w:t>
      </w:r>
      <w:proofErr w:type="spellEnd"/>
      <w:r w:rsidRPr="145F534C">
        <w:rPr>
          <w:i/>
          <w:iCs/>
        </w:rPr>
        <w:t xml:space="preserve"> </w:t>
      </w:r>
      <w:proofErr w:type="spellStart"/>
      <w:r w:rsidRPr="145F534C">
        <w:rPr>
          <w:i/>
          <w:iCs/>
        </w:rPr>
        <w:t>employers</w:t>
      </w:r>
      <w:proofErr w:type="spellEnd"/>
      <w:r w:rsidRPr="145F534C">
        <w:rPr>
          <w:i/>
          <w:iCs/>
        </w:rPr>
        <w:t xml:space="preserve"> </w:t>
      </w:r>
      <w:proofErr w:type="spellStart"/>
      <w:r w:rsidRPr="145F534C">
        <w:rPr>
          <w:i/>
          <w:iCs/>
        </w:rPr>
        <w:t>in</w:t>
      </w:r>
      <w:proofErr w:type="spellEnd"/>
      <w:r w:rsidRPr="145F534C">
        <w:rPr>
          <w:i/>
          <w:iCs/>
        </w:rPr>
        <w:t xml:space="preserve"> </w:t>
      </w:r>
      <w:proofErr w:type="spellStart"/>
      <w:r w:rsidRPr="145F534C">
        <w:rPr>
          <w:i/>
          <w:iCs/>
        </w:rPr>
        <w:t>promoting</w:t>
      </w:r>
      <w:proofErr w:type="spellEnd"/>
      <w:r w:rsidRPr="145F534C">
        <w:rPr>
          <w:i/>
          <w:iCs/>
        </w:rPr>
        <w:t xml:space="preserve"> </w:t>
      </w:r>
      <w:proofErr w:type="spellStart"/>
      <w:r w:rsidRPr="145F534C">
        <w:rPr>
          <w:i/>
          <w:iCs/>
        </w:rPr>
        <w:t>skills</w:t>
      </w:r>
      <w:proofErr w:type="spellEnd"/>
      <w:r w:rsidRPr="145F534C">
        <w:rPr>
          <w:i/>
          <w:iCs/>
        </w:rPr>
        <w:t xml:space="preserve"> </w:t>
      </w:r>
      <w:proofErr w:type="spellStart"/>
      <w:r w:rsidRPr="145F534C">
        <w:rPr>
          <w:i/>
          <w:iCs/>
        </w:rPr>
        <w:t>development</w:t>
      </w:r>
      <w:proofErr w:type="spellEnd"/>
      <w:r w:rsidRPr="145F534C">
        <w:rPr>
          <w:i/>
          <w:iCs/>
        </w:rPr>
        <w:t xml:space="preserve"> </w:t>
      </w:r>
      <w:proofErr w:type="spellStart"/>
      <w:r w:rsidRPr="145F534C">
        <w:rPr>
          <w:i/>
          <w:iCs/>
        </w:rPr>
        <w:t>in</w:t>
      </w:r>
      <w:proofErr w:type="spellEnd"/>
      <w:r w:rsidRPr="145F534C">
        <w:rPr>
          <w:i/>
          <w:iCs/>
        </w:rPr>
        <w:t xml:space="preserve"> Latvia”</w:t>
      </w:r>
      <w:r>
        <w:t xml:space="preserve">) </w:t>
      </w:r>
      <w:r w:rsidRPr="145F534C">
        <w:rPr>
          <w:szCs w:val="20"/>
        </w:rPr>
        <w:t>īstenošanu</w:t>
      </w:r>
      <w:r w:rsidRPr="7A74AD50">
        <w:rPr>
          <w:szCs w:val="20"/>
          <w:vertAlign w:val="superscript"/>
        </w:rPr>
        <w:footnoteReference w:id="28"/>
      </w:r>
      <w:r w:rsidRPr="145F534C">
        <w:rPr>
          <w:szCs w:val="20"/>
        </w:rPr>
        <w:t xml:space="preserve">. Projekta mērķis ir atbalstīt Latviju jauna normatīvā regulējuma izstrādē, kas atbalstīs un stimulēs darba devējus (īpaši mazos un vidējos uzņēmumus) paaugstināt savu darbinieku prasmes vai veicināt </w:t>
      </w:r>
      <w:proofErr w:type="spellStart"/>
      <w:r>
        <w:t>pārkvalifikāciju</w:t>
      </w:r>
      <w:proofErr w:type="spellEnd"/>
      <w:r>
        <w:t xml:space="preserve">. Darbinieku un darba devēju tiesību un pienākumu nostiprināšana normatīvajā ietvarā ļaus izveidot pamatu ilgtspējīgai un sociāli atbildīgai pieaugušo izglītības atbalsta sistēmai. Turklāt atbalsta sistēmas izveidi darba devējiem paredz </w:t>
      </w:r>
      <w:r w:rsidRPr="145F534C">
        <w:rPr>
          <w:i/>
          <w:iCs/>
        </w:rPr>
        <w:t>Izglītības likumā</w:t>
      </w:r>
      <w:r>
        <w:t xml:space="preserve"> ietvertais deleģējums MK </w:t>
      </w:r>
      <w:r w:rsidRPr="145F534C">
        <w:rPr>
          <w:i/>
          <w:iCs/>
        </w:rPr>
        <w:t>“noteikt atbalsta pasākumus darba devējiem darbinieku papildu izglītošanā, tai skaitā kritērijus šāda atbalsta saņemšanai un atbalsta pasākumu īstenošanas kārtību”</w:t>
      </w:r>
      <w:r>
        <w:t>. MK noteikumiem jāstājas spēkā līdz 2022. gada nogalei.</w:t>
      </w:r>
    </w:p>
    <w:p w14:paraId="4C7437F2" w14:textId="4998C2B6" w:rsidR="00CA2D5A" w:rsidRPr="001A67D5" w:rsidRDefault="00CA2D5A" w:rsidP="004172F8">
      <w:pPr>
        <w:jc w:val="both"/>
        <w:rPr>
          <w:bCs/>
          <w:szCs w:val="20"/>
        </w:rPr>
      </w:pPr>
      <w:r>
        <w:rPr>
          <w:bCs/>
          <w:szCs w:val="20"/>
        </w:rPr>
        <w:lastRenderedPageBreak/>
        <w:t xml:space="preserve">ES fondu plānošanas periodā no 2021.-2027. gadam ieplānotas nozīmīgas investīcijas pieaugušo izglītības Latvijā attīstībai ar kopējo plānoto finansējumu 56,17 milj. </w:t>
      </w:r>
      <w:proofErr w:type="spellStart"/>
      <w:r>
        <w:rPr>
          <w:bCs/>
          <w:i/>
          <w:iCs/>
          <w:szCs w:val="20"/>
        </w:rPr>
        <w:t>euro</w:t>
      </w:r>
      <w:proofErr w:type="spellEnd"/>
      <w:r>
        <w:rPr>
          <w:bCs/>
          <w:szCs w:val="20"/>
        </w:rPr>
        <w:t xml:space="preserve">, t.sk. </w:t>
      </w:r>
      <w:bookmarkStart w:id="96" w:name="_Hlk103818520"/>
      <w:r>
        <w:rPr>
          <w:bCs/>
          <w:szCs w:val="20"/>
        </w:rPr>
        <w:t xml:space="preserve">ESF+ </w:t>
      </w:r>
      <w:bookmarkEnd w:id="96"/>
      <w:r>
        <w:rPr>
          <w:bCs/>
          <w:szCs w:val="20"/>
        </w:rPr>
        <w:t xml:space="preserve">līdzfinansējumu 47,74 milj. </w:t>
      </w:r>
      <w:proofErr w:type="spellStart"/>
      <w:r>
        <w:rPr>
          <w:bCs/>
          <w:i/>
          <w:iCs/>
          <w:szCs w:val="20"/>
        </w:rPr>
        <w:t>euro</w:t>
      </w:r>
      <w:proofErr w:type="spellEnd"/>
      <w:r>
        <w:rPr>
          <w:bCs/>
          <w:szCs w:val="20"/>
        </w:rPr>
        <w:t xml:space="preserve"> (plānots uzsākt 2024. gadā). Tostarp atbalsts plānots nozares uzņēmumu izaugsmes vajadzībās balstītai nodarbināto personisko </w:t>
      </w:r>
      <w:r w:rsidRPr="001A67D5">
        <w:rPr>
          <w:bCs/>
          <w:szCs w:val="20"/>
        </w:rPr>
        <w:t xml:space="preserve">un profesionālo prasmju celšanai un mācību barjeru mazināšanai, ko plānots īstenot veidojot publisko un privāto partnerību, t.i., Latvijas kontekstam atbilstošu </w:t>
      </w:r>
      <w:r w:rsidRPr="001A67D5">
        <w:rPr>
          <w:bCs/>
          <w:i/>
          <w:iCs/>
          <w:szCs w:val="20"/>
        </w:rPr>
        <w:t>Prasmju fondu</w:t>
      </w:r>
      <w:r w:rsidRPr="001A67D5">
        <w:rPr>
          <w:bCs/>
          <w:szCs w:val="20"/>
        </w:rPr>
        <w:t xml:space="preserve"> konceptu.</w:t>
      </w:r>
    </w:p>
    <w:p w14:paraId="00516AE0" w14:textId="4E7DBA43" w:rsidR="00563DE7" w:rsidRPr="001A67D5" w:rsidRDefault="00CA2D5A" w:rsidP="004172F8">
      <w:pPr>
        <w:jc w:val="both"/>
        <w:rPr>
          <w:bCs/>
          <w:szCs w:val="20"/>
        </w:rPr>
      </w:pPr>
      <w:r w:rsidRPr="001A67D5">
        <w:rPr>
          <w:b/>
          <w:szCs w:val="20"/>
        </w:rPr>
        <w:t xml:space="preserve">Atbalsts nodarbināto kvalifikācijas pilnveidošanai. </w:t>
      </w:r>
      <w:r w:rsidRPr="001A67D5">
        <w:rPr>
          <w:bCs/>
          <w:szCs w:val="20"/>
        </w:rPr>
        <w:t xml:space="preserve">Kopš 2017. gada nodarbinātajiem pieaugušajiem ir iespēja paaugstināt savu profesionālo kompetenci un konkurētspēju, piesakoties mācībām ESF projekta </w:t>
      </w:r>
      <w:r w:rsidR="00C22E3F" w:rsidRPr="000C591A">
        <w:rPr>
          <w:bCs/>
          <w:szCs w:val="20"/>
        </w:rPr>
        <w:t>“</w:t>
      </w:r>
      <w:r w:rsidR="00C22E3F" w:rsidRPr="000C591A">
        <w:rPr>
          <w:bCs/>
          <w:i/>
          <w:iCs/>
          <w:szCs w:val="20"/>
        </w:rPr>
        <w:t>Nodarbināto personu profesionālās kompetences pilnveide”</w:t>
      </w:r>
      <w:r w:rsidR="00C22E3F" w:rsidRPr="001A67D5">
        <w:rPr>
          <w:bCs/>
          <w:i/>
          <w:iCs/>
          <w:szCs w:val="20"/>
        </w:rPr>
        <w:t xml:space="preserve"> </w:t>
      </w:r>
      <w:r w:rsidRPr="001A67D5">
        <w:rPr>
          <w:bCs/>
          <w:szCs w:val="20"/>
        </w:rPr>
        <w:t>ietvaros. Prioritāri atbalsts tiek sniegts nodarbinātajām personām no sociālā riska grupām. Kopš projekta uzsākšanas mācības īstenotas sešās pieteikšanās kārtās, kā arī vienā attālināto mācību kārtā, kas bija izsludināta papildus 2020. gada vasarā COVID-19 krīzes negatīvu seku mazināšanai. 2022. gadā mācības uzsāktas septītajā pieteikšanās kārtā. Kopš projekta sākuma mācībās kopā iesaistījušies 59 tūkst. nodarbinātie, no tiem gandrīz 11 tūkst. nodarbinātie ar zemu izglītības līmeni. Līdz 2023. gada beigām paredzēts iesaistīt mācībās vairāk nekā 87 tūkst. nodarbināto (t.sk. vairāk kā 19 tūkst. nodarbinātos ar zemu izglītības līmeni).</w:t>
      </w:r>
      <w:r w:rsidRPr="001A67D5">
        <w:rPr>
          <w:b/>
          <w:szCs w:val="20"/>
        </w:rPr>
        <w:t xml:space="preserve"> </w:t>
      </w:r>
      <w:r w:rsidRPr="001A67D5">
        <w:rPr>
          <w:bCs/>
          <w:szCs w:val="20"/>
        </w:rPr>
        <w:t xml:space="preserve">Līdzdalības šķēršļu mazināšanai un mācību iespēju paplašināšanai, ieviesta iespēja vienai personai projekta ietvaros mācīties divas reizes, samazināts personas </w:t>
      </w:r>
      <w:proofErr w:type="spellStart"/>
      <w:r w:rsidRPr="001A67D5">
        <w:rPr>
          <w:bCs/>
          <w:szCs w:val="20"/>
        </w:rPr>
        <w:t>līdzmaksājums</w:t>
      </w:r>
      <w:proofErr w:type="spellEnd"/>
      <w:r w:rsidRPr="001A67D5">
        <w:rPr>
          <w:bCs/>
          <w:szCs w:val="20"/>
        </w:rPr>
        <w:t xml:space="preserve"> līdz 5% (iepriekš 10%) no </w:t>
      </w:r>
      <w:r w:rsidR="004813D1" w:rsidRPr="000C591A">
        <w:rPr>
          <w:bCs/>
          <w:szCs w:val="20"/>
        </w:rPr>
        <w:t>profesionālās tālākizglītības programmu</w:t>
      </w:r>
      <w:r w:rsidR="004813D1" w:rsidRPr="001A67D5">
        <w:rPr>
          <w:bCs/>
          <w:szCs w:val="20"/>
        </w:rPr>
        <w:t xml:space="preserve"> </w:t>
      </w:r>
      <w:r w:rsidRPr="001A67D5">
        <w:rPr>
          <w:bCs/>
          <w:szCs w:val="20"/>
        </w:rPr>
        <w:t xml:space="preserve">mācību maksas, kā arī projekta ietvaros pieejams atbalsts ceļa izdevumiem uz kvalifikācijas prakses vietu līdz 30 </w:t>
      </w:r>
      <w:proofErr w:type="spellStart"/>
      <w:r w:rsidRPr="001A67D5">
        <w:rPr>
          <w:bCs/>
          <w:i/>
          <w:iCs/>
          <w:szCs w:val="20"/>
        </w:rPr>
        <w:t>euro</w:t>
      </w:r>
      <w:proofErr w:type="spellEnd"/>
      <w:r w:rsidRPr="001A67D5">
        <w:rPr>
          <w:bCs/>
          <w:szCs w:val="20"/>
        </w:rPr>
        <w:t xml:space="preserve"> mēnesī. Nodarbinātajiem, kam piešķirts maznodrošinātas vai trūcīgas personas statuss, tiek sniegts atbalsts reģionālajai mobilitātei, kā arī mācības ir bez maksas. Tiek nodrošināta mērķtiecīga pasākumu, tai skaitā mediju kampaņu,  īstenošana dažādu pieaugušo auditoriju, īpaši pieaugušo ar zemu izglītības līmeni, sasniegšanai un informēšanai par pieaugušo izglītību. Projektā aktīvi iesaistās profesionālās izglītības iestādes, t.sk. koledžas, augstskolas un universitātes, mācību centri</w:t>
      </w:r>
      <w:r w:rsidR="00F770DC" w:rsidRPr="001A67D5">
        <w:t xml:space="preserve"> </w:t>
      </w:r>
      <w:r w:rsidR="00F770DC" w:rsidRPr="000C591A">
        <w:rPr>
          <w:bCs/>
          <w:szCs w:val="20"/>
        </w:rPr>
        <w:t>no visiem Latvijas reģioniem</w:t>
      </w:r>
      <w:r w:rsidRPr="000C591A">
        <w:rPr>
          <w:bCs/>
          <w:szCs w:val="20"/>
        </w:rPr>
        <w:t>,</w:t>
      </w:r>
      <w:r w:rsidRPr="001A67D5">
        <w:rPr>
          <w:bCs/>
          <w:szCs w:val="20"/>
        </w:rPr>
        <w:t xml:space="preserve"> piedāvājot visdažādākos mācību veidus – profesionālās tālākizglītības</w:t>
      </w:r>
      <w:r w:rsidR="00F770DC" w:rsidRPr="001A67D5">
        <w:t xml:space="preserve"> </w:t>
      </w:r>
      <w:r w:rsidR="00F770DC" w:rsidRPr="000C591A">
        <w:rPr>
          <w:bCs/>
          <w:szCs w:val="20"/>
        </w:rPr>
        <w:t>programmas, profesionālās</w:t>
      </w:r>
      <w:r w:rsidR="00F770DC" w:rsidRPr="001A67D5">
        <w:rPr>
          <w:bCs/>
          <w:szCs w:val="20"/>
        </w:rPr>
        <w:t xml:space="preserve"> </w:t>
      </w:r>
      <w:r w:rsidRPr="000C591A">
        <w:rPr>
          <w:bCs/>
          <w:szCs w:val="20"/>
        </w:rPr>
        <w:t>pilnveides programmas</w:t>
      </w:r>
      <w:r w:rsidRPr="001A67D5">
        <w:rPr>
          <w:bCs/>
          <w:szCs w:val="20"/>
        </w:rPr>
        <w:t>, neformālās izglītības programmas, profesionālās izglītības programmu moduļus un moduļu kopas,</w:t>
      </w:r>
      <w:r w:rsidR="00F770DC" w:rsidRPr="001A67D5">
        <w:t xml:space="preserve"> </w:t>
      </w:r>
      <w:r w:rsidR="00F770DC" w:rsidRPr="000C591A">
        <w:rPr>
          <w:bCs/>
          <w:szCs w:val="20"/>
        </w:rPr>
        <w:t>kā arī</w:t>
      </w:r>
      <w:r w:rsidRPr="001A67D5">
        <w:rPr>
          <w:bCs/>
          <w:szCs w:val="20"/>
        </w:rPr>
        <w:t xml:space="preserve"> studiju moduļus un studiju kursus vairāk nekā 10 nozarēs.</w:t>
      </w:r>
    </w:p>
    <w:p w14:paraId="266270AC" w14:textId="77777777" w:rsidR="00CA2D5A" w:rsidRPr="001A67D5" w:rsidRDefault="00CA2D5A" w:rsidP="004172F8">
      <w:pPr>
        <w:jc w:val="both"/>
        <w:rPr>
          <w:bCs/>
          <w:szCs w:val="20"/>
        </w:rPr>
      </w:pPr>
      <w:r w:rsidRPr="001A67D5">
        <w:rPr>
          <w:bCs/>
          <w:szCs w:val="20"/>
        </w:rPr>
        <w:t>Uzņēmumu nodarbināto apmācībām un prasmju pilnveidošanai tiek īstenoti divi atbalsta pasākumi:</w:t>
      </w:r>
    </w:p>
    <w:p w14:paraId="29893008" w14:textId="73FBAEE4" w:rsidR="00CA2D5A" w:rsidRPr="001A67D5" w:rsidRDefault="00CA2D5A" w:rsidP="00D934D4">
      <w:pPr>
        <w:pStyle w:val="ListParagraph"/>
        <w:numPr>
          <w:ilvl w:val="0"/>
          <w:numId w:val="20"/>
        </w:numPr>
        <w:spacing w:after="120"/>
        <w:jc w:val="both"/>
        <w:rPr>
          <w:bCs/>
          <w:color w:val="000000" w:themeColor="text1"/>
          <w:szCs w:val="20"/>
        </w:rPr>
      </w:pPr>
      <w:r w:rsidRPr="001A67D5">
        <w:rPr>
          <w:bCs/>
          <w:i/>
          <w:iCs/>
          <w:color w:val="000000" w:themeColor="text1"/>
          <w:szCs w:val="20"/>
        </w:rPr>
        <w:t>“Atbalsts nodarbināto apmācībām”</w:t>
      </w:r>
      <w:r w:rsidRPr="001A67D5">
        <w:rPr>
          <w:bCs/>
          <w:color w:val="000000" w:themeColor="text1"/>
          <w:szCs w:val="20"/>
        </w:rPr>
        <w:t xml:space="preserve"> ietvaros EM sadarbībā ar nozaru asociācijām (IKT nozare, apstrādes rūpniecības </w:t>
      </w:r>
      <w:proofErr w:type="spellStart"/>
      <w:r w:rsidRPr="001A67D5">
        <w:rPr>
          <w:bCs/>
          <w:color w:val="000000" w:themeColor="text1"/>
          <w:szCs w:val="20"/>
        </w:rPr>
        <w:t>apakšnozares</w:t>
      </w:r>
      <w:proofErr w:type="spellEnd"/>
      <w:r w:rsidRPr="001A67D5">
        <w:rPr>
          <w:bCs/>
          <w:color w:val="000000" w:themeColor="text1"/>
          <w:szCs w:val="20"/>
        </w:rPr>
        <w:t>, izmitināšanas un ēdināšanas pakalpojumu nozare, starptautisko biznesa pakalpojumu centru sektors) sniedz atbalstu uzņēmējiem pilnveidot savu nodarbināto prasmes, lai nodrošinātu komersantus ar atbilstošas kvalifikācijas darbaspēku, kas sekmētu darba ražīguma pieaugumu un jaunu vai uzlabotu produktu un tehnoloģiju izstrādi un ieviešanu ražošanā. 2020. gadā tika paplašināts atbalstāmo apmācību loks, ietverot padziļinātas apmācības komersantu digitālās transformācijas veicināšanai, uzņēmējdarbības un digitālo prasmju pilnveidei. Līdz 2022. gada sākumam atbalsts sniegts 1000 komersantu 18 281 nodarbinātai personai;</w:t>
      </w:r>
    </w:p>
    <w:p w14:paraId="0F046991" w14:textId="46A56A9E" w:rsidR="00CA2D5A" w:rsidRPr="001A67D5" w:rsidRDefault="00CA2D5A" w:rsidP="00D934D4">
      <w:pPr>
        <w:pStyle w:val="ListParagraph"/>
        <w:numPr>
          <w:ilvl w:val="0"/>
          <w:numId w:val="20"/>
        </w:numPr>
        <w:spacing w:after="120"/>
        <w:jc w:val="both"/>
        <w:rPr>
          <w:bCs/>
          <w:szCs w:val="20"/>
        </w:rPr>
      </w:pPr>
      <w:r w:rsidRPr="001A67D5">
        <w:rPr>
          <w:bCs/>
          <w:i/>
          <w:iCs/>
          <w:szCs w:val="20"/>
        </w:rPr>
        <w:t>“Atbalsts IKT un netehnoloģiskām apmācībām, kā arī apmācībām, lai sekmētu investoru piesaisti”</w:t>
      </w:r>
      <w:r w:rsidRPr="001A67D5">
        <w:rPr>
          <w:bCs/>
          <w:szCs w:val="20"/>
        </w:rPr>
        <w:t xml:space="preserve">. Pasākums ir izstrādāts, lai veicinātu </w:t>
      </w:r>
      <w:proofErr w:type="spellStart"/>
      <w:r w:rsidRPr="001A67D5">
        <w:rPr>
          <w:bCs/>
          <w:szCs w:val="20"/>
        </w:rPr>
        <w:t>pašnodarbināto</w:t>
      </w:r>
      <w:proofErr w:type="spellEnd"/>
      <w:r w:rsidRPr="001A67D5">
        <w:rPr>
          <w:bCs/>
          <w:szCs w:val="20"/>
        </w:rPr>
        <w:t xml:space="preserve"> personu, kā arī MVU un lielo uzņēmumu produktivitāti un darba efektivitāti, paaugstinot to darbinieku kvalifikāciju un prasmes IKT jomā, nodrošinātu komersantus ar atbilstošas kvalifikācijas darbaspēku, sekmējot netehnoloģisko inovāciju (produktu, procesu, mārketinga vai organizācijas) ieviešanu komersantos, kā arī nodrošināt atbalstu apmācībām, veicinot investoru piesaisti. Atbalsta pasākumam pieejamais 2022. gada sākumam atbalsts sniegts 566 komersantu 6 976 nodarbinātām personām. 2022. gadā pasākuma ietvaros LIAA plāno uzsākt vairākas jaunas atbalsta aktivitātes, kas mērķētas uz augsta līmeņa apmācību organizēšanu. LIAA piedāvās uzņēmējiem Mini MBA apmācības inovāciju vadībā un digitālajā transformācijā, kā arī piedāvās apgūt </w:t>
      </w:r>
      <w:proofErr w:type="spellStart"/>
      <w:r w:rsidRPr="001A67D5">
        <w:rPr>
          <w:bCs/>
          <w:i/>
          <w:iCs/>
          <w:szCs w:val="20"/>
        </w:rPr>
        <w:t>Agile</w:t>
      </w:r>
      <w:proofErr w:type="spellEnd"/>
      <w:r w:rsidRPr="001A67D5">
        <w:rPr>
          <w:bCs/>
          <w:szCs w:val="20"/>
        </w:rPr>
        <w:t xml:space="preserve">, </w:t>
      </w:r>
      <w:proofErr w:type="spellStart"/>
      <w:r w:rsidRPr="001A67D5">
        <w:rPr>
          <w:bCs/>
          <w:i/>
          <w:iCs/>
          <w:szCs w:val="20"/>
        </w:rPr>
        <w:t>Scrum</w:t>
      </w:r>
      <w:proofErr w:type="spellEnd"/>
      <w:r w:rsidRPr="001A67D5">
        <w:rPr>
          <w:bCs/>
          <w:szCs w:val="20"/>
        </w:rPr>
        <w:t xml:space="preserve"> un </w:t>
      </w:r>
      <w:proofErr w:type="spellStart"/>
      <w:r w:rsidRPr="001A67D5">
        <w:rPr>
          <w:bCs/>
          <w:i/>
          <w:iCs/>
          <w:szCs w:val="20"/>
        </w:rPr>
        <w:t>Prince</w:t>
      </w:r>
      <w:proofErr w:type="spellEnd"/>
      <w:r w:rsidRPr="001A67D5">
        <w:rPr>
          <w:bCs/>
          <w:szCs w:val="20"/>
        </w:rPr>
        <w:t xml:space="preserve"> projekta vadības metodes.</w:t>
      </w:r>
    </w:p>
    <w:p w14:paraId="603DAB33" w14:textId="51B66219" w:rsidR="00311610" w:rsidRPr="001A67D5" w:rsidRDefault="004172F8" w:rsidP="004172F8">
      <w:pPr>
        <w:jc w:val="both"/>
      </w:pPr>
      <w:r>
        <w:br/>
      </w:r>
      <w:r w:rsidR="00563DE7" w:rsidRPr="000C591A">
        <w:t xml:space="preserve">Tāpat, lai sniegtu indivīdiem nepieciešamo atbalstu zināšanu un prasmju apguvei arī turpmāk, tiek izstrādāts </w:t>
      </w:r>
      <w:r w:rsidR="00563DE7" w:rsidRPr="000C591A">
        <w:rPr>
          <w:i/>
          <w:iCs/>
        </w:rPr>
        <w:t>Individuālo mācību kontu (IMK) koncepts</w:t>
      </w:r>
      <w:r w:rsidR="00563DE7" w:rsidRPr="000C591A">
        <w:t>, jo šobrīd darbinieks savu mācību tiesību īstenošanā bieži ir atkarīgs no darba devēja iespējām un lēmumiem. Šis instruments ļaus indivīdiem piedalīties darba tirgum atbilstošu prasmju apguvē un dos  iespēju pašiem pārvaldīt savu karjeru, tostarp saņemot atbalstu mācību vajadzību noteikšanai un mācību šķēršļu pārvarēšanai. Plānots, ka individuālās mācību iespējas dos tiesības piekļūt individualizētam budžetam, lai segtu izmaksas mācībām, konsultācijām, prasmju novērtēšanai, mobilitātes un citiem izdevumiem. Individuālās mācību tiesības būs iespējams uzkrāt un izmantot arī garākā laika periodā.</w:t>
      </w:r>
      <w:r w:rsidR="00563DE7" w:rsidRPr="001A67D5">
        <w:t xml:space="preserve"> </w:t>
      </w:r>
    </w:p>
    <w:p w14:paraId="37529E2B" w14:textId="0632A702" w:rsidR="00CA2D5A" w:rsidRPr="001A67D5" w:rsidRDefault="586EC83B" w:rsidP="004172F8">
      <w:pPr>
        <w:jc w:val="both"/>
      </w:pPr>
      <w:r w:rsidRPr="001A67D5">
        <w:rPr>
          <w:b/>
          <w:bCs/>
        </w:rPr>
        <w:t xml:space="preserve">Pieaugušo izglītības kvalitātes pilnveidošana. </w:t>
      </w:r>
      <w:r w:rsidRPr="001A67D5">
        <w:t xml:space="preserve">Izstrādāti un iesniegti Saeimā grozījumi </w:t>
      </w:r>
      <w:r w:rsidRPr="001A67D5">
        <w:rPr>
          <w:i/>
          <w:iCs/>
        </w:rPr>
        <w:t xml:space="preserve">Izglītības likumā </w:t>
      </w:r>
      <w:r w:rsidRPr="001A67D5">
        <w:t xml:space="preserve">pieaugušo neformālās izglītības kvalitātes kritēriju ieviešanai. Tie paredz ieviest Eiropas kvalitātes nodrošināšanas </w:t>
      </w:r>
      <w:proofErr w:type="spellStart"/>
      <w:r w:rsidRPr="001A67D5">
        <w:t>ietvarstruktūras</w:t>
      </w:r>
      <w:proofErr w:type="spellEnd"/>
      <w:r w:rsidRPr="001A67D5">
        <w:t xml:space="preserve"> profesionālajā izglītībā un profesionālajā tālākizglītībā</w:t>
      </w:r>
      <w:r w:rsidR="00CA2D5A" w:rsidRPr="001A67D5">
        <w:t xml:space="preserve"> (EQAVET)</w:t>
      </w:r>
      <w:r w:rsidRPr="001A67D5">
        <w:t xml:space="preserve"> principus pieaugušo neformālajā </w:t>
      </w:r>
      <w:r w:rsidRPr="001A67D5">
        <w:lastRenderedPageBreak/>
        <w:t xml:space="preserve">izglītībā. Sagatavots attiecīgs MK noteikumu projekts </w:t>
      </w:r>
      <w:r w:rsidRPr="001A67D5">
        <w:rPr>
          <w:i/>
          <w:iCs/>
        </w:rPr>
        <w:t>“Pieaugušo neformālās izglītības programmu licencēšanas un licences anulēšanas kārtība”</w:t>
      </w:r>
      <w:r w:rsidRPr="001A67D5">
        <w:t xml:space="preserve"> (tiks iesniegts MK pēc </w:t>
      </w:r>
      <w:r w:rsidRPr="001A67D5">
        <w:rPr>
          <w:i/>
          <w:iCs/>
        </w:rPr>
        <w:t>Izglītības likuma</w:t>
      </w:r>
      <w:r w:rsidRPr="001A67D5">
        <w:t xml:space="preserve"> grozījumu stāšanās spēkā).</w:t>
      </w:r>
    </w:p>
    <w:p w14:paraId="778A9DD3" w14:textId="77777777" w:rsidR="00CA2D5A" w:rsidRPr="001A67D5" w:rsidRDefault="586EC83B" w:rsidP="004172F8">
      <w:pPr>
        <w:jc w:val="both"/>
        <w:rPr>
          <w:rFonts w:cs="Calibri Light"/>
        </w:rPr>
      </w:pPr>
      <w:r w:rsidRPr="001A67D5">
        <w:rPr>
          <w:rFonts w:cs="Calibri Light"/>
        </w:rPr>
        <w:t xml:space="preserve">Lai nodrošinātu atbalstu pieaugušo kvalitatīvai izglītībai, nosakot individuālās vajadzības un kombinējot mācību piedāvājumu ar palīdzību mācību šķēršļu pārvarēšanai, izstrādāts metodiskais materiāls </w:t>
      </w:r>
      <w:r w:rsidRPr="001A67D5">
        <w:rPr>
          <w:rFonts w:cs="Calibri Light"/>
          <w:i/>
          <w:iCs/>
        </w:rPr>
        <w:t xml:space="preserve">“Ceļvedis pašvaldībām pieaugušo izglītības pārvaldībā” </w:t>
      </w:r>
      <w:r w:rsidRPr="001A67D5">
        <w:rPr>
          <w:rFonts w:cs="Calibri Light"/>
        </w:rPr>
        <w:t>un pieaugušo izglītības koordinatora amata apraksts, izveidots un stiprināts pieaugušo izglītības koordinatoru tīkls, izstrādāta pieaugušo koordinatoru kompetences pilnveides programma un notiek programmas pilotēšana (mācības), sagatavojot pašvaldību pieaugušo izglītības koordinatorus darbam ar pieaugušajiem.</w:t>
      </w:r>
      <w:r w:rsidRPr="001A67D5">
        <w:rPr>
          <w:rFonts w:cs="Calibri Light"/>
          <w:color w:val="000000" w:themeColor="text1"/>
        </w:rPr>
        <w:t xml:space="preserve"> Sadarbībā ar Latvijas Augstskolu un koledžu mūžizglītības asociāciju</w:t>
      </w:r>
      <w:r w:rsidR="00CA2D5A" w:rsidRPr="001A67D5">
        <w:rPr>
          <w:rFonts w:cs="Calibri Light"/>
          <w:color w:val="000000" w:themeColor="text1"/>
        </w:rPr>
        <w:t xml:space="preserve"> (LAKMA)</w:t>
      </w:r>
      <w:r w:rsidRPr="001A67D5">
        <w:rPr>
          <w:rFonts w:cs="Calibri Light"/>
          <w:color w:val="000000" w:themeColor="text1"/>
        </w:rPr>
        <w:t xml:space="preserve"> izstrādātas divas pedagogu profesionālās kompetences pilnveides </w:t>
      </w:r>
      <w:proofErr w:type="spellStart"/>
      <w:r w:rsidRPr="001A67D5">
        <w:rPr>
          <w:rFonts w:cs="Calibri Light"/>
          <w:color w:val="000000" w:themeColor="text1"/>
        </w:rPr>
        <w:t>paraugprogrammas</w:t>
      </w:r>
      <w:proofErr w:type="spellEnd"/>
      <w:r w:rsidRPr="001A67D5">
        <w:rPr>
          <w:rFonts w:cs="Calibri Light"/>
          <w:color w:val="000000" w:themeColor="text1"/>
        </w:rPr>
        <w:t xml:space="preserve"> darbam ar pieaugušajiem (pedagogiem un pieaugušo izglītotājiem bez pedagoģiskās izglītības). Abas programmas pilotētas sadarbībā ar Latvijas Universitāti, Rīgas Tehnisko universitāti, Rēzeknes Tehnoloģiju akadēmiju, Liepājas Universitāti, Ventspils Augstskolu.</w:t>
      </w:r>
    </w:p>
    <w:p w14:paraId="1BD5AF6D" w14:textId="7046441B" w:rsidR="00CA2D5A" w:rsidRPr="001A67D5" w:rsidRDefault="00CA2D5A" w:rsidP="004172F8">
      <w:pPr>
        <w:jc w:val="both"/>
        <w:rPr>
          <w:bCs/>
          <w:szCs w:val="20"/>
        </w:rPr>
      </w:pPr>
      <w:r w:rsidRPr="001A67D5">
        <w:rPr>
          <w:bCs/>
          <w:szCs w:val="20"/>
        </w:rPr>
        <w:t>Latvija ir uzsākusi dalību OECD Starptautiskajā pieaugušo kompetenču novērtēšanas programmā PIAAC, kas dod iespēju novērtēt 16-65 gadus vecu iedzīvotāju lasītprasmi, rēķināšanu un problēmu risināšanu, kā arī šo kompetenču izmantošanu ikdienas dzīvē un darbā. Pirmie OECD PIAAC pētījuma rezultāti tiks publicēti 2024. gadā. Iegūtie dati ļaus analizēt neatbilstības starp prasmju piedāvājumu un pieprasījumu darba tirgū un attiecīgo prasmju ietekmi uz atlīdzības apmēru, kā arī starptautiski salīdzināt Latvijas cilvēkresursu kvalitāti.</w:t>
      </w:r>
    </w:p>
    <w:p w14:paraId="6FB7A12A" w14:textId="2C0FA9B2" w:rsidR="00CA2D5A" w:rsidRPr="000C591A" w:rsidRDefault="00CA2D5A" w:rsidP="004172F8">
      <w:pPr>
        <w:jc w:val="both"/>
        <w:rPr>
          <w:strike/>
        </w:rPr>
      </w:pPr>
      <w:r w:rsidRPr="001A67D5">
        <w:rPr>
          <w:b/>
        </w:rPr>
        <w:t>Valsts profesionālās izglītības iestāžu un augstākās izglītības iestāžu iesaistes pieaugušo izglītības īstenošanā veicināšana.</w:t>
      </w:r>
      <w:r w:rsidRPr="001A67D5">
        <w:t xml:space="preserve"> Visas IZM padotības profesionālās  izglītības iestādes īsteno pieaugušo izglītību</w:t>
      </w:r>
      <w:r w:rsidR="04FC3B79" w:rsidRPr="001A67D5">
        <w:t>,</w:t>
      </w:r>
      <w:r w:rsidRPr="001A67D5">
        <w:t xml:space="preserve"> un to attīstības un investīciju stratēģijās 2021.-2027. gadam pieaugušo izglītībā ir plānots</w:t>
      </w:r>
      <w:r w:rsidR="04FC3B79" w:rsidRPr="001A67D5">
        <w:t xml:space="preserve"> palielināt pieaugušo izglītojamo skaitu un </w:t>
      </w:r>
      <w:r w:rsidRPr="001A67D5">
        <w:t xml:space="preserve"> piedāvāt profesionālās tālākizglītības programmas un ārpus formālās izglītības sistēmas apgūtās profesionālās kompetences novērtēšanu visās profesionālajās kvalifikācijās</w:t>
      </w:r>
      <w:r w:rsidR="04FC3B79" w:rsidRPr="001A67D5">
        <w:t>.</w:t>
      </w:r>
      <w:r w:rsidR="04FC3B79" w:rsidRPr="001A67D5">
        <w:rPr>
          <w:strike/>
        </w:rPr>
        <w:t>.</w:t>
      </w:r>
      <w:r w:rsidR="04FC3B79" w:rsidRPr="000C591A">
        <w:rPr>
          <w:strike/>
        </w:rPr>
        <w:t>.</w:t>
      </w:r>
    </w:p>
    <w:p w14:paraId="72AECDC7" w14:textId="58A1C1D2" w:rsidR="00CA2D5A" w:rsidRPr="001A67D5" w:rsidRDefault="00CA2D5A" w:rsidP="004172F8">
      <w:pPr>
        <w:jc w:val="both"/>
        <w:rPr>
          <w:bCs/>
          <w:szCs w:val="20"/>
        </w:rPr>
      </w:pPr>
      <w:r w:rsidRPr="001A67D5">
        <w:rPr>
          <w:bCs/>
          <w:szCs w:val="20"/>
        </w:rPr>
        <w:t>Līdz 2022. gadam profesionālās kompetences pilnveides programmās darbam ar pieaugušajam piedalījās 138 profesionālās izglītības skolotāji. 2022. gada rudenī profesionālās kompetences pilnveides programma darbam ar pieaugušajiem tiks īstenota arī augstskolu personālam.</w:t>
      </w:r>
    </w:p>
    <w:p w14:paraId="37193F82" w14:textId="5B3780BF" w:rsidR="00CA2D5A" w:rsidRPr="001A67D5" w:rsidRDefault="00CA2D5A" w:rsidP="004172F8">
      <w:pPr>
        <w:autoSpaceDE w:val="0"/>
        <w:autoSpaceDN w:val="0"/>
        <w:adjustRightInd w:val="0"/>
        <w:jc w:val="both"/>
        <w:rPr>
          <w:szCs w:val="20"/>
        </w:rPr>
      </w:pPr>
      <w:r w:rsidRPr="001A67D5">
        <w:rPr>
          <w:b/>
          <w:szCs w:val="20"/>
        </w:rPr>
        <w:t xml:space="preserve">Bezdarbnieku profesionālās apmācības, </w:t>
      </w:r>
      <w:proofErr w:type="spellStart"/>
      <w:r w:rsidRPr="001A67D5">
        <w:rPr>
          <w:b/>
          <w:szCs w:val="20"/>
        </w:rPr>
        <w:t>pārkvalifikācijas</w:t>
      </w:r>
      <w:proofErr w:type="spellEnd"/>
      <w:r w:rsidRPr="001A67D5">
        <w:rPr>
          <w:b/>
          <w:szCs w:val="20"/>
        </w:rPr>
        <w:t xml:space="preserve"> un prasmju pilnveides pasākumu pilnveidošana</w:t>
      </w:r>
      <w:r w:rsidRPr="001A67D5">
        <w:rPr>
          <w:b/>
          <w:i/>
          <w:szCs w:val="20"/>
        </w:rPr>
        <w:t>.</w:t>
      </w:r>
      <w:r w:rsidRPr="001A67D5">
        <w:rPr>
          <w:szCs w:val="20"/>
        </w:rPr>
        <w:t xml:space="preserve"> NVA īstenotajos apmācību pasākumos bezdarbniekiem un darba meklētājiem kopumā 2020. gadā bija iesaistīti 17,9 tūkst. cilvēku, savukārt 2021. gadā – 12,8 tūkst. personu. 2021. gada beigās paplašināta mērķa grupa apmācību pasākumiem – turpmāk tajos varēs iesaistīties arī bezdarba riskam pakļautās personas, īpaši gados vecākas nodarbinātās personas, nodarbinātās personas ar invaliditāti, nodarbinātās personas ar zemu izglītības līmeni.</w:t>
      </w:r>
    </w:p>
    <w:p w14:paraId="5EA62D93" w14:textId="5C1C1F92" w:rsidR="00CA2D5A" w:rsidRPr="001A67D5" w:rsidRDefault="00CA2D5A" w:rsidP="004172F8">
      <w:pPr>
        <w:autoSpaceDE w:val="0"/>
        <w:autoSpaceDN w:val="0"/>
        <w:adjustRightInd w:val="0"/>
        <w:jc w:val="both"/>
        <w:rPr>
          <w:szCs w:val="20"/>
        </w:rPr>
      </w:pPr>
      <w:r w:rsidRPr="001A67D5">
        <w:rPr>
          <w:szCs w:val="20"/>
        </w:rPr>
        <w:t xml:space="preserve">Bezdarbnieku un darba meklētāju prasmju pilnveides un darbaspēka pieejamības veicināšanas nolūkos turpinās NVA un darba devēju sadarbība. Tiek popularizētas iespējas pašiem darba devējiem iesaistīties gan bezdarbnieku atlasē, piemeklējot piemērotus kandidātus jaunajām darba vietām, gan arī sekmējot bezdarbnieku apmācību pēc tiešā darba devēja pieprasījuma un prasmju apguvi darba vietā, iesaistoties pasākumā </w:t>
      </w:r>
      <w:r w:rsidRPr="001A67D5">
        <w:rPr>
          <w:i/>
          <w:iCs/>
          <w:szCs w:val="20"/>
        </w:rPr>
        <w:t>„</w:t>
      </w:r>
      <w:r w:rsidRPr="001A67D5">
        <w:rPr>
          <w:i/>
          <w:szCs w:val="20"/>
        </w:rPr>
        <w:t>Apmācība pie darba devēja”</w:t>
      </w:r>
      <w:r w:rsidRPr="001A67D5">
        <w:rPr>
          <w:szCs w:val="20"/>
        </w:rPr>
        <w:t xml:space="preserve">. Lai sagatavotu bezdarbniekus un darba meklētājus darbam IKT, inženierzinātņu un apstrādes rūpniecības nozarēs, 2021. gada beigās pasākuma ietvaros tika paplašināta sadarbība ar minēto nozaru asociācijām, kas turpmāk varēs saņemt dotāciju apmācību pasākumu koordinēšanai, vadīšanai, attiecīgo pasniedzēju piesaistei u.c. aktivitātēm – 200 </w:t>
      </w:r>
      <w:proofErr w:type="spellStart"/>
      <w:r w:rsidRPr="001A67D5">
        <w:rPr>
          <w:szCs w:val="20"/>
        </w:rPr>
        <w:t>euro</w:t>
      </w:r>
      <w:proofErr w:type="spellEnd"/>
      <w:r w:rsidRPr="001A67D5">
        <w:rPr>
          <w:szCs w:val="20"/>
        </w:rPr>
        <w:t xml:space="preserve"> apmērā par katru apmācībā pie darba devēja iesaistīto bezdarbnieku. No 2021. gada finanšu atbalsts praktiskās apmācības pie darba devēja organizēšanai ir sasaistīts ar apgūstamās profesionālās kvalifikācijas līmeni (jo augstāks kvalifikācijas līmenis, jo augstāks dotācijas apmērs darba devējam).</w:t>
      </w:r>
    </w:p>
    <w:p w14:paraId="282F47F4" w14:textId="0EAA104E" w:rsidR="00CA2D5A" w:rsidRPr="001A67D5" w:rsidRDefault="00CA2D5A" w:rsidP="004172F8">
      <w:pPr>
        <w:autoSpaceDE w:val="0"/>
        <w:autoSpaceDN w:val="0"/>
        <w:adjustRightInd w:val="0"/>
        <w:jc w:val="both"/>
        <w:rPr>
          <w:szCs w:val="20"/>
        </w:rPr>
      </w:pPr>
      <w:r w:rsidRPr="001A67D5">
        <w:rPr>
          <w:szCs w:val="20"/>
        </w:rPr>
        <w:t>2022. un 2023.</w:t>
      </w:r>
      <w:r w:rsidR="00D934D4" w:rsidRPr="001A67D5">
        <w:rPr>
          <w:szCs w:val="20"/>
        </w:rPr>
        <w:t> </w:t>
      </w:r>
      <w:r w:rsidRPr="001A67D5">
        <w:rPr>
          <w:szCs w:val="20"/>
        </w:rPr>
        <w:t xml:space="preserve">gadā, lai mazinātu COVID-19 pandēmijas ietekmi uz darba tirgu, piesaistot </w:t>
      </w:r>
      <w:bookmarkStart w:id="97" w:name="_Hlk103818288"/>
      <w:r w:rsidRPr="001A67D5">
        <w:rPr>
          <w:szCs w:val="20"/>
        </w:rPr>
        <w:t xml:space="preserve">REACT-EU </w:t>
      </w:r>
      <w:bookmarkEnd w:id="97"/>
      <w:r w:rsidRPr="001A67D5">
        <w:rPr>
          <w:szCs w:val="20"/>
        </w:rPr>
        <w:t>finansējumu, ar NVA starpniecību tiks veicināta 11,6 tūkst. bezdarbnieku, darba meklētāju un bezdarba riskam pakļauto personu nepārtraukta zināšanu un prasmju pilnveidošana.</w:t>
      </w:r>
    </w:p>
    <w:p w14:paraId="38E83688" w14:textId="77777777" w:rsidR="00CA2D5A" w:rsidRPr="001A67D5" w:rsidRDefault="00CA2D5A" w:rsidP="004172F8">
      <w:pPr>
        <w:autoSpaceDE w:val="0"/>
        <w:autoSpaceDN w:val="0"/>
        <w:adjustRightInd w:val="0"/>
        <w:jc w:val="both"/>
      </w:pPr>
      <w:r w:rsidRPr="001A67D5">
        <w:rPr>
          <w:szCs w:val="20"/>
        </w:rPr>
        <w:t>Prasmju neatbilstību (</w:t>
      </w:r>
      <w:proofErr w:type="spellStart"/>
      <w:r w:rsidRPr="001A67D5">
        <w:rPr>
          <w:i/>
          <w:szCs w:val="20"/>
        </w:rPr>
        <w:t>skills</w:t>
      </w:r>
      <w:proofErr w:type="spellEnd"/>
      <w:r w:rsidRPr="001A67D5">
        <w:rPr>
          <w:i/>
          <w:szCs w:val="20"/>
        </w:rPr>
        <w:t xml:space="preserve"> </w:t>
      </w:r>
      <w:proofErr w:type="spellStart"/>
      <w:r w:rsidRPr="001A67D5">
        <w:rPr>
          <w:i/>
          <w:szCs w:val="20"/>
        </w:rPr>
        <w:t>mismatches</w:t>
      </w:r>
      <w:proofErr w:type="spellEnd"/>
      <w:r w:rsidRPr="001A67D5">
        <w:rPr>
          <w:szCs w:val="20"/>
        </w:rPr>
        <w:t>) mazināšanai un pieaugušo izglītības veicināšanai kopumā bezdarbniekiem, tai skaitā tiem, kas nav pabeiguši profesionālās izglītības programmas, taču ieguvuši nozīmīgu darba pieredzi vai attīstījuši prasmes ārpus formālās izglītības sistēmas, tiek piedāvāta iespēja iegūt valsts atzītu kvalifikāciju apliecinošu dokumentu, veicot ārpus formālās izglītības iegūto kompetenču novērtēšanu un atzīšanu. Līdzīgi tiesiskajā regulējumā paredzētas modulārās profesionālās izglītības programmas bezdarbniekiem un citiem NVA reģistrētajiem klientiem, kas atbilst jaunākajām tendencēm profesionālajā izglītībā ES,</w:t>
      </w:r>
      <w:r w:rsidRPr="001A67D5">
        <w:t xml:space="preserve"> </w:t>
      </w:r>
      <w:r w:rsidRPr="001A67D5">
        <w:rPr>
          <w:szCs w:val="20"/>
        </w:rPr>
        <w:t xml:space="preserve">t.sk. attālinātā veidā (līdzās attālinātām mācībām augstākās izglītības iestādes studiju moduļos). Īstenojot šīs apmācību programmas tiek pievērsta uzmanība arī kvalitātes aspektiem, izvirzot papildu prasības izglītības iestādēm attiecībā uz </w:t>
      </w:r>
      <w:r w:rsidRPr="001A67D5">
        <w:rPr>
          <w:szCs w:val="20"/>
        </w:rPr>
        <w:lastRenderedPageBreak/>
        <w:t>materiāltehniskās bāzes nodrošināšanu, vides pieejamības prasību ievērošanu, noteiktajiem sekmības rādītājiem apmācību procesā u.c. Informētākai apmācību programmu izvēlei NVA klientiem ir pieejamas karjeras konsultācijas un NVA mājaslapā publiski pieejami IKT rīki (darba tirgus prognozēšanas rīks, izglītības iestāžu meklētājs u.c.).</w:t>
      </w:r>
    </w:p>
    <w:p w14:paraId="3F80BF8C" w14:textId="399B0055" w:rsidR="00CA2D5A" w:rsidRDefault="00CA2D5A" w:rsidP="004172F8">
      <w:pPr>
        <w:autoSpaceDE w:val="0"/>
        <w:autoSpaceDN w:val="0"/>
        <w:adjustRightInd w:val="0"/>
        <w:jc w:val="both"/>
        <w:rPr>
          <w:szCs w:val="20"/>
        </w:rPr>
      </w:pPr>
      <w:r w:rsidRPr="001A67D5">
        <w:rPr>
          <w:szCs w:val="20"/>
        </w:rPr>
        <w:t xml:space="preserve">Atbilstoši OECD ietekmes novērtējumam, kurā tika salīdzinātas sekmes darba tirgū (darbā iekārtošanās rādītāji, algu apmērs, laiks, kas pavadīts bezdarba situācijā u.c. kritēriji) apmācību pasākumu dalībniekiem un kontroles grupai (nav dalībnieki), Latvijā īstenoto </w:t>
      </w:r>
      <w:bookmarkStart w:id="98" w:name="_Hlk103818558"/>
      <w:r w:rsidRPr="001A67D5">
        <w:rPr>
          <w:szCs w:val="20"/>
        </w:rPr>
        <w:t>ADTP</w:t>
      </w:r>
      <w:bookmarkEnd w:id="98"/>
      <w:r w:rsidRPr="001A67D5">
        <w:rPr>
          <w:szCs w:val="20"/>
        </w:rPr>
        <w:t xml:space="preserve"> pasākumu ietekme relatīvi ir ļoti labvēlīga. Dalība profesionālās un neformālās izglītības programmās uzlabo iespējas atrast darbu un saņemt nākotnē lielāku atalgojumu.</w:t>
      </w:r>
      <w:r w:rsidRPr="001A67D5">
        <w:t xml:space="preserve"> </w:t>
      </w:r>
      <w:r w:rsidRPr="001A67D5">
        <w:rPr>
          <w:szCs w:val="20"/>
        </w:rPr>
        <w:t>2019. un 2020. gadā pēc profesionālās tālākizglītības, pilnveides un neformālās izglītības (valodu un IKT programmas) apguves 6 mēnešus pēc pasākuma pabeigšanas pastāvīgā darbā iekārtojās attiecīgi vidēji 41% un 38% reģistrētie bezdarbnieki un darba meklētāji, kas ir uzskatāms kā augsts ietekmes novērtējuma rādītājs arī ES dalībvalstu vidū</w:t>
      </w:r>
      <w:r>
        <w:rPr>
          <w:szCs w:val="20"/>
        </w:rPr>
        <w:t>.</w:t>
      </w:r>
    </w:p>
    <w:p w14:paraId="0A689D8A" w14:textId="77777777" w:rsidR="00A81E28" w:rsidRDefault="00A81E28" w:rsidP="004172F8">
      <w:pPr>
        <w:autoSpaceDE w:val="0"/>
        <w:autoSpaceDN w:val="0"/>
        <w:adjustRightInd w:val="0"/>
        <w:jc w:val="both"/>
        <w:rPr>
          <w:szCs w:val="20"/>
        </w:rPr>
      </w:pPr>
    </w:p>
    <w:p w14:paraId="494123EB" w14:textId="2E56EA24" w:rsidR="00CA2D5A" w:rsidRPr="00CA2D5A" w:rsidRDefault="00CA2D5A" w:rsidP="002338E7">
      <w:pPr>
        <w:pStyle w:val="Heading2"/>
        <w:rPr>
          <w:color w:val="000000" w:themeColor="text1"/>
        </w:rPr>
      </w:pPr>
      <w:bookmarkStart w:id="99" w:name="_Toc106366812"/>
      <w:r w:rsidRPr="002338E7">
        <w:rPr>
          <w:color w:val="000000" w:themeColor="text1"/>
        </w:rPr>
        <w:t>4.</w:t>
      </w:r>
      <w:r w:rsidR="00F32036" w:rsidRPr="002338E7">
        <w:rPr>
          <w:color w:val="000000" w:themeColor="text1"/>
        </w:rPr>
        <w:t>5</w:t>
      </w:r>
      <w:r w:rsidR="009A05F8" w:rsidRPr="009A05F8">
        <w:rPr>
          <w:color w:val="000000" w:themeColor="text1"/>
        </w:rPr>
        <w:t>. Pasākumi iedzīvotāju digitālo prasmju attīstībai</w:t>
      </w:r>
      <w:bookmarkEnd w:id="99"/>
    </w:p>
    <w:p w14:paraId="630BC1D7" w14:textId="65F87393" w:rsidR="00CA2D5A" w:rsidRDefault="00CA2D5A" w:rsidP="004172F8">
      <w:pPr>
        <w:jc w:val="both"/>
        <w:rPr>
          <w:bCs/>
          <w:szCs w:val="20"/>
        </w:rPr>
      </w:pPr>
      <w:r>
        <w:rPr>
          <w:b/>
          <w:szCs w:val="20"/>
        </w:rPr>
        <w:t>Digitālās plaisas mazināšana</w:t>
      </w:r>
      <w:r>
        <w:rPr>
          <w:bCs/>
          <w:szCs w:val="20"/>
        </w:rPr>
        <w:t xml:space="preserve"> </w:t>
      </w:r>
      <w:r>
        <w:rPr>
          <w:b/>
          <w:szCs w:val="20"/>
        </w:rPr>
        <w:t>vispārējā un profesionālajā vidējā izglītībā.</w:t>
      </w:r>
      <w:r>
        <w:rPr>
          <w:bCs/>
          <w:szCs w:val="20"/>
        </w:rPr>
        <w:t xml:space="preserve"> 2021. gada 14. maijā augstāko valsts un Latvijas Pašvaldību savienības amatpersonu parakstītais sadarbības memorands </w:t>
      </w:r>
      <w:r>
        <w:rPr>
          <w:bCs/>
          <w:i/>
          <w:iCs/>
          <w:szCs w:val="20"/>
        </w:rPr>
        <w:t>Dators ikvienam bērnam</w:t>
      </w:r>
      <w:r>
        <w:rPr>
          <w:bCs/>
          <w:szCs w:val="20"/>
        </w:rPr>
        <w:t xml:space="preserve"> paredz līdz 2025. gadam nodrošināt mācību procesam piemērotu datoru katram skolēnam un skolotājam, kā arī datoru bibliotēkas izveidi skolās. Ar REACT-EU pieejamo finansējumu 11,2 milj. </w:t>
      </w:r>
      <w:proofErr w:type="spellStart"/>
      <w:r>
        <w:rPr>
          <w:bCs/>
          <w:i/>
          <w:iCs/>
          <w:szCs w:val="20"/>
        </w:rPr>
        <w:t>euro</w:t>
      </w:r>
      <w:proofErr w:type="spellEnd"/>
      <w:r>
        <w:rPr>
          <w:bCs/>
          <w:szCs w:val="20"/>
        </w:rPr>
        <w:t xml:space="preserve"> 2022. gadā plānots iegādāties aptuveni 26 tūkst. portatīvo datoru, kas prioritāri paredzēti 7.-9.</w:t>
      </w:r>
      <w:r w:rsidR="002338E7">
        <w:rPr>
          <w:bCs/>
          <w:szCs w:val="20"/>
        </w:rPr>
        <w:t> </w:t>
      </w:r>
      <w:r>
        <w:rPr>
          <w:bCs/>
          <w:szCs w:val="20"/>
        </w:rPr>
        <w:t xml:space="preserve">klases izglītojamajiem. </w:t>
      </w:r>
      <w:bookmarkStart w:id="100" w:name="_Hlk103818598"/>
      <w:r>
        <w:rPr>
          <w:bCs/>
          <w:szCs w:val="20"/>
        </w:rPr>
        <w:t>ANM</w:t>
      </w:r>
      <w:bookmarkEnd w:id="100"/>
      <w:r>
        <w:rPr>
          <w:bCs/>
          <w:szCs w:val="20"/>
        </w:rPr>
        <w:t xml:space="preserve"> ietvaros tiks iegādāta portatīvā datortehnika sociāli neaizsargātākajiem izglītojamiem. Datortehnika pārējām izglītojamo grupām tiks iegādāta ES fondu 2021.-2027. gada plānošanas perioda specifiskā atbalsta mērķa </w:t>
      </w:r>
      <w:r>
        <w:rPr>
          <w:bCs/>
          <w:i/>
          <w:iCs/>
          <w:szCs w:val="20"/>
        </w:rPr>
        <w:t>“Izglītības iestāžu nodrošinājums pilnveidotā mācību satura kvalitatīvai ieviešanai”</w:t>
      </w:r>
      <w:r>
        <w:rPr>
          <w:bCs/>
          <w:szCs w:val="20"/>
        </w:rPr>
        <w:t xml:space="preserve"> ietvaros.</w:t>
      </w:r>
    </w:p>
    <w:p w14:paraId="55183C48" w14:textId="4BF3DFBA" w:rsidR="00CA2D5A" w:rsidRDefault="00CA2D5A" w:rsidP="004172F8">
      <w:pPr>
        <w:jc w:val="both"/>
        <w:rPr>
          <w:bCs/>
          <w:szCs w:val="20"/>
        </w:rPr>
      </w:pPr>
      <w:r>
        <w:rPr>
          <w:b/>
          <w:szCs w:val="20"/>
        </w:rPr>
        <w:t>Digitālo prasmju attīstība augstākajā izglītībā</w:t>
      </w:r>
      <w:r>
        <w:rPr>
          <w:bCs/>
          <w:szCs w:val="20"/>
        </w:rPr>
        <w:t xml:space="preserve"> nodrošinās pārvaldības efektivitāti, akadēmiskā personāla veiktspēju, studiju kvalitātes augšanu, starptautisko konkurētspēju un augstākās izglītības iestāžu kā digitālās izcilības centru veidošanos. Ar ES fondu atbalstu Latvijas augstskolu un zinātnisko institūciju akadēmiskais un zinātniskais personāls apgūst augsta līmeņa digitālās prasmes (jaunākās tendences un metodes informāciju tehnoloģiju kursu satura sagatavošanā un pasniegšanā) Ņujorkas štata Bufalo Universitātē. Šo mācību mērķis ir nodrošināt iegūto zināšanu pārnesi Latvijas augstskolās. Kopš 2019. gada augsta līmeņa digitālās prasmes apguvuši 36 Latvijas augstākās izglītības institūciju pasniedzēji. Vēl 22 personas devās uz mācībām 2022. gada janvārī.</w:t>
      </w:r>
    </w:p>
    <w:p w14:paraId="1DCD7491" w14:textId="77777777" w:rsidR="00CA2D5A" w:rsidRDefault="00CA2D5A" w:rsidP="004172F8">
      <w:pPr>
        <w:jc w:val="both"/>
      </w:pPr>
      <w:r>
        <w:t xml:space="preserve">Lai nodrošinātu IKT nozares attīstību un apmierinātu citu nozaru pieprasījumu pēc IKT speciālistiem, mērķtiecīgi veidota trīspusēja sadarbība starp valsts pārvaldes iestādēm, vadošajiem IKT uzņēmumiem un augstākās izglītības pārstāvjiem. Izveidota vienota IT izglītības platforma </w:t>
      </w:r>
      <w:r>
        <w:rPr>
          <w:i/>
          <w:iCs/>
        </w:rPr>
        <w:t>Baltijas IT sabiedrība</w:t>
      </w:r>
      <w:r>
        <w:t xml:space="preserve"> jeb </w:t>
      </w:r>
      <w:proofErr w:type="spellStart"/>
      <w:r>
        <w:rPr>
          <w:i/>
          <w:iCs/>
        </w:rPr>
        <w:t>BITS.education</w:t>
      </w:r>
      <w:proofErr w:type="spellEnd"/>
      <w:r>
        <w:t>. Platforma apkopo IT izglītības programmas, lai sekmētu jaunu, starptautiskam tirgum gatavu IT profesionāļu sagatavošanu Latvijā, un veido digitālās kampaņas, lai piesaistītu studentus no ārvalstīm.</w:t>
      </w:r>
    </w:p>
    <w:p w14:paraId="6DFDB36B" w14:textId="10EB961C" w:rsidR="00CA2D5A" w:rsidRDefault="00CA2D5A" w:rsidP="004172F8">
      <w:pPr>
        <w:jc w:val="both"/>
        <w:rPr>
          <w:bCs/>
          <w:szCs w:val="20"/>
        </w:rPr>
      </w:pPr>
      <w:r>
        <w:rPr>
          <w:bCs/>
          <w:szCs w:val="20"/>
        </w:rPr>
        <w:t xml:space="preserve">ES Atveseļošanas palīdzības programmas REACT-EU ietvaros  plānotas investīcijas (kopējais finansējums 7,8 milj. </w:t>
      </w:r>
      <w:proofErr w:type="spellStart"/>
      <w:r>
        <w:rPr>
          <w:bCs/>
          <w:i/>
          <w:iCs/>
          <w:szCs w:val="20"/>
        </w:rPr>
        <w:t>euro</w:t>
      </w:r>
      <w:proofErr w:type="spellEnd"/>
      <w:r>
        <w:rPr>
          <w:bCs/>
          <w:szCs w:val="20"/>
        </w:rPr>
        <w:t>) studējošo digitālo prasmju attīstībai, pilnveidojot studiju saturu, mācību metodiku un ieviešot atbilstošus digitālos tehnoloģiskos risinājumus. Atbalsts veicinās IKT izglītības attīstību, ļaujot ikvienam studentam būtiski uzlabot digitālās prasmes atbilstoši mūsdienu darba tirgus vajadzībām. Atbalsts paredzēts arī docētājiem jaunā digitālā satura, mācību metodikas un digitālo tehnoloģisko risinājumu ieviešanai. 2022. gadā plānots uzsākt augstskolu projektu īstenošanu, tos pabeidzot līdz 2023. gada beigām.</w:t>
      </w:r>
    </w:p>
    <w:p w14:paraId="38D8FA6B" w14:textId="3832D394" w:rsidR="00CA2D5A" w:rsidRDefault="00CA2D5A" w:rsidP="004172F8">
      <w:pPr>
        <w:jc w:val="both"/>
        <w:rPr>
          <w:bCs/>
          <w:szCs w:val="20"/>
        </w:rPr>
      </w:pPr>
      <w:r>
        <w:rPr>
          <w:bCs/>
          <w:szCs w:val="20"/>
        </w:rPr>
        <w:t xml:space="preserve">ANM digitālās transformācijas komponentes ietvaros plānotas investīcijas augsta līmeņa digitālo prasmju apguvei (kopējais finansējums 17 milj. </w:t>
      </w:r>
      <w:proofErr w:type="spellStart"/>
      <w:r>
        <w:rPr>
          <w:bCs/>
          <w:i/>
          <w:iCs/>
          <w:szCs w:val="20"/>
        </w:rPr>
        <w:t>euro</w:t>
      </w:r>
      <w:proofErr w:type="spellEnd"/>
      <w:r>
        <w:rPr>
          <w:bCs/>
          <w:szCs w:val="20"/>
        </w:rPr>
        <w:t>). Turpmākajos sešos gados paredzēts ievērojami palielināt speciālistu skaitu ar augsta līmeņa digitālajām prasmēm (</w:t>
      </w:r>
      <w:proofErr w:type="spellStart"/>
      <w:r>
        <w:rPr>
          <w:bCs/>
          <w:szCs w:val="20"/>
        </w:rPr>
        <w:t>DigiComp</w:t>
      </w:r>
      <w:proofErr w:type="spellEnd"/>
      <w:r>
        <w:rPr>
          <w:bCs/>
          <w:szCs w:val="20"/>
        </w:rPr>
        <w:t xml:space="preserve"> 7.-8. līmenis), kas spēj pielietot augstās tehnoloģijas zināšanu un tehnoloģiju ietilpīgu jaunu produktu un pakalpojumu attīstībai dažādās nozarēs, vienlaikus arī sekmējot Latvijas lomas nostiprināšanos reģionā augsta līmeņa IKT speciālistu sagatavošanā. Investīcijas mācību un saistīto P&amp;A aktivitāšu īstenošanā plānotas trīs jomās – kvantu tehnoloģijās, augstas veiktspējas skaitļošanā un valodu tehnoloģijās. Projektus plānots īstenot no 2022. līdz 2026.</w:t>
      </w:r>
      <w:r w:rsidR="005B7082">
        <w:rPr>
          <w:bCs/>
          <w:szCs w:val="20"/>
        </w:rPr>
        <w:t> </w:t>
      </w:r>
      <w:r>
        <w:rPr>
          <w:bCs/>
          <w:szCs w:val="20"/>
        </w:rPr>
        <w:t>gadam.</w:t>
      </w:r>
    </w:p>
    <w:p w14:paraId="770BC019" w14:textId="1F224FA4" w:rsidR="00CA2D5A" w:rsidRDefault="00CA2D5A" w:rsidP="004172F8">
      <w:pPr>
        <w:jc w:val="both"/>
        <w:rPr>
          <w:bCs/>
          <w:szCs w:val="20"/>
        </w:rPr>
      </w:pPr>
      <w:r>
        <w:rPr>
          <w:bCs/>
          <w:szCs w:val="20"/>
        </w:rPr>
        <w:t>Atbalsta programmas digitālo prasmju attīstībai tiks turpinātas ar citiem atbalsta pasākumiem arī ES fondu plānošanas periodā 2021.</w:t>
      </w:r>
      <w:r w:rsidR="005B7082">
        <w:rPr>
          <w:bCs/>
          <w:szCs w:val="20"/>
        </w:rPr>
        <w:t>-</w:t>
      </w:r>
      <w:r>
        <w:rPr>
          <w:bCs/>
          <w:szCs w:val="20"/>
        </w:rPr>
        <w:t>2027.</w:t>
      </w:r>
      <w:r w:rsidR="005B7082">
        <w:rPr>
          <w:bCs/>
          <w:szCs w:val="20"/>
        </w:rPr>
        <w:t> </w:t>
      </w:r>
      <w:r>
        <w:rPr>
          <w:bCs/>
          <w:szCs w:val="20"/>
        </w:rPr>
        <w:t>gadam, kur digitālā transformācija ir viens no ES izvirzītajiem prioritārajiem virzieniem.</w:t>
      </w:r>
    </w:p>
    <w:p w14:paraId="18D56822" w14:textId="34F2E2B6" w:rsidR="00CA2D5A" w:rsidRPr="002338E7" w:rsidRDefault="586EC83B" w:rsidP="004172F8">
      <w:pPr>
        <w:autoSpaceDE w:val="0"/>
        <w:autoSpaceDN w:val="0"/>
        <w:adjustRightInd w:val="0"/>
        <w:jc w:val="both"/>
        <w:rPr>
          <w:color w:val="000000" w:themeColor="text1"/>
        </w:rPr>
      </w:pPr>
      <w:r w:rsidRPr="4398C881">
        <w:rPr>
          <w:b/>
          <w:bCs/>
          <w:color w:val="000000" w:themeColor="text1"/>
        </w:rPr>
        <w:lastRenderedPageBreak/>
        <w:t>IKT prasmju un kompetenču apguve bezdarbniekiem, darba meklētājiem un bezdarba riskam pakļautajām personām.</w:t>
      </w:r>
      <w:r w:rsidRPr="4398C881">
        <w:rPr>
          <w:color w:val="000000" w:themeColor="text1"/>
        </w:rPr>
        <w:t xml:space="preserve"> Lai pārvarētu Covid-19 krīzi, pārskatīti un pilnveidoti NVA sniegtie pakalpojumi un pasākumi, pielāgojot tos situācijai darba tirgū un valstī noteiktajiem ierobežojumiem saistībā ar mainīgo epidemioloģisko situāciju. Kopš 2020. gada vairāki NVA pakalpojumi un pasākumi piedāvāti attālināti un attīstīta apmācību programmu pieejamība elektroniskajā vidē. 2021. gada februārī NVA organizēto apmācību piedāvājums tika paplašināts ar papildu digitālo prasmju/datorikas profesionālās pilnveides izglītības programmām, kā arī IKT moduļiem no modulārās profesionālās izglītības programmām profesionālajā tālākizglītībā un IKT augstākās izglītības iestādes studiju kursiem/moduļiem. Apmācības jaunu digitālo prasmju apguvei tika īstenoti gan klātienē, gan attālināti </w:t>
      </w:r>
      <w:r w:rsidR="2F731059" w:rsidRPr="4398C881">
        <w:rPr>
          <w:color w:val="000000" w:themeColor="text1"/>
        </w:rPr>
        <w:t>–</w:t>
      </w:r>
      <w:r w:rsidRPr="4398C881">
        <w:rPr>
          <w:color w:val="000000" w:themeColor="text1"/>
        </w:rPr>
        <w:t xml:space="preserve"> tiešsaistē. 2021. gada septembrī NVA uzsāka īstenot pilotprojektu </w:t>
      </w:r>
      <w:r w:rsidRPr="4398C881">
        <w:rPr>
          <w:i/>
          <w:iCs/>
          <w:color w:val="000000" w:themeColor="text1"/>
        </w:rPr>
        <w:t>“Nākotnes prasmju iniciatīva”</w:t>
      </w:r>
      <w:r w:rsidRPr="4398C881">
        <w:rPr>
          <w:color w:val="000000" w:themeColor="text1"/>
        </w:rPr>
        <w:t>. Tā ietvaros bezdarbniekiem, darba meklētājiem, kā arī bezdarba riskam pakļautām (nodarbinātām) personām, kuras vēlas pilnveidot savas prasmes un uzlabot konkurētspēju darba tirgū, tiek piedāvāta iespēja saņemt atbalstu līdz 500</w:t>
      </w:r>
      <w:r w:rsidR="2F731059" w:rsidRPr="4398C881">
        <w:rPr>
          <w:color w:val="000000" w:themeColor="text1"/>
        </w:rPr>
        <w:t> </w:t>
      </w:r>
      <w:proofErr w:type="spellStart"/>
      <w:r w:rsidRPr="00D209BD">
        <w:rPr>
          <w:i/>
          <w:iCs/>
          <w:color w:val="000000" w:themeColor="text1"/>
        </w:rPr>
        <w:t>euro</w:t>
      </w:r>
      <w:proofErr w:type="spellEnd"/>
      <w:r w:rsidRPr="4398C881">
        <w:rPr>
          <w:color w:val="000000" w:themeColor="text1"/>
        </w:rPr>
        <w:t xml:space="preserve"> apmērā digitālo un citu  darba tirgū pieprasītu prasmju apgūšanai atvērtajos tiešsaistes kursu platformās, piemēram, </w:t>
      </w:r>
      <w:proofErr w:type="spellStart"/>
      <w:r w:rsidRPr="4398C881">
        <w:rPr>
          <w:i/>
          <w:iCs/>
          <w:color w:val="000000" w:themeColor="text1"/>
        </w:rPr>
        <w:t>Coursera</w:t>
      </w:r>
      <w:proofErr w:type="spellEnd"/>
      <w:r w:rsidRPr="4398C881">
        <w:rPr>
          <w:color w:val="000000" w:themeColor="text1"/>
        </w:rPr>
        <w:t xml:space="preserve"> u.c. (cilvēks pēc izvēles var apgūt līdz sešiem kursiem). Līdz 2022. gada februārim dalībai pilotprojektā saņemti 1 624 dalībnieku pieteikumi. Kursu apguvi bija uzsākušas 627 personas, no kurām 295</w:t>
      </w:r>
      <w:r w:rsidR="2F731059" w:rsidRPr="4398C881">
        <w:rPr>
          <w:color w:val="000000" w:themeColor="text1"/>
        </w:rPr>
        <w:t> </w:t>
      </w:r>
      <w:r w:rsidRPr="4398C881">
        <w:rPr>
          <w:color w:val="000000" w:themeColor="text1"/>
        </w:rPr>
        <w:t>personas pabeigušas dalību apmācībās.</w:t>
      </w:r>
    </w:p>
    <w:p w14:paraId="4E08AD4D" w14:textId="68A744F4" w:rsidR="00CA2D5A" w:rsidRPr="001A67D5" w:rsidRDefault="00CA2D5A" w:rsidP="004172F8">
      <w:pPr>
        <w:autoSpaceDE w:val="0"/>
        <w:autoSpaceDN w:val="0"/>
        <w:adjustRightInd w:val="0"/>
        <w:jc w:val="both"/>
        <w:rPr>
          <w:szCs w:val="20"/>
        </w:rPr>
      </w:pPr>
      <w:r>
        <w:rPr>
          <w:szCs w:val="20"/>
        </w:rPr>
        <w:t>2023.</w:t>
      </w:r>
      <w:r w:rsidR="002338E7">
        <w:rPr>
          <w:szCs w:val="20"/>
        </w:rPr>
        <w:t> </w:t>
      </w:r>
      <w:r>
        <w:rPr>
          <w:szCs w:val="20"/>
        </w:rPr>
        <w:t xml:space="preserve">gadā NVA apmācību pasākumu īstenošanai tiks piesaistīts arī ES ANM finansējums 28,7 milj. </w:t>
      </w:r>
      <w:proofErr w:type="spellStart"/>
      <w:r>
        <w:rPr>
          <w:szCs w:val="20"/>
        </w:rPr>
        <w:t>euro</w:t>
      </w:r>
      <w:proofErr w:type="spellEnd"/>
      <w:r>
        <w:rPr>
          <w:szCs w:val="20"/>
        </w:rPr>
        <w:t xml:space="preserve"> apmērā, ar kura palīdzību 2024.-2025.</w:t>
      </w:r>
      <w:r w:rsidR="002338E7">
        <w:rPr>
          <w:szCs w:val="20"/>
        </w:rPr>
        <w:t> </w:t>
      </w:r>
      <w:r>
        <w:rPr>
          <w:szCs w:val="20"/>
        </w:rPr>
        <w:t xml:space="preserve">gadā tiks pilnveidotas prasmes 20,5 tūkst. personām. Šī projekta ietvaros uzsvars tiks </w:t>
      </w:r>
      <w:r w:rsidRPr="001A67D5">
        <w:rPr>
          <w:szCs w:val="20"/>
        </w:rPr>
        <w:t>likts uz bezdarbnieku, darba meklētāju un bezdarba riskam pakļauto personu digitālo prasmju attīstību, atbilstoši ANM plānā iekļautajai digitālās transformācijas komponentei.</w:t>
      </w:r>
    </w:p>
    <w:p w14:paraId="740D2153" w14:textId="5DF86C81" w:rsidR="00D33F7F" w:rsidRPr="001A67D5" w:rsidRDefault="00D33F7F" w:rsidP="004172F8">
      <w:pPr>
        <w:autoSpaceDE w:val="0"/>
        <w:autoSpaceDN w:val="0"/>
        <w:adjustRightInd w:val="0"/>
        <w:jc w:val="both"/>
        <w:rPr>
          <w:szCs w:val="20"/>
        </w:rPr>
      </w:pPr>
      <w:r w:rsidRPr="000C591A">
        <w:rPr>
          <w:b/>
          <w:bCs/>
          <w:szCs w:val="20"/>
        </w:rPr>
        <w:t>Nodarbināto personu digitālo prasmju pilnveide.</w:t>
      </w:r>
      <w:r w:rsidRPr="000C591A">
        <w:rPr>
          <w:szCs w:val="20"/>
        </w:rPr>
        <w:t xml:space="preserve"> VIAA īstenotā ESF projekta </w:t>
      </w:r>
      <w:r w:rsidRPr="000C591A">
        <w:rPr>
          <w:i/>
          <w:iCs/>
          <w:szCs w:val="20"/>
        </w:rPr>
        <w:t>“</w:t>
      </w:r>
      <w:r w:rsidR="00193F26" w:rsidRPr="000C591A">
        <w:rPr>
          <w:i/>
          <w:iCs/>
          <w:szCs w:val="20"/>
        </w:rPr>
        <w:t>Nodarbināto personu profesionālās kompetences pilnveide</w:t>
      </w:r>
      <w:r w:rsidRPr="000C591A">
        <w:rPr>
          <w:i/>
          <w:iCs/>
          <w:szCs w:val="20"/>
        </w:rPr>
        <w:t>”</w:t>
      </w:r>
      <w:r w:rsidRPr="000C591A">
        <w:rPr>
          <w:szCs w:val="20"/>
        </w:rPr>
        <w:t xml:space="preserve">  ietvaros visās īstenotajās mācību kārtās sniegts atbalsts nodarbināto digitālo prasmju apguvei. Vairāk nekā puse no projektā iesaistītajiem nodarbinātajiem (32 tūkst. no 59.tūkstošiem) mācību ietvaros pilnveidoja digitālās prasmes. Covid-19 krīzes negatīvo seku mazināšanai 2020.gadā tika īstenota viena pilnībā attālināto mācību kārta. Arī turpmākajās kārtās (6. un 7.) mācības tiek piedāvāts īstenot arī attālināti, ja izglītības programmas specifika to pieļauj. Projekta 6.pieteikšanās kārta, kas tika īstenota 2021.gadā, pilnībā bija veltīta digitālo prasmju apguvei un pilnveidošanai. Tajā mācības uzsāka vairāk nekā 10 tūkst. nodarbināto, apgūstot digitālās prasmes mācību procesa nodrošināšanai izglītības jomā, datu analīzes, programmēšanas prasmes, digitālās prasmes projektu vadībā, grāmatvedībā, mārketingā u.c.</w:t>
      </w:r>
    </w:p>
    <w:p w14:paraId="3DED51B8" w14:textId="62E50B5F" w:rsidR="00CA2D5A" w:rsidRDefault="00CA2D5A" w:rsidP="004172F8">
      <w:pPr>
        <w:jc w:val="both"/>
        <w:rPr>
          <w:bCs/>
          <w:szCs w:val="20"/>
        </w:rPr>
      </w:pPr>
      <w:r w:rsidRPr="001A67D5">
        <w:rPr>
          <w:b/>
          <w:szCs w:val="20"/>
        </w:rPr>
        <w:t>Komersantu digitālo prasmju attīstība.</w:t>
      </w:r>
      <w:r w:rsidRPr="001A67D5">
        <w:rPr>
          <w:bCs/>
          <w:szCs w:val="20"/>
        </w:rPr>
        <w:t xml:space="preserve"> EM un starptautiskā tehnoloģiju kompānija “Google” pārstāvji 2022. gada aprīlī parakstīja sadarbības memorandu, lai sekmētu vietējo uzņēmumu izaugsmi un stiprinātu biznesa noturību pastāvīgi mainīgajā pasaulē. Programma </w:t>
      </w:r>
      <w:r w:rsidRPr="001A67D5">
        <w:rPr>
          <w:bCs/>
          <w:i/>
          <w:iCs/>
          <w:szCs w:val="20"/>
        </w:rPr>
        <w:t>“Izaugsme ar Google”</w:t>
      </w:r>
      <w:r w:rsidRPr="001A67D5">
        <w:rPr>
          <w:bCs/>
          <w:szCs w:val="20"/>
        </w:rPr>
        <w:t xml:space="preserve"> līdz 2022. gada beigām nodrošinās bezmaksas apmācības vismaz 3 000 mazo un vidējo uzņēmumu pārstāvjiem,</w:t>
      </w:r>
      <w:r>
        <w:rPr>
          <w:bCs/>
          <w:szCs w:val="20"/>
        </w:rPr>
        <w:t xml:space="preserve"> paplašinot viņu zināšanas un prasmes tādās jomās kā e-komercija, eksports, digitālais mārketings, </w:t>
      </w:r>
      <w:proofErr w:type="spellStart"/>
      <w:r>
        <w:rPr>
          <w:bCs/>
          <w:szCs w:val="20"/>
        </w:rPr>
        <w:t>kiberdrošība</w:t>
      </w:r>
      <w:proofErr w:type="spellEnd"/>
      <w:r>
        <w:rPr>
          <w:bCs/>
          <w:szCs w:val="20"/>
        </w:rPr>
        <w:t xml:space="preserve"> un tehnoloģiju integrācija uzņēmējdarbībā. </w:t>
      </w:r>
    </w:p>
    <w:p w14:paraId="5464C527" w14:textId="4868D4EF" w:rsidR="00CA2D5A" w:rsidRPr="00CA2D5A" w:rsidRDefault="26581852" w:rsidP="004172F8">
      <w:pPr>
        <w:jc w:val="both"/>
      </w:pPr>
      <w:r>
        <w:t>2021.</w:t>
      </w:r>
      <w:r w:rsidR="097FA7D4">
        <w:t>-</w:t>
      </w:r>
      <w:r>
        <w:t>2027. gada ES fondu plānošanas periodam ir izstrādāts investīciju plāns uzņēmumu nodarbināto digitālo prasmju pilnveidei. Kopējais investīcijas apjoms plānots 30 milj.</w:t>
      </w:r>
      <w:r w:rsidRPr="145F534C">
        <w:rPr>
          <w:i/>
          <w:iCs/>
        </w:rPr>
        <w:t xml:space="preserve"> </w:t>
      </w:r>
      <w:proofErr w:type="spellStart"/>
      <w:r w:rsidRPr="145F534C">
        <w:rPr>
          <w:i/>
          <w:iCs/>
        </w:rPr>
        <w:t>euro</w:t>
      </w:r>
      <w:proofErr w:type="spellEnd"/>
      <w:r>
        <w:t xml:space="preserve"> apmērā (ANM un ERAF finansējums ). Ar ANM finansējumu līdz 2026. gada vidum iecerēts atbalstīt vismaz 3000 komersantus, savukārt ar ERAF finansējumu līdz 2029. gadam ir iecerēts atbalstīt vismaz 1273 komersantus. Investīcijas iecerēts sadalīt trīs daļās: (1) </w:t>
      </w:r>
      <w:proofErr w:type="spellStart"/>
      <w:r>
        <w:t>plašpieejas</w:t>
      </w:r>
      <w:proofErr w:type="spellEnd"/>
      <w:r>
        <w:t xml:space="preserve"> tiešsaistes mācību kursi (</w:t>
      </w:r>
      <w:proofErr w:type="spellStart"/>
      <w:r w:rsidRPr="145F534C">
        <w:rPr>
          <w:i/>
          <w:iCs/>
        </w:rPr>
        <w:t>Massive</w:t>
      </w:r>
      <w:proofErr w:type="spellEnd"/>
      <w:r w:rsidRPr="145F534C">
        <w:rPr>
          <w:i/>
          <w:iCs/>
        </w:rPr>
        <w:t xml:space="preserve"> </w:t>
      </w:r>
      <w:proofErr w:type="spellStart"/>
      <w:r w:rsidRPr="145F534C">
        <w:rPr>
          <w:i/>
          <w:iCs/>
        </w:rPr>
        <w:t>Open</w:t>
      </w:r>
      <w:proofErr w:type="spellEnd"/>
      <w:r w:rsidRPr="145F534C">
        <w:rPr>
          <w:i/>
          <w:iCs/>
        </w:rPr>
        <w:t xml:space="preserve"> Online </w:t>
      </w:r>
      <w:proofErr w:type="spellStart"/>
      <w:r w:rsidRPr="145F534C">
        <w:rPr>
          <w:i/>
          <w:iCs/>
        </w:rPr>
        <w:t>Courses</w:t>
      </w:r>
      <w:proofErr w:type="spellEnd"/>
      <w:r>
        <w:t xml:space="preserve">) par tādām tēmām kā UX/UI </w:t>
      </w:r>
      <w:r w:rsidR="6387789A">
        <w:t xml:space="preserve">dizaina </w:t>
      </w:r>
      <w:r>
        <w:t xml:space="preserve">pamati, e-komercija, datu analīze un </w:t>
      </w:r>
      <w:proofErr w:type="spellStart"/>
      <w:r>
        <w:t>vizualizācija</w:t>
      </w:r>
      <w:proofErr w:type="spellEnd"/>
      <w:r>
        <w:t xml:space="preserve">, datu bāžu izstrāde un uzturēšana, programmēšana, biznesa inteliģences sistēmu izstrāde; (2) Eiropas Digitālās inovācijas centri piedāvās augsta līmeņa digitālo prasmju pilnveidi, organizējot specializētās apmācības par tādām tēmām kā </w:t>
      </w:r>
      <w:proofErr w:type="spellStart"/>
      <w:r>
        <w:t>kiberdrošība</w:t>
      </w:r>
      <w:proofErr w:type="spellEnd"/>
      <w:r>
        <w:t xml:space="preserve">, mākslīgais intelekts un augstas veiktspējas </w:t>
      </w:r>
      <w:proofErr w:type="spellStart"/>
      <w:r>
        <w:t>datošana</w:t>
      </w:r>
      <w:proofErr w:type="spellEnd"/>
      <w:r>
        <w:t>; (3) EM turpinās sadarbību ar nozaru asociācijām, lai atbalstītu nodarbināto digitālo prasmju pilnveidi komersantiem būtiskās jomās (informācijas uzglabāšana internetā, tīmekļvietņu/sociālo portālu izmantošana, programmatūras konfigurācija, pārdošana tiešsaistē, attēlu, video un audio apstrāde, prezentāciju gatavošana, pamata programmēšanas prasmes u.tml.).</w:t>
      </w:r>
    </w:p>
    <w:p w14:paraId="38EC43AF" w14:textId="3405F236" w:rsidR="00CA2D5A" w:rsidRDefault="586EC83B" w:rsidP="004172F8">
      <w:pPr>
        <w:jc w:val="both"/>
      </w:pPr>
      <w:r w:rsidRPr="4398C881">
        <w:rPr>
          <w:b/>
          <w:bCs/>
        </w:rPr>
        <w:t>Digitālo prasmju pārvaldības pieejas nostiprināšana.</w:t>
      </w:r>
      <w:r>
        <w:t xml:space="preserve"> ANM ietvaros plānots līdz 2026. gadam attīstīt un aprobēt Latvijas kontekstam atbilstošu </w:t>
      </w:r>
      <w:r w:rsidRPr="4398C881">
        <w:rPr>
          <w:i/>
          <w:iCs/>
        </w:rPr>
        <w:t>individuālo mācību kontu</w:t>
      </w:r>
      <w:r w:rsidR="00CA2D5A">
        <w:t xml:space="preserve"> (IMK)</w:t>
      </w:r>
      <w:r>
        <w:t xml:space="preserve"> konceptu, lai stimulētu pieaugušo dalību izglītībā, īpaši digitālo prasmju apguvē, kā arī padarīt Latvijas izglītības sistēmai pieejamus pasaules labākos digitālos mācību līdzekļus, izmantojot specializētu augstas kvalitātes </w:t>
      </w:r>
      <w:proofErr w:type="spellStart"/>
      <w:r>
        <w:t>mašīntulkošanas</w:t>
      </w:r>
      <w:proofErr w:type="spellEnd"/>
      <w:r>
        <w:t xml:space="preserve"> un citu mākslīgā intelekta tehnoloģiju risinājumus, t.sk. iesaistot izglītības ekspertus lokalizētā satura validācijā un adaptācijā. Kopējais ieplānotais finansējums ir 14,31 milj. </w:t>
      </w:r>
      <w:proofErr w:type="spellStart"/>
      <w:r w:rsidRPr="4398C881">
        <w:rPr>
          <w:i/>
          <w:iCs/>
        </w:rPr>
        <w:t>euro</w:t>
      </w:r>
      <w:proofErr w:type="spellEnd"/>
      <w:r>
        <w:t xml:space="preserve">. Liela uzmanība tiks pievērsta </w:t>
      </w:r>
      <w:proofErr w:type="spellStart"/>
      <w:r>
        <w:t>plašpieejas</w:t>
      </w:r>
      <w:proofErr w:type="spellEnd"/>
      <w:r>
        <w:t xml:space="preserve"> tiešsaistes mācību kursu un pašmācības materiālu digitālā formātā piedāvājuma paplašināšanai, veidojot šim nolūkam atbilstošu tehnoloģisko vidi un īstenojot šādu mācību popularizēšanas pasākumus.</w:t>
      </w:r>
    </w:p>
    <w:p w14:paraId="5AED543C" w14:textId="55597B78" w:rsidR="00CA2D5A" w:rsidRPr="00CA2D5A" w:rsidRDefault="00CA2D5A" w:rsidP="002338E7">
      <w:pPr>
        <w:pStyle w:val="Heading2"/>
        <w:rPr>
          <w:color w:val="000000" w:themeColor="text1"/>
        </w:rPr>
      </w:pPr>
      <w:bookmarkStart w:id="101" w:name="_Toc106366813"/>
      <w:r w:rsidRPr="002338E7">
        <w:rPr>
          <w:color w:val="000000" w:themeColor="text1"/>
        </w:rPr>
        <w:lastRenderedPageBreak/>
        <w:t>4.</w:t>
      </w:r>
      <w:r w:rsidR="00F32036" w:rsidRPr="002338E7">
        <w:rPr>
          <w:color w:val="000000" w:themeColor="text1"/>
        </w:rPr>
        <w:t>6</w:t>
      </w:r>
      <w:r w:rsidRPr="002338E7">
        <w:rPr>
          <w:color w:val="000000" w:themeColor="text1"/>
        </w:rPr>
        <w:t xml:space="preserve">. </w:t>
      </w:r>
      <w:r w:rsidR="00033629">
        <w:rPr>
          <w:color w:val="000000" w:themeColor="text1"/>
        </w:rPr>
        <w:t>P</w:t>
      </w:r>
      <w:r w:rsidRPr="002338E7">
        <w:rPr>
          <w:color w:val="000000" w:themeColor="text1"/>
        </w:rPr>
        <w:t>asākumi prasmju pieprasījuma un piedāvājuma atbilstības monitoringa</w:t>
      </w:r>
      <w:r w:rsidR="001943D3">
        <w:rPr>
          <w:color w:val="000000" w:themeColor="text1"/>
        </w:rPr>
        <w:t>m</w:t>
      </w:r>
      <w:bookmarkEnd w:id="101"/>
    </w:p>
    <w:p w14:paraId="5DC55C75" w14:textId="2AE98CC5" w:rsidR="00CA2D5A" w:rsidRDefault="00CA2D5A" w:rsidP="004172F8">
      <w:pPr>
        <w:jc w:val="both"/>
      </w:pPr>
      <w:r>
        <w:rPr>
          <w:b/>
          <w:bCs/>
        </w:rPr>
        <w:t xml:space="preserve">Darba tirgus prognožu izstrāde. </w:t>
      </w:r>
      <w:r>
        <w:t xml:space="preserve">Darba tirgus prognozes ir viens no instrumentiem, kas ļauj priekšlaicīgi paredzēt darba tirgus neatbilstību veidošanos nākotnē. Latvijā īstermiņa darba tirgus prognozēšanu īsteno NVA, savukārt vidēja un ilgtermiņa darba tirgus prognozes izstrādā EM. NVA īstermiņa darba tirgus prognozes raksturo darbaspēka pieprasījuma izmaiņas īstermiņā (līdz 1 gadam). Tādēļ NVA īstermiņa prognozes ir piemērotas gadījumos, kad jāizlemj, ko darīt šodien, lai pēc gada situācija būtu labvēlīga. Vidēja un ilgtermiņa darba tirgus prognozes savukārt norāda uz sagaidāmo situācijas attīstību darba tirgū ilgākā laika posmā </w:t>
      </w:r>
      <w:r w:rsidR="002338E7">
        <w:t>–</w:t>
      </w:r>
      <w:r>
        <w:t xml:space="preserve"> vidējā termiņā (līdz 7 gadiem) un ilgtermiņā (līdz 20 gadiem). Detalizētu informāciju par EM darba tirgus prognozēm skatīt ziņojuma 3.1. sadaļā.</w:t>
      </w:r>
    </w:p>
    <w:p w14:paraId="7778EC76" w14:textId="2710578E" w:rsidR="00CA2D5A" w:rsidRDefault="00CA2D5A" w:rsidP="004172F8">
      <w:pPr>
        <w:jc w:val="both"/>
        <w:rPr>
          <w:rFonts w:asciiTheme="minorHAnsi" w:eastAsiaTheme="minorHAnsi" w:hAnsiTheme="minorHAnsi" w:cstheme="minorBidi"/>
          <w:sz w:val="22"/>
        </w:rPr>
      </w:pPr>
      <w:r>
        <w:t>NVA darba tirgus īstermiņa prognozēšanas ietvaros, balstoties uz makroekonomiskajiem rādītājiem un darba devēju aptaujām, tiek prognozētas pieprasījuma izmaiņas profesiju grupu līmenī un atbilstoši plānota un organizēta bezdarbnieku, darba meklētāju un bezdarba riskam pakļauto personu apmācība, saskaņojot apmācību programmu sarakstus ar sociālajiem partneriem un citām iesaistītajām pusēm.</w:t>
      </w:r>
    </w:p>
    <w:p w14:paraId="751463A6" w14:textId="5703129E" w:rsidR="00CA2D5A" w:rsidRDefault="00CA2D5A" w:rsidP="004172F8">
      <w:pPr>
        <w:jc w:val="right"/>
        <w:rPr>
          <w:szCs w:val="20"/>
        </w:rPr>
      </w:pPr>
      <w:r>
        <w:rPr>
          <w:szCs w:val="20"/>
        </w:rPr>
        <w:t>4.1  attēls</w:t>
      </w:r>
    </w:p>
    <w:p w14:paraId="2A3FD004" w14:textId="3EBFC240" w:rsidR="00CA2D5A" w:rsidRDefault="00CA2D5A" w:rsidP="00CA2D5A">
      <w:pPr>
        <w:spacing w:after="120"/>
        <w:jc w:val="center"/>
        <w:rPr>
          <w:rFonts w:asciiTheme="minorHAnsi" w:eastAsiaTheme="minorHAnsi" w:hAnsiTheme="minorHAnsi" w:cstheme="minorBidi"/>
          <w:sz w:val="22"/>
        </w:rPr>
      </w:pPr>
      <w:r>
        <w:rPr>
          <w:noProof/>
        </w:rPr>
        <w:drawing>
          <wp:inline distT="0" distB="0" distL="0" distR="0" wp14:anchorId="42B62C21" wp14:editId="32A6A975">
            <wp:extent cx="5226050" cy="28575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extLst>
                        <a:ext uri="{28A0092B-C50C-407E-A947-70E740481C1C}">
                          <a14:useLocalDpi xmlns:a14="http://schemas.microsoft.com/office/drawing/2010/main" val="0"/>
                        </a:ext>
                      </a:extLst>
                    </a:blip>
                    <a:srcRect l="1503" t="3372" r="2654" b="3784"/>
                    <a:stretch>
                      <a:fillRect/>
                    </a:stretch>
                  </pic:blipFill>
                  <pic:spPr bwMode="auto">
                    <a:xfrm>
                      <a:off x="0" y="0"/>
                      <a:ext cx="5226050" cy="2857500"/>
                    </a:xfrm>
                    <a:prstGeom prst="rect">
                      <a:avLst/>
                    </a:prstGeom>
                    <a:noFill/>
                    <a:ln>
                      <a:noFill/>
                    </a:ln>
                  </pic:spPr>
                </pic:pic>
              </a:graphicData>
            </a:graphic>
          </wp:inline>
        </w:drawing>
      </w:r>
    </w:p>
    <w:p w14:paraId="6D1BF4E7" w14:textId="5CDE3E9C" w:rsidR="00CA2D5A" w:rsidRDefault="004172F8" w:rsidP="004172F8">
      <w:pPr>
        <w:jc w:val="both"/>
      </w:pPr>
      <w:r>
        <w:rPr>
          <w:b/>
          <w:bCs/>
        </w:rPr>
        <w:br/>
      </w:r>
      <w:r w:rsidR="00CA2D5A">
        <w:rPr>
          <w:b/>
          <w:bCs/>
        </w:rPr>
        <w:t xml:space="preserve">Interaktīva darba tirgus prognožu platforma. </w:t>
      </w:r>
      <w:r w:rsidR="00CA2D5A">
        <w:t xml:space="preserve">Lai paplašinātu prognožu pieejamību un sabiedrības informētību par nākotnes darba tirgus tendencēm un izglītības vajadzībām kopš 2021. gada publiski pieejama </w:t>
      </w:r>
      <w:proofErr w:type="spellStart"/>
      <w:r w:rsidR="00CA2D5A">
        <w:t>web</w:t>
      </w:r>
      <w:proofErr w:type="spellEnd"/>
      <w:r w:rsidR="00CA2D5A">
        <w:t xml:space="preserve"> bāzēta interaktīva darba tirgus prognožu atspoguļošanas platforma</w:t>
      </w:r>
      <w:r w:rsidR="00CA2D5A">
        <w:rPr>
          <w:rStyle w:val="FootnoteReference"/>
        </w:rPr>
        <w:footnoteReference w:id="29"/>
      </w:r>
      <w:r w:rsidR="00CA2D5A">
        <w:t>, kur apkopota informācija gan par esošo situāciju darba tirgū un NVA īstermiņa darbaspēka pieprasījuma prognozēm (</w:t>
      </w:r>
      <w:hyperlink r:id="rId200" w:history="1">
        <w:r w:rsidR="7B1BF58D">
          <w:rPr>
            <w:rStyle w:val="Hyperlink"/>
          </w:rPr>
          <w:t>https://prognozes.nva.gov.lv</w:t>
        </w:r>
      </w:hyperlink>
      <w:r w:rsidR="00CA2D5A">
        <w:t>), gan par EM vidēja termiņa un ilgtermiņa darba tirgus prognozēm (</w:t>
      </w:r>
      <w:hyperlink r:id="rId201" w:history="1">
        <w:r w:rsidR="7B1BF58D">
          <w:rPr>
            <w:rStyle w:val="Hyperlink"/>
          </w:rPr>
          <w:t>https://prognozes.em.gov.lv</w:t>
        </w:r>
      </w:hyperlink>
      <w:r w:rsidR="7B1BF58D">
        <w:t>).</w:t>
      </w:r>
      <w:r w:rsidR="00CA2D5A">
        <w:t xml:space="preserve"> Platforma sniedz plašas prognožu analīzes iespējas. Sagatavots video par prognožu platformas iespējām un lietošanu.</w:t>
      </w:r>
    </w:p>
    <w:p w14:paraId="648F3EBF" w14:textId="2A440BA1" w:rsidR="00CA2D5A" w:rsidRDefault="00CA2D5A" w:rsidP="004172F8">
      <w:pPr>
        <w:jc w:val="both"/>
      </w:pPr>
      <w:r>
        <w:rPr>
          <w:b/>
          <w:bCs/>
        </w:rPr>
        <w:t xml:space="preserve">Darba tirgus prognožu izmantošanas kapacitātes stiprināšana. </w:t>
      </w:r>
      <w:r>
        <w:t>Izstrādātas vadlīnijas karjeras konsultantiem vidēja un ilgtermiņa darba tirgus prognožu interpretācijai un izmantošanai.  Tās ir papildus informācijas avots karjeras konsultantiem, tomēr tās var lietot jebkurš interesents profesionāliem un informatīviem nolūkiem.</w:t>
      </w:r>
      <w:r>
        <w:rPr>
          <w:rStyle w:val="FootnoteReference"/>
        </w:rPr>
        <w:footnoteReference w:id="30"/>
      </w:r>
      <w:r>
        <w:t xml:space="preserve"> Sadarbībā ar NVA, organizētas reģionālās diskusijas/ apmācību semināri karjeras konsultantiem par prognožu izmantošanu.</w:t>
      </w:r>
    </w:p>
    <w:p w14:paraId="666716E7" w14:textId="77777777" w:rsidR="00CA2D5A" w:rsidRDefault="00CA2D5A" w:rsidP="004172F8">
      <w:pPr>
        <w:jc w:val="both"/>
      </w:pPr>
      <w:r>
        <w:t xml:space="preserve">Lai risinātu nepietiekamu nozaru iesaisti darba tirgus prognožu izmantošanā, paplašināta arī darba tirgus prognožu izmantošana NEP darbā – sadarbībā ar </w:t>
      </w:r>
      <w:bookmarkStart w:id="102" w:name="_Hlk103818664"/>
      <w:r>
        <w:t>LDDK</w:t>
      </w:r>
      <w:bookmarkEnd w:id="102"/>
      <w:r>
        <w:t>/NEP organizēti diskusiju cikli par darbaspēka vajadzībām nozarēs, veikta atsevišķu nozaru padziļināta analīze vidēja un ilgtermiņa darba tirgus prognožu kontekstā.</w:t>
      </w:r>
    </w:p>
    <w:p w14:paraId="1BE67CE1" w14:textId="77777777" w:rsidR="00CA2D5A" w:rsidRDefault="00CA2D5A" w:rsidP="004172F8">
      <w:pPr>
        <w:jc w:val="both"/>
      </w:pPr>
      <w:r>
        <w:lastRenderedPageBreak/>
        <w:t xml:space="preserve">Lai veicinātu visaptverošas publiskas diskusijas par darba tirgus nākotnes tendencēm un vajadzībām, organizēti (NVA sadarbībā ar EM) reģionālie semināri, kuros prezentētas darba tirgus prognozes. Šādi semināri plānoti arī turpmāk. Semināru dalībnieki tiek informēti par darba tirgus aktuālajiem jautājumiem, NVA veikto </w:t>
      </w:r>
      <w:proofErr w:type="spellStart"/>
      <w:r>
        <w:t>ekspresaptauju</w:t>
      </w:r>
      <w:proofErr w:type="spellEnd"/>
      <w:r>
        <w:t xml:space="preserve"> rezultātiem un jaunākajām darba tirgus prognozēm.</w:t>
      </w:r>
    </w:p>
    <w:p w14:paraId="745178DC" w14:textId="223B2DFF" w:rsidR="00CA2D5A" w:rsidRDefault="13D4367E" w:rsidP="004172F8">
      <w:pPr>
        <w:shd w:val="clear" w:color="auto" w:fill="FFFFFF" w:themeFill="background1"/>
        <w:jc w:val="both"/>
        <w:textAlignment w:val="baseline"/>
      </w:pPr>
      <w:r w:rsidRPr="145F534C">
        <w:rPr>
          <w:b/>
          <w:bCs/>
        </w:rPr>
        <w:t>Absolventu monitorings</w:t>
      </w:r>
      <w:r w:rsidRPr="145F534C">
        <w:t xml:space="preserve"> </w:t>
      </w:r>
      <w:r w:rsidRPr="7A74AD50">
        <w:t>ļauj iegūt informāciju par augstākās izglītības un profesionālās izglītības iestāžu beidzēju turpmākajām gaitām (nodarbinātību, ienākumiem, sociālajiem rādītājiem, karjeras izaugsmi un konkurētspēju darba tirgū), lai nodrošinātu datos balstītu lēmumu pieņemšanu indivīda, izglītības iestādes, pašvaldības, reģionālā un valsts līmenī. Informācija par absolventu rezultātiem darba tirgū ļauj novērtēt absolventu prasmju un zināšanu atbilstību darba tirgus un tautsaimniecības vajadzībām kopumā. Latvijas Atvērto datu portālā jau trešo gadu publicēti augstākās izglītības iestāžu absolventu monitoringa dati</w:t>
      </w:r>
      <w:r w:rsidR="00CA2D5A" w:rsidRPr="145F534C">
        <w:rPr>
          <w:rStyle w:val="FootnoteReference"/>
        </w:rPr>
        <w:footnoteReference w:id="31"/>
      </w:r>
      <w:r w:rsidRPr="145F534C">
        <w:t>, savukārt profesionālās izglītības iestāžu absolventu monitoringa ieviešana turpinās, pieejami pirmie dati (skatīt arī ielikumu ziņojuma 2.3. sadaļā).</w:t>
      </w:r>
    </w:p>
    <w:p w14:paraId="749687CE" w14:textId="38153FBE" w:rsidR="00CA2D5A" w:rsidRDefault="00CA2D5A" w:rsidP="004172F8">
      <w:pPr>
        <w:shd w:val="clear" w:color="auto" w:fill="FFFFFF"/>
        <w:jc w:val="both"/>
        <w:textAlignment w:val="baseline"/>
        <w:rPr>
          <w:bCs/>
        </w:rPr>
      </w:pPr>
      <w:r>
        <w:rPr>
          <w:bCs/>
        </w:rPr>
        <w:t>Kopš 2021. gada Valsts izglītības informācijas sistēmas publiskajā portālā pieejams augstākās izglītības programmu absolventu monitoringa rīks</w:t>
      </w:r>
      <w:r>
        <w:rPr>
          <w:rStyle w:val="FootnoteReference"/>
          <w:bCs/>
        </w:rPr>
        <w:footnoteReference w:id="32"/>
      </w:r>
      <w:r>
        <w:rPr>
          <w:bCs/>
        </w:rPr>
        <w:t xml:space="preserve">, kur publiskoti monitoringa rezultāti. </w:t>
      </w:r>
    </w:p>
    <w:p w14:paraId="4DE4DBA7" w14:textId="331791E0" w:rsidR="00CA2D5A" w:rsidRDefault="00CA2D5A" w:rsidP="004172F8">
      <w:pPr>
        <w:shd w:val="clear" w:color="auto" w:fill="FFFFFF"/>
        <w:jc w:val="both"/>
        <w:textAlignment w:val="baseline"/>
        <w:rPr>
          <w:bCs/>
        </w:rPr>
      </w:pPr>
      <w:r>
        <w:rPr>
          <w:b/>
        </w:rPr>
        <w:t>Mācībspēka prognozēšanas un nodarbinātības plānošanas sistēma.</w:t>
      </w:r>
      <w:r>
        <w:rPr>
          <w:bCs/>
        </w:rPr>
        <w:t xml:space="preserve"> Līdz 2023. gada beigām paredzēts izstrādāt pedagogu pieprasījuma un piedāvājuma prognozēšanas un nodarbinātības plānošanas sistēmu vispārējā un profesionālā izglītībā, kas dos iespēju laicīgi reaģēt uz sistēmas vajadzībām skolotāju sagatavošanā un profesionālās kompetences pilnveidē, pedagogu efektīvai nodarbinātības plānošanai izglītības iestādēs, atbalsta darbību plānošanai pašvaldības un valsts līmenī.</w:t>
      </w:r>
    </w:p>
    <w:p w14:paraId="1023F0F1" w14:textId="77777777" w:rsidR="00512F91" w:rsidRPr="00CA2D5A" w:rsidRDefault="00512F91" w:rsidP="00CA2D5A">
      <w:pPr>
        <w:shd w:val="clear" w:color="auto" w:fill="FFFFFF"/>
        <w:spacing w:after="0"/>
        <w:jc w:val="both"/>
        <w:textAlignment w:val="baseline"/>
        <w:rPr>
          <w:bCs/>
          <w:sz w:val="2"/>
          <w:szCs w:val="2"/>
        </w:rPr>
      </w:pPr>
      <w:r w:rsidRPr="00CA2D5A">
        <w:rPr>
          <w:bCs/>
          <w:sz w:val="2"/>
          <w:szCs w:val="2"/>
        </w:rPr>
        <w:br w:type="page"/>
      </w:r>
    </w:p>
    <w:p w14:paraId="580BA4EE" w14:textId="61AB9FF2" w:rsidR="00FE5E89" w:rsidRPr="00167118" w:rsidRDefault="00FE5E89" w:rsidP="00FE5E89">
      <w:pPr>
        <w:pStyle w:val="Heading1"/>
        <w:rPr>
          <w:color w:val="000000" w:themeColor="text1"/>
        </w:rPr>
      </w:pPr>
      <w:bookmarkStart w:id="103" w:name="_Toc106366814"/>
      <w:r w:rsidRPr="00167118">
        <w:rPr>
          <w:color w:val="000000" w:themeColor="text1"/>
        </w:rPr>
        <w:lastRenderedPageBreak/>
        <w:t xml:space="preserve">5. </w:t>
      </w:r>
      <w:r w:rsidR="00044A89" w:rsidRPr="00167118">
        <w:rPr>
          <w:color w:val="000000" w:themeColor="text1"/>
        </w:rPr>
        <w:t>KOPSAVILKUMS UN PRIEKŠLIKUMI</w:t>
      </w:r>
      <w:bookmarkEnd w:id="103"/>
    </w:p>
    <w:p w14:paraId="673F9557" w14:textId="77777777" w:rsidR="0003261A" w:rsidRDefault="0003261A" w:rsidP="00C57EF9">
      <w:pPr>
        <w:pStyle w:val="EnvelopeReturn"/>
        <w:spacing w:after="240"/>
        <w:jc w:val="both"/>
        <w:rPr>
          <w:rFonts w:ascii="Calibri Light" w:eastAsia="Calibri" w:hAnsi="Calibri Light"/>
          <w:szCs w:val="28"/>
          <w:lang w:eastAsia="en-US"/>
        </w:rPr>
      </w:pPr>
    </w:p>
    <w:p w14:paraId="5088B65C" w14:textId="7712BB3A" w:rsidR="00C57EF9" w:rsidRDefault="00C57EF9" w:rsidP="00C57EF9">
      <w:pPr>
        <w:pStyle w:val="EnvelopeReturn"/>
        <w:spacing w:after="240"/>
        <w:jc w:val="both"/>
        <w:rPr>
          <w:rFonts w:ascii="Calibri Light" w:eastAsia="Calibri" w:hAnsi="Calibri Light"/>
          <w:szCs w:val="28"/>
          <w:lang w:eastAsia="en-US"/>
        </w:rPr>
      </w:pPr>
      <w:r w:rsidRPr="00F77899">
        <w:rPr>
          <w:rFonts w:ascii="Calibri Light" w:eastAsia="Calibri" w:hAnsi="Calibri Light"/>
          <w:szCs w:val="28"/>
          <w:lang w:eastAsia="en-US"/>
        </w:rPr>
        <w:t>Ziņojumā ir raksturota esošā situācija darba tirgū, kā arī iekļautas aktualizētās darba tirgus vidēja un ilgtermiņa prognozes, kas ir viens no elementiem darbaspēka piedāvājuma pielāgošanas procesā. Darba tirgus prognozes ir kvantitatīvā bāze tālākām diskusijām starp nodarbinātības, izglītības, struktūrpolitikas veidotājiem, sociālajiem partneriem, zinātniekiem u.c. iesaistītām pusēm, lai izkristalizētos rīcības virzieni, kas sekmētu sabalansētu darba tirgus attīstību.</w:t>
      </w:r>
    </w:p>
    <w:p w14:paraId="24A59BEE" w14:textId="77777777" w:rsidR="00F73915" w:rsidRDefault="00F73915" w:rsidP="00F73915">
      <w:pPr>
        <w:pStyle w:val="EnvelopeReturn"/>
        <w:jc w:val="both"/>
        <w:rPr>
          <w:rFonts w:ascii="Calibri Light" w:eastAsia="Calibri" w:hAnsi="Calibri Light"/>
          <w:szCs w:val="28"/>
          <w:lang w:eastAsia="en-US"/>
        </w:rPr>
      </w:pPr>
    </w:p>
    <w:p w14:paraId="27C8C695" w14:textId="2B730850" w:rsidR="00C57EF9" w:rsidRPr="000F771A" w:rsidRDefault="00C57EF9" w:rsidP="004172F8">
      <w:pPr>
        <w:pStyle w:val="EnvelopeReturn"/>
        <w:numPr>
          <w:ilvl w:val="0"/>
          <w:numId w:val="2"/>
        </w:numPr>
        <w:spacing w:after="240"/>
        <w:ind w:left="284" w:hanging="76"/>
        <w:jc w:val="both"/>
        <w:rPr>
          <w:rFonts w:ascii="Calibri Light" w:eastAsia="Calibri" w:hAnsi="Calibri Light"/>
          <w:b/>
          <w:szCs w:val="28"/>
          <w:lang w:eastAsia="en-US"/>
        </w:rPr>
      </w:pPr>
      <w:r w:rsidRPr="000F771A">
        <w:rPr>
          <w:rFonts w:ascii="Calibri Light" w:eastAsia="Calibri" w:hAnsi="Calibri Light"/>
          <w:b/>
          <w:szCs w:val="28"/>
          <w:lang w:eastAsia="en-US"/>
        </w:rPr>
        <w:t>PROGNOŽU MAKROEKONOMISKAIS IETVARS UN PIEŅĒMUMI</w:t>
      </w:r>
    </w:p>
    <w:p w14:paraId="5C770FD4" w14:textId="70FE339D" w:rsidR="00C57EF9" w:rsidRDefault="63118BA4" w:rsidP="004172F8">
      <w:pPr>
        <w:pStyle w:val="EnvelopeReturn"/>
        <w:spacing w:after="240"/>
        <w:jc w:val="both"/>
        <w:rPr>
          <w:rFonts w:ascii="Calibri Light" w:eastAsia="Calibri" w:hAnsi="Calibri Light"/>
          <w:lang w:eastAsia="en-US"/>
        </w:rPr>
      </w:pPr>
      <w:r w:rsidRPr="4398C881">
        <w:rPr>
          <w:rFonts w:ascii="Calibri Light" w:eastAsia="Calibri" w:hAnsi="Calibri Light"/>
          <w:lang w:eastAsia="en-US"/>
        </w:rPr>
        <w:t xml:space="preserve">Darba tirgus prognozes balstās uz EM izstrādāto tautsaimniecības izaugsmes Mērķa scenāriju un tam atbilstošo makroekonomisko prognozi. </w:t>
      </w:r>
    </w:p>
    <w:p w14:paraId="5EA71FB7" w14:textId="0EF9E033" w:rsidR="00C57EF9" w:rsidRPr="00212583" w:rsidRDefault="63118BA4" w:rsidP="004172F8">
      <w:pPr>
        <w:pStyle w:val="EnvelopeReturn"/>
        <w:spacing w:after="240"/>
        <w:jc w:val="both"/>
        <w:rPr>
          <w:rFonts w:ascii="Calibri Light" w:eastAsia="Calibri" w:hAnsi="Calibri Light"/>
          <w:highlight w:val="yellow"/>
          <w:lang w:eastAsia="en-US"/>
        </w:rPr>
      </w:pPr>
      <w:r w:rsidRPr="4398C881">
        <w:rPr>
          <w:rFonts w:ascii="Calibri Light" w:eastAsia="Calibri" w:hAnsi="Calibri Light"/>
          <w:lang w:eastAsia="en-US"/>
        </w:rPr>
        <w:t xml:space="preserve">Perioda no 2022.līdz2030. gadam mērķa scenārijs paredz ekonomikas izaugsmi par vidēji 4,2% gadā, bet periodā no 2031. Līdz 2040. gadam ikgadējie izaugsmes tempi kļūs lēnāki un būs vidēji 3% robežās. Priekšnosacījumi izaugsmei gan vidējā, gan ilgtermiņā ir ekonomikas konkurētspējas priekšrocību balstīšana uz tehnoloģiskiem faktoriem, ražošanas efektivitāti, inovācijām, kā arī spējai pielāgoties un izmantot globālo pārmaiņu radītās iespējas. Lai arī Covid-19 pandēmija un ģeopolitiskā situācija reģionā negatīvi ietekmē ekonomiku, tomēr tautsaimniecības attīstības ilgtermiņa mērķi, kas jau ir noteikti politikas plānošanas dokumentos, kā nepieciešamība palielināt Latvijas preču un pakalpojumu eksportu un produktivitāti, nemainās. Tāpat joprojām aktuālas ir arī EK uzsāktās iniciatīvas kā, piemēram, zaļais kurss un </w:t>
      </w:r>
      <w:proofErr w:type="spellStart"/>
      <w:r w:rsidRPr="4398C881">
        <w:rPr>
          <w:rFonts w:ascii="Calibri Light" w:eastAsia="Calibri" w:hAnsi="Calibri Light"/>
          <w:lang w:eastAsia="en-US"/>
        </w:rPr>
        <w:t>digitalizācija</w:t>
      </w:r>
      <w:proofErr w:type="spellEnd"/>
      <w:r w:rsidRPr="4398C881">
        <w:rPr>
          <w:rFonts w:ascii="Calibri Light" w:eastAsia="Calibri" w:hAnsi="Calibri Light"/>
          <w:lang w:eastAsia="en-US"/>
        </w:rPr>
        <w:t>.</w:t>
      </w:r>
    </w:p>
    <w:p w14:paraId="4C78984E" w14:textId="77777777" w:rsidR="00C57EF9" w:rsidRDefault="00C57EF9" w:rsidP="004172F8">
      <w:pPr>
        <w:pStyle w:val="EnvelopeReturn"/>
        <w:spacing w:after="240"/>
        <w:jc w:val="both"/>
        <w:rPr>
          <w:rFonts w:ascii="Calibri Light" w:eastAsia="Calibri" w:hAnsi="Calibri Light"/>
          <w:szCs w:val="28"/>
          <w:lang w:eastAsia="en-US"/>
        </w:rPr>
      </w:pPr>
      <w:r>
        <w:rPr>
          <w:rFonts w:ascii="Calibri Light" w:eastAsia="Calibri" w:hAnsi="Calibri Light"/>
          <w:szCs w:val="28"/>
          <w:lang w:eastAsia="en-US"/>
        </w:rPr>
        <w:t>Mērķa izaugsmes s</w:t>
      </w:r>
      <w:r w:rsidRPr="00F47443">
        <w:rPr>
          <w:rFonts w:ascii="Calibri Light" w:eastAsia="Calibri" w:hAnsi="Calibri Light"/>
          <w:szCs w:val="28"/>
          <w:lang w:eastAsia="en-US"/>
        </w:rPr>
        <w:t>cenārijs izstrādāts, atbilstoši Latvijas struktūrpolitikas uzstādījumiem, kas noteikti politikas dokumentos – Latvijas ilgtspējīgas attīstības stratēģija „Latvija 2030”, Latvijas Nacionālajā attīstības plānā 2027.</w:t>
      </w:r>
      <w:r>
        <w:rPr>
          <w:rFonts w:ascii="Calibri Light" w:eastAsia="Calibri" w:hAnsi="Calibri Light"/>
          <w:szCs w:val="28"/>
          <w:lang w:eastAsia="en-US"/>
        </w:rPr>
        <w:t> </w:t>
      </w:r>
      <w:r w:rsidRPr="00F47443">
        <w:rPr>
          <w:rFonts w:ascii="Calibri Light" w:eastAsia="Calibri" w:hAnsi="Calibri Light"/>
          <w:szCs w:val="28"/>
          <w:lang w:eastAsia="en-US"/>
        </w:rPr>
        <w:t>gadam, Nacionālās industriālās politikas pamatnostādnēs 2027.</w:t>
      </w:r>
      <w:r>
        <w:rPr>
          <w:rFonts w:ascii="Calibri Light" w:eastAsia="Calibri" w:hAnsi="Calibri Light"/>
          <w:szCs w:val="28"/>
          <w:lang w:eastAsia="en-US"/>
        </w:rPr>
        <w:t> </w:t>
      </w:r>
      <w:r w:rsidRPr="00F47443">
        <w:rPr>
          <w:rFonts w:ascii="Calibri Light" w:eastAsia="Calibri" w:hAnsi="Calibri Light"/>
          <w:szCs w:val="28"/>
          <w:lang w:eastAsia="en-US"/>
        </w:rPr>
        <w:t xml:space="preserve">gadam. Tāpat arī </w:t>
      </w:r>
      <w:r>
        <w:rPr>
          <w:rFonts w:ascii="Calibri Light" w:eastAsia="Calibri" w:hAnsi="Calibri Light"/>
          <w:szCs w:val="28"/>
          <w:lang w:eastAsia="en-US"/>
        </w:rPr>
        <w:t>ņemti vērā</w:t>
      </w:r>
      <w:r w:rsidRPr="00F47443">
        <w:rPr>
          <w:rFonts w:ascii="Calibri Light" w:eastAsia="Calibri" w:hAnsi="Calibri Light"/>
          <w:szCs w:val="28"/>
          <w:lang w:eastAsia="en-US"/>
        </w:rPr>
        <w:t xml:space="preserve"> globālās ekonomikas attīstību noteicošie procesi.</w:t>
      </w:r>
    </w:p>
    <w:p w14:paraId="130AA264" w14:textId="2B2F2EE5" w:rsidR="00C57EF9" w:rsidRPr="003D0328" w:rsidRDefault="004172F8" w:rsidP="004172F8">
      <w:pPr>
        <w:jc w:val="both"/>
        <w:rPr>
          <w:b/>
          <w:bCs/>
          <w:highlight w:val="yellow"/>
        </w:rPr>
      </w:pPr>
      <w:r>
        <w:rPr>
          <w:b/>
          <w:bCs/>
        </w:rPr>
        <w:br/>
      </w:r>
      <w:r w:rsidR="63118BA4" w:rsidRPr="4398C881">
        <w:rPr>
          <w:b/>
          <w:bCs/>
        </w:rPr>
        <w:t xml:space="preserve">Latvijas tautsaimniecība ir spējusi pielāgoties </w:t>
      </w:r>
      <w:bookmarkStart w:id="104" w:name="_Hlk103675530"/>
      <w:r w:rsidR="63118BA4" w:rsidRPr="4398C881">
        <w:rPr>
          <w:b/>
          <w:bCs/>
        </w:rPr>
        <w:t xml:space="preserve">Covid-19 pandēmijas </w:t>
      </w:r>
      <w:bookmarkEnd w:id="104"/>
      <w:r w:rsidR="63118BA4" w:rsidRPr="4398C881">
        <w:rPr>
          <w:b/>
          <w:bCs/>
        </w:rPr>
        <w:t xml:space="preserve">radītajiem izaicinājumiem, tomēr atsevišķu nozaru atgūšanās var būt ilgstoša. </w:t>
      </w:r>
      <w:r w:rsidR="63118BA4">
        <w:t xml:space="preserve">Lai gan joprojām saglabājas augsta nenoteiktība saistībā ar iespējamu vīrusa mutāciju un jauniem pandēmijas uzplaiksnījumiem, tomēr mērķa scenārijs kopumā neparedz jaunus un būtiskus Covid-19 ierobežojumus. Vienlaikus Covid-19 pandēmija ir spēcīgi un paliekoši ietekmējusi sociālekonomisko situāciju globālā mērogā un arī Latvijā, piemēram, e-komercijas un citu digitālo risinājumu plašāka pielietošana, attālinātā darba formas, vairāk lokalizētas globālās vērtību ķēdes u.c., sagaidāms, ka šis pārmaiņas saglabāsies arī pēc pandēmijas. Lai gan Latvijas ekonomika lielā mērā ir pielāgojusies jauniem apstākļiem un 2021. gadā IKP apjoms jau pārsniedza </w:t>
      </w:r>
      <w:proofErr w:type="spellStart"/>
      <w:r w:rsidR="63118BA4">
        <w:t>pirmskrīzes</w:t>
      </w:r>
      <w:proofErr w:type="spellEnd"/>
      <w:r w:rsidR="63118BA4">
        <w:t xml:space="preserve"> (2019. gada) līmeni, tomēr atsevišķās tautsaimniecības nozarēs ekonomiskā aktivitāte joprojām ir ievērojami zemāka nekā </w:t>
      </w:r>
      <w:proofErr w:type="spellStart"/>
      <w:r w:rsidR="63118BA4">
        <w:t>pirmskrīzes</w:t>
      </w:r>
      <w:proofErr w:type="spellEnd"/>
      <w:r w:rsidR="63118BA4">
        <w:t xml:space="preserve"> periodā, piemēram, izmitināšanas un ēdināšanas pakalpojumos, mākslas, izklaides un atpūtas nozarē, kā arī transporta pakalpojumos. Šo nozaru atgūšanās var būt ilgstoša.</w:t>
      </w:r>
    </w:p>
    <w:p w14:paraId="1A04A2C2" w14:textId="26BEA470" w:rsidR="00C57EF9" w:rsidRPr="00E72855" w:rsidRDefault="63118BA4" w:rsidP="004172F8">
      <w:pPr>
        <w:jc w:val="both"/>
      </w:pPr>
      <w:r w:rsidRPr="4398C881">
        <w:rPr>
          <w:b/>
          <w:bCs/>
        </w:rPr>
        <w:t>Vidējā termiņa ekonomikas izaugsmi var kavēt nenoteiktība ģeopolitiskajā situācijā saistībā ar Krievijas karadarbību Ukrainā.</w:t>
      </w:r>
      <w:r>
        <w:t xml:space="preserve"> Līdz ar Krievijas iebrukumu Ukrainā būtiski ir pasliktinājusies ģeopolitiskā situācija. Pastāv liela nenoteiktība attiecībā uz to kā karš un ar to saistītās sankcijas, kā arī piegādes ķēžu pārrāvumi tālāk ietekmēs ekonomisko attīstību. EM prognozē, ka 2022. gadā ekonomikas izaugsme ģeopolitisko faktoru dēļ samazināsies par vismaz 3 procentpunktiem salīdzinājumā ar iepriekš prognozēto. Lielā nenoteiktība ietekmēs gan iedzīvotāju patēriņu, gan uzņēmumu investīcijas un ārējo tirdzniecību. Kopumā konflikta ekonomiskās ietekmes apmērs ir ļoti neskaidrs un būs atkarīgs no kara ilguma un politiskajām reakcijām, kā rezultātā var tikt būtiski kavēta izaugsme un palielināsies inflācijas spiediens vidējā termiņa. Tomēr ilgtermiņā, jauni un diversificēti izejmateriālu piegādes tirgi, valsts enerģētiskās neatkarības stiprināšana un pārorientēšanas no Krievijas uz maksātspējīgākiem rietumvalstu tirgiem, kopumā palielinās Latvijas ekonomikas nākotnes potenciālu.</w:t>
      </w:r>
    </w:p>
    <w:p w14:paraId="3EE4AA71" w14:textId="77777777" w:rsidR="00C57EF9" w:rsidRPr="00A57812" w:rsidRDefault="00C57EF9" w:rsidP="004172F8">
      <w:pPr>
        <w:jc w:val="both"/>
        <w:rPr>
          <w:szCs w:val="20"/>
        </w:rPr>
      </w:pPr>
      <w:r w:rsidRPr="000F771A">
        <w:rPr>
          <w:b/>
          <w:bCs/>
          <w:szCs w:val="20"/>
        </w:rPr>
        <w:t>Straujākas ekonomiskās izaugsmes noteicošais priekšnosacījums ir produktivitātes līmeņa paaugstināšana.</w:t>
      </w:r>
      <w:r w:rsidRPr="000F771A">
        <w:rPr>
          <w:szCs w:val="20"/>
        </w:rPr>
        <w:t xml:space="preserve"> Sagaidāmo demogrāfijas tendenču dēļ ekonomiskās izaugsmes noteicošais priekšnosacījums ir produktivitātes līmeņa paaugstināšana. Viens no galvenajiem izaicinājumiem ir jauno konkurētspējas priekšrocību veidošana, kas ir saistīts ar investīcijām </w:t>
      </w:r>
      <w:proofErr w:type="spellStart"/>
      <w:r w:rsidRPr="000F771A">
        <w:rPr>
          <w:szCs w:val="20"/>
        </w:rPr>
        <w:t>cilvēkkapitālā</w:t>
      </w:r>
      <w:proofErr w:type="spellEnd"/>
      <w:r w:rsidRPr="000F771A">
        <w:rPr>
          <w:szCs w:val="20"/>
        </w:rPr>
        <w:t xml:space="preserve">, tehnoloģijās, inovācijā, pētniecībā, </w:t>
      </w:r>
      <w:proofErr w:type="spellStart"/>
      <w:r w:rsidRPr="000F771A">
        <w:rPr>
          <w:szCs w:val="20"/>
        </w:rPr>
        <w:t>digitalizācijā</w:t>
      </w:r>
      <w:proofErr w:type="spellEnd"/>
      <w:r w:rsidRPr="000F771A">
        <w:rPr>
          <w:szCs w:val="20"/>
        </w:rPr>
        <w:t xml:space="preserve">. Jaunu konkurētspējas priekšrocību veidošana ir svarīgs nosacījums eksporta noietu tirgus paplašināšanai un eksporta apjomu </w:t>
      </w:r>
      <w:r w:rsidRPr="000F771A">
        <w:rPr>
          <w:szCs w:val="20"/>
        </w:rPr>
        <w:lastRenderedPageBreak/>
        <w:t xml:space="preserve">pieaugumam, kam ir jākļūst par galveno izaugsmes dzinuli. Latvijas konkurētspēju ārējos un iekšējos tirgos noteiks spēja mazināt produktivitātes plaisu ar tehnoloģiski attīstītajām valstīm. Produktivitātes paaugstināšanas pamatā ir ne tikai tehnoloģiskās novitātes, ražošanas </w:t>
      </w:r>
      <w:r w:rsidRPr="00A57812">
        <w:rPr>
          <w:szCs w:val="20"/>
        </w:rPr>
        <w:t xml:space="preserve">procesa vadības pilnveidošana, bet arī esošo resursu pārdale augstākās pievienotās vērtības produktu ražošanai. Vidējā un ilgtermiņā straujāka attīstība ir sagaidāma nozarēs, kas spēs palielināt produktivitāti, ko ietekmē tehnoloģiskās atpalicības pārvarēšana, ražošanas modernizēšana un investīcijas, ieguldījumi </w:t>
      </w:r>
      <w:proofErr w:type="spellStart"/>
      <w:r w:rsidRPr="00A57812">
        <w:rPr>
          <w:szCs w:val="20"/>
        </w:rPr>
        <w:t>cilvēkkapitālā</w:t>
      </w:r>
      <w:proofErr w:type="spellEnd"/>
      <w:r w:rsidRPr="00A57812">
        <w:rPr>
          <w:szCs w:val="20"/>
        </w:rPr>
        <w:t>, pētniecībā un inovācijā.</w:t>
      </w:r>
    </w:p>
    <w:p w14:paraId="656B9334" w14:textId="31A7F8A2" w:rsidR="00C57EF9" w:rsidRDefault="63118BA4" w:rsidP="004172F8">
      <w:pPr>
        <w:jc w:val="both"/>
      </w:pPr>
      <w:r w:rsidRPr="4398C881">
        <w:rPr>
          <w:b/>
          <w:bCs/>
        </w:rPr>
        <w:t xml:space="preserve">Iedzīvotāju skaita lejupslīde laika periodā līdz 2040. gadam kļūs lēnāka, tomēr turpināsies sabiedrības novecošanās un samazināsies darbspējīgo iedzīvotāju skaits. </w:t>
      </w:r>
      <w:r>
        <w:t>Sagaidāms, ka kopējais iedzīvotāju skaits Latvijā līdz 2040. gadam turpinās samazināties, vienlaikus iedzīvotāju skaita negatīvā dinamika palēnināsies, ko ietekmēs uzlabojumi gan iedzīvotāju starptautiskās migrācijas plūsmās, gan dabiskā pieauguma bilancē. Galvenais iedzīvotāju skaita samazināšanās iemesls gan vidējā, gan ilgtermiņā būs sabiedrības novecošanās tendences, līdz ar to negatīvā plaisa starp dzimstības un mirstības rādītājiem saglabāsies līdz pat 2040. gadam. Būtiskākais iedzīvotāju skaita samazinājums prognozējams starp iedzīvotājiem darbaspējas vecumā, līdz ar to demogrāfiskie procesi atstās jūtamu ietekmi uz darba tirgu. Vienlaikus ņemot vērā Ukrainas kara bēgļu skaita pieaugumu, imigrējošo skaits varētu pārsniegt emigrējošos jau 2023.</w:t>
      </w:r>
      <w:r w:rsidR="5DF1BF79">
        <w:t> </w:t>
      </w:r>
      <w:r>
        <w:t>gadā. Tomēr šādas izmaiņas migrācijas plūsmā vārētu būt īslaicīgas un noturīgs pozitīvs migrācijas saldo sagaidāms ap 2026./2027. gadu. Kopumā iedzīvotāju skaits Latvijā līdz 2040. gadam samazināsies līdz aptuveni 1,73 milj. jeb par gandrīz 164 tūkst., salīdzinot ar 2021. gada sākumu. Vecuma grupā no 15 līdz 64 gadiem iedzīvotāju skaita samazinājums sagaidāms par gandrīz 144,8 tūkst. jeb aptuveni 12%. Tikmēr turpinās palielināties gados vecāku iedzīvotāju īpatsvars - iedzīvotāju skaits virs 64 gadiem līdz 2040. gadam palielināsies par gandrīz 54 tūkst. jeb aptuveni 14 procentiem.</w:t>
      </w:r>
    </w:p>
    <w:p w14:paraId="79DC32C3" w14:textId="77777777" w:rsidR="0003261A" w:rsidRDefault="0003261A" w:rsidP="00F73915">
      <w:pPr>
        <w:spacing w:after="0"/>
        <w:jc w:val="both"/>
        <w:rPr>
          <w:szCs w:val="28"/>
        </w:rPr>
      </w:pPr>
    </w:p>
    <w:p w14:paraId="6AFB3024" w14:textId="77777777" w:rsidR="00C57EF9" w:rsidRPr="00F77899" w:rsidRDefault="00C57EF9" w:rsidP="00C57EF9">
      <w:pPr>
        <w:pStyle w:val="EnvelopeReturn"/>
        <w:numPr>
          <w:ilvl w:val="0"/>
          <w:numId w:val="2"/>
        </w:numPr>
        <w:spacing w:after="240"/>
        <w:ind w:left="284" w:hanging="76"/>
        <w:jc w:val="both"/>
        <w:rPr>
          <w:rFonts w:ascii="Calibri Light" w:eastAsia="Calibri" w:hAnsi="Calibri Light"/>
          <w:b/>
          <w:szCs w:val="28"/>
          <w:lang w:eastAsia="en-US"/>
        </w:rPr>
      </w:pPr>
      <w:r w:rsidRPr="00F77899">
        <w:rPr>
          <w:rFonts w:ascii="Calibri Light" w:eastAsia="Calibri" w:hAnsi="Calibri Light"/>
          <w:b/>
          <w:szCs w:val="28"/>
          <w:lang w:eastAsia="en-US"/>
        </w:rPr>
        <w:t>VIDĒJA UN ILGTERMIŅA DARBA TIRGUS TENDENCES</w:t>
      </w:r>
    </w:p>
    <w:p w14:paraId="4172D7C1" w14:textId="77777777" w:rsidR="00C57EF9" w:rsidRDefault="00C57EF9" w:rsidP="00C57EF9">
      <w:pPr>
        <w:spacing w:after="0"/>
        <w:jc w:val="both"/>
        <w:rPr>
          <w:szCs w:val="20"/>
        </w:rPr>
      </w:pPr>
      <w:r w:rsidRPr="005A2253">
        <w:rPr>
          <w:b/>
          <w:bCs/>
          <w:szCs w:val="20"/>
        </w:rPr>
        <w:t>Darba tirgus pakāpeniski atgūstas no Covid-19 pandēmijas šoka</w:t>
      </w:r>
      <w:r>
        <w:rPr>
          <w:szCs w:val="20"/>
        </w:rPr>
        <w:t>,</w:t>
      </w:r>
      <w:r w:rsidRPr="005A2253">
        <w:t xml:space="preserve"> </w:t>
      </w:r>
      <w:r w:rsidRPr="005A2253">
        <w:rPr>
          <w:b/>
          <w:bCs/>
          <w:szCs w:val="20"/>
        </w:rPr>
        <w:t xml:space="preserve">tomēr </w:t>
      </w:r>
      <w:r>
        <w:rPr>
          <w:b/>
          <w:bCs/>
          <w:szCs w:val="20"/>
        </w:rPr>
        <w:t xml:space="preserve">krīzes </w:t>
      </w:r>
      <w:r w:rsidRPr="005A2253">
        <w:rPr>
          <w:b/>
          <w:bCs/>
          <w:szCs w:val="20"/>
        </w:rPr>
        <w:t>strukturālie efekti var saglabāties.</w:t>
      </w:r>
      <w:r>
        <w:rPr>
          <w:szCs w:val="20"/>
        </w:rPr>
        <w:t xml:space="preserve">  </w:t>
      </w:r>
      <w:r w:rsidRPr="00B77E0E">
        <w:rPr>
          <w:szCs w:val="20"/>
        </w:rPr>
        <w:t>Līdz ar ekonomisko aktivitāšu palielināšanos, kopumā situācija darba tirgū pakāpeniski nostabilizējas. Vienlaikus Covid-19 krīze ir atstājusi arī redzamas “pēdas” darba tirgū. Nodarbināto skaits un nodarbinātības līmenis joprojām ir būtiski zemāki nekā 2019.</w:t>
      </w:r>
      <w:r>
        <w:rPr>
          <w:szCs w:val="20"/>
        </w:rPr>
        <w:t> </w:t>
      </w:r>
      <w:r w:rsidRPr="00B77E0E">
        <w:rPr>
          <w:szCs w:val="20"/>
        </w:rPr>
        <w:t xml:space="preserve">gadā. </w:t>
      </w:r>
      <w:r w:rsidRPr="00E80806">
        <w:rPr>
          <w:szCs w:val="20"/>
        </w:rPr>
        <w:t>Lielākais darbavietu skaita samazinājums vērojams izmitināšanas un ēdināšanas pakalpojumos, mazumtirdzniecībā, transporta pakalpojum</w:t>
      </w:r>
      <w:r>
        <w:rPr>
          <w:szCs w:val="20"/>
        </w:rPr>
        <w:t xml:space="preserve">os, kā arī </w:t>
      </w:r>
      <w:r w:rsidRPr="00E80806">
        <w:rPr>
          <w:szCs w:val="20"/>
        </w:rPr>
        <w:t>mākslas, izklaides un atpūtas nozarē.</w:t>
      </w:r>
      <w:r w:rsidRPr="00627856">
        <w:rPr>
          <w:szCs w:val="20"/>
        </w:rPr>
        <w:t xml:space="preserve"> </w:t>
      </w:r>
      <w:r>
        <w:rPr>
          <w:szCs w:val="20"/>
        </w:rPr>
        <w:t>T</w:t>
      </w:r>
      <w:r w:rsidRPr="00E80806">
        <w:rPr>
          <w:szCs w:val="20"/>
        </w:rPr>
        <w:t>urklāt daudzās no krīzes tieši skartajām nozarēm darbavietu skaits var ilgstoši neatgriezties iepriekšējā līmenī.</w:t>
      </w:r>
      <w:r>
        <w:rPr>
          <w:szCs w:val="20"/>
        </w:rPr>
        <w:t xml:space="preserve"> </w:t>
      </w:r>
      <w:r w:rsidRPr="00B77E0E">
        <w:rPr>
          <w:szCs w:val="20"/>
        </w:rPr>
        <w:t>Tāpat krīze ir ietekmējusi iedzīvotāju ekonomisko aktivitāti, kas līdztekus demogrāfiskiem procesiem sašaurina darbaspēka piedāvājumu un paaugstina darbaspēka nepietiekamības riskus. Krīzei ieilgstot ir pieaudzis</w:t>
      </w:r>
      <w:r>
        <w:rPr>
          <w:szCs w:val="20"/>
        </w:rPr>
        <w:t xml:space="preserve"> arī</w:t>
      </w:r>
      <w:r w:rsidRPr="00B77E0E">
        <w:rPr>
          <w:szCs w:val="20"/>
        </w:rPr>
        <w:t xml:space="preserve"> ilgstošo darba meklētāju īpatsvars, kas kopā ar reģionālām darba tirgus disproporcijām </w:t>
      </w:r>
      <w:r>
        <w:rPr>
          <w:szCs w:val="20"/>
        </w:rPr>
        <w:t xml:space="preserve">palielina </w:t>
      </w:r>
      <w:r w:rsidRPr="00B77E0E">
        <w:rPr>
          <w:szCs w:val="20"/>
        </w:rPr>
        <w:t>strukturālā bezdarba riskus, kā arī saasin</w:t>
      </w:r>
      <w:r>
        <w:rPr>
          <w:szCs w:val="20"/>
        </w:rPr>
        <w:t>a</w:t>
      </w:r>
      <w:r w:rsidRPr="00B77E0E">
        <w:rPr>
          <w:szCs w:val="20"/>
        </w:rPr>
        <w:t xml:space="preserve"> darbaspēka pieejamības problēmu.</w:t>
      </w:r>
    </w:p>
    <w:p w14:paraId="6DCBD88F" w14:textId="77A62CB6" w:rsidR="00C57EF9" w:rsidRDefault="63118BA4" w:rsidP="00F73915">
      <w:pPr>
        <w:jc w:val="both"/>
      </w:pPr>
      <w:r>
        <w:t xml:space="preserve">Covid-19 krīze ir atnesusi arī daudzas pozitīvas pārmaiņas. Tā ir jūtami ietekmējusi sabiedrības paradumu maiņu, radot jaunas iespējas un vajadzības darba tirgū. Būtiski ir pieaugusi dažādu IKT risinājumu izmantošana ikdienas dzīvē, nodrošinot gan nepieciešamo infrastruktūru attālinātā darba, mācību, iepirkšanās, preču piegāžu un citu procesu nodrošināšanai. Krīzes laikā ir pavērušās arī daudz plašākas attālinātā darba iespējas – 2021. gadā aptuveni 1/5 no darbiniekiem strādāja attālināti. </w:t>
      </w:r>
      <w:r w:rsidR="00D154BD">
        <w:rPr>
          <w:rFonts w:cs="Segoe UI"/>
        </w:rPr>
        <w:t>Jāatzīmē, ka a</w:t>
      </w:r>
      <w:r w:rsidRPr="4398C881">
        <w:rPr>
          <w:rFonts w:cs="Segoe UI"/>
        </w:rPr>
        <w:t>ttālināts darbs kopumā var pozitīvi ietekmēt darba ņēmēju produktivitāti, kā arī samazina izmaksas, piemēram, transporta izmaksas. Nozares ar augstām iespējām strādāt attālināti krīzes laikā uzrāda labāku sniegumu.</w:t>
      </w:r>
      <w:r>
        <w:t xml:space="preserve"> Daudzi no šiem procesiem paver jaunu sabiedrības attīstības posmu un visdrīzāk saglabāsies arī </w:t>
      </w:r>
      <w:proofErr w:type="spellStart"/>
      <w:r>
        <w:t>pēckrīzes</w:t>
      </w:r>
      <w:proofErr w:type="spellEnd"/>
      <w:r>
        <w:t xml:space="preserve"> periodā. Tāpat sagaidāms, ka krīzes mazāk skartās nozares atgūsies ātrāk un būs spēcīgs dzinulis ekonomikas izaugsmei ilgtermiņā.</w:t>
      </w:r>
    </w:p>
    <w:p w14:paraId="403FD0CC" w14:textId="77777777" w:rsidR="00C57EF9" w:rsidRPr="00F549BF" w:rsidRDefault="00C57EF9" w:rsidP="00F73915">
      <w:pPr>
        <w:jc w:val="both"/>
        <w:rPr>
          <w:bCs/>
          <w:szCs w:val="28"/>
        </w:rPr>
      </w:pPr>
      <w:r w:rsidRPr="00F549BF">
        <w:rPr>
          <w:b/>
          <w:szCs w:val="28"/>
        </w:rPr>
        <w:t>Ņemot vērā ģeopolitiskās situācijas saasināšanos sagaidāms, ka situācija darba tirgū 2022.</w:t>
      </w:r>
      <w:r>
        <w:rPr>
          <w:b/>
          <w:szCs w:val="28"/>
        </w:rPr>
        <w:t> </w:t>
      </w:r>
      <w:r w:rsidRPr="00F549BF">
        <w:rPr>
          <w:b/>
          <w:szCs w:val="28"/>
        </w:rPr>
        <w:t xml:space="preserve">gadā būs nogaidoša. </w:t>
      </w:r>
      <w:r w:rsidRPr="00CF32D6">
        <w:rPr>
          <w:bCs/>
          <w:szCs w:val="28"/>
        </w:rPr>
        <w:t>Latvijas ekonomikas noturība pret ārējiem šokiem iepriekšējos gados ir ievērojami nostiprinājusies, jo īpaši finanšu sektorā, tādejādi sankciju un eksporta tirgus sašaurināšanās tiešā ietekme uz Latvijas darba tirgu sagaidāma ierobežota. 2022.</w:t>
      </w:r>
      <w:r>
        <w:rPr>
          <w:bCs/>
          <w:szCs w:val="28"/>
        </w:rPr>
        <w:t> </w:t>
      </w:r>
      <w:r w:rsidRPr="00CF32D6">
        <w:rPr>
          <w:bCs/>
          <w:szCs w:val="28"/>
        </w:rPr>
        <w:t>gadā darba tirgu turpinās balstīt gan Covid-19 pandēmijas ieviesto ierobežojumu pakāpeniska atcelšana, gan arī jau uzsākto valsts infrastruktūras objektu būvniecība. Paredzams, ka 2022.</w:t>
      </w:r>
      <w:r>
        <w:rPr>
          <w:bCs/>
          <w:szCs w:val="28"/>
        </w:rPr>
        <w:t> </w:t>
      </w:r>
      <w:r w:rsidRPr="00CF32D6">
        <w:rPr>
          <w:bCs/>
          <w:szCs w:val="28"/>
        </w:rPr>
        <w:t xml:space="preserve">gadā nodarbināto skaits var pieaugt par 0,9% jeb 8 tūkst., bet bezdarba līmenis var samazināties līdz 7,1%. Pieaugums būs vērojams gandrīz visās tautsaimniecības nozarēs, izņemot </w:t>
      </w:r>
      <w:r w:rsidRPr="00F549BF">
        <w:rPr>
          <w:bCs/>
          <w:szCs w:val="28"/>
        </w:rPr>
        <w:t>tirdzniecībā, transportā un apstrādes rūpniecībā</w:t>
      </w:r>
      <w:r>
        <w:rPr>
          <w:bCs/>
          <w:szCs w:val="28"/>
        </w:rPr>
        <w:t>.</w:t>
      </w:r>
      <w:r w:rsidRPr="00F549BF">
        <w:rPr>
          <w:bCs/>
          <w:szCs w:val="28"/>
        </w:rPr>
        <w:t xml:space="preserve"> </w:t>
      </w:r>
      <w:r>
        <w:rPr>
          <w:bCs/>
          <w:szCs w:val="28"/>
        </w:rPr>
        <w:t>P</w:t>
      </w:r>
      <w:r w:rsidRPr="00F549BF">
        <w:rPr>
          <w:bCs/>
          <w:szCs w:val="28"/>
        </w:rPr>
        <w:t>aredzams neliels iedzīvotāju ekonomiskās aktivitātes pieaugums.</w:t>
      </w:r>
      <w:r>
        <w:rPr>
          <w:bCs/>
          <w:szCs w:val="28"/>
        </w:rPr>
        <w:t xml:space="preserve"> </w:t>
      </w:r>
      <w:r w:rsidRPr="00F549BF">
        <w:rPr>
          <w:bCs/>
          <w:szCs w:val="28"/>
        </w:rPr>
        <w:t>Kopumā nodarbinātības un bezdarba rādītāji varētu atgriezties 2019. gada līmenī ap 2024.-2025. gadu, vienlaikus nodarbināto skaits absolūtā izteiksmē visdrīzāk neatgriezīsies līdzšinējā līmenī, ņemot vēr</w:t>
      </w:r>
      <w:r>
        <w:rPr>
          <w:bCs/>
          <w:szCs w:val="28"/>
        </w:rPr>
        <w:t>ā</w:t>
      </w:r>
      <w:r w:rsidRPr="00F549BF">
        <w:rPr>
          <w:bCs/>
          <w:szCs w:val="28"/>
        </w:rPr>
        <w:t xml:space="preserve"> gan demogrāfiskos procesus, gan darbaspēka produktivitātes pieaugumu.</w:t>
      </w:r>
    </w:p>
    <w:p w14:paraId="6B39FCD8" w14:textId="77777777" w:rsidR="00C57EF9" w:rsidRPr="00C937B9" w:rsidRDefault="00C57EF9" w:rsidP="00F73915">
      <w:pPr>
        <w:pStyle w:val="EnvelopeReturn"/>
        <w:spacing w:after="240"/>
        <w:jc w:val="both"/>
        <w:rPr>
          <w:rFonts w:ascii="Calibri Light" w:eastAsia="Calibri" w:hAnsi="Calibri Light"/>
          <w:szCs w:val="28"/>
          <w:lang w:eastAsia="en-US"/>
        </w:rPr>
      </w:pPr>
      <w:r>
        <w:rPr>
          <w:rFonts w:ascii="Calibri Light" w:eastAsia="Calibri" w:hAnsi="Calibri Light"/>
          <w:b/>
          <w:bCs/>
          <w:szCs w:val="28"/>
          <w:lang w:eastAsia="en-US"/>
        </w:rPr>
        <w:t xml:space="preserve">Vidējā un ilgtermiņā bezdarbs būs </w:t>
      </w:r>
      <w:r w:rsidRPr="007B28A3">
        <w:rPr>
          <w:rFonts w:ascii="Calibri Light" w:eastAsia="Calibri" w:hAnsi="Calibri Light"/>
          <w:b/>
          <w:bCs/>
          <w:szCs w:val="28"/>
          <w:lang w:eastAsia="en-US"/>
        </w:rPr>
        <w:t>tuvu tā dabiskam līmenim.</w:t>
      </w:r>
      <w:r w:rsidRPr="007B46E3">
        <w:rPr>
          <w:rFonts w:ascii="Calibri Light" w:eastAsia="Calibri" w:hAnsi="Calibri Light"/>
          <w:b/>
          <w:bCs/>
          <w:szCs w:val="28"/>
          <w:lang w:eastAsia="en-US"/>
        </w:rPr>
        <w:t xml:space="preserve"> </w:t>
      </w:r>
      <w:r w:rsidRPr="007B46E3">
        <w:rPr>
          <w:rFonts w:ascii="Calibri Light" w:eastAsia="Calibri" w:hAnsi="Calibri Light"/>
          <w:szCs w:val="28"/>
          <w:lang w:eastAsia="en-US"/>
        </w:rPr>
        <w:t xml:space="preserve">Ņemot vērā demogrāfijas tendences, kopumā bezdarbs gan vidējā, gan ilgtermiņā turpinās sarukt. </w:t>
      </w:r>
      <w:r w:rsidRPr="007B46E3">
        <w:rPr>
          <w:rFonts w:ascii="Calibri Light" w:eastAsia="Calibri" w:hAnsi="Calibri Light"/>
          <w:bCs/>
          <w:szCs w:val="28"/>
          <w:lang w:eastAsia="en-US"/>
        </w:rPr>
        <w:t xml:space="preserve">Sagaidāms, ka bezdarba līmenis jau 2023. gadā varētu </w:t>
      </w:r>
      <w:r w:rsidRPr="007B46E3">
        <w:rPr>
          <w:rFonts w:ascii="Calibri Light" w:eastAsia="Calibri" w:hAnsi="Calibri Light"/>
          <w:bCs/>
          <w:szCs w:val="28"/>
          <w:lang w:eastAsia="en-US"/>
        </w:rPr>
        <w:lastRenderedPageBreak/>
        <w:t>samazināties zem 7% atzīmes, s</w:t>
      </w:r>
      <w:r w:rsidRPr="007B46E3">
        <w:rPr>
          <w:rFonts w:ascii="Calibri Light" w:eastAsia="Calibri" w:hAnsi="Calibri Light"/>
          <w:szCs w:val="28"/>
          <w:lang w:eastAsia="en-US"/>
        </w:rPr>
        <w:t>avukārt pilnībā atgriezties pirms Covid-19 pandēmijas krīzes līmenī (2019.</w:t>
      </w:r>
      <w:r>
        <w:rPr>
          <w:rFonts w:ascii="Calibri Light" w:eastAsia="Calibri" w:hAnsi="Calibri Light"/>
          <w:szCs w:val="28"/>
          <w:lang w:eastAsia="en-US"/>
        </w:rPr>
        <w:t> </w:t>
      </w:r>
      <w:r w:rsidRPr="007B46E3">
        <w:rPr>
          <w:rFonts w:ascii="Calibri Light" w:eastAsia="Calibri" w:hAnsi="Calibri Light"/>
          <w:szCs w:val="28"/>
          <w:lang w:eastAsia="en-US"/>
        </w:rPr>
        <w:t>gada līmenī) tas varētu ap 2025.</w:t>
      </w:r>
      <w:r>
        <w:rPr>
          <w:rFonts w:ascii="Calibri Light" w:eastAsia="Calibri" w:hAnsi="Calibri Light"/>
          <w:szCs w:val="28"/>
          <w:lang w:eastAsia="en-US"/>
        </w:rPr>
        <w:t> </w:t>
      </w:r>
      <w:r w:rsidRPr="007B46E3">
        <w:rPr>
          <w:rFonts w:ascii="Calibri Light" w:eastAsia="Calibri" w:hAnsi="Calibri Light"/>
          <w:szCs w:val="28"/>
          <w:lang w:eastAsia="en-US"/>
        </w:rPr>
        <w:t>gadu.</w:t>
      </w:r>
      <w:r w:rsidRPr="007B46E3">
        <w:t xml:space="preserve"> </w:t>
      </w:r>
      <w:r w:rsidRPr="007B46E3">
        <w:rPr>
          <w:rFonts w:ascii="Calibri Light" w:eastAsia="Calibri" w:hAnsi="Calibri Light"/>
          <w:szCs w:val="28"/>
          <w:lang w:eastAsia="en-US"/>
        </w:rPr>
        <w:t xml:space="preserve">Kopumā bezdarbs gan vidējā, gan ilgtermiņā būs tuvu tā dabiskam līmenim </w:t>
      </w:r>
      <w:r>
        <w:rPr>
          <w:rFonts w:ascii="Calibri Light" w:eastAsia="Calibri" w:hAnsi="Calibri Light"/>
          <w:szCs w:val="28"/>
          <w:lang w:eastAsia="en-US"/>
        </w:rPr>
        <w:br/>
      </w:r>
      <w:r w:rsidRPr="007B46E3">
        <w:rPr>
          <w:rFonts w:ascii="Calibri Light" w:eastAsia="Calibri" w:hAnsi="Calibri Light"/>
          <w:szCs w:val="28"/>
          <w:lang w:eastAsia="en-US"/>
        </w:rPr>
        <w:t xml:space="preserve">(5-6% robežās) un to pamatā veidos </w:t>
      </w:r>
      <w:proofErr w:type="spellStart"/>
      <w:r w:rsidRPr="007B46E3">
        <w:rPr>
          <w:rFonts w:ascii="Calibri Light" w:eastAsia="Calibri" w:hAnsi="Calibri Light"/>
          <w:szCs w:val="28"/>
          <w:lang w:eastAsia="en-US"/>
        </w:rPr>
        <w:t>frikcionālais</w:t>
      </w:r>
      <w:proofErr w:type="spellEnd"/>
      <w:r w:rsidRPr="007B46E3">
        <w:rPr>
          <w:rFonts w:ascii="Calibri Light" w:eastAsia="Calibri" w:hAnsi="Calibri Light"/>
          <w:szCs w:val="28"/>
          <w:lang w:eastAsia="en-US"/>
        </w:rPr>
        <w:t xml:space="preserve"> un strukturālais bezdarbs. Augstākie bezdarba riski sagaidāmi starp iedzīvotājiem ar zemu izglītības līmeni un bez profesionālām prasmēm/profesionālās kvalifikācijas.</w:t>
      </w:r>
    </w:p>
    <w:p w14:paraId="2AA5E966" w14:textId="3BABBBBB" w:rsidR="00C57EF9" w:rsidRDefault="63118BA4" w:rsidP="4398C881">
      <w:pPr>
        <w:pStyle w:val="EnvelopeReturn"/>
        <w:spacing w:after="240"/>
        <w:jc w:val="both"/>
        <w:rPr>
          <w:rFonts w:ascii="Calibri Light" w:eastAsia="Calibri" w:hAnsi="Calibri Light"/>
          <w:lang w:eastAsia="en-US"/>
        </w:rPr>
      </w:pPr>
      <w:r w:rsidRPr="4398C881">
        <w:rPr>
          <w:rFonts w:ascii="Calibri Light" w:eastAsia="Calibri" w:hAnsi="Calibri Light"/>
          <w:b/>
          <w:bCs/>
          <w:lang w:eastAsia="en-US"/>
        </w:rPr>
        <w:t xml:space="preserve">Nodarbināto skaits nākotnē var neatgriezties pirms Covid-19 krīzes līmenī, ekonomikas izaugsme būs balstīta uz produktivitātes pieaugumu. </w:t>
      </w:r>
      <w:r w:rsidRPr="4398C881">
        <w:rPr>
          <w:rFonts w:ascii="Calibri Light" w:eastAsia="Calibri" w:hAnsi="Calibri Light"/>
          <w:lang w:eastAsia="en-US"/>
        </w:rPr>
        <w:t xml:space="preserve">Nākamajos 3-4 gados darba tirgū dominēs zemās bāzes efekts, kā rezultātā nodarbināto skaits varētu augt vidēji straujāk nekā pirms Covid-19 krīzes. Gan vidējā termiņā, gan arī ilgtermiņā darbaspēka pieprasījuma un nodarbinātības dinamikas bāzes tendences joprojām lielā mērā noteiks darbaspēka produktivitātes pieaugums, kas ir būtisks priekšnosacījums Latvijas globālās konkurētspējas saglabāšanai, līdz ar to nodarbināto skaits nākamajos gados kopumā varētu augt lēni. Darbaspēka produktivitātes pieaugums periodā no 2022.- līdz 2030. gadam varētu veidot vidēji aptuveni 3,8% gadā, kas ir vairāk nekā 93% no ekonomikas izaugsmes atbilstošā periodā, bet no 2031.līdz 2040. gadam ekonomikas izaugsme varētu būt pilnā apmērā balstīta uz produktivitātes pieaugumu. Ņemot vērā to, nodarbināto iedzīvotāju skaits līdz 2030. gadam varētu kopumā augt par aptuveni 26 tūkst. jeb 3%, salīdzinot ar 2021. gadu, bet līdz 2040. gadam nodarbināto skaits varētu samazināties par aptuveni 11 tūkst. (1,3%), salīdzinot ar 2030. gadu. Nav sagaidāms, ka nodarbināto skaits līdz 2040. gadam varētu atgriezties pirms Covid-19 krīzes līmenī. </w:t>
      </w:r>
    </w:p>
    <w:p w14:paraId="39F7BC81" w14:textId="464DC87B" w:rsidR="00C57EF9" w:rsidRDefault="63118BA4" w:rsidP="00C57EF9">
      <w:pPr>
        <w:jc w:val="both"/>
      </w:pPr>
      <w:r w:rsidRPr="4398C881">
        <w:rPr>
          <w:b/>
          <w:bCs/>
        </w:rPr>
        <w:t xml:space="preserve">Demogrāfijas procesi turpinās uzturēt spiedienu uz darbaspēka piedāvājumu. </w:t>
      </w:r>
      <w:r>
        <w:t xml:space="preserve">Kopumā Covid-19 pandēmijas krīze ir atstājusi negatīvu ietekmi uz iedzīvotāju līdzdalību darba tirgū - 2021. gadā iedzīvotāju ekonomiskās aktivitātes līmenis bija par 1,7 procentpunktiem mazāks nekā pirms krīzes 2019. gadā, kas šajā laikā ir samazinājis arī kopējo darbaspēka piedāvājumu darba tirgū. Palielinoties ekonomiskajām aktivitātēm tautsaimniecībā, sagaidāms, ka arī iedzīvotāju līdzdalība darba tirgū pakāpeniski atsāks augt. Iedzīvotāju ekonomiskās aktivitātes līmenis kopumā varētu palielināties jau sākot ar 2022. gadu, bet pilnībā atgriezties </w:t>
      </w:r>
      <w:proofErr w:type="spellStart"/>
      <w:r>
        <w:t>pirmskrīzes</w:t>
      </w:r>
      <w:proofErr w:type="spellEnd"/>
      <w:r>
        <w:t xml:space="preserve"> līmenī – ap 2024. gadu. Tomēr neskatoties uz iedzīvotāju ekonomiskās aktivitātes pieaugumu, kopējais darbaspēka piedāvājums visdrīzāk saglabāsies zem 2019. gada līmeņa līdz pat 2040. gadam. Jāņem vērā, ka iedzīvotāju skaits darbaspējas vecumā nākamajos gados turpinās samazināties, līdz ar to negatīvi ietekmējot arī kopējo darbaspēka piedāvājumu. Sagaidāms, ka darbaspēka piedāvājums līdz 2040. gadam kopumā varētu samazināties par aptuveni 10 tūkst. jeb 9,3%, salīdzinot ar 2021. gadu.</w:t>
      </w:r>
    </w:p>
    <w:p w14:paraId="70078185" w14:textId="3110DE77" w:rsidR="00C57EF9" w:rsidRPr="00512F91" w:rsidRDefault="63118BA4" w:rsidP="4398C881">
      <w:pPr>
        <w:pStyle w:val="EnvelopeReturn"/>
        <w:spacing w:after="240"/>
        <w:jc w:val="both"/>
        <w:rPr>
          <w:rFonts w:ascii="Calibri Light" w:eastAsia="Calibri" w:hAnsi="Calibri Light"/>
          <w:lang w:eastAsia="en-US"/>
        </w:rPr>
      </w:pPr>
      <w:r w:rsidRPr="4398C881">
        <w:rPr>
          <w:rFonts w:ascii="Calibri Light" w:eastAsia="Calibri" w:hAnsi="Calibri Light"/>
          <w:b/>
          <w:bCs/>
          <w:lang w:eastAsia="en-US"/>
        </w:rPr>
        <w:t xml:space="preserve">Būtiskākais jauno darbavietu pieaugums vidējā termiņā sagaidāms profesionālos, zinātniskos un tehniskos pakalpojumos, informācijas un komunikācijas pakalpojumos un būvniecībā. </w:t>
      </w:r>
      <w:r w:rsidRPr="4398C881">
        <w:rPr>
          <w:rFonts w:ascii="Calibri Light" w:eastAsia="Calibri" w:hAnsi="Calibri Light"/>
          <w:lang w:eastAsia="en-US"/>
        </w:rPr>
        <w:t xml:space="preserve">Kopumā augstāk minētās nozares līdz 2030. gadam radīs aptuveni 34,6 tūkst. jaunu darbavietu, kas ir aptuveni 2/3 no visām jaunradītām darbavietām tautsaimniecībā kopumā atbilstošajā periodā. Vienlaikus ilgtermiņā (periodā līdz 2040. gadam) nozīmīgākais jaunu darbavietu pienesums varētu būt gan profesionāliem, zinātniskiem un tehniskiem pakalpojumiem, gan informācijas un komunikācijas pakalpojumiem, gan arī veselības un sociālās aprūpes pakalpojumiem, ko lielā mērā ietekmēs kopējās sabiedrības novecošanās tendences un pieprasījuma pieaugums pēc dažādiem ar veselības uzturēšanas, rehabilitācijas un citiem ar </w:t>
      </w:r>
      <w:r w:rsidRPr="4398C881">
        <w:rPr>
          <w:rFonts w:ascii="Calibri Light" w:hAnsi="Calibri Light"/>
        </w:rPr>
        <w:t>„</w:t>
      </w:r>
      <w:r w:rsidRPr="4398C881">
        <w:rPr>
          <w:rFonts w:ascii="Calibri Light" w:eastAsia="Calibri" w:hAnsi="Calibri Light"/>
          <w:lang w:eastAsia="en-US"/>
        </w:rPr>
        <w:t>sudraba ekonomiku” saistītajiem pakalpojumiem. Tāpat nozīmīgs darbavietu pieaugums ilgtermiņā sagaidāms izmitināšanas un ēdināšanas nozarēs, ņemot vērā kopumā tūrisma sektora paplašināšanos.</w:t>
      </w:r>
    </w:p>
    <w:p w14:paraId="6B00B14B" w14:textId="137C0CC3" w:rsidR="00C57EF9" w:rsidRPr="0021064C" w:rsidRDefault="63118BA4" w:rsidP="4398C881">
      <w:pPr>
        <w:pStyle w:val="EnvelopeReturn"/>
        <w:spacing w:after="240"/>
        <w:jc w:val="both"/>
        <w:rPr>
          <w:rFonts w:ascii="Calibri Light" w:eastAsia="Calibri" w:hAnsi="Calibri Light"/>
          <w:lang w:eastAsia="en-US"/>
        </w:rPr>
      </w:pPr>
      <w:r w:rsidRPr="4398C881">
        <w:rPr>
          <w:rFonts w:ascii="Calibri Light" w:eastAsia="Calibri" w:hAnsi="Calibri Light"/>
          <w:b/>
          <w:bCs/>
          <w:lang w:eastAsia="en-US"/>
        </w:rPr>
        <w:t xml:space="preserve">Tautsaimniecības struktūras maiņa palielinās augstas kvalifikācijas darbaspēka pieprasījumu, bet samazinās zemas un vidējās kvalifikācijas darbavietu skaitu. </w:t>
      </w:r>
      <w:r w:rsidRPr="4398C881">
        <w:rPr>
          <w:rFonts w:ascii="Calibri Light" w:eastAsia="Calibri" w:hAnsi="Calibri Light"/>
          <w:lang w:eastAsia="en-US"/>
        </w:rPr>
        <w:t>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 Kopumā līdz 2040. gadam augstākās kvalifikācijas darbavietu īpatsvars varētu palielināties par aptuveni 8,1 procentpunktiem kopējajā darbaspēka pieprasījumā, bet vidējās un zemas kvalifikācijas profesiju īpatsvars sarukt, attiecīgi, par 3,7 procentpunktiem un 4,4 procentpunktiem, salīdzinot ar 2021. gadu. Proporcionāli visbūtiskāk tautsaimniecības struktūras maiņa varētu ietekmēt vienkāršās profesijas. Darbaspēka pieprasījums vienkāršajās profesijās līdz 2040. gadam varētu samazināties par vairāk nekā 35% jeb 36,5 tūkst. darbavietu</w:t>
      </w:r>
      <w:r w:rsidR="6C62BB28" w:rsidRPr="4398C881">
        <w:rPr>
          <w:rFonts w:ascii="Calibri Light" w:eastAsia="Calibri" w:hAnsi="Calibri Light"/>
          <w:lang w:eastAsia="en-US"/>
        </w:rPr>
        <w:t xml:space="preserve">, savukārt vidējās kvalifikācijas darbavietas - </w:t>
      </w:r>
      <w:r w:rsidR="6C62BB28">
        <w:t xml:space="preserve"> </w:t>
      </w:r>
      <w:r w:rsidR="6C62BB28" w:rsidRPr="4398C881">
        <w:rPr>
          <w:rFonts w:ascii="Calibri Light" w:eastAsia="Calibri" w:hAnsi="Calibri Light"/>
          <w:lang w:eastAsia="en-US"/>
        </w:rPr>
        <w:t>par vairāk nekā 27 tūkst. jeb 7,4%</w:t>
      </w:r>
      <w:r w:rsidR="57F90B03" w:rsidRPr="4398C881">
        <w:rPr>
          <w:rFonts w:ascii="Calibri Light" w:eastAsia="Calibri" w:hAnsi="Calibri Light"/>
          <w:lang w:eastAsia="en-US"/>
        </w:rPr>
        <w:t>.</w:t>
      </w:r>
      <w:r w:rsidR="6C62BB28" w:rsidRPr="4398C881">
        <w:rPr>
          <w:rFonts w:ascii="Calibri Light" w:eastAsia="Calibri" w:hAnsi="Calibri Light"/>
          <w:lang w:eastAsia="en-US"/>
        </w:rPr>
        <w:t xml:space="preserve"> </w:t>
      </w:r>
      <w:r w:rsidRPr="4398C881">
        <w:rPr>
          <w:rFonts w:ascii="Calibri Light" w:eastAsia="Calibri" w:hAnsi="Calibri Light"/>
          <w:lang w:eastAsia="en-US"/>
        </w:rPr>
        <w:t xml:space="preserve">Periodā līdz 2040. gadam augstākās kvalifikācijas darbavietu skaits varētu pieaugt par vairāk nekā 75 tūkst., veidojot 462 </w:t>
      </w:r>
      <w:proofErr w:type="spellStart"/>
      <w:r w:rsidRPr="4398C881">
        <w:rPr>
          <w:rFonts w:ascii="Calibri Light" w:eastAsia="Calibri" w:hAnsi="Calibri Light"/>
          <w:lang w:eastAsia="en-US"/>
        </w:rPr>
        <w:t>tūkst.darbavietu</w:t>
      </w:r>
      <w:proofErr w:type="spellEnd"/>
      <w:r w:rsidRPr="4398C881">
        <w:rPr>
          <w:rFonts w:ascii="Calibri Light" w:eastAsia="Calibri" w:hAnsi="Calibri Light"/>
          <w:lang w:eastAsia="en-US"/>
        </w:rPr>
        <w:t xml:space="preserve"> jeb vairāk nekā pusi (gandrīz 53%) no kopējā darbavietu skaita tautsaimniecībā. Augstākās kvalifikācijas darbavietu pieaugums kopumā palielinās pieprasījumu pēc darbaspēka ar augstāko izglītību. Sagaidāms, ka līdz 2040. gadam darbaspēka pieprasījums ar augstāko izglītību varētu palielināties par vairāk nekā 63 tūkst. Vienlaikus jāņem vērā, ka gandrīz 25% no augstākās kvalifikācijas profesijām pašlaik ir nodarbināti darbinieki ar vidējo (24%) vai zemāku (1%) izglītību, tomēr šādi darbinieki nākamos gados pakāpeniski tiks aizvietoti.</w:t>
      </w:r>
    </w:p>
    <w:p w14:paraId="149E6C55" w14:textId="791D42A9" w:rsidR="00C57EF9" w:rsidRDefault="00C57EF9" w:rsidP="00C57EF9">
      <w:pPr>
        <w:pStyle w:val="EnvelopeReturn"/>
        <w:spacing w:after="240"/>
        <w:jc w:val="both"/>
        <w:rPr>
          <w:rFonts w:ascii="Calibri Light" w:eastAsia="Calibri" w:hAnsi="Calibri Light"/>
          <w:szCs w:val="28"/>
          <w:lang w:eastAsia="en-US"/>
        </w:rPr>
      </w:pPr>
      <w:r w:rsidRPr="008A4BEF">
        <w:rPr>
          <w:rFonts w:ascii="Calibri Light" w:eastAsia="Calibri" w:hAnsi="Calibri Light"/>
          <w:b/>
          <w:bCs/>
          <w:szCs w:val="28"/>
          <w:lang w:eastAsia="en-US"/>
        </w:rPr>
        <w:lastRenderedPageBreak/>
        <w:t xml:space="preserve">Darba tirgu </w:t>
      </w:r>
      <w:r>
        <w:rPr>
          <w:rFonts w:ascii="Calibri Light" w:eastAsia="Calibri" w:hAnsi="Calibri Light"/>
          <w:b/>
          <w:bCs/>
          <w:szCs w:val="28"/>
          <w:lang w:eastAsia="en-US"/>
        </w:rPr>
        <w:t>turpinās spēcīgi ietekmēt</w:t>
      </w:r>
      <w:r w:rsidRPr="008A4BEF">
        <w:rPr>
          <w:rFonts w:ascii="Calibri Light" w:eastAsia="Calibri" w:hAnsi="Calibri Light"/>
          <w:b/>
          <w:bCs/>
          <w:szCs w:val="28"/>
          <w:lang w:eastAsia="en-US"/>
        </w:rPr>
        <w:t xml:space="preserve"> </w:t>
      </w:r>
      <w:proofErr w:type="spellStart"/>
      <w:r w:rsidRPr="008A4BEF">
        <w:rPr>
          <w:rFonts w:ascii="Calibri Light" w:eastAsia="Calibri" w:hAnsi="Calibri Light"/>
          <w:b/>
          <w:bCs/>
          <w:szCs w:val="28"/>
          <w:lang w:eastAsia="en-US"/>
        </w:rPr>
        <w:t>digitalizācijas</w:t>
      </w:r>
      <w:proofErr w:type="spellEnd"/>
      <w:r w:rsidRPr="008A4BEF">
        <w:rPr>
          <w:rFonts w:ascii="Calibri Light" w:eastAsia="Calibri" w:hAnsi="Calibri Light"/>
          <w:b/>
          <w:bCs/>
          <w:szCs w:val="28"/>
          <w:lang w:eastAsia="en-US"/>
        </w:rPr>
        <w:t xml:space="preserve"> tendences un darbavietu automatizācija. </w:t>
      </w:r>
      <w:r w:rsidRPr="008A4BEF">
        <w:rPr>
          <w:rFonts w:ascii="Calibri Light" w:eastAsia="Calibri" w:hAnsi="Calibri Light"/>
          <w:szCs w:val="28"/>
          <w:lang w:eastAsia="en-US"/>
        </w:rPr>
        <w:t>Jāņem vērā, ka iepriekšējos gados inovāciju cikli ir kļuvuši daudz ātrāki</w:t>
      </w:r>
      <w:r>
        <w:rPr>
          <w:rFonts w:ascii="Calibri Light" w:eastAsia="Calibri" w:hAnsi="Calibri Light"/>
          <w:szCs w:val="28"/>
          <w:lang w:eastAsia="en-US"/>
        </w:rPr>
        <w:t>.</w:t>
      </w:r>
      <w:r w:rsidRPr="008A4BEF">
        <w:rPr>
          <w:rFonts w:ascii="Calibri Light" w:eastAsia="Calibri" w:hAnsi="Calibri Light"/>
          <w:szCs w:val="28"/>
          <w:lang w:eastAsia="en-US"/>
        </w:rPr>
        <w:t xml:space="preserve"> </w:t>
      </w:r>
      <w:r>
        <w:rPr>
          <w:rFonts w:ascii="Calibri Light" w:eastAsia="Calibri" w:hAnsi="Calibri Light"/>
          <w:szCs w:val="28"/>
          <w:lang w:eastAsia="en-US"/>
        </w:rPr>
        <w:t>L</w:t>
      </w:r>
      <w:r w:rsidRPr="008A4BEF">
        <w:rPr>
          <w:rFonts w:ascii="Calibri Light" w:eastAsia="Calibri" w:hAnsi="Calibri Light"/>
          <w:szCs w:val="28"/>
          <w:lang w:eastAsia="en-US"/>
        </w:rPr>
        <w:t>ielie dati/</w:t>
      </w:r>
      <w:proofErr w:type="spellStart"/>
      <w:r w:rsidRPr="008A4BEF">
        <w:rPr>
          <w:rFonts w:ascii="Calibri Light" w:eastAsia="Calibri" w:hAnsi="Calibri Light"/>
          <w:szCs w:val="28"/>
          <w:lang w:eastAsia="en-US"/>
        </w:rPr>
        <w:t>mākoņskaitļošana</w:t>
      </w:r>
      <w:proofErr w:type="spellEnd"/>
      <w:r w:rsidRPr="008A4BEF">
        <w:rPr>
          <w:rFonts w:ascii="Calibri Light" w:eastAsia="Calibri" w:hAnsi="Calibri Light"/>
          <w:szCs w:val="28"/>
          <w:lang w:eastAsia="en-US"/>
        </w:rPr>
        <w:t>, 3D printeri, autonomie transporta līdzekļi un platformu ekonomika ir tikai daļa no inovācijām, kas ir izmainījuši tradicionālos produktu un pakalpojumu tirgus, un atstāj būtisku ietekmi ne tikai uz biznesa modeļiem, bet arī darbaspēka un prasmju pieprasījumu. Paredzams, ka turpmākajos gados arvien vairāk darbavietas saskarsies ar automatizācijas tendencēm, lielākais darbavietu samazinājums sagaidāms profesijās ar lielu manuālo un atkārtojamu darbību īpatsvaru, kā arī specialitātēs, kas saistītas ar tiešo apkalpošanu, piemēram, pārdevēji un kasieri mazum</w:t>
      </w:r>
      <w:r w:rsidRPr="008A4BEF">
        <w:rPr>
          <w:rFonts w:ascii="Calibri Light" w:eastAsia="Calibri" w:hAnsi="Calibri Light"/>
          <w:szCs w:val="28"/>
          <w:lang w:eastAsia="en-US"/>
        </w:rPr>
        <w:softHyphen/>
        <w:t xml:space="preserve">tirdzniecībā, zvanu operatori un līdzīgās profesijas. Automatizācijas tendences ilgtermiņā visvairāk varētu ietekmēt vidējās un zemas kvalifikācijas darbavietu </w:t>
      </w:r>
      <w:r w:rsidRPr="00BC2148">
        <w:rPr>
          <w:rFonts w:ascii="Calibri Light" w:eastAsia="Calibri" w:hAnsi="Calibri Light"/>
          <w:szCs w:val="28"/>
          <w:lang w:eastAsia="en-US"/>
        </w:rPr>
        <w:t>skaitu. Jāņem vērā</w:t>
      </w:r>
      <w:r w:rsidRPr="004C31C1">
        <w:rPr>
          <w:rFonts w:ascii="Calibri Light" w:eastAsia="Calibri" w:hAnsi="Calibri Light"/>
          <w:szCs w:val="28"/>
          <w:lang w:eastAsia="en-US"/>
        </w:rPr>
        <w:t xml:space="preserve">, ka </w:t>
      </w:r>
      <w:r w:rsidR="00BC2148">
        <w:rPr>
          <w:rFonts w:ascii="Calibri Light" w:eastAsia="Calibri" w:hAnsi="Calibri Light"/>
          <w:szCs w:val="28"/>
          <w:lang w:eastAsia="en-US"/>
        </w:rPr>
        <w:t xml:space="preserve">mazāk pakļautas automatizācijai ir tās </w:t>
      </w:r>
      <w:r w:rsidRPr="004C31C1">
        <w:rPr>
          <w:rFonts w:ascii="Calibri Light" w:eastAsia="Calibri" w:hAnsi="Calibri Light"/>
          <w:szCs w:val="28"/>
          <w:lang w:eastAsia="en-US"/>
        </w:rPr>
        <w:t>profesijas, kurās nepieciešams augsts izglītības līmenis, augsta sociālā mijiedarbība un spējas vadīt, plānot un koordinēt sarežģīto vidi/apstākļus. Savukārt visvairāk automatizācijai ir pakļautas tās profesijas, kurās nepieciešama salīdzinoši zema līmeņa formālā izglītība vai nav nepieciešams iesaistīties kompleksās sociālās mijiedarbībās, kā arī profesijas, kurās tiek veikts rutīnas manuāls darbs.</w:t>
      </w:r>
    </w:p>
    <w:p w14:paraId="1CAEA384" w14:textId="3C6859F1" w:rsidR="00C57EF9" w:rsidRDefault="63118BA4" w:rsidP="4398C881">
      <w:pPr>
        <w:pStyle w:val="EnvelopeReturn"/>
        <w:spacing w:after="240"/>
        <w:jc w:val="both"/>
        <w:rPr>
          <w:rFonts w:ascii="Calibri Light" w:eastAsia="Calibri" w:hAnsi="Calibri Light"/>
          <w:lang w:eastAsia="en-US"/>
        </w:rPr>
      </w:pPr>
      <w:r w:rsidRPr="4398C881">
        <w:rPr>
          <w:rFonts w:ascii="Calibri Light" w:eastAsia="Calibri" w:hAnsi="Calibri Light"/>
          <w:b/>
          <w:bCs/>
          <w:lang w:eastAsia="en-US"/>
        </w:rPr>
        <w:t>Galvenās darba iespējas radīs aizvietojošais pieprasījums.</w:t>
      </w:r>
      <w:r w:rsidRPr="4398C881">
        <w:rPr>
          <w:rFonts w:ascii="Calibri Light" w:eastAsia="Calibri" w:hAnsi="Calibri Light"/>
          <w:lang w:eastAsia="en-US"/>
        </w:rPr>
        <w:t xml:space="preserve"> Līdz 2040. gadam dēļ darbaspēka novecošanās un iziešanas no darba tirgus var atbrīvoties aptuveni 327 tūkst. darbavietu, no kurām 147 tūkst. vakanču veidosies augstākās kvalifikācijas profesijās, 139 tūkst. vidējās kvalifikācijas profesijās, bet 41 tūkst. vienkāršajās profesijās. Būtiskākais aizvietojošā darbaspēka pieprasījuma pieaugums augstākās kvalifikācijas profesijās sagaidāms vecāko speciālistu profesijās – gandrīz 2/5 no pašlaik nodarbinātajiem atbilstošajās profesijās līdz 2040. gadam varētu iziet no darba tirgus. Nozīmīgākais aizvietojošā darbaspēka pieprasījuma pieaugums sagaidāms izglītības jomas vecāko speciālistu profesiju apakšgrupā, veselības aprūpes vecāko speciālistu profesiju apakšgrupā un zinātnes un inženierzinātņu jomas vecāko speciālistu profesiju apakšgrupā. Vienlaikus vidējās kvalifikācijas profesijās visbūtiskākais aizvietojošā darbaspēka pieprasījuma pieaugums sagaidāms lauksaimniecības profesijās, pašgājēju mašīnu un iekārtu vadītāju</w:t>
      </w:r>
      <w:r>
        <w:t xml:space="preserve"> </w:t>
      </w:r>
      <w:r w:rsidRPr="4398C881">
        <w:rPr>
          <w:rFonts w:ascii="Calibri Light" w:eastAsia="Calibri" w:hAnsi="Calibri Light"/>
          <w:lang w:eastAsia="en-US"/>
        </w:rPr>
        <w:t>un celšanas iekārtu un mašīnu operatoru profesijās, amatnieku un iespieddarbu strādnieku, kā arī apsardzes pakalpojumu jomas darbinieku profesijās. Kopumā aizvietojošais pieprasījums līdz 2040. gadam varētu veidot gandrīz 3/4 no kopējā vakanču skaita pieauguma darba tirgū.</w:t>
      </w:r>
    </w:p>
    <w:p w14:paraId="72C3BFFD" w14:textId="52A58D5D" w:rsidR="00C57EF9" w:rsidRDefault="63118BA4" w:rsidP="4398C881">
      <w:pPr>
        <w:pStyle w:val="EnvelopeReturn"/>
        <w:spacing w:after="240"/>
        <w:jc w:val="both"/>
        <w:rPr>
          <w:rFonts w:ascii="Calibri Light" w:eastAsia="Calibri" w:hAnsi="Calibri Light"/>
          <w:lang w:eastAsia="en-US"/>
        </w:rPr>
      </w:pPr>
      <w:r w:rsidRPr="4398C881">
        <w:rPr>
          <w:rFonts w:ascii="Calibri Light" w:eastAsia="Calibri" w:hAnsi="Calibri Light"/>
          <w:b/>
          <w:bCs/>
          <w:lang w:eastAsia="en-US"/>
        </w:rPr>
        <w:t>Darbaspēka novecošanās tendences, gan arī zemais atražošanās līmenis vidējā un ilgtermiņā visvairāk ietekmēs vidējās kvalifikācijas darbaspēka pieejamību</w:t>
      </w:r>
      <w:r w:rsidRPr="4398C881">
        <w:rPr>
          <w:rFonts w:ascii="Calibri Light" w:eastAsia="Calibri" w:hAnsi="Calibri Light"/>
          <w:lang w:eastAsia="en-US"/>
        </w:rPr>
        <w:t xml:space="preserve">. Ekonomiski aktīvo iedzīvotāju skaits ar profesionālo vidējo izglītību līdz 2040. gadam varētu samazināties par vairāk nekā 1/3 jeb gandrīz 86 tūkst., bet atbilstošas kvalifikācijas darbaspēka iztrūkums varētu pieaugt līdz 114 tūkst. darbinieku. Visvairāk vidējās kvalifikācijas darbaspēka nepietiekamību varēs izjust tādas nozares kā transporta pakalpojumos un uzglabāšanā, būvniecībā, apstrādes rūpniecībā, kā arī lauksaimniecībā un tirdzniecības nozarēs, kur vidējās kvalifikācijas darbavietu īpatsvars veido aptuveni 50% un vairāk, kā arī ir augsts </w:t>
      </w:r>
      <w:proofErr w:type="spellStart"/>
      <w:r w:rsidRPr="4398C881">
        <w:rPr>
          <w:rFonts w:ascii="Calibri Light" w:eastAsia="Calibri" w:hAnsi="Calibri Light"/>
          <w:lang w:eastAsia="en-US"/>
        </w:rPr>
        <w:t>pirmspensijas</w:t>
      </w:r>
      <w:proofErr w:type="spellEnd"/>
      <w:r w:rsidRPr="4398C881">
        <w:rPr>
          <w:rFonts w:ascii="Calibri Light" w:eastAsia="Calibri" w:hAnsi="Calibri Light"/>
          <w:lang w:eastAsia="en-US"/>
        </w:rPr>
        <w:t xml:space="preserve"> nodarbināto īpatsvars.</w:t>
      </w:r>
    </w:p>
    <w:p w14:paraId="5AA94039" w14:textId="409365B9" w:rsidR="00C57EF9" w:rsidRPr="00A53C2B" w:rsidRDefault="63118BA4" w:rsidP="4398C881">
      <w:pPr>
        <w:jc w:val="both"/>
        <w:rPr>
          <w:highlight w:val="cyan"/>
        </w:rPr>
      </w:pPr>
      <w:r w:rsidRPr="4398C881">
        <w:rPr>
          <w:b/>
          <w:bCs/>
        </w:rPr>
        <w:t xml:space="preserve">Darba tirgus reģionālās atšķirības var kavēt normālu darba tirgus atgūšanos, veidot strukturālā bezdarba riskus un pastiprināt darbaspēka nepietiekamību. </w:t>
      </w:r>
      <w:r>
        <w:t xml:space="preserve">Nevienmērīgā reģionālā izaugsme lielā mērā nosaka to, ka darbavietas un darba iespējas galvenokārt veidojās un koncentrējās ekonomiski aktīvākajos Latvijas reģionos </w:t>
      </w:r>
      <w:r w:rsidRPr="4398C881">
        <w:rPr>
          <w:rFonts w:cs="Calibri Light"/>
        </w:rPr>
        <w:t>–</w:t>
      </w:r>
      <w:r>
        <w:t xml:space="preserve"> galvenokārt Rīgas aglomerācijā, savukārt lielākais darba meklētāju skaits (brīvās darbaspēka rezerves) joprojām saglabājās mazāk attīstītos reģionos, piemēram, Latgales reģionā. Latvijai pakāpeniski atgūstoties no Covid-19 izraisītā šoka, būtiski būs nodrošināt ekonomikas izaugsmei nepieciešamos darbaspēka resursus. Tomēr jāņem vērā, ka iedzīvotāju līdzdalība darba tirgū tuvākajos gados var būt zemākā līmenī nekā iepriekš, savukārt ārvalstu darbaspēka piesaiste var saglabāties ierobežota, līdz ar to efektīvai vietējā darbaspēka pieejamībai var būt kritiska nozīme sabalansēta darba tirgus izaugsmei. Būtiski ir ne tikai palielināt darbaspēka reģionālo mobilitāti jeb spēju operatīvi mainīt darba un dzīves vietu, bet arī nodrošināt investīciju un darba iespēju pārstrukturizāciju reģionālā griezumā.</w:t>
      </w:r>
    </w:p>
    <w:p w14:paraId="2A11B987" w14:textId="60E8FB02" w:rsidR="00C57EF9" w:rsidRDefault="63118BA4" w:rsidP="00C57EF9">
      <w:pPr>
        <w:spacing w:after="0"/>
        <w:jc w:val="both"/>
      </w:pPr>
      <w:r w:rsidRPr="4398C881">
        <w:rPr>
          <w:b/>
          <w:bCs/>
        </w:rPr>
        <w:t xml:space="preserve">Produktivitātes ziņā Latvija joprojām būtiski atpaliek no ES vidējā līmeņa, straujš darbaspēka izmaksu pieaugums var negatīvi ietekmēt Latvijas globālo konkurētspēju. </w:t>
      </w:r>
      <w:r w:rsidRPr="4398C881">
        <w:rPr>
          <w:spacing w:val="2"/>
        </w:rPr>
        <w:t xml:space="preserve">Darbaspēka produktivitātes ziņā Latvija joprojām būtiski atpaliek no Eiropas ekonomiski attīstītākajām valstīm – 2021. gadā produktivitāte (IKP uz vienu nodarbināto) Latvijas tautsaimniecībā kopumā sasniedza </w:t>
      </w:r>
      <w:r w:rsidRPr="4398C881">
        <w:t>55,7%</w:t>
      </w:r>
      <w:r w:rsidRPr="00075FE4">
        <w:rPr>
          <w:bCs/>
          <w:spacing w:val="2"/>
          <w:szCs w:val="28"/>
        </w:rPr>
        <w:t xml:space="preserve"> (</w:t>
      </w:r>
      <w:r w:rsidRPr="4398C881">
        <w:t>73,5%</w:t>
      </w:r>
      <w:r w:rsidRPr="4398C881">
        <w:rPr>
          <w:spacing w:val="2"/>
        </w:rPr>
        <w:t xml:space="preserve"> pēc PPS) no vidējā ES līmeņa.</w:t>
      </w:r>
      <w:r w:rsidRPr="4398C881">
        <w:rPr>
          <w:b/>
          <w:bCs/>
        </w:rPr>
        <w:t xml:space="preserve"> </w:t>
      </w:r>
      <w:r w:rsidRPr="4398C881">
        <w:rPr>
          <w:spacing w:val="2"/>
        </w:rPr>
        <w:t>Kopumā darbaspēka produktivitātes pieaugums Covid-19 krīzes periodā par aptuveni 2,5 reizēm ir atpalicis no darbaspēka izmaksu pieauguma</w:t>
      </w:r>
      <w:r w:rsidRPr="00FA47BF">
        <w:rPr>
          <w:bCs/>
          <w:spacing w:val="2"/>
          <w:szCs w:val="28"/>
        </w:rPr>
        <w:t xml:space="preserve">. </w:t>
      </w:r>
      <w:r w:rsidRPr="4398C881">
        <w:rPr>
          <w:spacing w:val="2"/>
        </w:rPr>
        <w:t>Darbaspēka produktivitāte periodā no 2020. Līdz 2021.</w:t>
      </w:r>
      <w:r>
        <w:rPr>
          <w:bCs/>
          <w:spacing w:val="2"/>
          <w:szCs w:val="28"/>
        </w:rPr>
        <w:t> </w:t>
      </w:r>
      <w:r w:rsidRPr="4398C881">
        <w:rPr>
          <w:spacing w:val="2"/>
        </w:rPr>
        <w:t>gadam ir augusi par 5,3%, kamēr darbaspēka izmaksas ir palielinājušās par 13,3%, tādējādi Latvija strauji zaudē savas konkurētspējas priekšrocības zemu izmaksu tirgus segmentos.</w:t>
      </w:r>
      <w:r w:rsidRPr="4398C881">
        <w:t xml:space="preserve"> D</w:t>
      </w:r>
      <w:r w:rsidRPr="4398C881">
        <w:rPr>
          <w:spacing w:val="2"/>
        </w:rPr>
        <w:t>arba samaksa ir nozīmīgs izmaksu konkurētspējas faktors, tāpēc darba samaksas pieaugumam jābūt līdzsvarotam ar produktivitātes kāpumu, pretējā gadījumā tiek zaudēta konkurētspēja tirgojamās nozarēs, kas  rezultātā nenodrošina noturīgu kopējo ienākumu (labklājības) pieaugumu</w:t>
      </w:r>
      <w:r>
        <w:rPr>
          <w:bCs/>
          <w:spacing w:val="2"/>
          <w:szCs w:val="28"/>
        </w:rPr>
        <w:t>.</w:t>
      </w:r>
    </w:p>
    <w:p w14:paraId="05073C53" w14:textId="45B8E1B2" w:rsidR="00C57EF9" w:rsidRPr="002100AB" w:rsidRDefault="63118BA4" w:rsidP="00C57EF9">
      <w:pPr>
        <w:jc w:val="both"/>
      </w:pPr>
      <w:r w:rsidRPr="4398C881">
        <w:t xml:space="preserve">Jāatzīmē, ka  noteiktu prasmju </w:t>
      </w:r>
      <w:r w:rsidRPr="4398C881">
        <w:rPr>
          <w:spacing w:val="2"/>
        </w:rPr>
        <w:t xml:space="preserve">nepietiekamības pieaugums un nodarbinātības strukturālās izmaiņas Covid-19 pandēmijas krīzes laikā kopumā ir sekmējis gan darba algu, gan darbaspēka izmaksu strauju palielināšanos – </w:t>
      </w:r>
      <w:r w:rsidRPr="4398C881">
        <w:rPr>
          <w:spacing w:val="2"/>
        </w:rPr>
        <w:lastRenderedPageBreak/>
        <w:t>vidējās bruto algas pieaugums 2021.</w:t>
      </w:r>
      <w:r>
        <w:rPr>
          <w:spacing w:val="2"/>
          <w:szCs w:val="28"/>
        </w:rPr>
        <w:t> </w:t>
      </w:r>
      <w:r w:rsidRPr="4398C881">
        <w:rPr>
          <w:spacing w:val="2"/>
        </w:rPr>
        <w:t xml:space="preserve">gadā sasniedza gandrīz 12%, bet </w:t>
      </w:r>
      <w:r w:rsidRPr="4398C881">
        <w:t>darbaspēka izmaksas bija par 11% augstākā līmenī nekā pirms gada.</w:t>
      </w:r>
      <w:r w:rsidRPr="4398C881">
        <w:rPr>
          <w:b/>
          <w:bCs/>
        </w:rPr>
        <w:t xml:space="preserve"> </w:t>
      </w:r>
      <w:r w:rsidRPr="4398C881">
        <w:rPr>
          <w:spacing w:val="2"/>
        </w:rPr>
        <w:t xml:space="preserve">Vienlaikus darbaspēka izmaksas Latvijā joprojām ir vienas no zemākajām ES dalībvalstīs, turklāt brīvas darbaspēka kustības apstākļos, iespējas ilgstoši noturēt darbaspēka izmaksas zemā līmenī ir ierobežotas un, lai saglabātu Latvijas konkurētspēju, būtiski ir paātrināt darbaspēka produktivitātes pieaugumu. </w:t>
      </w:r>
    </w:p>
    <w:p w14:paraId="01A1EC2F" w14:textId="77777777" w:rsidR="00C57EF9" w:rsidRPr="00F77899" w:rsidRDefault="00C57EF9" w:rsidP="00F73915">
      <w:pPr>
        <w:pStyle w:val="EnvelopeReturn"/>
        <w:jc w:val="both"/>
        <w:rPr>
          <w:rFonts w:ascii="Calibri Light" w:eastAsia="Calibri" w:hAnsi="Calibri Light"/>
          <w:szCs w:val="28"/>
          <w:highlight w:val="yellow"/>
          <w:lang w:eastAsia="en-US"/>
        </w:rPr>
      </w:pPr>
    </w:p>
    <w:p w14:paraId="3BEE8B1C" w14:textId="77777777" w:rsidR="00C57EF9" w:rsidRPr="00D6652B" w:rsidRDefault="00C57EF9" w:rsidP="00C57EF9">
      <w:pPr>
        <w:pStyle w:val="EnvelopeReturn"/>
        <w:numPr>
          <w:ilvl w:val="0"/>
          <w:numId w:val="2"/>
        </w:numPr>
        <w:spacing w:after="240"/>
        <w:ind w:left="426" w:hanging="77"/>
        <w:jc w:val="both"/>
        <w:rPr>
          <w:rFonts w:ascii="Calibri Light" w:eastAsia="Calibri" w:hAnsi="Calibri Light"/>
          <w:b/>
          <w:szCs w:val="28"/>
          <w:lang w:eastAsia="en-US"/>
        </w:rPr>
      </w:pPr>
      <w:r w:rsidRPr="00D6652B">
        <w:rPr>
          <w:rFonts w:ascii="Calibri Light" w:eastAsia="Calibri" w:hAnsi="Calibri Light"/>
          <w:b/>
          <w:szCs w:val="28"/>
          <w:lang w:eastAsia="en-US"/>
        </w:rPr>
        <w:t>GALVENĀS DARBA TIRGUS NEATBILSTĪBAS</w:t>
      </w:r>
    </w:p>
    <w:p w14:paraId="495B8850" w14:textId="77777777" w:rsidR="00C57EF9" w:rsidRDefault="00C57EF9" w:rsidP="00F73915">
      <w:pPr>
        <w:jc w:val="both"/>
      </w:pPr>
      <w:r w:rsidRPr="00F5099E">
        <w:rPr>
          <w:b/>
          <w:bCs/>
        </w:rPr>
        <w:t>Covid-19 pandēmijas negatīvo ietekmi uz darba tirgu kopumā ir mīkstinājuši ieviestie valsts atbalsta pasākumi</w:t>
      </w:r>
      <w:r w:rsidRPr="00F5099E">
        <w:t>, kas daļēji ir ļāvuši saglabāt gan darbavietas, gan iedzīvotāju ienākumu</w:t>
      </w:r>
      <w:r>
        <w:t>s</w:t>
      </w:r>
      <w:r w:rsidRPr="00F5099E">
        <w:t>, gan arī iedzīvotāju ekonomisko aktivitāti</w:t>
      </w:r>
      <w:r>
        <w:t xml:space="preserve">, </w:t>
      </w:r>
      <w:r w:rsidRPr="00F5099E">
        <w:t>līd</w:t>
      </w:r>
      <w:r>
        <w:t>z</w:t>
      </w:r>
      <w:r w:rsidRPr="00F5099E">
        <w:t xml:space="preserve">tekus īstenotiem aktīvās darba tirgus </w:t>
      </w:r>
      <w:r w:rsidRPr="002053CA">
        <w:t>politikas pasākumiem.</w:t>
      </w:r>
      <w:r w:rsidRPr="002053CA">
        <w:rPr>
          <w:b/>
          <w:bCs/>
        </w:rPr>
        <w:t xml:space="preserve"> </w:t>
      </w:r>
      <w:r w:rsidRPr="002053CA">
        <w:t>Vienlaikus algu konverģence un nedaudz atvērtāka darbaspēka</w:t>
      </w:r>
      <w:r w:rsidRPr="00D6652B">
        <w:t xml:space="preserve"> piesaistes politika turpina mazināt migrācijas tendenču negatīvo ietekmi gan uz iedzīvotāju skaita dinamiku, gan kopējo darbaspēka pieejamību. Tāpat pēdējos 5 gados sabalansētāks ir kļuvis izglītības piedāvājums,</w:t>
      </w:r>
      <w:r>
        <w:t xml:space="preserve"> kas daļēji ir ļāvis samazināt arī prognozējamos darba tirgus nesabalansētības riskus.</w:t>
      </w:r>
      <w:r w:rsidRPr="00D6652B">
        <w:t xml:space="preserve"> </w:t>
      </w:r>
      <w:r>
        <w:t>T</w:t>
      </w:r>
      <w:r w:rsidRPr="00D6652B">
        <w:t xml:space="preserve">omēr jāņem vērā, ka politikas pasākumu ietekme caurmērā ir lēna, līdz ar to galvenās </w:t>
      </w:r>
      <w:r>
        <w:t xml:space="preserve">jau iepriekš identificētās </w:t>
      </w:r>
      <w:r w:rsidRPr="00D6652B">
        <w:t>strukturālās problēmas joprojām saglabājās aktuālas.</w:t>
      </w:r>
    </w:p>
    <w:p w14:paraId="578953E1" w14:textId="64F276D5" w:rsidR="00C57EF9" w:rsidRPr="00F77899" w:rsidRDefault="63118BA4" w:rsidP="00F73915">
      <w:pPr>
        <w:pStyle w:val="EnvelopeReturn"/>
        <w:spacing w:after="240"/>
        <w:jc w:val="both"/>
        <w:rPr>
          <w:rFonts w:ascii="Calibri Light" w:hAnsi="Calibri Light"/>
          <w:highlight w:val="yellow"/>
        </w:rPr>
      </w:pPr>
      <w:r w:rsidRPr="4398C881">
        <w:rPr>
          <w:rFonts w:ascii="Calibri Light" w:hAnsi="Calibri Light"/>
          <w:b/>
          <w:bCs/>
        </w:rPr>
        <w:t>Kopumā augstākās izglītības piedāvājums pēdējo 10-15 gadu laikā ir kļuvis sabalansētāks un tuvāks darba tirgus vajadzībām</w:t>
      </w:r>
      <w:r w:rsidRPr="4398C881">
        <w:rPr>
          <w:rFonts w:ascii="Calibri Light" w:hAnsi="Calibri Light"/>
        </w:rPr>
        <w:t xml:space="preserve">, kas ir sekmējis augstākās kvalifikācijas darbaspēka pieaugumu gan darbaspēka struktūrā, gan absolūtā izteiksmē, tādejādi ļaujot ekonomikā veidoties vairāk augstākās kvalifikācijas darbavietām, kā arī kopumā sekmējot zināšanu ietilpīgāku aktivitāšu attīstību. Arī strukturāli augstākās izglītības piedāvājums kopumā ir kļuvis sabalansētāks, kas ir mazinājis darbaspēka nepietiekamību dabaszinātņu, IKT un inženierzinātņu jomās. STEM virzienos uzņemto studentu īpatsvars kopš 2008. gada ir pieaudzis par aptuveni 7 procentpunktiem, tai pat laikā sociālās un humanitārās zinātnēs sarucis par 15 procentpunktiem. </w:t>
      </w:r>
      <w:r w:rsidRPr="4398C881">
        <w:rPr>
          <w:rFonts w:ascii="Calibri Light" w:hAnsi="Calibri Light"/>
          <w:b/>
          <w:bCs/>
        </w:rPr>
        <w:t>Tomēr pēdējos 3-5 gados strukturālās pārmaiņas starp STEM un sociālo un humanitāro zinātņu virzieniem ir apstājušās</w:t>
      </w:r>
      <w:r w:rsidRPr="4398C881">
        <w:rPr>
          <w:rFonts w:ascii="Calibri Light" w:hAnsi="Calibri Light"/>
        </w:rPr>
        <w:t xml:space="preserve">, turklāt humanitārās un mākslas zinātnēs, sociālās zinātnēs, </w:t>
      </w:r>
      <w:proofErr w:type="spellStart"/>
      <w:r w:rsidRPr="4398C881">
        <w:rPr>
          <w:rFonts w:ascii="Calibri Light" w:hAnsi="Calibri Light"/>
        </w:rPr>
        <w:t>komerczinībās</w:t>
      </w:r>
      <w:proofErr w:type="spellEnd"/>
      <w:r w:rsidRPr="4398C881">
        <w:rPr>
          <w:rFonts w:ascii="Calibri Light" w:hAnsi="Calibri Light"/>
        </w:rPr>
        <w:t xml:space="preserve"> un tiesībās pat pieaudzis, bet inženierzinātņu, būvniecības un ražošanas programmās samazinājies. Uzņemto studentu skaits sociālās zinātnēs, </w:t>
      </w:r>
      <w:proofErr w:type="spellStart"/>
      <w:r w:rsidRPr="4398C881">
        <w:rPr>
          <w:rFonts w:ascii="Calibri Light" w:hAnsi="Calibri Light"/>
        </w:rPr>
        <w:t>komerczinībās</w:t>
      </w:r>
      <w:proofErr w:type="spellEnd"/>
      <w:r w:rsidRPr="4398C881">
        <w:rPr>
          <w:rFonts w:ascii="Calibri Light" w:hAnsi="Calibri Light"/>
        </w:rPr>
        <w:t xml:space="preserve"> un tiesībās 2021. gadā, salīdzinot ar 2017. gadu, ir pieaudzis par 889 studentiem,  humanitāro un mākslas zinātņu izglītības tematiskajā grupā – par 167 studējošajiem, līdz ar to kopumā gan vidējā, gan ilgtermiņā palielinot atbilstošās kvalifikācijas darbaspēka pārpalikuma riskus.</w:t>
      </w:r>
    </w:p>
    <w:p w14:paraId="4A63D161" w14:textId="77777777" w:rsidR="00C57EF9" w:rsidRPr="00691884" w:rsidRDefault="00C57EF9" w:rsidP="00F73915">
      <w:pPr>
        <w:pStyle w:val="EnvelopeReturn"/>
        <w:spacing w:after="240"/>
        <w:jc w:val="both"/>
        <w:rPr>
          <w:rFonts w:ascii="Calibri Light" w:hAnsi="Calibri Light"/>
        </w:rPr>
      </w:pPr>
      <w:r w:rsidRPr="00691884">
        <w:rPr>
          <w:rFonts w:ascii="Calibri Light" w:hAnsi="Calibri Light"/>
          <w:b/>
          <w:bCs/>
        </w:rPr>
        <w:t xml:space="preserve">Turpina pieaugt vidējās kvalifikācijas darbaspēka ar profesionālo izglītību nepietiekamības risks. </w:t>
      </w:r>
      <w:r w:rsidRPr="00691884">
        <w:rPr>
          <w:rFonts w:ascii="Calibri Light" w:hAnsi="Calibri Light"/>
        </w:rPr>
        <w:t>Gan uzņemto, gan kvalifikāciju ieguvušo audzēkņu skaits profesionālās izglītības iestādēs turpina sarukt. Lai gan kopumā saglabājās pieaugoša tendence jauniešu īpatsvarā, kas pēc pamatizglītības posma turpina mācības profesionālajā izglītībā, tomēr ņemot vērā jauniešu kopējā skaita samazinājumu izglītības sistēmā, tas joprojām ir nepietiekams, lai pilnībā atražotu vidējās kvalifikācijas darbaspēka vajadzības.</w:t>
      </w:r>
    </w:p>
    <w:p w14:paraId="72644CA1" w14:textId="77777777" w:rsidR="00C57EF9" w:rsidRPr="00B1645C" w:rsidRDefault="00C57EF9" w:rsidP="00F73915">
      <w:pPr>
        <w:pStyle w:val="EnvelopeReturn"/>
        <w:spacing w:after="240"/>
        <w:jc w:val="both"/>
        <w:rPr>
          <w:rFonts w:ascii="Calibri Light" w:hAnsi="Calibri Light"/>
        </w:rPr>
      </w:pPr>
      <w:r w:rsidRPr="00B1645C">
        <w:rPr>
          <w:rFonts w:ascii="Calibri Light" w:hAnsi="Calibri Light"/>
          <w:b/>
          <w:bCs/>
        </w:rPr>
        <w:t xml:space="preserve">Saglabājas liels jauniešu īpatsvars, kas nonāk darba tirgū bez konkrētas specialitātes un prasmēm. </w:t>
      </w:r>
      <w:r w:rsidRPr="00B1645C">
        <w:rPr>
          <w:rFonts w:ascii="Calibri Light" w:hAnsi="Calibri Light"/>
        </w:rPr>
        <w:t>2020. gadā 4,1% jauniešu pēc pamatizglītības beigšanas neturpina mācības</w:t>
      </w:r>
      <w:r w:rsidRPr="00B1645C">
        <w:t xml:space="preserve">, </w:t>
      </w:r>
      <w:r w:rsidRPr="00B1645C">
        <w:rPr>
          <w:rFonts w:ascii="Calibri Light" w:hAnsi="Calibri Light"/>
        </w:rPr>
        <w:t>lai gan rādītājs gada laikā ir samazinājies par 2,1</w:t>
      </w:r>
      <w:r>
        <w:rPr>
          <w:rFonts w:ascii="Calibri Light" w:hAnsi="Calibri Light"/>
        </w:rPr>
        <w:t> </w:t>
      </w:r>
      <w:r w:rsidRPr="00B1645C">
        <w:rPr>
          <w:rFonts w:ascii="Calibri Light" w:hAnsi="Calibri Light"/>
        </w:rPr>
        <w:t>procentpunktu, tas joprojām ir augsts un nākotnē var papildināt iedzīvotāju grupu ar zemu izglītības līmeni. Tāpat gandrīz 1/3 no vidējo vispārējo izglītību beigušajiem izvēlās mācības pēc skolas beigšanas neturpināt. Ņemot vērā arī izglītojamo atbiruma rādītājus dažādos izglītības posmos, vairāk nekā 1/3 no jauniešiem darba tirgū nonāk ar vidējo vispārējo un pamatizglītību, savukārt pieprasījums pēc šāda darbaspēka nākamajos gados strauji samazināsies.</w:t>
      </w:r>
    </w:p>
    <w:p w14:paraId="0CDCA6E4" w14:textId="44C5B3ED" w:rsidR="00C57EF9" w:rsidRPr="00F77899" w:rsidRDefault="63118BA4" w:rsidP="00F73915">
      <w:pPr>
        <w:jc w:val="both"/>
        <w:rPr>
          <w:highlight w:val="yellow"/>
        </w:rPr>
      </w:pPr>
      <w:r w:rsidRPr="4398C881">
        <w:rPr>
          <w:b/>
          <w:bCs/>
        </w:rPr>
        <w:t>Iedzīvotāju iesaiste pieaugušo izglītībā saglabājās zema.</w:t>
      </w:r>
      <w:r>
        <w:t xml:space="preserve"> Ņemot vērā demogrāfiskos procesus, kā arī tradicionālo izglītojamo plūsmu samazināšanos, būtiska loma darba tirgus disproporciju mazināšanā ir pieaugušo izglītības piedāvājumam. Iedzīvotāju iesaiste pieaugušo izglītībā 2021. gadā ir būtiski augusi – par 2 procentpunktiem, salīdzinot ar 2020. gadu. Tomēr pieaugušo iesaiste izglītības procesā joprojām ir nepietiekama un būtiski zemāka nekā iepriekš noteiktais mērķis - līdz 2020. gadam sasniegt 15% iedzīvotāju vecumā no 25 līdz 64 gadiem iesaisti pieaugušo izglītības pasākumos. Tāpat jāatzīmē, ka esošais pieaugušo izglītības piedāvājums pilnībā nerisina mazkvalificētā darbaspēka pārpalikumu. Iedzīvotāju ar pamatizglītību iesaiste pieaugušo izglītības pasākumos ir joprojām zemākā starp visām iedzīvotāju grupām – 2019. gadā vien 3,4%.</w:t>
      </w:r>
    </w:p>
    <w:p w14:paraId="07FB299C" w14:textId="6F94702C" w:rsidR="00C57EF9" w:rsidRPr="006011CB" w:rsidRDefault="63118BA4" w:rsidP="4398C881">
      <w:pPr>
        <w:jc w:val="both"/>
      </w:pPr>
      <w:r w:rsidRPr="4398C881">
        <w:rPr>
          <w:b/>
          <w:bCs/>
        </w:rPr>
        <w:t>Lielākajai daļai īstenoto pasākumu ietekme uz darba tirgu ir lēna un mērogs nav pietiekams.</w:t>
      </w:r>
      <w:r>
        <w:t xml:space="preserve"> Lai arī atsevišķos darba tirgus segmentos ir vērojami zināmi uzlabojumi, tomēr būtiskākie darba tirgus neatbilstību riski saglabājās augsti. Tikmēr vairumam izglītības pasākumu ietekme uz darba tirgu ir lēna un redzamas izmaiņas var būt vērojamas tikai pēc 5-10 gadiem. Tāpat pasākumu efektivitāti uz tradicionālajiem izglītības/darbaspēka sagatavošanas kanāliem samazina demogrāfiskie procesi </w:t>
      </w:r>
      <w:r w:rsidRPr="4398C881">
        <w:rPr>
          <w:rFonts w:cs="Calibri Light"/>
        </w:rPr>
        <w:t>–</w:t>
      </w:r>
      <w:r>
        <w:t xml:space="preserve"> 16-18</w:t>
      </w:r>
      <w:r w:rsidR="4398C881">
        <w:t xml:space="preserve"> gadus vecu </w:t>
      </w:r>
      <w:r>
        <w:t xml:space="preserve">jauniešu skaits  pēdējo 10 gadu laikā samazinājies par gandrīz </w:t>
      </w:r>
      <w:r>
        <w:lastRenderedPageBreak/>
        <w:t>27%, bet 19-22 gadu vecumā par vairāk nekā 2/5. Līdz ar to nozīmīga loma prasmju pieprasījuma un piedāvājuma neatbilstību risināšanā saglabājās pieaugušo izglītībai.</w:t>
      </w:r>
    </w:p>
    <w:p w14:paraId="497802AA" w14:textId="5FE7B554" w:rsidR="00C57EF9" w:rsidRPr="009E726A" w:rsidRDefault="63118BA4" w:rsidP="00C57EF9">
      <w:pPr>
        <w:jc w:val="both"/>
      </w:pPr>
      <w:r>
        <w:t>Atbilstoši vidēja un ilgtermiņa darba tirgus prognozēm, paredzamas šādas būtiskākās darba tirgus disproporcijas:</w:t>
      </w:r>
    </w:p>
    <w:p w14:paraId="023BF67B" w14:textId="77777777" w:rsidR="00F86D80" w:rsidRPr="009E726A" w:rsidRDefault="00F86D80" w:rsidP="00F86D80">
      <w:pPr>
        <w:pStyle w:val="ListParagraph"/>
        <w:numPr>
          <w:ilvl w:val="0"/>
          <w:numId w:val="3"/>
        </w:numPr>
        <w:spacing w:before="120" w:after="120"/>
        <w:ind w:left="567" w:hanging="283"/>
        <w:jc w:val="both"/>
      </w:pPr>
      <w:r w:rsidRPr="4398C881">
        <w:rPr>
          <w:b/>
          <w:bCs/>
        </w:rPr>
        <w:t xml:space="preserve">Iztrūkums pēc augstākās kvalifikācijas dabaszinātņu, IKT un inženierzinātņu speciālistiem. </w:t>
      </w:r>
      <w:r>
        <w:t>Līdz 2030. gadam iztrūkums pēc augstākās kvalifikācijas speciālistiem STEM virzienos var pieaugt līdz ~9,1 tūkst. Salīdzinot ar 2020. gada prognozēm, iztrūkums samazinājies vairāk nekā 2 reizes (iepriekš ~19,4 tūkst. 2030. gadā);</w:t>
      </w:r>
    </w:p>
    <w:p w14:paraId="516B748B" w14:textId="77777777" w:rsidR="00F86D80" w:rsidRPr="009E726A" w:rsidRDefault="00F86D80" w:rsidP="00F86D80">
      <w:pPr>
        <w:pStyle w:val="ListParagraph"/>
        <w:numPr>
          <w:ilvl w:val="0"/>
          <w:numId w:val="3"/>
        </w:numPr>
        <w:spacing w:before="120" w:after="120"/>
        <w:ind w:left="567" w:hanging="283"/>
        <w:jc w:val="both"/>
      </w:pPr>
      <w:r w:rsidRPr="4398C881">
        <w:rPr>
          <w:b/>
          <w:bCs/>
        </w:rPr>
        <w:t xml:space="preserve">Augstākās kvalifikācijas darbaspēka pārpalikums ar izglītību sociālās, </w:t>
      </w:r>
      <w:proofErr w:type="spellStart"/>
      <w:r w:rsidRPr="4398C881">
        <w:rPr>
          <w:b/>
          <w:bCs/>
        </w:rPr>
        <w:t>komerczinātnēs</w:t>
      </w:r>
      <w:proofErr w:type="spellEnd"/>
      <w:r w:rsidRPr="4398C881">
        <w:rPr>
          <w:b/>
          <w:bCs/>
        </w:rPr>
        <w:t xml:space="preserve"> un humanitāras zinātnēs. </w:t>
      </w:r>
      <w:r>
        <w:t xml:space="preserve">Līdz 2030. gadam darbaspēka pārpalikums ar augstāko izglītību sociālo, </w:t>
      </w:r>
      <w:proofErr w:type="spellStart"/>
      <w:r>
        <w:t>komerczinību</w:t>
      </w:r>
      <w:proofErr w:type="spellEnd"/>
      <w:r>
        <w:t xml:space="preserve"> un humanitāro zinātņu tematiskajās jomās var pieaugt līdz ~26,5 tūkst. Salīdzinot ar 2020. gada prognozēm, prognozētais pārpalikums pieaudzis par vairāk nekā 1/5 (iepriekš ~21,8 tūkst. 2030. gadā);</w:t>
      </w:r>
    </w:p>
    <w:p w14:paraId="2262EA9E" w14:textId="36C56CFC" w:rsidR="00F86D80" w:rsidRPr="00DE36D5" w:rsidRDefault="00F86D80" w:rsidP="00F86D80">
      <w:pPr>
        <w:pStyle w:val="ListParagraph"/>
        <w:numPr>
          <w:ilvl w:val="0"/>
          <w:numId w:val="3"/>
        </w:numPr>
        <w:spacing w:before="120" w:after="120"/>
        <w:ind w:left="567" w:hanging="283"/>
        <w:jc w:val="both"/>
      </w:pPr>
      <w:r w:rsidRPr="4398C881">
        <w:rPr>
          <w:b/>
          <w:bCs/>
        </w:rPr>
        <w:t>Iztrūkums pēc darbaspēka ar profesionālo vidējo izglītību</w:t>
      </w:r>
      <w:r>
        <w:t xml:space="preserve">. Vidējā termiņā var veidoties darbaspēka iztrūkums ar profesionālo vidējo izglītību (~69 tūkst.), pie tam iztrūkums būs vērojams praktiski visās izglītības tematiskajās grupās, it īpaši inženierzinātnēs un ražošanā. Salīdzinot ar 2020. gada prognozēm, prognozētais iztrūkums pieaudzis par gandrīz </w:t>
      </w:r>
      <w:r w:rsidR="00EA247A">
        <w:t>16</w:t>
      </w:r>
      <w:r>
        <w:t xml:space="preserve"> tūkst. (iepriekš ~</w:t>
      </w:r>
      <w:r w:rsidR="00EA247A">
        <w:t>53</w:t>
      </w:r>
      <w:r>
        <w:t>,</w:t>
      </w:r>
      <w:r w:rsidR="00EA247A">
        <w:t>1</w:t>
      </w:r>
      <w:r>
        <w:t xml:space="preserve"> tūkst. 2030. gadā);</w:t>
      </w:r>
    </w:p>
    <w:p w14:paraId="47CF6C04" w14:textId="77777777" w:rsidR="00F86D80" w:rsidRPr="00FE1FAF" w:rsidRDefault="00F86D80" w:rsidP="00F86D80">
      <w:pPr>
        <w:pStyle w:val="ListParagraph"/>
        <w:numPr>
          <w:ilvl w:val="0"/>
          <w:numId w:val="3"/>
        </w:numPr>
        <w:spacing w:before="120" w:after="120"/>
        <w:ind w:left="567" w:hanging="283"/>
        <w:jc w:val="both"/>
      </w:pPr>
      <w:r w:rsidRPr="4398C881">
        <w:rPr>
          <w:b/>
          <w:bCs/>
        </w:rPr>
        <w:t>Darbaspēka pārpalikums ar vidējo vispārējo izglītību, pamatizglītību un zemāku izglītības līmeni.</w:t>
      </w:r>
      <w:r>
        <w:t xml:space="preserve"> Sagaidāms, ka vidējā termiņā palielināsies darbaspēka pārpalikums ar vidējo vispārējo izglītību, pamatizglītību un zemāku izglītības līmeni. Līdz 2030. gadam šāda darbaspēka pārpalikums var sasniegt ~95,8 tūkst. (ar vidējo vispārējo izglītību ~34 tūkst., ar pamatizglītību un zemāku ~61,8 tūkst.). Salīdzinot ar 2020. gada prognozēm, prognozētais pārpalikums samazinājies par aptuveni 1,7 tūkst. (iepriekš ~97,5 tūkst. 2030. gadā). Prognozētais darbaspēka pārpalikums galvenokārt samazinājies pamatizglītības un zemākas izglītības grupā, bet pieaudzis vidējās vispārējās izglītības grupā.</w:t>
      </w:r>
    </w:p>
    <w:p w14:paraId="64F7962C" w14:textId="6DA3E508" w:rsidR="00C57EF9" w:rsidRDefault="00F73915" w:rsidP="00F73915">
      <w:pPr>
        <w:pStyle w:val="EnvelopeReturn"/>
        <w:spacing w:after="240"/>
        <w:jc w:val="both"/>
        <w:rPr>
          <w:rFonts w:ascii="Calibri Light" w:hAnsi="Calibri Light"/>
          <w:szCs w:val="28"/>
        </w:rPr>
      </w:pPr>
      <w:r>
        <w:rPr>
          <w:rFonts w:ascii="Calibri Light" w:hAnsi="Calibri Light"/>
          <w:szCs w:val="28"/>
        </w:rPr>
        <w:br/>
      </w:r>
      <w:r w:rsidR="00C57EF9" w:rsidRPr="00893333">
        <w:rPr>
          <w:rFonts w:ascii="Calibri Light" w:hAnsi="Calibri Light"/>
          <w:szCs w:val="28"/>
        </w:rPr>
        <w:t xml:space="preserve">Minētās </w:t>
      </w:r>
      <w:r w:rsidR="00C57EF9" w:rsidRPr="00893333">
        <w:rPr>
          <w:rFonts w:ascii="Calibri Light" w:hAnsi="Calibri Light"/>
          <w:b/>
          <w:szCs w:val="28"/>
        </w:rPr>
        <w:t>darba tirgus disproporcijas var saasināt negatīvās demogrāfijas tendences un darba tirgus reģionālās atšķirības</w:t>
      </w:r>
      <w:r w:rsidR="00C57EF9" w:rsidRPr="00893333">
        <w:rPr>
          <w:rFonts w:ascii="Calibri Light" w:hAnsi="Calibri Light"/>
          <w:szCs w:val="28"/>
        </w:rPr>
        <w:t>.</w:t>
      </w:r>
    </w:p>
    <w:p w14:paraId="51A1E893" w14:textId="77777777" w:rsidR="0003261A" w:rsidRPr="00893333" w:rsidRDefault="0003261A" w:rsidP="00F73915">
      <w:pPr>
        <w:pStyle w:val="EnvelopeReturn"/>
        <w:jc w:val="both"/>
        <w:rPr>
          <w:rFonts w:ascii="Calibri Light" w:eastAsia="Calibri" w:hAnsi="Calibri Light"/>
          <w:color w:val="262626" w:themeColor="text1" w:themeTint="D9"/>
          <w:szCs w:val="28"/>
          <w:lang w:eastAsia="en-US"/>
        </w:rPr>
      </w:pPr>
    </w:p>
    <w:p w14:paraId="0948FA9E" w14:textId="77777777" w:rsidR="00C57EF9" w:rsidRPr="00893333" w:rsidRDefault="00C57EF9" w:rsidP="00C57EF9">
      <w:pPr>
        <w:pStyle w:val="EnvelopeReturn"/>
        <w:numPr>
          <w:ilvl w:val="0"/>
          <w:numId w:val="2"/>
        </w:numPr>
        <w:spacing w:after="240"/>
        <w:jc w:val="both"/>
        <w:rPr>
          <w:rFonts w:ascii="Calibri Light" w:eastAsia="Calibri" w:hAnsi="Calibri Light"/>
          <w:b/>
          <w:szCs w:val="28"/>
          <w:lang w:eastAsia="en-US"/>
        </w:rPr>
      </w:pPr>
      <w:r w:rsidRPr="00893333">
        <w:rPr>
          <w:rFonts w:ascii="Calibri Light" w:eastAsia="Calibri" w:hAnsi="Calibri Light"/>
          <w:b/>
          <w:szCs w:val="28"/>
          <w:lang w:eastAsia="en-US"/>
        </w:rPr>
        <w:t>REKOMENDĀCIJAS DARBA TIRGUS NEATBILSTĪBU MAZINĀŠANAI</w:t>
      </w:r>
    </w:p>
    <w:p w14:paraId="4FC330B3" w14:textId="6F1A0864" w:rsidR="00C57EF9" w:rsidRPr="005C1626" w:rsidRDefault="63118BA4" w:rsidP="00F73915">
      <w:pPr>
        <w:jc w:val="both"/>
        <w:rPr>
          <w:color w:val="262626"/>
        </w:rPr>
      </w:pPr>
      <w:r w:rsidRPr="4398C881">
        <w:rPr>
          <w:color w:val="262626" w:themeColor="text1" w:themeTint="D9"/>
        </w:rPr>
        <w:t>Lai nākotnē mazinātu iespējamās darba tirgus disproporcijas, problēmas ir jārisina kompleksi. Piemēram, ir grūti palielināt studējošo skaitu dabas zinātnēs un inženierzinātnēs, ja jau pamatizglītībā un vidējā izglītībā skolēniem ir vājas zināšanas un maza interese par eksaktajiem mācību priekšmetiem. Tāpat jāņem vērā, ka iespējamie risinājumi augstākā izglītībā, vidējā, vidējā profesionālā izglītībā un pamatizglītībā jūtamu ietekmi dos tikai ilgtermiņā. Izmaiņas formālā izglītībā atstāj relatīvi mazu ietekmi uz vidēja termiņa problēmām. Tāpēc profesionālās kvalitātes uzlabošanai un darba tirgus disproporciju mazināšanai nozīmīga loma ir efektīvām pieaugušo apmācībām un tālākizglītībai. Būtiski ir palielināt iedzīvotāju ar pamatizglītību un vispārējo vidējo izglītību iesaisti pieaugušo izglītības pasākumos. Šādi iedzīvotāji bieži vien ir ekonomiski neaktīvi – bez darba vietas, kā arī nav reģistrējušies kā darba meklētāji. Kvalitatīva tālākizglītības piedāvājuma nodrošināšanā pieaugušajiem nozīmīga loma ir gan augstākās izglītības iestādēm, gan profesionālās izglītības iestādēm, gan arī darba devējiem.</w:t>
      </w:r>
    </w:p>
    <w:p w14:paraId="0E3030CD" w14:textId="77777777" w:rsidR="00C57EF9" w:rsidRPr="005C1626" w:rsidRDefault="00C57EF9" w:rsidP="00C57EF9">
      <w:pPr>
        <w:jc w:val="both"/>
        <w:rPr>
          <w:szCs w:val="28"/>
        </w:rPr>
      </w:pPr>
      <w:r w:rsidRPr="005C1626">
        <w:rPr>
          <w:szCs w:val="28"/>
        </w:rPr>
        <w:t>Jāatzīmē, ka liela daļa no pasākumiem, kas vērsti uz darba tirgus piedāvājuma sabalansēšanu jau pašlaik tiek īstenoti, tomēr bieži vien tie nav savstarpēji saskaņoti un strukturēti atbilstoši mērķim. Lai mazinātu nākotnē sagaidāmās neatbilstības darba tirgū, ir nepieciešams pievērst pastiprinātu uzmanību šādās jomās:</w:t>
      </w:r>
    </w:p>
    <w:p w14:paraId="69CCDFEB" w14:textId="77777777" w:rsidR="00C57EF9" w:rsidRPr="00893333" w:rsidRDefault="00C57EF9" w:rsidP="00C57EF9">
      <w:pPr>
        <w:numPr>
          <w:ilvl w:val="0"/>
          <w:numId w:val="10"/>
        </w:numPr>
        <w:spacing w:before="240"/>
        <w:ind w:left="567" w:hanging="207"/>
        <w:jc w:val="both"/>
        <w:rPr>
          <w:b/>
          <w:szCs w:val="28"/>
        </w:rPr>
      </w:pPr>
      <w:r w:rsidRPr="00893333">
        <w:rPr>
          <w:b/>
          <w:szCs w:val="28"/>
        </w:rPr>
        <w:t xml:space="preserve">Augstākās kvalifikācijas darbaspēka iztrūkuma mazināšana ar izglītību </w:t>
      </w:r>
      <w:r w:rsidRPr="00893333">
        <w:rPr>
          <w:rFonts w:eastAsia="Segoe UI"/>
          <w:b/>
          <w:bCs/>
          <w:szCs w:val="28"/>
          <w:lang w:eastAsia="lv-LV"/>
        </w:rPr>
        <w:t xml:space="preserve">STEM, </w:t>
      </w:r>
      <w:r>
        <w:rPr>
          <w:rFonts w:eastAsia="Segoe UI"/>
          <w:b/>
          <w:bCs/>
          <w:szCs w:val="28"/>
          <w:lang w:eastAsia="lv-LV"/>
        </w:rPr>
        <w:t>jo īpaši</w:t>
      </w:r>
      <w:r w:rsidRPr="00893333">
        <w:rPr>
          <w:rFonts w:eastAsia="Segoe UI"/>
          <w:b/>
          <w:bCs/>
          <w:szCs w:val="28"/>
          <w:lang w:eastAsia="lv-LV"/>
        </w:rPr>
        <w:t xml:space="preserve"> IKT virzienos:</w:t>
      </w:r>
    </w:p>
    <w:p w14:paraId="73B72418" w14:textId="1C680009" w:rsidR="00C57EF9" w:rsidRPr="00212583" w:rsidRDefault="63118BA4" w:rsidP="00F73915">
      <w:pPr>
        <w:numPr>
          <w:ilvl w:val="0"/>
          <w:numId w:val="6"/>
        </w:numPr>
        <w:tabs>
          <w:tab w:val="left" w:pos="284"/>
        </w:tabs>
        <w:spacing w:before="120" w:after="120"/>
        <w:ind w:left="567" w:hanging="283"/>
        <w:jc w:val="both"/>
      </w:pPr>
      <w:r w:rsidRPr="4398C881">
        <w:rPr>
          <w:lang w:eastAsia="lv-LV"/>
        </w:rPr>
        <w:t xml:space="preserve">pieaugušo izglītības piedāvājuma paplašināšana augstākās izglītības iestādēs STEM, un jo īpaši IKT virzienos – zināšanu atjaunošana un padziļināšana iegūtajā specialitātē, </w:t>
      </w:r>
      <w:proofErr w:type="spellStart"/>
      <w:r w:rsidRPr="4398C881">
        <w:rPr>
          <w:lang w:eastAsia="lv-LV"/>
        </w:rPr>
        <w:t>pārkvalifikācijas</w:t>
      </w:r>
      <w:proofErr w:type="spellEnd"/>
      <w:r w:rsidRPr="4398C881">
        <w:rPr>
          <w:lang w:eastAsia="lv-LV"/>
        </w:rPr>
        <w:t xml:space="preserve"> iespējas cilvēkiem ar augstāko izglītību;</w:t>
      </w:r>
    </w:p>
    <w:p w14:paraId="53F091DF" w14:textId="63923AFF" w:rsidR="00C57EF9" w:rsidRPr="00212583" w:rsidRDefault="00DB26A1" w:rsidP="00F73915">
      <w:pPr>
        <w:numPr>
          <w:ilvl w:val="0"/>
          <w:numId w:val="6"/>
        </w:numPr>
        <w:spacing w:before="120" w:after="120"/>
        <w:ind w:left="567" w:hanging="283"/>
        <w:jc w:val="both"/>
      </w:pPr>
      <w:r>
        <w:rPr>
          <w:lang w:eastAsia="lv-LV"/>
        </w:rPr>
        <w:t>S</w:t>
      </w:r>
      <w:r w:rsidR="006115BE">
        <w:rPr>
          <w:lang w:eastAsia="lv-LV"/>
        </w:rPr>
        <w:t>tudējošo</w:t>
      </w:r>
      <w:r w:rsidR="006115BE" w:rsidRPr="4398C881">
        <w:rPr>
          <w:lang w:eastAsia="lv-LV"/>
        </w:rPr>
        <w:t xml:space="preserve"> </w:t>
      </w:r>
      <w:r w:rsidR="63118BA4" w:rsidRPr="4398C881">
        <w:rPr>
          <w:lang w:eastAsia="lv-LV"/>
        </w:rPr>
        <w:t>atbiruma mazināšana</w:t>
      </w:r>
      <w:r w:rsidR="63118BA4">
        <w:t xml:space="preserve"> –</w:t>
      </w:r>
      <w:r w:rsidR="006115BE">
        <w:t xml:space="preserve"> m</w:t>
      </w:r>
      <w:r w:rsidR="006115BE" w:rsidRPr="006115BE">
        <w:t>atemātikas un dabaszinātņu, kā arī IKT mācību jomas apguves kvalitātes stiprināšana vispārējā un profesionālā izglītībā preventīvai studentu atbiruma mazināšanai augstskolās</w:t>
      </w:r>
      <w:r>
        <w:t>;</w:t>
      </w:r>
      <w:r w:rsidR="63118BA4">
        <w:t xml:space="preserve"> uzņemamo </w:t>
      </w:r>
      <w:r w:rsidR="007144F2">
        <w:t>studentu</w:t>
      </w:r>
      <w:r w:rsidR="63118BA4">
        <w:t xml:space="preserve"> atlases sistēmas pilnveide;</w:t>
      </w:r>
    </w:p>
    <w:p w14:paraId="4F18FA3E" w14:textId="77777777" w:rsidR="00C57EF9" w:rsidRPr="0003261A" w:rsidRDefault="00C57EF9" w:rsidP="00F73915">
      <w:pPr>
        <w:numPr>
          <w:ilvl w:val="0"/>
          <w:numId w:val="6"/>
        </w:numPr>
        <w:spacing w:before="120" w:after="120"/>
        <w:ind w:left="567" w:hanging="283"/>
        <w:jc w:val="both"/>
        <w:rPr>
          <w:szCs w:val="28"/>
        </w:rPr>
      </w:pPr>
      <w:r w:rsidRPr="00212583">
        <w:rPr>
          <w:szCs w:val="28"/>
        </w:rPr>
        <w:t xml:space="preserve">karjeras atbalsta sistēmas stiprināšana </w:t>
      </w:r>
      <w:r w:rsidRPr="0003261A">
        <w:rPr>
          <w:szCs w:val="28"/>
        </w:rPr>
        <w:t>jauniešiem, motivējot tos studijām STEM jomās, t.sk. informatīvo kampaņu veidošana un metodisko materiālu izstrāde karjeras konsultantiem;</w:t>
      </w:r>
    </w:p>
    <w:p w14:paraId="0C44FB63"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0"/>
          <w:lang w:eastAsia="lv-LV"/>
        </w:rPr>
        <w:lastRenderedPageBreak/>
        <w:t>STEM izglītības kvalitātes stiprināšana</w:t>
      </w:r>
      <w:r w:rsidRPr="0003261A">
        <w:rPr>
          <w:szCs w:val="28"/>
        </w:rPr>
        <w:t xml:space="preserve"> – studiju programmu akreditācijas sistēmas pilnveide, studiju vietas nodrošinājuma palielināšana, </w:t>
      </w:r>
      <w:proofErr w:type="spellStart"/>
      <w:r w:rsidRPr="0003261A">
        <w:rPr>
          <w:szCs w:val="28"/>
        </w:rPr>
        <w:t>studentcentrēta</w:t>
      </w:r>
      <w:proofErr w:type="spellEnd"/>
      <w:r w:rsidRPr="0003261A">
        <w:rPr>
          <w:szCs w:val="28"/>
        </w:rPr>
        <w:t xml:space="preserve"> izglītības piedāvājuma veidošana, t.sk. modulāru programmu piedāvājuma ieviešana, </w:t>
      </w:r>
    </w:p>
    <w:p w14:paraId="4D6CB6CB"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8"/>
        </w:rPr>
        <w:t>akadēmiskā personāla atjaunotne un kompetenču stiprināšana STEM</w:t>
      </w:r>
      <w:r w:rsidRPr="0003261A">
        <w:rPr>
          <w:szCs w:val="20"/>
          <w:lang w:eastAsia="lv-LV"/>
        </w:rPr>
        <w:t>, t.sk. IKT</w:t>
      </w:r>
      <w:r w:rsidRPr="0003261A">
        <w:rPr>
          <w:szCs w:val="28"/>
        </w:rPr>
        <w:t xml:space="preserve"> virzienos – akadēmiskā personāla kvalifikācijas kritēriju paaugstināšana, t.sk. izstrādājot kritērijus akadēmiskā amata pretendentu un akadēmiskā personāla kompetenču novērtēšanai, akadēmiskā personāla nodarbinātības un atalgojuma nosacījumu pilnveide, nepārtraukta akadēmiskā personāla profesionālās pilnveides nodrošināšana, stiprinot digitālo kompetenci un kompetenci iekļaujoša studiju procesa nodrošināšanai, doktorantu plašāka iesaiste akadēmiskā un pētnieciskā darbā, kā arī doktora grāda iegūšana optimālā laikā (trīs līdz četru gadu laikā), vienlaikus samazinot doktorantu atbirumu;</w:t>
      </w:r>
    </w:p>
    <w:p w14:paraId="5EAD5B91"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8"/>
        </w:rPr>
        <w:t xml:space="preserve">caurviju kompetenču attīstīšana un stiprināšana STEM un IKT jomās, īpaši uzņēmējdarbības, </w:t>
      </w:r>
      <w:proofErr w:type="spellStart"/>
      <w:r w:rsidRPr="0003261A">
        <w:rPr>
          <w:szCs w:val="28"/>
        </w:rPr>
        <w:t>inovētspējas</w:t>
      </w:r>
      <w:proofErr w:type="spellEnd"/>
      <w:r w:rsidRPr="0003261A">
        <w:rPr>
          <w:szCs w:val="28"/>
        </w:rPr>
        <w:t>, sociālo un komunikāciju kompetenču veidošanu studiju procesā;</w:t>
      </w:r>
    </w:p>
    <w:p w14:paraId="3B9EB101" w14:textId="58B9D2EA" w:rsidR="00C57EF9" w:rsidRPr="0003261A" w:rsidRDefault="63118BA4" w:rsidP="00F73915">
      <w:pPr>
        <w:numPr>
          <w:ilvl w:val="0"/>
          <w:numId w:val="6"/>
        </w:numPr>
        <w:tabs>
          <w:tab w:val="left" w:pos="284"/>
        </w:tabs>
        <w:spacing w:before="120" w:after="120"/>
        <w:ind w:left="567" w:hanging="283"/>
        <w:jc w:val="both"/>
      </w:pPr>
      <w:r>
        <w:t>STEM, t.sk. IKT studiju programmu piedāvājuma aktualizēšana atbilstoši nozares attīstības vajadzībām, kā arī DVB mācību ieviešana studiju procesā, veicināt darba devēju iesaisti resursu efektīvā izmantošanā augstākajā izglītībā, studiju programmu fragmentācijas mazināšanā un nodrošināt augstskolas stratēģiskai specializācijai atbilstošu spēcīgu un pētniecībā balstītu studiju programmu attīstību un eksportspēju;</w:t>
      </w:r>
    </w:p>
    <w:p w14:paraId="51F93958"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0"/>
          <w:lang w:eastAsia="lv-LV"/>
        </w:rPr>
        <w:t>augstskolu tehniskā nodrošinājuma un aprīkojuma uzlabošana STEM, t.sk. IKT virzienos, jo īpaši digitālās veiktspējas stiprināšanai, tai skaitā attālināta studiju procesa īstenošanas nodrošināšanai</w:t>
      </w:r>
      <w:r w:rsidRPr="0003261A">
        <w:rPr>
          <w:szCs w:val="28"/>
        </w:rPr>
        <w:t>;</w:t>
      </w:r>
    </w:p>
    <w:p w14:paraId="6119D7D5"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8"/>
        </w:rPr>
        <w:t>stipendiju sistēmas pilnveide, tai skaitā paredzot atbalstu atsevišķām sociālā riska grupām (piemēram, atbalsts studējošiem vecākiem, studējošiem no trūcīgām un sociāli mazāk aizsargātām ģimenēm);</w:t>
      </w:r>
    </w:p>
    <w:p w14:paraId="3779F1AD" w14:textId="77777777" w:rsidR="00C57EF9" w:rsidRPr="0003261A" w:rsidRDefault="00C57EF9" w:rsidP="00F73915">
      <w:pPr>
        <w:numPr>
          <w:ilvl w:val="0"/>
          <w:numId w:val="6"/>
        </w:numPr>
        <w:tabs>
          <w:tab w:val="left" w:pos="284"/>
        </w:tabs>
        <w:spacing w:before="120" w:after="120"/>
        <w:ind w:left="567" w:hanging="283"/>
        <w:jc w:val="both"/>
        <w:rPr>
          <w:szCs w:val="28"/>
        </w:rPr>
      </w:pPr>
      <w:r w:rsidRPr="0003261A">
        <w:rPr>
          <w:szCs w:val="28"/>
        </w:rPr>
        <w:t>studiju un studējošo kredītu pieejamības paplašināšana STEM, t.sk. IKT virzienos;</w:t>
      </w:r>
    </w:p>
    <w:p w14:paraId="5C3957E2" w14:textId="52F4C9FE" w:rsidR="00C57EF9" w:rsidRDefault="00C57EF9" w:rsidP="00F73915">
      <w:pPr>
        <w:numPr>
          <w:ilvl w:val="0"/>
          <w:numId w:val="6"/>
        </w:numPr>
        <w:tabs>
          <w:tab w:val="left" w:pos="284"/>
        </w:tabs>
        <w:spacing w:before="120" w:after="120"/>
        <w:ind w:left="567" w:hanging="283"/>
        <w:jc w:val="both"/>
        <w:rPr>
          <w:szCs w:val="28"/>
        </w:rPr>
      </w:pPr>
      <w:r w:rsidRPr="0003261A">
        <w:rPr>
          <w:szCs w:val="28"/>
        </w:rPr>
        <w:t>atbalsta programmas STEM, t.sk. IKT virzienos izglītības pieejamības nodrošināšana cilvēkiem ar invaliditāti (atbalsts asistentu pakalpojuma nodrošināšanai augstākajā izglītībā).</w:t>
      </w:r>
    </w:p>
    <w:p w14:paraId="13F5E4A0" w14:textId="77777777" w:rsidR="00F73915" w:rsidRPr="0003261A" w:rsidRDefault="00F73915" w:rsidP="00F73915">
      <w:pPr>
        <w:tabs>
          <w:tab w:val="left" w:pos="284"/>
        </w:tabs>
        <w:spacing w:after="0"/>
        <w:ind w:left="567"/>
        <w:jc w:val="both"/>
        <w:rPr>
          <w:szCs w:val="28"/>
        </w:rPr>
      </w:pPr>
    </w:p>
    <w:p w14:paraId="1EED515F" w14:textId="77777777" w:rsidR="00C57EF9" w:rsidRPr="0003261A" w:rsidRDefault="00C57EF9" w:rsidP="00C57EF9">
      <w:pPr>
        <w:numPr>
          <w:ilvl w:val="0"/>
          <w:numId w:val="10"/>
        </w:numPr>
        <w:spacing w:before="240"/>
        <w:ind w:left="567" w:hanging="207"/>
        <w:jc w:val="both"/>
        <w:rPr>
          <w:b/>
          <w:szCs w:val="28"/>
        </w:rPr>
      </w:pPr>
      <w:r w:rsidRPr="0003261A">
        <w:rPr>
          <w:b/>
          <w:szCs w:val="28"/>
        </w:rPr>
        <w:t>Vidējās kvalifikācijas darbaspēka iztrūkuma mazināšana:</w:t>
      </w:r>
    </w:p>
    <w:p w14:paraId="11575BF1" w14:textId="514747D8" w:rsidR="00C57EF9" w:rsidRPr="0003261A" w:rsidRDefault="00C57EF9" w:rsidP="00F73915">
      <w:pPr>
        <w:numPr>
          <w:ilvl w:val="0"/>
          <w:numId w:val="7"/>
        </w:numPr>
        <w:spacing w:before="120" w:after="120"/>
        <w:ind w:left="567" w:hanging="283"/>
        <w:jc w:val="both"/>
        <w:rPr>
          <w:szCs w:val="28"/>
        </w:rPr>
      </w:pPr>
      <w:r w:rsidRPr="0003261A">
        <w:rPr>
          <w:szCs w:val="20"/>
          <w:lang w:eastAsia="lv-LV"/>
        </w:rPr>
        <w:t xml:space="preserve">profesionālās izglītības paplašināšana, it īpaši </w:t>
      </w:r>
      <w:r w:rsidR="00E74A6D" w:rsidRPr="0003261A">
        <w:rPr>
          <w:szCs w:val="20"/>
          <w:lang w:eastAsia="lv-LV"/>
        </w:rPr>
        <w:t xml:space="preserve">būvniecības, mehānikas un metālapstrādes, </w:t>
      </w:r>
      <w:proofErr w:type="spellStart"/>
      <w:r w:rsidR="00E74A6D" w:rsidRPr="0003261A">
        <w:rPr>
          <w:szCs w:val="20"/>
          <w:lang w:eastAsia="lv-LV"/>
        </w:rPr>
        <w:t>mašīnzinību</w:t>
      </w:r>
      <w:proofErr w:type="spellEnd"/>
      <w:r w:rsidR="00E74A6D" w:rsidRPr="0003261A">
        <w:rPr>
          <w:szCs w:val="20"/>
          <w:lang w:eastAsia="lv-LV"/>
        </w:rPr>
        <w:t xml:space="preserve">, kokapstrādes un poligrāfijas izstrādājumu izgatavošanas, kā arī transporta pakalpojumu izglītības programmu grupās; </w:t>
      </w:r>
    </w:p>
    <w:p w14:paraId="5F6EE964" w14:textId="77777777" w:rsidR="00C57EF9" w:rsidRPr="0003261A" w:rsidRDefault="00C57EF9" w:rsidP="00F73915">
      <w:pPr>
        <w:numPr>
          <w:ilvl w:val="0"/>
          <w:numId w:val="7"/>
        </w:numPr>
        <w:spacing w:before="120" w:after="120"/>
        <w:ind w:left="567" w:hanging="283"/>
        <w:jc w:val="both"/>
        <w:rPr>
          <w:szCs w:val="28"/>
        </w:rPr>
      </w:pPr>
      <w:r w:rsidRPr="0003261A">
        <w:rPr>
          <w:szCs w:val="20"/>
          <w:lang w:eastAsia="lv-LV"/>
        </w:rPr>
        <w:t xml:space="preserve">profesionālās izglītības satura reforma – turpināt darbu pie </w:t>
      </w:r>
      <w:r w:rsidRPr="0003261A">
        <w:rPr>
          <w:szCs w:val="28"/>
        </w:rPr>
        <w:t>modulārās pieejas izglītības programmu īstenošanas un starpdisciplināro programmu attīstības;</w:t>
      </w:r>
    </w:p>
    <w:p w14:paraId="3CFC8E0D" w14:textId="77777777" w:rsidR="00C57EF9" w:rsidRPr="0003261A" w:rsidRDefault="00C57EF9" w:rsidP="00F73915">
      <w:pPr>
        <w:numPr>
          <w:ilvl w:val="0"/>
          <w:numId w:val="7"/>
        </w:numPr>
        <w:spacing w:before="120" w:after="120"/>
        <w:ind w:left="567" w:hanging="283"/>
        <w:jc w:val="both"/>
        <w:rPr>
          <w:szCs w:val="28"/>
        </w:rPr>
      </w:pPr>
      <w:r w:rsidRPr="0003261A">
        <w:rPr>
          <w:szCs w:val="20"/>
          <w:lang w:eastAsia="lv-LV"/>
        </w:rPr>
        <w:t>DVB mācību formas īpatsvara palielināšana profesionālajā izglītībā</w:t>
      </w:r>
      <w:r w:rsidRPr="0003261A">
        <w:rPr>
          <w:szCs w:val="28"/>
        </w:rPr>
        <w:t xml:space="preserve"> – jāveicina darba devēju aktīvāka iesaiste DVB mācībās,</w:t>
      </w:r>
      <w:r w:rsidRPr="0003261A">
        <w:rPr>
          <w:rFonts w:ascii="Cambria" w:eastAsia="Times New Roman" w:hAnsi="Cambria"/>
          <w:szCs w:val="28"/>
          <w:lang w:eastAsia="lv-LV"/>
        </w:rPr>
        <w:t xml:space="preserve"> </w:t>
      </w:r>
      <w:r w:rsidRPr="0003261A">
        <w:rPr>
          <w:szCs w:val="28"/>
        </w:rPr>
        <w:t>kā arī jāpaplašina DVB uz augstākās izglītības līmeni;</w:t>
      </w:r>
    </w:p>
    <w:p w14:paraId="3FE251B4" w14:textId="77777777" w:rsidR="00C57EF9" w:rsidRPr="0003261A" w:rsidRDefault="00C57EF9" w:rsidP="00F73915">
      <w:pPr>
        <w:numPr>
          <w:ilvl w:val="0"/>
          <w:numId w:val="7"/>
        </w:numPr>
        <w:spacing w:before="120" w:after="120"/>
        <w:ind w:left="567" w:hanging="283"/>
        <w:jc w:val="both"/>
        <w:rPr>
          <w:szCs w:val="20"/>
          <w:lang w:eastAsia="lv-LV"/>
        </w:rPr>
      </w:pPr>
      <w:r w:rsidRPr="0003261A">
        <w:rPr>
          <w:szCs w:val="20"/>
          <w:lang w:eastAsia="lv-LV"/>
        </w:rPr>
        <w:t>profesionālo izglītības iestāžu absolventu tālāku studiju vecināšana augstākajā izglītībā – jāstiprina sinerģija starp profesionālās vidējās izglītības programmām un 1. līmeņa profesionālās augstākās izglītības studiju programmām koledžās, kā arī starp koledžu studiju programmām un atbilstošām bakalaura studiju programmām augstskolās;</w:t>
      </w:r>
    </w:p>
    <w:p w14:paraId="68653D15" w14:textId="77777777" w:rsidR="00C57EF9" w:rsidRPr="0003261A" w:rsidRDefault="00C57EF9" w:rsidP="00F73915">
      <w:pPr>
        <w:numPr>
          <w:ilvl w:val="0"/>
          <w:numId w:val="7"/>
        </w:numPr>
        <w:spacing w:before="120" w:after="120"/>
        <w:ind w:left="567" w:hanging="283"/>
        <w:jc w:val="both"/>
        <w:rPr>
          <w:szCs w:val="28"/>
        </w:rPr>
      </w:pPr>
      <w:r w:rsidRPr="0003261A">
        <w:rPr>
          <w:szCs w:val="20"/>
          <w:lang w:eastAsia="lv-LV"/>
        </w:rPr>
        <w:t xml:space="preserve">pieaugušo izglītības piedāvājuma paplašināšana profesionālajā izglītībā, </w:t>
      </w:r>
      <w:r w:rsidRPr="0003261A">
        <w:rPr>
          <w:szCs w:val="28"/>
        </w:rPr>
        <w:t xml:space="preserve">koncentrējoties uz pieaugušo izglītības piedāvājuma paplašināšanu iedzīvotājiem ar vispārējo vidējo izglītību un pamatizglītību, nodrošinot tiem </w:t>
      </w:r>
      <w:r w:rsidRPr="0003261A">
        <w:rPr>
          <w:szCs w:val="28"/>
          <w:lang w:eastAsia="lv-LV"/>
        </w:rPr>
        <w:t>profesionālās kvalifikācijas iegūšanu</w:t>
      </w:r>
      <w:r w:rsidRPr="0003261A">
        <w:rPr>
          <w:szCs w:val="28"/>
        </w:rPr>
        <w:t>;</w:t>
      </w:r>
    </w:p>
    <w:p w14:paraId="0EE52E8A" w14:textId="21410EFF" w:rsidR="00C57EF9" w:rsidRPr="0003261A" w:rsidRDefault="63118BA4" w:rsidP="00F73915">
      <w:pPr>
        <w:numPr>
          <w:ilvl w:val="0"/>
          <w:numId w:val="7"/>
        </w:numPr>
        <w:spacing w:before="120" w:after="120"/>
        <w:ind w:left="567" w:hanging="283"/>
        <w:jc w:val="both"/>
        <w:rPr>
          <w:lang w:eastAsia="lv-LV"/>
        </w:rPr>
      </w:pPr>
      <w:r w:rsidRPr="4398C881">
        <w:rPr>
          <w:lang w:eastAsia="lv-LV"/>
        </w:rPr>
        <w:t>NEP kapacitātes stiprināšana, tostarp sastāva un funkciju pārskatīšana, t.sk. izveidot līdzfinansēšanas instrumentu vidēja termiņa nozares ekspertu padomju finansēšanai;</w:t>
      </w:r>
    </w:p>
    <w:p w14:paraId="09372ACB" w14:textId="77777777" w:rsidR="00C57EF9" w:rsidRPr="0003261A" w:rsidRDefault="00C57EF9" w:rsidP="00F73915">
      <w:pPr>
        <w:numPr>
          <w:ilvl w:val="0"/>
          <w:numId w:val="7"/>
        </w:numPr>
        <w:spacing w:before="120" w:after="120"/>
        <w:ind w:left="567" w:hanging="283"/>
        <w:jc w:val="both"/>
        <w:rPr>
          <w:szCs w:val="20"/>
          <w:lang w:eastAsia="lv-LV"/>
        </w:rPr>
      </w:pPr>
      <w:r w:rsidRPr="0003261A">
        <w:rPr>
          <w:szCs w:val="20"/>
          <w:lang w:eastAsia="lv-LV"/>
        </w:rPr>
        <w:t>profesionālās izglītības iestāžu konventu paplašināšana – reģionālā līmeņa pārstāvības nodrošināšana.</w:t>
      </w:r>
    </w:p>
    <w:p w14:paraId="5F5DA0DD" w14:textId="77777777" w:rsidR="0003261A" w:rsidRDefault="0003261A">
      <w:pPr>
        <w:spacing w:after="0"/>
        <w:rPr>
          <w:rFonts w:eastAsia="Times New Roman"/>
          <w:b/>
          <w:bCs/>
          <w:szCs w:val="28"/>
          <w:lang w:eastAsia="lv-LV"/>
        </w:rPr>
      </w:pPr>
      <w:r>
        <w:rPr>
          <w:rFonts w:eastAsia="Times New Roman"/>
          <w:b/>
          <w:bCs/>
          <w:szCs w:val="28"/>
          <w:lang w:eastAsia="lv-LV"/>
        </w:rPr>
        <w:br w:type="page"/>
      </w:r>
    </w:p>
    <w:p w14:paraId="24716C3D" w14:textId="7BEE3C3F" w:rsidR="00C57EF9" w:rsidRPr="0003261A" w:rsidRDefault="001D6B17" w:rsidP="00C57EF9">
      <w:pPr>
        <w:numPr>
          <w:ilvl w:val="0"/>
          <w:numId w:val="10"/>
        </w:numPr>
        <w:spacing w:before="240"/>
        <w:ind w:left="567" w:hanging="207"/>
        <w:jc w:val="both"/>
        <w:rPr>
          <w:b/>
          <w:szCs w:val="28"/>
        </w:rPr>
      </w:pPr>
      <w:r>
        <w:rPr>
          <w:rFonts w:eastAsia="Times New Roman"/>
          <w:b/>
          <w:bCs/>
          <w:szCs w:val="28"/>
          <w:lang w:eastAsia="lv-LV"/>
        </w:rPr>
        <w:lastRenderedPageBreak/>
        <w:t>D</w:t>
      </w:r>
      <w:r w:rsidR="00C57EF9" w:rsidRPr="0003261A">
        <w:rPr>
          <w:rFonts w:eastAsia="Times New Roman"/>
          <w:b/>
          <w:bCs/>
          <w:szCs w:val="28"/>
          <w:lang w:eastAsia="lv-LV"/>
        </w:rPr>
        <w:t xml:space="preserve">arbaspēka </w:t>
      </w:r>
      <w:r>
        <w:rPr>
          <w:rFonts w:eastAsia="Times New Roman"/>
          <w:b/>
          <w:bCs/>
          <w:szCs w:val="28"/>
          <w:lang w:eastAsia="lv-LV"/>
        </w:rPr>
        <w:t xml:space="preserve">ar zemu izglītību </w:t>
      </w:r>
      <w:r w:rsidR="00C57EF9" w:rsidRPr="0003261A">
        <w:rPr>
          <w:rFonts w:eastAsia="Times New Roman"/>
          <w:b/>
          <w:bCs/>
          <w:szCs w:val="28"/>
          <w:lang w:eastAsia="lv-LV"/>
        </w:rPr>
        <w:t>īpatsvara mazināšana:</w:t>
      </w:r>
    </w:p>
    <w:p w14:paraId="2E52265F" w14:textId="57E91098" w:rsidR="00C57EF9" w:rsidRPr="0003261A" w:rsidRDefault="63118BA4" w:rsidP="00F73915">
      <w:pPr>
        <w:numPr>
          <w:ilvl w:val="0"/>
          <w:numId w:val="8"/>
        </w:numPr>
        <w:spacing w:before="120" w:after="120"/>
        <w:ind w:left="567" w:hanging="283"/>
        <w:jc w:val="both"/>
      </w:pPr>
      <w:r>
        <w:t>jauniešu īpatsvara samazināšana, kas nonāk darba tirgū bez konkrētas specialitātes un prasmēm – izglītojamo skaita samazināšana, kas priekšlaicīgi pārtrauc vai neturpina mācības pēc pamatizglītības un vispārējās vidējās izglītības, kā arī audzēkņu atbiruma rādītāju mazināšana visos izglītības posmos;</w:t>
      </w:r>
    </w:p>
    <w:p w14:paraId="2096C58F" w14:textId="77777777" w:rsidR="00C57EF9" w:rsidRPr="0003261A" w:rsidRDefault="00C57EF9" w:rsidP="00F73915">
      <w:pPr>
        <w:numPr>
          <w:ilvl w:val="0"/>
          <w:numId w:val="9"/>
        </w:numPr>
        <w:spacing w:before="120" w:after="120"/>
        <w:ind w:left="567" w:hanging="283"/>
        <w:jc w:val="both"/>
        <w:rPr>
          <w:szCs w:val="28"/>
        </w:rPr>
      </w:pPr>
      <w:r w:rsidRPr="0003261A">
        <w:rPr>
          <w:szCs w:val="28"/>
        </w:rPr>
        <w:t>mērķēti pieaugušo izglītības pasākumi iedzīvotājiem ar vispārējo vidējo izglītību, pamatizglītību un izglītību zemāku par pamatizglītību, neatkarīgi no to ekonomiskās aktivitātes statusa;</w:t>
      </w:r>
    </w:p>
    <w:p w14:paraId="5325B785" w14:textId="7D8A4780" w:rsidR="00C57EF9" w:rsidRPr="0003261A" w:rsidRDefault="00C57EF9" w:rsidP="00F73915">
      <w:pPr>
        <w:numPr>
          <w:ilvl w:val="0"/>
          <w:numId w:val="9"/>
        </w:numPr>
        <w:spacing w:before="120" w:after="120"/>
        <w:ind w:left="567" w:hanging="283"/>
        <w:jc w:val="both"/>
        <w:rPr>
          <w:szCs w:val="28"/>
        </w:rPr>
      </w:pPr>
      <w:r w:rsidRPr="0003261A">
        <w:rPr>
          <w:szCs w:val="28"/>
        </w:rPr>
        <w:t xml:space="preserve">motivācijas paaugstināšanas pasākumi </w:t>
      </w:r>
      <w:r w:rsidR="00E067F7">
        <w:rPr>
          <w:szCs w:val="28"/>
        </w:rPr>
        <w:t>ar zemu izglītību</w:t>
      </w:r>
      <w:r w:rsidRPr="0003261A">
        <w:rPr>
          <w:szCs w:val="28"/>
        </w:rPr>
        <w:t xml:space="preserve"> darbaspēka iesaistes palielināšanai izglītības procesā, dalības šķēršļu mazināšana – saglabāt un paplašināt esošo atbalstu mazkvalificēto dalībai izglītībā, piemēram, stipendijas, mobilitātes pabalsti, apgādībā esošu ģimenes locekļu pieskatīšanas pakalpojumi;</w:t>
      </w:r>
    </w:p>
    <w:p w14:paraId="68FE4879" w14:textId="77777777" w:rsidR="00C57EF9" w:rsidRPr="0003261A" w:rsidRDefault="00C57EF9" w:rsidP="00F73915">
      <w:pPr>
        <w:numPr>
          <w:ilvl w:val="0"/>
          <w:numId w:val="9"/>
        </w:numPr>
        <w:spacing w:before="120" w:after="120"/>
        <w:ind w:left="567" w:hanging="283"/>
        <w:jc w:val="both"/>
        <w:rPr>
          <w:szCs w:val="28"/>
        </w:rPr>
      </w:pPr>
      <w:r w:rsidRPr="0003261A">
        <w:rPr>
          <w:szCs w:val="28"/>
        </w:rPr>
        <w:t>nodarbinātības konsultāciju pieejamības paplašināšana iedzīvotājiem ar vidējo vispārējo izglītību, pamatizglītību un izglītību zemāku par pamatizglītību, t.sk. mērķa grupu uzrunāšana, kas nav reģistrējušies NVA.</w:t>
      </w:r>
    </w:p>
    <w:p w14:paraId="7E2F3E04" w14:textId="77777777" w:rsidR="00C57EF9" w:rsidRPr="0003261A" w:rsidRDefault="00C57EF9" w:rsidP="00C57EF9">
      <w:pPr>
        <w:numPr>
          <w:ilvl w:val="0"/>
          <w:numId w:val="10"/>
        </w:numPr>
        <w:spacing w:before="240"/>
        <w:ind w:left="567" w:hanging="207"/>
        <w:jc w:val="both"/>
        <w:rPr>
          <w:b/>
          <w:szCs w:val="28"/>
        </w:rPr>
      </w:pPr>
      <w:bookmarkStart w:id="105" w:name="_Hlk106365406"/>
      <w:r w:rsidRPr="0003261A">
        <w:rPr>
          <w:b/>
          <w:szCs w:val="28"/>
        </w:rPr>
        <w:t>Horizontālie pasākumi darbaspēka iztrūkuma mazināšanai</w:t>
      </w:r>
    </w:p>
    <w:p w14:paraId="06AEBD5D" w14:textId="24F6CC0A" w:rsidR="008D5CCD" w:rsidRDefault="008D5CCD" w:rsidP="00C57EF9">
      <w:pPr>
        <w:numPr>
          <w:ilvl w:val="0"/>
          <w:numId w:val="11"/>
        </w:numPr>
        <w:spacing w:before="120" w:after="120"/>
        <w:ind w:left="924" w:hanging="357"/>
        <w:jc w:val="both"/>
        <w:rPr>
          <w:b/>
          <w:bCs/>
          <w:i/>
          <w:iCs/>
          <w:szCs w:val="28"/>
        </w:rPr>
      </w:pPr>
      <w:r w:rsidRPr="000C591A">
        <w:rPr>
          <w:b/>
          <w:bCs/>
          <w:i/>
          <w:iCs/>
          <w:szCs w:val="28"/>
        </w:rPr>
        <w:t xml:space="preserve">Izglītības sistēmas </w:t>
      </w:r>
      <w:r w:rsidR="00D601C9" w:rsidRPr="000C591A">
        <w:rPr>
          <w:b/>
          <w:bCs/>
          <w:i/>
          <w:iCs/>
          <w:szCs w:val="28"/>
        </w:rPr>
        <w:t>kapacitātes nostiprināšana</w:t>
      </w:r>
    </w:p>
    <w:p w14:paraId="2DE38C3C" w14:textId="2CE3308B" w:rsidR="006F203D" w:rsidRDefault="006F203D" w:rsidP="000C591A">
      <w:pPr>
        <w:pStyle w:val="ListParagraph"/>
        <w:numPr>
          <w:ilvl w:val="0"/>
          <w:numId w:val="21"/>
        </w:numPr>
        <w:spacing w:before="120" w:after="120"/>
        <w:ind w:left="1276" w:hanging="357"/>
        <w:contextualSpacing w:val="0"/>
        <w:jc w:val="both"/>
        <w:rPr>
          <w:i/>
          <w:iCs/>
          <w:szCs w:val="28"/>
        </w:rPr>
      </w:pPr>
      <w:r w:rsidRPr="006F203D">
        <w:rPr>
          <w:i/>
          <w:iCs/>
          <w:szCs w:val="28"/>
        </w:rPr>
        <w:t xml:space="preserve">turpināt sakārtot pedagogu atalgojuma sistēmu, virzoties uz atalgojuma modeli, kas nodrošinātu vidējo pedagogu atalgojumu ne mazāku kā 1,3 reizes pret vidējo darba samaksu sabiedriskajā sektorā strādājošiem ar augstāko izglītību, kas atbilst </w:t>
      </w:r>
      <w:r w:rsidRPr="00CC6905">
        <w:rPr>
          <w:i/>
          <w:iCs/>
          <w:szCs w:val="28"/>
        </w:rPr>
        <w:t>Izglītības attīstības pamatnos</w:t>
      </w:r>
      <w:r>
        <w:rPr>
          <w:i/>
          <w:iCs/>
          <w:szCs w:val="28"/>
        </w:rPr>
        <w:t>tādņu</w:t>
      </w:r>
      <w:r w:rsidRPr="00CC6905">
        <w:rPr>
          <w:i/>
          <w:iCs/>
          <w:szCs w:val="28"/>
        </w:rPr>
        <w:t xml:space="preserve"> 2021.-2027. gadam</w:t>
      </w:r>
      <w:r>
        <w:rPr>
          <w:rStyle w:val="FootnoteReference"/>
          <w:i/>
          <w:iCs/>
          <w:szCs w:val="28"/>
        </w:rPr>
        <w:footnoteReference w:id="33"/>
      </w:r>
      <w:r>
        <w:rPr>
          <w:i/>
          <w:iCs/>
          <w:szCs w:val="28"/>
        </w:rPr>
        <w:t xml:space="preserve"> </w:t>
      </w:r>
      <w:r w:rsidRPr="006F203D">
        <w:rPr>
          <w:i/>
          <w:iCs/>
          <w:szCs w:val="28"/>
        </w:rPr>
        <w:t xml:space="preserve"> sasniedzamo politikas rezultatīvo rādītāju 1.3. punkt</w:t>
      </w:r>
      <w:r w:rsidR="00FD44A4">
        <w:rPr>
          <w:i/>
          <w:iCs/>
          <w:szCs w:val="28"/>
        </w:rPr>
        <w:t>am</w:t>
      </w:r>
      <w:r w:rsidRPr="006F203D">
        <w:rPr>
          <w:i/>
          <w:iCs/>
          <w:szCs w:val="28"/>
        </w:rPr>
        <w:t>;</w:t>
      </w:r>
    </w:p>
    <w:bookmarkEnd w:id="105"/>
    <w:p w14:paraId="7C30142E" w14:textId="652617D0" w:rsidR="00D601C9" w:rsidRDefault="00012594" w:rsidP="000C591A">
      <w:pPr>
        <w:pStyle w:val="ListParagraph"/>
        <w:numPr>
          <w:ilvl w:val="0"/>
          <w:numId w:val="21"/>
        </w:numPr>
        <w:spacing w:before="120" w:after="120"/>
        <w:ind w:left="1276" w:hanging="357"/>
        <w:contextualSpacing w:val="0"/>
        <w:jc w:val="both"/>
        <w:rPr>
          <w:i/>
          <w:iCs/>
          <w:szCs w:val="28"/>
        </w:rPr>
      </w:pPr>
      <w:r>
        <w:rPr>
          <w:i/>
          <w:iCs/>
          <w:szCs w:val="28"/>
        </w:rPr>
        <w:t>n</w:t>
      </w:r>
      <w:r w:rsidR="00CC4CB0" w:rsidRPr="000C591A">
        <w:rPr>
          <w:i/>
          <w:iCs/>
          <w:szCs w:val="28"/>
        </w:rPr>
        <w:t>odrošinot pilnvērtīgu finansējumu izglītības iestāžu atbalsta personālam</w:t>
      </w:r>
      <w:r w:rsidR="00E5028D" w:rsidRPr="00E5028D">
        <w:t xml:space="preserve"> </w:t>
      </w:r>
      <w:r w:rsidR="00E5028D">
        <w:t>(</w:t>
      </w:r>
      <w:r w:rsidR="00E5028D" w:rsidRPr="00E5028D">
        <w:rPr>
          <w:i/>
          <w:iCs/>
          <w:szCs w:val="28"/>
        </w:rPr>
        <w:t xml:space="preserve">karjeras </w:t>
      </w:r>
      <w:r w:rsidR="00E5028D">
        <w:rPr>
          <w:i/>
          <w:iCs/>
          <w:szCs w:val="28"/>
        </w:rPr>
        <w:t>kon</w:t>
      </w:r>
      <w:r w:rsidR="009B5C20">
        <w:rPr>
          <w:i/>
          <w:iCs/>
          <w:szCs w:val="28"/>
        </w:rPr>
        <w:t xml:space="preserve">sultantiem, </w:t>
      </w:r>
      <w:r w:rsidR="00D01862">
        <w:rPr>
          <w:i/>
          <w:iCs/>
          <w:szCs w:val="28"/>
        </w:rPr>
        <w:t xml:space="preserve">skolas </w:t>
      </w:r>
      <w:r w:rsidR="00637ACB">
        <w:rPr>
          <w:i/>
          <w:iCs/>
          <w:szCs w:val="28"/>
        </w:rPr>
        <w:t>psihologiem</w:t>
      </w:r>
      <w:r w:rsidR="00D01862">
        <w:rPr>
          <w:i/>
          <w:iCs/>
          <w:szCs w:val="28"/>
        </w:rPr>
        <w:t xml:space="preserve"> u.c.)</w:t>
      </w:r>
      <w:r w:rsidR="002C74F9">
        <w:rPr>
          <w:i/>
          <w:iCs/>
          <w:szCs w:val="28"/>
        </w:rPr>
        <w:t>;</w:t>
      </w:r>
    </w:p>
    <w:p w14:paraId="4BC9CD63" w14:textId="75206221" w:rsidR="002C74F9" w:rsidRPr="000C591A" w:rsidRDefault="008D28D0" w:rsidP="000C591A">
      <w:pPr>
        <w:pStyle w:val="ListParagraph"/>
        <w:numPr>
          <w:ilvl w:val="0"/>
          <w:numId w:val="21"/>
        </w:numPr>
        <w:spacing w:before="120" w:after="120"/>
        <w:ind w:left="1276" w:hanging="357"/>
        <w:contextualSpacing w:val="0"/>
        <w:jc w:val="both"/>
        <w:rPr>
          <w:i/>
          <w:iCs/>
          <w:szCs w:val="28"/>
        </w:rPr>
      </w:pPr>
      <w:r>
        <w:rPr>
          <w:i/>
          <w:iCs/>
          <w:szCs w:val="28"/>
        </w:rPr>
        <w:t>turpināt nostiprinā</w:t>
      </w:r>
      <w:r w:rsidR="00B91C94">
        <w:rPr>
          <w:i/>
          <w:iCs/>
          <w:szCs w:val="28"/>
        </w:rPr>
        <w:t>t izglītības</w:t>
      </w:r>
      <w:r w:rsidR="00A47880">
        <w:rPr>
          <w:i/>
          <w:iCs/>
          <w:szCs w:val="28"/>
        </w:rPr>
        <w:t xml:space="preserve"> kvalitāti visos izglītības</w:t>
      </w:r>
      <w:r w:rsidR="006D66D3">
        <w:rPr>
          <w:i/>
          <w:iCs/>
          <w:szCs w:val="28"/>
        </w:rPr>
        <w:t xml:space="preserve"> sistēmas</w:t>
      </w:r>
      <w:r w:rsidR="00A47880">
        <w:rPr>
          <w:i/>
          <w:iCs/>
          <w:szCs w:val="28"/>
        </w:rPr>
        <w:t xml:space="preserve"> posmos,</w:t>
      </w:r>
      <w:r w:rsidR="00891C88">
        <w:rPr>
          <w:i/>
          <w:iCs/>
          <w:szCs w:val="28"/>
        </w:rPr>
        <w:t xml:space="preserve"> </w:t>
      </w:r>
      <w:r w:rsidR="00EE6BC9">
        <w:rPr>
          <w:i/>
          <w:iCs/>
          <w:szCs w:val="28"/>
        </w:rPr>
        <w:t xml:space="preserve">t.sk. mazinot </w:t>
      </w:r>
      <w:r w:rsidR="00B6140C">
        <w:rPr>
          <w:i/>
          <w:iCs/>
          <w:szCs w:val="28"/>
        </w:rPr>
        <w:t xml:space="preserve">izglītības kvalitātes plaisu starp </w:t>
      </w:r>
      <w:r w:rsidR="00BE19C5">
        <w:rPr>
          <w:i/>
          <w:iCs/>
          <w:szCs w:val="28"/>
        </w:rPr>
        <w:t>reģioniem un izglītības iestādēm</w:t>
      </w:r>
      <w:r w:rsidR="002F5BD0">
        <w:rPr>
          <w:i/>
          <w:iCs/>
          <w:szCs w:val="28"/>
        </w:rPr>
        <w:t>.</w:t>
      </w:r>
    </w:p>
    <w:p w14:paraId="756B2D84" w14:textId="7375BBB3" w:rsidR="00C57EF9" w:rsidRPr="0003261A" w:rsidRDefault="00FE4ECE" w:rsidP="17F6F9D0">
      <w:pPr>
        <w:numPr>
          <w:ilvl w:val="0"/>
          <w:numId w:val="11"/>
        </w:numPr>
        <w:spacing w:before="120" w:after="120"/>
        <w:ind w:left="924" w:hanging="357"/>
        <w:jc w:val="both"/>
        <w:rPr>
          <w:i/>
          <w:iCs/>
        </w:rPr>
      </w:pPr>
      <w:r w:rsidRPr="17F6F9D0">
        <w:rPr>
          <w:b/>
          <w:bCs/>
          <w:i/>
          <w:iCs/>
          <w:lang w:eastAsia="lv-LV"/>
        </w:rPr>
        <w:t>Demogrāfijas tendenču negatīvās ietekmes mazināšana uz darbaspēka piedāvājumu</w:t>
      </w:r>
    </w:p>
    <w:p w14:paraId="2BBE09C8" w14:textId="77777777" w:rsidR="00C57EF9" w:rsidRPr="0003261A" w:rsidRDefault="00C57EF9" w:rsidP="00C57EF9">
      <w:pPr>
        <w:numPr>
          <w:ilvl w:val="0"/>
          <w:numId w:val="4"/>
        </w:numPr>
        <w:spacing w:before="120" w:after="120"/>
        <w:ind w:left="1208" w:hanging="284"/>
        <w:jc w:val="both"/>
        <w:rPr>
          <w:szCs w:val="28"/>
        </w:rPr>
      </w:pPr>
      <w:r w:rsidRPr="0003261A">
        <w:rPr>
          <w:szCs w:val="20"/>
          <w:lang w:eastAsia="lv-LV"/>
        </w:rPr>
        <w:t>iedzīvotāju ataudzes veicināšana</w:t>
      </w:r>
      <w:r w:rsidRPr="0003261A">
        <w:rPr>
          <w:szCs w:val="28"/>
        </w:rPr>
        <w:t xml:space="preserve"> – valsts atbalsts 2 un vairāku bērnu ģimenēm (ģimenes valsts pabalsta palielināšana, atbalsts publisko pakalpojumu pieejamībai, t.sk. atlaides sabiedriskajā transportā);</w:t>
      </w:r>
    </w:p>
    <w:p w14:paraId="3489F5A1" w14:textId="77777777" w:rsidR="00C57EF9" w:rsidRPr="0003261A" w:rsidRDefault="00C57EF9" w:rsidP="00C57EF9">
      <w:pPr>
        <w:numPr>
          <w:ilvl w:val="0"/>
          <w:numId w:val="4"/>
        </w:numPr>
        <w:spacing w:before="120" w:after="120"/>
        <w:ind w:left="1208" w:hanging="284"/>
        <w:jc w:val="both"/>
        <w:rPr>
          <w:szCs w:val="28"/>
        </w:rPr>
      </w:pPr>
      <w:proofErr w:type="spellStart"/>
      <w:r w:rsidRPr="0003261A">
        <w:rPr>
          <w:szCs w:val="20"/>
          <w:lang w:eastAsia="lv-LV"/>
        </w:rPr>
        <w:t>remigrācijas</w:t>
      </w:r>
      <w:proofErr w:type="spellEnd"/>
      <w:r w:rsidRPr="0003261A">
        <w:rPr>
          <w:szCs w:val="20"/>
          <w:lang w:eastAsia="lv-LV"/>
        </w:rPr>
        <w:t xml:space="preserve"> atbalsta pasākumi – </w:t>
      </w:r>
      <w:r w:rsidRPr="0003261A">
        <w:rPr>
          <w:szCs w:val="28"/>
        </w:rPr>
        <w:t xml:space="preserve">uzturēt reģionālo </w:t>
      </w:r>
      <w:proofErr w:type="spellStart"/>
      <w:r w:rsidRPr="0003261A">
        <w:rPr>
          <w:szCs w:val="28"/>
        </w:rPr>
        <w:t>remigrācijas</w:t>
      </w:r>
      <w:proofErr w:type="spellEnd"/>
      <w:r w:rsidRPr="0003261A">
        <w:rPr>
          <w:szCs w:val="28"/>
        </w:rPr>
        <w:t xml:space="preserve"> koordinatoru tīklu, kas sniedz informāciju un palīdz atgriezties Latvijā emigrējušajām ģimenēm;</w:t>
      </w:r>
    </w:p>
    <w:p w14:paraId="2BA0EF44" w14:textId="77777777" w:rsidR="00C57EF9" w:rsidRPr="0003261A" w:rsidRDefault="00C57EF9" w:rsidP="00C57EF9">
      <w:pPr>
        <w:numPr>
          <w:ilvl w:val="0"/>
          <w:numId w:val="4"/>
        </w:numPr>
        <w:spacing w:before="120" w:after="120"/>
        <w:ind w:left="1208" w:hanging="284"/>
        <w:jc w:val="both"/>
        <w:rPr>
          <w:szCs w:val="28"/>
        </w:rPr>
      </w:pPr>
      <w:r w:rsidRPr="0003261A">
        <w:rPr>
          <w:szCs w:val="20"/>
          <w:lang w:eastAsia="lv-LV"/>
        </w:rPr>
        <w:t>pasākumi iedzīvotāju ekonomiskās aktivitātes celšanai</w:t>
      </w:r>
      <w:r w:rsidRPr="0003261A">
        <w:rPr>
          <w:szCs w:val="28"/>
        </w:rPr>
        <w:t xml:space="preserve"> – atbalsts iedzīvotājiem ar vispārējo vidējo izglītību, pamatizglītību vai zemāku izglītības līmeni, kas nav reģistrēti NVA, bezdarbnieku apmācības pie darba devēja, reģionālas mobilitātes atbalsts;</w:t>
      </w:r>
    </w:p>
    <w:p w14:paraId="04A0BC72" w14:textId="757F0444" w:rsidR="63118BA4" w:rsidRDefault="63118BA4" w:rsidP="00311610">
      <w:pPr>
        <w:numPr>
          <w:ilvl w:val="0"/>
          <w:numId w:val="4"/>
        </w:numPr>
        <w:spacing w:before="120" w:after="200"/>
        <w:ind w:left="1208" w:hanging="284"/>
        <w:jc w:val="both"/>
      </w:pPr>
      <w:r>
        <w:t>mērķēti pasākumi ātrai bēgļu integrācijai Latvijas darba tirgū un iesaistei nodarbinātībā – vienas pieturas kontaktpunkta noteikšana;</w:t>
      </w:r>
    </w:p>
    <w:p w14:paraId="3E2A4D6E" w14:textId="77777777" w:rsidR="00C57EF9" w:rsidRPr="0003261A" w:rsidRDefault="00C57EF9" w:rsidP="00C57EF9">
      <w:pPr>
        <w:numPr>
          <w:ilvl w:val="0"/>
          <w:numId w:val="4"/>
        </w:numPr>
        <w:spacing w:before="120" w:after="120"/>
        <w:ind w:left="1208" w:hanging="284"/>
        <w:contextualSpacing/>
        <w:jc w:val="both"/>
      </w:pPr>
      <w:r w:rsidRPr="0003261A">
        <w:t>viedā darbaspēka migrācija – atvieglota augsti kvalificētu speciālistu piesaiste jomās, kur vērojams vietējā darbaspēka un atbilstošo prasmju iztrūkums.</w:t>
      </w:r>
    </w:p>
    <w:p w14:paraId="77E95398" w14:textId="77777777" w:rsidR="00C57EF9" w:rsidRPr="0003261A" w:rsidRDefault="00FE4ECE" w:rsidP="17F6F9D0">
      <w:pPr>
        <w:numPr>
          <w:ilvl w:val="0"/>
          <w:numId w:val="11"/>
        </w:numPr>
        <w:spacing w:before="240" w:after="120"/>
        <w:ind w:left="924" w:hanging="357"/>
        <w:jc w:val="both"/>
        <w:rPr>
          <w:b/>
          <w:bCs/>
          <w:i/>
          <w:iCs/>
        </w:rPr>
      </w:pPr>
      <w:r w:rsidRPr="17F6F9D0">
        <w:rPr>
          <w:b/>
          <w:bCs/>
          <w:i/>
          <w:iCs/>
        </w:rPr>
        <w:t>Darba tirgus reģionālo atšķirību mazināšana</w:t>
      </w:r>
    </w:p>
    <w:p w14:paraId="4D38D7DE" w14:textId="77777777" w:rsidR="00C57EF9" w:rsidRPr="0003261A" w:rsidRDefault="00C57EF9" w:rsidP="00C57EF9">
      <w:pPr>
        <w:numPr>
          <w:ilvl w:val="0"/>
          <w:numId w:val="5"/>
        </w:numPr>
        <w:spacing w:before="120" w:after="120"/>
        <w:ind w:left="1208" w:hanging="284"/>
        <w:jc w:val="both"/>
      </w:pPr>
      <w:r w:rsidRPr="0003261A">
        <w:rPr>
          <w:szCs w:val="20"/>
          <w:lang w:eastAsia="lv-LV"/>
        </w:rPr>
        <w:t>mobilitātes atbalsts aktīvo nodarbinātības pasākumu ietvaros</w:t>
      </w:r>
      <w:r w:rsidRPr="0003261A">
        <w:t xml:space="preserve"> – transporta un īres kompensācijas bezdarbnieku mobilitātes veicināšanai;</w:t>
      </w:r>
    </w:p>
    <w:p w14:paraId="18BE3DFC" w14:textId="77777777" w:rsidR="00C57EF9" w:rsidRPr="0003261A" w:rsidRDefault="00C57EF9" w:rsidP="00C57EF9">
      <w:pPr>
        <w:numPr>
          <w:ilvl w:val="0"/>
          <w:numId w:val="5"/>
        </w:numPr>
        <w:spacing w:before="120" w:after="120"/>
        <w:ind w:left="1208" w:hanging="284"/>
        <w:jc w:val="both"/>
      </w:pPr>
      <w:r w:rsidRPr="0003261A">
        <w:t>investīciju un kohēzijas politikas pārstrukturizācija par labu vājāk attīstītiem reģioniem, tādejādi veicinot darbavietu un nodarbinātības iespēju veidošanos teritorijās ar augstāku bezdarbu;</w:t>
      </w:r>
    </w:p>
    <w:p w14:paraId="555CBA52" w14:textId="77777777" w:rsidR="00C57EF9" w:rsidRPr="0003261A" w:rsidRDefault="00C57EF9" w:rsidP="00C57EF9">
      <w:pPr>
        <w:numPr>
          <w:ilvl w:val="0"/>
          <w:numId w:val="5"/>
        </w:numPr>
        <w:spacing w:before="120"/>
        <w:ind w:left="1208" w:hanging="284"/>
        <w:jc w:val="both"/>
      </w:pPr>
      <w:r w:rsidRPr="0003261A">
        <w:rPr>
          <w:szCs w:val="20"/>
          <w:lang w:eastAsia="lv-LV"/>
        </w:rPr>
        <w:t>darbaspēka pieejamības nodrošināšana teritorijās ar pieaugošu nodarbinātību</w:t>
      </w:r>
      <w:r w:rsidRPr="0003261A">
        <w:t xml:space="preserve"> – mājokļu garantiju programmas pilnveide, Atbalsta programma īres namu būvniecībai reģionos.</w:t>
      </w:r>
    </w:p>
    <w:p w14:paraId="6164CA75" w14:textId="77777777" w:rsidR="00C57EF9" w:rsidRPr="0003261A" w:rsidRDefault="00FE4ECE" w:rsidP="17F6F9D0">
      <w:pPr>
        <w:numPr>
          <w:ilvl w:val="0"/>
          <w:numId w:val="11"/>
        </w:numPr>
        <w:spacing w:after="120"/>
        <w:ind w:left="924" w:hanging="357"/>
        <w:jc w:val="both"/>
        <w:rPr>
          <w:b/>
          <w:bCs/>
          <w:i/>
          <w:iCs/>
          <w:lang w:eastAsia="lv-LV"/>
        </w:rPr>
      </w:pPr>
      <w:r w:rsidRPr="17F6F9D0">
        <w:rPr>
          <w:b/>
          <w:bCs/>
          <w:i/>
          <w:iCs/>
          <w:lang w:eastAsia="lv-LV"/>
        </w:rPr>
        <w:t>Pieaugušo izglītības attīstība:</w:t>
      </w:r>
    </w:p>
    <w:p w14:paraId="630607D9" w14:textId="58670056" w:rsidR="001E7C07" w:rsidRPr="001E7C07" w:rsidRDefault="00897B72" w:rsidP="001E7C07">
      <w:pPr>
        <w:numPr>
          <w:ilvl w:val="0"/>
          <w:numId w:val="12"/>
        </w:numPr>
        <w:spacing w:before="120" w:after="120"/>
        <w:ind w:left="1208" w:hanging="284"/>
        <w:jc w:val="both"/>
        <w:rPr>
          <w:szCs w:val="28"/>
        </w:rPr>
      </w:pPr>
      <w:r>
        <w:lastRenderedPageBreak/>
        <w:t>elastīgas un</w:t>
      </w:r>
      <w:r w:rsidR="00EC6EA5">
        <w:t xml:space="preserve"> </w:t>
      </w:r>
      <w:r w:rsidR="00136632">
        <w:t xml:space="preserve">uz indivīda un darba tirgus vajadzībām </w:t>
      </w:r>
      <w:r>
        <w:t xml:space="preserve">balstītas </w:t>
      </w:r>
      <w:r w:rsidR="001E7C07" w:rsidRPr="00552069">
        <w:t>pieaugušo izglītības sistēmas izveide</w:t>
      </w:r>
      <w:r w:rsidR="00666B29">
        <w:t xml:space="preserve"> </w:t>
      </w:r>
      <w:r w:rsidR="007B235E">
        <w:t>–</w:t>
      </w:r>
      <w:r w:rsidR="00666B29">
        <w:t xml:space="preserve"> </w:t>
      </w:r>
      <w:r w:rsidR="00AE34F4">
        <w:t>nodrošin</w:t>
      </w:r>
      <w:r w:rsidR="007B235E">
        <w:t>āt</w:t>
      </w:r>
      <w:r w:rsidR="00575F01">
        <w:t xml:space="preserve">s atbalsts </w:t>
      </w:r>
      <w:r w:rsidR="001E7C07" w:rsidRPr="00552069">
        <w:t>dažādām mērķa grupām, katras sasniegšanai izmantojot atbilstošāku pieeju (individuālajās vajadzībās balstīta pieaugušo izglītība, mācības pēc darba devēju un nozaru pieprasījuma);</w:t>
      </w:r>
    </w:p>
    <w:p w14:paraId="72B7CF34" w14:textId="3CE5FB34" w:rsidR="00C57EF9" w:rsidRPr="0003261A" w:rsidRDefault="001E7C07" w:rsidP="00C57EF9">
      <w:pPr>
        <w:numPr>
          <w:ilvl w:val="0"/>
          <w:numId w:val="12"/>
        </w:numPr>
        <w:spacing w:before="120" w:after="120"/>
        <w:ind w:left="1208" w:hanging="284"/>
        <w:jc w:val="both"/>
      </w:pPr>
      <w:r>
        <w:t>I</w:t>
      </w:r>
      <w:r w:rsidR="00BF5633" w:rsidRPr="00BF5633">
        <w:t>lgtspējīga</w:t>
      </w:r>
      <w:r>
        <w:t xml:space="preserve"> </w:t>
      </w:r>
      <w:r w:rsidR="00BF5633" w:rsidRPr="00BF5633">
        <w:t xml:space="preserve">pieaugušo izglītības finansēšanas </w:t>
      </w:r>
      <w:r w:rsidR="00091958">
        <w:t>modeļa</w:t>
      </w:r>
      <w:r w:rsidR="00BF5633" w:rsidRPr="00BF5633">
        <w:t xml:space="preserve"> izveide, t.sk.</w:t>
      </w:r>
      <w:r w:rsidR="00005963">
        <w:t xml:space="preserve"> p</w:t>
      </w:r>
      <w:r w:rsidR="00C57EF9" w:rsidRPr="0003261A">
        <w:t xml:space="preserve">rasmju fonda izveide – </w:t>
      </w:r>
      <w:r w:rsidR="00C57EF9">
        <w:t xml:space="preserve">pilotprojekta veidā </w:t>
      </w:r>
      <w:r w:rsidR="00C57EF9" w:rsidRPr="0003261A">
        <w:t xml:space="preserve">izskatīt iespēju </w:t>
      </w:r>
      <w:r w:rsidR="00C57EF9">
        <w:t>nozaru vajadzībām izveidot mācību fondu, kurā veic iemaksas arī darba devēji un, kas tālāk kalpotu trūkstošo speciālistu sagatavošanai;</w:t>
      </w:r>
    </w:p>
    <w:p w14:paraId="109502E4" w14:textId="3C9A6225" w:rsidR="00C57EF9" w:rsidRPr="0003261A" w:rsidRDefault="002B42AA" w:rsidP="00C57EF9">
      <w:pPr>
        <w:numPr>
          <w:ilvl w:val="0"/>
          <w:numId w:val="12"/>
        </w:numPr>
        <w:spacing w:before="120" w:after="120"/>
        <w:ind w:left="1208" w:hanging="284"/>
        <w:jc w:val="both"/>
        <w:rPr>
          <w:szCs w:val="28"/>
        </w:rPr>
      </w:pPr>
      <w:r>
        <w:t xml:space="preserve">turpināt ieviest </w:t>
      </w:r>
      <w:r w:rsidR="00C57EF9" w:rsidRPr="0003261A">
        <w:t>nepārtraukt</w:t>
      </w:r>
      <w:r w:rsidR="00FC2907">
        <w:t>u</w:t>
      </w:r>
      <w:r w:rsidR="00C57EF9" w:rsidRPr="0003261A">
        <w:t xml:space="preserve"> izglītošanās kultūr</w:t>
      </w:r>
      <w:r w:rsidR="00FC2907">
        <w:t>u</w:t>
      </w:r>
      <w:r w:rsidR="00C57EF9" w:rsidRPr="0003261A">
        <w:t xml:space="preserve"> sabiedrībā, tādejādi nodrošinot iedzīvotāju prasmju atjaunošanos un attīstību atbilstoši </w:t>
      </w:r>
      <w:r w:rsidR="006F3C39">
        <w:t>aktuālajām</w:t>
      </w:r>
      <w:r w:rsidR="006F3C39" w:rsidRPr="0003261A">
        <w:t xml:space="preserve"> </w:t>
      </w:r>
      <w:r w:rsidR="00C57EF9" w:rsidRPr="0003261A">
        <w:t xml:space="preserve">darba tirgus </w:t>
      </w:r>
      <w:r w:rsidR="00FC2907">
        <w:t>vajadzībām</w:t>
      </w:r>
      <w:r w:rsidR="00C57EF9" w:rsidRPr="0003261A">
        <w:rPr>
          <w:szCs w:val="28"/>
        </w:rPr>
        <w:t>.</w:t>
      </w:r>
    </w:p>
    <w:p w14:paraId="3F9CA830" w14:textId="77777777" w:rsidR="00C57EF9" w:rsidRPr="0003261A" w:rsidRDefault="00FE4ECE" w:rsidP="17F6F9D0">
      <w:pPr>
        <w:numPr>
          <w:ilvl w:val="0"/>
          <w:numId w:val="11"/>
        </w:numPr>
        <w:spacing w:before="240" w:after="120"/>
        <w:ind w:left="924" w:hanging="357"/>
        <w:jc w:val="both"/>
        <w:rPr>
          <w:b/>
          <w:bCs/>
          <w:i/>
          <w:iCs/>
          <w:lang w:eastAsia="lv-LV"/>
        </w:rPr>
      </w:pPr>
      <w:r w:rsidRPr="17F6F9D0">
        <w:rPr>
          <w:b/>
          <w:bCs/>
          <w:i/>
          <w:iCs/>
          <w:lang w:eastAsia="lv-LV"/>
        </w:rPr>
        <w:t>Darba tirgus apsteidzošo pārkārtojumu sistēmas attīstība un stiprināšana:</w:t>
      </w:r>
    </w:p>
    <w:p w14:paraId="77ED1E96" w14:textId="232E8DC2" w:rsidR="00C57EF9" w:rsidRPr="0003261A" w:rsidRDefault="63118BA4" w:rsidP="00C57EF9">
      <w:pPr>
        <w:numPr>
          <w:ilvl w:val="0"/>
          <w:numId w:val="12"/>
        </w:numPr>
        <w:spacing w:before="120" w:after="120"/>
        <w:ind w:left="1208" w:hanging="284"/>
        <w:jc w:val="both"/>
      </w:pPr>
      <w:r w:rsidRPr="4398C881">
        <w:rPr>
          <w:lang w:eastAsia="lv-LV"/>
        </w:rPr>
        <w:t>turpināt ieviest jaunus darba tirgus apsteidzošo pārkārtojumu sistēmas elementus, par ko panākta vienošanās DTAPS projekta ietvaros, t.sk. kvalitatīvo prognožu platformas un reģionālu forumu izveide;</w:t>
      </w:r>
    </w:p>
    <w:p w14:paraId="5EBB68EF" w14:textId="77777777" w:rsidR="00C57EF9" w:rsidRPr="0003261A" w:rsidRDefault="00C57EF9" w:rsidP="00C57EF9">
      <w:pPr>
        <w:numPr>
          <w:ilvl w:val="0"/>
          <w:numId w:val="12"/>
        </w:numPr>
        <w:spacing w:before="120" w:after="120"/>
        <w:ind w:left="1208" w:hanging="284"/>
        <w:jc w:val="both"/>
      </w:pPr>
      <w:r w:rsidRPr="0003261A">
        <w:rPr>
          <w:szCs w:val="20"/>
          <w:lang w:eastAsia="lv-LV"/>
        </w:rPr>
        <w:t>stiprināt DTAPS iesaistīto pušu analītisko un pētniecisko kapacitāti;</w:t>
      </w:r>
    </w:p>
    <w:p w14:paraId="56B5902F" w14:textId="77777777" w:rsidR="00C57EF9" w:rsidRPr="0003261A" w:rsidRDefault="00C57EF9" w:rsidP="00C57EF9">
      <w:pPr>
        <w:numPr>
          <w:ilvl w:val="0"/>
          <w:numId w:val="12"/>
        </w:numPr>
        <w:spacing w:before="120" w:after="120"/>
        <w:ind w:left="1208" w:hanging="284"/>
        <w:jc w:val="both"/>
      </w:pPr>
      <w:r w:rsidRPr="0003261A">
        <w:rPr>
          <w:szCs w:val="20"/>
          <w:lang w:eastAsia="lv-LV"/>
        </w:rPr>
        <w:t>darba tirgus prognožu dimensiju un greizuma paplašināšana, paplašinot prognozes ar prasmju griezumu, kā arī detalizējot profesiju un izglītības griezumu dimensijas.</w:t>
      </w:r>
    </w:p>
    <w:p w14:paraId="77280F45" w14:textId="6DC6891F" w:rsidR="00C57EF9" w:rsidRPr="0003261A" w:rsidRDefault="00F73915" w:rsidP="4398C881">
      <w:pPr>
        <w:pStyle w:val="EnvelopeReturn"/>
        <w:spacing w:after="240"/>
        <w:jc w:val="both"/>
        <w:rPr>
          <w:rFonts w:ascii="Calibri Light" w:eastAsia="Calibri" w:hAnsi="Calibri Light"/>
          <w:b/>
          <w:bCs/>
        </w:rPr>
      </w:pPr>
      <w:r>
        <w:rPr>
          <w:rFonts w:ascii="Calibri Light" w:eastAsia="Calibri" w:hAnsi="Calibri Light"/>
          <w:b/>
          <w:bCs/>
        </w:rPr>
        <w:br/>
      </w:r>
      <w:r w:rsidR="63118BA4" w:rsidRPr="4398C881">
        <w:rPr>
          <w:rFonts w:ascii="Calibri Light" w:eastAsia="Calibri" w:hAnsi="Calibri Light"/>
          <w:b/>
          <w:bCs/>
        </w:rPr>
        <w:t>Vienlaikus, lai nodrošinātu ātrāku darbaspēka piedāvājuma pielāgošanos nākotnes darba tirgus vajadzībām, bez pasākumiem darbaspēka piedāvājuma uzlabošanai, būtiski ir stiprināt ražotāju konkurētspēju un veicināt tautsaimniecības pārstrukturizāciju no zemas uz vidēju un augstu tehnoloģiju nozarēm.</w:t>
      </w:r>
    </w:p>
    <w:p w14:paraId="6E3F180A" w14:textId="2A059F02" w:rsidR="00957AA7" w:rsidRDefault="00957AA7" w:rsidP="00957AA7">
      <w:pPr>
        <w:tabs>
          <w:tab w:val="right" w:pos="14742"/>
        </w:tabs>
        <w:rPr>
          <w:szCs w:val="24"/>
        </w:rPr>
      </w:pPr>
    </w:p>
    <w:p w14:paraId="34B1DD94" w14:textId="77777777" w:rsidR="007F5BC4" w:rsidRPr="0003261A" w:rsidRDefault="007F5BC4" w:rsidP="00957AA7">
      <w:pPr>
        <w:tabs>
          <w:tab w:val="right" w:pos="14742"/>
        </w:tabs>
        <w:rPr>
          <w:szCs w:val="24"/>
        </w:rPr>
      </w:pPr>
    </w:p>
    <w:p w14:paraId="0309514F" w14:textId="65EA9ACD" w:rsidR="002F5BD0" w:rsidRPr="002F5BD0" w:rsidRDefault="007F5BC4" w:rsidP="000C591A">
      <w:pPr>
        <w:tabs>
          <w:tab w:val="right" w:pos="14742"/>
        </w:tabs>
        <w:spacing w:after="0"/>
        <w:rPr>
          <w:szCs w:val="24"/>
        </w:rPr>
      </w:pPr>
      <w:r>
        <w:rPr>
          <w:szCs w:val="24"/>
        </w:rPr>
        <w:t>E</w:t>
      </w:r>
      <w:r w:rsidR="002F5BD0" w:rsidRPr="002F5BD0">
        <w:rPr>
          <w:szCs w:val="24"/>
        </w:rPr>
        <w:t>konomikas ministre</w:t>
      </w:r>
      <w:r w:rsidR="002F5BD0" w:rsidRPr="002F5BD0">
        <w:rPr>
          <w:szCs w:val="24"/>
        </w:rPr>
        <w:tab/>
      </w:r>
      <w:proofErr w:type="spellStart"/>
      <w:r w:rsidR="002F5BD0" w:rsidRPr="002F5BD0">
        <w:rPr>
          <w:szCs w:val="24"/>
        </w:rPr>
        <w:t>I.Indriksone</w:t>
      </w:r>
      <w:proofErr w:type="spellEnd"/>
    </w:p>
    <w:p w14:paraId="48C29497" w14:textId="77777777" w:rsidR="002F5BD0" w:rsidRPr="002F5BD0" w:rsidRDefault="002F5BD0" w:rsidP="002F5BD0">
      <w:pPr>
        <w:tabs>
          <w:tab w:val="right" w:pos="14742"/>
        </w:tabs>
        <w:rPr>
          <w:szCs w:val="24"/>
        </w:rPr>
      </w:pPr>
    </w:p>
    <w:sectPr w:rsidR="002F5BD0" w:rsidRPr="002F5BD0" w:rsidSect="00044A89">
      <w:footerReference w:type="default" r:id="rId202"/>
      <w:footerReference w:type="first" r:id="rId203"/>
      <w:footnotePr>
        <w:numRestart w:val="eachPage"/>
      </w:footnotePr>
      <w:pgSz w:w="11906" w:h="16838" w:code="9"/>
      <w:pgMar w:top="1134" w:right="1134" w:bottom="1134" w:left="1701" w:header="567" w:footer="68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84688" w14:textId="77777777" w:rsidR="00971ADA" w:rsidRDefault="00971ADA" w:rsidP="00826C45">
      <w:pPr>
        <w:spacing w:after="0"/>
      </w:pPr>
      <w:r>
        <w:separator/>
      </w:r>
    </w:p>
    <w:p w14:paraId="4866D3BB" w14:textId="77777777" w:rsidR="00971ADA" w:rsidRDefault="00971ADA"/>
  </w:endnote>
  <w:endnote w:type="continuationSeparator" w:id="0">
    <w:p w14:paraId="385E3A16" w14:textId="77777777" w:rsidR="00971ADA" w:rsidRDefault="00971ADA" w:rsidP="00826C45">
      <w:pPr>
        <w:spacing w:after="0"/>
      </w:pPr>
      <w:r>
        <w:continuationSeparator/>
      </w:r>
    </w:p>
    <w:p w14:paraId="11E73895" w14:textId="77777777" w:rsidR="00971ADA" w:rsidRDefault="00971ADA"/>
  </w:endnote>
  <w:endnote w:type="continuationNotice" w:id="1">
    <w:p w14:paraId="3842C705" w14:textId="77777777" w:rsidR="00971ADA" w:rsidRDefault="00971A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F Square Sans Pro">
    <w:altName w:val="Arial"/>
    <w:panose1 w:val="00000000000000000000"/>
    <w:charset w:val="00"/>
    <w:family w:val="swiss"/>
    <w:notTrueType/>
    <w:pitch w:val="default"/>
    <w:sig w:usb0="00000003" w:usb1="00000000" w:usb2="00000000" w:usb3="00000000" w:csb0="00000001" w:csb1="00000000"/>
  </w:font>
  <w:font w:name="Gill Sans Nova Cond Lt">
    <w:altName w:val="Gill Sans Nova Cond Lt"/>
    <w:charset w:val="00"/>
    <w:family w:val="swiss"/>
    <w:pitch w:val="variable"/>
    <w:sig w:usb0="80000287" w:usb1="00000002" w:usb2="00000000" w:usb3="00000000" w:csb0="0000009F" w:csb1="00000000"/>
  </w:font>
  <w:font w:name="Segoe UI Light">
    <w:panose1 w:val="020B0502040204020203"/>
    <w:charset w:val="BA"/>
    <w:family w:val="swiss"/>
    <w:pitch w:val="variable"/>
    <w:sig w:usb0="E4002EFF" w:usb1="C000E47F" w:usb2="00000009" w:usb3="00000000" w:csb0="000001FF" w:csb1="00000000"/>
  </w:font>
  <w:font w:name="Segoe UI">
    <w:panose1 w:val="020B0502040204020203"/>
    <w:charset w:val="BA"/>
    <w:family w:val="swiss"/>
    <w:pitch w:val="variable"/>
    <w:sig w:usb0="E4002EFF" w:usb1="C000E47F" w:usb2="00000009" w:usb3="00000000" w:csb0="000001FF" w:csb1="00000000"/>
  </w:font>
  <w:font w:name="Candara">
    <w:panose1 w:val="020E0502030303020204"/>
    <w:charset w:val="BA"/>
    <w:family w:val="swiss"/>
    <w:pitch w:val="variable"/>
    <w:sig w:usb0="A00002EF" w:usb1="4000A44B" w:usb2="00000000" w:usb3="00000000" w:csb0="0000019F" w:csb1="00000000"/>
  </w:font>
  <w:font w:name="Verdana Pro Cond Light">
    <w:charset w:val="00"/>
    <w:family w:val="swiss"/>
    <w:pitch w:val="variable"/>
    <w:sig w:usb0="80000287" w:usb1="0000004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Segoe UI Semilight">
    <w:panose1 w:val="020B04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emibold">
    <w:panose1 w:val="020B07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GothicNeo Light">
    <w:charset w:val="81"/>
    <w:family w:val="swiss"/>
    <w:pitch w:val="variable"/>
    <w:sig w:usb0="810002BF" w:usb1="29D7A47B" w:usb2="00000010" w:usb3="00000000" w:csb0="0029009F" w:csb1="00000000"/>
  </w:font>
  <w:font w:name="Palatino Linotype">
    <w:panose1 w:val="02040502050505030304"/>
    <w:charset w:val="BA"/>
    <w:family w:val="roman"/>
    <w:pitch w:val="variable"/>
    <w:sig w:usb0="E0000287" w:usb1="40000013" w:usb2="0000000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973731"/>
      <w:docPartObj>
        <w:docPartGallery w:val="Page Numbers (Bottom of Page)"/>
        <w:docPartUnique/>
      </w:docPartObj>
    </w:sdtPr>
    <w:sdtEndPr>
      <w:rPr>
        <w:noProof/>
      </w:rPr>
    </w:sdtEndPr>
    <w:sdtContent>
      <w:p w14:paraId="231DFEE9" w14:textId="490EE677" w:rsidR="005A28CF" w:rsidRPr="003505A6" w:rsidRDefault="005A28CF">
        <w:pPr>
          <w:pStyle w:val="Footer"/>
          <w:jc w:val="right"/>
        </w:pPr>
        <w:r w:rsidRPr="003505A6">
          <w:fldChar w:fldCharType="begin"/>
        </w:r>
        <w:r w:rsidRPr="003505A6">
          <w:instrText xml:space="preserve"> PAGE   \* MERGEFORMAT </w:instrText>
        </w:r>
        <w:r w:rsidRPr="003505A6">
          <w:fldChar w:fldCharType="separate"/>
        </w:r>
        <w:r w:rsidRPr="003505A6">
          <w:rPr>
            <w:noProof/>
          </w:rPr>
          <w:t>2</w:t>
        </w:r>
        <w:r w:rsidRPr="003505A6">
          <w:rPr>
            <w:noProof/>
          </w:rPr>
          <w:fldChar w:fldCharType="end"/>
        </w:r>
      </w:p>
    </w:sdtContent>
  </w:sdt>
  <w:p w14:paraId="18D13A5D" w14:textId="17FE5C26" w:rsidR="005A28CF" w:rsidRDefault="005A28CF">
    <w:pPr>
      <w:pStyle w:val="Footer"/>
    </w:pPr>
    <w:r>
      <w:rPr>
        <w:rFonts w:ascii="Segoe UI Light" w:hAnsi="Segoe UI Light"/>
        <w:sz w:val="16"/>
        <w:szCs w:val="16"/>
      </w:rPr>
      <w:t>EMZino_</w:t>
    </w:r>
    <w:r w:rsidR="00A94648">
      <w:rPr>
        <w:rFonts w:ascii="Segoe UI Light" w:hAnsi="Segoe UI Light"/>
        <w:sz w:val="16"/>
        <w:szCs w:val="16"/>
      </w:rPr>
      <w:t>01</w:t>
    </w:r>
    <w:r w:rsidR="00033629">
      <w:rPr>
        <w:rFonts w:ascii="Segoe UI Light" w:hAnsi="Segoe UI Light"/>
        <w:sz w:val="16"/>
        <w:szCs w:val="16"/>
      </w:rPr>
      <w:t>0</w:t>
    </w:r>
    <w:r w:rsidR="00A94648">
      <w:rPr>
        <w:rFonts w:ascii="Segoe UI Light" w:hAnsi="Segoe UI Light"/>
        <w:sz w:val="16"/>
        <w:szCs w:val="16"/>
      </w:rPr>
      <w:t>7</w:t>
    </w:r>
    <w:r>
      <w:rPr>
        <w:rFonts w:ascii="Segoe UI Light" w:hAnsi="Segoe UI Light"/>
        <w:sz w:val="16"/>
        <w:szCs w:val="16"/>
      </w:rPr>
      <w:t>2022; Informatīvais ziņojums par darba tirgus vidēja un ilgtermiņa prognozēm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E9FE" w14:textId="6716AA38" w:rsidR="005A28CF" w:rsidRDefault="005A28CF">
    <w:pPr>
      <w:pStyle w:val="Footer"/>
      <w:jc w:val="right"/>
    </w:pPr>
  </w:p>
  <w:p w14:paraId="64AE075A" w14:textId="77777777" w:rsidR="005A28CF" w:rsidRDefault="005A2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7166" w14:textId="77777777" w:rsidR="00971ADA" w:rsidRDefault="00971ADA" w:rsidP="00C20CFD">
      <w:pPr>
        <w:spacing w:after="0"/>
      </w:pPr>
      <w:r>
        <w:separator/>
      </w:r>
    </w:p>
  </w:footnote>
  <w:footnote w:type="continuationSeparator" w:id="0">
    <w:p w14:paraId="64207516" w14:textId="77777777" w:rsidR="00971ADA" w:rsidRDefault="00971ADA" w:rsidP="00826C45">
      <w:pPr>
        <w:spacing w:after="0"/>
      </w:pPr>
      <w:r>
        <w:continuationSeparator/>
      </w:r>
    </w:p>
    <w:p w14:paraId="4C38B405" w14:textId="77777777" w:rsidR="00971ADA" w:rsidRDefault="00971ADA"/>
  </w:footnote>
  <w:footnote w:type="continuationNotice" w:id="1">
    <w:p w14:paraId="73CE97DE" w14:textId="77777777" w:rsidR="00971ADA" w:rsidRDefault="00971ADA">
      <w:pPr>
        <w:spacing w:after="0"/>
      </w:pPr>
    </w:p>
  </w:footnote>
  <w:footnote w:id="2">
    <w:p w14:paraId="318A52B7" w14:textId="18C98194" w:rsidR="005A28CF" w:rsidRPr="004A62C0" w:rsidRDefault="005A28CF" w:rsidP="00CE325A">
      <w:pPr>
        <w:pStyle w:val="FootnoteText"/>
        <w:ind w:left="142" w:hanging="142"/>
        <w:jc w:val="both"/>
        <w:rPr>
          <w:rFonts w:cs="Calibri Light"/>
          <w:sz w:val="12"/>
          <w:szCs w:val="12"/>
          <w:lang w:val="lv-LV"/>
        </w:rPr>
      </w:pPr>
      <w:r w:rsidRPr="004A62C0">
        <w:rPr>
          <w:rStyle w:val="FootnoteReference"/>
          <w:rFonts w:cs="Calibri Light"/>
          <w:sz w:val="12"/>
          <w:szCs w:val="12"/>
          <w:lang w:val="lv-LV"/>
        </w:rPr>
        <w:footnoteRef/>
      </w:r>
      <w:r w:rsidRPr="004A62C0">
        <w:rPr>
          <w:rFonts w:cs="Calibri Light"/>
          <w:sz w:val="12"/>
          <w:szCs w:val="12"/>
          <w:lang w:val="lv-LV"/>
        </w:rPr>
        <w:tab/>
        <w:t>ULC ir attiecība starp darbaspēka izmaksām un produktivitāti. Ja produktivitāte aug straujāk par algām, tad ULC samazinās, kas liecina par valsts izmaksu konkurētspēja</w:t>
      </w:r>
      <w:r w:rsidR="00227230">
        <w:rPr>
          <w:rFonts w:cs="Calibri Light"/>
          <w:sz w:val="12"/>
          <w:szCs w:val="12"/>
          <w:lang w:val="lv-LV"/>
        </w:rPr>
        <w:t>s</w:t>
      </w:r>
      <w:r w:rsidRPr="004A62C0">
        <w:rPr>
          <w:rFonts w:cs="Calibri Light"/>
          <w:sz w:val="12"/>
          <w:szCs w:val="12"/>
          <w:lang w:val="lv-LV"/>
        </w:rPr>
        <w:t xml:space="preserve"> palielinā</w:t>
      </w:r>
      <w:r w:rsidR="00227230">
        <w:rPr>
          <w:rFonts w:cs="Calibri Light"/>
          <w:sz w:val="12"/>
          <w:szCs w:val="12"/>
          <w:lang w:val="lv-LV"/>
        </w:rPr>
        <w:t>šanos</w:t>
      </w:r>
      <w:r w:rsidRPr="004A62C0">
        <w:rPr>
          <w:rFonts w:cs="Calibri Light"/>
          <w:sz w:val="12"/>
          <w:szCs w:val="12"/>
          <w:lang w:val="lv-LV"/>
        </w:rPr>
        <w:t>, un otrādi.</w:t>
      </w:r>
    </w:p>
  </w:footnote>
  <w:footnote w:id="3">
    <w:p w14:paraId="3ACC3AA9" w14:textId="02C01085" w:rsidR="005A28CF" w:rsidRPr="00DA1677" w:rsidRDefault="005A28CF" w:rsidP="0087629E">
      <w:pPr>
        <w:pStyle w:val="FootnoteText"/>
        <w:ind w:left="142" w:hanging="142"/>
        <w:jc w:val="both"/>
        <w:rPr>
          <w:rFonts w:cs="Calibri Light"/>
          <w:sz w:val="12"/>
          <w:szCs w:val="12"/>
          <w:lang w:val="lv-LV"/>
        </w:rPr>
      </w:pPr>
      <w:r w:rsidRPr="00DA1677">
        <w:rPr>
          <w:rStyle w:val="FootnoteReference"/>
          <w:rFonts w:cs="Calibri Light"/>
          <w:sz w:val="12"/>
          <w:szCs w:val="12"/>
        </w:rPr>
        <w:footnoteRef/>
      </w:r>
      <w:r w:rsidRPr="00DA1677">
        <w:rPr>
          <w:rFonts w:cs="Calibri Light"/>
          <w:sz w:val="12"/>
          <w:szCs w:val="12"/>
          <w:lang w:val="lv-LV"/>
        </w:rPr>
        <w:tab/>
        <w:t xml:space="preserve">Izglītības attīstības pamatnostādnes 2014.-2020. gadam pieejamas: </w:t>
      </w:r>
      <w:hyperlink r:id="rId1" w:history="1">
        <w:r w:rsidRPr="00DA1677">
          <w:rPr>
            <w:rStyle w:val="Hyperlink"/>
            <w:rFonts w:eastAsia="Calibri" w:cs="Calibri Light"/>
            <w:sz w:val="12"/>
            <w:szCs w:val="12"/>
            <w:lang w:val="lv-LV"/>
          </w:rPr>
          <w:t>https://likumi.lv/ta/id/266406-par-izglitibas-attistibas-pamatnostadnu-20142020gadam-apstiprinasanu</w:t>
        </w:r>
      </w:hyperlink>
      <w:r w:rsidRPr="00DA1677">
        <w:rPr>
          <w:rFonts w:cs="Calibri Light"/>
          <w:sz w:val="12"/>
          <w:szCs w:val="12"/>
          <w:lang w:val="lv-LV"/>
        </w:rPr>
        <w:t xml:space="preserve"> </w:t>
      </w:r>
    </w:p>
  </w:footnote>
  <w:footnote w:id="4">
    <w:p w14:paraId="4F300593" w14:textId="5AAEE6FC" w:rsidR="005A28CF" w:rsidRPr="003A70B1" w:rsidRDefault="005A28CF" w:rsidP="009C3742">
      <w:pPr>
        <w:pStyle w:val="FootnoteText"/>
        <w:ind w:left="142" w:hanging="142"/>
        <w:rPr>
          <w:rFonts w:eastAsia="Calibri" w:cs="Calibri Light"/>
          <w:sz w:val="12"/>
          <w:szCs w:val="12"/>
          <w:lang w:val="lv-LV"/>
        </w:rPr>
      </w:pPr>
      <w:r w:rsidRPr="003A70B1">
        <w:rPr>
          <w:rStyle w:val="FootnoteReference"/>
          <w:rFonts w:eastAsia="Calibri" w:cs="Calibri Light"/>
          <w:sz w:val="12"/>
          <w:szCs w:val="12"/>
        </w:rPr>
        <w:footnoteRef/>
      </w:r>
      <w:r w:rsidRPr="003A70B1">
        <w:rPr>
          <w:rFonts w:eastAsia="Calibri" w:cs="Calibri Light"/>
          <w:sz w:val="12"/>
          <w:szCs w:val="12"/>
          <w:lang w:val="lv-LV"/>
        </w:rPr>
        <w:tab/>
      </w:r>
      <w:hyperlink r:id="rId2" w:history="1">
        <w:r w:rsidRPr="003A70B1">
          <w:rPr>
            <w:rStyle w:val="Hyperlink"/>
            <w:rFonts w:eastAsia="Calibri" w:cs="Calibri Light"/>
            <w:sz w:val="12"/>
            <w:szCs w:val="12"/>
            <w:lang w:val="lv-LV"/>
          </w:rPr>
          <w:t>http://muzizglitiba.gov.lv/sites/default/files/Pieauguso_izglitibas_aptaujas_rezultati%202019%20LDDK%20IZM.pdf</w:t>
        </w:r>
      </w:hyperlink>
      <w:r w:rsidRPr="003A70B1">
        <w:rPr>
          <w:rFonts w:eastAsia="Calibri" w:cs="Calibri Light"/>
          <w:sz w:val="12"/>
          <w:szCs w:val="12"/>
          <w:lang w:val="lv-LV"/>
        </w:rPr>
        <w:t xml:space="preserve"> </w:t>
      </w:r>
    </w:p>
  </w:footnote>
  <w:footnote w:id="5">
    <w:p w14:paraId="0052B65E" w14:textId="13992E40" w:rsidR="005A28CF" w:rsidRPr="003A70B1" w:rsidRDefault="005A28CF" w:rsidP="009C3742">
      <w:pPr>
        <w:pStyle w:val="FootnoteText"/>
        <w:ind w:left="142" w:hanging="142"/>
        <w:rPr>
          <w:rFonts w:eastAsia="Calibri" w:cs="Calibri Light"/>
          <w:color w:val="0000FF" w:themeColor="hyperlink"/>
          <w:sz w:val="12"/>
          <w:szCs w:val="12"/>
          <w:u w:val="single"/>
          <w:lang w:val="lv-LV"/>
        </w:rPr>
      </w:pPr>
      <w:r w:rsidRPr="003A70B1">
        <w:rPr>
          <w:rStyle w:val="FootnoteReference"/>
          <w:rFonts w:eastAsia="Calibri" w:cs="Calibri Light"/>
          <w:sz w:val="12"/>
          <w:szCs w:val="12"/>
        </w:rPr>
        <w:footnoteRef/>
      </w:r>
      <w:r w:rsidRPr="003A70B1">
        <w:rPr>
          <w:rFonts w:cs="Calibri Light"/>
          <w:sz w:val="12"/>
          <w:szCs w:val="12"/>
          <w:lang w:val="lv-LV"/>
        </w:rPr>
        <w:tab/>
      </w:r>
      <w:hyperlink r:id="rId3" w:history="1">
        <w:r w:rsidRPr="003A70B1">
          <w:rPr>
            <w:rStyle w:val="Hyperlink"/>
            <w:rFonts w:eastAsia="Calibri" w:cs="Calibri Light"/>
            <w:sz w:val="12"/>
            <w:szCs w:val="12"/>
            <w:lang w:val="lv-LV"/>
          </w:rPr>
          <w:t>https://www.oecd-ilibrary.org/education/oecd-skills-strategy-latvia_74fe3bf8-en</w:t>
        </w:r>
      </w:hyperlink>
      <w:r w:rsidRPr="003A70B1">
        <w:rPr>
          <w:rStyle w:val="Hyperlink"/>
          <w:rFonts w:eastAsia="Calibri" w:cs="Calibri Light"/>
          <w:sz w:val="12"/>
          <w:szCs w:val="12"/>
          <w:lang w:val="lv-LV"/>
        </w:rPr>
        <w:t xml:space="preserve"> </w:t>
      </w:r>
    </w:p>
  </w:footnote>
  <w:footnote w:id="6">
    <w:p w14:paraId="2294E1AF" w14:textId="77777777" w:rsidR="00927285" w:rsidRPr="00927285" w:rsidRDefault="00927285" w:rsidP="00927285">
      <w:pPr>
        <w:spacing w:after="0"/>
        <w:rPr>
          <w:rFonts w:cs="Calibri Light"/>
          <w:color w:val="498205"/>
          <w:sz w:val="12"/>
          <w:szCs w:val="12"/>
          <w:u w:val="single"/>
        </w:rPr>
      </w:pPr>
      <w:r w:rsidRPr="00927285">
        <w:rPr>
          <w:rFonts w:cs="Calibri Light"/>
          <w:sz w:val="12"/>
          <w:szCs w:val="12"/>
          <w:vertAlign w:val="superscript"/>
        </w:rPr>
        <w:footnoteRef/>
      </w:r>
      <w:r w:rsidRPr="00927285">
        <w:rPr>
          <w:rFonts w:cs="Calibri Light"/>
          <w:sz w:val="12"/>
          <w:szCs w:val="12"/>
        </w:rPr>
        <w:t xml:space="preserve"> </w:t>
      </w:r>
      <w:hyperlink r:id="rId4" w:history="1">
        <w:r w:rsidRPr="00927285">
          <w:rPr>
            <w:rStyle w:val="Hyperlink"/>
            <w:rFonts w:eastAsia="Calibri Light" w:cs="Calibri Light"/>
            <w:sz w:val="12"/>
            <w:szCs w:val="12"/>
          </w:rPr>
          <w:t>https://www.oecd.org/skills/latvia-employers-report-2022.pdf</w:t>
        </w:r>
      </w:hyperlink>
    </w:p>
  </w:footnote>
  <w:footnote w:id="7">
    <w:p w14:paraId="57233845" w14:textId="1D13BD06" w:rsidR="005A28CF" w:rsidRPr="00927285" w:rsidRDefault="005A28CF" w:rsidP="00927285">
      <w:pPr>
        <w:pStyle w:val="FootnoteText1"/>
        <w:jc w:val="both"/>
        <w:rPr>
          <w:rFonts w:ascii="Calibri Light" w:hAnsi="Calibri Light" w:cs="Calibri Light"/>
          <w:sz w:val="12"/>
          <w:szCs w:val="12"/>
        </w:rPr>
      </w:pPr>
      <w:r w:rsidRPr="00927285">
        <w:rPr>
          <w:rStyle w:val="FootnoteReference"/>
          <w:rFonts w:ascii="Calibri Light" w:hAnsi="Calibri Light" w:cs="Calibri Light"/>
          <w:sz w:val="12"/>
          <w:szCs w:val="12"/>
        </w:rPr>
        <w:footnoteRef/>
      </w:r>
      <w:r w:rsidRPr="00927285">
        <w:rPr>
          <w:rFonts w:ascii="Calibri Light" w:hAnsi="Calibri Light" w:cs="Calibri Light"/>
          <w:sz w:val="12"/>
          <w:szCs w:val="12"/>
        </w:rPr>
        <w:t xml:space="preserve"> </w:t>
      </w:r>
      <w:hyperlink r:id="rId5" w:history="1">
        <w:r w:rsidRPr="00927285">
          <w:rPr>
            <w:rStyle w:val="Hyperlink"/>
            <w:rFonts w:ascii="Calibri Light" w:hAnsi="Calibri Light" w:cs="Calibri Light"/>
            <w:sz w:val="12"/>
            <w:szCs w:val="12"/>
          </w:rPr>
          <w:t>https://www.saeima.lv/petijumi/Pieauguso_izglitiba_petijums.pdf</w:t>
        </w:r>
      </w:hyperlink>
      <w:r w:rsidRPr="00927285">
        <w:rPr>
          <w:rFonts w:ascii="Calibri Light" w:hAnsi="Calibri Light" w:cs="Calibri Light"/>
          <w:color w:val="0000FF" w:themeColor="hyperlink"/>
          <w:sz w:val="12"/>
          <w:szCs w:val="12"/>
          <w:u w:val="single"/>
        </w:rPr>
        <w:t xml:space="preserve"> </w:t>
      </w:r>
    </w:p>
  </w:footnote>
  <w:footnote w:id="8">
    <w:p w14:paraId="6D5F9760" w14:textId="0485D39C" w:rsidR="005A28CF" w:rsidRPr="003A70B1" w:rsidRDefault="005A28CF" w:rsidP="00927285">
      <w:pPr>
        <w:spacing w:after="0"/>
        <w:ind w:left="142" w:hanging="142"/>
        <w:rPr>
          <w:rFonts w:eastAsia="Batang" w:cs="Calibri Light"/>
          <w:color w:val="000000" w:themeColor="text1"/>
          <w:sz w:val="12"/>
          <w:szCs w:val="12"/>
        </w:rPr>
      </w:pPr>
      <w:r w:rsidRPr="003A70B1">
        <w:rPr>
          <w:rFonts w:eastAsia="Batang" w:cs="Calibri Light"/>
          <w:color w:val="000000" w:themeColor="text1"/>
          <w:sz w:val="12"/>
          <w:szCs w:val="12"/>
          <w:vertAlign w:val="superscript"/>
        </w:rPr>
        <w:footnoteRef/>
      </w:r>
      <w:r w:rsidRPr="003A70B1">
        <w:rPr>
          <w:rFonts w:eastAsia="Batang" w:cs="Calibri Light"/>
          <w:color w:val="000000" w:themeColor="text1"/>
          <w:sz w:val="12"/>
          <w:szCs w:val="12"/>
          <w:vertAlign w:val="superscript"/>
        </w:rPr>
        <w:tab/>
      </w:r>
      <w:r w:rsidRPr="003A70B1">
        <w:rPr>
          <w:rFonts w:eastAsia="Batang" w:cs="Calibri Light"/>
          <w:color w:val="000000" w:themeColor="text1"/>
          <w:sz w:val="12"/>
          <w:szCs w:val="12"/>
        </w:rPr>
        <w:t xml:space="preserve">Darba tirgus pieprasījuma ilgtermiņa prognozēšanas sistēmas izpēte un pilnveidošanas iespēju analīze. LR LM: Rīga, 2007, </w:t>
      </w:r>
      <w:hyperlink r:id="rId6" w:history="1">
        <w:r w:rsidRPr="003A70B1">
          <w:rPr>
            <w:rStyle w:val="Hyperlink"/>
            <w:rFonts w:cs="Calibri Light"/>
            <w:sz w:val="12"/>
            <w:szCs w:val="12"/>
          </w:rPr>
          <w:t>http://www.lm.gov.lv/upload/darba_tirgus/darba_tirgus/petijumi/ilgtermina_prognozesana.pdf</w:t>
        </w:r>
      </w:hyperlink>
    </w:p>
  </w:footnote>
  <w:footnote w:id="9">
    <w:p w14:paraId="073F297A" w14:textId="48BE7FC4" w:rsidR="005A28CF" w:rsidRPr="003A70B1" w:rsidRDefault="005A28CF" w:rsidP="00927285">
      <w:pPr>
        <w:spacing w:after="0"/>
        <w:ind w:left="142" w:hanging="142"/>
        <w:rPr>
          <w:rFonts w:eastAsia="Batang" w:cs="Calibri Light"/>
          <w:color w:val="000000" w:themeColor="text1"/>
          <w:sz w:val="12"/>
          <w:szCs w:val="12"/>
        </w:rPr>
      </w:pPr>
      <w:r w:rsidRPr="003A70B1">
        <w:rPr>
          <w:rFonts w:eastAsia="Batang" w:cs="Calibri Light"/>
          <w:color w:val="000000" w:themeColor="text1"/>
          <w:sz w:val="12"/>
          <w:szCs w:val="12"/>
          <w:vertAlign w:val="superscript"/>
        </w:rPr>
        <w:footnoteRef/>
      </w:r>
      <w:r w:rsidRPr="003A70B1">
        <w:rPr>
          <w:rFonts w:eastAsia="Batang" w:cs="Calibri Light"/>
          <w:color w:val="000000" w:themeColor="text1"/>
          <w:sz w:val="12"/>
          <w:szCs w:val="12"/>
          <w:vertAlign w:val="superscript"/>
        </w:rPr>
        <w:tab/>
      </w:r>
      <w:r w:rsidRPr="003A70B1">
        <w:rPr>
          <w:rFonts w:eastAsia="Batang" w:cs="Calibri Light"/>
          <w:color w:val="000000" w:themeColor="text1"/>
          <w:sz w:val="12"/>
          <w:szCs w:val="12"/>
        </w:rPr>
        <w:t xml:space="preserve">Plašāk ar darba tirgus prognozēšanas modeli var iepazīties Latvijas darba tirgus vidēja un ilgtermiņa prognozēšanas un politikas analīzes modeļa tehniskajā dokumentācijā. </w:t>
      </w:r>
      <w:hyperlink r:id="rId7" w:history="1">
        <w:r w:rsidRPr="003A70B1">
          <w:rPr>
            <w:rStyle w:val="Hyperlink"/>
            <w:rFonts w:cs="Calibri Light"/>
            <w:sz w:val="12"/>
            <w:szCs w:val="12"/>
          </w:rPr>
          <w:t>https://www.em.gov.lv/files/tautsaimniecibas_attistiba/Dokumentacija_Lat.pdf</w:t>
        </w:r>
      </w:hyperlink>
    </w:p>
  </w:footnote>
  <w:footnote w:id="10">
    <w:p w14:paraId="1D26DA81" w14:textId="77777777" w:rsidR="005A28CF" w:rsidRPr="003A70B1" w:rsidRDefault="005A28CF" w:rsidP="00927285">
      <w:pPr>
        <w:pStyle w:val="FootnoteText"/>
        <w:ind w:left="142" w:hanging="142"/>
        <w:rPr>
          <w:rFonts w:cs="Calibri Light"/>
          <w:sz w:val="12"/>
          <w:szCs w:val="12"/>
          <w:lang w:val="lv-LV"/>
        </w:rPr>
      </w:pPr>
      <w:r w:rsidRPr="003A70B1">
        <w:rPr>
          <w:rStyle w:val="FootnoteReference"/>
          <w:rFonts w:cs="Calibri Light"/>
          <w:sz w:val="12"/>
          <w:szCs w:val="12"/>
          <w:lang w:val="lv-LV"/>
        </w:rPr>
        <w:footnoteRef/>
      </w:r>
      <w:r w:rsidRPr="003A70B1">
        <w:rPr>
          <w:rFonts w:cs="Calibri Light"/>
          <w:sz w:val="12"/>
          <w:szCs w:val="12"/>
          <w:lang w:val="lv-LV"/>
        </w:rPr>
        <w:tab/>
      </w:r>
      <w:r w:rsidRPr="003A70B1">
        <w:rPr>
          <w:rFonts w:eastAsia="Batang" w:cs="Calibri Light"/>
          <w:color w:val="000000" w:themeColor="text1"/>
          <w:sz w:val="12"/>
          <w:szCs w:val="12"/>
          <w:lang w:val="lv-LV"/>
        </w:rPr>
        <w:t xml:space="preserve">Pētījuma </w:t>
      </w:r>
      <w:r w:rsidRPr="003A70B1">
        <w:rPr>
          <w:rFonts w:cs="Calibri Light"/>
          <w:iCs/>
          <w:sz w:val="12"/>
          <w:szCs w:val="12"/>
          <w:lang w:val="lv-LV"/>
        </w:rPr>
        <w:t>„</w:t>
      </w:r>
      <w:r w:rsidRPr="003A70B1">
        <w:rPr>
          <w:rFonts w:eastAsia="Batang" w:cs="Calibri Light"/>
          <w:color w:val="000000" w:themeColor="text1"/>
          <w:sz w:val="12"/>
          <w:szCs w:val="12"/>
          <w:lang w:val="lv-LV"/>
        </w:rPr>
        <w:t xml:space="preserve">Darba tirgus apsteidzošo pārkārtojumu sistēmas izveides iespējas un vidēja un ilgtermiņa darba tirgus prognožu sasaiste ar </w:t>
      </w:r>
      <w:proofErr w:type="spellStart"/>
      <w:r w:rsidRPr="003A70B1">
        <w:rPr>
          <w:rFonts w:eastAsia="Batang" w:cs="Calibri Light"/>
          <w:color w:val="000000" w:themeColor="text1"/>
          <w:sz w:val="12"/>
          <w:szCs w:val="12"/>
          <w:lang w:val="lv-LV"/>
        </w:rPr>
        <w:t>rīcībpolitiku</w:t>
      </w:r>
      <w:proofErr w:type="spellEnd"/>
      <w:r w:rsidRPr="003A70B1">
        <w:rPr>
          <w:rFonts w:eastAsia="Batang" w:cs="Calibri Light"/>
          <w:color w:val="000000" w:themeColor="text1"/>
          <w:sz w:val="12"/>
          <w:szCs w:val="12"/>
          <w:lang w:val="lv-LV"/>
        </w:rPr>
        <w:t xml:space="preserve">” gala ziņojums: </w:t>
      </w:r>
      <w:hyperlink r:id="rId8" w:history="1">
        <w:r w:rsidRPr="003A70B1">
          <w:rPr>
            <w:rStyle w:val="Hyperlink"/>
            <w:rFonts w:eastAsia="Batang" w:cs="Calibri Light"/>
            <w:sz w:val="12"/>
            <w:szCs w:val="12"/>
            <w:lang w:val="lv-LV"/>
          </w:rPr>
          <w:t>https://em.gov.lv/files/attachments/DarbaTirgus_Gala%20zinojums.pdf</w:t>
        </w:r>
      </w:hyperlink>
    </w:p>
  </w:footnote>
  <w:footnote w:id="11">
    <w:p w14:paraId="45AE118D" w14:textId="2DC02AE6" w:rsidR="005A28CF" w:rsidRPr="00C67918" w:rsidRDefault="005A28CF" w:rsidP="00417159">
      <w:pPr>
        <w:pStyle w:val="FootnoteText"/>
        <w:ind w:left="142" w:hanging="142"/>
        <w:rPr>
          <w:rFonts w:cs="Calibri Light"/>
          <w:sz w:val="12"/>
          <w:szCs w:val="12"/>
          <w:lang w:val="lv-LV"/>
        </w:rPr>
      </w:pPr>
      <w:r w:rsidRPr="00C67918">
        <w:rPr>
          <w:rStyle w:val="FootnoteReference"/>
          <w:rFonts w:cs="Calibri Light"/>
          <w:sz w:val="12"/>
          <w:szCs w:val="12"/>
        </w:rPr>
        <w:footnoteRef/>
      </w:r>
      <w:r w:rsidRPr="00C67918">
        <w:rPr>
          <w:rFonts w:cs="Calibri Light"/>
          <w:sz w:val="12"/>
          <w:szCs w:val="12"/>
          <w:lang w:val="lv-LV"/>
        </w:rPr>
        <w:tab/>
      </w:r>
      <w:hyperlink r:id="rId9" w:history="1">
        <w:r w:rsidRPr="00C67918">
          <w:rPr>
            <w:rStyle w:val="Hyperlink"/>
            <w:rFonts w:cs="Calibri Light"/>
            <w:sz w:val="12"/>
            <w:szCs w:val="12"/>
            <w:lang w:val="lv-LV"/>
          </w:rPr>
          <w:t>https://pkc.gov.lv/lv/valsts-attistibas-planosana/latvijas-ilgtspejigas-attistibas-strategija</w:t>
        </w:r>
      </w:hyperlink>
      <w:r w:rsidRPr="00C67918">
        <w:rPr>
          <w:rFonts w:cs="Calibri Light"/>
          <w:sz w:val="12"/>
          <w:szCs w:val="12"/>
          <w:lang w:val="lv-LV"/>
        </w:rPr>
        <w:t xml:space="preserve">  </w:t>
      </w:r>
    </w:p>
  </w:footnote>
  <w:footnote w:id="12">
    <w:p w14:paraId="41E422F7" w14:textId="33F591A4" w:rsidR="005A28CF" w:rsidRPr="00C67918" w:rsidRDefault="005A28CF" w:rsidP="00417159">
      <w:pPr>
        <w:pStyle w:val="FootnoteText"/>
        <w:ind w:left="142" w:hanging="142"/>
        <w:rPr>
          <w:rFonts w:cs="Calibri Light"/>
          <w:sz w:val="12"/>
          <w:szCs w:val="12"/>
          <w:lang w:val="lv-LV"/>
        </w:rPr>
      </w:pPr>
      <w:r w:rsidRPr="00C67918">
        <w:rPr>
          <w:rStyle w:val="FootnoteReference"/>
          <w:rFonts w:cs="Calibri Light"/>
          <w:sz w:val="12"/>
          <w:szCs w:val="12"/>
        </w:rPr>
        <w:footnoteRef/>
      </w:r>
      <w:r w:rsidRPr="00C67918">
        <w:rPr>
          <w:rFonts w:cs="Calibri Light"/>
          <w:sz w:val="12"/>
          <w:szCs w:val="12"/>
          <w:lang w:val="lv-LV"/>
        </w:rPr>
        <w:tab/>
      </w:r>
      <w:hyperlink r:id="rId10" w:history="1">
        <w:r w:rsidRPr="00C67918">
          <w:rPr>
            <w:rStyle w:val="Hyperlink"/>
            <w:rFonts w:cs="Calibri Light"/>
            <w:sz w:val="12"/>
            <w:szCs w:val="12"/>
            <w:lang w:val="lv-LV"/>
          </w:rPr>
          <w:t>https://pkc.gov.lv/lv/nap2027</w:t>
        </w:r>
      </w:hyperlink>
    </w:p>
  </w:footnote>
  <w:footnote w:id="13">
    <w:p w14:paraId="681E4847" w14:textId="7391FB60" w:rsidR="005A28CF" w:rsidRPr="00C67918" w:rsidRDefault="005A28CF" w:rsidP="00417159">
      <w:pPr>
        <w:pStyle w:val="FootnoteText"/>
        <w:ind w:left="142" w:hanging="142"/>
        <w:rPr>
          <w:rFonts w:cs="Calibri Light"/>
          <w:sz w:val="12"/>
          <w:szCs w:val="12"/>
          <w:lang w:val="lv-LV"/>
        </w:rPr>
      </w:pPr>
      <w:r w:rsidRPr="00C67918">
        <w:rPr>
          <w:rStyle w:val="FootnoteReference"/>
          <w:rFonts w:cs="Calibri Light"/>
          <w:sz w:val="12"/>
          <w:szCs w:val="12"/>
        </w:rPr>
        <w:footnoteRef/>
      </w:r>
      <w:r w:rsidRPr="00C67918">
        <w:rPr>
          <w:rFonts w:cs="Calibri Light"/>
          <w:sz w:val="12"/>
          <w:szCs w:val="12"/>
          <w:lang w:val="lv-LV"/>
        </w:rPr>
        <w:tab/>
      </w:r>
      <w:hyperlink r:id="rId11" w:history="1">
        <w:r w:rsidRPr="00C67918">
          <w:rPr>
            <w:rStyle w:val="Hyperlink"/>
            <w:rFonts w:cs="Calibri Light"/>
            <w:sz w:val="12"/>
            <w:szCs w:val="12"/>
            <w:lang w:val="lv-LV"/>
          </w:rPr>
          <w:t>https://www.em.gov.lv/lv/industriala-politika</w:t>
        </w:r>
      </w:hyperlink>
      <w:r w:rsidRPr="00C67918">
        <w:rPr>
          <w:rFonts w:cs="Calibri Light"/>
          <w:sz w:val="12"/>
          <w:szCs w:val="12"/>
          <w:lang w:val="lv-LV"/>
        </w:rPr>
        <w:t xml:space="preserve"> </w:t>
      </w:r>
    </w:p>
  </w:footnote>
  <w:footnote w:id="14">
    <w:p w14:paraId="6CC7B0DE" w14:textId="3EBDD109" w:rsidR="005A28CF" w:rsidRPr="00C67918" w:rsidRDefault="005A28CF" w:rsidP="00417159">
      <w:pPr>
        <w:spacing w:after="0"/>
        <w:ind w:left="142" w:hanging="142"/>
        <w:jc w:val="both"/>
        <w:rPr>
          <w:rFonts w:cs="Calibri Light"/>
          <w:sz w:val="12"/>
          <w:szCs w:val="12"/>
        </w:rPr>
      </w:pPr>
      <w:r w:rsidRPr="00C67918">
        <w:rPr>
          <w:rStyle w:val="FootnoteReference"/>
          <w:rFonts w:cs="Calibri Light"/>
          <w:sz w:val="12"/>
          <w:szCs w:val="12"/>
        </w:rPr>
        <w:footnoteRef/>
      </w:r>
      <w:r w:rsidRPr="00C67918">
        <w:rPr>
          <w:rFonts w:cs="Calibri Light"/>
          <w:sz w:val="12"/>
          <w:szCs w:val="12"/>
        </w:rPr>
        <w:tab/>
        <w:t xml:space="preserve">Par Globālās ekonomikas attīstības tendencēm ņemta vērā aktuālākā informācija no Eiropas Komisijas, OECD, IMF, </w:t>
      </w:r>
      <w:proofErr w:type="spellStart"/>
      <w:r w:rsidRPr="00C67918">
        <w:rPr>
          <w:rFonts w:cs="Calibri Light"/>
          <w:sz w:val="12"/>
          <w:szCs w:val="12"/>
        </w:rPr>
        <w:t>Global</w:t>
      </w:r>
      <w:proofErr w:type="spellEnd"/>
      <w:r w:rsidRPr="00C67918">
        <w:rPr>
          <w:rFonts w:cs="Calibri Light"/>
          <w:sz w:val="12"/>
          <w:szCs w:val="12"/>
        </w:rPr>
        <w:t xml:space="preserve"> </w:t>
      </w:r>
      <w:proofErr w:type="spellStart"/>
      <w:r w:rsidRPr="00C67918">
        <w:rPr>
          <w:rFonts w:cs="Calibri Light"/>
          <w:sz w:val="12"/>
          <w:szCs w:val="12"/>
        </w:rPr>
        <w:t>Economic</w:t>
      </w:r>
      <w:proofErr w:type="spellEnd"/>
      <w:r w:rsidRPr="00C67918">
        <w:rPr>
          <w:rFonts w:cs="Calibri Light"/>
          <w:sz w:val="12"/>
          <w:szCs w:val="12"/>
        </w:rPr>
        <w:t xml:space="preserve"> Forum, </w:t>
      </w:r>
      <w:proofErr w:type="spellStart"/>
      <w:r w:rsidRPr="00C67918">
        <w:rPr>
          <w:rFonts w:cs="Calibri Light"/>
          <w:sz w:val="12"/>
          <w:szCs w:val="12"/>
        </w:rPr>
        <w:t>Oxford</w:t>
      </w:r>
      <w:proofErr w:type="spellEnd"/>
      <w:r w:rsidRPr="00C67918">
        <w:rPr>
          <w:rFonts w:cs="Calibri Light"/>
          <w:sz w:val="12"/>
          <w:szCs w:val="12"/>
        </w:rPr>
        <w:t xml:space="preserve"> </w:t>
      </w:r>
      <w:proofErr w:type="spellStart"/>
      <w:r w:rsidRPr="00C67918">
        <w:rPr>
          <w:rFonts w:cs="Calibri Light"/>
          <w:sz w:val="12"/>
          <w:szCs w:val="12"/>
        </w:rPr>
        <w:t>Economics</w:t>
      </w:r>
      <w:proofErr w:type="spellEnd"/>
      <w:r w:rsidRPr="00C67918">
        <w:rPr>
          <w:rFonts w:cs="Calibri Light"/>
          <w:sz w:val="12"/>
          <w:szCs w:val="12"/>
        </w:rPr>
        <w:t xml:space="preserve">, </w:t>
      </w:r>
      <w:proofErr w:type="spellStart"/>
      <w:r w:rsidRPr="00C67918">
        <w:rPr>
          <w:rFonts w:cs="Calibri Light"/>
          <w:sz w:val="12"/>
          <w:szCs w:val="12"/>
        </w:rPr>
        <w:t>The</w:t>
      </w:r>
      <w:proofErr w:type="spellEnd"/>
      <w:r w:rsidRPr="00C67918">
        <w:rPr>
          <w:rFonts w:cs="Calibri Light"/>
          <w:sz w:val="12"/>
          <w:szCs w:val="12"/>
        </w:rPr>
        <w:t xml:space="preserve"> </w:t>
      </w:r>
      <w:proofErr w:type="spellStart"/>
      <w:r w:rsidRPr="00C67918">
        <w:rPr>
          <w:rFonts w:cs="Calibri Light"/>
          <w:sz w:val="12"/>
          <w:szCs w:val="12"/>
        </w:rPr>
        <w:t>Economist</w:t>
      </w:r>
      <w:proofErr w:type="spellEnd"/>
      <w:r w:rsidRPr="00C67918">
        <w:rPr>
          <w:rFonts w:cs="Calibri Light"/>
          <w:sz w:val="12"/>
          <w:szCs w:val="12"/>
        </w:rPr>
        <w:t xml:space="preserve"> u.c. organizācijām.</w:t>
      </w:r>
    </w:p>
  </w:footnote>
  <w:footnote w:id="15">
    <w:p w14:paraId="43D93620" w14:textId="77777777" w:rsidR="005A28CF" w:rsidRPr="00C67918" w:rsidRDefault="005A28CF" w:rsidP="00AE74F0">
      <w:pPr>
        <w:pStyle w:val="FootnoteText"/>
        <w:rPr>
          <w:rFonts w:cs="Calibri Light"/>
          <w:sz w:val="12"/>
          <w:szCs w:val="12"/>
          <w:lang w:val="lv-LV"/>
        </w:rPr>
      </w:pPr>
      <w:r w:rsidRPr="00C67918">
        <w:rPr>
          <w:rStyle w:val="FootnoteReference"/>
          <w:rFonts w:eastAsia="Calibri" w:cs="Calibri Light"/>
          <w:sz w:val="12"/>
          <w:szCs w:val="12"/>
        </w:rPr>
        <w:footnoteRef/>
      </w:r>
      <w:r w:rsidRPr="00C67918">
        <w:rPr>
          <w:rFonts w:cs="Calibri Light"/>
          <w:sz w:val="12"/>
          <w:szCs w:val="12"/>
          <w:lang w:val="lv-LV"/>
        </w:rPr>
        <w:t xml:space="preserve"> </w:t>
      </w:r>
      <w:hyperlink r:id="rId12" w:history="1">
        <w:r w:rsidRPr="00C67918">
          <w:rPr>
            <w:rStyle w:val="Hyperlink"/>
            <w:rFonts w:eastAsia="Palatino Linotype" w:cs="Calibri Light"/>
            <w:sz w:val="12"/>
            <w:szCs w:val="12"/>
            <w:lang w:val="lv-LV"/>
          </w:rPr>
          <w:t>https://www.weforum.org/agenda/2016/01/what-are-the-10-biggest-global-challenges/</w:t>
        </w:r>
      </w:hyperlink>
    </w:p>
  </w:footnote>
  <w:footnote w:id="16">
    <w:p w14:paraId="7EFE3EAA" w14:textId="1BAE81A1" w:rsidR="005A28CF" w:rsidRPr="00C67918" w:rsidRDefault="005A28CF" w:rsidP="005441D6">
      <w:pPr>
        <w:pStyle w:val="FootnoteText"/>
        <w:ind w:left="142" w:hanging="142"/>
        <w:rPr>
          <w:rFonts w:cs="Calibri Light"/>
          <w:sz w:val="12"/>
          <w:szCs w:val="12"/>
          <w:lang w:val="lv-LV"/>
        </w:rPr>
      </w:pPr>
      <w:r w:rsidRPr="00C67918">
        <w:rPr>
          <w:rStyle w:val="FootnoteReference"/>
          <w:rFonts w:eastAsia="Calibri" w:cs="Calibri Light"/>
          <w:sz w:val="12"/>
          <w:szCs w:val="12"/>
        </w:rPr>
        <w:footnoteRef/>
      </w:r>
      <w:r w:rsidRPr="00C67918">
        <w:rPr>
          <w:rFonts w:cs="Calibri Light"/>
          <w:sz w:val="12"/>
          <w:szCs w:val="12"/>
          <w:lang w:val="lv-LV"/>
        </w:rPr>
        <w:tab/>
      </w:r>
      <w:hyperlink r:id="rId13" w:history="1">
        <w:r w:rsidRPr="00C67918">
          <w:rPr>
            <w:rStyle w:val="Hyperlink"/>
            <w:rFonts w:eastAsia="Palatino Linotype" w:cs="Calibri Light"/>
            <w:sz w:val="12"/>
            <w:szCs w:val="12"/>
            <w:lang w:val="lv-LV"/>
          </w:rPr>
          <w:t>https://www.researchgate.net/publication/273515631_The_Grand_Challenges_in_Smart_Materials_Research</w:t>
        </w:r>
      </w:hyperlink>
    </w:p>
  </w:footnote>
  <w:footnote w:id="17">
    <w:p w14:paraId="7AB7062D" w14:textId="27AE1135" w:rsidR="005A28CF" w:rsidRPr="00C67918" w:rsidRDefault="005A28CF" w:rsidP="005441D6">
      <w:pPr>
        <w:pStyle w:val="FootnoteText"/>
        <w:ind w:left="142" w:hanging="142"/>
        <w:rPr>
          <w:rFonts w:cs="Calibri Light"/>
          <w:sz w:val="12"/>
          <w:szCs w:val="12"/>
          <w:lang w:val="lv-LV"/>
        </w:rPr>
      </w:pPr>
      <w:r w:rsidRPr="00C67918">
        <w:rPr>
          <w:rStyle w:val="FootnoteReference"/>
          <w:rFonts w:eastAsia="Calibri" w:cs="Calibri Light"/>
          <w:sz w:val="12"/>
          <w:szCs w:val="12"/>
        </w:rPr>
        <w:footnoteRef/>
      </w:r>
      <w:r w:rsidRPr="00C67918">
        <w:rPr>
          <w:rFonts w:cs="Calibri Light"/>
          <w:sz w:val="12"/>
          <w:szCs w:val="12"/>
          <w:lang w:val="lv-LV"/>
        </w:rPr>
        <w:tab/>
      </w:r>
      <w:hyperlink r:id="rId14" w:history="1">
        <w:r w:rsidRPr="00C67918">
          <w:rPr>
            <w:rStyle w:val="Hyperlink"/>
            <w:rFonts w:eastAsia="Palatino Linotype" w:cs="Calibri Light"/>
            <w:sz w:val="12"/>
            <w:szCs w:val="12"/>
            <w:lang w:val="lv-LV"/>
          </w:rPr>
          <w:t>http://www.jscholaronline.org/full-text/JNSM/e101/Smart-materials-from-nanotechnology-for-global-challenges.php</w:t>
        </w:r>
      </w:hyperlink>
    </w:p>
  </w:footnote>
  <w:footnote w:id="18">
    <w:p w14:paraId="5A74E774" w14:textId="080CE165" w:rsidR="005A28CF" w:rsidRPr="00C67918" w:rsidRDefault="005A28CF" w:rsidP="005441D6">
      <w:pPr>
        <w:pStyle w:val="FootnoteText"/>
        <w:ind w:left="142" w:hanging="142"/>
        <w:rPr>
          <w:rFonts w:cs="Calibri Light"/>
          <w:sz w:val="12"/>
          <w:szCs w:val="12"/>
          <w:lang w:val="lv-LV"/>
        </w:rPr>
      </w:pPr>
      <w:r w:rsidRPr="00C67918">
        <w:rPr>
          <w:rStyle w:val="FootnoteReference"/>
          <w:rFonts w:cs="Calibri Light"/>
          <w:sz w:val="12"/>
          <w:szCs w:val="12"/>
        </w:rPr>
        <w:footnoteRef/>
      </w:r>
      <w:r w:rsidRPr="00C67918">
        <w:rPr>
          <w:rFonts w:cs="Calibri Light"/>
          <w:sz w:val="12"/>
          <w:szCs w:val="12"/>
          <w:lang w:val="lv-LV"/>
        </w:rPr>
        <w:tab/>
      </w:r>
      <w:hyperlink r:id="rId15" w:history="1">
        <w:r w:rsidRPr="00C67918">
          <w:rPr>
            <w:rStyle w:val="Hyperlink"/>
            <w:rFonts w:cs="Calibri Light"/>
            <w:sz w:val="12"/>
            <w:szCs w:val="12"/>
            <w:lang w:val="lv-LV"/>
          </w:rPr>
          <w:t>https://ec.europa.eu/info/strategy/priorities-2019-2024/european-green-deal_lv</w:t>
        </w:r>
      </w:hyperlink>
      <w:r w:rsidRPr="00C67918">
        <w:rPr>
          <w:rFonts w:cs="Calibri Light"/>
          <w:sz w:val="12"/>
          <w:szCs w:val="12"/>
          <w:lang w:val="lv-LV"/>
        </w:rPr>
        <w:t xml:space="preserve"> </w:t>
      </w:r>
    </w:p>
  </w:footnote>
  <w:footnote w:id="19">
    <w:p w14:paraId="51E037C3" w14:textId="520154DF" w:rsidR="005A28CF" w:rsidRPr="00C67918" w:rsidRDefault="005A28CF" w:rsidP="005441D6">
      <w:pPr>
        <w:pStyle w:val="FootnoteText"/>
        <w:ind w:left="142" w:hanging="142"/>
        <w:rPr>
          <w:rFonts w:cs="Calibri Light"/>
          <w:sz w:val="12"/>
          <w:szCs w:val="12"/>
        </w:rPr>
      </w:pPr>
      <w:r w:rsidRPr="00C67918">
        <w:rPr>
          <w:rStyle w:val="FootnoteReference"/>
          <w:rFonts w:cs="Calibri Light"/>
          <w:sz w:val="12"/>
          <w:szCs w:val="12"/>
        </w:rPr>
        <w:footnoteRef/>
      </w:r>
      <w:r w:rsidRPr="00C67918">
        <w:rPr>
          <w:rFonts w:cs="Calibri Light"/>
          <w:sz w:val="12"/>
          <w:szCs w:val="12"/>
        </w:rPr>
        <w:t xml:space="preserve"> </w:t>
      </w:r>
      <w:r w:rsidRPr="00C67918">
        <w:rPr>
          <w:rFonts w:cs="Calibri Light"/>
          <w:sz w:val="12"/>
          <w:szCs w:val="12"/>
        </w:rPr>
        <w:tab/>
      </w:r>
      <w:proofErr w:type="spellStart"/>
      <w:r w:rsidRPr="00C67918">
        <w:rPr>
          <w:rFonts w:cs="Calibri Light"/>
          <w:sz w:val="12"/>
          <w:szCs w:val="12"/>
        </w:rPr>
        <w:t>Eiropas</w:t>
      </w:r>
      <w:proofErr w:type="spellEnd"/>
      <w:r w:rsidRPr="00C67918">
        <w:rPr>
          <w:rFonts w:cs="Calibri Light"/>
          <w:sz w:val="12"/>
          <w:szCs w:val="12"/>
        </w:rPr>
        <w:t xml:space="preserve"> </w:t>
      </w:r>
      <w:proofErr w:type="spellStart"/>
      <w:r w:rsidRPr="00C67918">
        <w:rPr>
          <w:rFonts w:cs="Calibri Light"/>
          <w:sz w:val="12"/>
          <w:szCs w:val="12"/>
        </w:rPr>
        <w:t>Komisijas</w:t>
      </w:r>
      <w:proofErr w:type="spellEnd"/>
      <w:r w:rsidRPr="00C67918">
        <w:rPr>
          <w:rFonts w:cs="Calibri Light"/>
          <w:sz w:val="12"/>
          <w:szCs w:val="12"/>
        </w:rPr>
        <w:t xml:space="preserve"> </w:t>
      </w:r>
      <w:proofErr w:type="spellStart"/>
      <w:r w:rsidRPr="00C67918">
        <w:rPr>
          <w:rFonts w:cs="Calibri Light"/>
          <w:sz w:val="12"/>
          <w:szCs w:val="12"/>
        </w:rPr>
        <w:t>paziņojums</w:t>
      </w:r>
      <w:proofErr w:type="spellEnd"/>
      <w:r w:rsidRPr="00C67918">
        <w:rPr>
          <w:rFonts w:cs="Calibri Light"/>
          <w:sz w:val="12"/>
          <w:szCs w:val="12"/>
        </w:rPr>
        <w:t xml:space="preserve">. </w:t>
      </w:r>
      <w:proofErr w:type="spellStart"/>
      <w:r w:rsidRPr="00C67918">
        <w:rPr>
          <w:rFonts w:cs="Calibri Light"/>
          <w:sz w:val="12"/>
          <w:szCs w:val="12"/>
        </w:rPr>
        <w:t>Eiropas</w:t>
      </w:r>
      <w:proofErr w:type="spellEnd"/>
      <w:r w:rsidRPr="00C67918">
        <w:rPr>
          <w:rFonts w:cs="Calibri Light"/>
          <w:sz w:val="12"/>
          <w:szCs w:val="12"/>
        </w:rPr>
        <w:t xml:space="preserve"> </w:t>
      </w:r>
      <w:proofErr w:type="spellStart"/>
      <w:r w:rsidRPr="00C67918">
        <w:rPr>
          <w:rFonts w:cs="Calibri Light"/>
          <w:sz w:val="12"/>
          <w:szCs w:val="12"/>
        </w:rPr>
        <w:t>zaļais</w:t>
      </w:r>
      <w:proofErr w:type="spellEnd"/>
      <w:r w:rsidRPr="00C67918">
        <w:rPr>
          <w:rFonts w:cs="Calibri Light"/>
          <w:sz w:val="12"/>
          <w:szCs w:val="12"/>
        </w:rPr>
        <w:t xml:space="preserve"> </w:t>
      </w:r>
      <w:proofErr w:type="spellStart"/>
      <w:r w:rsidRPr="00C67918">
        <w:rPr>
          <w:rFonts w:cs="Calibri Light"/>
          <w:sz w:val="12"/>
          <w:szCs w:val="12"/>
        </w:rPr>
        <w:t>kurss</w:t>
      </w:r>
      <w:proofErr w:type="spellEnd"/>
      <w:r w:rsidRPr="00C67918">
        <w:rPr>
          <w:rFonts w:cs="Calibri Light"/>
          <w:sz w:val="12"/>
          <w:szCs w:val="12"/>
        </w:rPr>
        <w:t xml:space="preserve">. </w:t>
      </w:r>
      <w:proofErr w:type="gramStart"/>
      <w:r w:rsidRPr="00C67918">
        <w:rPr>
          <w:rFonts w:cs="Calibri Light"/>
          <w:sz w:val="12"/>
          <w:szCs w:val="12"/>
        </w:rPr>
        <w:t>COM(</w:t>
      </w:r>
      <w:proofErr w:type="gramEnd"/>
      <w:r w:rsidRPr="00C67918">
        <w:rPr>
          <w:rFonts w:cs="Calibri Light"/>
          <w:sz w:val="12"/>
          <w:szCs w:val="12"/>
        </w:rPr>
        <w:t xml:space="preserve">2019) 640 final. </w:t>
      </w:r>
      <w:proofErr w:type="spellStart"/>
      <w:r w:rsidRPr="00C67918">
        <w:rPr>
          <w:rFonts w:cs="Calibri Light"/>
          <w:sz w:val="12"/>
          <w:szCs w:val="12"/>
        </w:rPr>
        <w:t>Briselē</w:t>
      </w:r>
      <w:proofErr w:type="spellEnd"/>
      <w:r w:rsidRPr="00C67918">
        <w:rPr>
          <w:rFonts w:cs="Calibri Light"/>
          <w:sz w:val="12"/>
          <w:szCs w:val="12"/>
        </w:rPr>
        <w:t xml:space="preserve">, 11.12.2019 </w:t>
      </w:r>
      <w:hyperlink r:id="rId16" w:history="1">
        <w:r w:rsidRPr="00537DB2">
          <w:rPr>
            <w:rStyle w:val="Hyperlink"/>
            <w:rFonts w:cs="Calibri Light"/>
            <w:sz w:val="12"/>
            <w:szCs w:val="12"/>
          </w:rPr>
          <w:t>https://eur-lex.europa.eu/legal-content/LV/TXT/?qid=1588580774040&amp;uri=CELEX:52019DC0640</w:t>
        </w:r>
      </w:hyperlink>
    </w:p>
  </w:footnote>
  <w:footnote w:id="20">
    <w:p w14:paraId="51951436" w14:textId="55B063E0" w:rsidR="005A28CF" w:rsidRPr="00C67918" w:rsidRDefault="005A28CF" w:rsidP="00417159">
      <w:pPr>
        <w:pStyle w:val="FootnoteText"/>
        <w:ind w:left="142" w:hanging="142"/>
        <w:rPr>
          <w:rFonts w:cs="Calibri Light"/>
          <w:sz w:val="12"/>
          <w:szCs w:val="12"/>
          <w:lang w:val="lv-LV"/>
        </w:rPr>
      </w:pPr>
      <w:r w:rsidRPr="00C67918">
        <w:rPr>
          <w:rStyle w:val="FootnoteReference"/>
          <w:rFonts w:cs="Calibri Light"/>
          <w:sz w:val="12"/>
          <w:szCs w:val="12"/>
          <w:lang w:val="lv-LV"/>
        </w:rPr>
        <w:footnoteRef/>
      </w:r>
      <w:r w:rsidRPr="00C67918">
        <w:rPr>
          <w:rFonts w:cs="Calibri Light"/>
          <w:sz w:val="12"/>
          <w:szCs w:val="12"/>
          <w:lang w:val="lv-LV"/>
        </w:rPr>
        <w:tab/>
        <w:t xml:space="preserve">2020. gada EM Informatīvais ziņojums par vidēja un ilgtermiņa darba tirgus prognozēm: </w:t>
      </w:r>
      <w:hyperlink r:id="rId17" w:history="1">
        <w:r w:rsidRPr="00C67918">
          <w:rPr>
            <w:rStyle w:val="Hyperlink"/>
            <w:rFonts w:cs="Calibri Light"/>
            <w:sz w:val="12"/>
            <w:szCs w:val="12"/>
            <w:lang w:val="lv-LV"/>
          </w:rPr>
          <w:t>https://www.em.gov.lv/lv/media/598/download</w:t>
        </w:r>
      </w:hyperlink>
    </w:p>
  </w:footnote>
  <w:footnote w:id="21">
    <w:p w14:paraId="5F3532FB" w14:textId="77777777" w:rsidR="005A28CF" w:rsidRPr="0018412F" w:rsidRDefault="005A28CF" w:rsidP="00AE74F0">
      <w:pPr>
        <w:pStyle w:val="FootnoteText"/>
        <w:rPr>
          <w:rFonts w:cs="Calibri Light"/>
          <w:sz w:val="12"/>
          <w:szCs w:val="12"/>
          <w:lang w:val="lv-LV"/>
        </w:rPr>
      </w:pPr>
      <w:r w:rsidRPr="0018412F">
        <w:rPr>
          <w:rStyle w:val="FootnoteReference"/>
          <w:rFonts w:cs="Calibri Light"/>
          <w:sz w:val="12"/>
          <w:szCs w:val="12"/>
          <w:lang w:val="lv-LV"/>
        </w:rPr>
        <w:footnoteRef/>
      </w:r>
      <w:r w:rsidRPr="0018412F">
        <w:rPr>
          <w:rFonts w:cs="Calibri Light"/>
          <w:sz w:val="12"/>
          <w:szCs w:val="12"/>
          <w:lang w:val="lv-LV"/>
        </w:rPr>
        <w:t xml:space="preserve"> EM novērtējums.</w:t>
      </w:r>
    </w:p>
  </w:footnote>
  <w:footnote w:id="22">
    <w:p w14:paraId="5651DB35" w14:textId="77777777" w:rsidR="005A28CF" w:rsidRPr="00103B84" w:rsidRDefault="005A28CF" w:rsidP="0016645F">
      <w:pPr>
        <w:pStyle w:val="FootnoteText"/>
        <w:rPr>
          <w:rFonts w:cs="Calibri Light"/>
          <w:sz w:val="12"/>
          <w:szCs w:val="12"/>
        </w:rPr>
      </w:pPr>
      <w:r w:rsidRPr="00103B84">
        <w:rPr>
          <w:rFonts w:cs="Calibri Light"/>
          <w:color w:val="000000" w:themeColor="text1"/>
          <w:sz w:val="12"/>
          <w:szCs w:val="12"/>
          <w:vertAlign w:val="superscript"/>
        </w:rPr>
        <w:footnoteRef/>
      </w:r>
      <w:r w:rsidRPr="00103B84">
        <w:rPr>
          <w:rFonts w:cs="Calibri Light"/>
          <w:color w:val="000000" w:themeColor="text1"/>
          <w:sz w:val="12"/>
          <w:szCs w:val="12"/>
        </w:rPr>
        <w:t xml:space="preserve"> </w:t>
      </w:r>
      <w:proofErr w:type="spellStart"/>
      <w:r w:rsidRPr="00103B84">
        <w:rPr>
          <w:rFonts w:cs="Calibri Light"/>
          <w:color w:val="000000" w:themeColor="text1"/>
          <w:sz w:val="12"/>
          <w:szCs w:val="12"/>
        </w:rPr>
        <w:t>Cedefop</w:t>
      </w:r>
      <w:proofErr w:type="spellEnd"/>
      <w:r w:rsidRPr="00103B84">
        <w:rPr>
          <w:rFonts w:cs="Calibri Light"/>
          <w:color w:val="000000" w:themeColor="text1"/>
          <w:sz w:val="12"/>
          <w:szCs w:val="12"/>
        </w:rPr>
        <w:t xml:space="preserve"> (2021), Digital, </w:t>
      </w:r>
      <w:proofErr w:type="gramStart"/>
      <w:r w:rsidRPr="00103B84">
        <w:rPr>
          <w:rFonts w:cs="Calibri Light"/>
          <w:color w:val="000000" w:themeColor="text1"/>
          <w:sz w:val="12"/>
          <w:szCs w:val="12"/>
        </w:rPr>
        <w:t>greener</w:t>
      </w:r>
      <w:proofErr w:type="gramEnd"/>
      <w:r w:rsidRPr="00103B84">
        <w:rPr>
          <w:rFonts w:cs="Calibri Light"/>
          <w:color w:val="000000" w:themeColor="text1"/>
          <w:sz w:val="12"/>
          <w:szCs w:val="12"/>
        </w:rPr>
        <w:t xml:space="preserve"> and more resilient. Insight from </w:t>
      </w:r>
      <w:proofErr w:type="spellStart"/>
      <w:r w:rsidRPr="00103B84">
        <w:rPr>
          <w:rFonts w:cs="Calibri Light"/>
          <w:color w:val="000000" w:themeColor="text1"/>
          <w:sz w:val="12"/>
          <w:szCs w:val="12"/>
        </w:rPr>
        <w:t>Cedefop’s</w:t>
      </w:r>
      <w:proofErr w:type="spellEnd"/>
      <w:r w:rsidRPr="00103B84">
        <w:rPr>
          <w:rFonts w:cs="Calibri Light"/>
          <w:color w:val="000000" w:themeColor="text1"/>
          <w:sz w:val="12"/>
          <w:szCs w:val="12"/>
        </w:rPr>
        <w:t xml:space="preserve"> European skills forecast.</w:t>
      </w:r>
    </w:p>
  </w:footnote>
  <w:footnote w:id="23">
    <w:p w14:paraId="5FCB6C35" w14:textId="1D8F21AD" w:rsidR="005A28CF" w:rsidRPr="00103B84" w:rsidRDefault="005A28CF" w:rsidP="00A81E28">
      <w:pPr>
        <w:pStyle w:val="FootnoteText"/>
        <w:ind w:left="142" w:hanging="142"/>
        <w:rPr>
          <w:rFonts w:cs="Calibri Light"/>
          <w:sz w:val="12"/>
          <w:szCs w:val="12"/>
          <w:lang w:val="lv-LV"/>
        </w:rPr>
      </w:pPr>
      <w:r w:rsidRPr="00103B84">
        <w:rPr>
          <w:rStyle w:val="FootnoteReference"/>
          <w:rFonts w:cs="Calibri Light"/>
          <w:sz w:val="12"/>
          <w:szCs w:val="12"/>
        </w:rPr>
        <w:footnoteRef/>
      </w:r>
      <w:r w:rsidRPr="00103B84">
        <w:rPr>
          <w:rFonts w:cs="Calibri Light"/>
          <w:sz w:val="12"/>
          <w:szCs w:val="12"/>
        </w:rPr>
        <w:tab/>
      </w:r>
      <w:hyperlink r:id="rId18" w:history="1">
        <w:r w:rsidRPr="00103B84">
          <w:rPr>
            <w:rStyle w:val="Hyperlink"/>
            <w:rFonts w:eastAsia="Calibri" w:cs="Calibri Light"/>
            <w:sz w:val="12"/>
            <w:szCs w:val="12"/>
            <w:lang w:val="lv-LV"/>
          </w:rPr>
          <w:t>https://www.em.gov.lv/lv/strategija-latvijai-0</w:t>
        </w:r>
      </w:hyperlink>
      <w:r w:rsidRPr="00103B84">
        <w:rPr>
          <w:rFonts w:cs="Calibri Light"/>
          <w:sz w:val="12"/>
          <w:szCs w:val="12"/>
          <w:lang w:val="lv-LV"/>
        </w:rPr>
        <w:t xml:space="preserve"> </w:t>
      </w:r>
    </w:p>
  </w:footnote>
  <w:footnote w:id="24">
    <w:p w14:paraId="1A032597" w14:textId="4F503D6A" w:rsidR="005A28CF" w:rsidRPr="00103B84" w:rsidRDefault="005A28CF" w:rsidP="00A81E28">
      <w:pPr>
        <w:pStyle w:val="FootnoteText"/>
        <w:ind w:left="142" w:hanging="142"/>
        <w:rPr>
          <w:rFonts w:cs="Calibri Light"/>
          <w:sz w:val="12"/>
          <w:szCs w:val="12"/>
          <w:lang w:val="lv-LV"/>
        </w:rPr>
      </w:pPr>
      <w:r w:rsidRPr="00103B84">
        <w:rPr>
          <w:rStyle w:val="FootnoteReference"/>
          <w:rFonts w:cs="Calibri Light"/>
          <w:sz w:val="12"/>
          <w:szCs w:val="12"/>
          <w:lang w:val="lv-LV"/>
        </w:rPr>
        <w:footnoteRef/>
      </w:r>
      <w:r w:rsidRPr="00103B84">
        <w:rPr>
          <w:rFonts w:cs="Calibri Light"/>
          <w:sz w:val="12"/>
          <w:szCs w:val="12"/>
          <w:lang w:val="lv-LV"/>
        </w:rPr>
        <w:tab/>
      </w:r>
      <w:hyperlink r:id="rId19" w:history="1">
        <w:r w:rsidRPr="00103B84">
          <w:rPr>
            <w:rStyle w:val="Hyperlink"/>
            <w:rFonts w:eastAsia="Calibri" w:cs="Calibri Light"/>
            <w:sz w:val="12"/>
            <w:szCs w:val="12"/>
            <w:lang w:val="lv-LV"/>
          </w:rPr>
          <w:t>https://www.em.gov.lv/lv/industriala-politika</w:t>
        </w:r>
      </w:hyperlink>
      <w:r w:rsidRPr="00103B84">
        <w:rPr>
          <w:rFonts w:cs="Calibri Light"/>
          <w:sz w:val="12"/>
          <w:szCs w:val="12"/>
          <w:lang w:val="lv-LV"/>
        </w:rPr>
        <w:t xml:space="preserve"> </w:t>
      </w:r>
    </w:p>
  </w:footnote>
  <w:footnote w:id="25">
    <w:p w14:paraId="05C5E0C2" w14:textId="50C3B4C0" w:rsidR="005A28CF" w:rsidRPr="00103B84" w:rsidRDefault="005A28CF" w:rsidP="00A81E28">
      <w:pPr>
        <w:pStyle w:val="FootnoteText"/>
        <w:ind w:left="142" w:hanging="142"/>
        <w:rPr>
          <w:rFonts w:cs="Calibri Light"/>
          <w:sz w:val="12"/>
          <w:szCs w:val="12"/>
          <w:lang w:val="lv-LV"/>
        </w:rPr>
      </w:pPr>
      <w:r w:rsidRPr="00103B84">
        <w:rPr>
          <w:rStyle w:val="FootnoteReference"/>
          <w:rFonts w:cs="Calibri Light"/>
          <w:sz w:val="12"/>
          <w:szCs w:val="12"/>
          <w:lang w:val="lv-LV"/>
        </w:rPr>
        <w:footnoteRef/>
      </w:r>
      <w:r w:rsidRPr="00103B84">
        <w:rPr>
          <w:rFonts w:cs="Calibri Light"/>
          <w:sz w:val="12"/>
          <w:szCs w:val="12"/>
          <w:lang w:val="lv-LV"/>
        </w:rPr>
        <w:tab/>
      </w:r>
      <w:hyperlink r:id="rId20" w:history="1">
        <w:r w:rsidRPr="00103B84">
          <w:rPr>
            <w:rStyle w:val="Hyperlink"/>
            <w:rFonts w:eastAsia="Calibri" w:cs="Calibri Light"/>
            <w:sz w:val="12"/>
            <w:szCs w:val="12"/>
            <w:lang w:val="lv-LV"/>
          </w:rPr>
          <w:t>https://likumi.lv/ta/id/324332-par-izglitibas-attistibas-pamatnostadnem-20212027-gadam</w:t>
        </w:r>
      </w:hyperlink>
      <w:r w:rsidRPr="00103B84">
        <w:rPr>
          <w:rFonts w:cs="Calibri Light"/>
          <w:sz w:val="12"/>
          <w:szCs w:val="12"/>
          <w:lang w:val="lv-LV"/>
        </w:rPr>
        <w:t xml:space="preserve"> </w:t>
      </w:r>
    </w:p>
  </w:footnote>
  <w:footnote w:id="26">
    <w:p w14:paraId="134C3038" w14:textId="77777777" w:rsidR="005A28CF" w:rsidRPr="00103B84" w:rsidRDefault="005A28CF" w:rsidP="00CA2D5A">
      <w:pPr>
        <w:pStyle w:val="FootnoteText"/>
        <w:rPr>
          <w:rFonts w:cs="Calibri Light"/>
          <w:sz w:val="12"/>
          <w:szCs w:val="12"/>
          <w:lang w:val="lv-LV"/>
        </w:rPr>
      </w:pPr>
      <w:r w:rsidRPr="00103B84">
        <w:rPr>
          <w:rStyle w:val="FootnoteReference"/>
          <w:rFonts w:cs="Calibri Light"/>
          <w:sz w:val="12"/>
          <w:szCs w:val="12"/>
        </w:rPr>
        <w:footnoteRef/>
      </w:r>
      <w:r w:rsidRPr="00103B84">
        <w:rPr>
          <w:rFonts w:cs="Calibri Light"/>
          <w:sz w:val="12"/>
          <w:szCs w:val="12"/>
          <w:lang w:val="lv-LV"/>
        </w:rPr>
        <w:t xml:space="preserve"> </w:t>
      </w:r>
      <w:hyperlink r:id="rId21" w:history="1">
        <w:r w:rsidRPr="00103B84">
          <w:rPr>
            <w:rStyle w:val="Hyperlink"/>
            <w:rFonts w:eastAsia="Calibri" w:cs="Calibri Light"/>
            <w:sz w:val="12"/>
            <w:szCs w:val="12"/>
            <w:lang w:val="lv-LV"/>
          </w:rPr>
          <w:t>https://likumi.lv/ta/id/325828-par-socialas-aizsardzibas-un-darba-tirgus-politikas-pamatnostadnem-2021-2027-gadam</w:t>
        </w:r>
      </w:hyperlink>
      <w:r w:rsidRPr="00103B84">
        <w:rPr>
          <w:rFonts w:cs="Calibri Light"/>
          <w:sz w:val="12"/>
          <w:szCs w:val="12"/>
          <w:lang w:val="lv-LV"/>
        </w:rPr>
        <w:t xml:space="preserve"> </w:t>
      </w:r>
    </w:p>
  </w:footnote>
  <w:footnote w:id="27">
    <w:p w14:paraId="6CE2A198" w14:textId="471C61E7" w:rsidR="005A28CF" w:rsidRPr="00103B84" w:rsidRDefault="005A28CF" w:rsidP="00CA2D5A">
      <w:pPr>
        <w:pStyle w:val="FootnoteText"/>
        <w:ind w:left="142" w:hanging="142"/>
        <w:rPr>
          <w:rFonts w:cs="Calibri Light"/>
          <w:sz w:val="12"/>
          <w:szCs w:val="12"/>
        </w:rPr>
      </w:pPr>
      <w:r w:rsidRPr="00103B84">
        <w:rPr>
          <w:rStyle w:val="FootnoteReference"/>
          <w:rFonts w:cs="Calibri Light"/>
          <w:sz w:val="12"/>
          <w:szCs w:val="12"/>
        </w:rPr>
        <w:footnoteRef/>
      </w:r>
      <w:r w:rsidRPr="00103B84">
        <w:rPr>
          <w:rFonts w:cs="Calibri Light"/>
          <w:sz w:val="12"/>
          <w:szCs w:val="12"/>
        </w:rPr>
        <w:tab/>
      </w:r>
      <w:r w:rsidRPr="00103B84">
        <w:rPr>
          <w:rFonts w:cs="Calibri Light"/>
          <w:sz w:val="12"/>
          <w:szCs w:val="12"/>
          <w:lang w:val="lv-LV"/>
        </w:rPr>
        <w:t>Informācija par kampaņu un izstrādātie materiāli pieejami</w:t>
      </w:r>
      <w:r w:rsidRPr="00103B84">
        <w:rPr>
          <w:rFonts w:cs="Calibri Light"/>
          <w:sz w:val="12"/>
          <w:szCs w:val="12"/>
        </w:rPr>
        <w:t xml:space="preserve">: </w:t>
      </w:r>
      <w:hyperlink r:id="rId22" w:history="1">
        <w:r w:rsidRPr="00103B84">
          <w:rPr>
            <w:rStyle w:val="Hyperlink"/>
            <w:rFonts w:eastAsia="Calibri" w:cs="Calibri Light"/>
            <w:sz w:val="12"/>
            <w:szCs w:val="12"/>
          </w:rPr>
          <w:t>https://www.em.gov.lv/lv/muzizglitibas-informesanas-kampana</w:t>
        </w:r>
      </w:hyperlink>
    </w:p>
  </w:footnote>
  <w:footnote w:id="28">
    <w:p w14:paraId="7B065647" w14:textId="28303F35" w:rsidR="7A74AD50" w:rsidRPr="004172F8" w:rsidRDefault="7A74AD50">
      <w:pPr>
        <w:rPr>
          <w:sz w:val="12"/>
          <w:szCs w:val="12"/>
        </w:rPr>
      </w:pPr>
      <w:r w:rsidRPr="004172F8">
        <w:rPr>
          <w:sz w:val="12"/>
          <w:szCs w:val="12"/>
        </w:rPr>
        <w:footnoteRef/>
      </w:r>
      <w:r w:rsidRPr="004172F8">
        <w:rPr>
          <w:sz w:val="12"/>
          <w:szCs w:val="12"/>
        </w:rPr>
        <w:t xml:space="preserve"> Plašāka informācija pieejama: https://www.oecd.org/skills/employer-training-support-Latvia.htm</w:t>
      </w:r>
    </w:p>
  </w:footnote>
  <w:footnote w:id="29">
    <w:p w14:paraId="4D5E2879" w14:textId="20333164" w:rsidR="005A28CF" w:rsidRPr="00311610" w:rsidRDefault="005A28CF" w:rsidP="00F32036">
      <w:pPr>
        <w:pStyle w:val="FootnoteText"/>
        <w:ind w:left="142" w:hanging="142"/>
        <w:jc w:val="both"/>
        <w:rPr>
          <w:rFonts w:cs="Calibri Light"/>
          <w:sz w:val="12"/>
          <w:szCs w:val="12"/>
          <w:lang w:val="lv-LV"/>
        </w:rPr>
      </w:pPr>
      <w:r w:rsidRPr="00311610">
        <w:rPr>
          <w:rStyle w:val="FootnoteReference"/>
          <w:rFonts w:cs="Calibri Light"/>
          <w:sz w:val="12"/>
          <w:szCs w:val="12"/>
          <w:lang w:val="lv-LV"/>
        </w:rPr>
        <w:footnoteRef/>
      </w:r>
      <w:r w:rsidRPr="00311610">
        <w:rPr>
          <w:rFonts w:cs="Calibri Light"/>
          <w:sz w:val="12"/>
          <w:szCs w:val="12"/>
          <w:lang w:val="lv-LV"/>
        </w:rPr>
        <w:tab/>
        <w:t xml:space="preserve">Interaktīvā prognožu platforma izveidota ESF projekta </w:t>
      </w:r>
      <w:r w:rsidRPr="00311610">
        <w:rPr>
          <w:rFonts w:cs="Calibri Light"/>
          <w:i/>
          <w:iCs/>
          <w:sz w:val="12"/>
          <w:szCs w:val="12"/>
          <w:lang w:val="lv-LV"/>
        </w:rPr>
        <w:t>“Darba tirgus prognozēšanas sistēmas pilnveide</w:t>
      </w:r>
      <w:r w:rsidRPr="00311610">
        <w:rPr>
          <w:rFonts w:cs="Calibri Light"/>
          <w:sz w:val="12"/>
          <w:szCs w:val="12"/>
          <w:lang w:val="lv-LV"/>
        </w:rPr>
        <w:t xml:space="preserve">” un ERAF projekta </w:t>
      </w:r>
      <w:r w:rsidRPr="00311610">
        <w:rPr>
          <w:rFonts w:cs="Calibri Light"/>
          <w:i/>
          <w:iCs/>
          <w:sz w:val="12"/>
          <w:szCs w:val="12"/>
          <w:lang w:val="lv-LV"/>
        </w:rPr>
        <w:t>“Darbaspēka piedāvājuma un pieprasījuma prognozēšanas un monitoringa sistēmas izveide”</w:t>
      </w:r>
      <w:r w:rsidRPr="00311610">
        <w:rPr>
          <w:rFonts w:cs="Calibri Light"/>
          <w:sz w:val="12"/>
          <w:szCs w:val="12"/>
          <w:lang w:val="lv-LV"/>
        </w:rPr>
        <w:t xml:space="preserve"> ietvaros.</w:t>
      </w:r>
    </w:p>
  </w:footnote>
  <w:footnote w:id="30">
    <w:p w14:paraId="3043854C" w14:textId="332835C9" w:rsidR="005A28CF" w:rsidRPr="00311610" w:rsidRDefault="005A28CF" w:rsidP="00F32036">
      <w:pPr>
        <w:pStyle w:val="FootnoteText"/>
        <w:ind w:left="142" w:hanging="142"/>
        <w:jc w:val="both"/>
        <w:rPr>
          <w:rFonts w:cs="Calibri Light"/>
          <w:sz w:val="12"/>
          <w:szCs w:val="12"/>
          <w:lang w:val="lv-LV"/>
        </w:rPr>
      </w:pPr>
      <w:r w:rsidRPr="00311610">
        <w:rPr>
          <w:rStyle w:val="FootnoteReference"/>
          <w:rFonts w:cs="Calibri Light"/>
          <w:sz w:val="12"/>
          <w:szCs w:val="12"/>
          <w:lang w:val="lv-LV"/>
        </w:rPr>
        <w:footnoteRef/>
      </w:r>
      <w:r w:rsidRPr="00311610">
        <w:rPr>
          <w:rFonts w:cs="Calibri Light"/>
          <w:sz w:val="12"/>
          <w:szCs w:val="12"/>
          <w:lang w:val="lv-LV"/>
        </w:rPr>
        <w:tab/>
        <w:t xml:space="preserve">Vadlīnijas ir pieejamas EM mājaslapā: </w:t>
      </w:r>
      <w:hyperlink r:id="rId23" w:history="1">
        <w:r w:rsidRPr="00311610">
          <w:rPr>
            <w:rStyle w:val="Hyperlink"/>
            <w:rFonts w:eastAsia="Calibri" w:cs="Calibri Light"/>
            <w:sz w:val="12"/>
            <w:szCs w:val="12"/>
            <w:lang w:val="lv-LV"/>
          </w:rPr>
          <w:t>https://www.em.gov.lv/lv/media/604/download</w:t>
        </w:r>
      </w:hyperlink>
    </w:p>
  </w:footnote>
  <w:footnote w:id="31">
    <w:p w14:paraId="295D7832" w14:textId="3BDCE62B" w:rsidR="005A28CF" w:rsidRPr="00311610" w:rsidRDefault="005A28CF" w:rsidP="00F32036">
      <w:pPr>
        <w:pStyle w:val="FootnoteText"/>
        <w:ind w:left="142" w:hanging="142"/>
        <w:jc w:val="both"/>
        <w:rPr>
          <w:rFonts w:cs="Calibri Light"/>
          <w:sz w:val="12"/>
          <w:szCs w:val="12"/>
          <w:lang w:val="lv-LV"/>
        </w:rPr>
      </w:pPr>
      <w:r w:rsidRPr="00311610">
        <w:rPr>
          <w:rStyle w:val="FootnoteReference"/>
          <w:rFonts w:cs="Calibri Light"/>
          <w:sz w:val="12"/>
          <w:szCs w:val="12"/>
          <w:lang w:val="lv-LV"/>
        </w:rPr>
        <w:footnoteRef/>
      </w:r>
      <w:r w:rsidRPr="00311610">
        <w:rPr>
          <w:rFonts w:cs="Calibri Light"/>
          <w:sz w:val="12"/>
          <w:szCs w:val="12"/>
          <w:lang w:val="lv-LV"/>
        </w:rPr>
        <w:tab/>
        <w:t xml:space="preserve">Informācija par Latvijas augstākās izglītības iestāžu 2017., 2018. un 2019. gada absolventiem; 2018., 2019. un 2020. </w:t>
      </w:r>
      <w:r w:rsidRPr="00311610">
        <w:rPr>
          <w:rFonts w:cs="Calibri Light"/>
          <w:sz w:val="12"/>
          <w:szCs w:val="12"/>
          <w:lang w:val="lv-LV"/>
        </w:rPr>
        <w:t xml:space="preserve">taksācijas/ monitoringa gados: </w:t>
      </w:r>
      <w:hyperlink r:id="rId24" w:history="1">
        <w:r w:rsidRPr="00311610">
          <w:rPr>
            <w:rStyle w:val="Hyperlink"/>
            <w:rFonts w:eastAsia="Calibri" w:cs="Calibri Light"/>
            <w:sz w:val="12"/>
            <w:szCs w:val="12"/>
            <w:lang w:val="lv-LV"/>
          </w:rPr>
          <w:t>https://data.gov.lv/dati/lv</w:t>
        </w:r>
      </w:hyperlink>
      <w:r w:rsidRPr="00311610">
        <w:rPr>
          <w:rFonts w:cs="Calibri Light"/>
          <w:sz w:val="12"/>
          <w:szCs w:val="12"/>
          <w:lang w:val="lv-LV"/>
        </w:rPr>
        <w:t xml:space="preserve"> </w:t>
      </w:r>
    </w:p>
  </w:footnote>
  <w:footnote w:id="32">
    <w:p w14:paraId="01D8E9DD" w14:textId="7DB25ED9" w:rsidR="005A28CF" w:rsidRPr="00311610" w:rsidRDefault="005A28CF" w:rsidP="00F32036">
      <w:pPr>
        <w:pStyle w:val="FootnoteText"/>
        <w:ind w:left="142" w:hanging="142"/>
        <w:jc w:val="both"/>
        <w:rPr>
          <w:rFonts w:cs="Calibri Light"/>
          <w:sz w:val="12"/>
          <w:szCs w:val="12"/>
          <w:lang w:val="lv-LV"/>
        </w:rPr>
      </w:pPr>
      <w:r w:rsidRPr="00311610">
        <w:rPr>
          <w:rStyle w:val="FootnoteReference"/>
          <w:rFonts w:cs="Calibri Light"/>
          <w:sz w:val="12"/>
          <w:szCs w:val="12"/>
          <w:lang w:val="lv-LV"/>
        </w:rPr>
        <w:footnoteRef/>
      </w:r>
      <w:r w:rsidRPr="00311610">
        <w:rPr>
          <w:rFonts w:cs="Calibri Light"/>
          <w:sz w:val="12"/>
          <w:szCs w:val="12"/>
          <w:lang w:val="lv-LV"/>
        </w:rPr>
        <w:tab/>
        <w:t xml:space="preserve">Augstākās izglītības programmu absolventu monitoringa rīks: </w:t>
      </w:r>
      <w:hyperlink r:id="rId25" w:history="1">
        <w:r w:rsidRPr="00311610">
          <w:rPr>
            <w:rStyle w:val="Hyperlink"/>
            <w:rFonts w:eastAsia="Calibri" w:cs="Calibri Light"/>
            <w:sz w:val="12"/>
            <w:szCs w:val="12"/>
            <w:lang w:val="lv-LV"/>
          </w:rPr>
          <w:t>https://www.viis.gov.lv/monitoringa-riki</w:t>
        </w:r>
      </w:hyperlink>
      <w:r w:rsidRPr="00311610">
        <w:rPr>
          <w:rFonts w:cs="Calibri Light"/>
          <w:sz w:val="12"/>
          <w:szCs w:val="12"/>
          <w:lang w:val="lv-LV"/>
        </w:rPr>
        <w:t xml:space="preserve"> </w:t>
      </w:r>
    </w:p>
  </w:footnote>
  <w:footnote w:id="33">
    <w:p w14:paraId="095C738E" w14:textId="77777777" w:rsidR="006F203D" w:rsidRPr="00A26D0E" w:rsidRDefault="006F203D" w:rsidP="006F203D">
      <w:pPr>
        <w:pStyle w:val="FootnoteText"/>
        <w:rPr>
          <w:lang w:val="lv-LV"/>
        </w:rPr>
      </w:pPr>
      <w:r>
        <w:rPr>
          <w:rStyle w:val="FootnoteReference"/>
        </w:rPr>
        <w:footnoteRef/>
      </w:r>
      <w:r w:rsidRPr="00A26D0E">
        <w:rPr>
          <w:lang w:val="lv-LV"/>
        </w:rPr>
        <w:t xml:space="preserve"> </w:t>
      </w:r>
      <w:hyperlink r:id="rId26" w:history="1">
        <w:r w:rsidRPr="00A26D0E">
          <w:rPr>
            <w:rStyle w:val="Hyperlink"/>
            <w:lang w:val="lv-LV"/>
          </w:rPr>
          <w:t>Izglītības attīstības pamatnostādnes 2021.-2027. gadam "Nākotnes prasmes nākotnes sabiedrībai"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703"/>
    <w:multiLevelType w:val="hybridMultilevel"/>
    <w:tmpl w:val="498A9D66"/>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AB0740"/>
    <w:multiLevelType w:val="hybridMultilevel"/>
    <w:tmpl w:val="8B000080"/>
    <w:lvl w:ilvl="0" w:tplc="04260001">
      <w:start w:val="1"/>
      <w:numFmt w:val="bullet"/>
      <w:lvlText w:val=""/>
      <w:lvlJc w:val="left"/>
      <w:pPr>
        <w:ind w:left="1644" w:hanging="360"/>
      </w:pPr>
      <w:rPr>
        <w:rFonts w:ascii="Symbol" w:hAnsi="Symbol" w:hint="default"/>
      </w:rPr>
    </w:lvl>
    <w:lvl w:ilvl="1" w:tplc="04260003" w:tentative="1">
      <w:start w:val="1"/>
      <w:numFmt w:val="bullet"/>
      <w:lvlText w:val="o"/>
      <w:lvlJc w:val="left"/>
      <w:pPr>
        <w:ind w:left="2364" w:hanging="360"/>
      </w:pPr>
      <w:rPr>
        <w:rFonts w:ascii="Courier New" w:hAnsi="Courier New" w:cs="Courier New" w:hint="default"/>
      </w:rPr>
    </w:lvl>
    <w:lvl w:ilvl="2" w:tplc="04260005" w:tentative="1">
      <w:start w:val="1"/>
      <w:numFmt w:val="bullet"/>
      <w:lvlText w:val=""/>
      <w:lvlJc w:val="left"/>
      <w:pPr>
        <w:ind w:left="3084" w:hanging="360"/>
      </w:pPr>
      <w:rPr>
        <w:rFonts w:ascii="Wingdings" w:hAnsi="Wingdings" w:hint="default"/>
      </w:rPr>
    </w:lvl>
    <w:lvl w:ilvl="3" w:tplc="04260001" w:tentative="1">
      <w:start w:val="1"/>
      <w:numFmt w:val="bullet"/>
      <w:lvlText w:val=""/>
      <w:lvlJc w:val="left"/>
      <w:pPr>
        <w:ind w:left="3804" w:hanging="360"/>
      </w:pPr>
      <w:rPr>
        <w:rFonts w:ascii="Symbol" w:hAnsi="Symbol" w:hint="default"/>
      </w:rPr>
    </w:lvl>
    <w:lvl w:ilvl="4" w:tplc="04260003" w:tentative="1">
      <w:start w:val="1"/>
      <w:numFmt w:val="bullet"/>
      <w:lvlText w:val="o"/>
      <w:lvlJc w:val="left"/>
      <w:pPr>
        <w:ind w:left="4524" w:hanging="360"/>
      </w:pPr>
      <w:rPr>
        <w:rFonts w:ascii="Courier New" w:hAnsi="Courier New" w:cs="Courier New" w:hint="default"/>
      </w:rPr>
    </w:lvl>
    <w:lvl w:ilvl="5" w:tplc="04260005" w:tentative="1">
      <w:start w:val="1"/>
      <w:numFmt w:val="bullet"/>
      <w:lvlText w:val=""/>
      <w:lvlJc w:val="left"/>
      <w:pPr>
        <w:ind w:left="5244" w:hanging="360"/>
      </w:pPr>
      <w:rPr>
        <w:rFonts w:ascii="Wingdings" w:hAnsi="Wingdings" w:hint="default"/>
      </w:rPr>
    </w:lvl>
    <w:lvl w:ilvl="6" w:tplc="04260001" w:tentative="1">
      <w:start w:val="1"/>
      <w:numFmt w:val="bullet"/>
      <w:lvlText w:val=""/>
      <w:lvlJc w:val="left"/>
      <w:pPr>
        <w:ind w:left="5964" w:hanging="360"/>
      </w:pPr>
      <w:rPr>
        <w:rFonts w:ascii="Symbol" w:hAnsi="Symbol" w:hint="default"/>
      </w:rPr>
    </w:lvl>
    <w:lvl w:ilvl="7" w:tplc="04260003" w:tentative="1">
      <w:start w:val="1"/>
      <w:numFmt w:val="bullet"/>
      <w:lvlText w:val="o"/>
      <w:lvlJc w:val="left"/>
      <w:pPr>
        <w:ind w:left="6684" w:hanging="360"/>
      </w:pPr>
      <w:rPr>
        <w:rFonts w:ascii="Courier New" w:hAnsi="Courier New" w:cs="Courier New" w:hint="default"/>
      </w:rPr>
    </w:lvl>
    <w:lvl w:ilvl="8" w:tplc="04260005" w:tentative="1">
      <w:start w:val="1"/>
      <w:numFmt w:val="bullet"/>
      <w:lvlText w:val=""/>
      <w:lvlJc w:val="left"/>
      <w:pPr>
        <w:ind w:left="7404" w:hanging="360"/>
      </w:pPr>
      <w:rPr>
        <w:rFonts w:ascii="Wingdings" w:hAnsi="Wingdings" w:hint="default"/>
      </w:rPr>
    </w:lvl>
  </w:abstractNum>
  <w:abstractNum w:abstractNumId="2" w15:restartNumberingAfterBreak="0">
    <w:nsid w:val="23C33757"/>
    <w:multiLevelType w:val="hybridMultilevel"/>
    <w:tmpl w:val="637E44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04682A"/>
    <w:multiLevelType w:val="hybridMultilevel"/>
    <w:tmpl w:val="D382BA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9416C9D"/>
    <w:multiLevelType w:val="hybridMultilevel"/>
    <w:tmpl w:val="443E663C"/>
    <w:lvl w:ilvl="0" w:tplc="7D50C55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0F362E"/>
    <w:multiLevelType w:val="hybridMultilevel"/>
    <w:tmpl w:val="772AF34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9AD4F09"/>
    <w:multiLevelType w:val="hybridMultilevel"/>
    <w:tmpl w:val="C4AC8016"/>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2906BC"/>
    <w:multiLevelType w:val="hybridMultilevel"/>
    <w:tmpl w:val="FD5E9A22"/>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43C02E7"/>
    <w:multiLevelType w:val="hybridMultilevel"/>
    <w:tmpl w:val="03820B6A"/>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55F0246"/>
    <w:multiLevelType w:val="hybridMultilevel"/>
    <w:tmpl w:val="F27AC7C4"/>
    <w:lvl w:ilvl="0" w:tplc="1D9C310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79C7CEF"/>
    <w:multiLevelType w:val="hybridMultilevel"/>
    <w:tmpl w:val="64C43F08"/>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4F8C6B46"/>
    <w:multiLevelType w:val="hybridMultilevel"/>
    <w:tmpl w:val="5718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F33D79"/>
    <w:multiLevelType w:val="hybridMultilevel"/>
    <w:tmpl w:val="21B6AB30"/>
    <w:lvl w:ilvl="0" w:tplc="1D9C31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C6E27CD"/>
    <w:multiLevelType w:val="hybridMultilevel"/>
    <w:tmpl w:val="2DEC1A0E"/>
    <w:lvl w:ilvl="0" w:tplc="1D9C310E">
      <w:start w:val="1"/>
      <w:numFmt w:val="bullet"/>
      <w:lvlText w:val=""/>
      <w:lvlJc w:val="left"/>
      <w:pPr>
        <w:ind w:left="720" w:hanging="360"/>
      </w:pPr>
      <w:rPr>
        <w:rFonts w:ascii="Symbol" w:hAnsi="Symbol" w:hint="default"/>
        <w:color w:val="7030A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3113FC0"/>
    <w:multiLevelType w:val="hybridMultilevel"/>
    <w:tmpl w:val="D124076E"/>
    <w:lvl w:ilvl="0" w:tplc="0426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E3621"/>
    <w:multiLevelType w:val="hybridMultilevel"/>
    <w:tmpl w:val="937A5DB4"/>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91A509E"/>
    <w:multiLevelType w:val="hybridMultilevel"/>
    <w:tmpl w:val="159EC64E"/>
    <w:lvl w:ilvl="0" w:tplc="0426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653943"/>
    <w:multiLevelType w:val="hybridMultilevel"/>
    <w:tmpl w:val="09A6A1F0"/>
    <w:lvl w:ilvl="0" w:tplc="0426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004085D"/>
    <w:multiLevelType w:val="hybridMultilevel"/>
    <w:tmpl w:val="F05CAB10"/>
    <w:lvl w:ilvl="0" w:tplc="1D9C310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F1D40BB"/>
    <w:multiLevelType w:val="hybridMultilevel"/>
    <w:tmpl w:val="0114D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1"/>
  </w:num>
  <w:num w:numId="4">
    <w:abstractNumId w:val="8"/>
  </w:num>
  <w:num w:numId="5">
    <w:abstractNumId w:val="6"/>
  </w:num>
  <w:num w:numId="6">
    <w:abstractNumId w:val="0"/>
  </w:num>
  <w:num w:numId="7">
    <w:abstractNumId w:val="7"/>
  </w:num>
  <w:num w:numId="8">
    <w:abstractNumId w:val="15"/>
  </w:num>
  <w:num w:numId="9">
    <w:abstractNumId w:val="1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3"/>
  </w:num>
  <w:num w:numId="14">
    <w:abstractNumId w:val="5"/>
  </w:num>
  <w:num w:numId="15">
    <w:abstractNumId w:val="10"/>
  </w:num>
  <w:num w:numId="16">
    <w:abstractNumId w:val="18"/>
  </w:num>
  <w:num w:numId="17">
    <w:abstractNumId w:val="3"/>
  </w:num>
  <w:num w:numId="18">
    <w:abstractNumId w:val="16"/>
  </w:num>
  <w:num w:numId="19">
    <w:abstractNumId w:val="19"/>
  </w:num>
  <w:num w:numId="20">
    <w:abstractNumId w:val="12"/>
  </w:num>
  <w:num w:numId="2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0481"/>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45"/>
    <w:rsid w:val="00002F07"/>
    <w:rsid w:val="00003021"/>
    <w:rsid w:val="0000371C"/>
    <w:rsid w:val="000039AA"/>
    <w:rsid w:val="00005963"/>
    <w:rsid w:val="0000696C"/>
    <w:rsid w:val="000069DF"/>
    <w:rsid w:val="00006A50"/>
    <w:rsid w:val="000107EE"/>
    <w:rsid w:val="00010811"/>
    <w:rsid w:val="000118EB"/>
    <w:rsid w:val="00011BA6"/>
    <w:rsid w:val="00012594"/>
    <w:rsid w:val="00012BB6"/>
    <w:rsid w:val="0001630A"/>
    <w:rsid w:val="000206F9"/>
    <w:rsid w:val="00021B0C"/>
    <w:rsid w:val="00021B95"/>
    <w:rsid w:val="00022428"/>
    <w:rsid w:val="0002262C"/>
    <w:rsid w:val="00022F92"/>
    <w:rsid w:val="00023F9B"/>
    <w:rsid w:val="0002400D"/>
    <w:rsid w:val="00024417"/>
    <w:rsid w:val="00025317"/>
    <w:rsid w:val="000258B9"/>
    <w:rsid w:val="00025FE4"/>
    <w:rsid w:val="0002608F"/>
    <w:rsid w:val="0002649D"/>
    <w:rsid w:val="00026AE9"/>
    <w:rsid w:val="00027C28"/>
    <w:rsid w:val="00027D54"/>
    <w:rsid w:val="00030E97"/>
    <w:rsid w:val="000311FB"/>
    <w:rsid w:val="00031708"/>
    <w:rsid w:val="00032404"/>
    <w:rsid w:val="0003261A"/>
    <w:rsid w:val="00032C52"/>
    <w:rsid w:val="00033629"/>
    <w:rsid w:val="00035C7F"/>
    <w:rsid w:val="00035D4C"/>
    <w:rsid w:val="000402FB"/>
    <w:rsid w:val="0004197D"/>
    <w:rsid w:val="00042F11"/>
    <w:rsid w:val="00043271"/>
    <w:rsid w:val="00043935"/>
    <w:rsid w:val="00043D23"/>
    <w:rsid w:val="00044A89"/>
    <w:rsid w:val="00045524"/>
    <w:rsid w:val="00045A17"/>
    <w:rsid w:val="00045A9E"/>
    <w:rsid w:val="0004799B"/>
    <w:rsid w:val="00047DB9"/>
    <w:rsid w:val="0005082E"/>
    <w:rsid w:val="00051CF7"/>
    <w:rsid w:val="00051F55"/>
    <w:rsid w:val="0005216F"/>
    <w:rsid w:val="00052EA8"/>
    <w:rsid w:val="00053192"/>
    <w:rsid w:val="00053604"/>
    <w:rsid w:val="00053BFB"/>
    <w:rsid w:val="00053E51"/>
    <w:rsid w:val="000545D7"/>
    <w:rsid w:val="00055177"/>
    <w:rsid w:val="00055A00"/>
    <w:rsid w:val="00055A16"/>
    <w:rsid w:val="000562A8"/>
    <w:rsid w:val="00057ABE"/>
    <w:rsid w:val="000602CB"/>
    <w:rsid w:val="00060DDC"/>
    <w:rsid w:val="00061B83"/>
    <w:rsid w:val="00061C54"/>
    <w:rsid w:val="000629C8"/>
    <w:rsid w:val="00063374"/>
    <w:rsid w:val="00064046"/>
    <w:rsid w:val="00070EBB"/>
    <w:rsid w:val="00070FFF"/>
    <w:rsid w:val="000738BC"/>
    <w:rsid w:val="00073AA3"/>
    <w:rsid w:val="000747BE"/>
    <w:rsid w:val="00074B0F"/>
    <w:rsid w:val="0007539E"/>
    <w:rsid w:val="0007571F"/>
    <w:rsid w:val="0007747D"/>
    <w:rsid w:val="000777C2"/>
    <w:rsid w:val="000800F5"/>
    <w:rsid w:val="00080599"/>
    <w:rsid w:val="00080FDA"/>
    <w:rsid w:val="00081838"/>
    <w:rsid w:val="00082164"/>
    <w:rsid w:val="00082291"/>
    <w:rsid w:val="00083097"/>
    <w:rsid w:val="00086FA3"/>
    <w:rsid w:val="000873F1"/>
    <w:rsid w:val="00087636"/>
    <w:rsid w:val="00091958"/>
    <w:rsid w:val="00092986"/>
    <w:rsid w:val="000947D1"/>
    <w:rsid w:val="00094EA1"/>
    <w:rsid w:val="000953E4"/>
    <w:rsid w:val="000970A1"/>
    <w:rsid w:val="000A0737"/>
    <w:rsid w:val="000A0CD7"/>
    <w:rsid w:val="000A1010"/>
    <w:rsid w:val="000A16F4"/>
    <w:rsid w:val="000A1F99"/>
    <w:rsid w:val="000A2D0F"/>
    <w:rsid w:val="000A4700"/>
    <w:rsid w:val="000A4C4E"/>
    <w:rsid w:val="000A51AB"/>
    <w:rsid w:val="000A5226"/>
    <w:rsid w:val="000A5553"/>
    <w:rsid w:val="000A57EB"/>
    <w:rsid w:val="000A67CE"/>
    <w:rsid w:val="000A7AA4"/>
    <w:rsid w:val="000A7DCD"/>
    <w:rsid w:val="000A7F24"/>
    <w:rsid w:val="000B0A51"/>
    <w:rsid w:val="000B119E"/>
    <w:rsid w:val="000B2803"/>
    <w:rsid w:val="000B305D"/>
    <w:rsid w:val="000B3C76"/>
    <w:rsid w:val="000B3F02"/>
    <w:rsid w:val="000B6AA5"/>
    <w:rsid w:val="000B6C1C"/>
    <w:rsid w:val="000B71F1"/>
    <w:rsid w:val="000C1272"/>
    <w:rsid w:val="000C12CB"/>
    <w:rsid w:val="000C13A7"/>
    <w:rsid w:val="000C2A3D"/>
    <w:rsid w:val="000C2FB9"/>
    <w:rsid w:val="000C3B60"/>
    <w:rsid w:val="000C4FB2"/>
    <w:rsid w:val="000C5669"/>
    <w:rsid w:val="000C591A"/>
    <w:rsid w:val="000C656C"/>
    <w:rsid w:val="000D2332"/>
    <w:rsid w:val="000D266A"/>
    <w:rsid w:val="000D2C4C"/>
    <w:rsid w:val="000D3F34"/>
    <w:rsid w:val="000D4904"/>
    <w:rsid w:val="000D4E7D"/>
    <w:rsid w:val="000D7BC9"/>
    <w:rsid w:val="000E0E12"/>
    <w:rsid w:val="000E2B79"/>
    <w:rsid w:val="000E5484"/>
    <w:rsid w:val="000E6A07"/>
    <w:rsid w:val="000E76F4"/>
    <w:rsid w:val="000F00B6"/>
    <w:rsid w:val="000F2DF0"/>
    <w:rsid w:val="000F2E1A"/>
    <w:rsid w:val="000F31FA"/>
    <w:rsid w:val="000F36F1"/>
    <w:rsid w:val="000F5508"/>
    <w:rsid w:val="000F58CE"/>
    <w:rsid w:val="000F6BD3"/>
    <w:rsid w:val="000F71A3"/>
    <w:rsid w:val="00101EA1"/>
    <w:rsid w:val="00101FAA"/>
    <w:rsid w:val="00103B84"/>
    <w:rsid w:val="00103CD6"/>
    <w:rsid w:val="0010420D"/>
    <w:rsid w:val="00104610"/>
    <w:rsid w:val="00104703"/>
    <w:rsid w:val="00104961"/>
    <w:rsid w:val="001055F3"/>
    <w:rsid w:val="00105791"/>
    <w:rsid w:val="00105EF4"/>
    <w:rsid w:val="00106238"/>
    <w:rsid w:val="00106F5F"/>
    <w:rsid w:val="001074D7"/>
    <w:rsid w:val="00107728"/>
    <w:rsid w:val="00110A3F"/>
    <w:rsid w:val="0011148F"/>
    <w:rsid w:val="00112683"/>
    <w:rsid w:val="001136AE"/>
    <w:rsid w:val="00115BA1"/>
    <w:rsid w:val="00116E76"/>
    <w:rsid w:val="001179C2"/>
    <w:rsid w:val="00117AEA"/>
    <w:rsid w:val="00117BEB"/>
    <w:rsid w:val="00117C85"/>
    <w:rsid w:val="0012066C"/>
    <w:rsid w:val="0012148D"/>
    <w:rsid w:val="0012202B"/>
    <w:rsid w:val="00122568"/>
    <w:rsid w:val="00122DE3"/>
    <w:rsid w:val="001231A9"/>
    <w:rsid w:val="001237C9"/>
    <w:rsid w:val="00123D5B"/>
    <w:rsid w:val="00125280"/>
    <w:rsid w:val="001268D6"/>
    <w:rsid w:val="001306C1"/>
    <w:rsid w:val="001306EC"/>
    <w:rsid w:val="00130938"/>
    <w:rsid w:val="00130A19"/>
    <w:rsid w:val="0013312A"/>
    <w:rsid w:val="00135BC2"/>
    <w:rsid w:val="0013604B"/>
    <w:rsid w:val="001361AF"/>
    <w:rsid w:val="00136632"/>
    <w:rsid w:val="001366B0"/>
    <w:rsid w:val="00136884"/>
    <w:rsid w:val="00140879"/>
    <w:rsid w:val="00141AC0"/>
    <w:rsid w:val="001429D1"/>
    <w:rsid w:val="00142F8A"/>
    <w:rsid w:val="00143658"/>
    <w:rsid w:val="00143CE5"/>
    <w:rsid w:val="00143DCE"/>
    <w:rsid w:val="0014587B"/>
    <w:rsid w:val="00145CFB"/>
    <w:rsid w:val="00147A79"/>
    <w:rsid w:val="00151099"/>
    <w:rsid w:val="0015142E"/>
    <w:rsid w:val="0015494F"/>
    <w:rsid w:val="00155137"/>
    <w:rsid w:val="0015531A"/>
    <w:rsid w:val="00157303"/>
    <w:rsid w:val="0016098F"/>
    <w:rsid w:val="001616E7"/>
    <w:rsid w:val="001619AE"/>
    <w:rsid w:val="0016224B"/>
    <w:rsid w:val="00162D70"/>
    <w:rsid w:val="001637D2"/>
    <w:rsid w:val="00164033"/>
    <w:rsid w:val="00164773"/>
    <w:rsid w:val="0016501B"/>
    <w:rsid w:val="00165110"/>
    <w:rsid w:val="0016645F"/>
    <w:rsid w:val="00166D26"/>
    <w:rsid w:val="00167118"/>
    <w:rsid w:val="001674A5"/>
    <w:rsid w:val="0017182B"/>
    <w:rsid w:val="00172504"/>
    <w:rsid w:val="00172594"/>
    <w:rsid w:val="0017292A"/>
    <w:rsid w:val="00172A34"/>
    <w:rsid w:val="00172C5E"/>
    <w:rsid w:val="00172FCC"/>
    <w:rsid w:val="0017450F"/>
    <w:rsid w:val="001751C8"/>
    <w:rsid w:val="00175DAA"/>
    <w:rsid w:val="00175EF2"/>
    <w:rsid w:val="00176BD4"/>
    <w:rsid w:val="00177098"/>
    <w:rsid w:val="001774CB"/>
    <w:rsid w:val="00181E1E"/>
    <w:rsid w:val="00181F4C"/>
    <w:rsid w:val="00182D83"/>
    <w:rsid w:val="001837B3"/>
    <w:rsid w:val="0018412F"/>
    <w:rsid w:val="00185EAB"/>
    <w:rsid w:val="001867C7"/>
    <w:rsid w:val="00186C0C"/>
    <w:rsid w:val="00190A50"/>
    <w:rsid w:val="001919A8"/>
    <w:rsid w:val="00192265"/>
    <w:rsid w:val="00192948"/>
    <w:rsid w:val="00192E77"/>
    <w:rsid w:val="00193F26"/>
    <w:rsid w:val="001943D3"/>
    <w:rsid w:val="00194B05"/>
    <w:rsid w:val="00194FF5"/>
    <w:rsid w:val="0019532E"/>
    <w:rsid w:val="00195544"/>
    <w:rsid w:val="00195708"/>
    <w:rsid w:val="00195CF3"/>
    <w:rsid w:val="00195E20"/>
    <w:rsid w:val="00195E79"/>
    <w:rsid w:val="00196518"/>
    <w:rsid w:val="00197880"/>
    <w:rsid w:val="00197A45"/>
    <w:rsid w:val="00197D61"/>
    <w:rsid w:val="001A0825"/>
    <w:rsid w:val="001A0FBE"/>
    <w:rsid w:val="001A1379"/>
    <w:rsid w:val="001A1C1B"/>
    <w:rsid w:val="001A1E17"/>
    <w:rsid w:val="001A24E7"/>
    <w:rsid w:val="001A3146"/>
    <w:rsid w:val="001A4046"/>
    <w:rsid w:val="001A4A62"/>
    <w:rsid w:val="001A4C45"/>
    <w:rsid w:val="001A534A"/>
    <w:rsid w:val="001A67D5"/>
    <w:rsid w:val="001A6863"/>
    <w:rsid w:val="001A759B"/>
    <w:rsid w:val="001B0467"/>
    <w:rsid w:val="001B0D58"/>
    <w:rsid w:val="001B2F7C"/>
    <w:rsid w:val="001B3400"/>
    <w:rsid w:val="001B3D2C"/>
    <w:rsid w:val="001B5411"/>
    <w:rsid w:val="001B5F36"/>
    <w:rsid w:val="001B6ACE"/>
    <w:rsid w:val="001B6B78"/>
    <w:rsid w:val="001B7234"/>
    <w:rsid w:val="001B7AAE"/>
    <w:rsid w:val="001B7B72"/>
    <w:rsid w:val="001C0BD9"/>
    <w:rsid w:val="001C0CE1"/>
    <w:rsid w:val="001C1E8D"/>
    <w:rsid w:val="001C2552"/>
    <w:rsid w:val="001C28BC"/>
    <w:rsid w:val="001C2D82"/>
    <w:rsid w:val="001C353E"/>
    <w:rsid w:val="001C4920"/>
    <w:rsid w:val="001C5161"/>
    <w:rsid w:val="001C5E8F"/>
    <w:rsid w:val="001C78B7"/>
    <w:rsid w:val="001C7DF1"/>
    <w:rsid w:val="001D008C"/>
    <w:rsid w:val="001D18AA"/>
    <w:rsid w:val="001D1B0C"/>
    <w:rsid w:val="001D39F1"/>
    <w:rsid w:val="001D3E88"/>
    <w:rsid w:val="001D5372"/>
    <w:rsid w:val="001D5473"/>
    <w:rsid w:val="001D5EF9"/>
    <w:rsid w:val="001D60B9"/>
    <w:rsid w:val="001D6552"/>
    <w:rsid w:val="001D6B17"/>
    <w:rsid w:val="001D7A78"/>
    <w:rsid w:val="001E20F4"/>
    <w:rsid w:val="001E37A5"/>
    <w:rsid w:val="001E3B90"/>
    <w:rsid w:val="001E40D2"/>
    <w:rsid w:val="001E4103"/>
    <w:rsid w:val="001E414B"/>
    <w:rsid w:val="001E47B3"/>
    <w:rsid w:val="001E4BA5"/>
    <w:rsid w:val="001E7C07"/>
    <w:rsid w:val="001E7EC2"/>
    <w:rsid w:val="001E8666"/>
    <w:rsid w:val="001F0F46"/>
    <w:rsid w:val="001F1B53"/>
    <w:rsid w:val="001F1E31"/>
    <w:rsid w:val="001F2749"/>
    <w:rsid w:val="001F27E8"/>
    <w:rsid w:val="001F28C8"/>
    <w:rsid w:val="001F3BCE"/>
    <w:rsid w:val="001F4062"/>
    <w:rsid w:val="001F581E"/>
    <w:rsid w:val="001F5CB9"/>
    <w:rsid w:val="001F5FE0"/>
    <w:rsid w:val="001F76FB"/>
    <w:rsid w:val="002003F0"/>
    <w:rsid w:val="002006E2"/>
    <w:rsid w:val="002010D7"/>
    <w:rsid w:val="0020150C"/>
    <w:rsid w:val="00201C68"/>
    <w:rsid w:val="0020243F"/>
    <w:rsid w:val="0020348D"/>
    <w:rsid w:val="00203909"/>
    <w:rsid w:val="00204552"/>
    <w:rsid w:val="00204B09"/>
    <w:rsid w:val="002053CA"/>
    <w:rsid w:val="00205BC7"/>
    <w:rsid w:val="002063DD"/>
    <w:rsid w:val="00206763"/>
    <w:rsid w:val="002069FB"/>
    <w:rsid w:val="00207386"/>
    <w:rsid w:val="002076A6"/>
    <w:rsid w:val="00207F27"/>
    <w:rsid w:val="002103AC"/>
    <w:rsid w:val="0021064C"/>
    <w:rsid w:val="00211221"/>
    <w:rsid w:val="00214D84"/>
    <w:rsid w:val="00215C06"/>
    <w:rsid w:val="00215C10"/>
    <w:rsid w:val="00216C3F"/>
    <w:rsid w:val="00216E18"/>
    <w:rsid w:val="0022074E"/>
    <w:rsid w:val="0022122A"/>
    <w:rsid w:val="00224E0A"/>
    <w:rsid w:val="00225331"/>
    <w:rsid w:val="00225A60"/>
    <w:rsid w:val="0022686B"/>
    <w:rsid w:val="00226B6A"/>
    <w:rsid w:val="00227230"/>
    <w:rsid w:val="00230458"/>
    <w:rsid w:val="00230914"/>
    <w:rsid w:val="00232506"/>
    <w:rsid w:val="00232700"/>
    <w:rsid w:val="00232E26"/>
    <w:rsid w:val="002338E7"/>
    <w:rsid w:val="002347DC"/>
    <w:rsid w:val="002348EC"/>
    <w:rsid w:val="00240656"/>
    <w:rsid w:val="00240C32"/>
    <w:rsid w:val="0024145B"/>
    <w:rsid w:val="00241911"/>
    <w:rsid w:val="002421C1"/>
    <w:rsid w:val="0024313D"/>
    <w:rsid w:val="002432EC"/>
    <w:rsid w:val="0024678C"/>
    <w:rsid w:val="00246EBC"/>
    <w:rsid w:val="0025067A"/>
    <w:rsid w:val="0025081D"/>
    <w:rsid w:val="0025272E"/>
    <w:rsid w:val="00253701"/>
    <w:rsid w:val="002538D4"/>
    <w:rsid w:val="00256336"/>
    <w:rsid w:val="00256CEA"/>
    <w:rsid w:val="002610E8"/>
    <w:rsid w:val="00261168"/>
    <w:rsid w:val="002612A6"/>
    <w:rsid w:val="0026189F"/>
    <w:rsid w:val="0026217E"/>
    <w:rsid w:val="002623E2"/>
    <w:rsid w:val="00262FD6"/>
    <w:rsid w:val="00263F80"/>
    <w:rsid w:val="0026459F"/>
    <w:rsid w:val="00264CAF"/>
    <w:rsid w:val="00266252"/>
    <w:rsid w:val="00270AF1"/>
    <w:rsid w:val="00270DAE"/>
    <w:rsid w:val="0027157B"/>
    <w:rsid w:val="002716B4"/>
    <w:rsid w:val="002720E5"/>
    <w:rsid w:val="0027292C"/>
    <w:rsid w:val="002733AF"/>
    <w:rsid w:val="00273483"/>
    <w:rsid w:val="00273598"/>
    <w:rsid w:val="002736F2"/>
    <w:rsid w:val="0027408E"/>
    <w:rsid w:val="002747DA"/>
    <w:rsid w:val="00274CFB"/>
    <w:rsid w:val="00274E21"/>
    <w:rsid w:val="002761C6"/>
    <w:rsid w:val="002761D5"/>
    <w:rsid w:val="00277A08"/>
    <w:rsid w:val="00280222"/>
    <w:rsid w:val="0028038E"/>
    <w:rsid w:val="00280642"/>
    <w:rsid w:val="002806DF"/>
    <w:rsid w:val="00280B79"/>
    <w:rsid w:val="0028383C"/>
    <w:rsid w:val="0028397C"/>
    <w:rsid w:val="00284019"/>
    <w:rsid w:val="00284C9D"/>
    <w:rsid w:val="00286064"/>
    <w:rsid w:val="00286224"/>
    <w:rsid w:val="00287703"/>
    <w:rsid w:val="002879D2"/>
    <w:rsid w:val="00287B64"/>
    <w:rsid w:val="00290965"/>
    <w:rsid w:val="002909F0"/>
    <w:rsid w:val="0029145A"/>
    <w:rsid w:val="00291E55"/>
    <w:rsid w:val="0029275E"/>
    <w:rsid w:val="002930D1"/>
    <w:rsid w:val="002941B1"/>
    <w:rsid w:val="00294A12"/>
    <w:rsid w:val="00295827"/>
    <w:rsid w:val="002958F9"/>
    <w:rsid w:val="00295D7D"/>
    <w:rsid w:val="002975C4"/>
    <w:rsid w:val="002A3982"/>
    <w:rsid w:val="002A5115"/>
    <w:rsid w:val="002A57BC"/>
    <w:rsid w:val="002A6283"/>
    <w:rsid w:val="002A6FC2"/>
    <w:rsid w:val="002A7264"/>
    <w:rsid w:val="002B0591"/>
    <w:rsid w:val="002B16CE"/>
    <w:rsid w:val="002B1888"/>
    <w:rsid w:val="002B23A6"/>
    <w:rsid w:val="002B2C2D"/>
    <w:rsid w:val="002B3523"/>
    <w:rsid w:val="002B3871"/>
    <w:rsid w:val="002B3B43"/>
    <w:rsid w:val="002B3BF9"/>
    <w:rsid w:val="002B42AA"/>
    <w:rsid w:val="002B49BA"/>
    <w:rsid w:val="002B4DCF"/>
    <w:rsid w:val="002B5C49"/>
    <w:rsid w:val="002B6CD4"/>
    <w:rsid w:val="002B72F8"/>
    <w:rsid w:val="002B73DD"/>
    <w:rsid w:val="002C1B96"/>
    <w:rsid w:val="002C30CC"/>
    <w:rsid w:val="002C352D"/>
    <w:rsid w:val="002C3711"/>
    <w:rsid w:val="002C3A78"/>
    <w:rsid w:val="002C524D"/>
    <w:rsid w:val="002C571B"/>
    <w:rsid w:val="002C5A40"/>
    <w:rsid w:val="002C65BA"/>
    <w:rsid w:val="002C6B26"/>
    <w:rsid w:val="002C6ED6"/>
    <w:rsid w:val="002C7338"/>
    <w:rsid w:val="002C74F9"/>
    <w:rsid w:val="002C7710"/>
    <w:rsid w:val="002D314C"/>
    <w:rsid w:val="002D36B9"/>
    <w:rsid w:val="002D43EA"/>
    <w:rsid w:val="002D6079"/>
    <w:rsid w:val="002D613C"/>
    <w:rsid w:val="002D73F4"/>
    <w:rsid w:val="002D7709"/>
    <w:rsid w:val="002E009D"/>
    <w:rsid w:val="002E0577"/>
    <w:rsid w:val="002E1279"/>
    <w:rsid w:val="002E1294"/>
    <w:rsid w:val="002E1D28"/>
    <w:rsid w:val="002E2B90"/>
    <w:rsid w:val="002E60AF"/>
    <w:rsid w:val="002E7DAA"/>
    <w:rsid w:val="002F0FD6"/>
    <w:rsid w:val="002F1C05"/>
    <w:rsid w:val="002F1E00"/>
    <w:rsid w:val="002F2BB9"/>
    <w:rsid w:val="002F38E4"/>
    <w:rsid w:val="002F3D07"/>
    <w:rsid w:val="002F4134"/>
    <w:rsid w:val="002F57BF"/>
    <w:rsid w:val="002F5807"/>
    <w:rsid w:val="002F5BD0"/>
    <w:rsid w:val="002F61CA"/>
    <w:rsid w:val="002F65A3"/>
    <w:rsid w:val="002F6F95"/>
    <w:rsid w:val="002F7426"/>
    <w:rsid w:val="002F7436"/>
    <w:rsid w:val="002F7921"/>
    <w:rsid w:val="002F7D00"/>
    <w:rsid w:val="002F7EAC"/>
    <w:rsid w:val="003000D9"/>
    <w:rsid w:val="00301C3A"/>
    <w:rsid w:val="003033EF"/>
    <w:rsid w:val="0030377C"/>
    <w:rsid w:val="00303AA1"/>
    <w:rsid w:val="00303C86"/>
    <w:rsid w:val="00303CEA"/>
    <w:rsid w:val="00304302"/>
    <w:rsid w:val="003044FD"/>
    <w:rsid w:val="00307269"/>
    <w:rsid w:val="00307D8D"/>
    <w:rsid w:val="00310CDF"/>
    <w:rsid w:val="003114EE"/>
    <w:rsid w:val="00311610"/>
    <w:rsid w:val="00311F15"/>
    <w:rsid w:val="00312857"/>
    <w:rsid w:val="00315AE0"/>
    <w:rsid w:val="003205AC"/>
    <w:rsid w:val="003217B4"/>
    <w:rsid w:val="00321CAB"/>
    <w:rsid w:val="00322C71"/>
    <w:rsid w:val="003231B3"/>
    <w:rsid w:val="00323258"/>
    <w:rsid w:val="003253C2"/>
    <w:rsid w:val="003263AD"/>
    <w:rsid w:val="00327345"/>
    <w:rsid w:val="00327EBB"/>
    <w:rsid w:val="00330024"/>
    <w:rsid w:val="00330671"/>
    <w:rsid w:val="003308E8"/>
    <w:rsid w:val="003315A4"/>
    <w:rsid w:val="003316CE"/>
    <w:rsid w:val="00331A07"/>
    <w:rsid w:val="00331DF0"/>
    <w:rsid w:val="00332076"/>
    <w:rsid w:val="00332888"/>
    <w:rsid w:val="00334969"/>
    <w:rsid w:val="00334DA4"/>
    <w:rsid w:val="00336375"/>
    <w:rsid w:val="0033675C"/>
    <w:rsid w:val="003367C3"/>
    <w:rsid w:val="00337437"/>
    <w:rsid w:val="00337BCF"/>
    <w:rsid w:val="003408DE"/>
    <w:rsid w:val="00340915"/>
    <w:rsid w:val="00340CA7"/>
    <w:rsid w:val="00340EEE"/>
    <w:rsid w:val="00343BAC"/>
    <w:rsid w:val="00343C57"/>
    <w:rsid w:val="00345EA7"/>
    <w:rsid w:val="003466E8"/>
    <w:rsid w:val="003500DB"/>
    <w:rsid w:val="003505A6"/>
    <w:rsid w:val="003509D0"/>
    <w:rsid w:val="00351475"/>
    <w:rsid w:val="00352F03"/>
    <w:rsid w:val="003554E0"/>
    <w:rsid w:val="003559F3"/>
    <w:rsid w:val="00357982"/>
    <w:rsid w:val="003608ED"/>
    <w:rsid w:val="003614BF"/>
    <w:rsid w:val="00361520"/>
    <w:rsid w:val="003616AB"/>
    <w:rsid w:val="00361731"/>
    <w:rsid w:val="0036244F"/>
    <w:rsid w:val="00363201"/>
    <w:rsid w:val="00364695"/>
    <w:rsid w:val="00364C17"/>
    <w:rsid w:val="00364D64"/>
    <w:rsid w:val="003654C0"/>
    <w:rsid w:val="00366078"/>
    <w:rsid w:val="00366716"/>
    <w:rsid w:val="00367E78"/>
    <w:rsid w:val="003712BE"/>
    <w:rsid w:val="003743A3"/>
    <w:rsid w:val="003751AF"/>
    <w:rsid w:val="003754DD"/>
    <w:rsid w:val="003768BC"/>
    <w:rsid w:val="00376C32"/>
    <w:rsid w:val="003775C0"/>
    <w:rsid w:val="00381424"/>
    <w:rsid w:val="00381B79"/>
    <w:rsid w:val="00381C96"/>
    <w:rsid w:val="00382ABA"/>
    <w:rsid w:val="00384C94"/>
    <w:rsid w:val="00385781"/>
    <w:rsid w:val="00385805"/>
    <w:rsid w:val="003859BB"/>
    <w:rsid w:val="003862C8"/>
    <w:rsid w:val="0038672F"/>
    <w:rsid w:val="00392854"/>
    <w:rsid w:val="003941E6"/>
    <w:rsid w:val="00394C44"/>
    <w:rsid w:val="0039617D"/>
    <w:rsid w:val="0039648E"/>
    <w:rsid w:val="00396F08"/>
    <w:rsid w:val="00397407"/>
    <w:rsid w:val="003978B0"/>
    <w:rsid w:val="003A0BB5"/>
    <w:rsid w:val="003A1AD9"/>
    <w:rsid w:val="003A2548"/>
    <w:rsid w:val="003A2911"/>
    <w:rsid w:val="003A5C07"/>
    <w:rsid w:val="003A5D9F"/>
    <w:rsid w:val="003A6537"/>
    <w:rsid w:val="003A70B1"/>
    <w:rsid w:val="003A7C0E"/>
    <w:rsid w:val="003B0302"/>
    <w:rsid w:val="003B0306"/>
    <w:rsid w:val="003B04DA"/>
    <w:rsid w:val="003B0807"/>
    <w:rsid w:val="003B118E"/>
    <w:rsid w:val="003B12C8"/>
    <w:rsid w:val="003B3191"/>
    <w:rsid w:val="003B35AE"/>
    <w:rsid w:val="003B4CDA"/>
    <w:rsid w:val="003B566F"/>
    <w:rsid w:val="003B62E4"/>
    <w:rsid w:val="003B683F"/>
    <w:rsid w:val="003C2033"/>
    <w:rsid w:val="003C280E"/>
    <w:rsid w:val="003C29E2"/>
    <w:rsid w:val="003C38AC"/>
    <w:rsid w:val="003C3A45"/>
    <w:rsid w:val="003C40CB"/>
    <w:rsid w:val="003C45F4"/>
    <w:rsid w:val="003C4F22"/>
    <w:rsid w:val="003C6E10"/>
    <w:rsid w:val="003C78B2"/>
    <w:rsid w:val="003C7DE6"/>
    <w:rsid w:val="003D0590"/>
    <w:rsid w:val="003D05BF"/>
    <w:rsid w:val="003D114D"/>
    <w:rsid w:val="003D14D8"/>
    <w:rsid w:val="003D26C6"/>
    <w:rsid w:val="003D26DE"/>
    <w:rsid w:val="003D47A2"/>
    <w:rsid w:val="003D5A2E"/>
    <w:rsid w:val="003D5A56"/>
    <w:rsid w:val="003D6BC0"/>
    <w:rsid w:val="003D6FB3"/>
    <w:rsid w:val="003D7B03"/>
    <w:rsid w:val="003E084B"/>
    <w:rsid w:val="003E0AA3"/>
    <w:rsid w:val="003E3A92"/>
    <w:rsid w:val="003E3D86"/>
    <w:rsid w:val="003E4D0B"/>
    <w:rsid w:val="003E4E91"/>
    <w:rsid w:val="003E51A2"/>
    <w:rsid w:val="003E6DAB"/>
    <w:rsid w:val="003E717F"/>
    <w:rsid w:val="003E7370"/>
    <w:rsid w:val="003E7C79"/>
    <w:rsid w:val="003F2EBC"/>
    <w:rsid w:val="003F3433"/>
    <w:rsid w:val="003F3D93"/>
    <w:rsid w:val="003F46D8"/>
    <w:rsid w:val="003F56B6"/>
    <w:rsid w:val="003F6076"/>
    <w:rsid w:val="003F6DA1"/>
    <w:rsid w:val="004001EB"/>
    <w:rsid w:val="004002BE"/>
    <w:rsid w:val="00400CC9"/>
    <w:rsid w:val="00402274"/>
    <w:rsid w:val="00403E80"/>
    <w:rsid w:val="00405EFC"/>
    <w:rsid w:val="0040650D"/>
    <w:rsid w:val="00406F06"/>
    <w:rsid w:val="004075CB"/>
    <w:rsid w:val="0040786A"/>
    <w:rsid w:val="00407AA2"/>
    <w:rsid w:val="00407AFD"/>
    <w:rsid w:val="00410763"/>
    <w:rsid w:val="00410BB3"/>
    <w:rsid w:val="00412880"/>
    <w:rsid w:val="00412CA5"/>
    <w:rsid w:val="00413322"/>
    <w:rsid w:val="00413E20"/>
    <w:rsid w:val="00414DFF"/>
    <w:rsid w:val="00415C6E"/>
    <w:rsid w:val="00415CA0"/>
    <w:rsid w:val="00416CF5"/>
    <w:rsid w:val="00417159"/>
    <w:rsid w:val="004172F8"/>
    <w:rsid w:val="0041793B"/>
    <w:rsid w:val="00417C2E"/>
    <w:rsid w:val="00420337"/>
    <w:rsid w:val="0042173A"/>
    <w:rsid w:val="00421C5D"/>
    <w:rsid w:val="00421F46"/>
    <w:rsid w:val="00424991"/>
    <w:rsid w:val="00426984"/>
    <w:rsid w:val="00426F73"/>
    <w:rsid w:val="00427FF6"/>
    <w:rsid w:val="00430577"/>
    <w:rsid w:val="0043104C"/>
    <w:rsid w:val="00432FCE"/>
    <w:rsid w:val="004336A1"/>
    <w:rsid w:val="00433F82"/>
    <w:rsid w:val="00434E05"/>
    <w:rsid w:val="0043502C"/>
    <w:rsid w:val="00436988"/>
    <w:rsid w:val="00436C91"/>
    <w:rsid w:val="00440617"/>
    <w:rsid w:val="0044199E"/>
    <w:rsid w:val="00442DF7"/>
    <w:rsid w:val="00443207"/>
    <w:rsid w:val="00444545"/>
    <w:rsid w:val="00444789"/>
    <w:rsid w:val="004453A7"/>
    <w:rsid w:val="004453D8"/>
    <w:rsid w:val="00445A47"/>
    <w:rsid w:val="00445B6D"/>
    <w:rsid w:val="004466B7"/>
    <w:rsid w:val="00446BE1"/>
    <w:rsid w:val="00450186"/>
    <w:rsid w:val="00450583"/>
    <w:rsid w:val="00451CDF"/>
    <w:rsid w:val="00454927"/>
    <w:rsid w:val="0045493A"/>
    <w:rsid w:val="00456619"/>
    <w:rsid w:val="00457196"/>
    <w:rsid w:val="004607A8"/>
    <w:rsid w:val="0046100D"/>
    <w:rsid w:val="004615C4"/>
    <w:rsid w:val="00463978"/>
    <w:rsid w:val="0046397F"/>
    <w:rsid w:val="00463EDB"/>
    <w:rsid w:val="0046539C"/>
    <w:rsid w:val="00465507"/>
    <w:rsid w:val="0046603E"/>
    <w:rsid w:val="00466545"/>
    <w:rsid w:val="0046679D"/>
    <w:rsid w:val="00466DBE"/>
    <w:rsid w:val="004678B8"/>
    <w:rsid w:val="004702E1"/>
    <w:rsid w:val="00470754"/>
    <w:rsid w:val="004713D6"/>
    <w:rsid w:val="00471FB6"/>
    <w:rsid w:val="00472236"/>
    <w:rsid w:val="00472849"/>
    <w:rsid w:val="0047509D"/>
    <w:rsid w:val="00475189"/>
    <w:rsid w:val="00475A0F"/>
    <w:rsid w:val="0047601F"/>
    <w:rsid w:val="00476DF3"/>
    <w:rsid w:val="004777CD"/>
    <w:rsid w:val="004807FA"/>
    <w:rsid w:val="00480C0C"/>
    <w:rsid w:val="00480E12"/>
    <w:rsid w:val="004810DC"/>
    <w:rsid w:val="004813D1"/>
    <w:rsid w:val="00481620"/>
    <w:rsid w:val="004817F0"/>
    <w:rsid w:val="00481D11"/>
    <w:rsid w:val="00481EA3"/>
    <w:rsid w:val="00484785"/>
    <w:rsid w:val="00485451"/>
    <w:rsid w:val="004870C2"/>
    <w:rsid w:val="00490216"/>
    <w:rsid w:val="00490B57"/>
    <w:rsid w:val="00490EFD"/>
    <w:rsid w:val="00492DBA"/>
    <w:rsid w:val="004932C5"/>
    <w:rsid w:val="00493409"/>
    <w:rsid w:val="004934B2"/>
    <w:rsid w:val="00493A3B"/>
    <w:rsid w:val="00494343"/>
    <w:rsid w:val="0049695E"/>
    <w:rsid w:val="00496ED0"/>
    <w:rsid w:val="004970E9"/>
    <w:rsid w:val="004A293C"/>
    <w:rsid w:val="004A3438"/>
    <w:rsid w:val="004A3CB3"/>
    <w:rsid w:val="004A3E75"/>
    <w:rsid w:val="004A4F00"/>
    <w:rsid w:val="004A546E"/>
    <w:rsid w:val="004A62C0"/>
    <w:rsid w:val="004A7955"/>
    <w:rsid w:val="004B247B"/>
    <w:rsid w:val="004B26F0"/>
    <w:rsid w:val="004B2B41"/>
    <w:rsid w:val="004B3690"/>
    <w:rsid w:val="004B3E9E"/>
    <w:rsid w:val="004B3F4B"/>
    <w:rsid w:val="004B4263"/>
    <w:rsid w:val="004B52EB"/>
    <w:rsid w:val="004B5E18"/>
    <w:rsid w:val="004B6A29"/>
    <w:rsid w:val="004B7CE9"/>
    <w:rsid w:val="004C0B80"/>
    <w:rsid w:val="004C108E"/>
    <w:rsid w:val="004C205E"/>
    <w:rsid w:val="004C2BB3"/>
    <w:rsid w:val="004C34A0"/>
    <w:rsid w:val="004C405B"/>
    <w:rsid w:val="004C45B3"/>
    <w:rsid w:val="004C6254"/>
    <w:rsid w:val="004C62CE"/>
    <w:rsid w:val="004D0317"/>
    <w:rsid w:val="004D054B"/>
    <w:rsid w:val="004D0943"/>
    <w:rsid w:val="004D0D84"/>
    <w:rsid w:val="004D0F92"/>
    <w:rsid w:val="004D29AC"/>
    <w:rsid w:val="004D2A5D"/>
    <w:rsid w:val="004D2A9A"/>
    <w:rsid w:val="004D2C49"/>
    <w:rsid w:val="004D5596"/>
    <w:rsid w:val="004D5693"/>
    <w:rsid w:val="004D60EC"/>
    <w:rsid w:val="004D7333"/>
    <w:rsid w:val="004E0D2A"/>
    <w:rsid w:val="004E33DC"/>
    <w:rsid w:val="004E3B20"/>
    <w:rsid w:val="004E4870"/>
    <w:rsid w:val="004E57E4"/>
    <w:rsid w:val="004E65CC"/>
    <w:rsid w:val="004F072D"/>
    <w:rsid w:val="004F3A1F"/>
    <w:rsid w:val="004F4689"/>
    <w:rsid w:val="004F4F84"/>
    <w:rsid w:val="004F5AF9"/>
    <w:rsid w:val="00500063"/>
    <w:rsid w:val="0050064C"/>
    <w:rsid w:val="00500828"/>
    <w:rsid w:val="005009A7"/>
    <w:rsid w:val="00501088"/>
    <w:rsid w:val="00501389"/>
    <w:rsid w:val="00502450"/>
    <w:rsid w:val="00502BC0"/>
    <w:rsid w:val="00503F39"/>
    <w:rsid w:val="0050446C"/>
    <w:rsid w:val="00504470"/>
    <w:rsid w:val="00504BF2"/>
    <w:rsid w:val="00505A36"/>
    <w:rsid w:val="00506D4B"/>
    <w:rsid w:val="00507073"/>
    <w:rsid w:val="005077A6"/>
    <w:rsid w:val="0050790D"/>
    <w:rsid w:val="00510480"/>
    <w:rsid w:val="00510EC8"/>
    <w:rsid w:val="0051118B"/>
    <w:rsid w:val="0051123B"/>
    <w:rsid w:val="00512341"/>
    <w:rsid w:val="005126C6"/>
    <w:rsid w:val="00512F91"/>
    <w:rsid w:val="0051358C"/>
    <w:rsid w:val="00513D84"/>
    <w:rsid w:val="00514FE4"/>
    <w:rsid w:val="00516342"/>
    <w:rsid w:val="0051781E"/>
    <w:rsid w:val="00520DF0"/>
    <w:rsid w:val="00521971"/>
    <w:rsid w:val="005221FF"/>
    <w:rsid w:val="00522940"/>
    <w:rsid w:val="00522A3A"/>
    <w:rsid w:val="00524464"/>
    <w:rsid w:val="00526257"/>
    <w:rsid w:val="00527B61"/>
    <w:rsid w:val="00527F5A"/>
    <w:rsid w:val="0053017C"/>
    <w:rsid w:val="00530245"/>
    <w:rsid w:val="00530E15"/>
    <w:rsid w:val="00531008"/>
    <w:rsid w:val="00532398"/>
    <w:rsid w:val="00533636"/>
    <w:rsid w:val="00533B1B"/>
    <w:rsid w:val="00533F1D"/>
    <w:rsid w:val="00535DE1"/>
    <w:rsid w:val="00536556"/>
    <w:rsid w:val="0053655F"/>
    <w:rsid w:val="00537397"/>
    <w:rsid w:val="005402B2"/>
    <w:rsid w:val="0054047B"/>
    <w:rsid w:val="00541BE4"/>
    <w:rsid w:val="0054259D"/>
    <w:rsid w:val="00542D37"/>
    <w:rsid w:val="00542E89"/>
    <w:rsid w:val="00543293"/>
    <w:rsid w:val="00543B3F"/>
    <w:rsid w:val="005441D6"/>
    <w:rsid w:val="00544342"/>
    <w:rsid w:val="0054493D"/>
    <w:rsid w:val="005450B2"/>
    <w:rsid w:val="0054545F"/>
    <w:rsid w:val="00545937"/>
    <w:rsid w:val="00550026"/>
    <w:rsid w:val="00551405"/>
    <w:rsid w:val="00552069"/>
    <w:rsid w:val="00552FAA"/>
    <w:rsid w:val="005532A8"/>
    <w:rsid w:val="005546B4"/>
    <w:rsid w:val="00555CC9"/>
    <w:rsid w:val="00556322"/>
    <w:rsid w:val="00556D00"/>
    <w:rsid w:val="00557A4E"/>
    <w:rsid w:val="0056002E"/>
    <w:rsid w:val="00561385"/>
    <w:rsid w:val="005613FB"/>
    <w:rsid w:val="005617E3"/>
    <w:rsid w:val="00561AC1"/>
    <w:rsid w:val="00562295"/>
    <w:rsid w:val="00562BCD"/>
    <w:rsid w:val="00562EF2"/>
    <w:rsid w:val="00563AC8"/>
    <w:rsid w:val="00563DE7"/>
    <w:rsid w:val="0056462F"/>
    <w:rsid w:val="00564CD8"/>
    <w:rsid w:val="00565FD2"/>
    <w:rsid w:val="005667F3"/>
    <w:rsid w:val="00566890"/>
    <w:rsid w:val="00567130"/>
    <w:rsid w:val="00567931"/>
    <w:rsid w:val="00567C87"/>
    <w:rsid w:val="0057261C"/>
    <w:rsid w:val="00573004"/>
    <w:rsid w:val="005740E3"/>
    <w:rsid w:val="00574AF4"/>
    <w:rsid w:val="00575F01"/>
    <w:rsid w:val="00576730"/>
    <w:rsid w:val="0057676C"/>
    <w:rsid w:val="005777D9"/>
    <w:rsid w:val="005802BF"/>
    <w:rsid w:val="0058076B"/>
    <w:rsid w:val="00580A38"/>
    <w:rsid w:val="00580F07"/>
    <w:rsid w:val="0058160C"/>
    <w:rsid w:val="00581867"/>
    <w:rsid w:val="00584B6F"/>
    <w:rsid w:val="00584D20"/>
    <w:rsid w:val="00584E4C"/>
    <w:rsid w:val="00586067"/>
    <w:rsid w:val="00587AC1"/>
    <w:rsid w:val="00590200"/>
    <w:rsid w:val="0059022B"/>
    <w:rsid w:val="00590699"/>
    <w:rsid w:val="00591B9B"/>
    <w:rsid w:val="00591BC7"/>
    <w:rsid w:val="00592DA6"/>
    <w:rsid w:val="00593A0E"/>
    <w:rsid w:val="00593A5A"/>
    <w:rsid w:val="00593A5E"/>
    <w:rsid w:val="00593B54"/>
    <w:rsid w:val="005943A4"/>
    <w:rsid w:val="00594BF4"/>
    <w:rsid w:val="00594E12"/>
    <w:rsid w:val="00595AFE"/>
    <w:rsid w:val="0059742D"/>
    <w:rsid w:val="005A0B23"/>
    <w:rsid w:val="005A28CF"/>
    <w:rsid w:val="005A43F8"/>
    <w:rsid w:val="005A4F63"/>
    <w:rsid w:val="005A57DA"/>
    <w:rsid w:val="005A5A6D"/>
    <w:rsid w:val="005A6841"/>
    <w:rsid w:val="005A6FF6"/>
    <w:rsid w:val="005A7479"/>
    <w:rsid w:val="005A7A16"/>
    <w:rsid w:val="005B11BA"/>
    <w:rsid w:val="005B1720"/>
    <w:rsid w:val="005B1805"/>
    <w:rsid w:val="005B1D82"/>
    <w:rsid w:val="005B2AD2"/>
    <w:rsid w:val="005B40D4"/>
    <w:rsid w:val="005B4277"/>
    <w:rsid w:val="005B570B"/>
    <w:rsid w:val="005B7082"/>
    <w:rsid w:val="005C16E9"/>
    <w:rsid w:val="005C236B"/>
    <w:rsid w:val="005C26C5"/>
    <w:rsid w:val="005C37DC"/>
    <w:rsid w:val="005C4189"/>
    <w:rsid w:val="005C4EEC"/>
    <w:rsid w:val="005C51E4"/>
    <w:rsid w:val="005C6F40"/>
    <w:rsid w:val="005C7A48"/>
    <w:rsid w:val="005D0438"/>
    <w:rsid w:val="005D06E1"/>
    <w:rsid w:val="005D0E2E"/>
    <w:rsid w:val="005D10A5"/>
    <w:rsid w:val="005D23A0"/>
    <w:rsid w:val="005D2CE8"/>
    <w:rsid w:val="005D2D6F"/>
    <w:rsid w:val="005D2EB9"/>
    <w:rsid w:val="005D4232"/>
    <w:rsid w:val="005D423A"/>
    <w:rsid w:val="005D4700"/>
    <w:rsid w:val="005D6F9E"/>
    <w:rsid w:val="005D7005"/>
    <w:rsid w:val="005D7337"/>
    <w:rsid w:val="005D7579"/>
    <w:rsid w:val="005E175A"/>
    <w:rsid w:val="005E2297"/>
    <w:rsid w:val="005E31F3"/>
    <w:rsid w:val="005E3C1D"/>
    <w:rsid w:val="005E41A5"/>
    <w:rsid w:val="005E4D37"/>
    <w:rsid w:val="005E4E76"/>
    <w:rsid w:val="005E4F46"/>
    <w:rsid w:val="005E6502"/>
    <w:rsid w:val="005E77F5"/>
    <w:rsid w:val="005E79FA"/>
    <w:rsid w:val="005E7AF7"/>
    <w:rsid w:val="005E7B80"/>
    <w:rsid w:val="005F00ED"/>
    <w:rsid w:val="005F0D4B"/>
    <w:rsid w:val="005F17C0"/>
    <w:rsid w:val="005F1C94"/>
    <w:rsid w:val="005F2142"/>
    <w:rsid w:val="005F2D1B"/>
    <w:rsid w:val="005F2F40"/>
    <w:rsid w:val="005F2F4C"/>
    <w:rsid w:val="005F4242"/>
    <w:rsid w:val="005F47F0"/>
    <w:rsid w:val="00600EA3"/>
    <w:rsid w:val="0060223F"/>
    <w:rsid w:val="0060380B"/>
    <w:rsid w:val="00603A49"/>
    <w:rsid w:val="006046E5"/>
    <w:rsid w:val="00604970"/>
    <w:rsid w:val="0060500A"/>
    <w:rsid w:val="00607315"/>
    <w:rsid w:val="006076D4"/>
    <w:rsid w:val="00607AE6"/>
    <w:rsid w:val="006110CF"/>
    <w:rsid w:val="006115BE"/>
    <w:rsid w:val="00611811"/>
    <w:rsid w:val="006127ED"/>
    <w:rsid w:val="00612950"/>
    <w:rsid w:val="00613CCF"/>
    <w:rsid w:val="00614431"/>
    <w:rsid w:val="006146D3"/>
    <w:rsid w:val="0061471E"/>
    <w:rsid w:val="00614F8D"/>
    <w:rsid w:val="00615189"/>
    <w:rsid w:val="00615226"/>
    <w:rsid w:val="006169E7"/>
    <w:rsid w:val="00616E58"/>
    <w:rsid w:val="0061774C"/>
    <w:rsid w:val="00620421"/>
    <w:rsid w:val="00620BFA"/>
    <w:rsid w:val="0062119B"/>
    <w:rsid w:val="00622E14"/>
    <w:rsid w:val="00622F54"/>
    <w:rsid w:val="00623481"/>
    <w:rsid w:val="0062422B"/>
    <w:rsid w:val="00624B10"/>
    <w:rsid w:val="00624D23"/>
    <w:rsid w:val="006252E4"/>
    <w:rsid w:val="006256CF"/>
    <w:rsid w:val="0062624E"/>
    <w:rsid w:val="006264C2"/>
    <w:rsid w:val="00627025"/>
    <w:rsid w:val="00632625"/>
    <w:rsid w:val="00632BAF"/>
    <w:rsid w:val="006332D0"/>
    <w:rsid w:val="0063488C"/>
    <w:rsid w:val="006348E9"/>
    <w:rsid w:val="00635460"/>
    <w:rsid w:val="00636EB9"/>
    <w:rsid w:val="00637ACB"/>
    <w:rsid w:val="00640487"/>
    <w:rsid w:val="006408B1"/>
    <w:rsid w:val="0064207D"/>
    <w:rsid w:val="0064341F"/>
    <w:rsid w:val="00643757"/>
    <w:rsid w:val="00643AE9"/>
    <w:rsid w:val="00643E8F"/>
    <w:rsid w:val="006450B1"/>
    <w:rsid w:val="006452DB"/>
    <w:rsid w:val="006458F3"/>
    <w:rsid w:val="0064633F"/>
    <w:rsid w:val="0064675D"/>
    <w:rsid w:val="0064757F"/>
    <w:rsid w:val="00650CD3"/>
    <w:rsid w:val="00651EDD"/>
    <w:rsid w:val="006522A0"/>
    <w:rsid w:val="006522FF"/>
    <w:rsid w:val="00653C42"/>
    <w:rsid w:val="00654620"/>
    <w:rsid w:val="00655174"/>
    <w:rsid w:val="006562E0"/>
    <w:rsid w:val="0065671B"/>
    <w:rsid w:val="006574D2"/>
    <w:rsid w:val="00657A92"/>
    <w:rsid w:val="006607DB"/>
    <w:rsid w:val="00660E02"/>
    <w:rsid w:val="00661E1B"/>
    <w:rsid w:val="00664155"/>
    <w:rsid w:val="00664EF0"/>
    <w:rsid w:val="00665551"/>
    <w:rsid w:val="006656AF"/>
    <w:rsid w:val="006656B8"/>
    <w:rsid w:val="00666453"/>
    <w:rsid w:val="006664E8"/>
    <w:rsid w:val="00666B29"/>
    <w:rsid w:val="006678D2"/>
    <w:rsid w:val="00667A1F"/>
    <w:rsid w:val="00667B5B"/>
    <w:rsid w:val="00670033"/>
    <w:rsid w:val="00670B5B"/>
    <w:rsid w:val="00671702"/>
    <w:rsid w:val="00671AAC"/>
    <w:rsid w:val="00672ECF"/>
    <w:rsid w:val="006734E4"/>
    <w:rsid w:val="00673AA3"/>
    <w:rsid w:val="0067465D"/>
    <w:rsid w:val="0067476B"/>
    <w:rsid w:val="00675561"/>
    <w:rsid w:val="00675880"/>
    <w:rsid w:val="00680011"/>
    <w:rsid w:val="006801BE"/>
    <w:rsid w:val="006802AF"/>
    <w:rsid w:val="0068047F"/>
    <w:rsid w:val="00680C6D"/>
    <w:rsid w:val="0068164B"/>
    <w:rsid w:val="00681B77"/>
    <w:rsid w:val="0068287E"/>
    <w:rsid w:val="006832AA"/>
    <w:rsid w:val="006836DC"/>
    <w:rsid w:val="00684CDB"/>
    <w:rsid w:val="00686CC3"/>
    <w:rsid w:val="0068776A"/>
    <w:rsid w:val="00687CB9"/>
    <w:rsid w:val="00690375"/>
    <w:rsid w:val="00690848"/>
    <w:rsid w:val="00693FD0"/>
    <w:rsid w:val="00694023"/>
    <w:rsid w:val="00694B6A"/>
    <w:rsid w:val="006966A6"/>
    <w:rsid w:val="00696E35"/>
    <w:rsid w:val="0069753F"/>
    <w:rsid w:val="00697B39"/>
    <w:rsid w:val="006A12F5"/>
    <w:rsid w:val="006A1CA0"/>
    <w:rsid w:val="006A31E7"/>
    <w:rsid w:val="006A3425"/>
    <w:rsid w:val="006A4F11"/>
    <w:rsid w:val="006A62D5"/>
    <w:rsid w:val="006B01E8"/>
    <w:rsid w:val="006B08EC"/>
    <w:rsid w:val="006B0B56"/>
    <w:rsid w:val="006B14D1"/>
    <w:rsid w:val="006B14EA"/>
    <w:rsid w:val="006B1EA0"/>
    <w:rsid w:val="006B232B"/>
    <w:rsid w:val="006B26A1"/>
    <w:rsid w:val="006B2DBD"/>
    <w:rsid w:val="006B4036"/>
    <w:rsid w:val="006B44A9"/>
    <w:rsid w:val="006B4F51"/>
    <w:rsid w:val="006B552E"/>
    <w:rsid w:val="006B695A"/>
    <w:rsid w:val="006B6D66"/>
    <w:rsid w:val="006B7356"/>
    <w:rsid w:val="006B73AD"/>
    <w:rsid w:val="006C0532"/>
    <w:rsid w:val="006C2BB0"/>
    <w:rsid w:val="006C2D66"/>
    <w:rsid w:val="006C327C"/>
    <w:rsid w:val="006C337F"/>
    <w:rsid w:val="006C34C0"/>
    <w:rsid w:val="006C43C7"/>
    <w:rsid w:val="006C446C"/>
    <w:rsid w:val="006C4B9A"/>
    <w:rsid w:val="006C4E1F"/>
    <w:rsid w:val="006C4F6C"/>
    <w:rsid w:val="006C5DD8"/>
    <w:rsid w:val="006C67D6"/>
    <w:rsid w:val="006C68DB"/>
    <w:rsid w:val="006C7CAA"/>
    <w:rsid w:val="006D1A5C"/>
    <w:rsid w:val="006D2588"/>
    <w:rsid w:val="006D2655"/>
    <w:rsid w:val="006D35C4"/>
    <w:rsid w:val="006D42BC"/>
    <w:rsid w:val="006D66D3"/>
    <w:rsid w:val="006E09F5"/>
    <w:rsid w:val="006E0FB7"/>
    <w:rsid w:val="006E1108"/>
    <w:rsid w:val="006E15CC"/>
    <w:rsid w:val="006E23DD"/>
    <w:rsid w:val="006E2CA1"/>
    <w:rsid w:val="006E4124"/>
    <w:rsid w:val="006E476F"/>
    <w:rsid w:val="006E4A55"/>
    <w:rsid w:val="006E501F"/>
    <w:rsid w:val="006E51D0"/>
    <w:rsid w:val="006E6766"/>
    <w:rsid w:val="006F0F88"/>
    <w:rsid w:val="006F1065"/>
    <w:rsid w:val="006F12DC"/>
    <w:rsid w:val="006F1351"/>
    <w:rsid w:val="006F1A52"/>
    <w:rsid w:val="006F203D"/>
    <w:rsid w:val="006F2406"/>
    <w:rsid w:val="006F3C39"/>
    <w:rsid w:val="006F3E8B"/>
    <w:rsid w:val="006F49BD"/>
    <w:rsid w:val="006F4E18"/>
    <w:rsid w:val="006F69A6"/>
    <w:rsid w:val="006F763D"/>
    <w:rsid w:val="007000EF"/>
    <w:rsid w:val="00700647"/>
    <w:rsid w:val="007010A8"/>
    <w:rsid w:val="0070228E"/>
    <w:rsid w:val="0070337E"/>
    <w:rsid w:val="00703D26"/>
    <w:rsid w:val="00704BBE"/>
    <w:rsid w:val="007053B3"/>
    <w:rsid w:val="007077BB"/>
    <w:rsid w:val="00707905"/>
    <w:rsid w:val="00711AF1"/>
    <w:rsid w:val="00712295"/>
    <w:rsid w:val="007122F7"/>
    <w:rsid w:val="00713AE9"/>
    <w:rsid w:val="00713C61"/>
    <w:rsid w:val="00713EB6"/>
    <w:rsid w:val="007144F2"/>
    <w:rsid w:val="00714CB3"/>
    <w:rsid w:val="007155EF"/>
    <w:rsid w:val="00715E72"/>
    <w:rsid w:val="00716748"/>
    <w:rsid w:val="00716835"/>
    <w:rsid w:val="00720D95"/>
    <w:rsid w:val="00722335"/>
    <w:rsid w:val="00722340"/>
    <w:rsid w:val="00722D6F"/>
    <w:rsid w:val="00722FB2"/>
    <w:rsid w:val="007237F8"/>
    <w:rsid w:val="00723AA1"/>
    <w:rsid w:val="00724136"/>
    <w:rsid w:val="007259B3"/>
    <w:rsid w:val="00726C6B"/>
    <w:rsid w:val="00726D11"/>
    <w:rsid w:val="0073013C"/>
    <w:rsid w:val="00730653"/>
    <w:rsid w:val="00731ACC"/>
    <w:rsid w:val="00731EE8"/>
    <w:rsid w:val="00731F97"/>
    <w:rsid w:val="00733FDA"/>
    <w:rsid w:val="00733FE9"/>
    <w:rsid w:val="0073619A"/>
    <w:rsid w:val="00736523"/>
    <w:rsid w:val="00736797"/>
    <w:rsid w:val="00736C90"/>
    <w:rsid w:val="00737146"/>
    <w:rsid w:val="00737832"/>
    <w:rsid w:val="00737C3D"/>
    <w:rsid w:val="00740434"/>
    <w:rsid w:val="00741E14"/>
    <w:rsid w:val="00742393"/>
    <w:rsid w:val="00742968"/>
    <w:rsid w:val="00743291"/>
    <w:rsid w:val="0074331D"/>
    <w:rsid w:val="00743675"/>
    <w:rsid w:val="00743688"/>
    <w:rsid w:val="007448DF"/>
    <w:rsid w:val="00744B5C"/>
    <w:rsid w:val="007451D4"/>
    <w:rsid w:val="007454AD"/>
    <w:rsid w:val="00745700"/>
    <w:rsid w:val="00747FC1"/>
    <w:rsid w:val="007500B7"/>
    <w:rsid w:val="007500E5"/>
    <w:rsid w:val="0075051D"/>
    <w:rsid w:val="00750E14"/>
    <w:rsid w:val="00751381"/>
    <w:rsid w:val="00751E5E"/>
    <w:rsid w:val="00752C80"/>
    <w:rsid w:val="0075368F"/>
    <w:rsid w:val="007537FF"/>
    <w:rsid w:val="00753C7B"/>
    <w:rsid w:val="0075441A"/>
    <w:rsid w:val="007551A9"/>
    <w:rsid w:val="0075598D"/>
    <w:rsid w:val="007575C9"/>
    <w:rsid w:val="007600A7"/>
    <w:rsid w:val="00760217"/>
    <w:rsid w:val="00763029"/>
    <w:rsid w:val="007631C0"/>
    <w:rsid w:val="00763ECD"/>
    <w:rsid w:val="00764041"/>
    <w:rsid w:val="00765CC1"/>
    <w:rsid w:val="00771340"/>
    <w:rsid w:val="0077272B"/>
    <w:rsid w:val="0077399B"/>
    <w:rsid w:val="00773F18"/>
    <w:rsid w:val="0077452A"/>
    <w:rsid w:val="00775B7A"/>
    <w:rsid w:val="007760F7"/>
    <w:rsid w:val="007767C4"/>
    <w:rsid w:val="00776ED0"/>
    <w:rsid w:val="007770E6"/>
    <w:rsid w:val="007775E4"/>
    <w:rsid w:val="007818B0"/>
    <w:rsid w:val="00781A0F"/>
    <w:rsid w:val="00782D2E"/>
    <w:rsid w:val="007831A7"/>
    <w:rsid w:val="00783951"/>
    <w:rsid w:val="00783AA9"/>
    <w:rsid w:val="00784928"/>
    <w:rsid w:val="00785312"/>
    <w:rsid w:val="00785EE3"/>
    <w:rsid w:val="0078661E"/>
    <w:rsid w:val="00786D07"/>
    <w:rsid w:val="007905A7"/>
    <w:rsid w:val="00791080"/>
    <w:rsid w:val="007922D7"/>
    <w:rsid w:val="0079272F"/>
    <w:rsid w:val="007941B2"/>
    <w:rsid w:val="007941B4"/>
    <w:rsid w:val="00794F75"/>
    <w:rsid w:val="00795457"/>
    <w:rsid w:val="007A08E0"/>
    <w:rsid w:val="007A0FBE"/>
    <w:rsid w:val="007A1868"/>
    <w:rsid w:val="007A1912"/>
    <w:rsid w:val="007A1A12"/>
    <w:rsid w:val="007A1C6B"/>
    <w:rsid w:val="007A2060"/>
    <w:rsid w:val="007A2DFF"/>
    <w:rsid w:val="007A3992"/>
    <w:rsid w:val="007A3D7E"/>
    <w:rsid w:val="007A542E"/>
    <w:rsid w:val="007A68A9"/>
    <w:rsid w:val="007A697B"/>
    <w:rsid w:val="007A6D6D"/>
    <w:rsid w:val="007A71B4"/>
    <w:rsid w:val="007A7EAF"/>
    <w:rsid w:val="007B06AA"/>
    <w:rsid w:val="007B1682"/>
    <w:rsid w:val="007B1A46"/>
    <w:rsid w:val="007B1CC2"/>
    <w:rsid w:val="007B22EA"/>
    <w:rsid w:val="007B235E"/>
    <w:rsid w:val="007B3448"/>
    <w:rsid w:val="007B440A"/>
    <w:rsid w:val="007B5DFB"/>
    <w:rsid w:val="007B7897"/>
    <w:rsid w:val="007B7D75"/>
    <w:rsid w:val="007C0701"/>
    <w:rsid w:val="007C11E6"/>
    <w:rsid w:val="007C1865"/>
    <w:rsid w:val="007C2BAB"/>
    <w:rsid w:val="007C325C"/>
    <w:rsid w:val="007C4267"/>
    <w:rsid w:val="007C5D90"/>
    <w:rsid w:val="007C6A6F"/>
    <w:rsid w:val="007D0326"/>
    <w:rsid w:val="007D07A9"/>
    <w:rsid w:val="007D09BC"/>
    <w:rsid w:val="007D0A06"/>
    <w:rsid w:val="007D0D13"/>
    <w:rsid w:val="007D11EF"/>
    <w:rsid w:val="007D14BF"/>
    <w:rsid w:val="007D3F64"/>
    <w:rsid w:val="007D4731"/>
    <w:rsid w:val="007D6F3B"/>
    <w:rsid w:val="007D710B"/>
    <w:rsid w:val="007D77A6"/>
    <w:rsid w:val="007D78A2"/>
    <w:rsid w:val="007D7977"/>
    <w:rsid w:val="007D7AEE"/>
    <w:rsid w:val="007E085B"/>
    <w:rsid w:val="007E215C"/>
    <w:rsid w:val="007E2299"/>
    <w:rsid w:val="007E32A7"/>
    <w:rsid w:val="007E34D7"/>
    <w:rsid w:val="007E3CC5"/>
    <w:rsid w:val="007E4495"/>
    <w:rsid w:val="007E4CA6"/>
    <w:rsid w:val="007E66BA"/>
    <w:rsid w:val="007E6DB4"/>
    <w:rsid w:val="007E732D"/>
    <w:rsid w:val="007E7CD6"/>
    <w:rsid w:val="007F1966"/>
    <w:rsid w:val="007F2376"/>
    <w:rsid w:val="007F267B"/>
    <w:rsid w:val="007F271E"/>
    <w:rsid w:val="007F2F63"/>
    <w:rsid w:val="007F35D6"/>
    <w:rsid w:val="007F4917"/>
    <w:rsid w:val="007F5479"/>
    <w:rsid w:val="007F58C5"/>
    <w:rsid w:val="007F5BC4"/>
    <w:rsid w:val="007F71A5"/>
    <w:rsid w:val="007F7C8A"/>
    <w:rsid w:val="007F7E54"/>
    <w:rsid w:val="00800513"/>
    <w:rsid w:val="008014F2"/>
    <w:rsid w:val="00802077"/>
    <w:rsid w:val="008022C0"/>
    <w:rsid w:val="00803A75"/>
    <w:rsid w:val="008040B6"/>
    <w:rsid w:val="00804124"/>
    <w:rsid w:val="0080505E"/>
    <w:rsid w:val="00806D6B"/>
    <w:rsid w:val="00807D21"/>
    <w:rsid w:val="00810318"/>
    <w:rsid w:val="00810C30"/>
    <w:rsid w:val="00810D55"/>
    <w:rsid w:val="00811083"/>
    <w:rsid w:val="00811188"/>
    <w:rsid w:val="0081190B"/>
    <w:rsid w:val="00814F41"/>
    <w:rsid w:val="00815774"/>
    <w:rsid w:val="00816E0E"/>
    <w:rsid w:val="00820296"/>
    <w:rsid w:val="00820CC3"/>
    <w:rsid w:val="0082299A"/>
    <w:rsid w:val="0082320F"/>
    <w:rsid w:val="008232E7"/>
    <w:rsid w:val="008237C9"/>
    <w:rsid w:val="008239EE"/>
    <w:rsid w:val="008240DD"/>
    <w:rsid w:val="00826210"/>
    <w:rsid w:val="00826C45"/>
    <w:rsid w:val="00826D5B"/>
    <w:rsid w:val="00827119"/>
    <w:rsid w:val="008276E9"/>
    <w:rsid w:val="00827CBD"/>
    <w:rsid w:val="00830578"/>
    <w:rsid w:val="00831B21"/>
    <w:rsid w:val="0083559B"/>
    <w:rsid w:val="00835BBA"/>
    <w:rsid w:val="008361D5"/>
    <w:rsid w:val="00836926"/>
    <w:rsid w:val="00836B47"/>
    <w:rsid w:val="00840DC7"/>
    <w:rsid w:val="008412CF"/>
    <w:rsid w:val="00842A97"/>
    <w:rsid w:val="0084303C"/>
    <w:rsid w:val="00843143"/>
    <w:rsid w:val="00844849"/>
    <w:rsid w:val="008512E6"/>
    <w:rsid w:val="0085157D"/>
    <w:rsid w:val="00853D75"/>
    <w:rsid w:val="00854905"/>
    <w:rsid w:val="0085618A"/>
    <w:rsid w:val="008563ED"/>
    <w:rsid w:val="00856699"/>
    <w:rsid w:val="00856E1A"/>
    <w:rsid w:val="00856E34"/>
    <w:rsid w:val="00856EDD"/>
    <w:rsid w:val="00857328"/>
    <w:rsid w:val="008574A5"/>
    <w:rsid w:val="008574AB"/>
    <w:rsid w:val="00857879"/>
    <w:rsid w:val="00860404"/>
    <w:rsid w:val="0086181A"/>
    <w:rsid w:val="00861B12"/>
    <w:rsid w:val="00861DEE"/>
    <w:rsid w:val="008631E9"/>
    <w:rsid w:val="008634D0"/>
    <w:rsid w:val="008647AF"/>
    <w:rsid w:val="00864B99"/>
    <w:rsid w:val="00864D3D"/>
    <w:rsid w:val="00865070"/>
    <w:rsid w:val="008652F2"/>
    <w:rsid w:val="008659DB"/>
    <w:rsid w:val="00866721"/>
    <w:rsid w:val="008673D6"/>
    <w:rsid w:val="0087017A"/>
    <w:rsid w:val="00870222"/>
    <w:rsid w:val="00870CDD"/>
    <w:rsid w:val="00870D4D"/>
    <w:rsid w:val="00870D6B"/>
    <w:rsid w:val="00871124"/>
    <w:rsid w:val="00871CE9"/>
    <w:rsid w:val="00872629"/>
    <w:rsid w:val="0087269D"/>
    <w:rsid w:val="00872C6D"/>
    <w:rsid w:val="0087310B"/>
    <w:rsid w:val="0087629E"/>
    <w:rsid w:val="0087659F"/>
    <w:rsid w:val="00876B8F"/>
    <w:rsid w:val="00876F50"/>
    <w:rsid w:val="00877E21"/>
    <w:rsid w:val="00880965"/>
    <w:rsid w:val="00880C0B"/>
    <w:rsid w:val="0088110C"/>
    <w:rsid w:val="00882024"/>
    <w:rsid w:val="00882430"/>
    <w:rsid w:val="008832C3"/>
    <w:rsid w:val="008841C1"/>
    <w:rsid w:val="00884618"/>
    <w:rsid w:val="00885696"/>
    <w:rsid w:val="00885969"/>
    <w:rsid w:val="00886BCC"/>
    <w:rsid w:val="00886C81"/>
    <w:rsid w:val="00890BA1"/>
    <w:rsid w:val="00890F9E"/>
    <w:rsid w:val="0089112C"/>
    <w:rsid w:val="00891C88"/>
    <w:rsid w:val="00894177"/>
    <w:rsid w:val="00895051"/>
    <w:rsid w:val="00895FF2"/>
    <w:rsid w:val="0089668D"/>
    <w:rsid w:val="00897B72"/>
    <w:rsid w:val="008A1EDB"/>
    <w:rsid w:val="008A2493"/>
    <w:rsid w:val="008A3BF3"/>
    <w:rsid w:val="008A4C3E"/>
    <w:rsid w:val="008A4CB2"/>
    <w:rsid w:val="008A5488"/>
    <w:rsid w:val="008A55E8"/>
    <w:rsid w:val="008A5766"/>
    <w:rsid w:val="008A59E1"/>
    <w:rsid w:val="008A61C3"/>
    <w:rsid w:val="008A6A4B"/>
    <w:rsid w:val="008A77DF"/>
    <w:rsid w:val="008A7BE8"/>
    <w:rsid w:val="008B25A1"/>
    <w:rsid w:val="008B2DD1"/>
    <w:rsid w:val="008B3772"/>
    <w:rsid w:val="008B5808"/>
    <w:rsid w:val="008B5DD0"/>
    <w:rsid w:val="008B6417"/>
    <w:rsid w:val="008B6C0C"/>
    <w:rsid w:val="008B7564"/>
    <w:rsid w:val="008B7F6C"/>
    <w:rsid w:val="008C1446"/>
    <w:rsid w:val="008C2D7B"/>
    <w:rsid w:val="008C3502"/>
    <w:rsid w:val="008C5137"/>
    <w:rsid w:val="008C5311"/>
    <w:rsid w:val="008C5F7D"/>
    <w:rsid w:val="008C76A6"/>
    <w:rsid w:val="008D1ACF"/>
    <w:rsid w:val="008D28D0"/>
    <w:rsid w:val="008D3E2A"/>
    <w:rsid w:val="008D4BA6"/>
    <w:rsid w:val="008D527E"/>
    <w:rsid w:val="008D5CCD"/>
    <w:rsid w:val="008D61EC"/>
    <w:rsid w:val="008E0698"/>
    <w:rsid w:val="008E07BD"/>
    <w:rsid w:val="008E0968"/>
    <w:rsid w:val="008E0ADA"/>
    <w:rsid w:val="008E2575"/>
    <w:rsid w:val="008E2A16"/>
    <w:rsid w:val="008E2BA7"/>
    <w:rsid w:val="008E3C98"/>
    <w:rsid w:val="008E6370"/>
    <w:rsid w:val="008E7B1D"/>
    <w:rsid w:val="008E7FFE"/>
    <w:rsid w:val="008F112F"/>
    <w:rsid w:val="008F13E8"/>
    <w:rsid w:val="008F1446"/>
    <w:rsid w:val="008F2754"/>
    <w:rsid w:val="008F2AA8"/>
    <w:rsid w:val="008F2D5F"/>
    <w:rsid w:val="008F3220"/>
    <w:rsid w:val="008F4043"/>
    <w:rsid w:val="008F4340"/>
    <w:rsid w:val="008F5596"/>
    <w:rsid w:val="008F563C"/>
    <w:rsid w:val="008F5B16"/>
    <w:rsid w:val="008F6102"/>
    <w:rsid w:val="008F6589"/>
    <w:rsid w:val="008F7674"/>
    <w:rsid w:val="008F781E"/>
    <w:rsid w:val="0090109A"/>
    <w:rsid w:val="00901FFB"/>
    <w:rsid w:val="00902D8E"/>
    <w:rsid w:val="00903061"/>
    <w:rsid w:val="00903BFF"/>
    <w:rsid w:val="009041DB"/>
    <w:rsid w:val="009053FE"/>
    <w:rsid w:val="00905677"/>
    <w:rsid w:val="00910E1A"/>
    <w:rsid w:val="0091196C"/>
    <w:rsid w:val="0091212E"/>
    <w:rsid w:val="009124BB"/>
    <w:rsid w:val="00913032"/>
    <w:rsid w:val="00914FF1"/>
    <w:rsid w:val="00915470"/>
    <w:rsid w:val="00915DCE"/>
    <w:rsid w:val="0091603C"/>
    <w:rsid w:val="0091610D"/>
    <w:rsid w:val="00916AF4"/>
    <w:rsid w:val="00917051"/>
    <w:rsid w:val="00917AC7"/>
    <w:rsid w:val="00917D68"/>
    <w:rsid w:val="00917F63"/>
    <w:rsid w:val="0092098D"/>
    <w:rsid w:val="00922CD9"/>
    <w:rsid w:val="00922FAC"/>
    <w:rsid w:val="00926C83"/>
    <w:rsid w:val="00927285"/>
    <w:rsid w:val="0093225C"/>
    <w:rsid w:val="0093406D"/>
    <w:rsid w:val="00937403"/>
    <w:rsid w:val="009374B8"/>
    <w:rsid w:val="009401B0"/>
    <w:rsid w:val="00942092"/>
    <w:rsid w:val="0094209E"/>
    <w:rsid w:val="00943BCD"/>
    <w:rsid w:val="00944672"/>
    <w:rsid w:val="0094520D"/>
    <w:rsid w:val="00945BC4"/>
    <w:rsid w:val="00946BA2"/>
    <w:rsid w:val="009479D4"/>
    <w:rsid w:val="00950A33"/>
    <w:rsid w:val="0095131D"/>
    <w:rsid w:val="00952F7E"/>
    <w:rsid w:val="00953D6A"/>
    <w:rsid w:val="009554F2"/>
    <w:rsid w:val="009563CC"/>
    <w:rsid w:val="0095646B"/>
    <w:rsid w:val="00957AA7"/>
    <w:rsid w:val="00957F8F"/>
    <w:rsid w:val="00960BC4"/>
    <w:rsid w:val="00960BF2"/>
    <w:rsid w:val="00962EB6"/>
    <w:rsid w:val="00964014"/>
    <w:rsid w:val="0096563B"/>
    <w:rsid w:val="00966316"/>
    <w:rsid w:val="00966319"/>
    <w:rsid w:val="00966D35"/>
    <w:rsid w:val="00967023"/>
    <w:rsid w:val="00967480"/>
    <w:rsid w:val="00967B77"/>
    <w:rsid w:val="00967BB2"/>
    <w:rsid w:val="00967EED"/>
    <w:rsid w:val="00970455"/>
    <w:rsid w:val="00971218"/>
    <w:rsid w:val="00971ADA"/>
    <w:rsid w:val="00971C9D"/>
    <w:rsid w:val="00973511"/>
    <w:rsid w:val="00973B07"/>
    <w:rsid w:val="00974416"/>
    <w:rsid w:val="009746E5"/>
    <w:rsid w:val="0097584E"/>
    <w:rsid w:val="009758FD"/>
    <w:rsid w:val="00977099"/>
    <w:rsid w:val="009778A1"/>
    <w:rsid w:val="009801AF"/>
    <w:rsid w:val="00980FD1"/>
    <w:rsid w:val="00982CE9"/>
    <w:rsid w:val="00982CF2"/>
    <w:rsid w:val="009838F9"/>
    <w:rsid w:val="00984384"/>
    <w:rsid w:val="009849C9"/>
    <w:rsid w:val="00986064"/>
    <w:rsid w:val="009862FB"/>
    <w:rsid w:val="00986B4D"/>
    <w:rsid w:val="00986B89"/>
    <w:rsid w:val="009872ED"/>
    <w:rsid w:val="009877FB"/>
    <w:rsid w:val="009900D2"/>
    <w:rsid w:val="009905FD"/>
    <w:rsid w:val="00990A27"/>
    <w:rsid w:val="00990FF9"/>
    <w:rsid w:val="00991122"/>
    <w:rsid w:val="00991257"/>
    <w:rsid w:val="0099152F"/>
    <w:rsid w:val="00992424"/>
    <w:rsid w:val="00992AC0"/>
    <w:rsid w:val="009957F6"/>
    <w:rsid w:val="00995C52"/>
    <w:rsid w:val="00995CE1"/>
    <w:rsid w:val="00996E55"/>
    <w:rsid w:val="0099733C"/>
    <w:rsid w:val="009976E3"/>
    <w:rsid w:val="00997F11"/>
    <w:rsid w:val="009A0130"/>
    <w:rsid w:val="009A05F8"/>
    <w:rsid w:val="009A10B9"/>
    <w:rsid w:val="009A1A69"/>
    <w:rsid w:val="009A2730"/>
    <w:rsid w:val="009A3F19"/>
    <w:rsid w:val="009A3F7B"/>
    <w:rsid w:val="009A40BF"/>
    <w:rsid w:val="009A56E7"/>
    <w:rsid w:val="009A6063"/>
    <w:rsid w:val="009A6115"/>
    <w:rsid w:val="009A7029"/>
    <w:rsid w:val="009A7263"/>
    <w:rsid w:val="009B04BF"/>
    <w:rsid w:val="009B08CE"/>
    <w:rsid w:val="009B11F5"/>
    <w:rsid w:val="009B1B77"/>
    <w:rsid w:val="009B3B93"/>
    <w:rsid w:val="009B4557"/>
    <w:rsid w:val="009B5B0A"/>
    <w:rsid w:val="009B5C20"/>
    <w:rsid w:val="009B5CF6"/>
    <w:rsid w:val="009B6AFD"/>
    <w:rsid w:val="009C00AC"/>
    <w:rsid w:val="009C0468"/>
    <w:rsid w:val="009C3742"/>
    <w:rsid w:val="009C3DA6"/>
    <w:rsid w:val="009C43DB"/>
    <w:rsid w:val="009C5883"/>
    <w:rsid w:val="009C5DC5"/>
    <w:rsid w:val="009C692D"/>
    <w:rsid w:val="009C6CF4"/>
    <w:rsid w:val="009C7DDE"/>
    <w:rsid w:val="009D130F"/>
    <w:rsid w:val="009D1EF6"/>
    <w:rsid w:val="009D2476"/>
    <w:rsid w:val="009D378B"/>
    <w:rsid w:val="009D3F69"/>
    <w:rsid w:val="009D4F81"/>
    <w:rsid w:val="009D5029"/>
    <w:rsid w:val="009D611E"/>
    <w:rsid w:val="009D65F0"/>
    <w:rsid w:val="009D6A29"/>
    <w:rsid w:val="009D7A56"/>
    <w:rsid w:val="009E060F"/>
    <w:rsid w:val="009E25AA"/>
    <w:rsid w:val="009E2728"/>
    <w:rsid w:val="009E4FE4"/>
    <w:rsid w:val="009E5187"/>
    <w:rsid w:val="009E52B5"/>
    <w:rsid w:val="009E545C"/>
    <w:rsid w:val="009E5A68"/>
    <w:rsid w:val="009E5BF0"/>
    <w:rsid w:val="009E6DE1"/>
    <w:rsid w:val="009E7860"/>
    <w:rsid w:val="009E7FA9"/>
    <w:rsid w:val="009F011B"/>
    <w:rsid w:val="009F08BB"/>
    <w:rsid w:val="009F164E"/>
    <w:rsid w:val="009F2200"/>
    <w:rsid w:val="009F23A3"/>
    <w:rsid w:val="009F3C1B"/>
    <w:rsid w:val="009F447B"/>
    <w:rsid w:val="009F484A"/>
    <w:rsid w:val="009F52A5"/>
    <w:rsid w:val="009F5D37"/>
    <w:rsid w:val="009F61BE"/>
    <w:rsid w:val="009F62B9"/>
    <w:rsid w:val="009F6569"/>
    <w:rsid w:val="009F68B1"/>
    <w:rsid w:val="00A00886"/>
    <w:rsid w:val="00A00B0C"/>
    <w:rsid w:val="00A00BDB"/>
    <w:rsid w:val="00A011EA"/>
    <w:rsid w:val="00A015A8"/>
    <w:rsid w:val="00A02D2C"/>
    <w:rsid w:val="00A05D7E"/>
    <w:rsid w:val="00A07C06"/>
    <w:rsid w:val="00A1232D"/>
    <w:rsid w:val="00A13B6A"/>
    <w:rsid w:val="00A14B4D"/>
    <w:rsid w:val="00A17766"/>
    <w:rsid w:val="00A203F3"/>
    <w:rsid w:val="00A228C1"/>
    <w:rsid w:val="00A22903"/>
    <w:rsid w:val="00A23CCD"/>
    <w:rsid w:val="00A24784"/>
    <w:rsid w:val="00A26294"/>
    <w:rsid w:val="00A26720"/>
    <w:rsid w:val="00A26D0E"/>
    <w:rsid w:val="00A26E0B"/>
    <w:rsid w:val="00A27437"/>
    <w:rsid w:val="00A27C1E"/>
    <w:rsid w:val="00A27D6A"/>
    <w:rsid w:val="00A30B5E"/>
    <w:rsid w:val="00A30F4C"/>
    <w:rsid w:val="00A312BF"/>
    <w:rsid w:val="00A32A61"/>
    <w:rsid w:val="00A32CA7"/>
    <w:rsid w:val="00A34525"/>
    <w:rsid w:val="00A35725"/>
    <w:rsid w:val="00A364BF"/>
    <w:rsid w:val="00A36554"/>
    <w:rsid w:val="00A36BBF"/>
    <w:rsid w:val="00A408E7"/>
    <w:rsid w:val="00A426EE"/>
    <w:rsid w:val="00A42DA9"/>
    <w:rsid w:val="00A43101"/>
    <w:rsid w:val="00A435F0"/>
    <w:rsid w:val="00A43A95"/>
    <w:rsid w:val="00A44CD8"/>
    <w:rsid w:val="00A45579"/>
    <w:rsid w:val="00A464F8"/>
    <w:rsid w:val="00A46EFD"/>
    <w:rsid w:val="00A471C6"/>
    <w:rsid w:val="00A473E4"/>
    <w:rsid w:val="00A474A9"/>
    <w:rsid w:val="00A47880"/>
    <w:rsid w:val="00A53B8D"/>
    <w:rsid w:val="00A53F4B"/>
    <w:rsid w:val="00A5417D"/>
    <w:rsid w:val="00A544F6"/>
    <w:rsid w:val="00A5452A"/>
    <w:rsid w:val="00A54C71"/>
    <w:rsid w:val="00A54C81"/>
    <w:rsid w:val="00A5552B"/>
    <w:rsid w:val="00A55892"/>
    <w:rsid w:val="00A55D07"/>
    <w:rsid w:val="00A60B5D"/>
    <w:rsid w:val="00A61F81"/>
    <w:rsid w:val="00A629FE"/>
    <w:rsid w:val="00A65B3B"/>
    <w:rsid w:val="00A66B17"/>
    <w:rsid w:val="00A67406"/>
    <w:rsid w:val="00A67CF4"/>
    <w:rsid w:val="00A6ED40"/>
    <w:rsid w:val="00A71C33"/>
    <w:rsid w:val="00A71C38"/>
    <w:rsid w:val="00A72299"/>
    <w:rsid w:val="00A722A5"/>
    <w:rsid w:val="00A72564"/>
    <w:rsid w:val="00A73F02"/>
    <w:rsid w:val="00A741FB"/>
    <w:rsid w:val="00A7447E"/>
    <w:rsid w:val="00A74632"/>
    <w:rsid w:val="00A74E06"/>
    <w:rsid w:val="00A766B0"/>
    <w:rsid w:val="00A7765D"/>
    <w:rsid w:val="00A801B5"/>
    <w:rsid w:val="00A80648"/>
    <w:rsid w:val="00A813B7"/>
    <w:rsid w:val="00A81E28"/>
    <w:rsid w:val="00A81EDE"/>
    <w:rsid w:val="00A8389B"/>
    <w:rsid w:val="00A83D69"/>
    <w:rsid w:val="00A84956"/>
    <w:rsid w:val="00A86B62"/>
    <w:rsid w:val="00A8726F"/>
    <w:rsid w:val="00A87291"/>
    <w:rsid w:val="00A8767C"/>
    <w:rsid w:val="00A90000"/>
    <w:rsid w:val="00A90175"/>
    <w:rsid w:val="00A908C3"/>
    <w:rsid w:val="00A91391"/>
    <w:rsid w:val="00A94648"/>
    <w:rsid w:val="00A94D31"/>
    <w:rsid w:val="00A952A7"/>
    <w:rsid w:val="00A95724"/>
    <w:rsid w:val="00A95F42"/>
    <w:rsid w:val="00A964F5"/>
    <w:rsid w:val="00A96609"/>
    <w:rsid w:val="00A96B8E"/>
    <w:rsid w:val="00A96F32"/>
    <w:rsid w:val="00A96FF4"/>
    <w:rsid w:val="00A979D5"/>
    <w:rsid w:val="00AA09BE"/>
    <w:rsid w:val="00AA09D3"/>
    <w:rsid w:val="00AA0CA3"/>
    <w:rsid w:val="00AA18CF"/>
    <w:rsid w:val="00AA1CDD"/>
    <w:rsid w:val="00AA2A3E"/>
    <w:rsid w:val="00AA37C4"/>
    <w:rsid w:val="00AA5EE6"/>
    <w:rsid w:val="00AA6D92"/>
    <w:rsid w:val="00AB106D"/>
    <w:rsid w:val="00AB19FE"/>
    <w:rsid w:val="00AB1B9D"/>
    <w:rsid w:val="00AB24AE"/>
    <w:rsid w:val="00AB2ED5"/>
    <w:rsid w:val="00AB5074"/>
    <w:rsid w:val="00AB58DF"/>
    <w:rsid w:val="00AB6EA3"/>
    <w:rsid w:val="00AB747E"/>
    <w:rsid w:val="00AC2090"/>
    <w:rsid w:val="00AC3719"/>
    <w:rsid w:val="00AC3782"/>
    <w:rsid w:val="00AC3795"/>
    <w:rsid w:val="00AC43EC"/>
    <w:rsid w:val="00AC522B"/>
    <w:rsid w:val="00AC5716"/>
    <w:rsid w:val="00AC600C"/>
    <w:rsid w:val="00AC7C4E"/>
    <w:rsid w:val="00AD04BB"/>
    <w:rsid w:val="00AD0A6E"/>
    <w:rsid w:val="00AD0EA2"/>
    <w:rsid w:val="00AD10C6"/>
    <w:rsid w:val="00AD13D5"/>
    <w:rsid w:val="00AD1496"/>
    <w:rsid w:val="00AD1AF2"/>
    <w:rsid w:val="00AD1C1C"/>
    <w:rsid w:val="00AD282B"/>
    <w:rsid w:val="00AD301C"/>
    <w:rsid w:val="00AD3401"/>
    <w:rsid w:val="00AD3812"/>
    <w:rsid w:val="00AD414F"/>
    <w:rsid w:val="00AD68E7"/>
    <w:rsid w:val="00AD75B1"/>
    <w:rsid w:val="00AE08CB"/>
    <w:rsid w:val="00AE09C4"/>
    <w:rsid w:val="00AE1980"/>
    <w:rsid w:val="00AE1C18"/>
    <w:rsid w:val="00AE1D0A"/>
    <w:rsid w:val="00AE1E95"/>
    <w:rsid w:val="00AE22D7"/>
    <w:rsid w:val="00AE2306"/>
    <w:rsid w:val="00AE2925"/>
    <w:rsid w:val="00AE33B1"/>
    <w:rsid w:val="00AE34F4"/>
    <w:rsid w:val="00AE374F"/>
    <w:rsid w:val="00AE4143"/>
    <w:rsid w:val="00AE4666"/>
    <w:rsid w:val="00AE51E2"/>
    <w:rsid w:val="00AE5375"/>
    <w:rsid w:val="00AE68E1"/>
    <w:rsid w:val="00AE74F0"/>
    <w:rsid w:val="00AF08D9"/>
    <w:rsid w:val="00AF09C2"/>
    <w:rsid w:val="00AF0D43"/>
    <w:rsid w:val="00AF18E9"/>
    <w:rsid w:val="00AF19B4"/>
    <w:rsid w:val="00AF24D5"/>
    <w:rsid w:val="00AF3818"/>
    <w:rsid w:val="00AF3D79"/>
    <w:rsid w:val="00AF4A29"/>
    <w:rsid w:val="00AF5352"/>
    <w:rsid w:val="00AF535E"/>
    <w:rsid w:val="00B00F2D"/>
    <w:rsid w:val="00B02838"/>
    <w:rsid w:val="00B02C04"/>
    <w:rsid w:val="00B03135"/>
    <w:rsid w:val="00B043AE"/>
    <w:rsid w:val="00B04D1B"/>
    <w:rsid w:val="00B05745"/>
    <w:rsid w:val="00B05A3C"/>
    <w:rsid w:val="00B05C61"/>
    <w:rsid w:val="00B06295"/>
    <w:rsid w:val="00B066AA"/>
    <w:rsid w:val="00B06BCF"/>
    <w:rsid w:val="00B06CED"/>
    <w:rsid w:val="00B10835"/>
    <w:rsid w:val="00B11C9A"/>
    <w:rsid w:val="00B129EB"/>
    <w:rsid w:val="00B13056"/>
    <w:rsid w:val="00B13278"/>
    <w:rsid w:val="00B13458"/>
    <w:rsid w:val="00B13FB0"/>
    <w:rsid w:val="00B14085"/>
    <w:rsid w:val="00B14A2A"/>
    <w:rsid w:val="00B16879"/>
    <w:rsid w:val="00B1712F"/>
    <w:rsid w:val="00B1750E"/>
    <w:rsid w:val="00B201C9"/>
    <w:rsid w:val="00B21940"/>
    <w:rsid w:val="00B21E1C"/>
    <w:rsid w:val="00B22AFD"/>
    <w:rsid w:val="00B22B85"/>
    <w:rsid w:val="00B2403D"/>
    <w:rsid w:val="00B24605"/>
    <w:rsid w:val="00B25803"/>
    <w:rsid w:val="00B30E66"/>
    <w:rsid w:val="00B34F2B"/>
    <w:rsid w:val="00B3594C"/>
    <w:rsid w:val="00B3612E"/>
    <w:rsid w:val="00B365F8"/>
    <w:rsid w:val="00B40358"/>
    <w:rsid w:val="00B4195F"/>
    <w:rsid w:val="00B41AEE"/>
    <w:rsid w:val="00B42CC2"/>
    <w:rsid w:val="00B44167"/>
    <w:rsid w:val="00B44709"/>
    <w:rsid w:val="00B45C83"/>
    <w:rsid w:val="00B45F01"/>
    <w:rsid w:val="00B47D96"/>
    <w:rsid w:val="00B501F2"/>
    <w:rsid w:val="00B5073B"/>
    <w:rsid w:val="00B5187F"/>
    <w:rsid w:val="00B5216E"/>
    <w:rsid w:val="00B545F6"/>
    <w:rsid w:val="00B546E2"/>
    <w:rsid w:val="00B54C99"/>
    <w:rsid w:val="00B55CE9"/>
    <w:rsid w:val="00B55FD7"/>
    <w:rsid w:val="00B572DC"/>
    <w:rsid w:val="00B60A76"/>
    <w:rsid w:val="00B61392"/>
    <w:rsid w:val="00B6140C"/>
    <w:rsid w:val="00B62206"/>
    <w:rsid w:val="00B6315F"/>
    <w:rsid w:val="00B63854"/>
    <w:rsid w:val="00B63CA0"/>
    <w:rsid w:val="00B64057"/>
    <w:rsid w:val="00B6443C"/>
    <w:rsid w:val="00B644EF"/>
    <w:rsid w:val="00B645B3"/>
    <w:rsid w:val="00B6475B"/>
    <w:rsid w:val="00B6577B"/>
    <w:rsid w:val="00B65E1E"/>
    <w:rsid w:val="00B65ED7"/>
    <w:rsid w:val="00B70159"/>
    <w:rsid w:val="00B71139"/>
    <w:rsid w:val="00B73590"/>
    <w:rsid w:val="00B749D8"/>
    <w:rsid w:val="00B750D1"/>
    <w:rsid w:val="00B769B2"/>
    <w:rsid w:val="00B77713"/>
    <w:rsid w:val="00B804D7"/>
    <w:rsid w:val="00B810DE"/>
    <w:rsid w:val="00B8124D"/>
    <w:rsid w:val="00B825FC"/>
    <w:rsid w:val="00B843B5"/>
    <w:rsid w:val="00B84F35"/>
    <w:rsid w:val="00B861D9"/>
    <w:rsid w:val="00B86FBA"/>
    <w:rsid w:val="00B90EE6"/>
    <w:rsid w:val="00B9107E"/>
    <w:rsid w:val="00B9185E"/>
    <w:rsid w:val="00B91C94"/>
    <w:rsid w:val="00B93539"/>
    <w:rsid w:val="00B94C66"/>
    <w:rsid w:val="00B94CFE"/>
    <w:rsid w:val="00B95447"/>
    <w:rsid w:val="00B963E2"/>
    <w:rsid w:val="00B96EFF"/>
    <w:rsid w:val="00BA0063"/>
    <w:rsid w:val="00BA0678"/>
    <w:rsid w:val="00BA11A5"/>
    <w:rsid w:val="00BA1604"/>
    <w:rsid w:val="00BA318A"/>
    <w:rsid w:val="00BA433F"/>
    <w:rsid w:val="00BA46D6"/>
    <w:rsid w:val="00BA4BA7"/>
    <w:rsid w:val="00BA5644"/>
    <w:rsid w:val="00BA5828"/>
    <w:rsid w:val="00BA65F0"/>
    <w:rsid w:val="00BA6DB4"/>
    <w:rsid w:val="00BA6FE3"/>
    <w:rsid w:val="00BA7528"/>
    <w:rsid w:val="00BA7DC6"/>
    <w:rsid w:val="00BB00D7"/>
    <w:rsid w:val="00BB0DBF"/>
    <w:rsid w:val="00BB123E"/>
    <w:rsid w:val="00BB1685"/>
    <w:rsid w:val="00BB1BD6"/>
    <w:rsid w:val="00BB1D19"/>
    <w:rsid w:val="00BB264A"/>
    <w:rsid w:val="00BB2BF4"/>
    <w:rsid w:val="00BB2FBF"/>
    <w:rsid w:val="00BB3FC7"/>
    <w:rsid w:val="00BB43E2"/>
    <w:rsid w:val="00BB4A53"/>
    <w:rsid w:val="00BB6921"/>
    <w:rsid w:val="00BB6F16"/>
    <w:rsid w:val="00BB706B"/>
    <w:rsid w:val="00BB7878"/>
    <w:rsid w:val="00BB7B65"/>
    <w:rsid w:val="00BB7E92"/>
    <w:rsid w:val="00BC08AC"/>
    <w:rsid w:val="00BC0CBE"/>
    <w:rsid w:val="00BC1A44"/>
    <w:rsid w:val="00BC1B74"/>
    <w:rsid w:val="00BC2148"/>
    <w:rsid w:val="00BC2494"/>
    <w:rsid w:val="00BC38FE"/>
    <w:rsid w:val="00BC4069"/>
    <w:rsid w:val="00BC4694"/>
    <w:rsid w:val="00BC5F90"/>
    <w:rsid w:val="00BC68BC"/>
    <w:rsid w:val="00BC6A1D"/>
    <w:rsid w:val="00BC7217"/>
    <w:rsid w:val="00BC774E"/>
    <w:rsid w:val="00BC798A"/>
    <w:rsid w:val="00BC7E36"/>
    <w:rsid w:val="00BD0731"/>
    <w:rsid w:val="00BD08BF"/>
    <w:rsid w:val="00BD0B9F"/>
    <w:rsid w:val="00BD11C6"/>
    <w:rsid w:val="00BD3505"/>
    <w:rsid w:val="00BD369D"/>
    <w:rsid w:val="00BD3C47"/>
    <w:rsid w:val="00BD3D66"/>
    <w:rsid w:val="00BD54A9"/>
    <w:rsid w:val="00BD5C3B"/>
    <w:rsid w:val="00BD5EC9"/>
    <w:rsid w:val="00BD604F"/>
    <w:rsid w:val="00BD6F82"/>
    <w:rsid w:val="00BD71B4"/>
    <w:rsid w:val="00BE0A64"/>
    <w:rsid w:val="00BE111C"/>
    <w:rsid w:val="00BE172B"/>
    <w:rsid w:val="00BE19C5"/>
    <w:rsid w:val="00BE2713"/>
    <w:rsid w:val="00BE2781"/>
    <w:rsid w:val="00BE29A1"/>
    <w:rsid w:val="00BE444F"/>
    <w:rsid w:val="00BE53A5"/>
    <w:rsid w:val="00BE7446"/>
    <w:rsid w:val="00BE7D1F"/>
    <w:rsid w:val="00BE7FFA"/>
    <w:rsid w:val="00BF0685"/>
    <w:rsid w:val="00BF0D8B"/>
    <w:rsid w:val="00BF1BE0"/>
    <w:rsid w:val="00BF1F1F"/>
    <w:rsid w:val="00BF20BB"/>
    <w:rsid w:val="00BF2936"/>
    <w:rsid w:val="00BF38EF"/>
    <w:rsid w:val="00BF44B9"/>
    <w:rsid w:val="00BF4B9D"/>
    <w:rsid w:val="00BF5348"/>
    <w:rsid w:val="00BF5633"/>
    <w:rsid w:val="00BF6AC4"/>
    <w:rsid w:val="00C02801"/>
    <w:rsid w:val="00C02A12"/>
    <w:rsid w:val="00C02BAA"/>
    <w:rsid w:val="00C02F1A"/>
    <w:rsid w:val="00C03686"/>
    <w:rsid w:val="00C03C6B"/>
    <w:rsid w:val="00C03DAA"/>
    <w:rsid w:val="00C05C0D"/>
    <w:rsid w:val="00C06D8A"/>
    <w:rsid w:val="00C06F66"/>
    <w:rsid w:val="00C0706F"/>
    <w:rsid w:val="00C07DB1"/>
    <w:rsid w:val="00C10CC0"/>
    <w:rsid w:val="00C11E79"/>
    <w:rsid w:val="00C12DD4"/>
    <w:rsid w:val="00C12EB7"/>
    <w:rsid w:val="00C13529"/>
    <w:rsid w:val="00C13FED"/>
    <w:rsid w:val="00C14E6A"/>
    <w:rsid w:val="00C154FA"/>
    <w:rsid w:val="00C15907"/>
    <w:rsid w:val="00C15C07"/>
    <w:rsid w:val="00C17198"/>
    <w:rsid w:val="00C174C5"/>
    <w:rsid w:val="00C20169"/>
    <w:rsid w:val="00C20485"/>
    <w:rsid w:val="00C204DE"/>
    <w:rsid w:val="00C20CFD"/>
    <w:rsid w:val="00C21779"/>
    <w:rsid w:val="00C21804"/>
    <w:rsid w:val="00C218DF"/>
    <w:rsid w:val="00C2231E"/>
    <w:rsid w:val="00C22BA7"/>
    <w:rsid w:val="00C22E3F"/>
    <w:rsid w:val="00C23482"/>
    <w:rsid w:val="00C23BFB"/>
    <w:rsid w:val="00C24301"/>
    <w:rsid w:val="00C24E26"/>
    <w:rsid w:val="00C25275"/>
    <w:rsid w:val="00C2552B"/>
    <w:rsid w:val="00C25CC1"/>
    <w:rsid w:val="00C25D42"/>
    <w:rsid w:val="00C26475"/>
    <w:rsid w:val="00C26672"/>
    <w:rsid w:val="00C26CAB"/>
    <w:rsid w:val="00C27875"/>
    <w:rsid w:val="00C27954"/>
    <w:rsid w:val="00C27B5F"/>
    <w:rsid w:val="00C3106D"/>
    <w:rsid w:val="00C319F2"/>
    <w:rsid w:val="00C32A6D"/>
    <w:rsid w:val="00C3365F"/>
    <w:rsid w:val="00C33D86"/>
    <w:rsid w:val="00C342FC"/>
    <w:rsid w:val="00C3465E"/>
    <w:rsid w:val="00C35639"/>
    <w:rsid w:val="00C356C1"/>
    <w:rsid w:val="00C3580B"/>
    <w:rsid w:val="00C358BF"/>
    <w:rsid w:val="00C36313"/>
    <w:rsid w:val="00C3638A"/>
    <w:rsid w:val="00C36FC6"/>
    <w:rsid w:val="00C370E0"/>
    <w:rsid w:val="00C37417"/>
    <w:rsid w:val="00C37678"/>
    <w:rsid w:val="00C37986"/>
    <w:rsid w:val="00C409F0"/>
    <w:rsid w:val="00C41EA0"/>
    <w:rsid w:val="00C425E1"/>
    <w:rsid w:val="00C43FF9"/>
    <w:rsid w:val="00C44C73"/>
    <w:rsid w:val="00C44C89"/>
    <w:rsid w:val="00C45C33"/>
    <w:rsid w:val="00C471AB"/>
    <w:rsid w:val="00C47630"/>
    <w:rsid w:val="00C51040"/>
    <w:rsid w:val="00C51727"/>
    <w:rsid w:val="00C51D16"/>
    <w:rsid w:val="00C5287E"/>
    <w:rsid w:val="00C54996"/>
    <w:rsid w:val="00C55C5E"/>
    <w:rsid w:val="00C56C3B"/>
    <w:rsid w:val="00C56DF6"/>
    <w:rsid w:val="00C577FC"/>
    <w:rsid w:val="00C57963"/>
    <w:rsid w:val="00C57EF9"/>
    <w:rsid w:val="00C60D70"/>
    <w:rsid w:val="00C61ECF"/>
    <w:rsid w:val="00C63179"/>
    <w:rsid w:val="00C63390"/>
    <w:rsid w:val="00C63772"/>
    <w:rsid w:val="00C64185"/>
    <w:rsid w:val="00C67661"/>
    <w:rsid w:val="00C678D8"/>
    <w:rsid w:val="00C67918"/>
    <w:rsid w:val="00C67AC2"/>
    <w:rsid w:val="00C67D50"/>
    <w:rsid w:val="00C7071D"/>
    <w:rsid w:val="00C71956"/>
    <w:rsid w:val="00C71BD5"/>
    <w:rsid w:val="00C7376A"/>
    <w:rsid w:val="00C750A5"/>
    <w:rsid w:val="00C763C2"/>
    <w:rsid w:val="00C76589"/>
    <w:rsid w:val="00C76A01"/>
    <w:rsid w:val="00C76D15"/>
    <w:rsid w:val="00C779CA"/>
    <w:rsid w:val="00C77FB7"/>
    <w:rsid w:val="00C81A2F"/>
    <w:rsid w:val="00C827A1"/>
    <w:rsid w:val="00C82F8C"/>
    <w:rsid w:val="00C831C7"/>
    <w:rsid w:val="00C84741"/>
    <w:rsid w:val="00C848DB"/>
    <w:rsid w:val="00C8712F"/>
    <w:rsid w:val="00C87196"/>
    <w:rsid w:val="00C87EEC"/>
    <w:rsid w:val="00C90341"/>
    <w:rsid w:val="00C903BE"/>
    <w:rsid w:val="00C92C50"/>
    <w:rsid w:val="00C945E1"/>
    <w:rsid w:val="00C94B6A"/>
    <w:rsid w:val="00C9577F"/>
    <w:rsid w:val="00C95A78"/>
    <w:rsid w:val="00C96814"/>
    <w:rsid w:val="00C96BAC"/>
    <w:rsid w:val="00C974E5"/>
    <w:rsid w:val="00C976C0"/>
    <w:rsid w:val="00CA1A86"/>
    <w:rsid w:val="00CA27F5"/>
    <w:rsid w:val="00CA2D01"/>
    <w:rsid w:val="00CA2D5A"/>
    <w:rsid w:val="00CA3E60"/>
    <w:rsid w:val="00CA45A0"/>
    <w:rsid w:val="00CA45DE"/>
    <w:rsid w:val="00CA5126"/>
    <w:rsid w:val="00CA59FA"/>
    <w:rsid w:val="00CA6062"/>
    <w:rsid w:val="00CA618E"/>
    <w:rsid w:val="00CA6537"/>
    <w:rsid w:val="00CA709A"/>
    <w:rsid w:val="00CA709F"/>
    <w:rsid w:val="00CB0535"/>
    <w:rsid w:val="00CB08BB"/>
    <w:rsid w:val="00CB0FB2"/>
    <w:rsid w:val="00CB1B8E"/>
    <w:rsid w:val="00CB25EA"/>
    <w:rsid w:val="00CB3633"/>
    <w:rsid w:val="00CB42E5"/>
    <w:rsid w:val="00CB50B8"/>
    <w:rsid w:val="00CB5B14"/>
    <w:rsid w:val="00CB6D1E"/>
    <w:rsid w:val="00CB70D4"/>
    <w:rsid w:val="00CC01CF"/>
    <w:rsid w:val="00CC15F3"/>
    <w:rsid w:val="00CC2945"/>
    <w:rsid w:val="00CC2F48"/>
    <w:rsid w:val="00CC4CB0"/>
    <w:rsid w:val="00CC5594"/>
    <w:rsid w:val="00CC55AF"/>
    <w:rsid w:val="00CC67A2"/>
    <w:rsid w:val="00CC6905"/>
    <w:rsid w:val="00CC6D31"/>
    <w:rsid w:val="00CC7E82"/>
    <w:rsid w:val="00CD1C41"/>
    <w:rsid w:val="00CD1E7C"/>
    <w:rsid w:val="00CD28AB"/>
    <w:rsid w:val="00CD51C2"/>
    <w:rsid w:val="00CD627B"/>
    <w:rsid w:val="00CD6882"/>
    <w:rsid w:val="00CD72D9"/>
    <w:rsid w:val="00CD7D11"/>
    <w:rsid w:val="00CE0940"/>
    <w:rsid w:val="00CE0B2D"/>
    <w:rsid w:val="00CE270C"/>
    <w:rsid w:val="00CE2B15"/>
    <w:rsid w:val="00CE2BA8"/>
    <w:rsid w:val="00CE2F50"/>
    <w:rsid w:val="00CE325A"/>
    <w:rsid w:val="00CE3F1E"/>
    <w:rsid w:val="00CE4085"/>
    <w:rsid w:val="00CE4A92"/>
    <w:rsid w:val="00CE699D"/>
    <w:rsid w:val="00CF0655"/>
    <w:rsid w:val="00CF2CE2"/>
    <w:rsid w:val="00CF304D"/>
    <w:rsid w:val="00CF343E"/>
    <w:rsid w:val="00CF4377"/>
    <w:rsid w:val="00CF5296"/>
    <w:rsid w:val="00CF52A1"/>
    <w:rsid w:val="00CF56DE"/>
    <w:rsid w:val="00CF7CFB"/>
    <w:rsid w:val="00D0083D"/>
    <w:rsid w:val="00D009D3"/>
    <w:rsid w:val="00D00AC4"/>
    <w:rsid w:val="00D01379"/>
    <w:rsid w:val="00D01862"/>
    <w:rsid w:val="00D04244"/>
    <w:rsid w:val="00D050DE"/>
    <w:rsid w:val="00D05BE0"/>
    <w:rsid w:val="00D0609A"/>
    <w:rsid w:val="00D07269"/>
    <w:rsid w:val="00D07B4F"/>
    <w:rsid w:val="00D07FF5"/>
    <w:rsid w:val="00D114C0"/>
    <w:rsid w:val="00D1193A"/>
    <w:rsid w:val="00D124B7"/>
    <w:rsid w:val="00D131FF"/>
    <w:rsid w:val="00D13FA6"/>
    <w:rsid w:val="00D140A1"/>
    <w:rsid w:val="00D1494D"/>
    <w:rsid w:val="00D15201"/>
    <w:rsid w:val="00D15430"/>
    <w:rsid w:val="00D154BD"/>
    <w:rsid w:val="00D162F2"/>
    <w:rsid w:val="00D17C8C"/>
    <w:rsid w:val="00D17EAF"/>
    <w:rsid w:val="00D206E5"/>
    <w:rsid w:val="00D209BD"/>
    <w:rsid w:val="00D226D8"/>
    <w:rsid w:val="00D229B9"/>
    <w:rsid w:val="00D22EC0"/>
    <w:rsid w:val="00D232A0"/>
    <w:rsid w:val="00D23821"/>
    <w:rsid w:val="00D248CB"/>
    <w:rsid w:val="00D24943"/>
    <w:rsid w:val="00D24E29"/>
    <w:rsid w:val="00D25145"/>
    <w:rsid w:val="00D25D4A"/>
    <w:rsid w:val="00D26C32"/>
    <w:rsid w:val="00D27987"/>
    <w:rsid w:val="00D30075"/>
    <w:rsid w:val="00D31D39"/>
    <w:rsid w:val="00D31FEF"/>
    <w:rsid w:val="00D323A4"/>
    <w:rsid w:val="00D32464"/>
    <w:rsid w:val="00D32E4F"/>
    <w:rsid w:val="00D3382D"/>
    <w:rsid w:val="00D33F7F"/>
    <w:rsid w:val="00D352BA"/>
    <w:rsid w:val="00D35D87"/>
    <w:rsid w:val="00D362AD"/>
    <w:rsid w:val="00D363B2"/>
    <w:rsid w:val="00D364A9"/>
    <w:rsid w:val="00D36DC0"/>
    <w:rsid w:val="00D37411"/>
    <w:rsid w:val="00D4023A"/>
    <w:rsid w:val="00D4079C"/>
    <w:rsid w:val="00D41A9D"/>
    <w:rsid w:val="00D4342F"/>
    <w:rsid w:val="00D43923"/>
    <w:rsid w:val="00D44384"/>
    <w:rsid w:val="00D463A1"/>
    <w:rsid w:val="00D465E6"/>
    <w:rsid w:val="00D46C70"/>
    <w:rsid w:val="00D50227"/>
    <w:rsid w:val="00D505E5"/>
    <w:rsid w:val="00D5095E"/>
    <w:rsid w:val="00D52805"/>
    <w:rsid w:val="00D5334E"/>
    <w:rsid w:val="00D54ECA"/>
    <w:rsid w:val="00D553D2"/>
    <w:rsid w:val="00D55669"/>
    <w:rsid w:val="00D601C9"/>
    <w:rsid w:val="00D60FA1"/>
    <w:rsid w:val="00D617DF"/>
    <w:rsid w:val="00D6247E"/>
    <w:rsid w:val="00D62CDD"/>
    <w:rsid w:val="00D6511B"/>
    <w:rsid w:val="00D65213"/>
    <w:rsid w:val="00D66911"/>
    <w:rsid w:val="00D66FF8"/>
    <w:rsid w:val="00D672C2"/>
    <w:rsid w:val="00D70F3A"/>
    <w:rsid w:val="00D72DE5"/>
    <w:rsid w:val="00D73090"/>
    <w:rsid w:val="00D73122"/>
    <w:rsid w:val="00D739D1"/>
    <w:rsid w:val="00D73D3C"/>
    <w:rsid w:val="00D73DA2"/>
    <w:rsid w:val="00D73FAC"/>
    <w:rsid w:val="00D741BF"/>
    <w:rsid w:val="00D7493B"/>
    <w:rsid w:val="00D762F8"/>
    <w:rsid w:val="00D766D1"/>
    <w:rsid w:val="00D76B8C"/>
    <w:rsid w:val="00D76CDE"/>
    <w:rsid w:val="00D77E3B"/>
    <w:rsid w:val="00D80164"/>
    <w:rsid w:val="00D803B4"/>
    <w:rsid w:val="00D813E4"/>
    <w:rsid w:val="00D82E72"/>
    <w:rsid w:val="00D86AEA"/>
    <w:rsid w:val="00D87530"/>
    <w:rsid w:val="00D90219"/>
    <w:rsid w:val="00D90779"/>
    <w:rsid w:val="00D91518"/>
    <w:rsid w:val="00D9248F"/>
    <w:rsid w:val="00D934D4"/>
    <w:rsid w:val="00D956FA"/>
    <w:rsid w:val="00D963FB"/>
    <w:rsid w:val="00D9680A"/>
    <w:rsid w:val="00DA049C"/>
    <w:rsid w:val="00DA1677"/>
    <w:rsid w:val="00DA2E7D"/>
    <w:rsid w:val="00DA4973"/>
    <w:rsid w:val="00DA4A50"/>
    <w:rsid w:val="00DA4E52"/>
    <w:rsid w:val="00DA4ED1"/>
    <w:rsid w:val="00DA5354"/>
    <w:rsid w:val="00DA5B3F"/>
    <w:rsid w:val="00DA6889"/>
    <w:rsid w:val="00DA725A"/>
    <w:rsid w:val="00DA7AAC"/>
    <w:rsid w:val="00DB01F1"/>
    <w:rsid w:val="00DB177A"/>
    <w:rsid w:val="00DB1BE1"/>
    <w:rsid w:val="00DB26A1"/>
    <w:rsid w:val="00DB2CA4"/>
    <w:rsid w:val="00DB362F"/>
    <w:rsid w:val="00DB3D1F"/>
    <w:rsid w:val="00DB441F"/>
    <w:rsid w:val="00DB4502"/>
    <w:rsid w:val="00DC12D9"/>
    <w:rsid w:val="00DC2896"/>
    <w:rsid w:val="00DC29DB"/>
    <w:rsid w:val="00DC320E"/>
    <w:rsid w:val="00DC4D12"/>
    <w:rsid w:val="00DC60D5"/>
    <w:rsid w:val="00DC6DD4"/>
    <w:rsid w:val="00DD011E"/>
    <w:rsid w:val="00DD06B2"/>
    <w:rsid w:val="00DD2569"/>
    <w:rsid w:val="00DD2805"/>
    <w:rsid w:val="00DD2EF5"/>
    <w:rsid w:val="00DD3288"/>
    <w:rsid w:val="00DD331A"/>
    <w:rsid w:val="00DD35D6"/>
    <w:rsid w:val="00DD403D"/>
    <w:rsid w:val="00DD4CDD"/>
    <w:rsid w:val="00DD52B2"/>
    <w:rsid w:val="00DD5BDA"/>
    <w:rsid w:val="00DD6AF2"/>
    <w:rsid w:val="00DD7F7F"/>
    <w:rsid w:val="00DE0237"/>
    <w:rsid w:val="00DE2D58"/>
    <w:rsid w:val="00DE3B64"/>
    <w:rsid w:val="00DE3E05"/>
    <w:rsid w:val="00DE5367"/>
    <w:rsid w:val="00DE55A9"/>
    <w:rsid w:val="00DE599E"/>
    <w:rsid w:val="00DE6439"/>
    <w:rsid w:val="00DE66A0"/>
    <w:rsid w:val="00DE7B28"/>
    <w:rsid w:val="00DF09A6"/>
    <w:rsid w:val="00DF0EC3"/>
    <w:rsid w:val="00DF104D"/>
    <w:rsid w:val="00DF1421"/>
    <w:rsid w:val="00DF3AAB"/>
    <w:rsid w:val="00DF4696"/>
    <w:rsid w:val="00DF4F29"/>
    <w:rsid w:val="00DF5613"/>
    <w:rsid w:val="00DF5A0E"/>
    <w:rsid w:val="00DF5A2E"/>
    <w:rsid w:val="00DF6378"/>
    <w:rsid w:val="00DF6F7E"/>
    <w:rsid w:val="00DF6FE9"/>
    <w:rsid w:val="00DF72F7"/>
    <w:rsid w:val="00E0113A"/>
    <w:rsid w:val="00E01AF4"/>
    <w:rsid w:val="00E01CB6"/>
    <w:rsid w:val="00E01FF8"/>
    <w:rsid w:val="00E024FB"/>
    <w:rsid w:val="00E029D7"/>
    <w:rsid w:val="00E02E56"/>
    <w:rsid w:val="00E03EFD"/>
    <w:rsid w:val="00E04060"/>
    <w:rsid w:val="00E04F25"/>
    <w:rsid w:val="00E0529F"/>
    <w:rsid w:val="00E060F2"/>
    <w:rsid w:val="00E067F7"/>
    <w:rsid w:val="00E0685B"/>
    <w:rsid w:val="00E069C9"/>
    <w:rsid w:val="00E06D36"/>
    <w:rsid w:val="00E07167"/>
    <w:rsid w:val="00E107C6"/>
    <w:rsid w:val="00E11384"/>
    <w:rsid w:val="00E11CD4"/>
    <w:rsid w:val="00E12827"/>
    <w:rsid w:val="00E1328C"/>
    <w:rsid w:val="00E15CA5"/>
    <w:rsid w:val="00E16178"/>
    <w:rsid w:val="00E162B9"/>
    <w:rsid w:val="00E168F3"/>
    <w:rsid w:val="00E16A35"/>
    <w:rsid w:val="00E16CEC"/>
    <w:rsid w:val="00E17500"/>
    <w:rsid w:val="00E204DD"/>
    <w:rsid w:val="00E21A00"/>
    <w:rsid w:val="00E2240D"/>
    <w:rsid w:val="00E22552"/>
    <w:rsid w:val="00E228A5"/>
    <w:rsid w:val="00E228C2"/>
    <w:rsid w:val="00E2329C"/>
    <w:rsid w:val="00E2396F"/>
    <w:rsid w:val="00E23A5F"/>
    <w:rsid w:val="00E2492F"/>
    <w:rsid w:val="00E25F45"/>
    <w:rsid w:val="00E27242"/>
    <w:rsid w:val="00E30222"/>
    <w:rsid w:val="00E34EFD"/>
    <w:rsid w:val="00E359ED"/>
    <w:rsid w:val="00E366D7"/>
    <w:rsid w:val="00E36A40"/>
    <w:rsid w:val="00E37A7F"/>
    <w:rsid w:val="00E37CF7"/>
    <w:rsid w:val="00E37FB2"/>
    <w:rsid w:val="00E40D26"/>
    <w:rsid w:val="00E40EF2"/>
    <w:rsid w:val="00E47479"/>
    <w:rsid w:val="00E4755F"/>
    <w:rsid w:val="00E47C69"/>
    <w:rsid w:val="00E47EEC"/>
    <w:rsid w:val="00E5028D"/>
    <w:rsid w:val="00E510D8"/>
    <w:rsid w:val="00E51805"/>
    <w:rsid w:val="00E54709"/>
    <w:rsid w:val="00E55EED"/>
    <w:rsid w:val="00E5647B"/>
    <w:rsid w:val="00E56D5F"/>
    <w:rsid w:val="00E578BF"/>
    <w:rsid w:val="00E57A96"/>
    <w:rsid w:val="00E605FC"/>
    <w:rsid w:val="00E60C66"/>
    <w:rsid w:val="00E61A2A"/>
    <w:rsid w:val="00E62695"/>
    <w:rsid w:val="00E62FCC"/>
    <w:rsid w:val="00E63FCF"/>
    <w:rsid w:val="00E65E6B"/>
    <w:rsid w:val="00E6619D"/>
    <w:rsid w:val="00E661DC"/>
    <w:rsid w:val="00E667CC"/>
    <w:rsid w:val="00E70B57"/>
    <w:rsid w:val="00E71857"/>
    <w:rsid w:val="00E72068"/>
    <w:rsid w:val="00E72E38"/>
    <w:rsid w:val="00E73B0E"/>
    <w:rsid w:val="00E73C1A"/>
    <w:rsid w:val="00E742FC"/>
    <w:rsid w:val="00E74A6D"/>
    <w:rsid w:val="00E74D43"/>
    <w:rsid w:val="00E767F0"/>
    <w:rsid w:val="00E80CB8"/>
    <w:rsid w:val="00E81611"/>
    <w:rsid w:val="00E8168E"/>
    <w:rsid w:val="00E83037"/>
    <w:rsid w:val="00E85130"/>
    <w:rsid w:val="00E85771"/>
    <w:rsid w:val="00E8578F"/>
    <w:rsid w:val="00E85F2F"/>
    <w:rsid w:val="00E86A70"/>
    <w:rsid w:val="00E87881"/>
    <w:rsid w:val="00E90024"/>
    <w:rsid w:val="00E90EB2"/>
    <w:rsid w:val="00E93A4C"/>
    <w:rsid w:val="00E9522A"/>
    <w:rsid w:val="00E95298"/>
    <w:rsid w:val="00E96B8A"/>
    <w:rsid w:val="00E97C30"/>
    <w:rsid w:val="00EA05F6"/>
    <w:rsid w:val="00EA231B"/>
    <w:rsid w:val="00EA247A"/>
    <w:rsid w:val="00EA3F11"/>
    <w:rsid w:val="00EA5F6D"/>
    <w:rsid w:val="00EA61AB"/>
    <w:rsid w:val="00EA6852"/>
    <w:rsid w:val="00EA7221"/>
    <w:rsid w:val="00EB1648"/>
    <w:rsid w:val="00EB30C9"/>
    <w:rsid w:val="00EB330D"/>
    <w:rsid w:val="00EB3DD8"/>
    <w:rsid w:val="00EB3E7E"/>
    <w:rsid w:val="00EB48D8"/>
    <w:rsid w:val="00EB5592"/>
    <w:rsid w:val="00EB7842"/>
    <w:rsid w:val="00EC0849"/>
    <w:rsid w:val="00EC198B"/>
    <w:rsid w:val="00EC1F32"/>
    <w:rsid w:val="00EC4B3D"/>
    <w:rsid w:val="00EC5B63"/>
    <w:rsid w:val="00EC6559"/>
    <w:rsid w:val="00EC6EA5"/>
    <w:rsid w:val="00ED0624"/>
    <w:rsid w:val="00ED0674"/>
    <w:rsid w:val="00ED1390"/>
    <w:rsid w:val="00ED2B3D"/>
    <w:rsid w:val="00ED3B3D"/>
    <w:rsid w:val="00ED5C30"/>
    <w:rsid w:val="00ED5EC2"/>
    <w:rsid w:val="00ED6D6E"/>
    <w:rsid w:val="00EE034B"/>
    <w:rsid w:val="00EE1FF9"/>
    <w:rsid w:val="00EE322F"/>
    <w:rsid w:val="00EE6BC9"/>
    <w:rsid w:val="00EF033E"/>
    <w:rsid w:val="00EF1C85"/>
    <w:rsid w:val="00EF1DFC"/>
    <w:rsid w:val="00EF34B0"/>
    <w:rsid w:val="00EF3624"/>
    <w:rsid w:val="00EF69DA"/>
    <w:rsid w:val="00EF71D7"/>
    <w:rsid w:val="00EF727B"/>
    <w:rsid w:val="00EF7767"/>
    <w:rsid w:val="00F002E6"/>
    <w:rsid w:val="00F006EA"/>
    <w:rsid w:val="00F00847"/>
    <w:rsid w:val="00F01A10"/>
    <w:rsid w:val="00F02839"/>
    <w:rsid w:val="00F03F62"/>
    <w:rsid w:val="00F04091"/>
    <w:rsid w:val="00F045A0"/>
    <w:rsid w:val="00F04996"/>
    <w:rsid w:val="00F04BD2"/>
    <w:rsid w:val="00F05D7A"/>
    <w:rsid w:val="00F06C78"/>
    <w:rsid w:val="00F06D55"/>
    <w:rsid w:val="00F104A2"/>
    <w:rsid w:val="00F117D9"/>
    <w:rsid w:val="00F15658"/>
    <w:rsid w:val="00F175FE"/>
    <w:rsid w:val="00F17E19"/>
    <w:rsid w:val="00F21202"/>
    <w:rsid w:val="00F224C4"/>
    <w:rsid w:val="00F2342D"/>
    <w:rsid w:val="00F23826"/>
    <w:rsid w:val="00F24E6D"/>
    <w:rsid w:val="00F25334"/>
    <w:rsid w:val="00F2563E"/>
    <w:rsid w:val="00F25755"/>
    <w:rsid w:val="00F2634D"/>
    <w:rsid w:val="00F26ECE"/>
    <w:rsid w:val="00F275A5"/>
    <w:rsid w:val="00F30660"/>
    <w:rsid w:val="00F30902"/>
    <w:rsid w:val="00F30A55"/>
    <w:rsid w:val="00F316EF"/>
    <w:rsid w:val="00F32036"/>
    <w:rsid w:val="00F3399B"/>
    <w:rsid w:val="00F36480"/>
    <w:rsid w:val="00F36A44"/>
    <w:rsid w:val="00F402C3"/>
    <w:rsid w:val="00F40480"/>
    <w:rsid w:val="00F40974"/>
    <w:rsid w:val="00F40A07"/>
    <w:rsid w:val="00F4110B"/>
    <w:rsid w:val="00F41A30"/>
    <w:rsid w:val="00F45FD0"/>
    <w:rsid w:val="00F4732B"/>
    <w:rsid w:val="00F47EDA"/>
    <w:rsid w:val="00F5076C"/>
    <w:rsid w:val="00F50B58"/>
    <w:rsid w:val="00F51F26"/>
    <w:rsid w:val="00F526F1"/>
    <w:rsid w:val="00F52BA8"/>
    <w:rsid w:val="00F5373D"/>
    <w:rsid w:val="00F537B5"/>
    <w:rsid w:val="00F53AEE"/>
    <w:rsid w:val="00F5412B"/>
    <w:rsid w:val="00F552DE"/>
    <w:rsid w:val="00F553A5"/>
    <w:rsid w:val="00F556F3"/>
    <w:rsid w:val="00F5609C"/>
    <w:rsid w:val="00F56C32"/>
    <w:rsid w:val="00F572F5"/>
    <w:rsid w:val="00F5785D"/>
    <w:rsid w:val="00F60EC6"/>
    <w:rsid w:val="00F61207"/>
    <w:rsid w:val="00F6126C"/>
    <w:rsid w:val="00F6144C"/>
    <w:rsid w:val="00F64A3C"/>
    <w:rsid w:val="00F64B6E"/>
    <w:rsid w:val="00F6567F"/>
    <w:rsid w:val="00F65F4A"/>
    <w:rsid w:val="00F6634C"/>
    <w:rsid w:val="00F673A1"/>
    <w:rsid w:val="00F67472"/>
    <w:rsid w:val="00F7090B"/>
    <w:rsid w:val="00F71890"/>
    <w:rsid w:val="00F726DC"/>
    <w:rsid w:val="00F73915"/>
    <w:rsid w:val="00F7604D"/>
    <w:rsid w:val="00F76296"/>
    <w:rsid w:val="00F765B2"/>
    <w:rsid w:val="00F76881"/>
    <w:rsid w:val="00F770DC"/>
    <w:rsid w:val="00F80228"/>
    <w:rsid w:val="00F80327"/>
    <w:rsid w:val="00F807A4"/>
    <w:rsid w:val="00F8286A"/>
    <w:rsid w:val="00F84B42"/>
    <w:rsid w:val="00F8598D"/>
    <w:rsid w:val="00F85EC5"/>
    <w:rsid w:val="00F867F6"/>
    <w:rsid w:val="00F86C99"/>
    <w:rsid w:val="00F86D80"/>
    <w:rsid w:val="00F86DAB"/>
    <w:rsid w:val="00F87EC8"/>
    <w:rsid w:val="00F900A8"/>
    <w:rsid w:val="00F90255"/>
    <w:rsid w:val="00F930A3"/>
    <w:rsid w:val="00F93204"/>
    <w:rsid w:val="00F93873"/>
    <w:rsid w:val="00F93E2F"/>
    <w:rsid w:val="00F9557C"/>
    <w:rsid w:val="00F95F69"/>
    <w:rsid w:val="00F97331"/>
    <w:rsid w:val="00F974B9"/>
    <w:rsid w:val="00F97BD0"/>
    <w:rsid w:val="00F97D09"/>
    <w:rsid w:val="00FA06F4"/>
    <w:rsid w:val="00FA086F"/>
    <w:rsid w:val="00FA0EA8"/>
    <w:rsid w:val="00FA1E53"/>
    <w:rsid w:val="00FA2A72"/>
    <w:rsid w:val="00FA2D46"/>
    <w:rsid w:val="00FA337D"/>
    <w:rsid w:val="00FA4F5A"/>
    <w:rsid w:val="00FA5831"/>
    <w:rsid w:val="00FA7B4D"/>
    <w:rsid w:val="00FB0837"/>
    <w:rsid w:val="00FB0A05"/>
    <w:rsid w:val="00FB0EBA"/>
    <w:rsid w:val="00FB17FF"/>
    <w:rsid w:val="00FB2362"/>
    <w:rsid w:val="00FB26AB"/>
    <w:rsid w:val="00FB3C75"/>
    <w:rsid w:val="00FB3F52"/>
    <w:rsid w:val="00FB496D"/>
    <w:rsid w:val="00FB673C"/>
    <w:rsid w:val="00FB6B78"/>
    <w:rsid w:val="00FB6BD6"/>
    <w:rsid w:val="00FB6E0D"/>
    <w:rsid w:val="00FB6EB8"/>
    <w:rsid w:val="00FB7700"/>
    <w:rsid w:val="00FB7C7C"/>
    <w:rsid w:val="00FC0E33"/>
    <w:rsid w:val="00FC0EC9"/>
    <w:rsid w:val="00FC1415"/>
    <w:rsid w:val="00FC1496"/>
    <w:rsid w:val="00FC2422"/>
    <w:rsid w:val="00FC2817"/>
    <w:rsid w:val="00FC2907"/>
    <w:rsid w:val="00FC3B5E"/>
    <w:rsid w:val="00FC4A1C"/>
    <w:rsid w:val="00FC4E90"/>
    <w:rsid w:val="00FC63F0"/>
    <w:rsid w:val="00FC7B62"/>
    <w:rsid w:val="00FD018C"/>
    <w:rsid w:val="00FD060C"/>
    <w:rsid w:val="00FD0861"/>
    <w:rsid w:val="00FD0C66"/>
    <w:rsid w:val="00FD0F8C"/>
    <w:rsid w:val="00FD1809"/>
    <w:rsid w:val="00FD2BB8"/>
    <w:rsid w:val="00FD3DE0"/>
    <w:rsid w:val="00FD434C"/>
    <w:rsid w:val="00FD44A4"/>
    <w:rsid w:val="00FD461C"/>
    <w:rsid w:val="00FD47D1"/>
    <w:rsid w:val="00FD483F"/>
    <w:rsid w:val="00FD4D0B"/>
    <w:rsid w:val="00FD6B95"/>
    <w:rsid w:val="00FD79E4"/>
    <w:rsid w:val="00FE0CF5"/>
    <w:rsid w:val="00FE0E65"/>
    <w:rsid w:val="00FE1FC0"/>
    <w:rsid w:val="00FE333B"/>
    <w:rsid w:val="00FE3804"/>
    <w:rsid w:val="00FE3B56"/>
    <w:rsid w:val="00FE3BE2"/>
    <w:rsid w:val="00FE4ECE"/>
    <w:rsid w:val="00FE5010"/>
    <w:rsid w:val="00FE51FD"/>
    <w:rsid w:val="00FE5C60"/>
    <w:rsid w:val="00FE5E89"/>
    <w:rsid w:val="00FE5F7B"/>
    <w:rsid w:val="00FE7201"/>
    <w:rsid w:val="00FF05E8"/>
    <w:rsid w:val="00FF0817"/>
    <w:rsid w:val="00FF1A01"/>
    <w:rsid w:val="00FF24A4"/>
    <w:rsid w:val="00FF3A5C"/>
    <w:rsid w:val="00FF4B7B"/>
    <w:rsid w:val="00FF4E64"/>
    <w:rsid w:val="00FF57EF"/>
    <w:rsid w:val="00FF5D4C"/>
    <w:rsid w:val="00FF7168"/>
    <w:rsid w:val="0101C353"/>
    <w:rsid w:val="010C6288"/>
    <w:rsid w:val="010CAA0D"/>
    <w:rsid w:val="016D74BF"/>
    <w:rsid w:val="016DCE0F"/>
    <w:rsid w:val="01B7985D"/>
    <w:rsid w:val="0203D65D"/>
    <w:rsid w:val="026E5FFA"/>
    <w:rsid w:val="02972BC3"/>
    <w:rsid w:val="02B606F8"/>
    <w:rsid w:val="037DBB92"/>
    <w:rsid w:val="038ADB1B"/>
    <w:rsid w:val="03DBAF0C"/>
    <w:rsid w:val="03F26A05"/>
    <w:rsid w:val="0457AC70"/>
    <w:rsid w:val="0481A6B6"/>
    <w:rsid w:val="0492CC37"/>
    <w:rsid w:val="04F53144"/>
    <w:rsid w:val="04FC3B79"/>
    <w:rsid w:val="0517EC65"/>
    <w:rsid w:val="0522A12F"/>
    <w:rsid w:val="0533EE88"/>
    <w:rsid w:val="05855946"/>
    <w:rsid w:val="0596A139"/>
    <w:rsid w:val="05A086D7"/>
    <w:rsid w:val="061EF6CD"/>
    <w:rsid w:val="0665C32D"/>
    <w:rsid w:val="068F6A36"/>
    <w:rsid w:val="069AA060"/>
    <w:rsid w:val="06CD91BC"/>
    <w:rsid w:val="06EFB5E3"/>
    <w:rsid w:val="0710EAEF"/>
    <w:rsid w:val="074A5628"/>
    <w:rsid w:val="0761F1B6"/>
    <w:rsid w:val="07894038"/>
    <w:rsid w:val="080B5541"/>
    <w:rsid w:val="085AC8CA"/>
    <w:rsid w:val="086009AC"/>
    <w:rsid w:val="08BD8863"/>
    <w:rsid w:val="093F2CED"/>
    <w:rsid w:val="094D5FF8"/>
    <w:rsid w:val="09706B45"/>
    <w:rsid w:val="097FA7D4"/>
    <w:rsid w:val="0994C57D"/>
    <w:rsid w:val="09D1CF44"/>
    <w:rsid w:val="09F936DA"/>
    <w:rsid w:val="0A3445F6"/>
    <w:rsid w:val="0A7D3AB3"/>
    <w:rsid w:val="0A8F7D3C"/>
    <w:rsid w:val="0ABACEEB"/>
    <w:rsid w:val="0AF88D48"/>
    <w:rsid w:val="0B1B864D"/>
    <w:rsid w:val="0B4A05DE"/>
    <w:rsid w:val="0B9EB363"/>
    <w:rsid w:val="0BB081C0"/>
    <w:rsid w:val="0C88EF5D"/>
    <w:rsid w:val="0C92970D"/>
    <w:rsid w:val="0CAE6F93"/>
    <w:rsid w:val="0CE31D32"/>
    <w:rsid w:val="0CE9912F"/>
    <w:rsid w:val="0D0361B2"/>
    <w:rsid w:val="0DA446E7"/>
    <w:rsid w:val="0DFB220D"/>
    <w:rsid w:val="0E39D125"/>
    <w:rsid w:val="0EE27F40"/>
    <w:rsid w:val="0F69E235"/>
    <w:rsid w:val="0FFC8E47"/>
    <w:rsid w:val="1000A6CA"/>
    <w:rsid w:val="10CAB8E8"/>
    <w:rsid w:val="1133E4D3"/>
    <w:rsid w:val="11574BAC"/>
    <w:rsid w:val="116601C1"/>
    <w:rsid w:val="11763C96"/>
    <w:rsid w:val="11D3C550"/>
    <w:rsid w:val="11FB9AD0"/>
    <w:rsid w:val="1244E781"/>
    <w:rsid w:val="126EBF26"/>
    <w:rsid w:val="12ADE70D"/>
    <w:rsid w:val="12F98CBE"/>
    <w:rsid w:val="132AE9C0"/>
    <w:rsid w:val="1333E895"/>
    <w:rsid w:val="13D4367E"/>
    <w:rsid w:val="140235EA"/>
    <w:rsid w:val="145F534C"/>
    <w:rsid w:val="155B5364"/>
    <w:rsid w:val="157E0FF0"/>
    <w:rsid w:val="15C03451"/>
    <w:rsid w:val="15DE2B3E"/>
    <w:rsid w:val="15F03549"/>
    <w:rsid w:val="160205FE"/>
    <w:rsid w:val="168CA54C"/>
    <w:rsid w:val="16BDD37A"/>
    <w:rsid w:val="1718B2B3"/>
    <w:rsid w:val="174583F5"/>
    <w:rsid w:val="174A8A98"/>
    <w:rsid w:val="174F53D4"/>
    <w:rsid w:val="17580DCF"/>
    <w:rsid w:val="1760FC3B"/>
    <w:rsid w:val="17857C25"/>
    <w:rsid w:val="17EA8A89"/>
    <w:rsid w:val="17F6F9D0"/>
    <w:rsid w:val="182179BB"/>
    <w:rsid w:val="187D3C4B"/>
    <w:rsid w:val="18BAB84A"/>
    <w:rsid w:val="18D72479"/>
    <w:rsid w:val="18E37D50"/>
    <w:rsid w:val="196140D0"/>
    <w:rsid w:val="19AAD0D0"/>
    <w:rsid w:val="19ABE807"/>
    <w:rsid w:val="19C417E3"/>
    <w:rsid w:val="19D66D90"/>
    <w:rsid w:val="19DC24B3"/>
    <w:rsid w:val="19FFCCD9"/>
    <w:rsid w:val="1A22474C"/>
    <w:rsid w:val="1A2AEB29"/>
    <w:rsid w:val="1A68E308"/>
    <w:rsid w:val="1AB09CD5"/>
    <w:rsid w:val="1B6EFD82"/>
    <w:rsid w:val="1B79726E"/>
    <w:rsid w:val="1B99E6CA"/>
    <w:rsid w:val="1BB8D0AB"/>
    <w:rsid w:val="1C7DF820"/>
    <w:rsid w:val="1CB546EE"/>
    <w:rsid w:val="1CBF12F6"/>
    <w:rsid w:val="1CC00B69"/>
    <w:rsid w:val="1CCEC2A8"/>
    <w:rsid w:val="1CE7FDB0"/>
    <w:rsid w:val="1D8B144B"/>
    <w:rsid w:val="1DA64546"/>
    <w:rsid w:val="1DA8C227"/>
    <w:rsid w:val="1DF655DC"/>
    <w:rsid w:val="1E4AD583"/>
    <w:rsid w:val="1E837C77"/>
    <w:rsid w:val="1EC290F0"/>
    <w:rsid w:val="1FE03E4C"/>
    <w:rsid w:val="2011DCFE"/>
    <w:rsid w:val="205F6125"/>
    <w:rsid w:val="20641ADE"/>
    <w:rsid w:val="206F5780"/>
    <w:rsid w:val="20EFB44C"/>
    <w:rsid w:val="2107162F"/>
    <w:rsid w:val="210C9BF0"/>
    <w:rsid w:val="2153EF94"/>
    <w:rsid w:val="21659FC6"/>
    <w:rsid w:val="218C75DD"/>
    <w:rsid w:val="21AD78CF"/>
    <w:rsid w:val="21CBB0FD"/>
    <w:rsid w:val="21CFA06B"/>
    <w:rsid w:val="21DB77D1"/>
    <w:rsid w:val="220210BC"/>
    <w:rsid w:val="22049ACA"/>
    <w:rsid w:val="22444388"/>
    <w:rsid w:val="225F959D"/>
    <w:rsid w:val="22BD718B"/>
    <w:rsid w:val="22BD8D0C"/>
    <w:rsid w:val="22E56E8C"/>
    <w:rsid w:val="22FEB9FC"/>
    <w:rsid w:val="23087D28"/>
    <w:rsid w:val="237D536D"/>
    <w:rsid w:val="23A7EF45"/>
    <w:rsid w:val="23C3D6A0"/>
    <w:rsid w:val="2493EC5F"/>
    <w:rsid w:val="24976C2A"/>
    <w:rsid w:val="24CD85BD"/>
    <w:rsid w:val="24CFBE27"/>
    <w:rsid w:val="24FF1852"/>
    <w:rsid w:val="255EA338"/>
    <w:rsid w:val="259169E5"/>
    <w:rsid w:val="25A26B37"/>
    <w:rsid w:val="25C6E4B6"/>
    <w:rsid w:val="25D85A6B"/>
    <w:rsid w:val="26581852"/>
    <w:rsid w:val="2686C90F"/>
    <w:rsid w:val="26DD2AC3"/>
    <w:rsid w:val="26E87D76"/>
    <w:rsid w:val="27616786"/>
    <w:rsid w:val="2827AC4A"/>
    <w:rsid w:val="288CEFF8"/>
    <w:rsid w:val="28D806C5"/>
    <w:rsid w:val="2911C8C7"/>
    <w:rsid w:val="291C5B48"/>
    <w:rsid w:val="2A1D5B4F"/>
    <w:rsid w:val="2A36BD15"/>
    <w:rsid w:val="2A3D7F20"/>
    <w:rsid w:val="2A49F15F"/>
    <w:rsid w:val="2A5945C9"/>
    <w:rsid w:val="2A6BAE95"/>
    <w:rsid w:val="2A7D9C11"/>
    <w:rsid w:val="2AC5E376"/>
    <w:rsid w:val="2B9E43B9"/>
    <w:rsid w:val="2BCDE4BC"/>
    <w:rsid w:val="2BF31081"/>
    <w:rsid w:val="2C485298"/>
    <w:rsid w:val="2C75B5BC"/>
    <w:rsid w:val="2C9B5AD2"/>
    <w:rsid w:val="2CBC398B"/>
    <w:rsid w:val="2CEBB25B"/>
    <w:rsid w:val="2CFD6076"/>
    <w:rsid w:val="2CFE0F08"/>
    <w:rsid w:val="2D0A2CA4"/>
    <w:rsid w:val="2D825248"/>
    <w:rsid w:val="2D9A1BF2"/>
    <w:rsid w:val="2DCC1EF4"/>
    <w:rsid w:val="2DD64786"/>
    <w:rsid w:val="2E43EE33"/>
    <w:rsid w:val="2E5D7810"/>
    <w:rsid w:val="2E99DF69"/>
    <w:rsid w:val="2EFCF4DC"/>
    <w:rsid w:val="2F083279"/>
    <w:rsid w:val="2F731059"/>
    <w:rsid w:val="2F89E3B6"/>
    <w:rsid w:val="2FB18EFB"/>
    <w:rsid w:val="2FC9C668"/>
    <w:rsid w:val="304A1890"/>
    <w:rsid w:val="3066154D"/>
    <w:rsid w:val="30858973"/>
    <w:rsid w:val="30BE7A4B"/>
    <w:rsid w:val="30DE54B0"/>
    <w:rsid w:val="311F6C6D"/>
    <w:rsid w:val="312ECC54"/>
    <w:rsid w:val="31D930DD"/>
    <w:rsid w:val="31ED8F3C"/>
    <w:rsid w:val="32943AE9"/>
    <w:rsid w:val="331EA547"/>
    <w:rsid w:val="338C1E06"/>
    <w:rsid w:val="34039F78"/>
    <w:rsid w:val="3419774E"/>
    <w:rsid w:val="3495AFF1"/>
    <w:rsid w:val="349E79B1"/>
    <w:rsid w:val="34AFBBA2"/>
    <w:rsid w:val="34C99A8F"/>
    <w:rsid w:val="34E7F41B"/>
    <w:rsid w:val="352D7299"/>
    <w:rsid w:val="357CF0D3"/>
    <w:rsid w:val="35838D0A"/>
    <w:rsid w:val="359BB79D"/>
    <w:rsid w:val="35B90772"/>
    <w:rsid w:val="35E931ED"/>
    <w:rsid w:val="35EBF474"/>
    <w:rsid w:val="35FC23CC"/>
    <w:rsid w:val="35FE4343"/>
    <w:rsid w:val="36284A61"/>
    <w:rsid w:val="36BDA883"/>
    <w:rsid w:val="36C31543"/>
    <w:rsid w:val="36DA3B0E"/>
    <w:rsid w:val="36EDCC62"/>
    <w:rsid w:val="37098F0D"/>
    <w:rsid w:val="378E84BD"/>
    <w:rsid w:val="3829F4D4"/>
    <w:rsid w:val="3882DCDB"/>
    <w:rsid w:val="38DB3B02"/>
    <w:rsid w:val="392B4FEB"/>
    <w:rsid w:val="39433A5B"/>
    <w:rsid w:val="39992A31"/>
    <w:rsid w:val="399D6B57"/>
    <w:rsid w:val="39DC670B"/>
    <w:rsid w:val="3A315BFE"/>
    <w:rsid w:val="3A3519AE"/>
    <w:rsid w:val="3A4510F7"/>
    <w:rsid w:val="3A7E468A"/>
    <w:rsid w:val="3A8B537C"/>
    <w:rsid w:val="3A8BCE4E"/>
    <w:rsid w:val="3A9F1AF8"/>
    <w:rsid w:val="3AF5A105"/>
    <w:rsid w:val="3B697B84"/>
    <w:rsid w:val="3B903E85"/>
    <w:rsid w:val="3BA1AA82"/>
    <w:rsid w:val="3C0ABA3F"/>
    <w:rsid w:val="3C53C722"/>
    <w:rsid w:val="3CF00AF8"/>
    <w:rsid w:val="3CFE9586"/>
    <w:rsid w:val="3D3C82CA"/>
    <w:rsid w:val="3D92A631"/>
    <w:rsid w:val="3DBE0B72"/>
    <w:rsid w:val="3E172F85"/>
    <w:rsid w:val="3E51872E"/>
    <w:rsid w:val="3E51FE77"/>
    <w:rsid w:val="3E65C4E7"/>
    <w:rsid w:val="3ED422CE"/>
    <w:rsid w:val="3F06F09E"/>
    <w:rsid w:val="3FCF2CA7"/>
    <w:rsid w:val="403C3352"/>
    <w:rsid w:val="4049BBEB"/>
    <w:rsid w:val="40D415F1"/>
    <w:rsid w:val="40DC53BC"/>
    <w:rsid w:val="41142C69"/>
    <w:rsid w:val="414E4C40"/>
    <w:rsid w:val="415A8FE4"/>
    <w:rsid w:val="419645D8"/>
    <w:rsid w:val="41A5FB73"/>
    <w:rsid w:val="41C39852"/>
    <w:rsid w:val="4279D6AE"/>
    <w:rsid w:val="4295FE00"/>
    <w:rsid w:val="42DB5F40"/>
    <w:rsid w:val="43175629"/>
    <w:rsid w:val="4341983E"/>
    <w:rsid w:val="4398C881"/>
    <w:rsid w:val="43B81E46"/>
    <w:rsid w:val="43E0B4DC"/>
    <w:rsid w:val="43EF1A6B"/>
    <w:rsid w:val="43EFA80C"/>
    <w:rsid w:val="4409549C"/>
    <w:rsid w:val="441A5230"/>
    <w:rsid w:val="44736716"/>
    <w:rsid w:val="44BA7E4E"/>
    <w:rsid w:val="44DECC8A"/>
    <w:rsid w:val="45026FC8"/>
    <w:rsid w:val="4524404F"/>
    <w:rsid w:val="4527566A"/>
    <w:rsid w:val="454263DD"/>
    <w:rsid w:val="45ADA479"/>
    <w:rsid w:val="45E21C1B"/>
    <w:rsid w:val="461D92E8"/>
    <w:rsid w:val="46396B65"/>
    <w:rsid w:val="466680D4"/>
    <w:rsid w:val="4666A525"/>
    <w:rsid w:val="4684273A"/>
    <w:rsid w:val="46A1BAE5"/>
    <w:rsid w:val="46EB102C"/>
    <w:rsid w:val="47E99FDB"/>
    <w:rsid w:val="481E068B"/>
    <w:rsid w:val="482B615E"/>
    <w:rsid w:val="48F66584"/>
    <w:rsid w:val="4905CC64"/>
    <w:rsid w:val="492F94AD"/>
    <w:rsid w:val="496193E9"/>
    <w:rsid w:val="49A9C92E"/>
    <w:rsid w:val="4A26A265"/>
    <w:rsid w:val="4A3569D0"/>
    <w:rsid w:val="4A61CFDA"/>
    <w:rsid w:val="4A7FBD94"/>
    <w:rsid w:val="4AA1D24B"/>
    <w:rsid w:val="4ADE355A"/>
    <w:rsid w:val="4ADF9C2E"/>
    <w:rsid w:val="4B15CA11"/>
    <w:rsid w:val="4B478E35"/>
    <w:rsid w:val="4B689425"/>
    <w:rsid w:val="4C574131"/>
    <w:rsid w:val="4C9B30E2"/>
    <w:rsid w:val="4CB59D35"/>
    <w:rsid w:val="4CFA0016"/>
    <w:rsid w:val="4D796178"/>
    <w:rsid w:val="4D910483"/>
    <w:rsid w:val="4DBE5C14"/>
    <w:rsid w:val="4DBFCC8E"/>
    <w:rsid w:val="4E25C6F2"/>
    <w:rsid w:val="4E2DB37D"/>
    <w:rsid w:val="4E803E64"/>
    <w:rsid w:val="4E953595"/>
    <w:rsid w:val="4E9C59DE"/>
    <w:rsid w:val="4EBF7C90"/>
    <w:rsid w:val="4F00A9E5"/>
    <w:rsid w:val="4F620AFE"/>
    <w:rsid w:val="4F706B0D"/>
    <w:rsid w:val="4F770F6C"/>
    <w:rsid w:val="4FD53AA2"/>
    <w:rsid w:val="50E899F7"/>
    <w:rsid w:val="5149ACE8"/>
    <w:rsid w:val="51890E58"/>
    <w:rsid w:val="51B59F0A"/>
    <w:rsid w:val="51C4927B"/>
    <w:rsid w:val="51DE466E"/>
    <w:rsid w:val="52060C9A"/>
    <w:rsid w:val="5258EFF4"/>
    <w:rsid w:val="52CD615D"/>
    <w:rsid w:val="52EDE6F3"/>
    <w:rsid w:val="52F47F0F"/>
    <w:rsid w:val="5311D3EE"/>
    <w:rsid w:val="5350A363"/>
    <w:rsid w:val="53A65F80"/>
    <w:rsid w:val="53FB905C"/>
    <w:rsid w:val="53FDDBD0"/>
    <w:rsid w:val="545E2DCB"/>
    <w:rsid w:val="54E0E539"/>
    <w:rsid w:val="54ED0328"/>
    <w:rsid w:val="5531B6E1"/>
    <w:rsid w:val="55522C7D"/>
    <w:rsid w:val="556312F3"/>
    <w:rsid w:val="558D085B"/>
    <w:rsid w:val="55A9473C"/>
    <w:rsid w:val="55EBB012"/>
    <w:rsid w:val="56061E4E"/>
    <w:rsid w:val="560CD087"/>
    <w:rsid w:val="569801D5"/>
    <w:rsid w:val="569A76B9"/>
    <w:rsid w:val="56BD30EC"/>
    <w:rsid w:val="56CA6CA3"/>
    <w:rsid w:val="5701604C"/>
    <w:rsid w:val="5713238A"/>
    <w:rsid w:val="571B0948"/>
    <w:rsid w:val="57683C8B"/>
    <w:rsid w:val="577F76A3"/>
    <w:rsid w:val="57D82141"/>
    <w:rsid w:val="57F90B03"/>
    <w:rsid w:val="580748D0"/>
    <w:rsid w:val="586EC83B"/>
    <w:rsid w:val="59329422"/>
    <w:rsid w:val="596D0136"/>
    <w:rsid w:val="59BF5029"/>
    <w:rsid w:val="5A1402D5"/>
    <w:rsid w:val="5A44AA80"/>
    <w:rsid w:val="5A8227D5"/>
    <w:rsid w:val="5ACE256A"/>
    <w:rsid w:val="5B4047F0"/>
    <w:rsid w:val="5BAC0F80"/>
    <w:rsid w:val="5BE0B97D"/>
    <w:rsid w:val="5C0FA573"/>
    <w:rsid w:val="5C659D01"/>
    <w:rsid w:val="5C829806"/>
    <w:rsid w:val="5DDBB735"/>
    <w:rsid w:val="5DECBFE9"/>
    <w:rsid w:val="5DF1BF79"/>
    <w:rsid w:val="5E034BF1"/>
    <w:rsid w:val="5E41B91E"/>
    <w:rsid w:val="5E4543A0"/>
    <w:rsid w:val="5E7BFD82"/>
    <w:rsid w:val="5EDAE346"/>
    <w:rsid w:val="5EF532AA"/>
    <w:rsid w:val="5F040FA1"/>
    <w:rsid w:val="5F23502B"/>
    <w:rsid w:val="5F38C56C"/>
    <w:rsid w:val="5F56129F"/>
    <w:rsid w:val="5FCB4841"/>
    <w:rsid w:val="5FF9492C"/>
    <w:rsid w:val="6059F0A4"/>
    <w:rsid w:val="6072C5A6"/>
    <w:rsid w:val="6074704F"/>
    <w:rsid w:val="608CE2CF"/>
    <w:rsid w:val="60DE9739"/>
    <w:rsid w:val="60F9DEB6"/>
    <w:rsid w:val="610F460F"/>
    <w:rsid w:val="6120554A"/>
    <w:rsid w:val="61834AA8"/>
    <w:rsid w:val="61AACC6F"/>
    <w:rsid w:val="61EE3571"/>
    <w:rsid w:val="6214C99F"/>
    <w:rsid w:val="62E8CF3B"/>
    <w:rsid w:val="62F5B4EF"/>
    <w:rsid w:val="63118BA4"/>
    <w:rsid w:val="6341AC55"/>
    <w:rsid w:val="6387789A"/>
    <w:rsid w:val="63A61EB6"/>
    <w:rsid w:val="63DEA4C0"/>
    <w:rsid w:val="63F706CC"/>
    <w:rsid w:val="641D8AB0"/>
    <w:rsid w:val="642B877B"/>
    <w:rsid w:val="644AC7F9"/>
    <w:rsid w:val="64EF7A05"/>
    <w:rsid w:val="652A7600"/>
    <w:rsid w:val="653D9389"/>
    <w:rsid w:val="658C59F1"/>
    <w:rsid w:val="65C7BD7E"/>
    <w:rsid w:val="65F65A81"/>
    <w:rsid w:val="6627FD31"/>
    <w:rsid w:val="66518134"/>
    <w:rsid w:val="6659EE8C"/>
    <w:rsid w:val="665AE923"/>
    <w:rsid w:val="66995FBA"/>
    <w:rsid w:val="6706B6BF"/>
    <w:rsid w:val="67415B0E"/>
    <w:rsid w:val="67736D35"/>
    <w:rsid w:val="67BD3B1A"/>
    <w:rsid w:val="680CEB04"/>
    <w:rsid w:val="68656380"/>
    <w:rsid w:val="68674324"/>
    <w:rsid w:val="68986D88"/>
    <w:rsid w:val="68C498FB"/>
    <w:rsid w:val="68CAB66C"/>
    <w:rsid w:val="68CC5D74"/>
    <w:rsid w:val="69294DD0"/>
    <w:rsid w:val="6991B42E"/>
    <w:rsid w:val="69BF2649"/>
    <w:rsid w:val="69D87CB5"/>
    <w:rsid w:val="69EB23FD"/>
    <w:rsid w:val="6A3A8B89"/>
    <w:rsid w:val="6A8CCC34"/>
    <w:rsid w:val="6A9CF9FA"/>
    <w:rsid w:val="6AB0A347"/>
    <w:rsid w:val="6AB97B3A"/>
    <w:rsid w:val="6ACC0C3F"/>
    <w:rsid w:val="6B18112D"/>
    <w:rsid w:val="6B66520D"/>
    <w:rsid w:val="6B7EF09C"/>
    <w:rsid w:val="6B8639C5"/>
    <w:rsid w:val="6B9053AC"/>
    <w:rsid w:val="6BA476A8"/>
    <w:rsid w:val="6BF58FCB"/>
    <w:rsid w:val="6C62BB28"/>
    <w:rsid w:val="6D13E2A3"/>
    <w:rsid w:val="6D29F8FE"/>
    <w:rsid w:val="6D6FEABA"/>
    <w:rsid w:val="6DBAC873"/>
    <w:rsid w:val="6DE0C5AC"/>
    <w:rsid w:val="6E1BC80D"/>
    <w:rsid w:val="6E26A349"/>
    <w:rsid w:val="6E8AC2CC"/>
    <w:rsid w:val="6EC6AE1C"/>
    <w:rsid w:val="6F0BBC6D"/>
    <w:rsid w:val="6F4CC952"/>
    <w:rsid w:val="6F52CE1C"/>
    <w:rsid w:val="6F5752F9"/>
    <w:rsid w:val="6F5A3E16"/>
    <w:rsid w:val="6F622A66"/>
    <w:rsid w:val="6F9B4C80"/>
    <w:rsid w:val="6F9BEBC2"/>
    <w:rsid w:val="6FAD0244"/>
    <w:rsid w:val="6FCA2CCC"/>
    <w:rsid w:val="706BC944"/>
    <w:rsid w:val="709B2DC2"/>
    <w:rsid w:val="71371CE1"/>
    <w:rsid w:val="716844FA"/>
    <w:rsid w:val="7175C6D6"/>
    <w:rsid w:val="71F06E50"/>
    <w:rsid w:val="72043DA3"/>
    <w:rsid w:val="7206601D"/>
    <w:rsid w:val="7230F216"/>
    <w:rsid w:val="72A7378D"/>
    <w:rsid w:val="72E7AAA5"/>
    <w:rsid w:val="731467BD"/>
    <w:rsid w:val="733FEB76"/>
    <w:rsid w:val="737A04EC"/>
    <w:rsid w:val="73CF690B"/>
    <w:rsid w:val="73E41C7A"/>
    <w:rsid w:val="74129886"/>
    <w:rsid w:val="74182938"/>
    <w:rsid w:val="74677053"/>
    <w:rsid w:val="74F4006F"/>
    <w:rsid w:val="75078081"/>
    <w:rsid w:val="75A74C7E"/>
    <w:rsid w:val="75EA89EA"/>
    <w:rsid w:val="76958596"/>
    <w:rsid w:val="7717ECF3"/>
    <w:rsid w:val="7721F407"/>
    <w:rsid w:val="77C7F1CC"/>
    <w:rsid w:val="782F5F1C"/>
    <w:rsid w:val="78816DB5"/>
    <w:rsid w:val="788BBDF0"/>
    <w:rsid w:val="78D22A9C"/>
    <w:rsid w:val="78D81C5D"/>
    <w:rsid w:val="78DB78E8"/>
    <w:rsid w:val="7945B6A1"/>
    <w:rsid w:val="7956C8BB"/>
    <w:rsid w:val="79869BD2"/>
    <w:rsid w:val="79D04451"/>
    <w:rsid w:val="7A74AD50"/>
    <w:rsid w:val="7A78B4A7"/>
    <w:rsid w:val="7A7B3D32"/>
    <w:rsid w:val="7A7FBDF8"/>
    <w:rsid w:val="7AAE8FE4"/>
    <w:rsid w:val="7AE76494"/>
    <w:rsid w:val="7B1BF58D"/>
    <w:rsid w:val="7B24054F"/>
    <w:rsid w:val="7B476A9E"/>
    <w:rsid w:val="7B51122D"/>
    <w:rsid w:val="7B6EB516"/>
    <w:rsid w:val="7B8D99D4"/>
    <w:rsid w:val="7BE346A9"/>
    <w:rsid w:val="7BEFBC14"/>
    <w:rsid w:val="7BF1F4E6"/>
    <w:rsid w:val="7C11C53B"/>
    <w:rsid w:val="7C431A9A"/>
    <w:rsid w:val="7C6775B4"/>
    <w:rsid w:val="7C7645B5"/>
    <w:rsid w:val="7CF2E2BD"/>
    <w:rsid w:val="7D434774"/>
    <w:rsid w:val="7D46AAFF"/>
    <w:rsid w:val="7D6EA1B4"/>
    <w:rsid w:val="7DC8C7D9"/>
    <w:rsid w:val="7DF90DB8"/>
    <w:rsid w:val="7E402F5A"/>
    <w:rsid w:val="7E53964F"/>
    <w:rsid w:val="7E788588"/>
    <w:rsid w:val="7EDDD93A"/>
    <w:rsid w:val="7F14B6FB"/>
    <w:rsid w:val="7F1694E8"/>
    <w:rsid w:val="7F2CE698"/>
    <w:rsid w:val="7F376A12"/>
    <w:rsid w:val="7F69013A"/>
    <w:rsid w:val="7FC65AB6"/>
    <w:rsid w:val="7FE1B13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2DB3DE"/>
  <w15:docId w15:val="{3E68BE8B-70C8-4254-A7B3-59A132EA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2FC"/>
    <w:pPr>
      <w:spacing w:after="240"/>
    </w:pPr>
    <w:rPr>
      <w:rFonts w:ascii="Calibri Light" w:eastAsia="Calibri" w:hAnsi="Calibri Light" w:cs="Times New Roman"/>
      <w:sz w:val="20"/>
    </w:rPr>
  </w:style>
  <w:style w:type="paragraph" w:styleId="Heading1">
    <w:name w:val="heading 1"/>
    <w:basedOn w:val="Normal"/>
    <w:next w:val="Normal"/>
    <w:link w:val="Heading1Char"/>
    <w:uiPriority w:val="9"/>
    <w:qFormat/>
    <w:rsid w:val="00620421"/>
    <w:pPr>
      <w:keepNext/>
      <w:outlineLvl w:val="0"/>
    </w:pPr>
    <w:rPr>
      <w:rFonts w:ascii="Cambria" w:hAnsi="Cambria"/>
      <w:b/>
      <w:caps/>
      <w:color w:val="403152" w:themeColor="accent4" w:themeShade="80"/>
      <w:sz w:val="36"/>
    </w:rPr>
  </w:style>
  <w:style w:type="paragraph" w:styleId="Heading2">
    <w:name w:val="heading 2"/>
    <w:basedOn w:val="Normal"/>
    <w:next w:val="Normal"/>
    <w:link w:val="Heading2Char"/>
    <w:uiPriority w:val="9"/>
    <w:qFormat/>
    <w:rsid w:val="00620421"/>
    <w:pPr>
      <w:keepNext/>
      <w:spacing w:after="360"/>
      <w:outlineLvl w:val="1"/>
    </w:pPr>
    <w:rPr>
      <w:rFonts w:ascii="Cambria" w:hAnsi="Cambria"/>
      <w:b/>
      <w:caps/>
      <w:color w:val="5F497A" w:themeColor="accent4" w:themeShade="BF"/>
      <w:sz w:val="28"/>
    </w:rPr>
  </w:style>
  <w:style w:type="paragraph" w:styleId="Heading3">
    <w:name w:val="heading 3"/>
    <w:basedOn w:val="Normal"/>
    <w:next w:val="Normal"/>
    <w:link w:val="Heading3Char"/>
    <w:uiPriority w:val="9"/>
    <w:unhideWhenUsed/>
    <w:qFormat/>
    <w:rsid w:val="000A1F99"/>
    <w:pPr>
      <w:keepNext/>
      <w:keepLines/>
      <w:spacing w:after="280"/>
      <w:outlineLvl w:val="2"/>
    </w:pPr>
    <w:rPr>
      <w:rFonts w:asciiTheme="majorHAnsi" w:eastAsiaTheme="majorEastAsia" w:hAnsiTheme="majorHAnsi" w:cstheme="majorBidi"/>
      <w:b/>
      <w:bCs/>
      <w:smallCaps/>
      <w:sz w:val="28"/>
    </w:rPr>
  </w:style>
  <w:style w:type="paragraph" w:styleId="Heading4">
    <w:name w:val="heading 4"/>
    <w:basedOn w:val="Normal"/>
    <w:next w:val="Normal"/>
    <w:link w:val="Heading4Char"/>
    <w:uiPriority w:val="9"/>
    <w:semiHidden/>
    <w:unhideWhenUsed/>
    <w:qFormat/>
    <w:rsid w:val="00BE0A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421"/>
    <w:rPr>
      <w:rFonts w:ascii="Cambria" w:eastAsia="Calibri" w:hAnsi="Cambria" w:cs="Times New Roman"/>
      <w:b/>
      <w:caps/>
      <w:color w:val="403152" w:themeColor="accent4" w:themeShade="80"/>
      <w:sz w:val="36"/>
    </w:rPr>
  </w:style>
  <w:style w:type="character" w:customStyle="1" w:styleId="Heading2Char">
    <w:name w:val="Heading 2 Char"/>
    <w:basedOn w:val="DefaultParagraphFont"/>
    <w:link w:val="Heading2"/>
    <w:uiPriority w:val="9"/>
    <w:rsid w:val="00620421"/>
    <w:rPr>
      <w:rFonts w:ascii="Cambria" w:eastAsia="Calibri" w:hAnsi="Cambria" w:cs="Times New Roman"/>
      <w:b/>
      <w:caps/>
      <w:color w:val="5F497A" w:themeColor="accent4" w:themeShade="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26C45"/>
    <w:pPr>
      <w:ind w:left="720"/>
      <w:contextualSpacing/>
    </w:pPr>
  </w:style>
  <w:style w:type="paragraph" w:styleId="BodyTextIndent3">
    <w:name w:val="Body Text Indent 3"/>
    <w:basedOn w:val="Normal"/>
    <w:link w:val="BodyTextIndent3Char"/>
    <w:rsid w:val="00826C45"/>
    <w:pPr>
      <w:spacing w:after="0"/>
      <w:ind w:firstLine="567"/>
      <w:jc w:val="both"/>
    </w:pPr>
    <w:rPr>
      <w:rFonts w:eastAsia="Times New Roman"/>
      <w:szCs w:val="24"/>
    </w:rPr>
  </w:style>
  <w:style w:type="character" w:customStyle="1" w:styleId="BodyTextIndent3Char">
    <w:name w:val="Body Text Indent 3 Char"/>
    <w:basedOn w:val="DefaultParagraphFont"/>
    <w:link w:val="BodyTextIndent3"/>
    <w:rsid w:val="00826C45"/>
    <w:rPr>
      <w:rFonts w:eastAsia="Times New Roman" w:cs="Times New Roman"/>
      <w:sz w:val="22"/>
      <w:szCs w:val="24"/>
    </w:rPr>
  </w:style>
  <w:style w:type="paragraph" w:styleId="BodyTextIndent2">
    <w:name w:val="Body Text Indent 2"/>
    <w:basedOn w:val="Normal"/>
    <w:link w:val="BodyTextIndent2Char"/>
    <w:unhideWhenUsed/>
    <w:rsid w:val="00826C45"/>
    <w:pPr>
      <w:spacing w:after="120" w:line="480" w:lineRule="auto"/>
      <w:ind w:left="283"/>
    </w:pPr>
    <w:rPr>
      <w:sz w:val="24"/>
      <w:szCs w:val="24"/>
    </w:rPr>
  </w:style>
  <w:style w:type="character" w:customStyle="1" w:styleId="BodyTextIndent2Char">
    <w:name w:val="Body Text Indent 2 Char"/>
    <w:basedOn w:val="DefaultParagraphFont"/>
    <w:link w:val="BodyTextIndent2"/>
    <w:rsid w:val="00826C45"/>
    <w:rPr>
      <w:rFonts w:eastAsia="Calibri" w:cs="Times New Roman"/>
      <w:sz w:val="24"/>
      <w:szCs w:val="24"/>
    </w:rPr>
  </w:style>
  <w:style w:type="paragraph" w:customStyle="1" w:styleId="Taksts11">
    <w:name w:val="Taksts_11"/>
    <w:basedOn w:val="Normal"/>
    <w:rsid w:val="00826C45"/>
    <w:pPr>
      <w:spacing w:after="0"/>
      <w:ind w:firstLine="567"/>
      <w:jc w:val="both"/>
    </w:pPr>
    <w:rPr>
      <w:rFonts w:eastAsia="Times New Roman"/>
      <w:sz w:val="24"/>
      <w:szCs w:val="20"/>
      <w:lang w:val="en-US"/>
    </w:rPr>
  </w:style>
  <w:style w:type="paragraph" w:styleId="BodyText2">
    <w:name w:val="Body Text 2"/>
    <w:basedOn w:val="Normal"/>
    <w:link w:val="BodyText2Char"/>
    <w:uiPriority w:val="99"/>
    <w:unhideWhenUsed/>
    <w:rsid w:val="00826C45"/>
    <w:pPr>
      <w:spacing w:after="120" w:line="480" w:lineRule="auto"/>
    </w:pPr>
    <w:rPr>
      <w:sz w:val="24"/>
      <w:szCs w:val="24"/>
    </w:rPr>
  </w:style>
  <w:style w:type="character" w:customStyle="1" w:styleId="BodyText2Char">
    <w:name w:val="Body Text 2 Char"/>
    <w:basedOn w:val="DefaultParagraphFont"/>
    <w:link w:val="BodyText2"/>
    <w:uiPriority w:val="99"/>
    <w:rsid w:val="00826C45"/>
    <w:rPr>
      <w:rFonts w:eastAsia="Calibri" w:cs="Times New Roman"/>
      <w:sz w:val="24"/>
      <w:szCs w:val="24"/>
    </w:rPr>
  </w:style>
  <w:style w:type="table" w:styleId="TableGrid">
    <w:name w:val="Table Grid"/>
    <w:basedOn w:val="TableNormal"/>
    <w:uiPriority w:val="39"/>
    <w:rsid w:val="00826C45"/>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pirmstab3">
    <w:name w:val="9_pirms_tab_3"/>
    <w:basedOn w:val="Normal"/>
    <w:rsid w:val="00826C45"/>
    <w:pPr>
      <w:tabs>
        <w:tab w:val="left" w:pos="3259"/>
        <w:tab w:val="left" w:pos="4200"/>
        <w:tab w:val="left" w:pos="5141"/>
        <w:tab w:val="left" w:pos="6082"/>
        <w:tab w:val="left" w:pos="7022"/>
        <w:tab w:val="left" w:pos="7963"/>
        <w:tab w:val="left" w:pos="8870"/>
        <w:tab w:val="left" w:pos="9794"/>
        <w:tab w:val="left" w:pos="10718"/>
        <w:tab w:val="left" w:pos="11659"/>
        <w:tab w:val="left" w:pos="13171"/>
      </w:tabs>
      <w:spacing w:after="60"/>
      <w:jc w:val="center"/>
    </w:pPr>
    <w:rPr>
      <w:rFonts w:eastAsia="Times New Roman"/>
      <w:color w:val="000000"/>
      <w:sz w:val="18"/>
      <w:szCs w:val="20"/>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
    <w:basedOn w:val="Normal"/>
    <w:link w:val="FootnoteTextChar"/>
    <w:uiPriority w:val="99"/>
    <w:qFormat/>
    <w:rsid w:val="00826C45"/>
    <w:pPr>
      <w:spacing w:after="0"/>
    </w:pPr>
    <w:rPr>
      <w:rFonts w:eastAsia="Times New Roman"/>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826C45"/>
    <w:rPr>
      <w:rFonts w:eastAsia="Times New Roman" w:cs="Times New Roman"/>
      <w:sz w:val="20"/>
      <w:szCs w:val="20"/>
      <w:lang w:val="en-GB"/>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826C45"/>
    <w:rPr>
      <w:vertAlign w:val="superscript"/>
    </w:rPr>
  </w:style>
  <w:style w:type="table" w:styleId="LightShading-Accent3">
    <w:name w:val="Light Shading Accent 3"/>
    <w:basedOn w:val="TableNormal"/>
    <w:uiPriority w:val="60"/>
    <w:rsid w:val="00826C45"/>
    <w:rPr>
      <w:rFonts w:eastAsia="Times New Roman" w:cs="Times New Roman"/>
      <w:color w:val="76923C" w:themeColor="accent3" w:themeShade="BF"/>
      <w:sz w:val="20"/>
      <w:szCs w:val="20"/>
      <w:lang w:eastAsia="lv-LV"/>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BalloonText">
    <w:name w:val="Balloon Text"/>
    <w:basedOn w:val="Normal"/>
    <w:link w:val="BalloonTextChar"/>
    <w:uiPriority w:val="99"/>
    <w:semiHidden/>
    <w:unhideWhenUsed/>
    <w:rsid w:val="00826C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C45"/>
    <w:rPr>
      <w:rFonts w:ascii="Tahoma" w:eastAsia="Calibri" w:hAnsi="Tahoma" w:cs="Tahoma"/>
      <w:sz w:val="16"/>
      <w:szCs w:val="16"/>
    </w:rPr>
  </w:style>
  <w:style w:type="character" w:customStyle="1" w:styleId="hps">
    <w:name w:val="hps"/>
    <w:basedOn w:val="DefaultParagraphFont"/>
    <w:rsid w:val="00E8168E"/>
  </w:style>
  <w:style w:type="table" w:styleId="MediumList1-Accent4">
    <w:name w:val="Medium List 1 Accent 4"/>
    <w:basedOn w:val="TableNormal"/>
    <w:uiPriority w:val="65"/>
    <w:rsid w:val="00B066AA"/>
    <w:rPr>
      <w:rFonts w:cs="Times New Roman"/>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B066A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ColorfulGrid-Accent4">
    <w:name w:val="Colorful Grid Accent 4"/>
    <w:basedOn w:val="TableNormal"/>
    <w:uiPriority w:val="73"/>
    <w:rsid w:val="00AE198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NoSpacing">
    <w:name w:val="No Spacing"/>
    <w:uiPriority w:val="1"/>
    <w:qFormat/>
    <w:rsid w:val="00885969"/>
    <w:rPr>
      <w:rFonts w:eastAsia="Calibri" w:cs="Times New Roman"/>
      <w:sz w:val="22"/>
    </w:rPr>
  </w:style>
  <w:style w:type="paragraph" w:styleId="BodyTextIndent">
    <w:name w:val="Body Text Indent"/>
    <w:basedOn w:val="Normal"/>
    <w:link w:val="BodyTextIndentChar"/>
    <w:uiPriority w:val="99"/>
    <w:semiHidden/>
    <w:unhideWhenUsed/>
    <w:rsid w:val="004B7CE9"/>
    <w:pPr>
      <w:spacing w:after="120"/>
      <w:ind w:left="283"/>
    </w:pPr>
  </w:style>
  <w:style w:type="character" w:customStyle="1" w:styleId="BodyTextIndentChar">
    <w:name w:val="Body Text Indent Char"/>
    <w:basedOn w:val="DefaultParagraphFont"/>
    <w:link w:val="BodyTextIndent"/>
    <w:uiPriority w:val="99"/>
    <w:semiHidden/>
    <w:rsid w:val="004B7CE9"/>
    <w:rPr>
      <w:rFonts w:eastAsia="Calibri" w:cs="Times New Roman"/>
      <w:sz w:val="22"/>
    </w:rPr>
  </w:style>
  <w:style w:type="character" w:styleId="Strong">
    <w:name w:val="Strong"/>
    <w:basedOn w:val="DefaultParagraphFont"/>
    <w:uiPriority w:val="22"/>
    <w:qFormat/>
    <w:rsid w:val="004B7CE9"/>
    <w:rPr>
      <w:b/>
      <w:bCs/>
    </w:rPr>
  </w:style>
  <w:style w:type="paragraph" w:styleId="Header">
    <w:name w:val="header"/>
    <w:basedOn w:val="Normal"/>
    <w:link w:val="HeaderChar"/>
    <w:uiPriority w:val="99"/>
    <w:unhideWhenUsed/>
    <w:rsid w:val="00450186"/>
    <w:pPr>
      <w:tabs>
        <w:tab w:val="center" w:pos="4153"/>
        <w:tab w:val="right" w:pos="8306"/>
      </w:tabs>
      <w:spacing w:after="0"/>
    </w:pPr>
  </w:style>
  <w:style w:type="character" w:customStyle="1" w:styleId="HeaderChar">
    <w:name w:val="Header Char"/>
    <w:basedOn w:val="DefaultParagraphFont"/>
    <w:link w:val="Header"/>
    <w:uiPriority w:val="99"/>
    <w:rsid w:val="00450186"/>
    <w:rPr>
      <w:rFonts w:eastAsia="Calibri" w:cs="Times New Roman"/>
      <w:sz w:val="22"/>
    </w:rPr>
  </w:style>
  <w:style w:type="paragraph" w:styleId="Footer">
    <w:name w:val="footer"/>
    <w:basedOn w:val="Normal"/>
    <w:link w:val="FooterChar"/>
    <w:unhideWhenUsed/>
    <w:rsid w:val="00450186"/>
    <w:pPr>
      <w:tabs>
        <w:tab w:val="center" w:pos="4153"/>
        <w:tab w:val="right" w:pos="8306"/>
      </w:tabs>
      <w:spacing w:after="0"/>
    </w:pPr>
  </w:style>
  <w:style w:type="character" w:customStyle="1" w:styleId="FooterChar">
    <w:name w:val="Footer Char"/>
    <w:basedOn w:val="DefaultParagraphFont"/>
    <w:link w:val="Footer"/>
    <w:rsid w:val="00450186"/>
    <w:rPr>
      <w:rFonts w:eastAsia="Calibri" w:cs="Times New Roman"/>
      <w:sz w:val="22"/>
    </w:rPr>
  </w:style>
  <w:style w:type="paragraph" w:styleId="TOC2">
    <w:name w:val="toc 2"/>
    <w:basedOn w:val="Normal"/>
    <w:next w:val="Normal"/>
    <w:autoRedefine/>
    <w:uiPriority w:val="39"/>
    <w:unhideWhenUsed/>
    <w:qFormat/>
    <w:rsid w:val="00C20CFD"/>
    <w:pPr>
      <w:tabs>
        <w:tab w:val="right" w:leader="dot" w:pos="9061"/>
      </w:tabs>
      <w:spacing w:before="120" w:after="120"/>
      <w:ind w:left="198"/>
    </w:pPr>
    <w:rPr>
      <w:iCs/>
      <w:noProof/>
      <w:sz w:val="22"/>
    </w:rPr>
  </w:style>
  <w:style w:type="paragraph" w:styleId="TOC1">
    <w:name w:val="toc 1"/>
    <w:basedOn w:val="Normal"/>
    <w:next w:val="Normal"/>
    <w:autoRedefine/>
    <w:uiPriority w:val="39"/>
    <w:unhideWhenUsed/>
    <w:rsid w:val="003E0AA3"/>
    <w:pPr>
      <w:tabs>
        <w:tab w:val="right" w:leader="dot" w:pos="9061"/>
      </w:tabs>
      <w:spacing w:before="120" w:after="120"/>
    </w:pPr>
    <w:rPr>
      <w:b/>
      <w:bCs/>
      <w:caps/>
      <w:noProof/>
      <w:color w:val="000000" w:themeColor="text1"/>
      <w:sz w:val="24"/>
      <w:szCs w:val="20"/>
    </w:rPr>
  </w:style>
  <w:style w:type="character" w:styleId="Hyperlink">
    <w:name w:val="Hyperlink"/>
    <w:basedOn w:val="DefaultParagraphFont"/>
    <w:uiPriority w:val="99"/>
    <w:unhideWhenUsed/>
    <w:rsid w:val="00175EF2"/>
    <w:rPr>
      <w:color w:val="0000FF" w:themeColor="hyperlink"/>
      <w:u w:val="single"/>
    </w:rPr>
  </w:style>
  <w:style w:type="table" w:styleId="LightShading-Accent2">
    <w:name w:val="Light Shading Accent 2"/>
    <w:basedOn w:val="TableNormal"/>
    <w:uiPriority w:val="60"/>
    <w:rsid w:val="0077399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Accent2">
    <w:name w:val="Medium List 1 Accent 2"/>
    <w:basedOn w:val="TableNormal"/>
    <w:uiPriority w:val="65"/>
    <w:rsid w:val="0077399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Shading1-Accent4">
    <w:name w:val="Medium Shading 1 Accent 4"/>
    <w:basedOn w:val="TableNormal"/>
    <w:uiPriority w:val="63"/>
    <w:rsid w:val="00CA709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Shading-Accent4">
    <w:name w:val="Light Shading Accent 4"/>
    <w:basedOn w:val="TableNormal"/>
    <w:uiPriority w:val="60"/>
    <w:rsid w:val="00CA709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unhideWhenUsed/>
    <w:rsid w:val="00C67AC2"/>
    <w:pPr>
      <w:spacing w:before="100" w:beforeAutospacing="1" w:after="100" w:afterAutospacing="1"/>
    </w:pPr>
    <w:rPr>
      <w:rFonts w:eastAsiaTheme="minorEastAsia"/>
      <w:sz w:val="24"/>
      <w:szCs w:val="24"/>
      <w:lang w:eastAsia="lv-LV"/>
    </w:rPr>
  </w:style>
  <w:style w:type="character" w:customStyle="1" w:styleId="Heading3Char">
    <w:name w:val="Heading 3 Char"/>
    <w:basedOn w:val="DefaultParagraphFont"/>
    <w:link w:val="Heading3"/>
    <w:uiPriority w:val="9"/>
    <w:rsid w:val="000A1F99"/>
    <w:rPr>
      <w:rFonts w:asciiTheme="majorHAnsi" w:eastAsiaTheme="majorEastAsia" w:hAnsiTheme="majorHAnsi" w:cstheme="majorBidi"/>
      <w:b/>
      <w:bCs/>
      <w:smallCaps/>
    </w:rPr>
  </w:style>
  <w:style w:type="paragraph" w:styleId="TOC3">
    <w:name w:val="toc 3"/>
    <w:basedOn w:val="Normal"/>
    <w:next w:val="Normal"/>
    <w:autoRedefine/>
    <w:uiPriority w:val="39"/>
    <w:unhideWhenUsed/>
    <w:rsid w:val="00C20CFD"/>
    <w:pPr>
      <w:tabs>
        <w:tab w:val="right" w:leader="dot" w:pos="9061"/>
      </w:tabs>
      <w:spacing w:after="120"/>
      <w:ind w:left="442"/>
    </w:pPr>
    <w:rPr>
      <w:rFonts w:eastAsiaTheme="majorEastAsia"/>
      <w:bCs/>
      <w:noProof/>
    </w:rPr>
  </w:style>
  <w:style w:type="paragraph" w:styleId="EnvelopeReturn">
    <w:name w:val="envelope return"/>
    <w:basedOn w:val="Normal"/>
    <w:uiPriority w:val="99"/>
    <w:unhideWhenUsed/>
    <w:rsid w:val="00B40358"/>
    <w:pPr>
      <w:spacing w:after="0"/>
    </w:pPr>
    <w:rPr>
      <w:rFonts w:ascii="Cambria" w:eastAsia="Times New Roman" w:hAnsi="Cambria"/>
      <w:szCs w:val="20"/>
      <w:lang w:eastAsia="lv-LV"/>
    </w:rPr>
  </w:style>
  <w:style w:type="character" w:styleId="CommentReference">
    <w:name w:val="annotation reference"/>
    <w:basedOn w:val="DefaultParagraphFont"/>
    <w:uiPriority w:val="99"/>
    <w:semiHidden/>
    <w:unhideWhenUsed/>
    <w:rsid w:val="00340CA7"/>
    <w:rPr>
      <w:sz w:val="16"/>
      <w:szCs w:val="16"/>
    </w:rPr>
  </w:style>
  <w:style w:type="paragraph" w:styleId="CommentText">
    <w:name w:val="annotation text"/>
    <w:basedOn w:val="Normal"/>
    <w:link w:val="CommentTextChar"/>
    <w:uiPriority w:val="99"/>
    <w:unhideWhenUsed/>
    <w:rsid w:val="00340CA7"/>
    <w:pPr>
      <w:spacing w:after="0"/>
    </w:pPr>
    <w:rPr>
      <w:rFonts w:eastAsiaTheme="minorHAnsi" w:cstheme="minorBidi"/>
      <w:szCs w:val="20"/>
    </w:rPr>
  </w:style>
  <w:style w:type="character" w:customStyle="1" w:styleId="CommentTextChar">
    <w:name w:val="Comment Text Char"/>
    <w:basedOn w:val="DefaultParagraphFont"/>
    <w:link w:val="CommentText"/>
    <w:uiPriority w:val="99"/>
    <w:rsid w:val="00340CA7"/>
    <w:rPr>
      <w:sz w:val="20"/>
      <w:szCs w:val="20"/>
    </w:rPr>
  </w:style>
  <w:style w:type="paragraph" w:styleId="BodyText3">
    <w:name w:val="Body Text 3"/>
    <w:basedOn w:val="Normal"/>
    <w:link w:val="BodyText3Char"/>
    <w:uiPriority w:val="99"/>
    <w:semiHidden/>
    <w:unhideWhenUsed/>
    <w:rsid w:val="001E4BA5"/>
    <w:pPr>
      <w:spacing w:after="120"/>
    </w:pPr>
    <w:rPr>
      <w:sz w:val="16"/>
      <w:szCs w:val="16"/>
    </w:rPr>
  </w:style>
  <w:style w:type="character" w:customStyle="1" w:styleId="BodyText3Char">
    <w:name w:val="Body Text 3 Char"/>
    <w:basedOn w:val="DefaultParagraphFont"/>
    <w:link w:val="BodyText3"/>
    <w:uiPriority w:val="99"/>
    <w:semiHidden/>
    <w:rsid w:val="001E4BA5"/>
    <w:rPr>
      <w:rFonts w:eastAsia="Calibri" w:cs="Times New Roman"/>
      <w:sz w:val="16"/>
      <w:szCs w:val="16"/>
    </w:rPr>
  </w:style>
  <w:style w:type="table" w:styleId="MediumList1-Accent1">
    <w:name w:val="Medium List 1 Accent 1"/>
    <w:basedOn w:val="TableNormal"/>
    <w:uiPriority w:val="65"/>
    <w:rsid w:val="00F867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Default">
    <w:name w:val="Default"/>
    <w:rsid w:val="00F867F6"/>
    <w:pPr>
      <w:autoSpaceDE w:val="0"/>
      <w:autoSpaceDN w:val="0"/>
      <w:adjustRightInd w:val="0"/>
    </w:pPr>
    <w:rPr>
      <w:rFonts w:ascii="PF Square Sans Pro" w:hAnsi="PF Square Sans Pro" w:cs="PF Square Sans Pro"/>
      <w:color w:val="000000"/>
      <w:sz w:val="24"/>
      <w:szCs w:val="24"/>
    </w:rPr>
  </w:style>
  <w:style w:type="table" w:styleId="ColorfulList-Accent2">
    <w:name w:val="Colorful List Accent 2"/>
    <w:basedOn w:val="TableNormal"/>
    <w:uiPriority w:val="72"/>
    <w:rsid w:val="004453D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ghtList-Accent2">
    <w:name w:val="Light List Accent 2"/>
    <w:basedOn w:val="TableNormal"/>
    <w:uiPriority w:val="61"/>
    <w:rsid w:val="002F742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FollowedHyperlink">
    <w:name w:val="FollowedHyperlink"/>
    <w:basedOn w:val="DefaultParagraphFont"/>
    <w:uiPriority w:val="99"/>
    <w:semiHidden/>
    <w:unhideWhenUsed/>
    <w:rsid w:val="00345EA7"/>
    <w:rPr>
      <w:color w:val="800080" w:themeColor="followedHyperlink"/>
      <w:u w:val="single"/>
    </w:rPr>
  </w:style>
  <w:style w:type="table" w:customStyle="1" w:styleId="GridTable5Dark-Accent31">
    <w:name w:val="Grid Table 5 Dark - Accent 31"/>
    <w:basedOn w:val="TableNormal"/>
    <w:uiPriority w:val="50"/>
    <w:rsid w:val="00A71C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GridLight1">
    <w:name w:val="Table Grid Light1"/>
    <w:basedOn w:val="TableNormal"/>
    <w:uiPriority w:val="40"/>
    <w:rsid w:val="000F00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21">
    <w:name w:val="Grid Table 5 Dark - Accent 21"/>
    <w:basedOn w:val="TableNormal"/>
    <w:uiPriority w:val="50"/>
    <w:rsid w:val="004D60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TableGrid1">
    <w:name w:val="Table Grid1"/>
    <w:basedOn w:val="TableNormal"/>
    <w:next w:val="TableGrid"/>
    <w:uiPriority w:val="59"/>
    <w:rsid w:val="00BC774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3FF9"/>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810DE"/>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960BC4"/>
    <w:rPr>
      <w:rFonts w:eastAsia="Calibri" w:cs="Times New Roman"/>
      <w:sz w:val="22"/>
    </w:rPr>
  </w:style>
  <w:style w:type="paragraph" w:styleId="CommentSubject">
    <w:name w:val="annotation subject"/>
    <w:basedOn w:val="CommentText"/>
    <w:next w:val="CommentText"/>
    <w:link w:val="CommentSubjectChar"/>
    <w:uiPriority w:val="99"/>
    <w:semiHidden/>
    <w:unhideWhenUsed/>
    <w:rsid w:val="008C5137"/>
    <w:pPr>
      <w:spacing w:after="200"/>
    </w:pPr>
    <w:rPr>
      <w:rFonts w:eastAsia="Calibri" w:cs="Times New Roman"/>
      <w:b/>
      <w:bCs/>
    </w:rPr>
  </w:style>
  <w:style w:type="character" w:customStyle="1" w:styleId="CommentSubjectChar">
    <w:name w:val="Comment Subject Char"/>
    <w:basedOn w:val="CommentTextChar"/>
    <w:link w:val="CommentSubject"/>
    <w:uiPriority w:val="99"/>
    <w:semiHidden/>
    <w:rsid w:val="008C5137"/>
    <w:rPr>
      <w:rFonts w:eastAsia="Calibri" w:cs="Times New Roman"/>
      <w:b/>
      <w:bCs/>
      <w:sz w:val="20"/>
      <w:szCs w:val="20"/>
    </w:rPr>
  </w:style>
  <w:style w:type="character" w:styleId="Emphasis">
    <w:name w:val="Emphasis"/>
    <w:basedOn w:val="DefaultParagraphFont"/>
    <w:uiPriority w:val="20"/>
    <w:qFormat/>
    <w:rsid w:val="00334969"/>
    <w:rPr>
      <w:i/>
      <w:iCs/>
    </w:rPr>
  </w:style>
  <w:style w:type="character" w:customStyle="1" w:styleId="apple-converted-space">
    <w:name w:val="apple-converted-space"/>
    <w:basedOn w:val="DefaultParagraphFont"/>
    <w:rsid w:val="00334969"/>
  </w:style>
  <w:style w:type="paragraph" w:styleId="Revision">
    <w:name w:val="Revision"/>
    <w:hidden/>
    <w:uiPriority w:val="99"/>
    <w:semiHidden/>
    <w:rsid w:val="002E1294"/>
    <w:rPr>
      <w:rFonts w:eastAsia="Calibri" w:cs="Times New Roman"/>
      <w:sz w:val="22"/>
    </w:rPr>
  </w:style>
  <w:style w:type="table" w:customStyle="1" w:styleId="TableGrid5">
    <w:name w:val="Table Grid5"/>
    <w:basedOn w:val="TableNormal"/>
    <w:next w:val="TableGrid"/>
    <w:uiPriority w:val="39"/>
    <w:rsid w:val="00D46C70"/>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1">
    <w:name w:val="Grid Table 5 Dark - Accent 311"/>
    <w:basedOn w:val="TableNormal"/>
    <w:uiPriority w:val="50"/>
    <w:rsid w:val="00FA2A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CharCharCharChar">
    <w:name w:val="Char Char Char Char"/>
    <w:aliases w:val="Char2"/>
    <w:basedOn w:val="Normal"/>
    <w:next w:val="Normal"/>
    <w:link w:val="FootnoteReference"/>
    <w:uiPriority w:val="99"/>
    <w:rsid w:val="00A26E0B"/>
    <w:pPr>
      <w:spacing w:after="160" w:line="240" w:lineRule="exact"/>
      <w:textAlignment w:val="baseline"/>
    </w:pPr>
    <w:rPr>
      <w:rFonts w:ascii="Times New Roman" w:eastAsiaTheme="minorHAnsi" w:hAnsi="Times New Roman" w:cstheme="minorBidi"/>
      <w:sz w:val="28"/>
      <w:vertAlign w:val="superscript"/>
    </w:rPr>
  </w:style>
  <w:style w:type="table" w:styleId="GridTable4-Accent1">
    <w:name w:val="Grid Table 4 Accent 1"/>
    <w:basedOn w:val="TableNormal"/>
    <w:uiPriority w:val="49"/>
    <w:rsid w:val="001B7B72"/>
    <w:rPr>
      <w:rFonts w:asciiTheme="minorHAnsi" w:hAnsiTheme="minorHAnsi"/>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1B7B72"/>
    <w:rPr>
      <w:rFonts w:asciiTheme="minorHAnsi" w:hAnsiTheme="minorHAnsi"/>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1">
    <w:name w:val="Table Grid11"/>
    <w:basedOn w:val="TableNormal"/>
    <w:next w:val="TableGrid"/>
    <w:uiPriority w:val="59"/>
    <w:rsid w:val="00B06BCF"/>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06BCF"/>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85618A"/>
    <w:pPr>
      <w:spacing w:after="0"/>
    </w:pPr>
    <w:rPr>
      <w:szCs w:val="20"/>
    </w:rPr>
  </w:style>
  <w:style w:type="character" w:customStyle="1" w:styleId="EndnoteTextChar">
    <w:name w:val="Endnote Text Char"/>
    <w:basedOn w:val="DefaultParagraphFont"/>
    <w:link w:val="EndnoteText"/>
    <w:uiPriority w:val="99"/>
    <w:semiHidden/>
    <w:rsid w:val="0085618A"/>
    <w:rPr>
      <w:rFonts w:ascii="Calibri Light" w:eastAsia="Calibri" w:hAnsi="Calibri Light" w:cs="Times New Roman"/>
      <w:sz w:val="20"/>
      <w:szCs w:val="20"/>
    </w:rPr>
  </w:style>
  <w:style w:type="character" w:styleId="EndnoteReference">
    <w:name w:val="endnote reference"/>
    <w:basedOn w:val="DefaultParagraphFont"/>
    <w:uiPriority w:val="99"/>
    <w:semiHidden/>
    <w:unhideWhenUsed/>
    <w:rsid w:val="0085618A"/>
    <w:rPr>
      <w:vertAlign w:val="superscript"/>
    </w:rPr>
  </w:style>
  <w:style w:type="character" w:customStyle="1" w:styleId="UnresolvedMention1">
    <w:name w:val="Unresolved Mention1"/>
    <w:basedOn w:val="DefaultParagraphFont"/>
    <w:uiPriority w:val="99"/>
    <w:semiHidden/>
    <w:unhideWhenUsed/>
    <w:rsid w:val="0054545F"/>
    <w:rPr>
      <w:color w:val="605E5C"/>
      <w:shd w:val="clear" w:color="auto" w:fill="E1DFDD"/>
    </w:rPr>
  </w:style>
  <w:style w:type="paragraph" w:customStyle="1" w:styleId="p1">
    <w:name w:val="p1"/>
    <w:basedOn w:val="Normal"/>
    <w:rsid w:val="00C61ECF"/>
    <w:pPr>
      <w:spacing w:before="100" w:beforeAutospacing="1" w:after="100" w:afterAutospacing="1"/>
    </w:pPr>
    <w:rPr>
      <w:rFonts w:ascii="Times New Roman" w:eastAsia="Times New Roman" w:hAnsi="Times New Roman"/>
      <w:sz w:val="24"/>
      <w:szCs w:val="24"/>
      <w:lang w:eastAsia="lv-LV"/>
    </w:rPr>
  </w:style>
  <w:style w:type="character" w:customStyle="1" w:styleId="Hyperlink1">
    <w:name w:val="Hyperlink1"/>
    <w:basedOn w:val="DefaultParagraphFont"/>
    <w:uiPriority w:val="99"/>
    <w:rsid w:val="0057261C"/>
    <w:rPr>
      <w:color w:val="0000FF"/>
      <w:u w:val="single"/>
    </w:rPr>
  </w:style>
  <w:style w:type="character" w:customStyle="1" w:styleId="multiline">
    <w:name w:val="multiline"/>
    <w:basedOn w:val="DefaultParagraphFont"/>
    <w:rsid w:val="001A534A"/>
  </w:style>
  <w:style w:type="character" w:styleId="UnresolvedMention">
    <w:name w:val="Unresolved Mention"/>
    <w:basedOn w:val="DefaultParagraphFont"/>
    <w:uiPriority w:val="99"/>
    <w:semiHidden/>
    <w:unhideWhenUsed/>
    <w:rsid w:val="00E40D26"/>
    <w:rPr>
      <w:color w:val="605E5C"/>
      <w:shd w:val="clear" w:color="auto" w:fill="E1DFDD"/>
    </w:rPr>
  </w:style>
  <w:style w:type="character" w:customStyle="1" w:styleId="Heading4Char">
    <w:name w:val="Heading 4 Char"/>
    <w:basedOn w:val="DefaultParagraphFont"/>
    <w:link w:val="Heading4"/>
    <w:uiPriority w:val="9"/>
    <w:semiHidden/>
    <w:rsid w:val="00BE0A64"/>
    <w:rPr>
      <w:rFonts w:asciiTheme="majorHAnsi" w:eastAsiaTheme="majorEastAsia" w:hAnsiTheme="majorHAnsi" w:cstheme="majorBidi"/>
      <w:i/>
      <w:iCs/>
      <w:color w:val="365F91" w:themeColor="accent1" w:themeShade="BF"/>
      <w:sz w:val="20"/>
    </w:rPr>
  </w:style>
  <w:style w:type="table" w:customStyle="1" w:styleId="TableGrid7">
    <w:name w:val="Table Grid7"/>
    <w:basedOn w:val="TableNormal"/>
    <w:next w:val="TableGrid"/>
    <w:uiPriority w:val="39"/>
    <w:rsid w:val="001231A9"/>
    <w:rPr>
      <w:rFonts w:eastAsia="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312">
    <w:name w:val="Grid Table 5 Dark - Accent 312"/>
    <w:basedOn w:val="TableNormal"/>
    <w:uiPriority w:val="50"/>
    <w:rsid w:val="000629C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eGrid8">
    <w:name w:val="Table Grid8"/>
    <w:basedOn w:val="TableNormal"/>
    <w:next w:val="TableGrid"/>
    <w:uiPriority w:val="39"/>
    <w:rsid w:val="000629C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74F0"/>
    <w:rPr>
      <w:rFonts w:asciiTheme="minorHAnsi" w:hAnsiTheme="minorHAnsi"/>
      <w:sz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E74F0"/>
  </w:style>
  <w:style w:type="table" w:styleId="GridTable1Light-Accent5">
    <w:name w:val="Grid Table 1 Light Accent 5"/>
    <w:basedOn w:val="TableNormal"/>
    <w:uiPriority w:val="46"/>
    <w:rsid w:val="00AE74F0"/>
    <w:rPr>
      <w:rFonts w:asciiTheme="minorHAnsi" w:hAnsiTheme="minorHAnsi"/>
      <w:sz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FootnoteText1">
    <w:name w:val="Footnote Text1"/>
    <w:basedOn w:val="Normal"/>
    <w:next w:val="FootnoteText"/>
    <w:uiPriority w:val="99"/>
    <w:unhideWhenUsed/>
    <w:rsid w:val="00E029D7"/>
    <w:pPr>
      <w:spacing w:after="0"/>
    </w:pPr>
    <w:rPr>
      <w:rFonts w:ascii="Times New Roman" w:eastAsiaTheme="minorHAnsi" w:hAnsi="Times New Roman" w:cstheme="minorBidi"/>
      <w:szCs w:val="20"/>
    </w:rPr>
  </w:style>
  <w:style w:type="paragraph" w:customStyle="1" w:styleId="xmsonormal">
    <w:name w:val="x_msonormal"/>
    <w:basedOn w:val="Normal"/>
    <w:rsid w:val="00291E55"/>
    <w:pPr>
      <w:spacing w:before="100" w:beforeAutospacing="1" w:after="100" w:afterAutospacing="1"/>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714">
      <w:bodyDiv w:val="1"/>
      <w:marLeft w:val="0"/>
      <w:marRight w:val="0"/>
      <w:marTop w:val="0"/>
      <w:marBottom w:val="0"/>
      <w:divBdr>
        <w:top w:val="none" w:sz="0" w:space="0" w:color="auto"/>
        <w:left w:val="none" w:sz="0" w:space="0" w:color="auto"/>
        <w:bottom w:val="none" w:sz="0" w:space="0" w:color="auto"/>
        <w:right w:val="none" w:sz="0" w:space="0" w:color="auto"/>
      </w:divBdr>
    </w:div>
    <w:div w:id="5374248">
      <w:bodyDiv w:val="1"/>
      <w:marLeft w:val="0"/>
      <w:marRight w:val="0"/>
      <w:marTop w:val="0"/>
      <w:marBottom w:val="0"/>
      <w:divBdr>
        <w:top w:val="none" w:sz="0" w:space="0" w:color="auto"/>
        <w:left w:val="none" w:sz="0" w:space="0" w:color="auto"/>
        <w:bottom w:val="none" w:sz="0" w:space="0" w:color="auto"/>
        <w:right w:val="none" w:sz="0" w:space="0" w:color="auto"/>
      </w:divBdr>
    </w:div>
    <w:div w:id="8336412">
      <w:bodyDiv w:val="1"/>
      <w:marLeft w:val="0"/>
      <w:marRight w:val="0"/>
      <w:marTop w:val="0"/>
      <w:marBottom w:val="0"/>
      <w:divBdr>
        <w:top w:val="none" w:sz="0" w:space="0" w:color="auto"/>
        <w:left w:val="none" w:sz="0" w:space="0" w:color="auto"/>
        <w:bottom w:val="none" w:sz="0" w:space="0" w:color="auto"/>
        <w:right w:val="none" w:sz="0" w:space="0" w:color="auto"/>
      </w:divBdr>
    </w:div>
    <w:div w:id="20402872">
      <w:bodyDiv w:val="1"/>
      <w:marLeft w:val="0"/>
      <w:marRight w:val="0"/>
      <w:marTop w:val="0"/>
      <w:marBottom w:val="0"/>
      <w:divBdr>
        <w:top w:val="none" w:sz="0" w:space="0" w:color="auto"/>
        <w:left w:val="none" w:sz="0" w:space="0" w:color="auto"/>
        <w:bottom w:val="none" w:sz="0" w:space="0" w:color="auto"/>
        <w:right w:val="none" w:sz="0" w:space="0" w:color="auto"/>
      </w:divBdr>
    </w:div>
    <w:div w:id="22634547">
      <w:bodyDiv w:val="1"/>
      <w:marLeft w:val="0"/>
      <w:marRight w:val="0"/>
      <w:marTop w:val="0"/>
      <w:marBottom w:val="0"/>
      <w:divBdr>
        <w:top w:val="none" w:sz="0" w:space="0" w:color="auto"/>
        <w:left w:val="none" w:sz="0" w:space="0" w:color="auto"/>
        <w:bottom w:val="none" w:sz="0" w:space="0" w:color="auto"/>
        <w:right w:val="none" w:sz="0" w:space="0" w:color="auto"/>
      </w:divBdr>
    </w:div>
    <w:div w:id="26563655">
      <w:bodyDiv w:val="1"/>
      <w:marLeft w:val="0"/>
      <w:marRight w:val="0"/>
      <w:marTop w:val="0"/>
      <w:marBottom w:val="0"/>
      <w:divBdr>
        <w:top w:val="none" w:sz="0" w:space="0" w:color="auto"/>
        <w:left w:val="none" w:sz="0" w:space="0" w:color="auto"/>
        <w:bottom w:val="none" w:sz="0" w:space="0" w:color="auto"/>
        <w:right w:val="none" w:sz="0" w:space="0" w:color="auto"/>
      </w:divBdr>
    </w:div>
    <w:div w:id="40441132">
      <w:bodyDiv w:val="1"/>
      <w:marLeft w:val="0"/>
      <w:marRight w:val="0"/>
      <w:marTop w:val="0"/>
      <w:marBottom w:val="0"/>
      <w:divBdr>
        <w:top w:val="none" w:sz="0" w:space="0" w:color="auto"/>
        <w:left w:val="none" w:sz="0" w:space="0" w:color="auto"/>
        <w:bottom w:val="none" w:sz="0" w:space="0" w:color="auto"/>
        <w:right w:val="none" w:sz="0" w:space="0" w:color="auto"/>
      </w:divBdr>
    </w:div>
    <w:div w:id="135685899">
      <w:bodyDiv w:val="1"/>
      <w:marLeft w:val="0"/>
      <w:marRight w:val="0"/>
      <w:marTop w:val="0"/>
      <w:marBottom w:val="0"/>
      <w:divBdr>
        <w:top w:val="none" w:sz="0" w:space="0" w:color="auto"/>
        <w:left w:val="none" w:sz="0" w:space="0" w:color="auto"/>
        <w:bottom w:val="none" w:sz="0" w:space="0" w:color="auto"/>
        <w:right w:val="none" w:sz="0" w:space="0" w:color="auto"/>
      </w:divBdr>
    </w:div>
    <w:div w:id="146216261">
      <w:bodyDiv w:val="1"/>
      <w:marLeft w:val="0"/>
      <w:marRight w:val="0"/>
      <w:marTop w:val="0"/>
      <w:marBottom w:val="0"/>
      <w:divBdr>
        <w:top w:val="none" w:sz="0" w:space="0" w:color="auto"/>
        <w:left w:val="none" w:sz="0" w:space="0" w:color="auto"/>
        <w:bottom w:val="none" w:sz="0" w:space="0" w:color="auto"/>
        <w:right w:val="none" w:sz="0" w:space="0" w:color="auto"/>
      </w:divBdr>
    </w:div>
    <w:div w:id="188153965">
      <w:bodyDiv w:val="1"/>
      <w:marLeft w:val="0"/>
      <w:marRight w:val="0"/>
      <w:marTop w:val="0"/>
      <w:marBottom w:val="0"/>
      <w:divBdr>
        <w:top w:val="none" w:sz="0" w:space="0" w:color="auto"/>
        <w:left w:val="none" w:sz="0" w:space="0" w:color="auto"/>
        <w:bottom w:val="none" w:sz="0" w:space="0" w:color="auto"/>
        <w:right w:val="none" w:sz="0" w:space="0" w:color="auto"/>
      </w:divBdr>
    </w:div>
    <w:div w:id="273484736">
      <w:bodyDiv w:val="1"/>
      <w:marLeft w:val="0"/>
      <w:marRight w:val="0"/>
      <w:marTop w:val="0"/>
      <w:marBottom w:val="0"/>
      <w:divBdr>
        <w:top w:val="none" w:sz="0" w:space="0" w:color="auto"/>
        <w:left w:val="none" w:sz="0" w:space="0" w:color="auto"/>
        <w:bottom w:val="none" w:sz="0" w:space="0" w:color="auto"/>
        <w:right w:val="none" w:sz="0" w:space="0" w:color="auto"/>
      </w:divBdr>
    </w:div>
    <w:div w:id="313608373">
      <w:bodyDiv w:val="1"/>
      <w:marLeft w:val="0"/>
      <w:marRight w:val="0"/>
      <w:marTop w:val="0"/>
      <w:marBottom w:val="0"/>
      <w:divBdr>
        <w:top w:val="none" w:sz="0" w:space="0" w:color="auto"/>
        <w:left w:val="none" w:sz="0" w:space="0" w:color="auto"/>
        <w:bottom w:val="none" w:sz="0" w:space="0" w:color="auto"/>
        <w:right w:val="none" w:sz="0" w:space="0" w:color="auto"/>
      </w:divBdr>
    </w:div>
    <w:div w:id="316803860">
      <w:bodyDiv w:val="1"/>
      <w:marLeft w:val="0"/>
      <w:marRight w:val="0"/>
      <w:marTop w:val="0"/>
      <w:marBottom w:val="0"/>
      <w:divBdr>
        <w:top w:val="none" w:sz="0" w:space="0" w:color="auto"/>
        <w:left w:val="none" w:sz="0" w:space="0" w:color="auto"/>
        <w:bottom w:val="none" w:sz="0" w:space="0" w:color="auto"/>
        <w:right w:val="none" w:sz="0" w:space="0" w:color="auto"/>
      </w:divBdr>
    </w:div>
    <w:div w:id="345210301">
      <w:bodyDiv w:val="1"/>
      <w:marLeft w:val="0"/>
      <w:marRight w:val="0"/>
      <w:marTop w:val="0"/>
      <w:marBottom w:val="0"/>
      <w:divBdr>
        <w:top w:val="none" w:sz="0" w:space="0" w:color="auto"/>
        <w:left w:val="none" w:sz="0" w:space="0" w:color="auto"/>
        <w:bottom w:val="none" w:sz="0" w:space="0" w:color="auto"/>
        <w:right w:val="none" w:sz="0" w:space="0" w:color="auto"/>
      </w:divBdr>
    </w:div>
    <w:div w:id="363405851">
      <w:bodyDiv w:val="1"/>
      <w:marLeft w:val="0"/>
      <w:marRight w:val="0"/>
      <w:marTop w:val="0"/>
      <w:marBottom w:val="0"/>
      <w:divBdr>
        <w:top w:val="none" w:sz="0" w:space="0" w:color="auto"/>
        <w:left w:val="none" w:sz="0" w:space="0" w:color="auto"/>
        <w:bottom w:val="none" w:sz="0" w:space="0" w:color="auto"/>
        <w:right w:val="none" w:sz="0" w:space="0" w:color="auto"/>
      </w:divBdr>
    </w:div>
    <w:div w:id="376782415">
      <w:bodyDiv w:val="1"/>
      <w:marLeft w:val="0"/>
      <w:marRight w:val="0"/>
      <w:marTop w:val="0"/>
      <w:marBottom w:val="0"/>
      <w:divBdr>
        <w:top w:val="none" w:sz="0" w:space="0" w:color="auto"/>
        <w:left w:val="none" w:sz="0" w:space="0" w:color="auto"/>
        <w:bottom w:val="none" w:sz="0" w:space="0" w:color="auto"/>
        <w:right w:val="none" w:sz="0" w:space="0" w:color="auto"/>
      </w:divBdr>
    </w:div>
    <w:div w:id="379016514">
      <w:bodyDiv w:val="1"/>
      <w:marLeft w:val="0"/>
      <w:marRight w:val="0"/>
      <w:marTop w:val="0"/>
      <w:marBottom w:val="0"/>
      <w:divBdr>
        <w:top w:val="none" w:sz="0" w:space="0" w:color="auto"/>
        <w:left w:val="none" w:sz="0" w:space="0" w:color="auto"/>
        <w:bottom w:val="none" w:sz="0" w:space="0" w:color="auto"/>
        <w:right w:val="none" w:sz="0" w:space="0" w:color="auto"/>
      </w:divBdr>
      <w:divsChild>
        <w:div w:id="933901500">
          <w:marLeft w:val="0"/>
          <w:marRight w:val="0"/>
          <w:marTop w:val="0"/>
          <w:marBottom w:val="0"/>
          <w:divBdr>
            <w:top w:val="none" w:sz="0" w:space="0" w:color="auto"/>
            <w:left w:val="none" w:sz="0" w:space="0" w:color="auto"/>
            <w:bottom w:val="none" w:sz="0" w:space="0" w:color="auto"/>
            <w:right w:val="none" w:sz="0" w:space="0" w:color="auto"/>
          </w:divBdr>
          <w:divsChild>
            <w:div w:id="308637852">
              <w:marLeft w:val="0"/>
              <w:marRight w:val="0"/>
              <w:marTop w:val="0"/>
              <w:marBottom w:val="0"/>
              <w:divBdr>
                <w:top w:val="none" w:sz="0" w:space="0" w:color="auto"/>
                <w:left w:val="none" w:sz="0" w:space="0" w:color="auto"/>
                <w:bottom w:val="none" w:sz="0" w:space="0" w:color="auto"/>
                <w:right w:val="none" w:sz="0" w:space="0" w:color="auto"/>
              </w:divBdr>
              <w:divsChild>
                <w:div w:id="156190715">
                  <w:marLeft w:val="0"/>
                  <w:marRight w:val="0"/>
                  <w:marTop w:val="0"/>
                  <w:marBottom w:val="0"/>
                  <w:divBdr>
                    <w:top w:val="none" w:sz="0" w:space="0" w:color="auto"/>
                    <w:left w:val="none" w:sz="0" w:space="0" w:color="auto"/>
                    <w:bottom w:val="none" w:sz="0" w:space="0" w:color="auto"/>
                    <w:right w:val="none" w:sz="0" w:space="0" w:color="auto"/>
                  </w:divBdr>
                  <w:divsChild>
                    <w:div w:id="1328942705">
                      <w:marLeft w:val="0"/>
                      <w:marRight w:val="0"/>
                      <w:marTop w:val="0"/>
                      <w:marBottom w:val="0"/>
                      <w:divBdr>
                        <w:top w:val="none" w:sz="0" w:space="0" w:color="auto"/>
                        <w:left w:val="none" w:sz="0" w:space="0" w:color="auto"/>
                        <w:bottom w:val="none" w:sz="0" w:space="0" w:color="auto"/>
                        <w:right w:val="none" w:sz="0" w:space="0" w:color="auto"/>
                      </w:divBdr>
                      <w:divsChild>
                        <w:div w:id="1371490344">
                          <w:marLeft w:val="0"/>
                          <w:marRight w:val="0"/>
                          <w:marTop w:val="0"/>
                          <w:marBottom w:val="0"/>
                          <w:divBdr>
                            <w:top w:val="none" w:sz="0" w:space="0" w:color="auto"/>
                            <w:left w:val="none" w:sz="0" w:space="0" w:color="auto"/>
                            <w:bottom w:val="none" w:sz="0" w:space="0" w:color="auto"/>
                            <w:right w:val="none" w:sz="0" w:space="0" w:color="auto"/>
                          </w:divBdr>
                          <w:divsChild>
                            <w:div w:id="1494645711">
                              <w:marLeft w:val="0"/>
                              <w:marRight w:val="0"/>
                              <w:marTop w:val="0"/>
                              <w:marBottom w:val="0"/>
                              <w:divBdr>
                                <w:top w:val="single" w:sz="6" w:space="0" w:color="DDDDDD"/>
                                <w:left w:val="none" w:sz="0" w:space="0" w:color="auto"/>
                                <w:bottom w:val="none" w:sz="0" w:space="0" w:color="auto"/>
                                <w:right w:val="none" w:sz="0" w:space="0" w:color="auto"/>
                              </w:divBdr>
                              <w:divsChild>
                                <w:div w:id="627273258">
                                  <w:marLeft w:val="0"/>
                                  <w:marRight w:val="0"/>
                                  <w:marTop w:val="0"/>
                                  <w:marBottom w:val="0"/>
                                  <w:divBdr>
                                    <w:top w:val="none" w:sz="0" w:space="0" w:color="auto"/>
                                    <w:left w:val="none" w:sz="0" w:space="0" w:color="auto"/>
                                    <w:bottom w:val="single" w:sz="6" w:space="0" w:color="D1D1D1"/>
                                    <w:right w:val="none" w:sz="0" w:space="0" w:color="auto"/>
                                  </w:divBdr>
                                  <w:divsChild>
                                    <w:div w:id="1773353972">
                                      <w:marLeft w:val="0"/>
                                      <w:marRight w:val="0"/>
                                      <w:marTop w:val="0"/>
                                      <w:marBottom w:val="0"/>
                                      <w:divBdr>
                                        <w:top w:val="none" w:sz="0" w:space="0" w:color="auto"/>
                                        <w:left w:val="none" w:sz="0" w:space="0" w:color="auto"/>
                                        <w:bottom w:val="none" w:sz="0" w:space="0" w:color="auto"/>
                                        <w:right w:val="none" w:sz="0" w:space="0" w:color="auto"/>
                                      </w:divBdr>
                                      <w:divsChild>
                                        <w:div w:id="456490729">
                                          <w:marLeft w:val="0"/>
                                          <w:marRight w:val="0"/>
                                          <w:marTop w:val="0"/>
                                          <w:marBottom w:val="0"/>
                                          <w:divBdr>
                                            <w:top w:val="none" w:sz="0" w:space="0" w:color="auto"/>
                                            <w:left w:val="none" w:sz="0" w:space="0" w:color="auto"/>
                                            <w:bottom w:val="none" w:sz="0" w:space="0" w:color="auto"/>
                                            <w:right w:val="none" w:sz="0" w:space="0" w:color="auto"/>
                                          </w:divBdr>
                                        </w:div>
                                        <w:div w:id="9637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251460">
      <w:bodyDiv w:val="1"/>
      <w:marLeft w:val="0"/>
      <w:marRight w:val="0"/>
      <w:marTop w:val="0"/>
      <w:marBottom w:val="0"/>
      <w:divBdr>
        <w:top w:val="none" w:sz="0" w:space="0" w:color="auto"/>
        <w:left w:val="none" w:sz="0" w:space="0" w:color="auto"/>
        <w:bottom w:val="none" w:sz="0" w:space="0" w:color="auto"/>
        <w:right w:val="none" w:sz="0" w:space="0" w:color="auto"/>
      </w:divBdr>
    </w:div>
    <w:div w:id="450056374">
      <w:bodyDiv w:val="1"/>
      <w:marLeft w:val="0"/>
      <w:marRight w:val="0"/>
      <w:marTop w:val="0"/>
      <w:marBottom w:val="0"/>
      <w:divBdr>
        <w:top w:val="none" w:sz="0" w:space="0" w:color="auto"/>
        <w:left w:val="none" w:sz="0" w:space="0" w:color="auto"/>
        <w:bottom w:val="none" w:sz="0" w:space="0" w:color="auto"/>
        <w:right w:val="none" w:sz="0" w:space="0" w:color="auto"/>
      </w:divBdr>
    </w:div>
    <w:div w:id="458914806">
      <w:bodyDiv w:val="1"/>
      <w:marLeft w:val="0"/>
      <w:marRight w:val="0"/>
      <w:marTop w:val="0"/>
      <w:marBottom w:val="0"/>
      <w:divBdr>
        <w:top w:val="none" w:sz="0" w:space="0" w:color="auto"/>
        <w:left w:val="none" w:sz="0" w:space="0" w:color="auto"/>
        <w:bottom w:val="none" w:sz="0" w:space="0" w:color="auto"/>
        <w:right w:val="none" w:sz="0" w:space="0" w:color="auto"/>
      </w:divBdr>
    </w:div>
    <w:div w:id="461267268">
      <w:bodyDiv w:val="1"/>
      <w:marLeft w:val="0"/>
      <w:marRight w:val="0"/>
      <w:marTop w:val="0"/>
      <w:marBottom w:val="0"/>
      <w:divBdr>
        <w:top w:val="none" w:sz="0" w:space="0" w:color="auto"/>
        <w:left w:val="none" w:sz="0" w:space="0" w:color="auto"/>
        <w:bottom w:val="none" w:sz="0" w:space="0" w:color="auto"/>
        <w:right w:val="none" w:sz="0" w:space="0" w:color="auto"/>
      </w:divBdr>
    </w:div>
    <w:div w:id="496847866">
      <w:bodyDiv w:val="1"/>
      <w:marLeft w:val="0"/>
      <w:marRight w:val="0"/>
      <w:marTop w:val="0"/>
      <w:marBottom w:val="0"/>
      <w:divBdr>
        <w:top w:val="none" w:sz="0" w:space="0" w:color="auto"/>
        <w:left w:val="none" w:sz="0" w:space="0" w:color="auto"/>
        <w:bottom w:val="none" w:sz="0" w:space="0" w:color="auto"/>
        <w:right w:val="none" w:sz="0" w:space="0" w:color="auto"/>
      </w:divBdr>
    </w:div>
    <w:div w:id="502748957">
      <w:bodyDiv w:val="1"/>
      <w:marLeft w:val="0"/>
      <w:marRight w:val="0"/>
      <w:marTop w:val="0"/>
      <w:marBottom w:val="0"/>
      <w:divBdr>
        <w:top w:val="none" w:sz="0" w:space="0" w:color="auto"/>
        <w:left w:val="none" w:sz="0" w:space="0" w:color="auto"/>
        <w:bottom w:val="none" w:sz="0" w:space="0" w:color="auto"/>
        <w:right w:val="none" w:sz="0" w:space="0" w:color="auto"/>
      </w:divBdr>
    </w:div>
    <w:div w:id="519901071">
      <w:bodyDiv w:val="1"/>
      <w:marLeft w:val="0"/>
      <w:marRight w:val="0"/>
      <w:marTop w:val="0"/>
      <w:marBottom w:val="0"/>
      <w:divBdr>
        <w:top w:val="none" w:sz="0" w:space="0" w:color="auto"/>
        <w:left w:val="none" w:sz="0" w:space="0" w:color="auto"/>
        <w:bottom w:val="none" w:sz="0" w:space="0" w:color="auto"/>
        <w:right w:val="none" w:sz="0" w:space="0" w:color="auto"/>
      </w:divBdr>
    </w:div>
    <w:div w:id="573274492">
      <w:bodyDiv w:val="1"/>
      <w:marLeft w:val="0"/>
      <w:marRight w:val="0"/>
      <w:marTop w:val="0"/>
      <w:marBottom w:val="0"/>
      <w:divBdr>
        <w:top w:val="none" w:sz="0" w:space="0" w:color="auto"/>
        <w:left w:val="none" w:sz="0" w:space="0" w:color="auto"/>
        <w:bottom w:val="none" w:sz="0" w:space="0" w:color="auto"/>
        <w:right w:val="none" w:sz="0" w:space="0" w:color="auto"/>
      </w:divBdr>
    </w:div>
    <w:div w:id="574970938">
      <w:bodyDiv w:val="1"/>
      <w:marLeft w:val="0"/>
      <w:marRight w:val="0"/>
      <w:marTop w:val="0"/>
      <w:marBottom w:val="0"/>
      <w:divBdr>
        <w:top w:val="none" w:sz="0" w:space="0" w:color="auto"/>
        <w:left w:val="none" w:sz="0" w:space="0" w:color="auto"/>
        <w:bottom w:val="none" w:sz="0" w:space="0" w:color="auto"/>
        <w:right w:val="none" w:sz="0" w:space="0" w:color="auto"/>
      </w:divBdr>
    </w:div>
    <w:div w:id="585651710">
      <w:bodyDiv w:val="1"/>
      <w:marLeft w:val="0"/>
      <w:marRight w:val="0"/>
      <w:marTop w:val="0"/>
      <w:marBottom w:val="0"/>
      <w:divBdr>
        <w:top w:val="none" w:sz="0" w:space="0" w:color="auto"/>
        <w:left w:val="none" w:sz="0" w:space="0" w:color="auto"/>
        <w:bottom w:val="none" w:sz="0" w:space="0" w:color="auto"/>
        <w:right w:val="none" w:sz="0" w:space="0" w:color="auto"/>
      </w:divBdr>
    </w:div>
    <w:div w:id="620456303">
      <w:bodyDiv w:val="1"/>
      <w:marLeft w:val="0"/>
      <w:marRight w:val="0"/>
      <w:marTop w:val="0"/>
      <w:marBottom w:val="0"/>
      <w:divBdr>
        <w:top w:val="none" w:sz="0" w:space="0" w:color="auto"/>
        <w:left w:val="none" w:sz="0" w:space="0" w:color="auto"/>
        <w:bottom w:val="none" w:sz="0" w:space="0" w:color="auto"/>
        <w:right w:val="none" w:sz="0" w:space="0" w:color="auto"/>
      </w:divBdr>
    </w:div>
    <w:div w:id="626737158">
      <w:bodyDiv w:val="1"/>
      <w:marLeft w:val="0"/>
      <w:marRight w:val="0"/>
      <w:marTop w:val="0"/>
      <w:marBottom w:val="0"/>
      <w:divBdr>
        <w:top w:val="none" w:sz="0" w:space="0" w:color="auto"/>
        <w:left w:val="none" w:sz="0" w:space="0" w:color="auto"/>
        <w:bottom w:val="none" w:sz="0" w:space="0" w:color="auto"/>
        <w:right w:val="none" w:sz="0" w:space="0" w:color="auto"/>
      </w:divBdr>
    </w:div>
    <w:div w:id="639723138">
      <w:bodyDiv w:val="1"/>
      <w:marLeft w:val="0"/>
      <w:marRight w:val="0"/>
      <w:marTop w:val="0"/>
      <w:marBottom w:val="0"/>
      <w:divBdr>
        <w:top w:val="none" w:sz="0" w:space="0" w:color="auto"/>
        <w:left w:val="none" w:sz="0" w:space="0" w:color="auto"/>
        <w:bottom w:val="none" w:sz="0" w:space="0" w:color="auto"/>
        <w:right w:val="none" w:sz="0" w:space="0" w:color="auto"/>
      </w:divBdr>
    </w:div>
    <w:div w:id="644507772">
      <w:bodyDiv w:val="1"/>
      <w:marLeft w:val="0"/>
      <w:marRight w:val="0"/>
      <w:marTop w:val="0"/>
      <w:marBottom w:val="0"/>
      <w:divBdr>
        <w:top w:val="none" w:sz="0" w:space="0" w:color="auto"/>
        <w:left w:val="none" w:sz="0" w:space="0" w:color="auto"/>
        <w:bottom w:val="none" w:sz="0" w:space="0" w:color="auto"/>
        <w:right w:val="none" w:sz="0" w:space="0" w:color="auto"/>
      </w:divBdr>
    </w:div>
    <w:div w:id="655380635">
      <w:bodyDiv w:val="1"/>
      <w:marLeft w:val="0"/>
      <w:marRight w:val="0"/>
      <w:marTop w:val="0"/>
      <w:marBottom w:val="0"/>
      <w:divBdr>
        <w:top w:val="none" w:sz="0" w:space="0" w:color="auto"/>
        <w:left w:val="none" w:sz="0" w:space="0" w:color="auto"/>
        <w:bottom w:val="none" w:sz="0" w:space="0" w:color="auto"/>
        <w:right w:val="none" w:sz="0" w:space="0" w:color="auto"/>
      </w:divBdr>
    </w:div>
    <w:div w:id="664163175">
      <w:bodyDiv w:val="1"/>
      <w:marLeft w:val="0"/>
      <w:marRight w:val="0"/>
      <w:marTop w:val="0"/>
      <w:marBottom w:val="0"/>
      <w:divBdr>
        <w:top w:val="none" w:sz="0" w:space="0" w:color="auto"/>
        <w:left w:val="none" w:sz="0" w:space="0" w:color="auto"/>
        <w:bottom w:val="none" w:sz="0" w:space="0" w:color="auto"/>
        <w:right w:val="none" w:sz="0" w:space="0" w:color="auto"/>
      </w:divBdr>
    </w:div>
    <w:div w:id="677074909">
      <w:bodyDiv w:val="1"/>
      <w:marLeft w:val="0"/>
      <w:marRight w:val="0"/>
      <w:marTop w:val="0"/>
      <w:marBottom w:val="0"/>
      <w:divBdr>
        <w:top w:val="none" w:sz="0" w:space="0" w:color="auto"/>
        <w:left w:val="none" w:sz="0" w:space="0" w:color="auto"/>
        <w:bottom w:val="none" w:sz="0" w:space="0" w:color="auto"/>
        <w:right w:val="none" w:sz="0" w:space="0" w:color="auto"/>
      </w:divBdr>
    </w:div>
    <w:div w:id="688797293">
      <w:bodyDiv w:val="1"/>
      <w:marLeft w:val="0"/>
      <w:marRight w:val="0"/>
      <w:marTop w:val="0"/>
      <w:marBottom w:val="0"/>
      <w:divBdr>
        <w:top w:val="none" w:sz="0" w:space="0" w:color="auto"/>
        <w:left w:val="none" w:sz="0" w:space="0" w:color="auto"/>
        <w:bottom w:val="none" w:sz="0" w:space="0" w:color="auto"/>
        <w:right w:val="none" w:sz="0" w:space="0" w:color="auto"/>
      </w:divBdr>
    </w:div>
    <w:div w:id="695473043">
      <w:bodyDiv w:val="1"/>
      <w:marLeft w:val="0"/>
      <w:marRight w:val="0"/>
      <w:marTop w:val="0"/>
      <w:marBottom w:val="0"/>
      <w:divBdr>
        <w:top w:val="none" w:sz="0" w:space="0" w:color="auto"/>
        <w:left w:val="none" w:sz="0" w:space="0" w:color="auto"/>
        <w:bottom w:val="none" w:sz="0" w:space="0" w:color="auto"/>
        <w:right w:val="none" w:sz="0" w:space="0" w:color="auto"/>
      </w:divBdr>
    </w:div>
    <w:div w:id="705065930">
      <w:bodyDiv w:val="1"/>
      <w:marLeft w:val="0"/>
      <w:marRight w:val="0"/>
      <w:marTop w:val="0"/>
      <w:marBottom w:val="0"/>
      <w:divBdr>
        <w:top w:val="none" w:sz="0" w:space="0" w:color="auto"/>
        <w:left w:val="none" w:sz="0" w:space="0" w:color="auto"/>
        <w:bottom w:val="none" w:sz="0" w:space="0" w:color="auto"/>
        <w:right w:val="none" w:sz="0" w:space="0" w:color="auto"/>
      </w:divBdr>
    </w:div>
    <w:div w:id="732897425">
      <w:bodyDiv w:val="1"/>
      <w:marLeft w:val="0"/>
      <w:marRight w:val="0"/>
      <w:marTop w:val="0"/>
      <w:marBottom w:val="0"/>
      <w:divBdr>
        <w:top w:val="none" w:sz="0" w:space="0" w:color="auto"/>
        <w:left w:val="none" w:sz="0" w:space="0" w:color="auto"/>
        <w:bottom w:val="none" w:sz="0" w:space="0" w:color="auto"/>
        <w:right w:val="none" w:sz="0" w:space="0" w:color="auto"/>
      </w:divBdr>
    </w:div>
    <w:div w:id="755132435">
      <w:bodyDiv w:val="1"/>
      <w:marLeft w:val="0"/>
      <w:marRight w:val="0"/>
      <w:marTop w:val="0"/>
      <w:marBottom w:val="0"/>
      <w:divBdr>
        <w:top w:val="none" w:sz="0" w:space="0" w:color="auto"/>
        <w:left w:val="none" w:sz="0" w:space="0" w:color="auto"/>
        <w:bottom w:val="none" w:sz="0" w:space="0" w:color="auto"/>
        <w:right w:val="none" w:sz="0" w:space="0" w:color="auto"/>
      </w:divBdr>
    </w:div>
    <w:div w:id="783646482">
      <w:bodyDiv w:val="1"/>
      <w:marLeft w:val="0"/>
      <w:marRight w:val="0"/>
      <w:marTop w:val="0"/>
      <w:marBottom w:val="0"/>
      <w:divBdr>
        <w:top w:val="none" w:sz="0" w:space="0" w:color="auto"/>
        <w:left w:val="none" w:sz="0" w:space="0" w:color="auto"/>
        <w:bottom w:val="none" w:sz="0" w:space="0" w:color="auto"/>
        <w:right w:val="none" w:sz="0" w:space="0" w:color="auto"/>
      </w:divBdr>
    </w:div>
    <w:div w:id="792402577">
      <w:bodyDiv w:val="1"/>
      <w:marLeft w:val="0"/>
      <w:marRight w:val="0"/>
      <w:marTop w:val="0"/>
      <w:marBottom w:val="0"/>
      <w:divBdr>
        <w:top w:val="none" w:sz="0" w:space="0" w:color="auto"/>
        <w:left w:val="none" w:sz="0" w:space="0" w:color="auto"/>
        <w:bottom w:val="none" w:sz="0" w:space="0" w:color="auto"/>
        <w:right w:val="none" w:sz="0" w:space="0" w:color="auto"/>
      </w:divBdr>
    </w:div>
    <w:div w:id="829826816">
      <w:bodyDiv w:val="1"/>
      <w:marLeft w:val="0"/>
      <w:marRight w:val="0"/>
      <w:marTop w:val="0"/>
      <w:marBottom w:val="0"/>
      <w:divBdr>
        <w:top w:val="none" w:sz="0" w:space="0" w:color="auto"/>
        <w:left w:val="none" w:sz="0" w:space="0" w:color="auto"/>
        <w:bottom w:val="none" w:sz="0" w:space="0" w:color="auto"/>
        <w:right w:val="none" w:sz="0" w:space="0" w:color="auto"/>
      </w:divBdr>
    </w:div>
    <w:div w:id="848178792">
      <w:bodyDiv w:val="1"/>
      <w:marLeft w:val="0"/>
      <w:marRight w:val="0"/>
      <w:marTop w:val="0"/>
      <w:marBottom w:val="0"/>
      <w:divBdr>
        <w:top w:val="none" w:sz="0" w:space="0" w:color="auto"/>
        <w:left w:val="none" w:sz="0" w:space="0" w:color="auto"/>
        <w:bottom w:val="none" w:sz="0" w:space="0" w:color="auto"/>
        <w:right w:val="none" w:sz="0" w:space="0" w:color="auto"/>
      </w:divBdr>
    </w:div>
    <w:div w:id="906109374">
      <w:bodyDiv w:val="1"/>
      <w:marLeft w:val="0"/>
      <w:marRight w:val="0"/>
      <w:marTop w:val="0"/>
      <w:marBottom w:val="0"/>
      <w:divBdr>
        <w:top w:val="none" w:sz="0" w:space="0" w:color="auto"/>
        <w:left w:val="none" w:sz="0" w:space="0" w:color="auto"/>
        <w:bottom w:val="none" w:sz="0" w:space="0" w:color="auto"/>
        <w:right w:val="none" w:sz="0" w:space="0" w:color="auto"/>
      </w:divBdr>
    </w:div>
    <w:div w:id="921329415">
      <w:bodyDiv w:val="1"/>
      <w:marLeft w:val="0"/>
      <w:marRight w:val="0"/>
      <w:marTop w:val="0"/>
      <w:marBottom w:val="0"/>
      <w:divBdr>
        <w:top w:val="none" w:sz="0" w:space="0" w:color="auto"/>
        <w:left w:val="none" w:sz="0" w:space="0" w:color="auto"/>
        <w:bottom w:val="none" w:sz="0" w:space="0" w:color="auto"/>
        <w:right w:val="none" w:sz="0" w:space="0" w:color="auto"/>
      </w:divBdr>
    </w:div>
    <w:div w:id="1055927440">
      <w:bodyDiv w:val="1"/>
      <w:marLeft w:val="0"/>
      <w:marRight w:val="0"/>
      <w:marTop w:val="0"/>
      <w:marBottom w:val="0"/>
      <w:divBdr>
        <w:top w:val="none" w:sz="0" w:space="0" w:color="auto"/>
        <w:left w:val="none" w:sz="0" w:space="0" w:color="auto"/>
        <w:bottom w:val="none" w:sz="0" w:space="0" w:color="auto"/>
        <w:right w:val="none" w:sz="0" w:space="0" w:color="auto"/>
      </w:divBdr>
    </w:div>
    <w:div w:id="1083142823">
      <w:bodyDiv w:val="1"/>
      <w:marLeft w:val="0"/>
      <w:marRight w:val="0"/>
      <w:marTop w:val="0"/>
      <w:marBottom w:val="0"/>
      <w:divBdr>
        <w:top w:val="none" w:sz="0" w:space="0" w:color="auto"/>
        <w:left w:val="none" w:sz="0" w:space="0" w:color="auto"/>
        <w:bottom w:val="none" w:sz="0" w:space="0" w:color="auto"/>
        <w:right w:val="none" w:sz="0" w:space="0" w:color="auto"/>
      </w:divBdr>
    </w:div>
    <w:div w:id="1114059075">
      <w:bodyDiv w:val="1"/>
      <w:marLeft w:val="0"/>
      <w:marRight w:val="0"/>
      <w:marTop w:val="0"/>
      <w:marBottom w:val="0"/>
      <w:divBdr>
        <w:top w:val="none" w:sz="0" w:space="0" w:color="auto"/>
        <w:left w:val="none" w:sz="0" w:space="0" w:color="auto"/>
        <w:bottom w:val="none" w:sz="0" w:space="0" w:color="auto"/>
        <w:right w:val="none" w:sz="0" w:space="0" w:color="auto"/>
      </w:divBdr>
    </w:div>
    <w:div w:id="1141650987">
      <w:bodyDiv w:val="1"/>
      <w:marLeft w:val="0"/>
      <w:marRight w:val="0"/>
      <w:marTop w:val="0"/>
      <w:marBottom w:val="0"/>
      <w:divBdr>
        <w:top w:val="none" w:sz="0" w:space="0" w:color="auto"/>
        <w:left w:val="none" w:sz="0" w:space="0" w:color="auto"/>
        <w:bottom w:val="none" w:sz="0" w:space="0" w:color="auto"/>
        <w:right w:val="none" w:sz="0" w:space="0" w:color="auto"/>
      </w:divBdr>
    </w:div>
    <w:div w:id="1159033523">
      <w:bodyDiv w:val="1"/>
      <w:marLeft w:val="0"/>
      <w:marRight w:val="0"/>
      <w:marTop w:val="0"/>
      <w:marBottom w:val="0"/>
      <w:divBdr>
        <w:top w:val="none" w:sz="0" w:space="0" w:color="auto"/>
        <w:left w:val="none" w:sz="0" w:space="0" w:color="auto"/>
        <w:bottom w:val="none" w:sz="0" w:space="0" w:color="auto"/>
        <w:right w:val="none" w:sz="0" w:space="0" w:color="auto"/>
      </w:divBdr>
    </w:div>
    <w:div w:id="1173960209">
      <w:bodyDiv w:val="1"/>
      <w:marLeft w:val="0"/>
      <w:marRight w:val="0"/>
      <w:marTop w:val="0"/>
      <w:marBottom w:val="0"/>
      <w:divBdr>
        <w:top w:val="none" w:sz="0" w:space="0" w:color="auto"/>
        <w:left w:val="none" w:sz="0" w:space="0" w:color="auto"/>
        <w:bottom w:val="none" w:sz="0" w:space="0" w:color="auto"/>
        <w:right w:val="none" w:sz="0" w:space="0" w:color="auto"/>
      </w:divBdr>
    </w:div>
    <w:div w:id="1204366888">
      <w:bodyDiv w:val="1"/>
      <w:marLeft w:val="0"/>
      <w:marRight w:val="0"/>
      <w:marTop w:val="0"/>
      <w:marBottom w:val="0"/>
      <w:divBdr>
        <w:top w:val="none" w:sz="0" w:space="0" w:color="auto"/>
        <w:left w:val="none" w:sz="0" w:space="0" w:color="auto"/>
        <w:bottom w:val="none" w:sz="0" w:space="0" w:color="auto"/>
        <w:right w:val="none" w:sz="0" w:space="0" w:color="auto"/>
      </w:divBdr>
    </w:div>
    <w:div w:id="1206869130">
      <w:bodyDiv w:val="1"/>
      <w:marLeft w:val="0"/>
      <w:marRight w:val="0"/>
      <w:marTop w:val="0"/>
      <w:marBottom w:val="0"/>
      <w:divBdr>
        <w:top w:val="none" w:sz="0" w:space="0" w:color="auto"/>
        <w:left w:val="none" w:sz="0" w:space="0" w:color="auto"/>
        <w:bottom w:val="none" w:sz="0" w:space="0" w:color="auto"/>
        <w:right w:val="none" w:sz="0" w:space="0" w:color="auto"/>
      </w:divBdr>
    </w:div>
    <w:div w:id="1274677738">
      <w:bodyDiv w:val="1"/>
      <w:marLeft w:val="0"/>
      <w:marRight w:val="0"/>
      <w:marTop w:val="0"/>
      <w:marBottom w:val="0"/>
      <w:divBdr>
        <w:top w:val="none" w:sz="0" w:space="0" w:color="auto"/>
        <w:left w:val="none" w:sz="0" w:space="0" w:color="auto"/>
        <w:bottom w:val="none" w:sz="0" w:space="0" w:color="auto"/>
        <w:right w:val="none" w:sz="0" w:space="0" w:color="auto"/>
      </w:divBdr>
    </w:div>
    <w:div w:id="1308129010">
      <w:bodyDiv w:val="1"/>
      <w:marLeft w:val="0"/>
      <w:marRight w:val="0"/>
      <w:marTop w:val="0"/>
      <w:marBottom w:val="0"/>
      <w:divBdr>
        <w:top w:val="none" w:sz="0" w:space="0" w:color="auto"/>
        <w:left w:val="none" w:sz="0" w:space="0" w:color="auto"/>
        <w:bottom w:val="none" w:sz="0" w:space="0" w:color="auto"/>
        <w:right w:val="none" w:sz="0" w:space="0" w:color="auto"/>
      </w:divBdr>
    </w:div>
    <w:div w:id="1310986151">
      <w:bodyDiv w:val="1"/>
      <w:marLeft w:val="0"/>
      <w:marRight w:val="0"/>
      <w:marTop w:val="0"/>
      <w:marBottom w:val="0"/>
      <w:divBdr>
        <w:top w:val="none" w:sz="0" w:space="0" w:color="auto"/>
        <w:left w:val="none" w:sz="0" w:space="0" w:color="auto"/>
        <w:bottom w:val="none" w:sz="0" w:space="0" w:color="auto"/>
        <w:right w:val="none" w:sz="0" w:space="0" w:color="auto"/>
      </w:divBdr>
    </w:div>
    <w:div w:id="1316181951">
      <w:bodyDiv w:val="1"/>
      <w:marLeft w:val="0"/>
      <w:marRight w:val="0"/>
      <w:marTop w:val="0"/>
      <w:marBottom w:val="0"/>
      <w:divBdr>
        <w:top w:val="none" w:sz="0" w:space="0" w:color="auto"/>
        <w:left w:val="none" w:sz="0" w:space="0" w:color="auto"/>
        <w:bottom w:val="none" w:sz="0" w:space="0" w:color="auto"/>
        <w:right w:val="none" w:sz="0" w:space="0" w:color="auto"/>
      </w:divBdr>
    </w:div>
    <w:div w:id="1329752345">
      <w:bodyDiv w:val="1"/>
      <w:marLeft w:val="0"/>
      <w:marRight w:val="0"/>
      <w:marTop w:val="0"/>
      <w:marBottom w:val="0"/>
      <w:divBdr>
        <w:top w:val="none" w:sz="0" w:space="0" w:color="auto"/>
        <w:left w:val="none" w:sz="0" w:space="0" w:color="auto"/>
        <w:bottom w:val="none" w:sz="0" w:space="0" w:color="auto"/>
        <w:right w:val="none" w:sz="0" w:space="0" w:color="auto"/>
      </w:divBdr>
    </w:div>
    <w:div w:id="1355620069">
      <w:bodyDiv w:val="1"/>
      <w:marLeft w:val="0"/>
      <w:marRight w:val="0"/>
      <w:marTop w:val="0"/>
      <w:marBottom w:val="0"/>
      <w:divBdr>
        <w:top w:val="none" w:sz="0" w:space="0" w:color="auto"/>
        <w:left w:val="none" w:sz="0" w:space="0" w:color="auto"/>
        <w:bottom w:val="none" w:sz="0" w:space="0" w:color="auto"/>
        <w:right w:val="none" w:sz="0" w:space="0" w:color="auto"/>
      </w:divBdr>
    </w:div>
    <w:div w:id="1401949474">
      <w:bodyDiv w:val="1"/>
      <w:marLeft w:val="0"/>
      <w:marRight w:val="0"/>
      <w:marTop w:val="0"/>
      <w:marBottom w:val="0"/>
      <w:divBdr>
        <w:top w:val="none" w:sz="0" w:space="0" w:color="auto"/>
        <w:left w:val="none" w:sz="0" w:space="0" w:color="auto"/>
        <w:bottom w:val="none" w:sz="0" w:space="0" w:color="auto"/>
        <w:right w:val="none" w:sz="0" w:space="0" w:color="auto"/>
      </w:divBdr>
    </w:div>
    <w:div w:id="1418357641">
      <w:bodyDiv w:val="1"/>
      <w:marLeft w:val="0"/>
      <w:marRight w:val="0"/>
      <w:marTop w:val="0"/>
      <w:marBottom w:val="0"/>
      <w:divBdr>
        <w:top w:val="none" w:sz="0" w:space="0" w:color="auto"/>
        <w:left w:val="none" w:sz="0" w:space="0" w:color="auto"/>
        <w:bottom w:val="none" w:sz="0" w:space="0" w:color="auto"/>
        <w:right w:val="none" w:sz="0" w:space="0" w:color="auto"/>
      </w:divBdr>
    </w:div>
    <w:div w:id="1420911758">
      <w:bodyDiv w:val="1"/>
      <w:marLeft w:val="0"/>
      <w:marRight w:val="0"/>
      <w:marTop w:val="0"/>
      <w:marBottom w:val="0"/>
      <w:divBdr>
        <w:top w:val="none" w:sz="0" w:space="0" w:color="auto"/>
        <w:left w:val="none" w:sz="0" w:space="0" w:color="auto"/>
        <w:bottom w:val="none" w:sz="0" w:space="0" w:color="auto"/>
        <w:right w:val="none" w:sz="0" w:space="0" w:color="auto"/>
      </w:divBdr>
    </w:div>
    <w:div w:id="1477990259">
      <w:bodyDiv w:val="1"/>
      <w:marLeft w:val="0"/>
      <w:marRight w:val="0"/>
      <w:marTop w:val="0"/>
      <w:marBottom w:val="0"/>
      <w:divBdr>
        <w:top w:val="none" w:sz="0" w:space="0" w:color="auto"/>
        <w:left w:val="none" w:sz="0" w:space="0" w:color="auto"/>
        <w:bottom w:val="none" w:sz="0" w:space="0" w:color="auto"/>
        <w:right w:val="none" w:sz="0" w:space="0" w:color="auto"/>
      </w:divBdr>
    </w:div>
    <w:div w:id="1489131364">
      <w:bodyDiv w:val="1"/>
      <w:marLeft w:val="0"/>
      <w:marRight w:val="0"/>
      <w:marTop w:val="0"/>
      <w:marBottom w:val="0"/>
      <w:divBdr>
        <w:top w:val="none" w:sz="0" w:space="0" w:color="auto"/>
        <w:left w:val="none" w:sz="0" w:space="0" w:color="auto"/>
        <w:bottom w:val="none" w:sz="0" w:space="0" w:color="auto"/>
        <w:right w:val="none" w:sz="0" w:space="0" w:color="auto"/>
      </w:divBdr>
    </w:div>
    <w:div w:id="1544320604">
      <w:bodyDiv w:val="1"/>
      <w:marLeft w:val="0"/>
      <w:marRight w:val="0"/>
      <w:marTop w:val="0"/>
      <w:marBottom w:val="0"/>
      <w:divBdr>
        <w:top w:val="none" w:sz="0" w:space="0" w:color="auto"/>
        <w:left w:val="none" w:sz="0" w:space="0" w:color="auto"/>
        <w:bottom w:val="none" w:sz="0" w:space="0" w:color="auto"/>
        <w:right w:val="none" w:sz="0" w:space="0" w:color="auto"/>
      </w:divBdr>
    </w:div>
    <w:div w:id="1561601289">
      <w:bodyDiv w:val="1"/>
      <w:marLeft w:val="0"/>
      <w:marRight w:val="0"/>
      <w:marTop w:val="0"/>
      <w:marBottom w:val="0"/>
      <w:divBdr>
        <w:top w:val="none" w:sz="0" w:space="0" w:color="auto"/>
        <w:left w:val="none" w:sz="0" w:space="0" w:color="auto"/>
        <w:bottom w:val="none" w:sz="0" w:space="0" w:color="auto"/>
        <w:right w:val="none" w:sz="0" w:space="0" w:color="auto"/>
      </w:divBdr>
    </w:div>
    <w:div w:id="1582830360">
      <w:bodyDiv w:val="1"/>
      <w:marLeft w:val="0"/>
      <w:marRight w:val="0"/>
      <w:marTop w:val="0"/>
      <w:marBottom w:val="0"/>
      <w:divBdr>
        <w:top w:val="none" w:sz="0" w:space="0" w:color="auto"/>
        <w:left w:val="none" w:sz="0" w:space="0" w:color="auto"/>
        <w:bottom w:val="none" w:sz="0" w:space="0" w:color="auto"/>
        <w:right w:val="none" w:sz="0" w:space="0" w:color="auto"/>
      </w:divBdr>
    </w:div>
    <w:div w:id="1642803278">
      <w:bodyDiv w:val="1"/>
      <w:marLeft w:val="0"/>
      <w:marRight w:val="0"/>
      <w:marTop w:val="0"/>
      <w:marBottom w:val="0"/>
      <w:divBdr>
        <w:top w:val="none" w:sz="0" w:space="0" w:color="auto"/>
        <w:left w:val="none" w:sz="0" w:space="0" w:color="auto"/>
        <w:bottom w:val="none" w:sz="0" w:space="0" w:color="auto"/>
        <w:right w:val="none" w:sz="0" w:space="0" w:color="auto"/>
      </w:divBdr>
    </w:div>
    <w:div w:id="1646818809">
      <w:bodyDiv w:val="1"/>
      <w:marLeft w:val="0"/>
      <w:marRight w:val="0"/>
      <w:marTop w:val="0"/>
      <w:marBottom w:val="0"/>
      <w:divBdr>
        <w:top w:val="none" w:sz="0" w:space="0" w:color="auto"/>
        <w:left w:val="none" w:sz="0" w:space="0" w:color="auto"/>
        <w:bottom w:val="none" w:sz="0" w:space="0" w:color="auto"/>
        <w:right w:val="none" w:sz="0" w:space="0" w:color="auto"/>
      </w:divBdr>
    </w:div>
    <w:div w:id="1668747346">
      <w:bodyDiv w:val="1"/>
      <w:marLeft w:val="0"/>
      <w:marRight w:val="0"/>
      <w:marTop w:val="0"/>
      <w:marBottom w:val="0"/>
      <w:divBdr>
        <w:top w:val="none" w:sz="0" w:space="0" w:color="auto"/>
        <w:left w:val="none" w:sz="0" w:space="0" w:color="auto"/>
        <w:bottom w:val="none" w:sz="0" w:space="0" w:color="auto"/>
        <w:right w:val="none" w:sz="0" w:space="0" w:color="auto"/>
      </w:divBdr>
    </w:div>
    <w:div w:id="1683120931">
      <w:bodyDiv w:val="1"/>
      <w:marLeft w:val="0"/>
      <w:marRight w:val="0"/>
      <w:marTop w:val="0"/>
      <w:marBottom w:val="0"/>
      <w:divBdr>
        <w:top w:val="none" w:sz="0" w:space="0" w:color="auto"/>
        <w:left w:val="none" w:sz="0" w:space="0" w:color="auto"/>
        <w:bottom w:val="none" w:sz="0" w:space="0" w:color="auto"/>
        <w:right w:val="none" w:sz="0" w:space="0" w:color="auto"/>
      </w:divBdr>
    </w:div>
    <w:div w:id="1687517457">
      <w:bodyDiv w:val="1"/>
      <w:marLeft w:val="0"/>
      <w:marRight w:val="0"/>
      <w:marTop w:val="0"/>
      <w:marBottom w:val="0"/>
      <w:divBdr>
        <w:top w:val="none" w:sz="0" w:space="0" w:color="auto"/>
        <w:left w:val="none" w:sz="0" w:space="0" w:color="auto"/>
        <w:bottom w:val="none" w:sz="0" w:space="0" w:color="auto"/>
        <w:right w:val="none" w:sz="0" w:space="0" w:color="auto"/>
      </w:divBdr>
    </w:div>
    <w:div w:id="1702628986">
      <w:bodyDiv w:val="1"/>
      <w:marLeft w:val="0"/>
      <w:marRight w:val="0"/>
      <w:marTop w:val="0"/>
      <w:marBottom w:val="0"/>
      <w:divBdr>
        <w:top w:val="none" w:sz="0" w:space="0" w:color="auto"/>
        <w:left w:val="none" w:sz="0" w:space="0" w:color="auto"/>
        <w:bottom w:val="none" w:sz="0" w:space="0" w:color="auto"/>
        <w:right w:val="none" w:sz="0" w:space="0" w:color="auto"/>
      </w:divBdr>
    </w:div>
    <w:div w:id="1718698376">
      <w:bodyDiv w:val="1"/>
      <w:marLeft w:val="0"/>
      <w:marRight w:val="0"/>
      <w:marTop w:val="0"/>
      <w:marBottom w:val="0"/>
      <w:divBdr>
        <w:top w:val="none" w:sz="0" w:space="0" w:color="auto"/>
        <w:left w:val="none" w:sz="0" w:space="0" w:color="auto"/>
        <w:bottom w:val="none" w:sz="0" w:space="0" w:color="auto"/>
        <w:right w:val="none" w:sz="0" w:space="0" w:color="auto"/>
      </w:divBdr>
    </w:div>
    <w:div w:id="1720549246">
      <w:bodyDiv w:val="1"/>
      <w:marLeft w:val="0"/>
      <w:marRight w:val="0"/>
      <w:marTop w:val="0"/>
      <w:marBottom w:val="0"/>
      <w:divBdr>
        <w:top w:val="none" w:sz="0" w:space="0" w:color="auto"/>
        <w:left w:val="none" w:sz="0" w:space="0" w:color="auto"/>
        <w:bottom w:val="none" w:sz="0" w:space="0" w:color="auto"/>
        <w:right w:val="none" w:sz="0" w:space="0" w:color="auto"/>
      </w:divBdr>
    </w:div>
    <w:div w:id="1743332051">
      <w:bodyDiv w:val="1"/>
      <w:marLeft w:val="0"/>
      <w:marRight w:val="0"/>
      <w:marTop w:val="0"/>
      <w:marBottom w:val="0"/>
      <w:divBdr>
        <w:top w:val="none" w:sz="0" w:space="0" w:color="auto"/>
        <w:left w:val="none" w:sz="0" w:space="0" w:color="auto"/>
        <w:bottom w:val="none" w:sz="0" w:space="0" w:color="auto"/>
        <w:right w:val="none" w:sz="0" w:space="0" w:color="auto"/>
      </w:divBdr>
    </w:div>
    <w:div w:id="1748963248">
      <w:bodyDiv w:val="1"/>
      <w:marLeft w:val="0"/>
      <w:marRight w:val="0"/>
      <w:marTop w:val="0"/>
      <w:marBottom w:val="0"/>
      <w:divBdr>
        <w:top w:val="none" w:sz="0" w:space="0" w:color="auto"/>
        <w:left w:val="none" w:sz="0" w:space="0" w:color="auto"/>
        <w:bottom w:val="none" w:sz="0" w:space="0" w:color="auto"/>
        <w:right w:val="none" w:sz="0" w:space="0" w:color="auto"/>
      </w:divBdr>
    </w:div>
    <w:div w:id="1755780506">
      <w:bodyDiv w:val="1"/>
      <w:marLeft w:val="0"/>
      <w:marRight w:val="0"/>
      <w:marTop w:val="0"/>
      <w:marBottom w:val="0"/>
      <w:divBdr>
        <w:top w:val="none" w:sz="0" w:space="0" w:color="auto"/>
        <w:left w:val="none" w:sz="0" w:space="0" w:color="auto"/>
        <w:bottom w:val="none" w:sz="0" w:space="0" w:color="auto"/>
        <w:right w:val="none" w:sz="0" w:space="0" w:color="auto"/>
      </w:divBdr>
    </w:div>
    <w:div w:id="1771271407">
      <w:bodyDiv w:val="1"/>
      <w:marLeft w:val="0"/>
      <w:marRight w:val="0"/>
      <w:marTop w:val="0"/>
      <w:marBottom w:val="0"/>
      <w:divBdr>
        <w:top w:val="none" w:sz="0" w:space="0" w:color="auto"/>
        <w:left w:val="none" w:sz="0" w:space="0" w:color="auto"/>
        <w:bottom w:val="none" w:sz="0" w:space="0" w:color="auto"/>
        <w:right w:val="none" w:sz="0" w:space="0" w:color="auto"/>
      </w:divBdr>
    </w:div>
    <w:div w:id="1773478604">
      <w:bodyDiv w:val="1"/>
      <w:marLeft w:val="0"/>
      <w:marRight w:val="0"/>
      <w:marTop w:val="0"/>
      <w:marBottom w:val="0"/>
      <w:divBdr>
        <w:top w:val="none" w:sz="0" w:space="0" w:color="auto"/>
        <w:left w:val="none" w:sz="0" w:space="0" w:color="auto"/>
        <w:bottom w:val="none" w:sz="0" w:space="0" w:color="auto"/>
        <w:right w:val="none" w:sz="0" w:space="0" w:color="auto"/>
      </w:divBdr>
    </w:div>
    <w:div w:id="1779182401">
      <w:bodyDiv w:val="1"/>
      <w:marLeft w:val="0"/>
      <w:marRight w:val="0"/>
      <w:marTop w:val="0"/>
      <w:marBottom w:val="0"/>
      <w:divBdr>
        <w:top w:val="none" w:sz="0" w:space="0" w:color="auto"/>
        <w:left w:val="none" w:sz="0" w:space="0" w:color="auto"/>
        <w:bottom w:val="none" w:sz="0" w:space="0" w:color="auto"/>
        <w:right w:val="none" w:sz="0" w:space="0" w:color="auto"/>
      </w:divBdr>
    </w:div>
    <w:div w:id="1860729644">
      <w:bodyDiv w:val="1"/>
      <w:marLeft w:val="0"/>
      <w:marRight w:val="0"/>
      <w:marTop w:val="0"/>
      <w:marBottom w:val="0"/>
      <w:divBdr>
        <w:top w:val="none" w:sz="0" w:space="0" w:color="auto"/>
        <w:left w:val="none" w:sz="0" w:space="0" w:color="auto"/>
        <w:bottom w:val="none" w:sz="0" w:space="0" w:color="auto"/>
        <w:right w:val="none" w:sz="0" w:space="0" w:color="auto"/>
      </w:divBdr>
    </w:div>
    <w:div w:id="1883319536">
      <w:bodyDiv w:val="1"/>
      <w:marLeft w:val="0"/>
      <w:marRight w:val="0"/>
      <w:marTop w:val="0"/>
      <w:marBottom w:val="0"/>
      <w:divBdr>
        <w:top w:val="none" w:sz="0" w:space="0" w:color="auto"/>
        <w:left w:val="none" w:sz="0" w:space="0" w:color="auto"/>
        <w:bottom w:val="none" w:sz="0" w:space="0" w:color="auto"/>
        <w:right w:val="none" w:sz="0" w:space="0" w:color="auto"/>
      </w:divBdr>
    </w:div>
    <w:div w:id="1889031383">
      <w:bodyDiv w:val="1"/>
      <w:marLeft w:val="0"/>
      <w:marRight w:val="0"/>
      <w:marTop w:val="0"/>
      <w:marBottom w:val="0"/>
      <w:divBdr>
        <w:top w:val="none" w:sz="0" w:space="0" w:color="auto"/>
        <w:left w:val="none" w:sz="0" w:space="0" w:color="auto"/>
        <w:bottom w:val="none" w:sz="0" w:space="0" w:color="auto"/>
        <w:right w:val="none" w:sz="0" w:space="0" w:color="auto"/>
      </w:divBdr>
    </w:div>
    <w:div w:id="1896164256">
      <w:bodyDiv w:val="1"/>
      <w:marLeft w:val="0"/>
      <w:marRight w:val="0"/>
      <w:marTop w:val="0"/>
      <w:marBottom w:val="0"/>
      <w:divBdr>
        <w:top w:val="none" w:sz="0" w:space="0" w:color="auto"/>
        <w:left w:val="none" w:sz="0" w:space="0" w:color="auto"/>
        <w:bottom w:val="none" w:sz="0" w:space="0" w:color="auto"/>
        <w:right w:val="none" w:sz="0" w:space="0" w:color="auto"/>
      </w:divBdr>
    </w:div>
    <w:div w:id="1931809702">
      <w:bodyDiv w:val="1"/>
      <w:marLeft w:val="0"/>
      <w:marRight w:val="0"/>
      <w:marTop w:val="0"/>
      <w:marBottom w:val="0"/>
      <w:divBdr>
        <w:top w:val="none" w:sz="0" w:space="0" w:color="auto"/>
        <w:left w:val="none" w:sz="0" w:space="0" w:color="auto"/>
        <w:bottom w:val="none" w:sz="0" w:space="0" w:color="auto"/>
        <w:right w:val="none" w:sz="0" w:space="0" w:color="auto"/>
      </w:divBdr>
    </w:div>
    <w:div w:id="1986273202">
      <w:bodyDiv w:val="1"/>
      <w:marLeft w:val="0"/>
      <w:marRight w:val="0"/>
      <w:marTop w:val="0"/>
      <w:marBottom w:val="0"/>
      <w:divBdr>
        <w:top w:val="none" w:sz="0" w:space="0" w:color="auto"/>
        <w:left w:val="none" w:sz="0" w:space="0" w:color="auto"/>
        <w:bottom w:val="none" w:sz="0" w:space="0" w:color="auto"/>
        <w:right w:val="none" w:sz="0" w:space="0" w:color="auto"/>
      </w:divBdr>
    </w:div>
    <w:div w:id="2003661510">
      <w:bodyDiv w:val="1"/>
      <w:marLeft w:val="0"/>
      <w:marRight w:val="0"/>
      <w:marTop w:val="0"/>
      <w:marBottom w:val="0"/>
      <w:divBdr>
        <w:top w:val="none" w:sz="0" w:space="0" w:color="auto"/>
        <w:left w:val="none" w:sz="0" w:space="0" w:color="auto"/>
        <w:bottom w:val="none" w:sz="0" w:space="0" w:color="auto"/>
        <w:right w:val="none" w:sz="0" w:space="0" w:color="auto"/>
      </w:divBdr>
    </w:div>
    <w:div w:id="2016104024">
      <w:bodyDiv w:val="1"/>
      <w:marLeft w:val="0"/>
      <w:marRight w:val="0"/>
      <w:marTop w:val="0"/>
      <w:marBottom w:val="0"/>
      <w:divBdr>
        <w:top w:val="none" w:sz="0" w:space="0" w:color="auto"/>
        <w:left w:val="none" w:sz="0" w:space="0" w:color="auto"/>
        <w:bottom w:val="none" w:sz="0" w:space="0" w:color="auto"/>
        <w:right w:val="none" w:sz="0" w:space="0" w:color="auto"/>
      </w:divBdr>
    </w:div>
    <w:div w:id="2016416937">
      <w:bodyDiv w:val="1"/>
      <w:marLeft w:val="0"/>
      <w:marRight w:val="0"/>
      <w:marTop w:val="0"/>
      <w:marBottom w:val="0"/>
      <w:divBdr>
        <w:top w:val="none" w:sz="0" w:space="0" w:color="auto"/>
        <w:left w:val="none" w:sz="0" w:space="0" w:color="auto"/>
        <w:bottom w:val="none" w:sz="0" w:space="0" w:color="auto"/>
        <w:right w:val="none" w:sz="0" w:space="0" w:color="auto"/>
      </w:divBdr>
    </w:div>
    <w:div w:id="2024816612">
      <w:bodyDiv w:val="1"/>
      <w:marLeft w:val="0"/>
      <w:marRight w:val="0"/>
      <w:marTop w:val="0"/>
      <w:marBottom w:val="0"/>
      <w:divBdr>
        <w:top w:val="none" w:sz="0" w:space="0" w:color="auto"/>
        <w:left w:val="none" w:sz="0" w:space="0" w:color="auto"/>
        <w:bottom w:val="none" w:sz="0" w:space="0" w:color="auto"/>
        <w:right w:val="none" w:sz="0" w:space="0" w:color="auto"/>
      </w:divBdr>
    </w:div>
    <w:div w:id="2033798191">
      <w:bodyDiv w:val="1"/>
      <w:marLeft w:val="0"/>
      <w:marRight w:val="0"/>
      <w:marTop w:val="0"/>
      <w:marBottom w:val="0"/>
      <w:divBdr>
        <w:top w:val="none" w:sz="0" w:space="0" w:color="auto"/>
        <w:left w:val="none" w:sz="0" w:space="0" w:color="auto"/>
        <w:bottom w:val="none" w:sz="0" w:space="0" w:color="auto"/>
        <w:right w:val="none" w:sz="0" w:space="0" w:color="auto"/>
      </w:divBdr>
    </w:div>
    <w:div w:id="2046558422">
      <w:bodyDiv w:val="1"/>
      <w:marLeft w:val="0"/>
      <w:marRight w:val="0"/>
      <w:marTop w:val="0"/>
      <w:marBottom w:val="0"/>
      <w:divBdr>
        <w:top w:val="none" w:sz="0" w:space="0" w:color="auto"/>
        <w:left w:val="none" w:sz="0" w:space="0" w:color="auto"/>
        <w:bottom w:val="none" w:sz="0" w:space="0" w:color="auto"/>
        <w:right w:val="none" w:sz="0" w:space="0" w:color="auto"/>
      </w:divBdr>
    </w:div>
    <w:div w:id="2050914707">
      <w:bodyDiv w:val="1"/>
      <w:marLeft w:val="0"/>
      <w:marRight w:val="0"/>
      <w:marTop w:val="0"/>
      <w:marBottom w:val="0"/>
      <w:divBdr>
        <w:top w:val="none" w:sz="0" w:space="0" w:color="auto"/>
        <w:left w:val="none" w:sz="0" w:space="0" w:color="auto"/>
        <w:bottom w:val="none" w:sz="0" w:space="0" w:color="auto"/>
        <w:right w:val="none" w:sz="0" w:space="0" w:color="auto"/>
      </w:divBdr>
    </w:div>
    <w:div w:id="2056542608">
      <w:bodyDiv w:val="1"/>
      <w:marLeft w:val="0"/>
      <w:marRight w:val="0"/>
      <w:marTop w:val="0"/>
      <w:marBottom w:val="0"/>
      <w:divBdr>
        <w:top w:val="none" w:sz="0" w:space="0" w:color="auto"/>
        <w:left w:val="none" w:sz="0" w:space="0" w:color="auto"/>
        <w:bottom w:val="none" w:sz="0" w:space="0" w:color="auto"/>
        <w:right w:val="none" w:sz="0" w:space="0" w:color="auto"/>
      </w:divBdr>
    </w:div>
    <w:div w:id="2060737255">
      <w:bodyDiv w:val="1"/>
      <w:marLeft w:val="0"/>
      <w:marRight w:val="0"/>
      <w:marTop w:val="0"/>
      <w:marBottom w:val="0"/>
      <w:divBdr>
        <w:top w:val="none" w:sz="0" w:space="0" w:color="auto"/>
        <w:left w:val="none" w:sz="0" w:space="0" w:color="auto"/>
        <w:bottom w:val="none" w:sz="0" w:space="0" w:color="auto"/>
        <w:right w:val="none" w:sz="0" w:space="0" w:color="auto"/>
      </w:divBdr>
    </w:div>
    <w:div w:id="2098138582">
      <w:bodyDiv w:val="1"/>
      <w:marLeft w:val="0"/>
      <w:marRight w:val="0"/>
      <w:marTop w:val="0"/>
      <w:marBottom w:val="0"/>
      <w:divBdr>
        <w:top w:val="none" w:sz="0" w:space="0" w:color="auto"/>
        <w:left w:val="none" w:sz="0" w:space="0" w:color="auto"/>
        <w:bottom w:val="none" w:sz="0" w:space="0" w:color="auto"/>
        <w:right w:val="none" w:sz="0" w:space="0" w:color="auto"/>
      </w:divBdr>
    </w:div>
    <w:div w:id="2102792515">
      <w:bodyDiv w:val="1"/>
      <w:marLeft w:val="0"/>
      <w:marRight w:val="0"/>
      <w:marTop w:val="0"/>
      <w:marBottom w:val="0"/>
      <w:divBdr>
        <w:top w:val="none" w:sz="0" w:space="0" w:color="auto"/>
        <w:left w:val="none" w:sz="0" w:space="0" w:color="auto"/>
        <w:bottom w:val="none" w:sz="0" w:space="0" w:color="auto"/>
        <w:right w:val="none" w:sz="0" w:space="0" w:color="auto"/>
      </w:divBdr>
    </w:div>
    <w:div w:id="21194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90.xml"/><Relationship Id="rId21" Type="http://schemas.openxmlformats.org/officeDocument/2006/relationships/chart" Target="charts/chart11.xml"/><Relationship Id="rId42" Type="http://schemas.openxmlformats.org/officeDocument/2006/relationships/chart" Target="charts/chart29.xml"/><Relationship Id="rId63" Type="http://schemas.openxmlformats.org/officeDocument/2006/relationships/chart" Target="charts/chart47.xml"/><Relationship Id="rId84" Type="http://schemas.openxmlformats.org/officeDocument/2006/relationships/chart" Target="charts/chart64.xml"/><Relationship Id="rId138" Type="http://schemas.openxmlformats.org/officeDocument/2006/relationships/chart" Target="charts/chart109.xml"/><Relationship Id="rId159" Type="http://schemas.openxmlformats.org/officeDocument/2006/relationships/chart" Target="charts/chart130.xml"/><Relationship Id="rId170" Type="http://schemas.openxmlformats.org/officeDocument/2006/relationships/chart" Target="charts/chart141.xml"/><Relationship Id="rId191" Type="http://schemas.openxmlformats.org/officeDocument/2006/relationships/chart" Target="charts/chart162.xml"/><Relationship Id="rId205" Type="http://schemas.openxmlformats.org/officeDocument/2006/relationships/theme" Target="theme/theme1.xml"/><Relationship Id="rId107" Type="http://schemas.openxmlformats.org/officeDocument/2006/relationships/image" Target="media/image8.png"/><Relationship Id="rId11" Type="http://schemas.openxmlformats.org/officeDocument/2006/relationships/chart" Target="charts/chart3.xml"/><Relationship Id="rId32" Type="http://schemas.openxmlformats.org/officeDocument/2006/relationships/chart" Target="charts/chart22.xml"/><Relationship Id="rId53" Type="http://schemas.openxmlformats.org/officeDocument/2006/relationships/chart" Target="charts/chart38.xml"/><Relationship Id="rId74" Type="http://schemas.openxmlformats.org/officeDocument/2006/relationships/chart" Target="charts/chart56.xml"/><Relationship Id="rId128" Type="http://schemas.openxmlformats.org/officeDocument/2006/relationships/chart" Target="charts/chart100.xml"/><Relationship Id="rId149" Type="http://schemas.openxmlformats.org/officeDocument/2006/relationships/chart" Target="charts/chart120.xml"/><Relationship Id="rId5" Type="http://schemas.openxmlformats.org/officeDocument/2006/relationships/webSettings" Target="webSettings.xml"/><Relationship Id="rId95" Type="http://schemas.openxmlformats.org/officeDocument/2006/relationships/chart" Target="charts/chart75.xml"/><Relationship Id="rId160" Type="http://schemas.openxmlformats.org/officeDocument/2006/relationships/chart" Target="charts/chart131.xml"/><Relationship Id="rId181" Type="http://schemas.openxmlformats.org/officeDocument/2006/relationships/chart" Target="charts/chart152.xml"/><Relationship Id="rId22" Type="http://schemas.openxmlformats.org/officeDocument/2006/relationships/chart" Target="charts/chart12.xml"/><Relationship Id="rId43" Type="http://schemas.openxmlformats.org/officeDocument/2006/relationships/chart" Target="charts/chart30.xml"/><Relationship Id="rId64" Type="http://schemas.microsoft.com/office/2014/relationships/chartEx" Target="charts/chartEx2.xml"/><Relationship Id="rId118" Type="http://schemas.openxmlformats.org/officeDocument/2006/relationships/chart" Target="charts/chart91.xml"/><Relationship Id="rId139" Type="http://schemas.openxmlformats.org/officeDocument/2006/relationships/chart" Target="charts/chart110.xml"/><Relationship Id="rId85" Type="http://schemas.openxmlformats.org/officeDocument/2006/relationships/chart" Target="charts/chart65.xml"/><Relationship Id="rId150" Type="http://schemas.openxmlformats.org/officeDocument/2006/relationships/chart" Target="charts/chart121.xml"/><Relationship Id="rId171" Type="http://schemas.openxmlformats.org/officeDocument/2006/relationships/chart" Target="charts/chart142.xml"/><Relationship Id="rId192" Type="http://schemas.openxmlformats.org/officeDocument/2006/relationships/chart" Target="charts/chart163.xml"/><Relationship Id="rId12" Type="http://schemas.openxmlformats.org/officeDocument/2006/relationships/chart" Target="charts/chart4.xml"/><Relationship Id="rId33" Type="http://schemas.openxmlformats.org/officeDocument/2006/relationships/chart" Target="charts/chart23.xml"/><Relationship Id="rId108" Type="http://schemas.openxmlformats.org/officeDocument/2006/relationships/image" Target="media/image9.jpeg"/><Relationship Id="rId129" Type="http://schemas.openxmlformats.org/officeDocument/2006/relationships/chart" Target="charts/chart101.xml"/><Relationship Id="rId54" Type="http://schemas.openxmlformats.org/officeDocument/2006/relationships/chart" Target="charts/chart39.xml"/><Relationship Id="rId75" Type="http://schemas.openxmlformats.org/officeDocument/2006/relationships/chart" Target="charts/chart57.xml"/><Relationship Id="rId96" Type="http://schemas.openxmlformats.org/officeDocument/2006/relationships/chart" Target="charts/chart76.xml"/><Relationship Id="rId140" Type="http://schemas.openxmlformats.org/officeDocument/2006/relationships/chart" Target="charts/chart111.xml"/><Relationship Id="rId161" Type="http://schemas.openxmlformats.org/officeDocument/2006/relationships/chart" Target="charts/chart132.xml"/><Relationship Id="rId182" Type="http://schemas.openxmlformats.org/officeDocument/2006/relationships/chart" Target="charts/chart153.xml"/><Relationship Id="rId6" Type="http://schemas.openxmlformats.org/officeDocument/2006/relationships/footnotes" Target="footnotes.xml"/><Relationship Id="rId23" Type="http://schemas.openxmlformats.org/officeDocument/2006/relationships/chart" Target="charts/chart13.xml"/><Relationship Id="rId119" Type="http://schemas.openxmlformats.org/officeDocument/2006/relationships/chart" Target="charts/chart92.xml"/><Relationship Id="rId44" Type="http://schemas.openxmlformats.org/officeDocument/2006/relationships/hyperlink" Target="https://www.lvpeak.lu.lv/latvijas-produktivitates-padome/latvijas-produktivitates-zinojums/" TargetMode="External"/><Relationship Id="rId65" Type="http://schemas.openxmlformats.org/officeDocument/2006/relationships/image" Target="media/image2.png"/><Relationship Id="rId86" Type="http://schemas.openxmlformats.org/officeDocument/2006/relationships/chart" Target="charts/chart66.xml"/><Relationship Id="rId130" Type="http://schemas.openxmlformats.org/officeDocument/2006/relationships/chart" Target="charts/chart102.xml"/><Relationship Id="rId151" Type="http://schemas.openxmlformats.org/officeDocument/2006/relationships/chart" Target="charts/chart122.xml"/><Relationship Id="rId172" Type="http://schemas.openxmlformats.org/officeDocument/2006/relationships/chart" Target="charts/chart143.xml"/><Relationship Id="rId193" Type="http://schemas.openxmlformats.org/officeDocument/2006/relationships/chart" Target="charts/chart164.xml"/><Relationship Id="rId13" Type="http://schemas.microsoft.com/office/2014/relationships/chartEx" Target="charts/chartEx1.xml"/><Relationship Id="rId109" Type="http://schemas.openxmlformats.org/officeDocument/2006/relationships/chart" Target="charts/chart82.xml"/><Relationship Id="rId34" Type="http://schemas.openxmlformats.org/officeDocument/2006/relationships/chart" Target="charts/chart24.xml"/><Relationship Id="rId55" Type="http://schemas.openxmlformats.org/officeDocument/2006/relationships/chart" Target="charts/chart40.xml"/><Relationship Id="rId76" Type="http://schemas.openxmlformats.org/officeDocument/2006/relationships/chart" Target="charts/chart58.xml"/><Relationship Id="rId97" Type="http://schemas.openxmlformats.org/officeDocument/2006/relationships/chart" Target="charts/chart77.xml"/><Relationship Id="rId120" Type="http://schemas.openxmlformats.org/officeDocument/2006/relationships/chart" Target="charts/chart93.xml"/><Relationship Id="rId141" Type="http://schemas.openxmlformats.org/officeDocument/2006/relationships/chart" Target="charts/chart112.xml"/><Relationship Id="rId7" Type="http://schemas.openxmlformats.org/officeDocument/2006/relationships/endnotes" Target="endnotes.xml"/><Relationship Id="rId162" Type="http://schemas.openxmlformats.org/officeDocument/2006/relationships/chart" Target="charts/chart133.xml"/><Relationship Id="rId183" Type="http://schemas.openxmlformats.org/officeDocument/2006/relationships/chart" Target="charts/chart154.xml"/><Relationship Id="rId24" Type="http://schemas.openxmlformats.org/officeDocument/2006/relationships/chart" Target="charts/chart14.xml"/><Relationship Id="rId40" Type="http://schemas.openxmlformats.org/officeDocument/2006/relationships/chart" Target="charts/chart30.xml"/><Relationship Id="rId45" Type="http://schemas.openxmlformats.org/officeDocument/2006/relationships/chart" Target="charts/chart31.xml"/><Relationship Id="rId66" Type="http://schemas.openxmlformats.org/officeDocument/2006/relationships/chart" Target="charts/chart48.xml"/><Relationship Id="rId87" Type="http://schemas.openxmlformats.org/officeDocument/2006/relationships/chart" Target="charts/chart67.xml"/><Relationship Id="rId110" Type="http://schemas.openxmlformats.org/officeDocument/2006/relationships/chart" Target="charts/chart83.xml"/><Relationship Id="rId115" Type="http://schemas.openxmlformats.org/officeDocument/2006/relationships/chart" Target="charts/chart88.xml"/><Relationship Id="rId131" Type="http://schemas.openxmlformats.org/officeDocument/2006/relationships/image" Target="media/image10.png"/><Relationship Id="rId136" Type="http://schemas.openxmlformats.org/officeDocument/2006/relationships/chart" Target="charts/chart107.xml"/><Relationship Id="rId157" Type="http://schemas.openxmlformats.org/officeDocument/2006/relationships/chart" Target="charts/chart128.xml"/><Relationship Id="rId178" Type="http://schemas.openxmlformats.org/officeDocument/2006/relationships/chart" Target="charts/chart149.xml"/><Relationship Id="rId61" Type="http://schemas.openxmlformats.org/officeDocument/2006/relationships/chart" Target="charts/chart45.xml"/><Relationship Id="rId82" Type="http://schemas.openxmlformats.org/officeDocument/2006/relationships/chart" Target="charts/chart62.xml"/><Relationship Id="rId152" Type="http://schemas.openxmlformats.org/officeDocument/2006/relationships/chart" Target="charts/chart123.xml"/><Relationship Id="rId173" Type="http://schemas.openxmlformats.org/officeDocument/2006/relationships/chart" Target="charts/chart144.xml"/><Relationship Id="rId194" Type="http://schemas.openxmlformats.org/officeDocument/2006/relationships/chart" Target="charts/chart165.xml"/><Relationship Id="rId199" Type="http://schemas.openxmlformats.org/officeDocument/2006/relationships/image" Target="media/image11.png"/><Relationship Id="rId203" Type="http://schemas.openxmlformats.org/officeDocument/2006/relationships/footer" Target="footer2.xml"/><Relationship Id="rId19" Type="http://schemas.openxmlformats.org/officeDocument/2006/relationships/chart" Target="charts/chart9.xml"/><Relationship Id="rId14" Type="http://schemas.openxmlformats.org/officeDocument/2006/relationships/image" Target="media/image1.png"/><Relationship Id="rId30" Type="http://schemas.openxmlformats.org/officeDocument/2006/relationships/chart" Target="charts/chart20.xml"/><Relationship Id="rId35" Type="http://schemas.openxmlformats.org/officeDocument/2006/relationships/chart" Target="charts/chart25.xml"/><Relationship Id="rId56" Type="http://schemas.openxmlformats.org/officeDocument/2006/relationships/chart" Target="charts/chart41.xml"/><Relationship Id="rId77" Type="http://schemas.openxmlformats.org/officeDocument/2006/relationships/chart" Target="charts/chart59.xml"/><Relationship Id="rId100" Type="http://schemas.openxmlformats.org/officeDocument/2006/relationships/chart" Target="charts/chart80.xml"/><Relationship Id="rId105" Type="http://schemas.openxmlformats.org/officeDocument/2006/relationships/image" Target="media/image6.png"/><Relationship Id="rId126" Type="http://schemas.openxmlformats.org/officeDocument/2006/relationships/chart" Target="charts/chart98.xml"/><Relationship Id="rId147" Type="http://schemas.openxmlformats.org/officeDocument/2006/relationships/chart" Target="charts/chart118.xml"/><Relationship Id="rId168" Type="http://schemas.openxmlformats.org/officeDocument/2006/relationships/chart" Target="charts/chart139.xml"/><Relationship Id="rId8" Type="http://schemas.openxmlformats.org/officeDocument/2006/relationships/hyperlink" Target="https://prognozes.em.gov.lv" TargetMode="External"/><Relationship Id="rId51" Type="http://schemas.openxmlformats.org/officeDocument/2006/relationships/chart" Target="charts/chart36.xml"/><Relationship Id="rId72" Type="http://schemas.openxmlformats.org/officeDocument/2006/relationships/chart" Target="charts/chart54.xml"/><Relationship Id="rId93" Type="http://schemas.openxmlformats.org/officeDocument/2006/relationships/chart" Target="charts/chart73.xml"/><Relationship Id="rId98" Type="http://schemas.openxmlformats.org/officeDocument/2006/relationships/chart" Target="charts/chart78.xml"/><Relationship Id="rId121" Type="http://schemas.openxmlformats.org/officeDocument/2006/relationships/chart" Target="charts/chart94.xml"/><Relationship Id="rId142" Type="http://schemas.openxmlformats.org/officeDocument/2006/relationships/chart" Target="charts/chart113.xml"/><Relationship Id="rId163" Type="http://schemas.openxmlformats.org/officeDocument/2006/relationships/chart" Target="charts/chart134.xml"/><Relationship Id="rId184" Type="http://schemas.openxmlformats.org/officeDocument/2006/relationships/chart" Target="charts/chart155.xml"/><Relationship Id="rId189" Type="http://schemas.openxmlformats.org/officeDocument/2006/relationships/chart" Target="charts/chart160.xml"/><Relationship Id="rId3" Type="http://schemas.openxmlformats.org/officeDocument/2006/relationships/styles" Target="styles.xml"/><Relationship Id="rId25" Type="http://schemas.openxmlformats.org/officeDocument/2006/relationships/chart" Target="charts/chart15.xml"/><Relationship Id="rId46" Type="http://schemas.openxmlformats.org/officeDocument/2006/relationships/hyperlink" Target="https://www.lvpeak.lu.lv/latvijas-produktivitates-padome/latvijas-produktivitates-zinojums/" TargetMode="External"/><Relationship Id="rId67" Type="http://schemas.openxmlformats.org/officeDocument/2006/relationships/chart" Target="charts/chart49.xml"/><Relationship Id="rId116" Type="http://schemas.openxmlformats.org/officeDocument/2006/relationships/chart" Target="charts/chart89.xml"/><Relationship Id="rId137" Type="http://schemas.openxmlformats.org/officeDocument/2006/relationships/chart" Target="charts/chart108.xml"/><Relationship Id="rId158" Type="http://schemas.openxmlformats.org/officeDocument/2006/relationships/chart" Target="charts/chart129.xml"/><Relationship Id="rId20" Type="http://schemas.openxmlformats.org/officeDocument/2006/relationships/chart" Target="charts/chart10.xml"/><Relationship Id="rId41" Type="http://schemas.openxmlformats.org/officeDocument/2006/relationships/chart" Target="charts/chart28.xml"/><Relationship Id="rId62" Type="http://schemas.openxmlformats.org/officeDocument/2006/relationships/chart" Target="charts/chart46.xml"/><Relationship Id="rId83" Type="http://schemas.openxmlformats.org/officeDocument/2006/relationships/chart" Target="charts/chart63.xml"/><Relationship Id="rId88" Type="http://schemas.openxmlformats.org/officeDocument/2006/relationships/chart" Target="charts/chart68.xml"/><Relationship Id="rId111" Type="http://schemas.openxmlformats.org/officeDocument/2006/relationships/chart" Target="charts/chart84.xml"/><Relationship Id="rId132" Type="http://schemas.openxmlformats.org/officeDocument/2006/relationships/chart" Target="charts/chart103.xml"/><Relationship Id="rId153" Type="http://schemas.openxmlformats.org/officeDocument/2006/relationships/chart" Target="charts/chart124.xml"/><Relationship Id="rId174" Type="http://schemas.openxmlformats.org/officeDocument/2006/relationships/chart" Target="charts/chart145.xml"/><Relationship Id="rId179" Type="http://schemas.openxmlformats.org/officeDocument/2006/relationships/chart" Target="charts/chart150.xml"/><Relationship Id="rId195" Type="http://schemas.openxmlformats.org/officeDocument/2006/relationships/chart" Target="charts/chart166.xml"/><Relationship Id="rId190" Type="http://schemas.openxmlformats.org/officeDocument/2006/relationships/chart" Target="charts/chart161.xml"/><Relationship Id="rId204" Type="http://schemas.openxmlformats.org/officeDocument/2006/relationships/fontTable" Target="fontTable.xml"/><Relationship Id="rId15" Type="http://schemas.openxmlformats.org/officeDocument/2006/relationships/chart" Target="charts/chart5.xml"/><Relationship Id="rId36" Type="http://schemas.openxmlformats.org/officeDocument/2006/relationships/chart" Target="charts/chart26.xml"/><Relationship Id="rId57" Type="http://schemas.openxmlformats.org/officeDocument/2006/relationships/hyperlink" Target="https://skillspanorama.cedefop.europa.eu/en/skills-themes/future-jobs" TargetMode="External"/><Relationship Id="rId106" Type="http://schemas.openxmlformats.org/officeDocument/2006/relationships/image" Target="media/image7.jpeg"/><Relationship Id="rId127" Type="http://schemas.openxmlformats.org/officeDocument/2006/relationships/chart" Target="charts/chart99.xml"/><Relationship Id="rId10" Type="http://schemas.openxmlformats.org/officeDocument/2006/relationships/chart" Target="charts/chart2.xml"/><Relationship Id="rId31" Type="http://schemas.openxmlformats.org/officeDocument/2006/relationships/chart" Target="charts/chart21.xml"/><Relationship Id="rId52" Type="http://schemas.openxmlformats.org/officeDocument/2006/relationships/chart" Target="charts/chart37.xml"/><Relationship Id="rId73" Type="http://schemas.openxmlformats.org/officeDocument/2006/relationships/chart" Target="charts/chart55.xml"/><Relationship Id="rId78" Type="http://schemas.openxmlformats.org/officeDocument/2006/relationships/chart" Target="charts/chart60.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122" Type="http://schemas.openxmlformats.org/officeDocument/2006/relationships/hyperlink" Target="https://www.cedefop.europa.eu/en/tools/skills-intelligence/automation-risk-occupations" TargetMode="External"/><Relationship Id="rId143" Type="http://schemas.openxmlformats.org/officeDocument/2006/relationships/chart" Target="charts/chart114.xml"/><Relationship Id="rId148" Type="http://schemas.openxmlformats.org/officeDocument/2006/relationships/chart" Target="charts/chart119.xml"/><Relationship Id="rId164" Type="http://schemas.openxmlformats.org/officeDocument/2006/relationships/chart" Target="charts/chart135.xml"/><Relationship Id="rId169" Type="http://schemas.openxmlformats.org/officeDocument/2006/relationships/chart" Target="charts/chart140.xml"/><Relationship Id="rId185" Type="http://schemas.openxmlformats.org/officeDocument/2006/relationships/chart" Target="charts/chart156.xml"/><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chart" Target="charts/chart151.xml"/><Relationship Id="rId26" Type="http://schemas.openxmlformats.org/officeDocument/2006/relationships/chart" Target="charts/chart16.xml"/><Relationship Id="rId47" Type="http://schemas.openxmlformats.org/officeDocument/2006/relationships/chart" Target="charts/chart32.xml"/><Relationship Id="rId68" Type="http://schemas.openxmlformats.org/officeDocument/2006/relationships/chart" Target="charts/chart50.xml"/><Relationship Id="rId89" Type="http://schemas.openxmlformats.org/officeDocument/2006/relationships/chart" Target="charts/chart69.xml"/><Relationship Id="rId112" Type="http://schemas.openxmlformats.org/officeDocument/2006/relationships/chart" Target="charts/chart85.xml"/><Relationship Id="rId133" Type="http://schemas.openxmlformats.org/officeDocument/2006/relationships/chart" Target="charts/chart104.xml"/><Relationship Id="rId154" Type="http://schemas.openxmlformats.org/officeDocument/2006/relationships/chart" Target="charts/chart125.xml"/><Relationship Id="rId175" Type="http://schemas.openxmlformats.org/officeDocument/2006/relationships/chart" Target="charts/chart146.xml"/><Relationship Id="rId196" Type="http://schemas.openxmlformats.org/officeDocument/2006/relationships/chart" Target="charts/chart167.xml"/><Relationship Id="rId200" Type="http://schemas.openxmlformats.org/officeDocument/2006/relationships/hyperlink" Target="https://prognozes.nva.gov.lv" TargetMode="External"/><Relationship Id="rId16" Type="http://schemas.openxmlformats.org/officeDocument/2006/relationships/chart" Target="charts/chart6.xml"/><Relationship Id="rId37" Type="http://schemas.openxmlformats.org/officeDocument/2006/relationships/chart" Target="charts/chart27.xml"/><Relationship Id="rId58" Type="http://schemas.openxmlformats.org/officeDocument/2006/relationships/chart" Target="charts/chart42.xml"/><Relationship Id="rId79" Type="http://schemas.openxmlformats.org/officeDocument/2006/relationships/chart" Target="charts/chart61.xml"/><Relationship Id="rId102" Type="http://schemas.openxmlformats.org/officeDocument/2006/relationships/image" Target="media/image3.png"/><Relationship Id="rId123" Type="http://schemas.openxmlformats.org/officeDocument/2006/relationships/chart" Target="charts/chart95.xml"/><Relationship Id="rId144" Type="http://schemas.openxmlformats.org/officeDocument/2006/relationships/chart" Target="charts/chart115.xml"/><Relationship Id="rId90" Type="http://schemas.openxmlformats.org/officeDocument/2006/relationships/chart" Target="charts/chart70.xml"/><Relationship Id="rId165" Type="http://schemas.openxmlformats.org/officeDocument/2006/relationships/chart" Target="charts/chart136.xml"/><Relationship Id="rId186" Type="http://schemas.openxmlformats.org/officeDocument/2006/relationships/chart" Target="charts/chart157.xml"/><Relationship Id="rId27" Type="http://schemas.openxmlformats.org/officeDocument/2006/relationships/chart" Target="charts/chart17.xml"/><Relationship Id="rId48" Type="http://schemas.openxmlformats.org/officeDocument/2006/relationships/chart" Target="charts/chart33.xml"/><Relationship Id="rId69" Type="http://schemas.openxmlformats.org/officeDocument/2006/relationships/chart" Target="charts/chart51.xml"/><Relationship Id="rId113" Type="http://schemas.openxmlformats.org/officeDocument/2006/relationships/chart" Target="charts/chart86.xml"/><Relationship Id="rId134" Type="http://schemas.openxmlformats.org/officeDocument/2006/relationships/chart" Target="charts/chart105.xml"/><Relationship Id="rId80" Type="http://schemas.openxmlformats.org/officeDocument/2006/relationships/chart" Target="charts/chart62.xml"/><Relationship Id="rId155" Type="http://schemas.openxmlformats.org/officeDocument/2006/relationships/chart" Target="charts/chart126.xml"/><Relationship Id="rId176" Type="http://schemas.openxmlformats.org/officeDocument/2006/relationships/chart" Target="charts/chart147.xml"/><Relationship Id="rId197" Type="http://schemas.openxmlformats.org/officeDocument/2006/relationships/chart" Target="charts/chart168.xml"/><Relationship Id="rId201" Type="http://schemas.openxmlformats.org/officeDocument/2006/relationships/hyperlink" Target="https://prognozes.em.gov.lv" TargetMode="External"/><Relationship Id="rId17" Type="http://schemas.openxmlformats.org/officeDocument/2006/relationships/chart" Target="charts/chart7.xml"/><Relationship Id="rId38" Type="http://schemas.openxmlformats.org/officeDocument/2006/relationships/chart" Target="charts/chart28.xml"/><Relationship Id="rId59" Type="http://schemas.openxmlformats.org/officeDocument/2006/relationships/chart" Target="charts/chart43.xml"/><Relationship Id="rId103" Type="http://schemas.openxmlformats.org/officeDocument/2006/relationships/image" Target="media/image4.png"/><Relationship Id="rId124" Type="http://schemas.openxmlformats.org/officeDocument/2006/relationships/chart" Target="charts/chart96.xml"/><Relationship Id="rId70" Type="http://schemas.openxmlformats.org/officeDocument/2006/relationships/chart" Target="charts/chart52.xml"/><Relationship Id="rId91" Type="http://schemas.openxmlformats.org/officeDocument/2006/relationships/chart" Target="charts/chart71.xml"/><Relationship Id="rId145" Type="http://schemas.openxmlformats.org/officeDocument/2006/relationships/chart" Target="charts/chart116.xml"/><Relationship Id="rId166" Type="http://schemas.openxmlformats.org/officeDocument/2006/relationships/chart" Target="charts/chart137.xml"/><Relationship Id="rId187" Type="http://schemas.openxmlformats.org/officeDocument/2006/relationships/chart" Target="charts/chart158.xml"/><Relationship Id="rId1" Type="http://schemas.openxmlformats.org/officeDocument/2006/relationships/customXml" Target="../customXml/item1.xml"/><Relationship Id="rId28" Type="http://schemas.openxmlformats.org/officeDocument/2006/relationships/chart" Target="charts/chart18.xml"/><Relationship Id="rId49" Type="http://schemas.openxmlformats.org/officeDocument/2006/relationships/chart" Target="charts/chart34.xml"/><Relationship Id="rId114" Type="http://schemas.openxmlformats.org/officeDocument/2006/relationships/chart" Target="charts/chart87.xml"/><Relationship Id="rId60" Type="http://schemas.openxmlformats.org/officeDocument/2006/relationships/chart" Target="charts/chart44.xml"/><Relationship Id="rId81" Type="http://schemas.openxmlformats.org/officeDocument/2006/relationships/chart" Target="charts/chart61.xml"/><Relationship Id="rId135" Type="http://schemas.openxmlformats.org/officeDocument/2006/relationships/chart" Target="charts/chart106.xml"/><Relationship Id="rId156" Type="http://schemas.openxmlformats.org/officeDocument/2006/relationships/chart" Target="charts/chart127.xml"/><Relationship Id="rId177" Type="http://schemas.openxmlformats.org/officeDocument/2006/relationships/chart" Target="charts/chart148.xml"/><Relationship Id="rId198" Type="http://schemas.openxmlformats.org/officeDocument/2006/relationships/chart" Target="charts/chart169.xml"/><Relationship Id="rId202" Type="http://schemas.openxmlformats.org/officeDocument/2006/relationships/footer" Target="footer1.xml"/><Relationship Id="rId18" Type="http://schemas.openxmlformats.org/officeDocument/2006/relationships/chart" Target="charts/chart8.xml"/><Relationship Id="rId39" Type="http://schemas.openxmlformats.org/officeDocument/2006/relationships/chart" Target="charts/chart29.xml"/><Relationship Id="rId50" Type="http://schemas.openxmlformats.org/officeDocument/2006/relationships/chart" Target="charts/chart35.xml"/><Relationship Id="rId104" Type="http://schemas.openxmlformats.org/officeDocument/2006/relationships/image" Target="media/image5.png"/><Relationship Id="rId125" Type="http://schemas.openxmlformats.org/officeDocument/2006/relationships/chart" Target="charts/chart97.xml"/><Relationship Id="rId146" Type="http://schemas.openxmlformats.org/officeDocument/2006/relationships/chart" Target="charts/chart117.xml"/><Relationship Id="rId167" Type="http://schemas.openxmlformats.org/officeDocument/2006/relationships/chart" Target="charts/chart138.xml"/><Relationship Id="rId188" Type="http://schemas.openxmlformats.org/officeDocument/2006/relationships/chart" Target="charts/chart159.xml"/><Relationship Id="rId71" Type="http://schemas.openxmlformats.org/officeDocument/2006/relationships/chart" Target="charts/chart53.xml"/><Relationship Id="rId92" Type="http://schemas.openxmlformats.org/officeDocument/2006/relationships/chart" Target="charts/chart72.xml"/><Relationship Id="rId2" Type="http://schemas.openxmlformats.org/officeDocument/2006/relationships/numbering" Target="numbering.xml"/><Relationship Id="rId29" Type="http://schemas.openxmlformats.org/officeDocument/2006/relationships/chart" Target="charts/chart19.xml"/></Relationships>
</file>

<file path=word/_rels/footnotes.xml.rels><?xml version="1.0" encoding="UTF-8" standalone="yes"?>
<Relationships xmlns="http://schemas.openxmlformats.org/package/2006/relationships"><Relationship Id="rId8" Type="http://schemas.openxmlformats.org/officeDocument/2006/relationships/hyperlink" Target="https://em.gov.lv/files/attachments/DarbaTirgus_Gala%20zinojums.pdf" TargetMode="External"/><Relationship Id="rId13" Type="http://schemas.openxmlformats.org/officeDocument/2006/relationships/hyperlink" Target="https://www.researchgate.net/publication/273515631_The_Grand_Challenges_in_Smart_Materials_Research" TargetMode="External"/><Relationship Id="rId18" Type="http://schemas.openxmlformats.org/officeDocument/2006/relationships/hyperlink" Target="https://www.em.gov.lv/lv/strategija-latvijai-0" TargetMode="External"/><Relationship Id="rId26" Type="http://schemas.openxmlformats.org/officeDocument/2006/relationships/hyperlink" Target="https://likumi.lv/ta/id/324332-par-izglitibas-attistibas-pamatnostadnem-2021-2027-gadam" TargetMode="External"/><Relationship Id="rId3" Type="http://schemas.openxmlformats.org/officeDocument/2006/relationships/hyperlink" Target="https://www.oecd-ilibrary.org/education/oecd-skills-strategy-latvia_74fe3bf8-en" TargetMode="External"/><Relationship Id="rId21" Type="http://schemas.openxmlformats.org/officeDocument/2006/relationships/hyperlink" Target="https://likumi.lv/ta/id/325828-par-socialas-aizsardzibas-un-darba-tirgus-politikas-pamatnostadnem-2021-2027-gadam" TargetMode="External"/><Relationship Id="rId7" Type="http://schemas.openxmlformats.org/officeDocument/2006/relationships/hyperlink" Target="https://www.em.gov.lv/files/tautsaimniecibas_attistiba/Dokumentacija_Lat.pdf" TargetMode="External"/><Relationship Id="rId12" Type="http://schemas.openxmlformats.org/officeDocument/2006/relationships/hyperlink" Target="https://www.weforum.org/agenda/2016/01/what-are-the-10-biggest-global-challenges/" TargetMode="External"/><Relationship Id="rId17" Type="http://schemas.openxmlformats.org/officeDocument/2006/relationships/hyperlink" Target="https://www.em.gov.lv/lv/media/598/download" TargetMode="External"/><Relationship Id="rId25" Type="http://schemas.openxmlformats.org/officeDocument/2006/relationships/hyperlink" Target="https://www.viis.gov.lv/monitoringa-riki" TargetMode="External"/><Relationship Id="rId2" Type="http://schemas.openxmlformats.org/officeDocument/2006/relationships/hyperlink" Target="http://muzizglitiba.gov.lv/sites/default/files/Pieauguso_izglitibas_aptaujas_rezultati%202019%20LDDK%20IZM.pdf" TargetMode="External"/><Relationship Id="rId16" Type="http://schemas.openxmlformats.org/officeDocument/2006/relationships/hyperlink" Target="https://eur-lex.europa.eu/legal-content/LV/TXT/?qid=1588580774040&amp;uri=CELEX:52019DC0640" TargetMode="External"/><Relationship Id="rId20" Type="http://schemas.openxmlformats.org/officeDocument/2006/relationships/hyperlink" Target="https://likumi.lv/ta/id/324332-par-izglitibas-attistibas-pamatnostadnem-20212027-gadam" TargetMode="External"/><Relationship Id="rId1" Type="http://schemas.openxmlformats.org/officeDocument/2006/relationships/hyperlink" Target="https://likumi.lv/ta/id/266406-par-izglitibas-attistibas-pamatnostadnu-20142020gadam-apstiprinasanu" TargetMode="External"/><Relationship Id="rId6" Type="http://schemas.openxmlformats.org/officeDocument/2006/relationships/hyperlink" Target="http://www.lm.gov.lv/upload/darba_tirgus/darba_tirgus/petijumi/ilgtermina_prognozesana.pdf" TargetMode="External"/><Relationship Id="rId11" Type="http://schemas.openxmlformats.org/officeDocument/2006/relationships/hyperlink" Target="https://www.em.gov.lv/lv/industriala-politika" TargetMode="External"/><Relationship Id="rId24" Type="http://schemas.openxmlformats.org/officeDocument/2006/relationships/hyperlink" Target="https://data.gov.lv/dati/lv" TargetMode="External"/><Relationship Id="rId5" Type="http://schemas.openxmlformats.org/officeDocument/2006/relationships/hyperlink" Target="https://www.saeima.lv/petijumi/Pieauguso_izglitiba_petijums.pdf" TargetMode="External"/><Relationship Id="rId15" Type="http://schemas.openxmlformats.org/officeDocument/2006/relationships/hyperlink" Target="https://ec.europa.eu/info/strategy/priorities-2019-2024/european-green-deal_lv" TargetMode="External"/><Relationship Id="rId23" Type="http://schemas.openxmlformats.org/officeDocument/2006/relationships/hyperlink" Target="https://www.em.gov.lv/lv/media/604/download" TargetMode="External"/><Relationship Id="rId10" Type="http://schemas.openxmlformats.org/officeDocument/2006/relationships/hyperlink" Target="https://pkc.gov.lv/lv/nap2027" TargetMode="External"/><Relationship Id="rId19" Type="http://schemas.openxmlformats.org/officeDocument/2006/relationships/hyperlink" Target="https://www.em.gov.lv/lv/industriala-politika" TargetMode="External"/><Relationship Id="rId4" Type="http://schemas.openxmlformats.org/officeDocument/2006/relationships/hyperlink" Target="https://www.oecd.org/skills/latvia-employers-report-2022.pdf" TargetMode="External"/><Relationship Id="rId9" Type="http://schemas.openxmlformats.org/officeDocument/2006/relationships/hyperlink" Target="https://pkc.gov.lv/lv/valsts-attistibas-planosana/latvijas-ilgtspejigas-attistibas-strategija" TargetMode="External"/><Relationship Id="rId14" Type="http://schemas.openxmlformats.org/officeDocument/2006/relationships/hyperlink" Target="http://www.jscholaronline.org/full-text/JNSM/e101/Smart-materials-from-nanotechnology-for-global-challenges.php" TargetMode="External"/><Relationship Id="rId22" Type="http://schemas.openxmlformats.org/officeDocument/2006/relationships/hyperlink" Target="https://www.em.gov.lv/lv/muzizglitibas-informesanas-kampan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0.xlsx"/></Relationships>
</file>

<file path=word/charts/_rels/chart100.xml.rels><?xml version="1.0" encoding="UTF-8" standalone="yes"?>
<Relationships xmlns="http://schemas.openxmlformats.org/package/2006/relationships"><Relationship Id="rId3" Type="http://schemas.openxmlformats.org/officeDocument/2006/relationships/package" Target="../embeddings/Microsoft_Excel_Worksheet101.xlsx"/><Relationship Id="rId2" Type="http://schemas.microsoft.com/office/2011/relationships/chartColorStyle" Target="colors37.xml"/><Relationship Id="rId1" Type="http://schemas.microsoft.com/office/2011/relationships/chartStyle" Target="style37.xml"/></Relationships>
</file>

<file path=word/charts/_rels/chart101.xml.rels><?xml version="1.0" encoding="UTF-8" standalone="yes"?>
<Relationships xmlns="http://schemas.openxmlformats.org/package/2006/relationships"><Relationship Id="rId3" Type="http://schemas.openxmlformats.org/officeDocument/2006/relationships/package" Target="../embeddings/Microsoft_Excel_Worksheet102.xlsx"/><Relationship Id="rId2" Type="http://schemas.microsoft.com/office/2011/relationships/chartColorStyle" Target="colors38.xml"/><Relationship Id="rId1" Type="http://schemas.microsoft.com/office/2011/relationships/chartStyle" Target="style38.xml"/></Relationships>
</file>

<file path=word/charts/_rels/chart102.xml.rels><?xml version="1.0" encoding="UTF-8" standalone="yes"?>
<Relationships xmlns="http://schemas.openxmlformats.org/package/2006/relationships"><Relationship Id="rId1" Type="http://schemas.openxmlformats.org/officeDocument/2006/relationships/package" Target="../embeddings/Microsoft_Excel_Worksheet103.xlsx"/></Relationships>
</file>

<file path=word/charts/_rels/chart103.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104.xlsx"/></Relationships>
</file>

<file path=word/charts/_rels/chart104.xml.rels><?xml version="1.0" encoding="UTF-8" standalone="yes"?>
<Relationships xmlns="http://schemas.openxmlformats.org/package/2006/relationships"><Relationship Id="rId2" Type="http://schemas.openxmlformats.org/officeDocument/2006/relationships/package" Target="../embeddings/Microsoft_Excel_Worksheet105.xlsx"/><Relationship Id="rId1" Type="http://schemas.openxmlformats.org/officeDocument/2006/relationships/themeOverride" Target="../theme/themeOverride54.xml"/></Relationships>
</file>

<file path=word/charts/_rels/chart105.xml.rels><?xml version="1.0" encoding="UTF-8" standalone="yes"?>
<Relationships xmlns="http://schemas.openxmlformats.org/package/2006/relationships"><Relationship Id="rId2" Type="http://schemas.openxmlformats.org/officeDocument/2006/relationships/package" Target="../embeddings/Microsoft_Excel_Worksheet106.xlsx"/><Relationship Id="rId1" Type="http://schemas.openxmlformats.org/officeDocument/2006/relationships/themeOverride" Target="../theme/themeOverride55.xml"/></Relationships>
</file>

<file path=word/charts/_rels/chart106.xml.rels><?xml version="1.0" encoding="UTF-8" standalone="yes"?>
<Relationships xmlns="http://schemas.openxmlformats.org/package/2006/relationships"><Relationship Id="rId2" Type="http://schemas.openxmlformats.org/officeDocument/2006/relationships/package" Target="../embeddings/Microsoft_Excel_Worksheet107.xlsx"/><Relationship Id="rId1" Type="http://schemas.openxmlformats.org/officeDocument/2006/relationships/themeOverride" Target="../theme/themeOverride56.xml"/></Relationships>
</file>

<file path=word/charts/_rels/chart107.xml.rels><?xml version="1.0" encoding="UTF-8" standalone="yes"?>
<Relationships xmlns="http://schemas.openxmlformats.org/package/2006/relationships"><Relationship Id="rId2" Type="http://schemas.openxmlformats.org/officeDocument/2006/relationships/package" Target="../embeddings/Microsoft_Excel_Worksheet108.xlsx"/><Relationship Id="rId1" Type="http://schemas.openxmlformats.org/officeDocument/2006/relationships/themeOverride" Target="../theme/themeOverride57.xml"/></Relationships>
</file>

<file path=word/charts/_rels/chart108.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09.xlsx"/></Relationships>
</file>

<file path=word/charts/_rels/chart109.xml.rels><?xml version="1.0" encoding="UTF-8" standalone="yes"?>
<Relationships xmlns="http://schemas.openxmlformats.org/package/2006/relationships"><Relationship Id="rId2" Type="http://schemas.openxmlformats.org/officeDocument/2006/relationships/package" Target="../embeddings/Microsoft_Excel_Worksheet110.xlsx"/><Relationship Id="rId1" Type="http://schemas.openxmlformats.org/officeDocument/2006/relationships/themeOverride" Target="../theme/themeOverride5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10.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59.xml"/></Relationships>
</file>

<file path=word/charts/_rels/chart111.xml.rels><?xml version="1.0" encoding="UTF-8" standalone="yes"?>
<Relationships xmlns="http://schemas.openxmlformats.org/package/2006/relationships"><Relationship Id="rId2" Type="http://schemas.openxmlformats.org/officeDocument/2006/relationships/package" Target="../embeddings/Microsoft_Excel_Worksheet112.xlsx"/><Relationship Id="rId1" Type="http://schemas.openxmlformats.org/officeDocument/2006/relationships/themeOverride" Target="../theme/themeOverride60.xml"/></Relationships>
</file>

<file path=word/charts/_rels/chart112.xml.rels><?xml version="1.0" encoding="UTF-8" standalone="yes"?>
<Relationships xmlns="http://schemas.openxmlformats.org/package/2006/relationships"><Relationship Id="rId2" Type="http://schemas.openxmlformats.org/officeDocument/2006/relationships/package" Target="../embeddings/Microsoft_Excel_Worksheet113.xlsx"/><Relationship Id="rId1" Type="http://schemas.openxmlformats.org/officeDocument/2006/relationships/themeOverride" Target="../theme/themeOverride61.xml"/></Relationships>
</file>

<file path=word/charts/_rels/chart113.xml.rels><?xml version="1.0" encoding="UTF-8" standalone="yes"?>
<Relationships xmlns="http://schemas.openxmlformats.org/package/2006/relationships"><Relationship Id="rId2" Type="http://schemas.openxmlformats.org/officeDocument/2006/relationships/package" Target="../embeddings/Microsoft_Excel_Worksheet114.xlsx"/><Relationship Id="rId1" Type="http://schemas.openxmlformats.org/officeDocument/2006/relationships/themeOverride" Target="../theme/themeOverride62.xml"/></Relationships>
</file>

<file path=word/charts/_rels/chart114.xml.rels><?xml version="1.0" encoding="UTF-8" standalone="yes"?>
<Relationships xmlns="http://schemas.openxmlformats.org/package/2006/relationships"><Relationship Id="rId2" Type="http://schemas.openxmlformats.org/officeDocument/2006/relationships/package" Target="../embeddings/Microsoft_Excel_Worksheet115.xlsx"/><Relationship Id="rId1" Type="http://schemas.openxmlformats.org/officeDocument/2006/relationships/themeOverride" Target="../theme/themeOverride63.xml"/></Relationships>
</file>

<file path=word/charts/_rels/chart115.xml.rels><?xml version="1.0" encoding="UTF-8" standalone="yes"?>
<Relationships xmlns="http://schemas.openxmlformats.org/package/2006/relationships"><Relationship Id="rId2" Type="http://schemas.openxmlformats.org/officeDocument/2006/relationships/package" Target="../embeddings/Microsoft_Excel_Worksheet116.xlsx"/><Relationship Id="rId1" Type="http://schemas.openxmlformats.org/officeDocument/2006/relationships/themeOverride" Target="../theme/themeOverride64.xml"/></Relationships>
</file>

<file path=word/charts/_rels/chart116.xml.rels><?xml version="1.0" encoding="UTF-8" standalone="yes"?>
<Relationships xmlns="http://schemas.openxmlformats.org/package/2006/relationships"><Relationship Id="rId2" Type="http://schemas.openxmlformats.org/officeDocument/2006/relationships/package" Target="../embeddings/Microsoft_Excel_Worksheet117.xlsx"/><Relationship Id="rId1" Type="http://schemas.openxmlformats.org/officeDocument/2006/relationships/themeOverride" Target="../theme/themeOverride65.xml"/></Relationships>
</file>

<file path=word/charts/_rels/chart117.xml.rels><?xml version="1.0" encoding="UTF-8" standalone="yes"?>
<Relationships xmlns="http://schemas.openxmlformats.org/package/2006/relationships"><Relationship Id="rId2" Type="http://schemas.openxmlformats.org/officeDocument/2006/relationships/package" Target="../embeddings/Microsoft_Excel_Worksheet118.xlsx"/><Relationship Id="rId1" Type="http://schemas.openxmlformats.org/officeDocument/2006/relationships/themeOverride" Target="../theme/themeOverride66.xml"/></Relationships>
</file>

<file path=word/charts/_rels/chart118.xml.rels><?xml version="1.0" encoding="UTF-8" standalone="yes"?>
<Relationships xmlns="http://schemas.openxmlformats.org/package/2006/relationships"><Relationship Id="rId2" Type="http://schemas.openxmlformats.org/officeDocument/2006/relationships/package" Target="../embeddings/Microsoft_Excel_Worksheet119.xlsx"/><Relationship Id="rId1" Type="http://schemas.openxmlformats.org/officeDocument/2006/relationships/themeOverride" Target="../theme/themeOverride67.xml"/></Relationships>
</file>

<file path=word/charts/_rels/chart119.xml.rels><?xml version="1.0" encoding="UTF-8" standalone="yes"?>
<Relationships xmlns="http://schemas.openxmlformats.org/package/2006/relationships"><Relationship Id="rId2" Type="http://schemas.openxmlformats.org/officeDocument/2006/relationships/package" Target="../embeddings/Microsoft_Excel_Worksheet120.xlsx"/><Relationship Id="rId1" Type="http://schemas.openxmlformats.org/officeDocument/2006/relationships/themeOverride" Target="../theme/themeOverride68.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2.xlsx"/><Relationship Id="rId1" Type="http://schemas.openxmlformats.org/officeDocument/2006/relationships/themeOverride" Target="../theme/themeOverride8.xml"/></Relationships>
</file>

<file path=word/charts/_rels/chart120.xml.rels><?xml version="1.0" encoding="UTF-8" standalone="yes"?>
<Relationships xmlns="http://schemas.openxmlformats.org/package/2006/relationships"><Relationship Id="rId2" Type="http://schemas.openxmlformats.org/officeDocument/2006/relationships/package" Target="../embeddings/Microsoft_Excel_Worksheet121.xlsx"/><Relationship Id="rId1" Type="http://schemas.openxmlformats.org/officeDocument/2006/relationships/themeOverride" Target="../theme/themeOverride69.xml"/></Relationships>
</file>

<file path=word/charts/_rels/chart121.xml.rels><?xml version="1.0" encoding="UTF-8" standalone="yes"?>
<Relationships xmlns="http://schemas.openxmlformats.org/package/2006/relationships"><Relationship Id="rId2" Type="http://schemas.openxmlformats.org/officeDocument/2006/relationships/package" Target="../embeddings/Microsoft_Excel_Worksheet122.xlsx"/><Relationship Id="rId1" Type="http://schemas.openxmlformats.org/officeDocument/2006/relationships/themeOverride" Target="../theme/themeOverride70.xml"/></Relationships>
</file>

<file path=word/charts/_rels/chart122.xml.rels><?xml version="1.0" encoding="UTF-8" standalone="yes"?>
<Relationships xmlns="http://schemas.openxmlformats.org/package/2006/relationships"><Relationship Id="rId2" Type="http://schemas.openxmlformats.org/officeDocument/2006/relationships/package" Target="../embeddings/Microsoft_Excel_Worksheet123.xlsx"/><Relationship Id="rId1" Type="http://schemas.openxmlformats.org/officeDocument/2006/relationships/themeOverride" Target="../theme/themeOverride71.xml"/></Relationships>
</file>

<file path=word/charts/_rels/chart123.xml.rels><?xml version="1.0" encoding="UTF-8" standalone="yes"?>
<Relationships xmlns="http://schemas.openxmlformats.org/package/2006/relationships"><Relationship Id="rId2" Type="http://schemas.openxmlformats.org/officeDocument/2006/relationships/package" Target="../embeddings/Microsoft_Excel_Worksheet124.xlsx"/><Relationship Id="rId1" Type="http://schemas.openxmlformats.org/officeDocument/2006/relationships/themeOverride" Target="../theme/themeOverride72.xml"/></Relationships>
</file>

<file path=word/charts/_rels/chart124.xml.rels><?xml version="1.0" encoding="UTF-8" standalone="yes"?>
<Relationships xmlns="http://schemas.openxmlformats.org/package/2006/relationships"><Relationship Id="rId2" Type="http://schemas.openxmlformats.org/officeDocument/2006/relationships/package" Target="../embeddings/Microsoft_Excel_Worksheet125.xlsx"/><Relationship Id="rId1" Type="http://schemas.openxmlformats.org/officeDocument/2006/relationships/themeOverride" Target="../theme/themeOverride73.xml"/></Relationships>
</file>

<file path=word/charts/_rels/chart125.xml.rels><?xml version="1.0" encoding="UTF-8" standalone="yes"?>
<Relationships xmlns="http://schemas.openxmlformats.org/package/2006/relationships"><Relationship Id="rId2" Type="http://schemas.openxmlformats.org/officeDocument/2006/relationships/package" Target="../embeddings/Microsoft_Excel_Worksheet126.xlsx"/><Relationship Id="rId1" Type="http://schemas.openxmlformats.org/officeDocument/2006/relationships/themeOverride" Target="../theme/themeOverride74.xml"/></Relationships>
</file>

<file path=word/charts/_rels/chart126.xml.rels><?xml version="1.0" encoding="UTF-8" standalone="yes"?>
<Relationships xmlns="http://schemas.openxmlformats.org/package/2006/relationships"><Relationship Id="rId2" Type="http://schemas.openxmlformats.org/officeDocument/2006/relationships/package" Target="../embeddings/Microsoft_Excel_Worksheet127.xlsx"/><Relationship Id="rId1" Type="http://schemas.openxmlformats.org/officeDocument/2006/relationships/themeOverride" Target="../theme/themeOverride75.xml"/></Relationships>
</file>

<file path=word/charts/_rels/chart127.xml.rels><?xml version="1.0" encoding="UTF-8" standalone="yes"?>
<Relationships xmlns="http://schemas.openxmlformats.org/package/2006/relationships"><Relationship Id="rId2" Type="http://schemas.openxmlformats.org/officeDocument/2006/relationships/package" Target="../embeddings/Microsoft_Excel_Worksheet128.xlsx"/><Relationship Id="rId1" Type="http://schemas.openxmlformats.org/officeDocument/2006/relationships/themeOverride" Target="../theme/themeOverride76.xml"/></Relationships>
</file>

<file path=word/charts/_rels/chart128.xml.rels><?xml version="1.0" encoding="UTF-8" standalone="yes"?>
<Relationships xmlns="http://schemas.openxmlformats.org/package/2006/relationships"><Relationship Id="rId2" Type="http://schemas.openxmlformats.org/officeDocument/2006/relationships/package" Target="../embeddings/Microsoft_Excel_Worksheet129.xlsx"/><Relationship Id="rId1" Type="http://schemas.openxmlformats.org/officeDocument/2006/relationships/themeOverride" Target="../theme/themeOverride77.xml"/></Relationships>
</file>

<file path=word/charts/_rels/chart129.xml.rels><?xml version="1.0" encoding="UTF-8" standalone="yes"?>
<Relationships xmlns="http://schemas.openxmlformats.org/package/2006/relationships"><Relationship Id="rId2" Type="http://schemas.openxmlformats.org/officeDocument/2006/relationships/package" Target="../embeddings/Microsoft_Excel_Worksheet130.xlsx"/><Relationship Id="rId1" Type="http://schemas.openxmlformats.org/officeDocument/2006/relationships/themeOverride" Target="../theme/themeOverride7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9.xml"/></Relationships>
</file>

<file path=word/charts/_rels/chart130.xml.rels><?xml version="1.0" encoding="UTF-8" standalone="yes"?>
<Relationships xmlns="http://schemas.openxmlformats.org/package/2006/relationships"><Relationship Id="rId2" Type="http://schemas.openxmlformats.org/officeDocument/2006/relationships/package" Target="../embeddings/Microsoft_Excel_Worksheet131.xlsx"/><Relationship Id="rId1" Type="http://schemas.openxmlformats.org/officeDocument/2006/relationships/themeOverride" Target="../theme/themeOverride79.xml"/></Relationships>
</file>

<file path=word/charts/_rels/chart131.xml.rels><?xml version="1.0" encoding="UTF-8" standalone="yes"?>
<Relationships xmlns="http://schemas.openxmlformats.org/package/2006/relationships"><Relationship Id="rId2" Type="http://schemas.openxmlformats.org/officeDocument/2006/relationships/package" Target="../embeddings/Microsoft_Excel_Worksheet132.xlsx"/><Relationship Id="rId1" Type="http://schemas.openxmlformats.org/officeDocument/2006/relationships/themeOverride" Target="../theme/themeOverride80.xml"/></Relationships>
</file>

<file path=word/charts/_rels/chart132.xml.rels><?xml version="1.0" encoding="UTF-8" standalone="yes"?>
<Relationships xmlns="http://schemas.openxmlformats.org/package/2006/relationships"><Relationship Id="rId2" Type="http://schemas.openxmlformats.org/officeDocument/2006/relationships/package" Target="../embeddings/Microsoft_Excel_Worksheet133.xlsx"/><Relationship Id="rId1" Type="http://schemas.openxmlformats.org/officeDocument/2006/relationships/themeOverride" Target="../theme/themeOverride81.xml"/></Relationships>
</file>

<file path=word/charts/_rels/chart13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134.xlsx"/></Relationships>
</file>

<file path=word/charts/_rels/chart134.xml.rels><?xml version="1.0" encoding="UTF-8" standalone="yes"?>
<Relationships xmlns="http://schemas.openxmlformats.org/package/2006/relationships"><Relationship Id="rId2" Type="http://schemas.openxmlformats.org/officeDocument/2006/relationships/package" Target="../embeddings/Microsoft_Excel_Worksheet135.xlsx"/><Relationship Id="rId1" Type="http://schemas.openxmlformats.org/officeDocument/2006/relationships/themeOverride" Target="../theme/themeOverride82.xml"/></Relationships>
</file>

<file path=word/charts/_rels/chart135.xml.rels><?xml version="1.0" encoding="UTF-8" standalone="yes"?>
<Relationships xmlns="http://schemas.openxmlformats.org/package/2006/relationships"><Relationship Id="rId2" Type="http://schemas.openxmlformats.org/officeDocument/2006/relationships/package" Target="../embeddings/Microsoft_Excel_Worksheet136.xlsx"/><Relationship Id="rId1" Type="http://schemas.openxmlformats.org/officeDocument/2006/relationships/themeOverride" Target="../theme/themeOverride83.xml"/></Relationships>
</file>

<file path=word/charts/_rels/chart136.xml.rels><?xml version="1.0" encoding="UTF-8" standalone="yes"?>
<Relationships xmlns="http://schemas.openxmlformats.org/package/2006/relationships"><Relationship Id="rId2" Type="http://schemas.openxmlformats.org/officeDocument/2006/relationships/package" Target="../embeddings/Microsoft_Excel_Worksheet137.xlsx"/><Relationship Id="rId1" Type="http://schemas.openxmlformats.org/officeDocument/2006/relationships/themeOverride" Target="../theme/themeOverride84.xml"/></Relationships>
</file>

<file path=word/charts/_rels/chart137.xml.rels><?xml version="1.0" encoding="UTF-8" standalone="yes"?>
<Relationships xmlns="http://schemas.openxmlformats.org/package/2006/relationships"><Relationship Id="rId2" Type="http://schemas.openxmlformats.org/officeDocument/2006/relationships/package" Target="../embeddings/Microsoft_Excel_Worksheet138.xlsx"/><Relationship Id="rId1" Type="http://schemas.openxmlformats.org/officeDocument/2006/relationships/themeOverride" Target="../theme/themeOverride85.xml"/></Relationships>
</file>

<file path=word/charts/_rels/chart138.xml.rels><?xml version="1.0" encoding="UTF-8" standalone="yes"?>
<Relationships xmlns="http://schemas.openxmlformats.org/package/2006/relationships"><Relationship Id="rId2" Type="http://schemas.openxmlformats.org/officeDocument/2006/relationships/package" Target="../embeddings/Microsoft_Excel_Worksheet139.xlsx"/><Relationship Id="rId1" Type="http://schemas.openxmlformats.org/officeDocument/2006/relationships/themeOverride" Target="../theme/themeOverride86.xml"/></Relationships>
</file>

<file path=word/charts/_rels/chart139.xml.rels><?xml version="1.0" encoding="UTF-8" standalone="yes"?>
<Relationships xmlns="http://schemas.openxmlformats.org/package/2006/relationships"><Relationship Id="rId2" Type="http://schemas.openxmlformats.org/officeDocument/2006/relationships/package" Target="../embeddings/Microsoft_Excel_Worksheet140.xlsx"/><Relationship Id="rId1" Type="http://schemas.openxmlformats.org/officeDocument/2006/relationships/themeOverride" Target="../theme/themeOverride8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0.xml"/></Relationships>
</file>

<file path=word/charts/_rels/chart140.xml.rels><?xml version="1.0" encoding="UTF-8" standalone="yes"?>
<Relationships xmlns="http://schemas.openxmlformats.org/package/2006/relationships"><Relationship Id="rId2" Type="http://schemas.openxmlformats.org/officeDocument/2006/relationships/package" Target="../embeddings/Microsoft_Excel_Worksheet141.xlsx"/><Relationship Id="rId1" Type="http://schemas.openxmlformats.org/officeDocument/2006/relationships/themeOverride" Target="../theme/themeOverride88.xml"/></Relationships>
</file>

<file path=word/charts/_rels/chart141.xml.rels><?xml version="1.0" encoding="UTF-8" standalone="yes"?>
<Relationships xmlns="http://schemas.openxmlformats.org/package/2006/relationships"><Relationship Id="rId2" Type="http://schemas.openxmlformats.org/officeDocument/2006/relationships/package" Target="../embeddings/Microsoft_Excel_Worksheet142.xlsx"/><Relationship Id="rId1" Type="http://schemas.openxmlformats.org/officeDocument/2006/relationships/themeOverride" Target="../theme/themeOverride89.xml"/></Relationships>
</file>

<file path=word/charts/_rels/chart142.xml.rels><?xml version="1.0" encoding="UTF-8" standalone="yes"?>
<Relationships xmlns="http://schemas.openxmlformats.org/package/2006/relationships"><Relationship Id="rId2" Type="http://schemas.openxmlformats.org/officeDocument/2006/relationships/package" Target="../embeddings/Microsoft_Excel_Worksheet143.xlsx"/><Relationship Id="rId1" Type="http://schemas.openxmlformats.org/officeDocument/2006/relationships/themeOverride" Target="../theme/themeOverride90.xml"/></Relationships>
</file>

<file path=word/charts/_rels/chart143.xml.rels><?xml version="1.0" encoding="UTF-8" standalone="yes"?>
<Relationships xmlns="http://schemas.openxmlformats.org/package/2006/relationships"><Relationship Id="rId2" Type="http://schemas.openxmlformats.org/officeDocument/2006/relationships/package" Target="../embeddings/Microsoft_Excel_Worksheet144.xlsx"/><Relationship Id="rId1" Type="http://schemas.openxmlformats.org/officeDocument/2006/relationships/themeOverride" Target="../theme/themeOverride91.xml"/></Relationships>
</file>

<file path=word/charts/_rels/chart144.xml.rels><?xml version="1.0" encoding="UTF-8" standalone="yes"?>
<Relationships xmlns="http://schemas.openxmlformats.org/package/2006/relationships"><Relationship Id="rId2" Type="http://schemas.openxmlformats.org/officeDocument/2006/relationships/package" Target="../embeddings/Microsoft_Excel_Worksheet145.xlsx"/><Relationship Id="rId1" Type="http://schemas.openxmlformats.org/officeDocument/2006/relationships/themeOverride" Target="../theme/themeOverride92.xml"/></Relationships>
</file>

<file path=word/charts/_rels/chart145.xml.rels><?xml version="1.0" encoding="UTF-8" standalone="yes"?>
<Relationships xmlns="http://schemas.openxmlformats.org/package/2006/relationships"><Relationship Id="rId2" Type="http://schemas.openxmlformats.org/officeDocument/2006/relationships/package" Target="../embeddings/Microsoft_Excel_Worksheet146.xlsx"/><Relationship Id="rId1" Type="http://schemas.openxmlformats.org/officeDocument/2006/relationships/themeOverride" Target="../theme/themeOverride93.xml"/></Relationships>
</file>

<file path=word/charts/_rels/chart146.xml.rels><?xml version="1.0" encoding="UTF-8" standalone="yes"?>
<Relationships xmlns="http://schemas.openxmlformats.org/package/2006/relationships"><Relationship Id="rId2" Type="http://schemas.openxmlformats.org/officeDocument/2006/relationships/package" Target="../embeddings/Microsoft_Excel_Worksheet147.xlsx"/><Relationship Id="rId1" Type="http://schemas.openxmlformats.org/officeDocument/2006/relationships/themeOverride" Target="../theme/themeOverride94.xml"/></Relationships>
</file>

<file path=word/charts/_rels/chart147.xml.rels><?xml version="1.0" encoding="UTF-8" standalone="yes"?>
<Relationships xmlns="http://schemas.openxmlformats.org/package/2006/relationships"><Relationship Id="rId2" Type="http://schemas.openxmlformats.org/officeDocument/2006/relationships/package" Target="../embeddings/Microsoft_Excel_Worksheet148.xlsx"/><Relationship Id="rId1" Type="http://schemas.openxmlformats.org/officeDocument/2006/relationships/themeOverride" Target="../theme/themeOverride95.xml"/></Relationships>
</file>

<file path=word/charts/_rels/chart148.xml.rels><?xml version="1.0" encoding="UTF-8" standalone="yes"?>
<Relationships xmlns="http://schemas.openxmlformats.org/package/2006/relationships"><Relationship Id="rId2" Type="http://schemas.openxmlformats.org/officeDocument/2006/relationships/package" Target="../embeddings/Microsoft_Excel_Worksheet149.xlsx"/><Relationship Id="rId1" Type="http://schemas.openxmlformats.org/officeDocument/2006/relationships/themeOverride" Target="../theme/themeOverride96.xml"/></Relationships>
</file>

<file path=word/charts/_rels/chart149.xml.rels><?xml version="1.0" encoding="UTF-8" standalone="yes"?>
<Relationships xmlns="http://schemas.openxmlformats.org/package/2006/relationships"><Relationship Id="rId2" Type="http://schemas.openxmlformats.org/officeDocument/2006/relationships/package" Target="../embeddings/Microsoft_Excel_Worksheet150.xlsx"/><Relationship Id="rId1" Type="http://schemas.openxmlformats.org/officeDocument/2006/relationships/themeOverride" Target="../theme/themeOverride97.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3.xml"/><Relationship Id="rId1" Type="http://schemas.microsoft.com/office/2011/relationships/chartStyle" Target="style3.xml"/></Relationships>
</file>

<file path=word/charts/_rels/chart150.xml.rels><?xml version="1.0" encoding="UTF-8" standalone="yes"?>
<Relationships xmlns="http://schemas.openxmlformats.org/package/2006/relationships"><Relationship Id="rId2" Type="http://schemas.openxmlformats.org/officeDocument/2006/relationships/package" Target="../embeddings/Microsoft_Excel_Worksheet151.xlsx"/><Relationship Id="rId1" Type="http://schemas.openxmlformats.org/officeDocument/2006/relationships/themeOverride" Target="../theme/themeOverride98.xml"/></Relationships>
</file>

<file path=word/charts/_rels/chart151.xml.rels><?xml version="1.0" encoding="UTF-8" standalone="yes"?>
<Relationships xmlns="http://schemas.openxmlformats.org/package/2006/relationships"><Relationship Id="rId2" Type="http://schemas.openxmlformats.org/officeDocument/2006/relationships/package" Target="../embeddings/Microsoft_Excel_Worksheet152.xlsx"/><Relationship Id="rId1" Type="http://schemas.openxmlformats.org/officeDocument/2006/relationships/themeOverride" Target="../theme/themeOverride99.xml"/></Relationships>
</file>

<file path=word/charts/_rels/chart152.xml.rels><?xml version="1.0" encoding="UTF-8" standalone="yes"?>
<Relationships xmlns="http://schemas.openxmlformats.org/package/2006/relationships"><Relationship Id="rId2" Type="http://schemas.openxmlformats.org/officeDocument/2006/relationships/package" Target="../embeddings/Microsoft_Excel_Worksheet153.xlsx"/><Relationship Id="rId1" Type="http://schemas.openxmlformats.org/officeDocument/2006/relationships/themeOverride" Target="../theme/themeOverride100.xml"/></Relationships>
</file>

<file path=word/charts/_rels/chart153.xml.rels><?xml version="1.0" encoding="UTF-8" standalone="yes"?>
<Relationships xmlns="http://schemas.openxmlformats.org/package/2006/relationships"><Relationship Id="rId2" Type="http://schemas.openxmlformats.org/officeDocument/2006/relationships/package" Target="../embeddings/Microsoft_Excel_Worksheet154.xlsx"/><Relationship Id="rId1" Type="http://schemas.openxmlformats.org/officeDocument/2006/relationships/themeOverride" Target="../theme/themeOverride101.xml"/></Relationships>
</file>

<file path=word/charts/_rels/chart154.xml.rels><?xml version="1.0" encoding="UTF-8" standalone="yes"?>
<Relationships xmlns="http://schemas.openxmlformats.org/package/2006/relationships"><Relationship Id="rId2" Type="http://schemas.openxmlformats.org/officeDocument/2006/relationships/package" Target="../embeddings/Microsoft_Excel_Worksheet155.xlsx"/><Relationship Id="rId1" Type="http://schemas.openxmlformats.org/officeDocument/2006/relationships/themeOverride" Target="../theme/themeOverride102.xml"/></Relationships>
</file>

<file path=word/charts/_rels/chart155.xml.rels><?xml version="1.0" encoding="UTF-8" standalone="yes"?>
<Relationships xmlns="http://schemas.openxmlformats.org/package/2006/relationships"><Relationship Id="rId2" Type="http://schemas.openxmlformats.org/officeDocument/2006/relationships/package" Target="../embeddings/Microsoft_Excel_Worksheet156.xlsx"/><Relationship Id="rId1" Type="http://schemas.openxmlformats.org/officeDocument/2006/relationships/themeOverride" Target="../theme/themeOverride103.xml"/></Relationships>
</file>

<file path=word/charts/_rels/chart156.xml.rels><?xml version="1.0" encoding="UTF-8" standalone="yes"?>
<Relationships xmlns="http://schemas.openxmlformats.org/package/2006/relationships"><Relationship Id="rId2" Type="http://schemas.openxmlformats.org/officeDocument/2006/relationships/package" Target="../embeddings/Microsoft_Excel_Worksheet157.xlsx"/><Relationship Id="rId1" Type="http://schemas.openxmlformats.org/officeDocument/2006/relationships/themeOverride" Target="../theme/themeOverride104.xml"/></Relationships>
</file>

<file path=word/charts/_rels/chart157.xml.rels><?xml version="1.0" encoding="UTF-8" standalone="yes"?>
<Relationships xmlns="http://schemas.openxmlformats.org/package/2006/relationships"><Relationship Id="rId2" Type="http://schemas.openxmlformats.org/officeDocument/2006/relationships/package" Target="../embeddings/Microsoft_Excel_Worksheet158.xlsx"/><Relationship Id="rId1" Type="http://schemas.openxmlformats.org/officeDocument/2006/relationships/themeOverride" Target="../theme/themeOverride105.xml"/></Relationships>
</file>

<file path=word/charts/_rels/chart158.xml.rels><?xml version="1.0" encoding="UTF-8" standalone="yes"?>
<Relationships xmlns="http://schemas.openxmlformats.org/package/2006/relationships"><Relationship Id="rId2" Type="http://schemas.openxmlformats.org/officeDocument/2006/relationships/package" Target="../embeddings/Microsoft_Excel_Worksheet159.xlsx"/><Relationship Id="rId1" Type="http://schemas.openxmlformats.org/officeDocument/2006/relationships/themeOverride" Target="../theme/themeOverride106.xml"/></Relationships>
</file>

<file path=word/charts/_rels/chart159.xml.rels><?xml version="1.0" encoding="UTF-8" standalone="yes"?>
<Relationships xmlns="http://schemas.openxmlformats.org/package/2006/relationships"><Relationship Id="rId2" Type="http://schemas.openxmlformats.org/officeDocument/2006/relationships/package" Target="../embeddings/Microsoft_Excel_Worksheet160.xlsx"/><Relationship Id="rId1" Type="http://schemas.openxmlformats.org/officeDocument/2006/relationships/themeOverride" Target="../theme/themeOverride107.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160.xml.rels><?xml version="1.0" encoding="UTF-8" standalone="yes"?>
<Relationships xmlns="http://schemas.openxmlformats.org/package/2006/relationships"><Relationship Id="rId2" Type="http://schemas.openxmlformats.org/officeDocument/2006/relationships/package" Target="../embeddings/Microsoft_Excel_Worksheet161.xlsx"/><Relationship Id="rId1" Type="http://schemas.openxmlformats.org/officeDocument/2006/relationships/themeOverride" Target="../theme/themeOverride108.xml"/></Relationships>
</file>

<file path=word/charts/_rels/chart161.xml.rels><?xml version="1.0" encoding="UTF-8" standalone="yes"?>
<Relationships xmlns="http://schemas.openxmlformats.org/package/2006/relationships"><Relationship Id="rId2" Type="http://schemas.openxmlformats.org/officeDocument/2006/relationships/package" Target="../embeddings/Microsoft_Excel_Worksheet162.xlsx"/><Relationship Id="rId1" Type="http://schemas.openxmlformats.org/officeDocument/2006/relationships/themeOverride" Target="../theme/themeOverride109.xml"/></Relationships>
</file>

<file path=word/charts/_rels/chart162.xml.rels><?xml version="1.0" encoding="UTF-8" standalone="yes"?>
<Relationships xmlns="http://schemas.openxmlformats.org/package/2006/relationships"><Relationship Id="rId2" Type="http://schemas.openxmlformats.org/officeDocument/2006/relationships/package" Target="../embeddings/Microsoft_Excel_Worksheet163.xlsx"/><Relationship Id="rId1" Type="http://schemas.openxmlformats.org/officeDocument/2006/relationships/themeOverride" Target="../theme/themeOverride110.xml"/></Relationships>
</file>

<file path=word/charts/_rels/chart163.xml.rels><?xml version="1.0" encoding="UTF-8" standalone="yes"?>
<Relationships xmlns="http://schemas.openxmlformats.org/package/2006/relationships"><Relationship Id="rId2" Type="http://schemas.openxmlformats.org/officeDocument/2006/relationships/package" Target="../embeddings/Microsoft_Excel_Worksheet164.xlsx"/><Relationship Id="rId1" Type="http://schemas.openxmlformats.org/officeDocument/2006/relationships/themeOverride" Target="../theme/themeOverride111.xml"/></Relationships>
</file>

<file path=word/charts/_rels/chart164.xml.rels><?xml version="1.0" encoding="UTF-8" standalone="yes"?>
<Relationships xmlns="http://schemas.openxmlformats.org/package/2006/relationships"><Relationship Id="rId2" Type="http://schemas.openxmlformats.org/officeDocument/2006/relationships/package" Target="../embeddings/Microsoft_Excel_Worksheet165.xlsx"/><Relationship Id="rId1" Type="http://schemas.openxmlformats.org/officeDocument/2006/relationships/themeOverride" Target="../theme/themeOverride112.xml"/></Relationships>
</file>

<file path=word/charts/_rels/chart165.xml.rels><?xml version="1.0" encoding="UTF-8" standalone="yes"?>
<Relationships xmlns="http://schemas.openxmlformats.org/package/2006/relationships"><Relationship Id="rId2" Type="http://schemas.openxmlformats.org/officeDocument/2006/relationships/package" Target="../embeddings/Microsoft_Excel_Worksheet166.xlsx"/><Relationship Id="rId1" Type="http://schemas.openxmlformats.org/officeDocument/2006/relationships/themeOverride" Target="../theme/themeOverride113.xml"/></Relationships>
</file>

<file path=word/charts/_rels/chart166.xml.rels><?xml version="1.0" encoding="UTF-8" standalone="yes"?>
<Relationships xmlns="http://schemas.openxmlformats.org/package/2006/relationships"><Relationship Id="rId2" Type="http://schemas.openxmlformats.org/officeDocument/2006/relationships/package" Target="../embeddings/Microsoft_Excel_Worksheet167.xlsx"/><Relationship Id="rId1" Type="http://schemas.openxmlformats.org/officeDocument/2006/relationships/themeOverride" Target="../theme/themeOverride114.xm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168.xlsx"/></Relationships>
</file>

<file path=word/charts/_rels/chart168.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package" Target="../embeddings/Microsoft_Excel_Worksheet169.xlsx"/></Relationships>
</file>

<file path=word/charts/_rels/chart169.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package" Target="../embeddings/Microsoft_Excel_Worksheet170.xlsx"/></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5.xml"/><Relationship Id="rId1" Type="http://schemas.microsoft.com/office/2011/relationships/chartStyle" Target="style5.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6.xml"/><Relationship Id="rId1" Type="http://schemas.microsoft.com/office/2011/relationships/chartStyle" Target="style6.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8.xml"/><Relationship Id="rId1" Type="http://schemas.microsoft.com/office/2011/relationships/chartStyle" Target="style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10.xml"/><Relationship Id="rId1" Type="http://schemas.microsoft.com/office/2011/relationships/chartStyle" Target="style10.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15.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17.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19.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13.xml"/><Relationship Id="rId1" Type="http://schemas.microsoft.com/office/2011/relationships/chartStyle" Target="style13.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22.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23.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24.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25.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16.xml"/><Relationship Id="rId1" Type="http://schemas.microsoft.com/office/2011/relationships/chartStyle" Target="style16.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26.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17.xml"/><Relationship Id="rId1" Type="http://schemas.microsoft.com/office/2011/relationships/chartStyle" Target="style17.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18.xml"/><Relationship Id="rId1" Type="http://schemas.microsoft.com/office/2011/relationships/chartStyle" Target="style18.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19.xml"/><Relationship Id="rId1" Type="http://schemas.microsoft.com/office/2011/relationships/chartStyle" Target="style19.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27.xml"/></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2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29.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30.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31.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32.xml"/></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8.xlsx"/></Relationships>
</file>

<file path=word/charts/_rels/chart5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59.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62.xlsx"/></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63.xlsx"/><Relationship Id="rId2" Type="http://schemas.microsoft.com/office/2011/relationships/chartColorStyle" Target="colors22.xml"/><Relationship Id="rId1" Type="http://schemas.microsoft.com/office/2011/relationships/chartStyle" Target="style22.xm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64.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66.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36.xm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37.xml"/></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7.xml.rels><?xml version="1.0" encoding="UTF-8" standalone="yes"?>
<Relationships xmlns="http://schemas.openxmlformats.org/package/2006/relationships"><Relationship Id="rId2" Type="http://schemas.openxmlformats.org/officeDocument/2006/relationships/package" Target="../embeddings/Microsoft_Excel_Worksheet78.xlsx"/><Relationship Id="rId1" Type="http://schemas.openxmlformats.org/officeDocument/2006/relationships/themeOverride" Target="../theme/themeOverride38.xml"/></Relationships>
</file>

<file path=word/charts/_rels/chart78.xml.rels><?xml version="1.0" encoding="UTF-8" standalone="yes"?>
<Relationships xmlns="http://schemas.openxmlformats.org/package/2006/relationships"><Relationship Id="rId3" Type="http://schemas.openxmlformats.org/officeDocument/2006/relationships/package" Target="../embeddings/Microsoft_Excel_Worksheet79.xlsx"/><Relationship Id="rId2" Type="http://schemas.microsoft.com/office/2011/relationships/chartColorStyle" Target="colors25.xml"/><Relationship Id="rId1" Type="http://schemas.microsoft.com/office/2011/relationships/chartStyle" Target="style25.xml"/></Relationships>
</file>

<file path=word/charts/_rels/chart79.xml.rels><?xml version="1.0" encoding="UTF-8" standalone="yes"?>
<Relationships xmlns="http://schemas.openxmlformats.org/package/2006/relationships"><Relationship Id="rId3" Type="http://schemas.openxmlformats.org/officeDocument/2006/relationships/package" Target="../embeddings/Microsoft_Excel_Worksheet80.xlsx"/><Relationship Id="rId2" Type="http://schemas.microsoft.com/office/2011/relationships/chartColorStyle" Target="colors26.xml"/><Relationship Id="rId1" Type="http://schemas.microsoft.com/office/2011/relationships/chartStyle" Target="style2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4.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81.xlsx"/><Relationship Id="rId2" Type="http://schemas.microsoft.com/office/2011/relationships/chartColorStyle" Target="colors27.xml"/><Relationship Id="rId1" Type="http://schemas.microsoft.com/office/2011/relationships/chartStyle" Target="style27.xml"/></Relationships>
</file>

<file path=word/charts/_rels/chart8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82.xlsx"/></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83.xlsx"/></Relationships>
</file>

<file path=word/charts/_rels/chart83.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84.xlsx"/><Relationship Id="rId1" Type="http://schemas.openxmlformats.org/officeDocument/2006/relationships/themeOverride" Target="../theme/themeOverride40.xml"/></Relationships>
</file>

<file path=word/charts/_rels/chart84.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85.xlsx"/><Relationship Id="rId1" Type="http://schemas.openxmlformats.org/officeDocument/2006/relationships/themeOverride" Target="../theme/themeOverride41.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Worksheet86.xlsx"/><Relationship Id="rId1" Type="http://schemas.openxmlformats.org/officeDocument/2006/relationships/themeOverride" Target="../theme/themeOverride42.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Worksheet87.xlsx"/><Relationship Id="rId1" Type="http://schemas.openxmlformats.org/officeDocument/2006/relationships/themeOverride" Target="../theme/themeOverride43.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Worksheet88.xlsx"/><Relationship Id="rId1" Type="http://schemas.openxmlformats.org/officeDocument/2006/relationships/themeOverride" Target="../theme/themeOverride44.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Worksheet89.xlsx"/><Relationship Id="rId1" Type="http://schemas.openxmlformats.org/officeDocument/2006/relationships/themeOverride" Target="../theme/themeOverride45.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Worksheet90.xlsx"/><Relationship Id="rId1" Type="http://schemas.openxmlformats.org/officeDocument/2006/relationships/themeOverride" Target="../theme/themeOverride4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91.xlsx"/></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92.xlsx"/></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93.xlsx"/><Relationship Id="rId1" Type="http://schemas.openxmlformats.org/officeDocument/2006/relationships/themeOverride" Target="../theme/themeOverride49.xml"/></Relationships>
</file>

<file path=word/charts/_rels/chart93.xml.rels><?xml version="1.0" encoding="UTF-8" standalone="yes"?>
<Relationships xmlns="http://schemas.openxmlformats.org/package/2006/relationships"><Relationship Id="rId3" Type="http://schemas.openxmlformats.org/officeDocument/2006/relationships/package" Target="../embeddings/Microsoft_Excel_Worksheet94.xlsx"/><Relationship Id="rId2" Type="http://schemas.microsoft.com/office/2011/relationships/chartColorStyle" Target="colors31.xml"/><Relationship Id="rId1" Type="http://schemas.microsoft.com/office/2011/relationships/chartStyle" Target="style31.xml"/></Relationships>
</file>

<file path=word/charts/_rels/chart94.xml.rels><?xml version="1.0" encoding="UTF-8" standalone="yes"?>
<Relationships xmlns="http://schemas.openxmlformats.org/package/2006/relationships"><Relationship Id="rId3" Type="http://schemas.openxmlformats.org/officeDocument/2006/relationships/package" Target="../embeddings/Microsoft_Excel_Worksheet95.xlsx"/><Relationship Id="rId2" Type="http://schemas.microsoft.com/office/2011/relationships/chartColorStyle" Target="colors32.xml"/><Relationship Id="rId1" Type="http://schemas.microsoft.com/office/2011/relationships/chartStyle" Target="style32.xm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96.xlsx"/></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97.xlsx"/></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98.xlsx"/></Relationships>
</file>

<file path=word/charts/_rels/chart98.xml.rels><?xml version="1.0" encoding="UTF-8" standalone="yes"?>
<Relationships xmlns="http://schemas.openxmlformats.org/package/2006/relationships"><Relationship Id="rId2" Type="http://schemas.openxmlformats.org/officeDocument/2006/relationships/package" Target="../embeddings/Microsoft_Excel_Worksheet99.xlsx"/><Relationship Id="rId1" Type="http://schemas.openxmlformats.org/officeDocument/2006/relationships/themeOverride" Target="../theme/themeOverride53.xml"/></Relationships>
</file>

<file path=word/charts/_rels/chart99.xml.rels><?xml version="1.0" encoding="UTF-8" standalone="yes"?>
<Relationships xmlns="http://schemas.openxmlformats.org/package/2006/relationships"><Relationship Id="rId3" Type="http://schemas.openxmlformats.org/officeDocument/2006/relationships/package" Target="../embeddings/Microsoft_Excel_Worksheet100.xlsx"/><Relationship Id="rId2" Type="http://schemas.microsoft.com/office/2011/relationships/chartColorStyle" Target="colors36.xml"/><Relationship Id="rId1" Type="http://schemas.microsoft.com/office/2011/relationships/chartStyle" Target="style36.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4.xlsx"/></Relationships>
</file>

<file path=word/charts/_rels/chartEx2.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package" Target="../embeddings/Microsoft_Excel_Worksheet4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5">
                <a:lumMod val="75000"/>
              </a:schemeClr>
            </a:solidFill>
            <a:ln>
              <a:noFill/>
            </a:ln>
          </c:spPr>
          <c:invertIfNegative val="0"/>
          <c:dPt>
            <c:idx val="5"/>
            <c:invertIfNegative val="0"/>
            <c:bubble3D val="0"/>
            <c:extLst>
              <c:ext xmlns:c16="http://schemas.microsoft.com/office/drawing/2014/chart" uri="{C3380CC4-5D6E-409C-BE32-E72D297353CC}">
                <c16:uniqueId val="{00000000-F9B8-4EB3-98B1-F45C57C0C212}"/>
              </c:ext>
            </c:extLst>
          </c:dPt>
          <c:dPt>
            <c:idx val="7"/>
            <c:invertIfNegative val="0"/>
            <c:bubble3D val="0"/>
            <c:extLst>
              <c:ext xmlns:c16="http://schemas.microsoft.com/office/drawing/2014/chart" uri="{C3380CC4-5D6E-409C-BE32-E72D297353CC}">
                <c16:uniqueId val="{00000001-F9B8-4EB3-98B1-F45C57C0C212}"/>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B8-4EB3-98B1-F45C57C0C212}"/>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B8-4EB3-98B1-F45C57C0C212}"/>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B8-4EB3-98B1-F45C57C0C212}"/>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B8-4EB3-98B1-F45C57C0C212}"/>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2016</c:v>
                </c:pt>
                <c:pt idx="1">
                  <c:v>2017</c:v>
                </c:pt>
                <c:pt idx="2">
                  <c:v>2018</c:v>
                </c:pt>
                <c:pt idx="3">
                  <c:v>2019</c:v>
                </c:pt>
                <c:pt idx="4">
                  <c:v>2020</c:v>
                </c:pt>
                <c:pt idx="5">
                  <c:v>2021</c:v>
                </c:pt>
              </c:numCache>
            </c:numRef>
          </c:cat>
          <c:val>
            <c:numRef>
              <c:f>Sheet1!$B$2:$B$9</c:f>
              <c:numCache>
                <c:formatCode>0.0</c:formatCode>
                <c:ptCount val="6"/>
                <c:pt idx="0">
                  <c:v>2.4</c:v>
                </c:pt>
                <c:pt idx="1">
                  <c:v>3.3</c:v>
                </c:pt>
                <c:pt idx="2">
                  <c:v>4</c:v>
                </c:pt>
                <c:pt idx="3">
                  <c:v>2.5</c:v>
                </c:pt>
                <c:pt idx="4">
                  <c:v>-3.8</c:v>
                </c:pt>
                <c:pt idx="5">
                  <c:v>4.5</c:v>
                </c:pt>
              </c:numCache>
            </c:numRef>
          </c:val>
          <c:extLst>
            <c:ext xmlns:c16="http://schemas.microsoft.com/office/drawing/2014/chart" uri="{C3380CC4-5D6E-409C-BE32-E72D297353CC}">
              <c16:uniqueId val="{00000005-F9B8-4EB3-98B1-F45C57C0C212}"/>
            </c:ext>
          </c:extLst>
        </c:ser>
        <c:dLbls>
          <c:dLblPos val="outEnd"/>
          <c:showLegendKey val="0"/>
          <c:showVal val="1"/>
          <c:showCatName val="0"/>
          <c:showSerName val="0"/>
          <c:showPercent val="0"/>
          <c:showBubbleSize val="0"/>
        </c:dLbls>
        <c:gapWidth val="30"/>
        <c:axId val="742129488"/>
        <c:axId val="742133800"/>
      </c:barChart>
      <c:catAx>
        <c:axId val="742129488"/>
        <c:scaling>
          <c:orientation val="minMax"/>
        </c:scaling>
        <c:delete val="0"/>
        <c:axPos val="b"/>
        <c:numFmt formatCode="General" sourceLinked="1"/>
        <c:majorTickMark val="out"/>
        <c:minorTickMark val="none"/>
        <c:tickLblPos val="low"/>
        <c:txPr>
          <a:bodyPr rot="-5400000" vert="horz"/>
          <a:lstStyle/>
          <a:p>
            <a:pPr>
              <a:defRPr/>
            </a:pPr>
            <a:endParaRPr lang="lv-LV"/>
          </a:p>
        </c:txPr>
        <c:crossAx val="742133800"/>
        <c:crosses val="autoZero"/>
        <c:auto val="1"/>
        <c:lblAlgn val="ctr"/>
        <c:lblOffset val="0"/>
        <c:noMultiLvlLbl val="0"/>
      </c:catAx>
      <c:valAx>
        <c:axId val="742133800"/>
        <c:scaling>
          <c:orientation val="minMax"/>
        </c:scaling>
        <c:delete val="1"/>
        <c:axPos val="l"/>
        <c:numFmt formatCode="0" sourceLinked="0"/>
        <c:majorTickMark val="out"/>
        <c:minorTickMark val="none"/>
        <c:tickLblPos val="nextTo"/>
        <c:crossAx val="74212948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783444869065823E-2"/>
          <c:y val="0.25477777494808151"/>
          <c:w val="0.81304569012666139"/>
          <c:h val="0.64462374429012304"/>
        </c:manualLayout>
      </c:layout>
      <c:barChart>
        <c:barDir val="col"/>
        <c:grouping val="stacked"/>
        <c:varyColors val="0"/>
        <c:ser>
          <c:idx val="1"/>
          <c:order val="0"/>
          <c:tx>
            <c:strRef>
              <c:f>Sheet1!$A$2</c:f>
              <c:strCache>
                <c:ptCount val="1"/>
                <c:pt idx="0">
                  <c:v>DM</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Sheet1!$B$2:$W$2</c:f>
            </c:numRef>
          </c:val>
          <c:extLst>
            <c:ext xmlns:c16="http://schemas.microsoft.com/office/drawing/2014/chart" uri="{C3380CC4-5D6E-409C-BE32-E72D297353CC}">
              <c16:uniqueId val="{00000000-6776-46A7-855B-C0F573F5B799}"/>
            </c:ext>
          </c:extLst>
        </c:ser>
        <c:ser>
          <c:idx val="0"/>
          <c:order val="1"/>
          <c:tx>
            <c:strRef>
              <c:f>Sheet1!$A$3</c:f>
              <c:strCache>
                <c:ptCount val="1"/>
                <c:pt idx="0">
                  <c:v>Darbaspēka pieprasījums (kreisā ass)</c:v>
                </c:pt>
              </c:strCache>
            </c:strRef>
          </c:tx>
          <c:spPr>
            <a:solidFill>
              <a:schemeClr val="accent6"/>
            </a:solidFill>
            <a:ln>
              <a:noFill/>
            </a:ln>
            <a:effectLst/>
          </c:spPr>
          <c:invertIfNegative val="0"/>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Sheet1!$B$3:$W$3</c:f>
              <c:numCache>
                <c:formatCode>General</c:formatCode>
                <c:ptCount val="8"/>
                <c:pt idx="0">
                  <c:v>57.8</c:v>
                </c:pt>
                <c:pt idx="1">
                  <c:v>-14</c:v>
                </c:pt>
                <c:pt idx="2" formatCode="0.0">
                  <c:v>9.3000000000000007</c:v>
                </c:pt>
                <c:pt idx="3" formatCode="0.0">
                  <c:v>2.8</c:v>
                </c:pt>
                <c:pt idx="4" formatCode="0.0">
                  <c:v>-14.6</c:v>
                </c:pt>
                <c:pt idx="5" formatCode="0.0">
                  <c:v>-0.64499999999998181</c:v>
                </c:pt>
                <c:pt idx="6">
                  <c:v>17.025000000000091</c:v>
                </c:pt>
                <c:pt idx="7">
                  <c:v>29</c:v>
                </c:pt>
              </c:numCache>
            </c:numRef>
          </c:val>
          <c:extLst>
            <c:ext xmlns:c16="http://schemas.microsoft.com/office/drawing/2014/chart" uri="{C3380CC4-5D6E-409C-BE32-E72D297353CC}">
              <c16:uniqueId val="{00000001-6776-46A7-855B-C0F573F5B799}"/>
            </c:ext>
          </c:extLst>
        </c:ser>
        <c:ser>
          <c:idx val="2"/>
          <c:order val="2"/>
          <c:tx>
            <c:strRef>
              <c:f>Sheet1!$A$4</c:f>
              <c:strCache>
                <c:ptCount val="1"/>
                <c:pt idx="0">
                  <c:v>EA iedz</c:v>
                </c:pt>
              </c:strCache>
            </c:strRef>
          </c:tx>
          <c:spPr>
            <a:solidFill>
              <a:schemeClr val="accent4"/>
            </a:solidFill>
            <a:ln>
              <a:noFill/>
            </a:ln>
            <a:effectLst/>
          </c:spPr>
          <c:invertIfNegative val="0"/>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Sheet1!$B$4:$W$4</c:f>
            </c:numRef>
          </c:val>
          <c:extLst>
            <c:ext xmlns:c16="http://schemas.microsoft.com/office/drawing/2014/chart" uri="{C3380CC4-5D6E-409C-BE32-E72D297353CC}">
              <c16:uniqueId val="{00000002-6776-46A7-855B-C0F573F5B799}"/>
            </c:ext>
          </c:extLst>
        </c:ser>
        <c:ser>
          <c:idx val="3"/>
          <c:order val="3"/>
          <c:tx>
            <c:strRef>
              <c:f>Sheet1!$A$5</c:f>
              <c:strCache>
                <c:ptCount val="1"/>
                <c:pt idx="0">
                  <c:v>Darbaspējīgo iedzīvotāju skaits (kreisā ass)</c:v>
                </c:pt>
              </c:strCache>
            </c:strRef>
          </c:tx>
          <c:spPr>
            <a:solidFill>
              <a:schemeClr val="accent6">
                <a:lumMod val="60000"/>
              </a:schemeClr>
            </a:solidFill>
            <a:ln>
              <a:noFill/>
            </a:ln>
            <a:effectLst/>
          </c:spPr>
          <c:invertIfNegative val="0"/>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Sheet1!$B$5:$W$5</c:f>
              <c:numCache>
                <c:formatCode>General</c:formatCode>
                <c:ptCount val="8"/>
                <c:pt idx="0">
                  <c:v>-5.9</c:v>
                </c:pt>
                <c:pt idx="1">
                  <c:v>-35.299999999999997</c:v>
                </c:pt>
                <c:pt idx="2" formatCode="0.0">
                  <c:v>-40.299999999999997</c:v>
                </c:pt>
                <c:pt idx="3" formatCode="0.0">
                  <c:v>-22.3</c:v>
                </c:pt>
                <c:pt idx="4" formatCode="0.0">
                  <c:v>-12.6</c:v>
                </c:pt>
                <c:pt idx="5" formatCode="0.0">
                  <c:v>-11.3</c:v>
                </c:pt>
                <c:pt idx="6">
                  <c:v>-9.4</c:v>
                </c:pt>
                <c:pt idx="7">
                  <c:v>-8.6999999999998181</c:v>
                </c:pt>
              </c:numCache>
            </c:numRef>
          </c:val>
          <c:extLst>
            <c:ext xmlns:c16="http://schemas.microsoft.com/office/drawing/2014/chart" uri="{C3380CC4-5D6E-409C-BE32-E72D297353CC}">
              <c16:uniqueId val="{00000003-6776-46A7-855B-C0F573F5B799}"/>
            </c:ext>
          </c:extLst>
        </c:ser>
        <c:ser>
          <c:idx val="4"/>
          <c:order val="4"/>
          <c:tx>
            <c:strRef>
              <c:f>Sheet1!$A$6</c:f>
              <c:strCache>
                <c:ptCount val="1"/>
                <c:pt idx="0">
                  <c:v>Iedzīvotāju ekonomiskā aktivitāte (kreisā ass)</c:v>
                </c:pt>
              </c:strCache>
            </c:strRef>
          </c:tx>
          <c:spPr>
            <a:solidFill>
              <a:schemeClr val="accent5">
                <a:lumMod val="60000"/>
              </a:schemeClr>
            </a:solidFill>
            <a:ln>
              <a:noFill/>
            </a:ln>
            <a:effectLst/>
          </c:spPr>
          <c:invertIfNegative val="0"/>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Sheet1!$B$6:$W$6</c:f>
              <c:numCache>
                <c:formatCode>General</c:formatCode>
                <c:ptCount val="8"/>
                <c:pt idx="0">
                  <c:v>12.9</c:v>
                </c:pt>
                <c:pt idx="1">
                  <c:v>37.799999999999997</c:v>
                </c:pt>
                <c:pt idx="2" formatCode="0.0">
                  <c:v>18.399999999999999</c:v>
                </c:pt>
                <c:pt idx="3" formatCode="0.0">
                  <c:v>16.7</c:v>
                </c:pt>
                <c:pt idx="4" formatCode="0.0">
                  <c:v>14.4</c:v>
                </c:pt>
                <c:pt idx="5" formatCode="0.0">
                  <c:v>0.49749999999983174</c:v>
                </c:pt>
                <c:pt idx="6">
                  <c:v>9.7750000000003183</c:v>
                </c:pt>
                <c:pt idx="7">
                  <c:v>-28.400000000000205</c:v>
                </c:pt>
              </c:numCache>
            </c:numRef>
          </c:val>
          <c:extLst>
            <c:ext xmlns:c16="http://schemas.microsoft.com/office/drawing/2014/chart" uri="{C3380CC4-5D6E-409C-BE32-E72D297353CC}">
              <c16:uniqueId val="{00000004-6776-46A7-855B-C0F573F5B799}"/>
            </c:ext>
          </c:extLst>
        </c:ser>
        <c:dLbls>
          <c:showLegendKey val="0"/>
          <c:showVal val="0"/>
          <c:showCatName val="0"/>
          <c:showSerName val="0"/>
          <c:showPercent val="0"/>
          <c:showBubbleSize val="0"/>
        </c:dLbls>
        <c:gapWidth val="40"/>
        <c:overlap val="100"/>
        <c:axId val="742151832"/>
        <c:axId val="742151048"/>
      </c:barChart>
      <c:lineChart>
        <c:grouping val="standard"/>
        <c:varyColors val="0"/>
        <c:ser>
          <c:idx val="5"/>
          <c:order val="5"/>
          <c:tx>
            <c:strRef>
              <c:f>Sheet1!$A$7</c:f>
              <c:strCache>
                <c:ptCount val="1"/>
                <c:pt idx="0">
                  <c:v>Bezdarbnieku kopējais skaits (kreisā ass)</c:v>
                </c:pt>
              </c:strCache>
            </c:strRef>
          </c:tx>
          <c:spPr>
            <a:ln w="28575" cap="rnd" cmpd="sng" algn="ctr">
              <a:solidFill>
                <a:schemeClr val="accent4">
                  <a:lumMod val="60000"/>
                  <a:shade val="95000"/>
                  <a:satMod val="105000"/>
                </a:schemeClr>
              </a:solidFill>
              <a:prstDash val="solid"/>
              <a:round/>
            </a:ln>
            <a:effectLst/>
          </c:spPr>
          <c:marker>
            <c:symbol val="none"/>
          </c:marker>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Sheet1!$B$7:$W$7</c:f>
              <c:numCache>
                <c:formatCode>General</c:formatCode>
                <c:ptCount val="8"/>
                <c:pt idx="0">
                  <c:v>12.9</c:v>
                </c:pt>
                <c:pt idx="1">
                  <c:v>-11.5</c:v>
                </c:pt>
                <c:pt idx="2">
                  <c:v>-12.7</c:v>
                </c:pt>
                <c:pt idx="3" formatCode="0.0">
                  <c:v>-2.9</c:v>
                </c:pt>
                <c:pt idx="4" formatCode="0.0">
                  <c:v>-12.6</c:v>
                </c:pt>
                <c:pt idx="5" formatCode="0.0">
                  <c:v>-11.5</c:v>
                </c:pt>
                <c:pt idx="6">
                  <c:v>17.350000000000136</c:v>
                </c:pt>
                <c:pt idx="7">
                  <c:v>-8.1000000000000227</c:v>
                </c:pt>
              </c:numCache>
            </c:numRef>
          </c:val>
          <c:smooth val="0"/>
          <c:extLst>
            <c:ext xmlns:c16="http://schemas.microsoft.com/office/drawing/2014/chart" uri="{C3380CC4-5D6E-409C-BE32-E72D297353CC}">
              <c16:uniqueId val="{00000005-6776-46A7-855B-C0F573F5B799}"/>
            </c:ext>
          </c:extLst>
        </c:ser>
        <c:dLbls>
          <c:showLegendKey val="0"/>
          <c:showVal val="0"/>
          <c:showCatName val="0"/>
          <c:showSerName val="0"/>
          <c:showPercent val="0"/>
          <c:showBubbleSize val="0"/>
        </c:dLbls>
        <c:marker val="1"/>
        <c:smooth val="0"/>
        <c:axId val="742151832"/>
        <c:axId val="742151048"/>
      </c:lineChart>
      <c:lineChart>
        <c:grouping val="standard"/>
        <c:varyColors val="0"/>
        <c:ser>
          <c:idx val="6"/>
          <c:order val="6"/>
          <c:tx>
            <c:strRef>
              <c:f>Sheet1!$A$8</c:f>
              <c:strCache>
                <c:ptCount val="1"/>
                <c:pt idx="0">
                  <c:v>Bezdarba līmenis, % (labā ass)</c:v>
                </c:pt>
              </c:strCache>
            </c:strRef>
          </c:tx>
          <c:spPr>
            <a:ln w="28575" cap="rnd" cmpd="sng" algn="ctr">
              <a:solidFill>
                <a:schemeClr val="accent6">
                  <a:lumMod val="80000"/>
                  <a:lumOff val="20000"/>
                  <a:shade val="95000"/>
                  <a:satMod val="105000"/>
                </a:schemeClr>
              </a:solidFill>
              <a:prstDash val="solid"/>
              <a:round/>
            </a:ln>
            <a:effectLst/>
          </c:spPr>
          <c:marker>
            <c:symbol val="none"/>
          </c:marker>
          <c:cat>
            <c:numRef>
              <c:f>Sheet1!$B$1:$W$1</c:f>
              <c:numCache>
                <c:formatCode>General</c:formatCode>
                <c:ptCount val="8"/>
                <c:pt idx="0">
                  <c:v>2010</c:v>
                </c:pt>
                <c:pt idx="1">
                  <c:v>2012</c:v>
                </c:pt>
                <c:pt idx="2">
                  <c:v>2014</c:v>
                </c:pt>
                <c:pt idx="3">
                  <c:v>2016</c:v>
                </c:pt>
                <c:pt idx="4">
                  <c:v>2018</c:v>
                </c:pt>
                <c:pt idx="5">
                  <c:v>2019</c:v>
                </c:pt>
                <c:pt idx="6">
                  <c:v>2020</c:v>
                </c:pt>
                <c:pt idx="7">
                  <c:v>2021</c:v>
                </c:pt>
              </c:numCache>
            </c:numRef>
          </c:cat>
          <c:val>
            <c:numRef>
              <c:f>Sheet1!$B$8:$W$8</c:f>
              <c:numCache>
                <c:formatCode>0.0</c:formatCode>
                <c:ptCount val="8"/>
                <c:pt idx="0">
                  <c:v>19.5</c:v>
                </c:pt>
                <c:pt idx="1">
                  <c:v>15</c:v>
                </c:pt>
                <c:pt idx="2">
                  <c:v>10.8</c:v>
                </c:pt>
                <c:pt idx="3">
                  <c:v>9.6</c:v>
                </c:pt>
                <c:pt idx="4">
                  <c:v>7.4</c:v>
                </c:pt>
                <c:pt idx="5">
                  <c:v>6.3</c:v>
                </c:pt>
                <c:pt idx="6">
                  <c:v>8.0994159569815167</c:v>
                </c:pt>
                <c:pt idx="7">
                  <c:v>7.5540338112561543</c:v>
                </c:pt>
              </c:numCache>
            </c:numRef>
          </c:val>
          <c:smooth val="0"/>
          <c:extLst>
            <c:ext xmlns:c16="http://schemas.microsoft.com/office/drawing/2014/chart" uri="{C3380CC4-5D6E-409C-BE32-E72D297353CC}">
              <c16:uniqueId val="{00000006-6776-46A7-855B-C0F573F5B799}"/>
            </c:ext>
          </c:extLst>
        </c:ser>
        <c:dLbls>
          <c:showLegendKey val="0"/>
          <c:showVal val="0"/>
          <c:showCatName val="0"/>
          <c:showSerName val="0"/>
          <c:showPercent val="0"/>
          <c:showBubbleSize val="0"/>
        </c:dLbls>
        <c:marker val="1"/>
        <c:smooth val="0"/>
        <c:axId val="742152616"/>
        <c:axId val="742152224"/>
      </c:lineChart>
      <c:catAx>
        <c:axId val="74215183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1048"/>
        <c:crossesAt val="0"/>
        <c:auto val="0"/>
        <c:lblAlgn val="ctr"/>
        <c:lblOffset val="0"/>
        <c:noMultiLvlLbl val="1"/>
      </c:catAx>
      <c:valAx>
        <c:axId val="742151048"/>
        <c:scaling>
          <c:orientation val="minMax"/>
          <c:max val="180"/>
          <c:min val="-60"/>
        </c:scaling>
        <c:delete val="0"/>
        <c:axPos val="l"/>
        <c:numFmt formatCode="#,##0" sourceLinked="0"/>
        <c:majorTickMark val="out"/>
        <c:minorTickMark val="none"/>
        <c:tickLblPos val="nextTo"/>
        <c:spPr>
          <a:noFill/>
          <a:ln w="2339"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1832"/>
        <c:crossesAt val="1"/>
        <c:crossBetween val="between"/>
        <c:majorUnit val="60"/>
      </c:valAx>
      <c:valAx>
        <c:axId val="742152224"/>
        <c:scaling>
          <c:orientation val="minMax"/>
          <c:max val="24"/>
          <c:min val="0"/>
        </c:scaling>
        <c:delete val="0"/>
        <c:axPos val="r"/>
        <c:numFmt formatCode="0" sourceLinked="0"/>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crossAx val="742152616"/>
        <c:crosses val="max"/>
        <c:crossBetween val="between"/>
        <c:majorUnit val="6"/>
      </c:valAx>
      <c:catAx>
        <c:axId val="742152616"/>
        <c:scaling>
          <c:orientation val="minMax"/>
        </c:scaling>
        <c:delete val="1"/>
        <c:axPos val="b"/>
        <c:numFmt formatCode="General" sourceLinked="1"/>
        <c:majorTickMark val="out"/>
        <c:minorTickMark val="none"/>
        <c:tickLblPos val="nextTo"/>
        <c:crossAx val="742152224"/>
        <c:crosses val="autoZero"/>
        <c:auto val="1"/>
        <c:lblAlgn val="ctr"/>
        <c:lblOffset val="100"/>
        <c:noMultiLvlLbl val="0"/>
      </c:catAx>
      <c:spPr>
        <a:noFill/>
        <a:ln w="24220">
          <a:noFill/>
        </a:ln>
        <a:effectLst/>
      </c:spPr>
    </c:plotArea>
    <c:legend>
      <c:legendPos val="r"/>
      <c:layout>
        <c:manualLayout>
          <c:xMode val="edge"/>
          <c:yMode val="edge"/>
          <c:x val="9.0298290416400639E-2"/>
          <c:y val="7.3475378941348889E-3"/>
          <c:w val="0.81721607434205856"/>
          <c:h val="0.36959300992991873"/>
        </c:manualLayout>
      </c:layout>
      <c:overlay val="1"/>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79388248170096"/>
          <c:y val="4.1056451365470897E-2"/>
          <c:w val="0.73064213555181601"/>
          <c:h val="0.83211583142967915"/>
        </c:manualLayout>
      </c:layout>
      <c:barChart>
        <c:barDir val="bar"/>
        <c:grouping val="clustered"/>
        <c:varyColors val="0"/>
        <c:ser>
          <c:idx val="0"/>
          <c:order val="0"/>
          <c:tx>
            <c:strRef>
              <c:f>Sheet1!$B$1</c:f>
              <c:strCache>
                <c:ptCount val="1"/>
                <c:pt idx="0">
                  <c:v>Series 1</c:v>
                </c:pt>
              </c:strCache>
            </c:strRef>
          </c:tx>
          <c:spPr>
            <a:solidFill>
              <a:schemeClr val="accent2">
                <a:lumMod val="75000"/>
              </a:schemeClr>
            </a:solidFill>
            <a:ln>
              <a:noFill/>
            </a:ln>
            <a:effectLst/>
          </c:spPr>
          <c:invertIfNegative val="0"/>
          <c:dLbls>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8E3E-422C-A139-FB2FF2F6129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15-24</c:v>
                </c:pt>
                <c:pt idx="1">
                  <c:v>25-54</c:v>
                </c:pt>
                <c:pt idx="2">
                  <c:v>55+</c:v>
                </c:pt>
                <c:pt idx="3">
                  <c:v>Kopā</c:v>
                </c:pt>
              </c:strCache>
            </c:strRef>
          </c:cat>
          <c:val>
            <c:numRef>
              <c:f>Sheet1!$B$2:$B$5</c:f>
              <c:numCache>
                <c:formatCode>0%</c:formatCode>
                <c:ptCount val="4"/>
                <c:pt idx="0">
                  <c:v>4.2368159819483608E-4</c:v>
                </c:pt>
                <c:pt idx="1">
                  <c:v>-4.1938589782932301E-2</c:v>
                </c:pt>
                <c:pt idx="2">
                  <c:v>0.2314985900243054</c:v>
                </c:pt>
                <c:pt idx="3">
                  <c:v>1.5933845838058236E-2</c:v>
                </c:pt>
              </c:numCache>
            </c:numRef>
          </c:val>
          <c:extLst>
            <c:ext xmlns:c16="http://schemas.microsoft.com/office/drawing/2014/chart" uri="{C3380CC4-5D6E-409C-BE32-E72D297353CC}">
              <c16:uniqueId val="{00000001-8E3E-422C-A139-FB2FF2F6129F}"/>
            </c:ext>
          </c:extLst>
        </c:ser>
        <c:dLbls>
          <c:showLegendKey val="0"/>
          <c:showVal val="0"/>
          <c:showCatName val="0"/>
          <c:showSerName val="0"/>
          <c:showPercent val="0"/>
          <c:showBubbleSize val="0"/>
        </c:dLbls>
        <c:gapWidth val="65"/>
        <c:overlap val="-42"/>
        <c:axId val="652739792"/>
        <c:axId val="652740184"/>
      </c:barChart>
      <c:catAx>
        <c:axId val="652739792"/>
        <c:scaling>
          <c:orientation val="minMax"/>
        </c:scaling>
        <c:delete val="0"/>
        <c:axPos val="l"/>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40184"/>
        <c:crosses val="autoZero"/>
        <c:auto val="1"/>
        <c:lblAlgn val="ctr"/>
        <c:lblOffset val="100"/>
        <c:noMultiLvlLbl val="0"/>
      </c:catAx>
      <c:valAx>
        <c:axId val="65274018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39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00389195368608E-2"/>
          <c:y val="3.1005498041902942E-2"/>
          <c:w val="0.91328006320328903"/>
          <c:h val="0.92306840050849681"/>
        </c:manualLayout>
      </c:layout>
      <c:barChart>
        <c:barDir val="bar"/>
        <c:grouping val="clustered"/>
        <c:varyColors val="0"/>
        <c:ser>
          <c:idx val="0"/>
          <c:order val="0"/>
          <c:tx>
            <c:strRef>
              <c:f>Sheet1!$B$1</c:f>
              <c:strCache>
                <c:ptCount val="1"/>
                <c:pt idx="0">
                  <c:v>Series 1</c:v>
                </c:pt>
              </c:strCache>
            </c:strRef>
          </c:tx>
          <c:spPr>
            <a:solidFill>
              <a:schemeClr val="accent2">
                <a:lumMod val="75000"/>
              </a:schemeClr>
            </a:solidFill>
            <a:ln>
              <a:solidFill>
                <a:schemeClr val="accent2">
                  <a:lumMod val="75000"/>
                </a:schemeClr>
              </a:solidFill>
            </a:ln>
            <a:effectLst/>
          </c:spPr>
          <c:invertIfNegative val="0"/>
          <c:dLbls>
            <c:dLbl>
              <c:idx val="3"/>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0-18BE-46C5-AB8C-988ABCB47939}"/>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Zema</c:v>
                </c:pt>
                <c:pt idx="1">
                  <c:v>Vidēja</c:v>
                </c:pt>
                <c:pt idx="2">
                  <c:v>Augsta</c:v>
                </c:pt>
                <c:pt idx="3">
                  <c:v>Kopā</c:v>
                </c:pt>
              </c:strCache>
            </c:strRef>
          </c:cat>
          <c:val>
            <c:numRef>
              <c:f>Sheet1!$B$2:$B$5</c:f>
              <c:numCache>
                <c:formatCode>0</c:formatCode>
                <c:ptCount val="4"/>
                <c:pt idx="0">
                  <c:v>-7660.1900000000023</c:v>
                </c:pt>
                <c:pt idx="1">
                  <c:v>-4364.4800000000105</c:v>
                </c:pt>
                <c:pt idx="2">
                  <c:v>16809.200000000012</c:v>
                </c:pt>
                <c:pt idx="3">
                  <c:v>4784.5299999999697</c:v>
                </c:pt>
              </c:numCache>
            </c:numRef>
          </c:val>
          <c:extLst>
            <c:ext xmlns:c16="http://schemas.microsoft.com/office/drawing/2014/chart" uri="{C3380CC4-5D6E-409C-BE32-E72D297353CC}">
              <c16:uniqueId val="{00000001-18BE-46C5-AB8C-988ABCB47939}"/>
            </c:ext>
          </c:extLst>
        </c:ser>
        <c:dLbls>
          <c:showLegendKey val="0"/>
          <c:showVal val="0"/>
          <c:showCatName val="0"/>
          <c:showSerName val="0"/>
          <c:showPercent val="0"/>
          <c:showBubbleSize val="0"/>
        </c:dLbls>
        <c:gapWidth val="65"/>
        <c:overlap val="-42"/>
        <c:axId val="652739792"/>
        <c:axId val="652740184"/>
      </c:barChart>
      <c:catAx>
        <c:axId val="652739792"/>
        <c:scaling>
          <c:orientation val="minMax"/>
        </c:scaling>
        <c:delete val="0"/>
        <c:axPos val="l"/>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40184"/>
        <c:crosses val="autoZero"/>
        <c:auto val="1"/>
        <c:lblAlgn val="ctr"/>
        <c:lblOffset val="100"/>
        <c:noMultiLvlLbl val="0"/>
      </c:catAx>
      <c:valAx>
        <c:axId val="652740184"/>
        <c:scaling>
          <c:orientation val="minMax"/>
        </c:scaling>
        <c:delete val="1"/>
        <c:axPos val="b"/>
        <c:numFmt formatCode="General" sourceLinked="0"/>
        <c:majorTickMark val="none"/>
        <c:minorTickMark val="none"/>
        <c:tickLblPos val="nextTo"/>
        <c:crossAx val="652739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750925925925922E-2"/>
          <c:y val="2.9421666666666665E-2"/>
          <c:w val="0.96057613465509262"/>
          <c:h val="0.90696682381086358"/>
        </c:manualLayout>
      </c:layout>
      <c:areaChart>
        <c:grouping val="standard"/>
        <c:varyColors val="0"/>
        <c:ser>
          <c:idx val="0"/>
          <c:order val="0"/>
          <c:tx>
            <c:strRef>
              <c:f>Sheet1!$A$7</c:f>
              <c:strCache>
                <c:ptCount val="1"/>
                <c:pt idx="0">
                  <c:v>l</c:v>
                </c:pt>
              </c:strCache>
            </c:strRef>
          </c:tx>
          <c:spPr>
            <a:solidFill>
              <a:schemeClr val="bg1">
                <a:lumMod val="85000"/>
              </a:schemeClr>
            </a:solidFill>
            <a:ln w="101600">
              <a:noFill/>
              <a:prstDash val="solid"/>
            </a:ln>
          </c:spPr>
          <c:cat>
            <c:numRef>
              <c:f>Sheet1!$B$6:$AP$6</c:f>
              <c:numCache>
                <c:formatCode>General</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Sheet1!$B$7:$AP$7</c:f>
              <c:numCache>
                <c:formatCode>General</c:formatCode>
                <c:ptCount val="41"/>
                <c:pt idx="6" formatCode="0">
                  <c:v>1108.9000000000001</c:v>
                </c:pt>
                <c:pt idx="7" formatCode="0">
                  <c:v>1125.5</c:v>
                </c:pt>
                <c:pt idx="8" formatCode="0">
                  <c:v>1143.4000000000001</c:v>
                </c:pt>
                <c:pt idx="22" formatCode="0">
                  <c:v>938.08837317400412</c:v>
                </c:pt>
                <c:pt idx="23" formatCode="0">
                  <c:v>939.68542419899939</c:v>
                </c:pt>
                <c:pt idx="24" formatCode="0">
                  <c:v>941.60273389099621</c:v>
                </c:pt>
                <c:pt idx="25" formatCode="0">
                  <c:v>941.90423977999762</c:v>
                </c:pt>
                <c:pt idx="26" formatCode="0">
                  <c:v>941.79319497300344</c:v>
                </c:pt>
                <c:pt idx="27" formatCode="0">
                  <c:v>941.85174399599941</c:v>
                </c:pt>
                <c:pt idx="28" formatCode="0">
                  <c:v>941.74892671199916</c:v>
                </c:pt>
                <c:pt idx="29" formatCode="0">
                  <c:v>942.2428661739998</c:v>
                </c:pt>
                <c:pt idx="30" formatCode="0">
                  <c:v>942.75505799399798</c:v>
                </c:pt>
                <c:pt idx="31" formatCode="0">
                  <c:v>942.56657850499823</c:v>
                </c:pt>
                <c:pt idx="32" formatCode="0">
                  <c:v>941.00515757300161</c:v>
                </c:pt>
                <c:pt idx="33" formatCode="0">
                  <c:v>938.87173249099726</c:v>
                </c:pt>
                <c:pt idx="34" formatCode="0">
                  <c:v>935.8404528719982</c:v>
                </c:pt>
                <c:pt idx="35" formatCode="0">
                  <c:v>934.20364843700372</c:v>
                </c:pt>
                <c:pt idx="36" formatCode="0">
                  <c:v>932.65401073700195</c:v>
                </c:pt>
                <c:pt idx="37" formatCode="0">
                  <c:v>930.15965906600218</c:v>
                </c:pt>
                <c:pt idx="38" formatCode="0">
                  <c:v>928.38277437700299</c:v>
                </c:pt>
                <c:pt idx="39" formatCode="0">
                  <c:v>926.44983519799882</c:v>
                </c:pt>
                <c:pt idx="40" formatCode="0">
                  <c:v>924.62029152399907</c:v>
                </c:pt>
              </c:numCache>
            </c:numRef>
          </c:val>
          <c:extLst>
            <c:ext xmlns:c16="http://schemas.microsoft.com/office/drawing/2014/chart" uri="{C3380CC4-5D6E-409C-BE32-E72D297353CC}">
              <c16:uniqueId val="{00000000-17A9-445F-96F6-6C05CD7D36EC}"/>
            </c:ext>
          </c:extLst>
        </c:ser>
        <c:ser>
          <c:idx val="2"/>
          <c:order val="1"/>
          <c:tx>
            <c:strRef>
              <c:f>Sheet1!$A$9</c:f>
              <c:strCache>
                <c:ptCount val="1"/>
              </c:strCache>
            </c:strRef>
          </c:tx>
          <c:spPr>
            <a:solidFill>
              <a:srgbClr val="FFFFFF"/>
            </a:solidFill>
            <a:ln>
              <a:noFill/>
            </a:ln>
          </c:spPr>
          <c:cat>
            <c:numRef>
              <c:f>Sheet1!$B$6:$AP$6</c:f>
              <c:numCache>
                <c:formatCode>General</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Sheet1!$B$9:$AP$9</c:f>
              <c:numCache>
                <c:formatCode>0</c:formatCode>
                <c:ptCount val="41"/>
                <c:pt idx="0">
                  <c:v>939</c:v>
                </c:pt>
                <c:pt idx="1">
                  <c:v>933.6</c:v>
                </c:pt>
                <c:pt idx="2">
                  <c:v>955.4</c:v>
                </c:pt>
                <c:pt idx="3">
                  <c:v>962</c:v>
                </c:pt>
                <c:pt idx="4">
                  <c:v>963.8</c:v>
                </c:pt>
                <c:pt idx="5">
                  <c:v>972.3</c:v>
                </c:pt>
                <c:pt idx="6">
                  <c:v>1030.9000000000001</c:v>
                </c:pt>
                <c:pt idx="7">
                  <c:v>1057.4000000000001</c:v>
                </c:pt>
                <c:pt idx="8">
                  <c:v>1054.9000000000001</c:v>
                </c:pt>
                <c:pt idx="9">
                  <c:v>908.5</c:v>
                </c:pt>
                <c:pt idx="10">
                  <c:v>850.7</c:v>
                </c:pt>
                <c:pt idx="11">
                  <c:v>861.6</c:v>
                </c:pt>
                <c:pt idx="12">
                  <c:v>875.6</c:v>
                </c:pt>
                <c:pt idx="13">
                  <c:v>893.9</c:v>
                </c:pt>
                <c:pt idx="14">
                  <c:v>884.65565000000015</c:v>
                </c:pt>
                <c:pt idx="15">
                  <c:v>896.08912000000009</c:v>
                </c:pt>
                <c:pt idx="16">
                  <c:v>893.30502000000013</c:v>
                </c:pt>
                <c:pt idx="17">
                  <c:v>894.82438249999996</c:v>
                </c:pt>
                <c:pt idx="18">
                  <c:v>909.3727275</c:v>
                </c:pt>
                <c:pt idx="19">
                  <c:v>910.02799999999991</c:v>
                </c:pt>
                <c:pt idx="20">
                  <c:v>892.98106250000001</c:v>
                </c:pt>
                <c:pt idx="21">
                  <c:v>863.99066135000021</c:v>
                </c:pt>
                <c:pt idx="22">
                  <c:v>871.94386104197019</c:v>
                </c:pt>
                <c:pt idx="23">
                  <c:v>877.21024698452607</c:v>
                </c:pt>
                <c:pt idx="24">
                  <c:v>879.93336013312273</c:v>
                </c:pt>
                <c:pt idx="25">
                  <c:v>882.01694143503255</c:v>
                </c:pt>
                <c:pt idx="26">
                  <c:v>884.61990681170391</c:v>
                </c:pt>
                <c:pt idx="27" formatCode="General">
                  <c:v>886.37284908311301</c:v>
                </c:pt>
                <c:pt idx="28" formatCode="General">
                  <c:v>888.2065361263351</c:v>
                </c:pt>
                <c:pt idx="29" formatCode="General">
                  <c:v>889.2523946849218</c:v>
                </c:pt>
                <c:pt idx="30" formatCode="General">
                  <c:v>890.13893428710776</c:v>
                </c:pt>
                <c:pt idx="31" formatCode="General">
                  <c:v>889.79845991407024</c:v>
                </c:pt>
                <c:pt idx="32" formatCode="General">
                  <c:v>888.12053109106728</c:v>
                </c:pt>
                <c:pt idx="33" formatCode="General">
                  <c:v>886.40047170981768</c:v>
                </c:pt>
                <c:pt idx="34" formatCode="General">
                  <c:v>884.90913716758928</c:v>
                </c:pt>
                <c:pt idx="35" formatCode="General">
                  <c:v>883.08390250752609</c:v>
                </c:pt>
                <c:pt idx="36" formatCode="General">
                  <c:v>882.10331212961546</c:v>
                </c:pt>
                <c:pt idx="37" formatCode="General">
                  <c:v>881.30402332238168</c:v>
                </c:pt>
                <c:pt idx="38" formatCode="General">
                  <c:v>880.53455075499119</c:v>
                </c:pt>
                <c:pt idx="39" formatCode="General">
                  <c:v>879.34522621872816</c:v>
                </c:pt>
                <c:pt idx="40" formatCode="General">
                  <c:v>878.83554690069286</c:v>
                </c:pt>
              </c:numCache>
            </c:numRef>
          </c:val>
          <c:extLst>
            <c:ext xmlns:c16="http://schemas.microsoft.com/office/drawing/2014/chart" uri="{C3380CC4-5D6E-409C-BE32-E72D297353CC}">
              <c16:uniqueId val="{00000001-17A9-445F-96F6-6C05CD7D36EC}"/>
            </c:ext>
          </c:extLst>
        </c:ser>
        <c:ser>
          <c:idx val="3"/>
          <c:order val="2"/>
          <c:tx>
            <c:strRef>
              <c:f>Sheet1!$A$10</c:f>
              <c:strCache>
                <c:ptCount val="1"/>
              </c:strCache>
            </c:strRef>
          </c:tx>
          <c:spPr>
            <a:solidFill>
              <a:srgbClr val="FF0000"/>
            </a:solidFill>
            <a:ln>
              <a:noFill/>
            </a:ln>
          </c:spPr>
          <c:cat>
            <c:numRef>
              <c:f>Sheet1!$B$6:$AP$6</c:f>
              <c:numCache>
                <c:formatCode>General</c:formatCode>
                <c:ptCount val="4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pt idx="31">
                  <c:v>2031</c:v>
                </c:pt>
                <c:pt idx="32">
                  <c:v>2032</c:v>
                </c:pt>
                <c:pt idx="33">
                  <c:v>2033</c:v>
                </c:pt>
                <c:pt idx="34">
                  <c:v>2034</c:v>
                </c:pt>
                <c:pt idx="35">
                  <c:v>2035</c:v>
                </c:pt>
                <c:pt idx="36">
                  <c:v>2036</c:v>
                </c:pt>
                <c:pt idx="37">
                  <c:v>2037</c:v>
                </c:pt>
                <c:pt idx="38">
                  <c:v>2038</c:v>
                </c:pt>
                <c:pt idx="39">
                  <c:v>2039</c:v>
                </c:pt>
                <c:pt idx="40">
                  <c:v>2040</c:v>
                </c:pt>
              </c:numCache>
            </c:numRef>
          </c:cat>
          <c:val>
            <c:numRef>
              <c:f>Sheet1!$B$10:$AA$10</c:f>
              <c:numCache>
                <c:formatCode>General</c:formatCode>
                <c:ptCount val="26"/>
              </c:numCache>
            </c:numRef>
          </c:val>
          <c:extLst>
            <c:ext xmlns:c16="http://schemas.microsoft.com/office/drawing/2014/chart" uri="{C3380CC4-5D6E-409C-BE32-E72D297353CC}">
              <c16:uniqueId val="{00000002-17A9-445F-96F6-6C05CD7D36EC}"/>
            </c:ext>
          </c:extLst>
        </c:ser>
        <c:dLbls>
          <c:showLegendKey val="0"/>
          <c:showVal val="0"/>
          <c:showCatName val="0"/>
          <c:showSerName val="0"/>
          <c:showPercent val="0"/>
          <c:showBubbleSize val="0"/>
        </c:dLbls>
        <c:axId val="652759000"/>
        <c:axId val="652748024"/>
      </c:areaChart>
      <c:lineChart>
        <c:grouping val="standard"/>
        <c:varyColors val="0"/>
        <c:ser>
          <c:idx val="4"/>
          <c:order val="3"/>
          <c:tx>
            <c:strRef>
              <c:f>Sheet1!$A$11</c:f>
              <c:strCache>
                <c:ptCount val="1"/>
                <c:pt idx="0">
                  <c:v>Darbaspēka piedāvājums</c:v>
                </c:pt>
              </c:strCache>
            </c:strRef>
          </c:tx>
          <c:spPr>
            <a:ln w="28575">
              <a:solidFill>
                <a:schemeClr val="accent4">
                  <a:lumMod val="60000"/>
                  <a:lumOff val="40000"/>
                </a:schemeClr>
              </a:solidFill>
              <a:prstDash val="solid"/>
            </a:ln>
          </c:spPr>
          <c:marker>
            <c:symbol val="none"/>
          </c:marker>
          <c:dPt>
            <c:idx val="0"/>
            <c:bubble3D val="0"/>
            <c:extLst>
              <c:ext xmlns:c16="http://schemas.microsoft.com/office/drawing/2014/chart" uri="{C3380CC4-5D6E-409C-BE32-E72D297353CC}">
                <c16:uniqueId val="{00000003-17A9-445F-96F6-6C05CD7D36EC}"/>
              </c:ext>
            </c:extLst>
          </c:dPt>
          <c:dPt>
            <c:idx val="13"/>
            <c:bubble3D val="0"/>
            <c:extLst>
              <c:ext xmlns:c16="http://schemas.microsoft.com/office/drawing/2014/chart" uri="{C3380CC4-5D6E-409C-BE32-E72D297353CC}">
                <c16:uniqueId val="{00000004-17A9-445F-96F6-6C05CD7D36EC}"/>
              </c:ext>
            </c:extLst>
          </c:dPt>
          <c:dPt>
            <c:idx val="14"/>
            <c:bubble3D val="0"/>
            <c:extLst>
              <c:ext xmlns:c16="http://schemas.microsoft.com/office/drawing/2014/chart" uri="{C3380CC4-5D6E-409C-BE32-E72D297353CC}">
                <c16:uniqueId val="{00000005-17A9-445F-96F6-6C05CD7D36EC}"/>
              </c:ext>
            </c:extLst>
          </c:dPt>
          <c:dPt>
            <c:idx val="15"/>
            <c:bubble3D val="0"/>
            <c:extLst>
              <c:ext xmlns:c16="http://schemas.microsoft.com/office/drawing/2014/chart" uri="{C3380CC4-5D6E-409C-BE32-E72D297353CC}">
                <c16:uniqueId val="{00000006-17A9-445F-96F6-6C05CD7D36EC}"/>
              </c:ext>
            </c:extLst>
          </c:dPt>
          <c:dPt>
            <c:idx val="16"/>
            <c:bubble3D val="0"/>
            <c:extLst>
              <c:ext xmlns:c16="http://schemas.microsoft.com/office/drawing/2014/chart" uri="{C3380CC4-5D6E-409C-BE32-E72D297353CC}">
                <c16:uniqueId val="{00000007-17A9-445F-96F6-6C05CD7D36EC}"/>
              </c:ext>
            </c:extLst>
          </c:dPt>
          <c:dPt>
            <c:idx val="17"/>
            <c:bubble3D val="0"/>
            <c:extLst>
              <c:ext xmlns:c16="http://schemas.microsoft.com/office/drawing/2014/chart" uri="{C3380CC4-5D6E-409C-BE32-E72D297353CC}">
                <c16:uniqueId val="{00000008-17A9-445F-96F6-6C05CD7D36EC}"/>
              </c:ext>
            </c:extLst>
          </c:dPt>
          <c:dPt>
            <c:idx val="18"/>
            <c:bubble3D val="0"/>
            <c:extLst>
              <c:ext xmlns:c16="http://schemas.microsoft.com/office/drawing/2014/chart" uri="{C3380CC4-5D6E-409C-BE32-E72D297353CC}">
                <c16:uniqueId val="{00000009-17A9-445F-96F6-6C05CD7D36EC}"/>
              </c:ext>
            </c:extLst>
          </c:dPt>
          <c:dPt>
            <c:idx val="19"/>
            <c:bubble3D val="0"/>
            <c:extLst>
              <c:ext xmlns:c16="http://schemas.microsoft.com/office/drawing/2014/chart" uri="{C3380CC4-5D6E-409C-BE32-E72D297353CC}">
                <c16:uniqueId val="{0000000A-17A9-445F-96F6-6C05CD7D36EC}"/>
              </c:ext>
            </c:extLst>
          </c:dPt>
          <c:dPt>
            <c:idx val="20"/>
            <c:bubble3D val="0"/>
            <c:extLst>
              <c:ext xmlns:c16="http://schemas.microsoft.com/office/drawing/2014/chart" uri="{C3380CC4-5D6E-409C-BE32-E72D297353CC}">
                <c16:uniqueId val="{0000000B-17A9-445F-96F6-6C05CD7D36EC}"/>
              </c:ext>
            </c:extLst>
          </c:dPt>
          <c:dPt>
            <c:idx val="21"/>
            <c:bubble3D val="0"/>
            <c:extLst>
              <c:ext xmlns:c16="http://schemas.microsoft.com/office/drawing/2014/chart" uri="{C3380CC4-5D6E-409C-BE32-E72D297353CC}">
                <c16:uniqueId val="{0000000C-17A9-445F-96F6-6C05CD7D36EC}"/>
              </c:ext>
            </c:extLst>
          </c:dPt>
          <c:dPt>
            <c:idx val="22"/>
            <c:bubble3D val="0"/>
            <c:extLst>
              <c:ext xmlns:c16="http://schemas.microsoft.com/office/drawing/2014/chart" uri="{C3380CC4-5D6E-409C-BE32-E72D297353CC}">
                <c16:uniqueId val="{0000000D-17A9-445F-96F6-6C05CD7D36EC}"/>
              </c:ext>
            </c:extLst>
          </c:dPt>
          <c:dPt>
            <c:idx val="23"/>
            <c:bubble3D val="0"/>
            <c:extLst>
              <c:ext xmlns:c16="http://schemas.microsoft.com/office/drawing/2014/chart" uri="{C3380CC4-5D6E-409C-BE32-E72D297353CC}">
                <c16:uniqueId val="{0000000E-17A9-445F-96F6-6C05CD7D36EC}"/>
              </c:ext>
            </c:extLst>
          </c:dPt>
          <c:dPt>
            <c:idx val="24"/>
            <c:bubble3D val="0"/>
            <c:extLst>
              <c:ext xmlns:c16="http://schemas.microsoft.com/office/drawing/2014/chart" uri="{C3380CC4-5D6E-409C-BE32-E72D297353CC}">
                <c16:uniqueId val="{0000000F-17A9-445F-96F6-6C05CD7D36EC}"/>
              </c:ext>
            </c:extLst>
          </c:dPt>
          <c:dPt>
            <c:idx val="25"/>
            <c:bubble3D val="0"/>
            <c:extLst>
              <c:ext xmlns:c16="http://schemas.microsoft.com/office/drawing/2014/chart" uri="{C3380CC4-5D6E-409C-BE32-E72D297353CC}">
                <c16:uniqueId val="{00000010-17A9-445F-96F6-6C05CD7D36EC}"/>
              </c:ext>
            </c:extLst>
          </c:dPt>
          <c:cat>
            <c:numRef>
              <c:f>Sheet1!$B$6:$AA$6</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Sheet1!$B$11:$AP$11</c:f>
              <c:numCache>
                <c:formatCode>0</c:formatCode>
                <c:ptCount val="41"/>
                <c:pt idx="0">
                  <c:v>1097.3</c:v>
                </c:pt>
                <c:pt idx="1">
                  <c:v>1081.8</c:v>
                </c:pt>
                <c:pt idx="2">
                  <c:v>1091.7</c:v>
                </c:pt>
                <c:pt idx="3">
                  <c:v>1088.8</c:v>
                </c:pt>
                <c:pt idx="4">
                  <c:v>1092.0999999999999</c:v>
                </c:pt>
                <c:pt idx="5">
                  <c:v>1080.8</c:v>
                </c:pt>
                <c:pt idx="6">
                  <c:v>1108.9000000000001</c:v>
                </c:pt>
                <c:pt idx="7">
                  <c:v>1125.5</c:v>
                </c:pt>
                <c:pt idx="8">
                  <c:v>1143.4000000000001</c:v>
                </c:pt>
                <c:pt idx="9">
                  <c:v>1101.4000000000001</c:v>
                </c:pt>
                <c:pt idx="10">
                  <c:v>1056.5</c:v>
                </c:pt>
                <c:pt idx="11">
                  <c:v>1028.2</c:v>
                </c:pt>
                <c:pt idx="12">
                  <c:v>1030.7</c:v>
                </c:pt>
                <c:pt idx="13">
                  <c:v>1014.2</c:v>
                </c:pt>
                <c:pt idx="14">
                  <c:v>992.28155000000027</c:v>
                </c:pt>
                <c:pt idx="15">
                  <c:v>988.63818000000128</c:v>
                </c:pt>
                <c:pt idx="16">
                  <c:v>988.63818000000117</c:v>
                </c:pt>
                <c:pt idx="17">
                  <c:v>980.3</c:v>
                </c:pt>
                <c:pt idx="18">
                  <c:v>982.2</c:v>
                </c:pt>
                <c:pt idx="19">
                  <c:v>971.34152000000017</c:v>
                </c:pt>
                <c:pt idx="20">
                  <c:v>971.66985577199819</c:v>
                </c:pt>
                <c:pt idx="21">
                  <c:v>934.62065487500161</c:v>
                </c:pt>
                <c:pt idx="22">
                  <c:v>938.08837317400412</c:v>
                </c:pt>
                <c:pt idx="23">
                  <c:v>939.68542419899939</c:v>
                </c:pt>
                <c:pt idx="24">
                  <c:v>941.60273389099621</c:v>
                </c:pt>
                <c:pt idx="25">
                  <c:v>941.90423977999762</c:v>
                </c:pt>
                <c:pt idx="26">
                  <c:v>941.79319497300344</c:v>
                </c:pt>
                <c:pt idx="27" formatCode="General">
                  <c:v>941.85174399599941</c:v>
                </c:pt>
                <c:pt idx="28" formatCode="General">
                  <c:v>941.74892671199916</c:v>
                </c:pt>
                <c:pt idx="29" formatCode="General">
                  <c:v>942.2428661739998</c:v>
                </c:pt>
                <c:pt idx="30" formatCode="General">
                  <c:v>942.75505799399798</c:v>
                </c:pt>
                <c:pt idx="31" formatCode="General">
                  <c:v>942.56657850499823</c:v>
                </c:pt>
                <c:pt idx="32" formatCode="General">
                  <c:v>941.00515757300161</c:v>
                </c:pt>
                <c:pt idx="33" formatCode="General">
                  <c:v>938.87173249099726</c:v>
                </c:pt>
                <c:pt idx="34" formatCode="General">
                  <c:v>935.8404528719982</c:v>
                </c:pt>
                <c:pt idx="35" formatCode="General">
                  <c:v>934.20364843700372</c:v>
                </c:pt>
                <c:pt idx="36" formatCode="General">
                  <c:v>932.65401073700195</c:v>
                </c:pt>
                <c:pt idx="37" formatCode="General">
                  <c:v>930.15965906600218</c:v>
                </c:pt>
                <c:pt idx="38" formatCode="General">
                  <c:v>928.38277437700299</c:v>
                </c:pt>
                <c:pt idx="39" formatCode="General">
                  <c:v>926.44983519799882</c:v>
                </c:pt>
                <c:pt idx="40" formatCode="General">
                  <c:v>924.62029152399907</c:v>
                </c:pt>
              </c:numCache>
            </c:numRef>
          </c:val>
          <c:smooth val="0"/>
          <c:extLst>
            <c:ext xmlns:c16="http://schemas.microsoft.com/office/drawing/2014/chart" uri="{C3380CC4-5D6E-409C-BE32-E72D297353CC}">
              <c16:uniqueId val="{00000011-17A9-445F-96F6-6C05CD7D36EC}"/>
            </c:ext>
          </c:extLst>
        </c:ser>
        <c:ser>
          <c:idx val="1"/>
          <c:order val="4"/>
          <c:tx>
            <c:strRef>
              <c:f>Sheet1!$A$8</c:f>
              <c:strCache>
                <c:ptCount val="1"/>
                <c:pt idx="0">
                  <c:v>Darbaspēka pieprasījums</c:v>
                </c:pt>
              </c:strCache>
            </c:strRef>
          </c:tx>
          <c:spPr>
            <a:ln w="28575">
              <a:solidFill>
                <a:srgbClr val="C00000"/>
              </a:solidFill>
              <a:prstDash val="solid"/>
            </a:ln>
          </c:spPr>
          <c:marker>
            <c:symbol val="none"/>
          </c:marker>
          <c:dPt>
            <c:idx val="13"/>
            <c:bubble3D val="0"/>
            <c:extLst>
              <c:ext xmlns:c16="http://schemas.microsoft.com/office/drawing/2014/chart" uri="{C3380CC4-5D6E-409C-BE32-E72D297353CC}">
                <c16:uniqueId val="{00000012-17A9-445F-96F6-6C05CD7D36EC}"/>
              </c:ext>
            </c:extLst>
          </c:dPt>
          <c:dPt>
            <c:idx val="14"/>
            <c:bubble3D val="0"/>
            <c:extLst>
              <c:ext xmlns:c16="http://schemas.microsoft.com/office/drawing/2014/chart" uri="{C3380CC4-5D6E-409C-BE32-E72D297353CC}">
                <c16:uniqueId val="{00000013-17A9-445F-96F6-6C05CD7D36EC}"/>
              </c:ext>
            </c:extLst>
          </c:dPt>
          <c:dPt>
            <c:idx val="15"/>
            <c:bubble3D val="0"/>
            <c:extLst>
              <c:ext xmlns:c16="http://schemas.microsoft.com/office/drawing/2014/chart" uri="{C3380CC4-5D6E-409C-BE32-E72D297353CC}">
                <c16:uniqueId val="{00000014-17A9-445F-96F6-6C05CD7D36EC}"/>
              </c:ext>
            </c:extLst>
          </c:dPt>
          <c:dPt>
            <c:idx val="16"/>
            <c:bubble3D val="0"/>
            <c:extLst>
              <c:ext xmlns:c16="http://schemas.microsoft.com/office/drawing/2014/chart" uri="{C3380CC4-5D6E-409C-BE32-E72D297353CC}">
                <c16:uniqueId val="{00000015-17A9-445F-96F6-6C05CD7D36EC}"/>
              </c:ext>
            </c:extLst>
          </c:dPt>
          <c:dPt>
            <c:idx val="17"/>
            <c:bubble3D val="0"/>
            <c:extLst>
              <c:ext xmlns:c16="http://schemas.microsoft.com/office/drawing/2014/chart" uri="{C3380CC4-5D6E-409C-BE32-E72D297353CC}">
                <c16:uniqueId val="{00000016-17A9-445F-96F6-6C05CD7D36EC}"/>
              </c:ext>
            </c:extLst>
          </c:dPt>
          <c:dPt>
            <c:idx val="18"/>
            <c:bubble3D val="0"/>
            <c:extLst>
              <c:ext xmlns:c16="http://schemas.microsoft.com/office/drawing/2014/chart" uri="{C3380CC4-5D6E-409C-BE32-E72D297353CC}">
                <c16:uniqueId val="{00000017-17A9-445F-96F6-6C05CD7D36EC}"/>
              </c:ext>
            </c:extLst>
          </c:dPt>
          <c:dPt>
            <c:idx val="19"/>
            <c:bubble3D val="0"/>
            <c:extLst>
              <c:ext xmlns:c16="http://schemas.microsoft.com/office/drawing/2014/chart" uri="{C3380CC4-5D6E-409C-BE32-E72D297353CC}">
                <c16:uniqueId val="{00000018-17A9-445F-96F6-6C05CD7D36EC}"/>
              </c:ext>
            </c:extLst>
          </c:dPt>
          <c:dPt>
            <c:idx val="20"/>
            <c:bubble3D val="0"/>
            <c:extLst>
              <c:ext xmlns:c16="http://schemas.microsoft.com/office/drawing/2014/chart" uri="{C3380CC4-5D6E-409C-BE32-E72D297353CC}">
                <c16:uniqueId val="{00000019-17A9-445F-96F6-6C05CD7D36EC}"/>
              </c:ext>
            </c:extLst>
          </c:dPt>
          <c:dPt>
            <c:idx val="21"/>
            <c:bubble3D val="0"/>
            <c:extLst>
              <c:ext xmlns:c16="http://schemas.microsoft.com/office/drawing/2014/chart" uri="{C3380CC4-5D6E-409C-BE32-E72D297353CC}">
                <c16:uniqueId val="{0000001A-17A9-445F-96F6-6C05CD7D36EC}"/>
              </c:ext>
            </c:extLst>
          </c:dPt>
          <c:dPt>
            <c:idx val="22"/>
            <c:bubble3D val="0"/>
            <c:extLst>
              <c:ext xmlns:c16="http://schemas.microsoft.com/office/drawing/2014/chart" uri="{C3380CC4-5D6E-409C-BE32-E72D297353CC}">
                <c16:uniqueId val="{0000001B-17A9-445F-96F6-6C05CD7D36EC}"/>
              </c:ext>
            </c:extLst>
          </c:dPt>
          <c:dPt>
            <c:idx val="23"/>
            <c:bubble3D val="0"/>
            <c:extLst>
              <c:ext xmlns:c16="http://schemas.microsoft.com/office/drawing/2014/chart" uri="{C3380CC4-5D6E-409C-BE32-E72D297353CC}">
                <c16:uniqueId val="{0000001C-17A9-445F-96F6-6C05CD7D36EC}"/>
              </c:ext>
            </c:extLst>
          </c:dPt>
          <c:dPt>
            <c:idx val="24"/>
            <c:bubble3D val="0"/>
            <c:extLst>
              <c:ext xmlns:c16="http://schemas.microsoft.com/office/drawing/2014/chart" uri="{C3380CC4-5D6E-409C-BE32-E72D297353CC}">
                <c16:uniqueId val="{0000001D-17A9-445F-96F6-6C05CD7D36EC}"/>
              </c:ext>
            </c:extLst>
          </c:dPt>
          <c:dPt>
            <c:idx val="25"/>
            <c:bubble3D val="0"/>
            <c:extLst>
              <c:ext xmlns:c16="http://schemas.microsoft.com/office/drawing/2014/chart" uri="{C3380CC4-5D6E-409C-BE32-E72D297353CC}">
                <c16:uniqueId val="{0000001E-17A9-445F-96F6-6C05CD7D36EC}"/>
              </c:ext>
            </c:extLst>
          </c:dPt>
          <c:cat>
            <c:numRef>
              <c:f>Sheet1!$B$6:$AA$6</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Sheet1!$B$8:$AP$8</c:f>
              <c:numCache>
                <c:formatCode>0</c:formatCode>
                <c:ptCount val="41"/>
                <c:pt idx="0">
                  <c:v>939</c:v>
                </c:pt>
                <c:pt idx="1">
                  <c:v>933.6</c:v>
                </c:pt>
                <c:pt idx="2">
                  <c:v>955.4</c:v>
                </c:pt>
                <c:pt idx="3">
                  <c:v>962</c:v>
                </c:pt>
                <c:pt idx="4">
                  <c:v>963.8</c:v>
                </c:pt>
                <c:pt idx="5">
                  <c:v>972.3</c:v>
                </c:pt>
                <c:pt idx="6">
                  <c:v>1030.9000000000001</c:v>
                </c:pt>
                <c:pt idx="7">
                  <c:v>1057.4000000000001</c:v>
                </c:pt>
                <c:pt idx="8">
                  <c:v>1054.9000000000001</c:v>
                </c:pt>
                <c:pt idx="9">
                  <c:v>908.5</c:v>
                </c:pt>
                <c:pt idx="10">
                  <c:v>850.7</c:v>
                </c:pt>
                <c:pt idx="11">
                  <c:v>861.6</c:v>
                </c:pt>
                <c:pt idx="12">
                  <c:v>875.6</c:v>
                </c:pt>
                <c:pt idx="13">
                  <c:v>893.9</c:v>
                </c:pt>
                <c:pt idx="14">
                  <c:v>884.65565000000015</c:v>
                </c:pt>
                <c:pt idx="15">
                  <c:v>896.08912000000009</c:v>
                </c:pt>
                <c:pt idx="16">
                  <c:v>893.30502000000013</c:v>
                </c:pt>
                <c:pt idx="17">
                  <c:v>894.82438249999996</c:v>
                </c:pt>
                <c:pt idx="18">
                  <c:v>909.3727275</c:v>
                </c:pt>
                <c:pt idx="19">
                  <c:v>910.02799999999991</c:v>
                </c:pt>
                <c:pt idx="20">
                  <c:v>892.98106250000001</c:v>
                </c:pt>
                <c:pt idx="21">
                  <c:v>863.99066135000021</c:v>
                </c:pt>
                <c:pt idx="22">
                  <c:v>871.94386104197019</c:v>
                </c:pt>
                <c:pt idx="23">
                  <c:v>877.21024698452607</c:v>
                </c:pt>
                <c:pt idx="24">
                  <c:v>879.93336013312273</c:v>
                </c:pt>
                <c:pt idx="25">
                  <c:v>882.01694143503255</c:v>
                </c:pt>
                <c:pt idx="26">
                  <c:v>884.61990681170391</c:v>
                </c:pt>
                <c:pt idx="27" formatCode="General">
                  <c:v>886.37284908311301</c:v>
                </c:pt>
                <c:pt idx="28" formatCode="General">
                  <c:v>888.2065361263351</c:v>
                </c:pt>
                <c:pt idx="29" formatCode="General">
                  <c:v>889.2523946849218</c:v>
                </c:pt>
                <c:pt idx="30" formatCode="General">
                  <c:v>890.13893428710776</c:v>
                </c:pt>
                <c:pt idx="31" formatCode="General">
                  <c:v>889.79845991407024</c:v>
                </c:pt>
                <c:pt idx="32" formatCode="General">
                  <c:v>888.12053109106728</c:v>
                </c:pt>
                <c:pt idx="33" formatCode="General">
                  <c:v>886.40047170981768</c:v>
                </c:pt>
                <c:pt idx="34" formatCode="General">
                  <c:v>884.90913716758928</c:v>
                </c:pt>
                <c:pt idx="35" formatCode="General">
                  <c:v>883.08390250752609</c:v>
                </c:pt>
                <c:pt idx="36" formatCode="General">
                  <c:v>882.10331212961546</c:v>
                </c:pt>
                <c:pt idx="37" formatCode="General">
                  <c:v>881.30402332238168</c:v>
                </c:pt>
                <c:pt idx="38" formatCode="General">
                  <c:v>880.53455075499119</c:v>
                </c:pt>
                <c:pt idx="39" formatCode="General">
                  <c:v>879.34522621872816</c:v>
                </c:pt>
                <c:pt idx="40" formatCode="General">
                  <c:v>878.83554690069286</c:v>
                </c:pt>
              </c:numCache>
            </c:numRef>
          </c:val>
          <c:smooth val="0"/>
          <c:extLst>
            <c:ext xmlns:c16="http://schemas.microsoft.com/office/drawing/2014/chart" uri="{C3380CC4-5D6E-409C-BE32-E72D297353CC}">
              <c16:uniqueId val="{0000001F-17A9-445F-96F6-6C05CD7D36EC}"/>
            </c:ext>
          </c:extLst>
        </c:ser>
        <c:dLbls>
          <c:showLegendKey val="0"/>
          <c:showVal val="0"/>
          <c:showCatName val="0"/>
          <c:showSerName val="0"/>
          <c:showPercent val="0"/>
          <c:showBubbleSize val="0"/>
        </c:dLbls>
        <c:marker val="1"/>
        <c:smooth val="0"/>
        <c:axId val="652759000"/>
        <c:axId val="652748024"/>
      </c:lineChart>
      <c:catAx>
        <c:axId val="652759000"/>
        <c:scaling>
          <c:orientation val="minMax"/>
        </c:scaling>
        <c:delete val="0"/>
        <c:axPos val="b"/>
        <c:numFmt formatCode="General" sourceLinked="1"/>
        <c:majorTickMark val="out"/>
        <c:minorTickMark val="none"/>
        <c:tickLblPos val="nextTo"/>
        <c:spPr>
          <a:ln w="3175">
            <a:solidFill>
              <a:schemeClr val="bg1">
                <a:lumMod val="75000"/>
              </a:schemeClr>
            </a:solidFill>
            <a:prstDash val="solid"/>
          </a:ln>
        </c:spPr>
        <c:txPr>
          <a:bodyPr rot="0" vert="horz"/>
          <a:lstStyle/>
          <a:p>
            <a:pPr>
              <a:defRPr/>
            </a:pPr>
            <a:endParaRPr lang="lv-LV"/>
          </a:p>
        </c:txPr>
        <c:crossAx val="652748024"/>
        <c:crosses val="autoZero"/>
        <c:auto val="0"/>
        <c:lblAlgn val="ctr"/>
        <c:lblOffset val="100"/>
        <c:tickLblSkip val="2"/>
        <c:tickMarkSkip val="1"/>
        <c:noMultiLvlLbl val="0"/>
      </c:catAx>
      <c:valAx>
        <c:axId val="652748024"/>
        <c:scaling>
          <c:orientation val="minMax"/>
          <c:max val="1200"/>
          <c:min val="800"/>
        </c:scaling>
        <c:delete val="0"/>
        <c:axPos val="l"/>
        <c:numFmt formatCode="General" sourceLinked="1"/>
        <c:majorTickMark val="out"/>
        <c:minorTickMark val="none"/>
        <c:tickLblPos val="nextTo"/>
        <c:spPr>
          <a:ln>
            <a:noFill/>
          </a:ln>
        </c:spPr>
        <c:txPr>
          <a:bodyPr rot="0" vert="horz"/>
          <a:lstStyle/>
          <a:p>
            <a:pPr>
              <a:defRPr/>
            </a:pPr>
            <a:endParaRPr lang="lv-LV"/>
          </a:p>
        </c:txPr>
        <c:crossAx val="652759000"/>
        <c:crosses val="autoZero"/>
        <c:crossBetween val="between"/>
        <c:majorUnit val="100"/>
      </c:valAx>
      <c:spPr>
        <a:solidFill>
          <a:schemeClr val="bg1"/>
        </a:solidFill>
        <a:ln w="25398">
          <a:noFill/>
        </a:ln>
      </c:spPr>
    </c:plotArea>
    <c:legend>
      <c:legendPos val="r"/>
      <c:legendEntry>
        <c:idx val="0"/>
        <c:delete val="1"/>
      </c:legendEntry>
      <c:legendEntry>
        <c:idx val="2"/>
        <c:delete val="1"/>
      </c:legendEntry>
      <c:layout>
        <c:manualLayout>
          <c:xMode val="edge"/>
          <c:yMode val="edge"/>
          <c:x val="0.58852985676426661"/>
          <c:y val="1.6277248695621978E-2"/>
          <c:w val="0.40350394134808781"/>
          <c:h val="0.2476896231410985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010843988467338"/>
          <c:h val="0.75378756132402003"/>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Sheet1!$B$2:$B$5</c:f>
              <c:numCache>
                <c:formatCode>#,##0</c:formatCode>
                <c:ptCount val="4"/>
                <c:pt idx="0">
                  <c:v>100</c:v>
                </c:pt>
                <c:pt idx="1">
                  <c:v>100</c:v>
                </c:pt>
                <c:pt idx="2">
                  <c:v>100</c:v>
                </c:pt>
                <c:pt idx="3">
                  <c:v>100</c:v>
                </c:pt>
              </c:numCache>
            </c:numRef>
          </c:val>
          <c:extLst>
            <c:ext xmlns:c16="http://schemas.microsoft.com/office/drawing/2014/chart" uri="{C3380CC4-5D6E-409C-BE32-E72D297353CC}">
              <c16:uniqueId val="{00000000-A6BB-4411-B220-74CFA0A89C9F}"/>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A6BB-4411-B220-74CFA0A89C9F}"/>
              </c:ext>
            </c:extLst>
          </c:dPt>
          <c:dLbls>
            <c:dLbl>
              <c:idx val="3"/>
              <c:layout>
                <c:manualLayout>
                  <c:x val="-1.0779433513184648E-16"/>
                  <c:y val="9.32955181550173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BB-4411-B220-74CFA0A89C9F}"/>
                </c:ext>
              </c:extLst>
            </c:dLbl>
            <c:spPr>
              <a:noFill/>
              <a:ln>
                <a:noFill/>
              </a:ln>
              <a:effectLst/>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Augstākā izglītība</c:v>
                </c:pt>
                <c:pt idx="1">
                  <c:v>Vidējā profesionālā izglītība</c:v>
                </c:pt>
                <c:pt idx="2">
                  <c:v>Vidējā vispārējā izglītība</c:v>
                </c:pt>
                <c:pt idx="3">
                  <c:v>Pamatizglītība un zemāka</c:v>
                </c:pt>
              </c:strCache>
            </c:strRef>
          </c:cat>
          <c:val>
            <c:numRef>
              <c:f>Sheet1!$C$2:$C$5</c:f>
              <c:numCache>
                <c:formatCode>#,##0</c:formatCode>
                <c:ptCount val="4"/>
                <c:pt idx="0">
                  <c:v>93.801368416138018</c:v>
                </c:pt>
                <c:pt idx="1">
                  <c:v>135.24571185679369</c:v>
                </c:pt>
                <c:pt idx="2">
                  <c:v>83.335641596771637</c:v>
                </c:pt>
                <c:pt idx="3">
                  <c:v>51.149505689128397</c:v>
                </c:pt>
              </c:numCache>
            </c:numRef>
          </c:val>
          <c:extLst>
            <c:ext xmlns:c16="http://schemas.microsoft.com/office/drawing/2014/chart" uri="{C3380CC4-5D6E-409C-BE32-E72D297353CC}">
              <c16:uniqueId val="{00000003-A6BB-4411-B220-74CFA0A89C9F}"/>
            </c:ext>
          </c:extLst>
        </c:ser>
        <c:dLbls>
          <c:showLegendKey val="0"/>
          <c:showVal val="1"/>
          <c:showCatName val="0"/>
          <c:showSerName val="0"/>
          <c:showPercent val="0"/>
          <c:showBubbleSize val="0"/>
        </c:dLbls>
        <c:gapWidth val="100"/>
        <c:overlap val="70"/>
        <c:axId val="652751160"/>
        <c:axId val="652755472"/>
      </c:barChart>
      <c:catAx>
        <c:axId val="652751160"/>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5472"/>
        <c:crosses val="autoZero"/>
        <c:auto val="0"/>
        <c:lblAlgn val="ctr"/>
        <c:lblOffset val="100"/>
        <c:tickLblSkip val="1"/>
        <c:tickMarkSkip val="1"/>
        <c:noMultiLvlLbl val="0"/>
      </c:catAx>
      <c:valAx>
        <c:axId val="652755472"/>
        <c:scaling>
          <c:orientation val="minMax"/>
          <c:min val="4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1160"/>
        <c:crosses val="autoZero"/>
        <c:crossBetween val="between"/>
        <c:majorUnit val="20"/>
      </c:valAx>
      <c:spPr>
        <a:solidFill>
          <a:srgbClr val="FFFFFF"/>
        </a:solidFill>
        <a:ln>
          <a:noFill/>
        </a:ln>
        <a:effectLst/>
      </c:spPr>
    </c:plotArea>
    <c:legend>
      <c:legendPos val="l"/>
      <c:layout>
        <c:manualLayout>
          <c:xMode val="edge"/>
          <c:yMode val="edge"/>
          <c:x val="0.57248418336416351"/>
          <c:y val="1.3537922516486674E-2"/>
          <c:w val="0.385945189721907"/>
          <c:h val="0.17699703885147255"/>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Sheet1!$B$1:$R$1</c:f>
              <c:numCache>
                <c:formatCode>General</c:formatCode>
                <c:ptCount val="16"/>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numCache>
            </c:numRef>
          </c:cat>
          <c:val>
            <c:numRef>
              <c:f>Sheet1!$B$4:$W$4</c:f>
              <c:numCache>
                <c:formatCode>General</c:formatCode>
                <c:ptCount val="21"/>
                <c:pt idx="10">
                  <c:v>500</c:v>
                </c:pt>
                <c:pt idx="20">
                  <c:v>500</c:v>
                </c:pt>
              </c:numCache>
            </c:numRef>
          </c:val>
          <c:extLst>
            <c:ext xmlns:c16="http://schemas.microsoft.com/office/drawing/2014/chart" uri="{C3380CC4-5D6E-409C-BE32-E72D297353CC}">
              <c16:uniqueId val="{00000000-76B9-432E-AF02-B0A4C1199481}"/>
            </c:ext>
          </c:extLst>
        </c:ser>
        <c:dLbls>
          <c:showLegendKey val="0"/>
          <c:showVal val="0"/>
          <c:showCatName val="0"/>
          <c:showSerName val="0"/>
          <c:showPercent val="0"/>
          <c:showBubbleSize val="0"/>
        </c:dLbls>
        <c:gapWidth val="0"/>
        <c:axId val="652748808"/>
        <c:axId val="652749200"/>
      </c:barChart>
      <c:lineChart>
        <c:grouping val="standard"/>
        <c:varyColors val="0"/>
        <c:ser>
          <c:idx val="0"/>
          <c:order val="0"/>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378.10859616030979</c:v>
                </c:pt>
                <c:pt idx="1">
                  <c:v>370.15890723575473</c:v>
                </c:pt>
                <c:pt idx="2">
                  <c:v>377.20533131605691</c:v>
                </c:pt>
                <c:pt idx="3">
                  <c:v>382.9174502034017</c:v>
                </c:pt>
                <c:pt idx="4">
                  <c:v>388.523043457754</c:v>
                </c:pt>
                <c:pt idx="5">
                  <c:v>393.43682781598483</c:v>
                </c:pt>
                <c:pt idx="6">
                  <c:v>397.95674134568685</c:v>
                </c:pt>
                <c:pt idx="7">
                  <c:v>402.2717676012951</c:v>
                </c:pt>
                <c:pt idx="8">
                  <c:v>406.65946214666621</c:v>
                </c:pt>
                <c:pt idx="9">
                  <c:v>411.27724697180372</c:v>
                </c:pt>
                <c:pt idx="10">
                  <c:v>416.16493380189081</c:v>
                </c:pt>
                <c:pt idx="11">
                  <c:v>421.0304430616215</c:v>
                </c:pt>
                <c:pt idx="12">
                  <c:v>425.30357364822567</c:v>
                </c:pt>
                <c:pt idx="13">
                  <c:v>429.29730834746374</c:v>
                </c:pt>
                <c:pt idx="14" formatCode="General">
                  <c:v>432.62914128452491</c:v>
                </c:pt>
                <c:pt idx="15" formatCode="General">
                  <c:v>436.32626211714944</c:v>
                </c:pt>
                <c:pt idx="16" formatCode="General">
                  <c:v>440.0383038386089</c:v>
                </c:pt>
                <c:pt idx="17" formatCode="General">
                  <c:v>443.64521624392768</c:v>
                </c:pt>
                <c:pt idx="18" formatCode="General">
                  <c:v>447.73270156998632</c:v>
                </c:pt>
                <c:pt idx="19" formatCode="General">
                  <c:v>451.96390990356639</c:v>
                </c:pt>
                <c:pt idx="20" formatCode="General">
                  <c:v>456.21320615454539</c:v>
                </c:pt>
              </c:numCache>
            </c:numRef>
          </c:val>
          <c:smooth val="0"/>
          <c:extLst>
            <c:ext xmlns:c16="http://schemas.microsoft.com/office/drawing/2014/chart" uri="{C3380CC4-5D6E-409C-BE32-E72D297353CC}">
              <c16:uniqueId val="{00000001-76B9-432E-AF02-B0A4C1199481}"/>
            </c:ext>
          </c:extLst>
        </c:ser>
        <c:ser>
          <c:idx val="3"/>
          <c:order val="1"/>
          <c:tx>
            <c:strRef>
              <c:f>Sheet1!$A$2</c:f>
              <c:strCache>
                <c:ptCount val="1"/>
                <c:pt idx="0">
                  <c:v>Pieprasījums</c:v>
                </c:pt>
              </c:strCache>
            </c:strRef>
          </c:tx>
          <c:marker>
            <c:symbol val="none"/>
          </c:marker>
          <c:dPt>
            <c:idx val="0"/>
            <c:bubble3D val="0"/>
            <c:extLst>
              <c:ext xmlns:c16="http://schemas.microsoft.com/office/drawing/2014/chart" uri="{C3380CC4-5D6E-409C-BE32-E72D297353CC}">
                <c16:uniqueId val="{00000002-76B9-432E-AF02-B0A4C1199481}"/>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358.88461250000012</c:v>
                </c:pt>
                <c:pt idx="1">
                  <c:v>352.3871542400168</c:v>
                </c:pt>
                <c:pt idx="2">
                  <c:v>360.94613031590023</c:v>
                </c:pt>
                <c:pt idx="3">
                  <c:v>366.63669571591623</c:v>
                </c:pt>
                <c:pt idx="4">
                  <c:v>370.5234320030836</c:v>
                </c:pt>
                <c:pt idx="5">
                  <c:v>373.66902788721427</c:v>
                </c:pt>
                <c:pt idx="6">
                  <c:v>376.90424404866815</c:v>
                </c:pt>
                <c:pt idx="7">
                  <c:v>380.07143196234108</c:v>
                </c:pt>
                <c:pt idx="8">
                  <c:v>383.27521493634464</c:v>
                </c:pt>
                <c:pt idx="9">
                  <c:v>386.70528879402099</c:v>
                </c:pt>
                <c:pt idx="10">
                  <c:v>390.36840277428848</c:v>
                </c:pt>
                <c:pt idx="11">
                  <c:v>393.5095129729861</c:v>
                </c:pt>
                <c:pt idx="12">
                  <c:v>396.03351889432088</c:v>
                </c:pt>
                <c:pt idx="13">
                  <c:v>398.55307843009035</c:v>
                </c:pt>
                <c:pt idx="14" formatCode="General">
                  <c:v>401.0961480179937</c:v>
                </c:pt>
                <c:pt idx="15" formatCode="General">
                  <c:v>403.50640499354762</c:v>
                </c:pt>
                <c:pt idx="16" formatCode="General">
                  <c:v>406.28454163103669</c:v>
                </c:pt>
                <c:pt idx="17" formatCode="General">
                  <c:v>409.13211900694898</c:v>
                </c:pt>
                <c:pt idx="18" formatCode="General">
                  <c:v>412.01945097813018</c:v>
                </c:pt>
                <c:pt idx="19" formatCode="General">
                  <c:v>414.69017331551305</c:v>
                </c:pt>
                <c:pt idx="20" formatCode="General">
                  <c:v>417.69475337527774</c:v>
                </c:pt>
              </c:numCache>
            </c:numRef>
          </c:val>
          <c:smooth val="0"/>
          <c:extLst>
            <c:ext xmlns:c16="http://schemas.microsoft.com/office/drawing/2014/chart" uri="{C3380CC4-5D6E-409C-BE32-E72D297353CC}">
              <c16:uniqueId val="{00000003-76B9-432E-AF02-B0A4C1199481}"/>
            </c:ext>
          </c:extLst>
        </c:ser>
        <c:dLbls>
          <c:showLegendKey val="0"/>
          <c:showVal val="0"/>
          <c:showCatName val="0"/>
          <c:showSerName val="0"/>
          <c:showPercent val="0"/>
          <c:showBubbleSize val="0"/>
        </c:dLbls>
        <c:marker val="1"/>
        <c:smooth val="0"/>
        <c:axId val="652748808"/>
        <c:axId val="652749200"/>
      </c:lineChart>
      <c:catAx>
        <c:axId val="65274880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49200"/>
        <c:crosses val="autoZero"/>
        <c:auto val="1"/>
        <c:lblAlgn val="ctr"/>
        <c:lblOffset val="100"/>
        <c:noMultiLvlLbl val="0"/>
      </c:catAx>
      <c:valAx>
        <c:axId val="652749200"/>
        <c:scaling>
          <c:orientation val="minMax"/>
          <c:max val="500"/>
          <c:min val="320"/>
        </c:scaling>
        <c:delete val="0"/>
        <c:axPos val="l"/>
        <c:numFmt formatCode="General" sourceLinked="1"/>
        <c:majorTickMark val="out"/>
        <c:minorTickMark val="none"/>
        <c:tickLblPos val="nextTo"/>
        <c:crossAx val="652748808"/>
        <c:crosses val="autoZero"/>
        <c:crossBetween val="between"/>
        <c:majorUnit val="30"/>
      </c:valAx>
      <c:spPr>
        <a:solidFill>
          <a:srgbClr val="FFFFFF"/>
        </a:solidFill>
      </c:spPr>
    </c:plotArea>
    <c:legend>
      <c:legendPos val="l"/>
      <c:legendEntry>
        <c:idx val="0"/>
        <c:delete val="1"/>
      </c:legendEntry>
      <c:layout>
        <c:manualLayout>
          <c:xMode val="edge"/>
          <c:yMode val="edge"/>
          <c:x val="0.1464253535472245"/>
          <c:y val="7.9236381620257951E-2"/>
          <c:w val="0.31069598321919395"/>
          <c:h val="0.21285348329341686"/>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C32B-471D-B1E7-FE183CA85EE4}"/>
            </c:ext>
          </c:extLst>
        </c:ser>
        <c:dLbls>
          <c:showLegendKey val="0"/>
          <c:showVal val="0"/>
          <c:showCatName val="0"/>
          <c:showSerName val="0"/>
          <c:showPercent val="0"/>
          <c:showBubbleSize val="0"/>
        </c:dLbls>
        <c:gapWidth val="0"/>
        <c:axId val="652752336"/>
        <c:axId val="6527542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C32B-471D-B1E7-FE183CA85EE4}"/>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246.96848000000003</c:v>
                </c:pt>
                <c:pt idx="1">
                  <c:v>240.3967412561378</c:v>
                </c:pt>
                <c:pt idx="2">
                  <c:v>240.58521482714517</c:v>
                </c:pt>
                <c:pt idx="3">
                  <c:v>243.88537598822734</c:v>
                </c:pt>
                <c:pt idx="4">
                  <c:v>246.88016247625868</c:v>
                </c:pt>
                <c:pt idx="5">
                  <c:v>250.03441194821946</c:v>
                </c:pt>
                <c:pt idx="6">
                  <c:v>253.68942990681163</c:v>
                </c:pt>
                <c:pt idx="7">
                  <c:v>256.85872797235413</c:v>
                </c:pt>
                <c:pt idx="8">
                  <c:v>260.11411344292679</c:v>
                </c:pt>
                <c:pt idx="9">
                  <c:v>262.63381115530217</c:v>
                </c:pt>
                <c:pt idx="10">
                  <c:v>264.77073149632298</c:v>
                </c:pt>
                <c:pt idx="11">
                  <c:v>266.33840193047382</c:v>
                </c:pt>
                <c:pt idx="12">
                  <c:v>267.42480047381355</c:v>
                </c:pt>
                <c:pt idx="13">
                  <c:v>268.58784628438707</c:v>
                </c:pt>
                <c:pt idx="14" formatCode="General">
                  <c:v>269.90886933180849</c:v>
                </c:pt>
                <c:pt idx="15" formatCode="General">
                  <c:v>271.11580241605736</c:v>
                </c:pt>
                <c:pt idx="16" formatCode="General">
                  <c:v>272.51271779176312</c:v>
                </c:pt>
                <c:pt idx="17" formatCode="General">
                  <c:v>273.93852067013796</c:v>
                </c:pt>
                <c:pt idx="18" formatCode="General">
                  <c:v>275.34505687467254</c:v>
                </c:pt>
                <c:pt idx="19" formatCode="General">
                  <c:v>276.5058880371509</c:v>
                </c:pt>
                <c:pt idx="20" formatCode="General">
                  <c:v>277.87119783302978</c:v>
                </c:pt>
              </c:numCache>
            </c:numRef>
          </c:val>
          <c:smooth val="0"/>
          <c:extLst>
            <c:ext xmlns:c16="http://schemas.microsoft.com/office/drawing/2014/chart" uri="{C3380CC4-5D6E-409C-BE32-E72D297353CC}">
              <c16:uniqueId val="{00000003-C32B-471D-B1E7-FE183CA85EE4}"/>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268.23596886817211</c:v>
                </c:pt>
                <c:pt idx="1">
                  <c:v>249.36343833527471</c:v>
                </c:pt>
                <c:pt idx="2">
                  <c:v>242.00095988569223</c:v>
                </c:pt>
                <c:pt idx="3">
                  <c:v>234.8037034227446</c:v>
                </c:pt>
                <c:pt idx="4">
                  <c:v>227.91693430761123</c:v>
                </c:pt>
                <c:pt idx="5">
                  <c:v>220.87659060140794</c:v>
                </c:pt>
                <c:pt idx="6">
                  <c:v>214.29421356005057</c:v>
                </c:pt>
                <c:pt idx="7">
                  <c:v>208.5134680499626</c:v>
                </c:pt>
                <c:pt idx="8">
                  <c:v>203.34926984216978</c:v>
                </c:pt>
                <c:pt idx="9">
                  <c:v>199.19713540244859</c:v>
                </c:pt>
                <c:pt idx="10">
                  <c:v>195.77014890991751</c:v>
                </c:pt>
                <c:pt idx="11">
                  <c:v>192.52807839478896</c:v>
                </c:pt>
                <c:pt idx="12">
                  <c:v>189.14419485128008</c:v>
                </c:pt>
                <c:pt idx="13">
                  <c:v>185.58444687783521</c:v>
                </c:pt>
                <c:pt idx="14">
                  <c:v>181.95424950968459</c:v>
                </c:pt>
                <c:pt idx="15">
                  <c:v>178.91315220465594</c:v>
                </c:pt>
                <c:pt idx="16">
                  <c:v>175.93344353091337</c:v>
                </c:pt>
                <c:pt idx="17">
                  <c:v>172.59942820681192</c:v>
                </c:pt>
                <c:pt idx="18">
                  <c:v>169.42596545043526</c:v>
                </c:pt>
                <c:pt idx="19">
                  <c:v>166.28624747707752</c:v>
                </c:pt>
                <c:pt idx="20">
                  <c:v>163.44719043027121</c:v>
                </c:pt>
              </c:numCache>
            </c:numRef>
          </c:val>
          <c:smooth val="0"/>
          <c:extLst>
            <c:ext xmlns:c16="http://schemas.microsoft.com/office/drawing/2014/chart" uri="{C3380CC4-5D6E-409C-BE32-E72D297353CC}">
              <c16:uniqueId val="{00000004-C32B-471D-B1E7-FE183CA85EE4}"/>
            </c:ext>
          </c:extLst>
        </c:ser>
        <c:dLbls>
          <c:showLegendKey val="0"/>
          <c:showVal val="0"/>
          <c:showCatName val="0"/>
          <c:showSerName val="0"/>
          <c:showPercent val="0"/>
          <c:showBubbleSize val="0"/>
        </c:dLbls>
        <c:marker val="1"/>
        <c:smooth val="0"/>
        <c:axId val="652752336"/>
        <c:axId val="652754296"/>
      </c:lineChart>
      <c:catAx>
        <c:axId val="6527523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4296"/>
        <c:crosses val="autoZero"/>
        <c:auto val="1"/>
        <c:lblAlgn val="ctr"/>
        <c:lblOffset val="100"/>
        <c:noMultiLvlLbl val="0"/>
      </c:catAx>
      <c:valAx>
        <c:axId val="652754296"/>
        <c:scaling>
          <c:orientation val="minMax"/>
          <c:max val="300"/>
          <c:min val="150"/>
        </c:scaling>
        <c:delete val="0"/>
        <c:axPos val="l"/>
        <c:numFmt formatCode="General" sourceLinked="1"/>
        <c:majorTickMark val="out"/>
        <c:minorTickMark val="none"/>
        <c:tickLblPos val="nextTo"/>
        <c:crossAx val="652752336"/>
        <c:crosses val="autoZero"/>
        <c:crossBetween val="between"/>
        <c:majorUnit val="30"/>
      </c:valAx>
      <c:spPr>
        <a:solidFill>
          <a:srgbClr val="FFFFFF"/>
        </a:solidFill>
      </c:spPr>
    </c:plotArea>
    <c:legend>
      <c:legendPos val="l"/>
      <c:legendEntry>
        <c:idx val="0"/>
        <c:delete val="1"/>
      </c:legendEntry>
      <c:layout>
        <c:manualLayout>
          <c:xMode val="edge"/>
          <c:yMode val="edge"/>
          <c:x val="0.58736489349957433"/>
          <c:y val="0.2697797831728338"/>
          <c:w val="0.30617314287545805"/>
          <c:h val="0.24813929839574569"/>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DEE4-4630-A08E-976C3DA498F4}"/>
            </c:ext>
          </c:extLst>
        </c:ser>
        <c:dLbls>
          <c:showLegendKey val="0"/>
          <c:showVal val="0"/>
          <c:showCatName val="0"/>
          <c:showSerName val="0"/>
          <c:showPercent val="0"/>
          <c:showBubbleSize val="0"/>
        </c:dLbls>
        <c:gapWidth val="0"/>
        <c:axId val="652751944"/>
        <c:axId val="652750376"/>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227.22298503356703</c:v>
                </c:pt>
                <c:pt idx="1">
                  <c:v>214.58662396433346</c:v>
                </c:pt>
                <c:pt idx="2">
                  <c:v>213.12772847138569</c:v>
                </c:pt>
                <c:pt idx="3">
                  <c:v>211.47541718017573</c:v>
                </c:pt>
                <c:pt idx="4">
                  <c:v>210.0864891906287</c:v>
                </c:pt>
                <c:pt idx="5">
                  <c:v>208.48424537409289</c:v>
                </c:pt>
                <c:pt idx="6">
                  <c:v>206.88123269349543</c:v>
                </c:pt>
                <c:pt idx="7">
                  <c:v>205.51844094765241</c:v>
                </c:pt>
                <c:pt idx="8">
                  <c:v>204.51776565886689</c:v>
                </c:pt>
                <c:pt idx="9">
                  <c:v>204.20626009098896</c:v>
                </c:pt>
                <c:pt idx="10">
                  <c:v>204.31868026494797</c:v>
                </c:pt>
                <c:pt idx="11">
                  <c:v>204.45278825449125</c:v>
                </c:pt>
                <c:pt idx="12">
                  <c:v>204.36178532043209</c:v>
                </c:pt>
                <c:pt idx="13">
                  <c:v>204.26601178759617</c:v>
                </c:pt>
                <c:pt idx="14" formatCode="General">
                  <c:v>204.22644013126543</c:v>
                </c:pt>
                <c:pt idx="15" formatCode="General">
                  <c:v>204.69231714449273</c:v>
                </c:pt>
                <c:pt idx="16">
                  <c:v>205.10669170179028</c:v>
                </c:pt>
                <c:pt idx="17">
                  <c:v>204.93824100548719</c:v>
                </c:pt>
                <c:pt idx="18">
                  <c:v>204.58825157539428</c:v>
                </c:pt>
                <c:pt idx="19">
                  <c:v>203.98556912201977</c:v>
                </c:pt>
                <c:pt idx="20">
                  <c:v>203.33943579430473</c:v>
                </c:pt>
              </c:numCache>
            </c:numRef>
          </c:val>
          <c:smooth val="0"/>
          <c:extLst>
            <c:ext xmlns:c16="http://schemas.microsoft.com/office/drawing/2014/chart" uri="{C3380CC4-5D6E-409C-BE32-E72D297353CC}">
              <c16:uniqueId val="{00000001-DEE4-4630-A08E-976C3DA498F4}"/>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DEE4-4630-A08E-976C3DA498F4}"/>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205.98464250000001</c:v>
                </c:pt>
                <c:pt idx="1">
                  <c:v>196.35311207880525</c:v>
                </c:pt>
                <c:pt idx="2">
                  <c:v>194.89780631528717</c:v>
                </c:pt>
                <c:pt idx="3">
                  <c:v>192.25048280465063</c:v>
                </c:pt>
                <c:pt idx="4">
                  <c:v>189.34722547927754</c:v>
                </c:pt>
                <c:pt idx="5">
                  <c:v>186.41273398297599</c:v>
                </c:pt>
                <c:pt idx="6">
                  <c:v>183.44162935816578</c:v>
                </c:pt>
                <c:pt idx="7">
                  <c:v>180.26935446836654</c:v>
                </c:pt>
                <c:pt idx="8">
                  <c:v>177.07918099957502</c:v>
                </c:pt>
                <c:pt idx="9">
                  <c:v>173.67406968817932</c:v>
                </c:pt>
                <c:pt idx="10">
                  <c:v>170.2702831008508</c:v>
                </c:pt>
                <c:pt idx="11">
                  <c:v>166.77337265007176</c:v>
                </c:pt>
                <c:pt idx="12">
                  <c:v>163.1068013687059</c:v>
                </c:pt>
                <c:pt idx="13">
                  <c:v>159.34626106468818</c:v>
                </c:pt>
                <c:pt idx="14" formatCode="General">
                  <c:v>155.60416081108281</c:v>
                </c:pt>
                <c:pt idx="15" formatCode="General">
                  <c:v>151.76169284536374</c:v>
                </c:pt>
                <c:pt idx="16" formatCode="General">
                  <c:v>148.13744461985894</c:v>
                </c:pt>
                <c:pt idx="17" formatCode="General">
                  <c:v>144.57316501733496</c:v>
                </c:pt>
                <c:pt idx="18" formatCode="General">
                  <c:v>140.99362028738278</c:v>
                </c:pt>
                <c:pt idx="19" formatCode="General">
                  <c:v>137.43966021537713</c:v>
                </c:pt>
                <c:pt idx="20" formatCode="General">
                  <c:v>133.98314758371848</c:v>
                </c:pt>
              </c:numCache>
            </c:numRef>
          </c:val>
          <c:smooth val="0"/>
          <c:extLst>
            <c:ext xmlns:c16="http://schemas.microsoft.com/office/drawing/2014/chart" uri="{C3380CC4-5D6E-409C-BE32-E72D297353CC}">
              <c16:uniqueId val="{00000003-DEE4-4630-A08E-976C3DA498F4}"/>
            </c:ext>
          </c:extLst>
        </c:ser>
        <c:dLbls>
          <c:showLegendKey val="0"/>
          <c:showVal val="0"/>
          <c:showCatName val="0"/>
          <c:showSerName val="0"/>
          <c:showPercent val="0"/>
          <c:showBubbleSize val="0"/>
        </c:dLbls>
        <c:marker val="1"/>
        <c:smooth val="0"/>
        <c:axId val="652751944"/>
        <c:axId val="652750376"/>
      </c:lineChart>
      <c:catAx>
        <c:axId val="65275194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0376"/>
        <c:crosses val="autoZero"/>
        <c:auto val="1"/>
        <c:lblAlgn val="ctr"/>
        <c:lblOffset val="100"/>
        <c:noMultiLvlLbl val="0"/>
      </c:catAx>
      <c:valAx>
        <c:axId val="652750376"/>
        <c:scaling>
          <c:orientation val="minMax"/>
          <c:max val="340"/>
          <c:min val="100"/>
        </c:scaling>
        <c:delete val="0"/>
        <c:axPos val="l"/>
        <c:numFmt formatCode="General" sourceLinked="1"/>
        <c:majorTickMark val="out"/>
        <c:minorTickMark val="none"/>
        <c:tickLblPos val="nextTo"/>
        <c:crossAx val="652751944"/>
        <c:crosses val="autoZero"/>
        <c:crossBetween val="between"/>
        <c:majorUnit val="40"/>
      </c:valAx>
      <c:spPr>
        <a:solidFill>
          <a:srgbClr val="FFFFFF"/>
        </a:solidFill>
      </c:spPr>
    </c:plotArea>
    <c:legend>
      <c:legendPos val="l"/>
      <c:legendEntry>
        <c:idx val="0"/>
        <c:delete val="1"/>
      </c:legendEntry>
      <c:layout>
        <c:manualLayout>
          <c:xMode val="edge"/>
          <c:yMode val="edge"/>
          <c:x val="0.60323222826454703"/>
          <c:y val="7.03799198706372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BA87-40A5-A87B-9F2CF23AE33E}"/>
            </c:ext>
          </c:extLst>
        </c:ser>
        <c:dLbls>
          <c:showLegendKey val="0"/>
          <c:showVal val="0"/>
          <c:showCatName val="0"/>
          <c:showSerName val="0"/>
          <c:showPercent val="0"/>
          <c:showBubbleSize val="0"/>
        </c:dLbls>
        <c:gapWidth val="0"/>
        <c:axId val="652754688"/>
        <c:axId val="652755864"/>
      </c:barChart>
      <c:lineChart>
        <c:grouping val="standard"/>
        <c:varyColors val="0"/>
        <c:ser>
          <c:idx val="0"/>
          <c:order val="0"/>
          <c:tx>
            <c:strRef>
              <c:f>Sheet1!$A$2</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98.060775600245449</c:v>
                </c:pt>
                <c:pt idx="1">
                  <c:v>100.4755169916359</c:v>
                </c:pt>
                <c:pt idx="2">
                  <c:v>105.72183802014929</c:v>
                </c:pt>
                <c:pt idx="3">
                  <c:v>110.45867639060369</c:v>
                </c:pt>
                <c:pt idx="4">
                  <c:v>115.04837416407187</c:v>
                </c:pt>
                <c:pt idx="5">
                  <c:v>119.08110658691582</c:v>
                </c:pt>
                <c:pt idx="6">
                  <c:v>122.63776561162754</c:v>
                </c:pt>
                <c:pt idx="7">
                  <c:v>125.52702643313317</c:v>
                </c:pt>
                <c:pt idx="8">
                  <c:v>127.20382921243716</c:v>
                </c:pt>
                <c:pt idx="9">
                  <c:v>127.54603391522819</c:v>
                </c:pt>
                <c:pt idx="10">
                  <c:v>126.48750714465658</c:v>
                </c:pt>
                <c:pt idx="11">
                  <c:v>124.54376986717259</c:v>
                </c:pt>
                <c:pt idx="12">
                  <c:v>122.18623561934196</c:v>
                </c:pt>
                <c:pt idx="13">
                  <c:v>119.71658311087015</c:v>
                </c:pt>
                <c:pt idx="14" formatCode="General">
                  <c:v>117.02501330517427</c:v>
                </c:pt>
                <c:pt idx="15" formatCode="General">
                  <c:v>114.26777769992393</c:v>
                </c:pt>
                <c:pt idx="16">
                  <c:v>111.57260615002826</c:v>
                </c:pt>
                <c:pt idx="17">
                  <c:v>108.97470028658047</c:v>
                </c:pt>
                <c:pt idx="18">
                  <c:v>106.63442870439991</c:v>
                </c:pt>
                <c:pt idx="19">
                  <c:v>104.21314539970163</c:v>
                </c:pt>
                <c:pt idx="20">
                  <c:v>101.61981675483382</c:v>
                </c:pt>
              </c:numCache>
            </c:numRef>
          </c:val>
          <c:smooth val="0"/>
          <c:extLst>
            <c:ext xmlns:c16="http://schemas.microsoft.com/office/drawing/2014/chart" uri="{C3380CC4-5D6E-409C-BE32-E72D297353CC}">
              <c16:uniqueId val="{00000001-BA87-40A5-A87B-9F2CF23AE33E}"/>
            </c:ext>
          </c:extLst>
        </c:ser>
        <c:ser>
          <c:idx val="3"/>
          <c:order val="1"/>
          <c:tx>
            <c:strRef>
              <c:f>Sheet1!$A$3</c:f>
              <c:strCache>
                <c:ptCount val="1"/>
                <c:pt idx="0">
                  <c:v>Pieprasījums</c:v>
                </c:pt>
              </c:strCache>
            </c:strRef>
          </c:tx>
          <c:marker>
            <c:symbol val="none"/>
          </c:marker>
          <c:dPt>
            <c:idx val="0"/>
            <c:bubble3D val="0"/>
            <c:extLst>
              <c:ext xmlns:c16="http://schemas.microsoft.com/office/drawing/2014/chart" uri="{C3380CC4-5D6E-409C-BE32-E72D297353CC}">
                <c16:uniqueId val="{00000002-BA87-40A5-A87B-9F2CF23AE33E}"/>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81.101797500000046</c:v>
                </c:pt>
                <c:pt idx="1">
                  <c:v>74.816999020431595</c:v>
                </c:pt>
                <c:pt idx="2">
                  <c:v>75.47651412426778</c:v>
                </c:pt>
                <c:pt idx="3">
                  <c:v>74.399732588485008</c:v>
                </c:pt>
                <c:pt idx="4">
                  <c:v>73.145320765262909</c:v>
                </c:pt>
                <c:pt idx="5">
                  <c:v>71.864377311493413</c:v>
                </c:pt>
                <c:pt idx="6">
                  <c:v>70.549101263740241</c:v>
                </c:pt>
                <c:pt idx="7">
                  <c:v>69.138753170712178</c:v>
                </c:pt>
                <c:pt idx="8">
                  <c:v>67.704388402400212</c:v>
                </c:pt>
                <c:pt idx="9">
                  <c:v>66.206529439844886</c:v>
                </c:pt>
                <c:pt idx="10">
                  <c:v>64.697734662992801</c:v>
                </c:pt>
                <c:pt idx="11">
                  <c:v>63.146287471338901</c:v>
                </c:pt>
                <c:pt idx="12">
                  <c:v>61.52544257695989</c:v>
                </c:pt>
                <c:pt idx="13">
                  <c:v>59.884258080884962</c:v>
                </c:pt>
                <c:pt idx="14" formatCode="General">
                  <c:v>58.271881610741637</c:v>
                </c:pt>
                <c:pt idx="15" formatCode="General">
                  <c:v>56.672854258480193</c:v>
                </c:pt>
                <c:pt idx="16">
                  <c:v>55.142358357850853</c:v>
                </c:pt>
                <c:pt idx="17">
                  <c:v>53.634856228975629</c:v>
                </c:pt>
                <c:pt idx="18">
                  <c:v>52.151922173835857</c:v>
                </c:pt>
                <c:pt idx="19">
                  <c:v>50.685831252015213</c:v>
                </c:pt>
                <c:pt idx="20">
                  <c:v>49.263578680080407</c:v>
                </c:pt>
              </c:numCache>
            </c:numRef>
          </c:val>
          <c:smooth val="0"/>
          <c:extLst>
            <c:ext xmlns:c16="http://schemas.microsoft.com/office/drawing/2014/chart" uri="{C3380CC4-5D6E-409C-BE32-E72D297353CC}">
              <c16:uniqueId val="{00000003-BA87-40A5-A87B-9F2CF23AE33E}"/>
            </c:ext>
          </c:extLst>
        </c:ser>
        <c:dLbls>
          <c:showLegendKey val="0"/>
          <c:showVal val="0"/>
          <c:showCatName val="0"/>
          <c:showSerName val="0"/>
          <c:showPercent val="0"/>
          <c:showBubbleSize val="0"/>
        </c:dLbls>
        <c:marker val="1"/>
        <c:smooth val="0"/>
        <c:axId val="652754688"/>
        <c:axId val="652755864"/>
      </c:lineChart>
      <c:catAx>
        <c:axId val="65275468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55864"/>
        <c:crosses val="autoZero"/>
        <c:auto val="1"/>
        <c:lblAlgn val="ctr"/>
        <c:lblOffset val="100"/>
        <c:noMultiLvlLbl val="0"/>
      </c:catAx>
      <c:valAx>
        <c:axId val="652755864"/>
        <c:scaling>
          <c:orientation val="minMax"/>
          <c:max val="180"/>
          <c:min val="30"/>
        </c:scaling>
        <c:delete val="0"/>
        <c:axPos val="l"/>
        <c:numFmt formatCode="General" sourceLinked="1"/>
        <c:majorTickMark val="out"/>
        <c:minorTickMark val="none"/>
        <c:tickLblPos val="nextTo"/>
        <c:crossAx val="652754688"/>
        <c:crosses val="autoZero"/>
        <c:crossBetween val="between"/>
        <c:majorUnit val="30"/>
      </c:valAx>
      <c:spPr>
        <a:solidFill>
          <a:srgbClr val="FFFFFF"/>
        </a:solidFill>
      </c:spPr>
    </c:plotArea>
    <c:legend>
      <c:legendPos val="l"/>
      <c:legendEntry>
        <c:idx val="0"/>
        <c:delete val="1"/>
      </c:legendEntry>
      <c:layout>
        <c:manualLayout>
          <c:xMode val="edge"/>
          <c:yMode val="edge"/>
          <c:x val="0.54895814413971655"/>
          <c:y val="4.3950566517929085E-2"/>
          <c:w val="0.34687860820043581"/>
          <c:h val="0.25519660726132215"/>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DD30-4396-AA06-48FE848CA8EC}"/>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DD30-4396-AA06-48FE848CA8EC}"/>
              </c:ext>
            </c:extLst>
          </c:dPt>
          <c:dLbls>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93.498431282496526</c:v>
                </c:pt>
                <c:pt idx="1">
                  <c:v>84.275618706333461</c:v>
                </c:pt>
                <c:pt idx="2">
                  <c:v>87.302043996150289</c:v>
                </c:pt>
                <c:pt idx="3">
                  <c:v>117.91110954589787</c:v>
                </c:pt>
                <c:pt idx="4">
                  <c:v>106.07679921609491</c:v>
                </c:pt>
                <c:pt idx="5">
                  <c:v>102.17306006452989</c:v>
                </c:pt>
                <c:pt idx="6">
                  <c:v>96.346946130177912</c:v>
                </c:pt>
                <c:pt idx="7">
                  <c:v>86.595911504126619</c:v>
                </c:pt>
              </c:numCache>
            </c:numRef>
          </c:val>
          <c:extLst>
            <c:ext xmlns:c16="http://schemas.microsoft.com/office/drawing/2014/chart" uri="{C3380CC4-5D6E-409C-BE32-E72D297353CC}">
              <c16:uniqueId val="{00000002-DD30-4396-AA06-48FE848CA8EC}"/>
            </c:ext>
          </c:extLst>
        </c:ser>
        <c:dLbls>
          <c:showLegendKey val="0"/>
          <c:showVal val="1"/>
          <c:showCatName val="0"/>
          <c:showSerName val="0"/>
          <c:showPercent val="0"/>
          <c:showBubbleSize val="0"/>
        </c:dLbls>
        <c:gapWidth val="40"/>
        <c:overlap val="70"/>
        <c:axId val="652756648"/>
        <c:axId val="652747632"/>
      </c:barChart>
      <c:catAx>
        <c:axId val="652756648"/>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47632"/>
        <c:crosses val="autoZero"/>
        <c:auto val="0"/>
        <c:lblAlgn val="ctr"/>
        <c:lblOffset val="100"/>
        <c:tickLblSkip val="1"/>
        <c:tickMarkSkip val="1"/>
        <c:noMultiLvlLbl val="0"/>
      </c:catAx>
      <c:valAx>
        <c:axId val="652747632"/>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56648"/>
        <c:crosses val="autoZero"/>
        <c:crossBetween val="between"/>
        <c:majorUnit val="20"/>
      </c:valAx>
      <c:spPr>
        <a:solidFill>
          <a:srgbClr val="FFFFFF"/>
        </a:solidFill>
        <a:ln>
          <a:noFill/>
        </a:ln>
        <a:effectLst/>
      </c:spPr>
    </c:plotArea>
    <c:legend>
      <c:legendPos val="l"/>
      <c:layout>
        <c:manualLayout>
          <c:xMode val="edge"/>
          <c:yMode val="edge"/>
          <c:x val="0.78306168981481483"/>
          <c:y val="1.3537922516486674E-2"/>
          <c:w val="0.1753675925925926"/>
          <c:h val="0.1709071208792226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FA77-4FA6-BACB-A44EFAA71A9F}"/>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FA77-4FA6-BACB-A44EFAA71A9F}"/>
              </c:ext>
            </c:extLst>
          </c:dPt>
          <c:dLbls>
            <c:dLbl>
              <c:idx val="1"/>
              <c:delete val="1"/>
              <c:extLst>
                <c:ext xmlns:c15="http://schemas.microsoft.com/office/drawing/2012/chart" uri="{CE6537A1-D6FC-4f65-9D91-7224C49458BB}"/>
                <c:ext xmlns:c16="http://schemas.microsoft.com/office/drawing/2014/chart" uri="{C3380CC4-5D6E-409C-BE32-E72D297353CC}">
                  <c16:uniqueId val="{00000003-FA77-4FA6-BACB-A44EFAA71A9F}"/>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c:v>11.69754837042297</c:v>
                </c:pt>
                <c:pt idx="1">
                  <c:v>88.302451629577035</c:v>
                </c:pt>
              </c:numCache>
            </c:numRef>
          </c:val>
          <c:extLst>
            <c:ext xmlns:c16="http://schemas.microsoft.com/office/drawing/2014/chart" uri="{C3380CC4-5D6E-409C-BE32-E72D297353CC}">
              <c16:uniqueId val="{00000004-FA77-4FA6-BACB-A44EFAA71A9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581192502452345"/>
          <c:h val="0.77952200256061799"/>
        </c:manualLayout>
      </c:layout>
      <c:barChart>
        <c:barDir val="col"/>
        <c:grouping val="clustered"/>
        <c:varyColors val="0"/>
        <c:ser>
          <c:idx val="2"/>
          <c:order val="0"/>
          <c:tx>
            <c:strRef>
              <c:f>Sheet1!$B$1</c:f>
              <c:strCache>
                <c:ptCount val="1"/>
                <c:pt idx="0">
                  <c:v>Kopā</c:v>
                </c:pt>
              </c:strCache>
            </c:strRef>
          </c:tx>
          <c:invertIfNegative val="0"/>
          <c:cat>
            <c:numRef>
              <c:f>Sheet1!$A$2:$A$147</c:f>
              <c:numCache>
                <c:formatCode>General</c:formatCode>
                <c:ptCount val="98"/>
                <c:pt idx="0" formatCode="0">
                  <c:v>2014</c:v>
                </c:pt>
                <c:pt idx="12" formatCode="0">
                  <c:v>2015</c:v>
                </c:pt>
                <c:pt idx="24" formatCode="0">
                  <c:v>2016</c:v>
                </c:pt>
                <c:pt idx="36" formatCode="0">
                  <c:v>2017</c:v>
                </c:pt>
                <c:pt idx="48" formatCode="0">
                  <c:v>2018</c:v>
                </c:pt>
                <c:pt idx="60" formatCode="0">
                  <c:v>2019</c:v>
                </c:pt>
                <c:pt idx="72" formatCode="0">
                  <c:v>2020</c:v>
                </c:pt>
                <c:pt idx="84" formatCode="0">
                  <c:v>2021</c:v>
                </c:pt>
                <c:pt idx="96" formatCode="0">
                  <c:v>2022</c:v>
                </c:pt>
              </c:numCache>
            </c:numRef>
          </c:cat>
          <c:val>
            <c:numRef>
              <c:f>Sheet1!$B$2:$B$147</c:f>
              <c:numCache>
                <c:formatCode>0</c:formatCode>
                <c:ptCount val="98"/>
                <c:pt idx="0">
                  <c:v>96.762</c:v>
                </c:pt>
                <c:pt idx="1">
                  <c:v>97.736000000000004</c:v>
                </c:pt>
                <c:pt idx="2">
                  <c:v>96.495999999999995</c:v>
                </c:pt>
                <c:pt idx="3">
                  <c:v>92.01</c:v>
                </c:pt>
                <c:pt idx="4">
                  <c:v>87.78</c:v>
                </c:pt>
                <c:pt idx="5">
                  <c:v>85.296000000000006</c:v>
                </c:pt>
                <c:pt idx="6">
                  <c:v>83.162999999999997</c:v>
                </c:pt>
                <c:pt idx="7">
                  <c:v>80.938000000000002</c:v>
                </c:pt>
                <c:pt idx="8">
                  <c:v>79.103999999999999</c:v>
                </c:pt>
                <c:pt idx="9">
                  <c:v>79.183000000000007</c:v>
                </c:pt>
                <c:pt idx="10">
                  <c:v>79.869</c:v>
                </c:pt>
                <c:pt idx="11">
                  <c:v>82.027000000000001</c:v>
                </c:pt>
                <c:pt idx="12">
                  <c:v>86.245999999999995</c:v>
                </c:pt>
                <c:pt idx="13">
                  <c:v>87.873000000000005</c:v>
                </c:pt>
                <c:pt idx="14">
                  <c:v>86.603999999999999</c:v>
                </c:pt>
                <c:pt idx="15">
                  <c:v>82.832999999999998</c:v>
                </c:pt>
                <c:pt idx="16">
                  <c:v>80.566999999999993</c:v>
                </c:pt>
                <c:pt idx="17">
                  <c:v>80.688000000000002</c:v>
                </c:pt>
                <c:pt idx="18">
                  <c:v>80.671000000000006</c:v>
                </c:pt>
                <c:pt idx="19">
                  <c:v>79.825000000000003</c:v>
                </c:pt>
                <c:pt idx="20">
                  <c:v>78.557000000000002</c:v>
                </c:pt>
                <c:pt idx="21">
                  <c:v>78.052000000000007</c:v>
                </c:pt>
                <c:pt idx="22">
                  <c:v>79.153000000000006</c:v>
                </c:pt>
                <c:pt idx="23">
                  <c:v>81.78</c:v>
                </c:pt>
                <c:pt idx="24">
                  <c:v>85.5</c:v>
                </c:pt>
                <c:pt idx="25" formatCode="0.0">
                  <c:v>86.6</c:v>
                </c:pt>
                <c:pt idx="26">
                  <c:v>85.4</c:v>
                </c:pt>
                <c:pt idx="27">
                  <c:v>82.3</c:v>
                </c:pt>
                <c:pt idx="28">
                  <c:v>79.099999999999994</c:v>
                </c:pt>
                <c:pt idx="29">
                  <c:v>78.2</c:v>
                </c:pt>
                <c:pt idx="30">
                  <c:v>77.400000000000006</c:v>
                </c:pt>
                <c:pt idx="31">
                  <c:v>75.7</c:v>
                </c:pt>
                <c:pt idx="32">
                  <c:v>74.356999999999999</c:v>
                </c:pt>
                <c:pt idx="33">
                  <c:v>74.052999999999997</c:v>
                </c:pt>
                <c:pt idx="34">
                  <c:v>75.347999999999999</c:v>
                </c:pt>
                <c:pt idx="35">
                  <c:v>78.356999999999999</c:v>
                </c:pt>
                <c:pt idx="36">
                  <c:v>80.016000000000005</c:v>
                </c:pt>
                <c:pt idx="37">
                  <c:v>79.152000000000001</c:v>
                </c:pt>
                <c:pt idx="38">
                  <c:v>76.430999999999997</c:v>
                </c:pt>
                <c:pt idx="39">
                  <c:v>71.704999999999998</c:v>
                </c:pt>
                <c:pt idx="40">
                  <c:v>68.438999999999993</c:v>
                </c:pt>
                <c:pt idx="41">
                  <c:v>66.707999999999998</c:v>
                </c:pt>
                <c:pt idx="42">
                  <c:v>65.554000000000002</c:v>
                </c:pt>
                <c:pt idx="43">
                  <c:v>63.716999999999999</c:v>
                </c:pt>
                <c:pt idx="44">
                  <c:v>61.460999999999999</c:v>
                </c:pt>
                <c:pt idx="45">
                  <c:v>61.014000000000003</c:v>
                </c:pt>
                <c:pt idx="46">
                  <c:v>61.537999999999997</c:v>
                </c:pt>
                <c:pt idx="47">
                  <c:v>63.121000000000002</c:v>
                </c:pt>
                <c:pt idx="48">
                  <c:v>65.135999999999996</c:v>
                </c:pt>
                <c:pt idx="49">
                  <c:v>65.281999999999996</c:v>
                </c:pt>
                <c:pt idx="50">
                  <c:v>64.631</c:v>
                </c:pt>
                <c:pt idx="51">
                  <c:v>61.881999999999998</c:v>
                </c:pt>
                <c:pt idx="52">
                  <c:v>59.548000000000002</c:v>
                </c:pt>
                <c:pt idx="53">
                  <c:v>59.119</c:v>
                </c:pt>
                <c:pt idx="54">
                  <c:v>58.887999999999998</c:v>
                </c:pt>
                <c:pt idx="55">
                  <c:v>58.051000000000002</c:v>
                </c:pt>
                <c:pt idx="56">
                  <c:v>56.734000000000002</c:v>
                </c:pt>
                <c:pt idx="57">
                  <c:v>56.725999999999999</c:v>
                </c:pt>
                <c:pt idx="58">
                  <c:v>57.454999999999998</c:v>
                </c:pt>
                <c:pt idx="59">
                  <c:v>59.588000000000001</c:v>
                </c:pt>
                <c:pt idx="60">
                  <c:v>61.951000000000001</c:v>
                </c:pt>
                <c:pt idx="61">
                  <c:v>62.476999999999997</c:v>
                </c:pt>
                <c:pt idx="62">
                  <c:v>61.244</c:v>
                </c:pt>
                <c:pt idx="63">
                  <c:v>58.188000000000002</c:v>
                </c:pt>
                <c:pt idx="64">
                  <c:v>56.104999999999997</c:v>
                </c:pt>
                <c:pt idx="65">
                  <c:v>55.75</c:v>
                </c:pt>
                <c:pt idx="66">
                  <c:v>55.372999999999998</c:v>
                </c:pt>
                <c:pt idx="67">
                  <c:v>54.39</c:v>
                </c:pt>
                <c:pt idx="68">
                  <c:v>52.594999999999999</c:v>
                </c:pt>
                <c:pt idx="69">
                  <c:v>52.651000000000003</c:v>
                </c:pt>
                <c:pt idx="70">
                  <c:v>53.783000000000001</c:v>
                </c:pt>
                <c:pt idx="71">
                  <c:v>57.808</c:v>
                </c:pt>
                <c:pt idx="72">
                  <c:v>58.832000000000001</c:v>
                </c:pt>
                <c:pt idx="73">
                  <c:v>58.247</c:v>
                </c:pt>
                <c:pt idx="74">
                  <c:v>61.926000000000002</c:v>
                </c:pt>
                <c:pt idx="75">
                  <c:v>72.917000000000002</c:v>
                </c:pt>
                <c:pt idx="76">
                  <c:v>76.44</c:v>
                </c:pt>
                <c:pt idx="77">
                  <c:v>78.266000000000005</c:v>
                </c:pt>
                <c:pt idx="78">
                  <c:v>77.998000000000005</c:v>
                </c:pt>
                <c:pt idx="79">
                  <c:v>75.013000000000005</c:v>
                </c:pt>
                <c:pt idx="80">
                  <c:v>70.305999999999997</c:v>
                </c:pt>
                <c:pt idx="81">
                  <c:v>67.123999999999995</c:v>
                </c:pt>
                <c:pt idx="82">
                  <c:v>67.518000000000001</c:v>
                </c:pt>
                <c:pt idx="83">
                  <c:v>69.605000000000004</c:v>
                </c:pt>
                <c:pt idx="84">
                  <c:v>72.611999999999995</c:v>
                </c:pt>
                <c:pt idx="85">
                  <c:v>74.494</c:v>
                </c:pt>
                <c:pt idx="86">
                  <c:v>74.231999999999999</c:v>
                </c:pt>
                <c:pt idx="87">
                  <c:v>71.376000000000005</c:v>
                </c:pt>
                <c:pt idx="88">
                  <c:v>68.765000000000001</c:v>
                </c:pt>
                <c:pt idx="89">
                  <c:v>67.307000000000002</c:v>
                </c:pt>
                <c:pt idx="90">
                  <c:v>64.391999999999996</c:v>
                </c:pt>
                <c:pt idx="91">
                  <c:v>59.04</c:v>
                </c:pt>
                <c:pt idx="92">
                  <c:v>54.524000000000001</c:v>
                </c:pt>
                <c:pt idx="93">
                  <c:v>54.042000000000002</c:v>
                </c:pt>
                <c:pt idx="94">
                  <c:v>57.536000000000001</c:v>
                </c:pt>
                <c:pt idx="95">
                  <c:v>60.774000000000001</c:v>
                </c:pt>
                <c:pt idx="96">
                  <c:v>62.27</c:v>
                </c:pt>
                <c:pt idx="97">
                  <c:v>61.813000000000002</c:v>
                </c:pt>
              </c:numCache>
            </c:numRef>
          </c:val>
          <c:extLst>
            <c:ext xmlns:c16="http://schemas.microsoft.com/office/drawing/2014/chart" uri="{C3380CC4-5D6E-409C-BE32-E72D297353CC}">
              <c16:uniqueId val="{00000000-BF6E-4CB1-9ADB-9F32A57C0F56}"/>
            </c:ext>
          </c:extLst>
        </c:ser>
        <c:ser>
          <c:idx val="3"/>
          <c:order val="1"/>
          <c:tx>
            <c:strRef>
              <c:f>Sheet1!$C$1</c:f>
              <c:strCache>
                <c:ptCount val="1"/>
                <c:pt idx="0">
                  <c:v>Ilgstošie bezdarbnieki</c:v>
                </c:pt>
              </c:strCache>
            </c:strRef>
          </c:tx>
          <c:invertIfNegative val="0"/>
          <c:cat>
            <c:numRef>
              <c:f>Sheet1!$A$2:$A$147</c:f>
              <c:numCache>
                <c:formatCode>General</c:formatCode>
                <c:ptCount val="98"/>
                <c:pt idx="0" formatCode="0">
                  <c:v>2014</c:v>
                </c:pt>
                <c:pt idx="12" formatCode="0">
                  <c:v>2015</c:v>
                </c:pt>
                <c:pt idx="24" formatCode="0">
                  <c:v>2016</c:v>
                </c:pt>
                <c:pt idx="36" formatCode="0">
                  <c:v>2017</c:v>
                </c:pt>
                <c:pt idx="48" formatCode="0">
                  <c:v>2018</c:v>
                </c:pt>
                <c:pt idx="60" formatCode="0">
                  <c:v>2019</c:v>
                </c:pt>
                <c:pt idx="72" formatCode="0">
                  <c:v>2020</c:v>
                </c:pt>
                <c:pt idx="84" formatCode="0">
                  <c:v>2021</c:v>
                </c:pt>
                <c:pt idx="96" formatCode="0">
                  <c:v>2022</c:v>
                </c:pt>
              </c:numCache>
            </c:numRef>
          </c:cat>
          <c:val>
            <c:numRef>
              <c:f>Sheet1!$C$2:$C$147</c:f>
              <c:numCache>
                <c:formatCode>0</c:formatCode>
                <c:ptCount val="98"/>
                <c:pt idx="0">
                  <c:v>33.415999999999997</c:v>
                </c:pt>
                <c:pt idx="1">
                  <c:v>33.430999999999997</c:v>
                </c:pt>
                <c:pt idx="2">
                  <c:v>33.171999999999997</c:v>
                </c:pt>
                <c:pt idx="3">
                  <c:v>32.389000000000003</c:v>
                </c:pt>
                <c:pt idx="4">
                  <c:v>31.222000000000001</c:v>
                </c:pt>
                <c:pt idx="5">
                  <c:v>29.856999999999999</c:v>
                </c:pt>
                <c:pt idx="6">
                  <c:v>28.88</c:v>
                </c:pt>
                <c:pt idx="7">
                  <c:v>28.242000000000001</c:v>
                </c:pt>
                <c:pt idx="8">
                  <c:v>27.619</c:v>
                </c:pt>
                <c:pt idx="9">
                  <c:v>27.338999999999999</c:v>
                </c:pt>
                <c:pt idx="10">
                  <c:v>27.474935999999996</c:v>
                </c:pt>
                <c:pt idx="11">
                  <c:v>27.039000000000001</c:v>
                </c:pt>
                <c:pt idx="12">
                  <c:v>27.28</c:v>
                </c:pt>
                <c:pt idx="13">
                  <c:v>27.103000000000002</c:v>
                </c:pt>
                <c:pt idx="14">
                  <c:v>26.913</c:v>
                </c:pt>
                <c:pt idx="15">
                  <c:v>26.280999999999999</c:v>
                </c:pt>
                <c:pt idx="16">
                  <c:v>25.754999999999999</c:v>
                </c:pt>
                <c:pt idx="17">
                  <c:v>25.19</c:v>
                </c:pt>
                <c:pt idx="18">
                  <c:v>24.815999999999999</c:v>
                </c:pt>
                <c:pt idx="19">
                  <c:v>24.544</c:v>
                </c:pt>
                <c:pt idx="20">
                  <c:v>24.481000000000002</c:v>
                </c:pt>
                <c:pt idx="21">
                  <c:v>24.407</c:v>
                </c:pt>
                <c:pt idx="22">
                  <c:v>24.4</c:v>
                </c:pt>
                <c:pt idx="23">
                  <c:v>24.321999999999999</c:v>
                </c:pt>
                <c:pt idx="24">
                  <c:v>24.893000000000001</c:v>
                </c:pt>
                <c:pt idx="25">
                  <c:v>25.123999999999999</c:v>
                </c:pt>
                <c:pt idx="26">
                  <c:v>25.228000000000002</c:v>
                </c:pt>
                <c:pt idx="27">
                  <c:v>24.289000000000001</c:v>
                </c:pt>
                <c:pt idx="28">
                  <c:v>24.289000000000001</c:v>
                </c:pt>
                <c:pt idx="29">
                  <c:v>23.834</c:v>
                </c:pt>
                <c:pt idx="30">
                  <c:v>22.872448607758933</c:v>
                </c:pt>
                <c:pt idx="31">
                  <c:v>22.241898416227301</c:v>
                </c:pt>
                <c:pt idx="32">
                  <c:v>21.721393414702771</c:v>
                </c:pt>
                <c:pt idx="33">
                  <c:v>21.507193144670968</c:v>
                </c:pt>
                <c:pt idx="34">
                  <c:v>21.755711947848827</c:v>
                </c:pt>
                <c:pt idx="35">
                  <c:v>22.45</c:v>
                </c:pt>
                <c:pt idx="36">
                  <c:v>22.602</c:v>
                </c:pt>
                <c:pt idx="37">
                  <c:v>22.451978107279253</c:v>
                </c:pt>
                <c:pt idx="38">
                  <c:v>22.065000000000001</c:v>
                </c:pt>
                <c:pt idx="39">
                  <c:v>21.731999999999999</c:v>
                </c:pt>
                <c:pt idx="40">
                  <c:v>21.138999999999999</c:v>
                </c:pt>
                <c:pt idx="41">
                  <c:v>20.381</c:v>
                </c:pt>
                <c:pt idx="42">
                  <c:v>19.759</c:v>
                </c:pt>
                <c:pt idx="43">
                  <c:v>19.251000000000001</c:v>
                </c:pt>
                <c:pt idx="44">
                  <c:v>18.89</c:v>
                </c:pt>
                <c:pt idx="45">
                  <c:v>18.498999999999999</c:v>
                </c:pt>
                <c:pt idx="46">
                  <c:v>18.268000000000001</c:v>
                </c:pt>
                <c:pt idx="47">
                  <c:v>18.135999999999999</c:v>
                </c:pt>
                <c:pt idx="48">
                  <c:v>18.241</c:v>
                </c:pt>
                <c:pt idx="49">
                  <c:v>18.036000000000001</c:v>
                </c:pt>
                <c:pt idx="50">
                  <c:v>18.029</c:v>
                </c:pt>
                <c:pt idx="51">
                  <c:v>17.603999999999999</c:v>
                </c:pt>
                <c:pt idx="52">
                  <c:v>16.882999999999999</c:v>
                </c:pt>
                <c:pt idx="53">
                  <c:v>16.125</c:v>
                </c:pt>
                <c:pt idx="54">
                  <c:v>15.606</c:v>
                </c:pt>
                <c:pt idx="55">
                  <c:v>15.257</c:v>
                </c:pt>
                <c:pt idx="56">
                  <c:v>15.115</c:v>
                </c:pt>
                <c:pt idx="57">
                  <c:v>14.917999999999999</c:v>
                </c:pt>
                <c:pt idx="58">
                  <c:v>14.888</c:v>
                </c:pt>
                <c:pt idx="59">
                  <c:v>14.944000000000001</c:v>
                </c:pt>
                <c:pt idx="60">
                  <c:v>15.226000000000001</c:v>
                </c:pt>
                <c:pt idx="61">
                  <c:v>15.226000000000001</c:v>
                </c:pt>
                <c:pt idx="62">
                  <c:v>15.315</c:v>
                </c:pt>
                <c:pt idx="63">
                  <c:v>15.026999999999999</c:v>
                </c:pt>
                <c:pt idx="64">
                  <c:v>14.638999999999999</c:v>
                </c:pt>
                <c:pt idx="65">
                  <c:v>14.087999999999999</c:v>
                </c:pt>
                <c:pt idx="66">
                  <c:v>13.45</c:v>
                </c:pt>
                <c:pt idx="67">
                  <c:v>13.019</c:v>
                </c:pt>
                <c:pt idx="68">
                  <c:v>12.663</c:v>
                </c:pt>
                <c:pt idx="69">
                  <c:v>12.35</c:v>
                </c:pt>
                <c:pt idx="70">
                  <c:v>12.273999999999999</c:v>
                </c:pt>
                <c:pt idx="71">
                  <c:v>12.117000000000001</c:v>
                </c:pt>
                <c:pt idx="72">
                  <c:v>12.27</c:v>
                </c:pt>
                <c:pt idx="73">
                  <c:v>12.259</c:v>
                </c:pt>
                <c:pt idx="74">
                  <c:v>12.260999999999999</c:v>
                </c:pt>
                <c:pt idx="75">
                  <c:v>12.509</c:v>
                </c:pt>
                <c:pt idx="76">
                  <c:v>13.162000000000001</c:v>
                </c:pt>
                <c:pt idx="77">
                  <c:v>13.95</c:v>
                </c:pt>
                <c:pt idx="78">
                  <c:v>14.888</c:v>
                </c:pt>
                <c:pt idx="79">
                  <c:v>15.222</c:v>
                </c:pt>
                <c:pt idx="80">
                  <c:v>15.5</c:v>
                </c:pt>
                <c:pt idx="81">
                  <c:v>15.589</c:v>
                </c:pt>
                <c:pt idx="82">
                  <c:v>16.04</c:v>
                </c:pt>
                <c:pt idx="83">
                  <c:v>17.271000000000001</c:v>
                </c:pt>
                <c:pt idx="84">
                  <c:v>17.988</c:v>
                </c:pt>
                <c:pt idx="85">
                  <c:v>18.584</c:v>
                </c:pt>
                <c:pt idx="86">
                  <c:v>19.52</c:v>
                </c:pt>
                <c:pt idx="87">
                  <c:v>21.181000000000001</c:v>
                </c:pt>
                <c:pt idx="88">
                  <c:v>21.393999999999998</c:v>
                </c:pt>
                <c:pt idx="89">
                  <c:v>21.419</c:v>
                </c:pt>
                <c:pt idx="90">
                  <c:v>20.263000000000002</c:v>
                </c:pt>
                <c:pt idx="91">
                  <c:v>17.995999999999999</c:v>
                </c:pt>
                <c:pt idx="92">
                  <c:v>16.151</c:v>
                </c:pt>
                <c:pt idx="93">
                  <c:v>15.106</c:v>
                </c:pt>
                <c:pt idx="94">
                  <c:v>15.023</c:v>
                </c:pt>
                <c:pt idx="95">
                  <c:v>14.824</c:v>
                </c:pt>
                <c:pt idx="96">
                  <c:v>14.89</c:v>
                </c:pt>
                <c:pt idx="97">
                  <c:v>14.808999999999999</c:v>
                </c:pt>
              </c:numCache>
            </c:numRef>
          </c:val>
          <c:extLst>
            <c:ext xmlns:c16="http://schemas.microsoft.com/office/drawing/2014/chart" uri="{C3380CC4-5D6E-409C-BE32-E72D297353CC}">
              <c16:uniqueId val="{00000001-BF6E-4CB1-9ADB-9F32A57C0F56}"/>
            </c:ext>
          </c:extLst>
        </c:ser>
        <c:dLbls>
          <c:showLegendKey val="0"/>
          <c:showVal val="0"/>
          <c:showCatName val="0"/>
          <c:showSerName val="0"/>
          <c:showPercent val="0"/>
          <c:showBubbleSize val="0"/>
        </c:dLbls>
        <c:gapWidth val="0"/>
        <c:overlap val="100"/>
        <c:axId val="742153008"/>
        <c:axId val="742150264"/>
      </c:barChart>
      <c:catAx>
        <c:axId val="742153008"/>
        <c:scaling>
          <c:orientation val="minMax"/>
        </c:scaling>
        <c:delete val="0"/>
        <c:axPos val="b"/>
        <c:numFmt formatCode="0" sourceLinked="1"/>
        <c:majorTickMark val="out"/>
        <c:minorTickMark val="none"/>
        <c:tickLblPos val="low"/>
        <c:txPr>
          <a:bodyPr rot="0" vert="horz"/>
          <a:lstStyle/>
          <a:p>
            <a:pPr>
              <a:defRPr/>
            </a:pPr>
            <a:endParaRPr lang="lv-LV"/>
          </a:p>
        </c:txPr>
        <c:crossAx val="742150264"/>
        <c:crosses val="autoZero"/>
        <c:auto val="0"/>
        <c:lblAlgn val="ctr"/>
        <c:lblOffset val="0"/>
        <c:tickLblSkip val="2"/>
        <c:tickMarkSkip val="12"/>
        <c:noMultiLvlLbl val="1"/>
      </c:catAx>
      <c:valAx>
        <c:axId val="742150264"/>
        <c:scaling>
          <c:orientation val="minMax"/>
          <c:max val="120"/>
          <c:min val="0"/>
        </c:scaling>
        <c:delete val="0"/>
        <c:axPos val="l"/>
        <c:numFmt formatCode="0" sourceLinked="0"/>
        <c:majorTickMark val="out"/>
        <c:minorTickMark val="none"/>
        <c:tickLblPos val="nextTo"/>
        <c:spPr>
          <a:ln w="3175">
            <a:noFill/>
          </a:ln>
        </c:spPr>
        <c:txPr>
          <a:bodyPr rot="0" vert="horz"/>
          <a:lstStyle/>
          <a:p>
            <a:pPr>
              <a:defRPr/>
            </a:pPr>
            <a:endParaRPr lang="lv-LV"/>
          </a:p>
        </c:txPr>
        <c:crossAx val="742153008"/>
        <c:crosses val="autoZero"/>
        <c:crossBetween val="between"/>
        <c:majorUnit val="20"/>
      </c:valAx>
      <c:spPr>
        <a:noFill/>
        <a:ln w="24631">
          <a:noFill/>
        </a:ln>
      </c:spPr>
    </c:plotArea>
    <c:legend>
      <c:legendPos val="l"/>
      <c:legendEntry>
        <c:idx val="1"/>
        <c:txPr>
          <a:bodyPr/>
          <a:lstStyle/>
          <a:p>
            <a:pPr>
              <a:defRPr>
                <a:solidFill>
                  <a:schemeClr val="bg1"/>
                </a:solidFill>
              </a:defRPr>
            </a:pPr>
            <a:endParaRPr lang="lv-LV"/>
          </a:p>
        </c:txPr>
      </c:legendEntry>
      <c:layout>
        <c:manualLayout>
          <c:xMode val="edge"/>
          <c:yMode val="edge"/>
          <c:x val="9.5219915692356619E-2"/>
          <c:y val="0.38445431751198694"/>
          <c:w val="0.42958685291130227"/>
          <c:h val="0.48614696464911894"/>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B3D3-4B2A-8225-8B5086AC3C90}"/>
            </c:ext>
          </c:extLst>
        </c:ser>
        <c:dLbls>
          <c:showLegendKey val="0"/>
          <c:showVal val="0"/>
          <c:showCatName val="0"/>
          <c:showSerName val="0"/>
          <c:showPercent val="0"/>
          <c:showBubbleSize val="0"/>
        </c:dLbls>
        <c:gapWidth val="0"/>
        <c:axId val="652762920"/>
        <c:axId val="652765272"/>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B3D3-4B2A-8225-8B5086AC3C90}"/>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51.634902500000003</c:v>
                </c:pt>
                <c:pt idx="1">
                  <c:v>50.48977271804069</c:v>
                </c:pt>
                <c:pt idx="2">
                  <c:v>51.050069876159121</c:v>
                </c:pt>
                <c:pt idx="3">
                  <c:v>50.860364031606068</c:v>
                </c:pt>
                <c:pt idx="4">
                  <c:v>50.095510022401299</c:v>
                </c:pt>
                <c:pt idx="5">
                  <c:v>49.254414529013765</c:v>
                </c:pt>
                <c:pt idx="6">
                  <c:v>48.115800841051872</c:v>
                </c:pt>
                <c:pt idx="7">
                  <c:v>47.224347064682313</c:v>
                </c:pt>
                <c:pt idx="8">
                  <c:v>46.345371636860676</c:v>
                </c:pt>
                <c:pt idx="9">
                  <c:v>45.843890085231074</c:v>
                </c:pt>
                <c:pt idx="10">
                  <c:v>45.516059625271701</c:v>
                </c:pt>
                <c:pt idx="11" formatCode="General">
                  <c:v>45.146850939569987</c:v>
                </c:pt>
                <c:pt idx="12" formatCode="General">
                  <c:v>44.708495706402182</c:v>
                </c:pt>
                <c:pt idx="13" formatCode="General">
                  <c:v>44.256862014730608</c:v>
                </c:pt>
                <c:pt idx="14" formatCode="General">
                  <c:v>43.791983144956632</c:v>
                </c:pt>
                <c:pt idx="15" formatCode="General">
                  <c:v>43.319095463992156</c:v>
                </c:pt>
                <c:pt idx="16" formatCode="General">
                  <c:v>42.88911485158912</c:v>
                </c:pt>
                <c:pt idx="17" formatCode="General">
                  <c:v>42.463249525952584</c:v>
                </c:pt>
                <c:pt idx="18" formatCode="General">
                  <c:v>42.04472966073449</c:v>
                </c:pt>
                <c:pt idx="19" formatCode="General">
                  <c:v>41.615483492530231</c:v>
                </c:pt>
                <c:pt idx="20" formatCode="General">
                  <c:v>41.215771194464367</c:v>
                </c:pt>
              </c:numCache>
            </c:numRef>
          </c:val>
          <c:smooth val="0"/>
          <c:extLst>
            <c:ext xmlns:c16="http://schemas.microsoft.com/office/drawing/2014/chart" uri="{C3380CC4-5D6E-409C-BE32-E72D297353CC}">
              <c16:uniqueId val="{00000003-B3D3-4B2A-8225-8B5086AC3C90}"/>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52.535400104081042</c:v>
                </c:pt>
                <c:pt idx="1">
                  <c:v>50.592579508046668</c:v>
                </c:pt>
                <c:pt idx="2">
                  <c:v>50.863751661808323</c:v>
                </c:pt>
                <c:pt idx="3">
                  <c:v>51.043839388760105</c:v>
                </c:pt>
                <c:pt idx="4">
                  <c:v>51.091207488219688</c:v>
                </c:pt>
                <c:pt idx="5">
                  <c:v>50.89803090137179</c:v>
                </c:pt>
                <c:pt idx="6">
                  <c:v>50.568431108262182</c:v>
                </c:pt>
                <c:pt idx="7">
                  <c:v>50.145008835419596</c:v>
                </c:pt>
                <c:pt idx="8">
                  <c:v>49.648209979161436</c:v>
                </c:pt>
                <c:pt idx="9">
                  <c:v>49.158709337163501</c:v>
                </c:pt>
                <c:pt idx="10">
                  <c:v>48.681094432214913</c:v>
                </c:pt>
                <c:pt idx="11" formatCode="General">
                  <c:v>48.206040887113765</c:v>
                </c:pt>
                <c:pt idx="12" formatCode="General">
                  <c:v>47.665506456459454</c:v>
                </c:pt>
                <c:pt idx="13" formatCode="General">
                  <c:v>47.068989776959981</c:v>
                </c:pt>
                <c:pt idx="14" formatCode="General">
                  <c:v>46.378528348042515</c:v>
                </c:pt>
                <c:pt idx="15" formatCode="General">
                  <c:v>45.734830555123125</c:v>
                </c:pt>
                <c:pt idx="16" formatCode="General">
                  <c:v>45.115058969830677</c:v>
                </c:pt>
                <c:pt idx="17" formatCode="General">
                  <c:v>44.512692668240938</c:v>
                </c:pt>
                <c:pt idx="18" formatCode="General">
                  <c:v>44.013032028219413</c:v>
                </c:pt>
                <c:pt idx="19" formatCode="General">
                  <c:v>43.570412391573001</c:v>
                </c:pt>
                <c:pt idx="20" formatCode="General">
                  <c:v>43.158152483039693</c:v>
                </c:pt>
              </c:numCache>
            </c:numRef>
          </c:val>
          <c:smooth val="0"/>
          <c:extLst>
            <c:ext xmlns:c16="http://schemas.microsoft.com/office/drawing/2014/chart" uri="{C3380CC4-5D6E-409C-BE32-E72D297353CC}">
              <c16:uniqueId val="{00000004-B3D3-4B2A-8225-8B5086AC3C90}"/>
            </c:ext>
          </c:extLst>
        </c:ser>
        <c:dLbls>
          <c:showLegendKey val="0"/>
          <c:showVal val="0"/>
          <c:showCatName val="0"/>
          <c:showSerName val="0"/>
          <c:showPercent val="0"/>
          <c:showBubbleSize val="0"/>
        </c:dLbls>
        <c:marker val="1"/>
        <c:smooth val="0"/>
        <c:axId val="652762920"/>
        <c:axId val="652765272"/>
      </c:lineChart>
      <c:catAx>
        <c:axId val="65276292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5272"/>
        <c:crosses val="autoZero"/>
        <c:auto val="1"/>
        <c:lblAlgn val="ctr"/>
        <c:lblOffset val="100"/>
        <c:noMultiLvlLbl val="0"/>
      </c:catAx>
      <c:valAx>
        <c:axId val="652765272"/>
        <c:scaling>
          <c:orientation val="minMax"/>
          <c:max val="55"/>
          <c:min val="35"/>
        </c:scaling>
        <c:delete val="0"/>
        <c:axPos val="l"/>
        <c:numFmt formatCode="General" sourceLinked="1"/>
        <c:majorTickMark val="out"/>
        <c:minorTickMark val="none"/>
        <c:tickLblPos val="nextTo"/>
        <c:crossAx val="652762920"/>
        <c:crosses val="autoZero"/>
        <c:crossBetween val="between"/>
        <c:majorUnit val="5"/>
      </c:valAx>
      <c:spPr>
        <a:solidFill>
          <a:srgbClr val="FFFFFF"/>
        </a:solidFill>
      </c:spPr>
    </c:plotArea>
    <c:legend>
      <c:legendPos val="l"/>
      <c:legendEntry>
        <c:idx val="0"/>
        <c:delete val="1"/>
      </c:legendEntry>
      <c:layout>
        <c:manualLayout>
          <c:xMode val="edge"/>
          <c:yMode val="edge"/>
          <c:x val="0.11325940091952551"/>
          <c:y val="0.4593798735016966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248A-45CE-8AC4-76239C32A857}"/>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248A-45CE-8AC4-76239C32A857}"/>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General</c:formatCode>
                <c:ptCount val="2"/>
                <c:pt idx="0">
                  <c:v>96</c:v>
                </c:pt>
                <c:pt idx="1">
                  <c:v>93</c:v>
                </c:pt>
              </c:numCache>
            </c:numRef>
          </c:val>
          <c:extLst>
            <c:ext xmlns:c16="http://schemas.microsoft.com/office/drawing/2014/chart" uri="{C3380CC4-5D6E-409C-BE32-E72D297353CC}">
              <c16:uniqueId val="{00000003-248A-45CE-8AC4-76239C32A857}"/>
            </c:ext>
          </c:extLst>
        </c:ser>
        <c:dLbls>
          <c:showLegendKey val="0"/>
          <c:showVal val="1"/>
          <c:showCatName val="0"/>
          <c:showSerName val="0"/>
          <c:showPercent val="0"/>
          <c:showBubbleSize val="0"/>
        </c:dLbls>
        <c:gapWidth val="50"/>
        <c:overlap val="88"/>
        <c:axId val="652770368"/>
        <c:axId val="652769976"/>
      </c:barChart>
      <c:catAx>
        <c:axId val="652770368"/>
        <c:scaling>
          <c:orientation val="minMax"/>
        </c:scaling>
        <c:delete val="0"/>
        <c:axPos val="b"/>
        <c:numFmt formatCode="General" sourceLinked="1"/>
        <c:majorTickMark val="out"/>
        <c:minorTickMark val="none"/>
        <c:tickLblPos val="nextTo"/>
        <c:crossAx val="652769976"/>
        <c:crosses val="autoZero"/>
        <c:auto val="0"/>
        <c:lblAlgn val="ctr"/>
        <c:lblOffset val="100"/>
        <c:tickLblSkip val="1"/>
        <c:tickMarkSkip val="1"/>
        <c:noMultiLvlLbl val="0"/>
      </c:catAx>
      <c:valAx>
        <c:axId val="65276997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036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0658-449D-9A25-05D3AB974DD5}"/>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0658-449D-9A25-05D3AB974DD5}"/>
              </c:ext>
            </c:extLst>
          </c:dPt>
          <c:dLbls>
            <c:dLbl>
              <c:idx val="1"/>
              <c:delete val="1"/>
              <c:extLst>
                <c:ext xmlns:c15="http://schemas.microsoft.com/office/drawing/2012/chart" uri="{CE6537A1-D6FC-4f65-9D91-7224C49458BB}"/>
                <c:ext xmlns:c16="http://schemas.microsoft.com/office/drawing/2014/chart" uri="{C3380CC4-5D6E-409C-BE32-E72D297353CC}">
                  <c16:uniqueId val="{00000003-0658-449D-9A25-05D3AB974DD5}"/>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5.8046878000981819</c:v>
                </c:pt>
                <c:pt idx="1">
                  <c:v>94.195312199901821</c:v>
                </c:pt>
              </c:numCache>
            </c:numRef>
          </c:val>
          <c:extLst>
            <c:ext xmlns:c16="http://schemas.microsoft.com/office/drawing/2014/chart" uri="{C3380CC4-5D6E-409C-BE32-E72D297353CC}">
              <c16:uniqueId val="{00000004-0658-449D-9A25-05D3AB974DD5}"/>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F7C8-49DD-B44C-AECC26D248A1}"/>
            </c:ext>
          </c:extLst>
        </c:ser>
        <c:dLbls>
          <c:showLegendKey val="0"/>
          <c:showVal val="0"/>
          <c:showCatName val="0"/>
          <c:showSerName val="0"/>
          <c:showPercent val="0"/>
          <c:showBubbleSize val="0"/>
        </c:dLbls>
        <c:gapWidth val="0"/>
        <c:axId val="652772328"/>
        <c:axId val="65277154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F7C8-49DD-B44C-AECC26D248A1}"/>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17.900707500000003</c:v>
                </c:pt>
                <c:pt idx="1">
                  <c:v>17.534269827536054</c:v>
                </c:pt>
                <c:pt idx="2">
                  <c:v>18.059083836812523</c:v>
                </c:pt>
                <c:pt idx="3">
                  <c:v>18.640431183087195</c:v>
                </c:pt>
                <c:pt idx="4">
                  <c:v>18.882811963721881</c:v>
                </c:pt>
                <c:pt idx="5">
                  <c:v>19.163764218627733</c:v>
                </c:pt>
                <c:pt idx="6">
                  <c:v>19.388435677572296</c:v>
                </c:pt>
                <c:pt idx="7">
                  <c:v>19.631099949644675</c:v>
                </c:pt>
                <c:pt idx="8">
                  <c:v>19.860848492221635</c:v>
                </c:pt>
                <c:pt idx="9">
                  <c:v>20.102789007158105</c:v>
                </c:pt>
                <c:pt idx="10">
                  <c:v>20.358524536166183</c:v>
                </c:pt>
                <c:pt idx="11">
                  <c:v>20.586785391180456</c:v>
                </c:pt>
                <c:pt idx="12">
                  <c:v>20.793551571053683</c:v>
                </c:pt>
                <c:pt idx="13">
                  <c:v>21.001183834342491</c:v>
                </c:pt>
                <c:pt idx="14">
                  <c:v>21.219531064029024</c:v>
                </c:pt>
                <c:pt idx="15">
                  <c:v>21.431303368561007</c:v>
                </c:pt>
                <c:pt idx="16">
                  <c:v>21.662569239648406</c:v>
                </c:pt>
                <c:pt idx="17">
                  <c:v>21.897344389276601</c:v>
                </c:pt>
                <c:pt idx="18">
                  <c:v>22.133826177938211</c:v>
                </c:pt>
                <c:pt idx="19">
                  <c:v>22.35578092743771</c:v>
                </c:pt>
                <c:pt idx="20">
                  <c:v>22.594534480986219</c:v>
                </c:pt>
              </c:numCache>
            </c:numRef>
          </c:val>
          <c:smooth val="0"/>
          <c:extLst>
            <c:ext xmlns:c16="http://schemas.microsoft.com/office/drawing/2014/chart" uri="{C3380CC4-5D6E-409C-BE32-E72D297353CC}">
              <c16:uniqueId val="{00000003-F7C8-49DD-B44C-AECC26D248A1}"/>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18.901829546929211</c:v>
                </c:pt>
                <c:pt idx="1">
                  <c:v>18.901753791199294</c:v>
                </c:pt>
                <c:pt idx="2">
                  <c:v>19.538068334992751</c:v>
                </c:pt>
                <c:pt idx="3">
                  <c:v>20.132163924766555</c:v>
                </c:pt>
                <c:pt idx="4">
                  <c:v>20.731385006825175</c:v>
                </c:pt>
                <c:pt idx="5">
                  <c:v>21.298313862342408</c:v>
                </c:pt>
                <c:pt idx="6">
                  <c:v>21.846636266675791</c:v>
                </c:pt>
                <c:pt idx="7">
                  <c:v>22.38352490982151</c:v>
                </c:pt>
                <c:pt idx="8">
                  <c:v>22.944164851221544</c:v>
                </c:pt>
                <c:pt idx="9">
                  <c:v>23.535104259894524</c:v>
                </c:pt>
                <c:pt idx="10">
                  <c:v>24.157075140685031</c:v>
                </c:pt>
                <c:pt idx="11">
                  <c:v>24.787334929301924</c:v>
                </c:pt>
                <c:pt idx="12">
                  <c:v>25.400655840306797</c:v>
                </c:pt>
                <c:pt idx="13">
                  <c:v>26.000684022866217</c:v>
                </c:pt>
                <c:pt idx="14">
                  <c:v>26.560851033599302</c:v>
                </c:pt>
                <c:pt idx="15">
                  <c:v>27.134538746504997</c:v>
                </c:pt>
                <c:pt idx="16">
                  <c:v>27.705447363150874</c:v>
                </c:pt>
                <c:pt idx="17">
                  <c:v>28.268212932904152</c:v>
                </c:pt>
                <c:pt idx="18">
                  <c:v>28.859418841984912</c:v>
                </c:pt>
                <c:pt idx="19">
                  <c:v>29.473997673394607</c:v>
                </c:pt>
                <c:pt idx="20">
                  <c:v>30.099957526624099</c:v>
                </c:pt>
              </c:numCache>
            </c:numRef>
          </c:val>
          <c:smooth val="0"/>
          <c:extLst>
            <c:ext xmlns:c16="http://schemas.microsoft.com/office/drawing/2014/chart" uri="{C3380CC4-5D6E-409C-BE32-E72D297353CC}">
              <c16:uniqueId val="{00000004-F7C8-49DD-B44C-AECC26D248A1}"/>
            </c:ext>
          </c:extLst>
        </c:ser>
        <c:dLbls>
          <c:showLegendKey val="0"/>
          <c:showVal val="0"/>
          <c:showCatName val="0"/>
          <c:showSerName val="0"/>
          <c:showPercent val="0"/>
          <c:showBubbleSize val="0"/>
        </c:dLbls>
        <c:marker val="1"/>
        <c:smooth val="0"/>
        <c:axId val="652772328"/>
        <c:axId val="652771544"/>
      </c:lineChart>
      <c:catAx>
        <c:axId val="65277232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71544"/>
        <c:crosses val="autoZero"/>
        <c:auto val="1"/>
        <c:lblAlgn val="ctr"/>
        <c:lblOffset val="100"/>
        <c:noMultiLvlLbl val="0"/>
      </c:catAx>
      <c:valAx>
        <c:axId val="652771544"/>
        <c:scaling>
          <c:orientation val="minMax"/>
          <c:max val="34"/>
          <c:min val="10"/>
        </c:scaling>
        <c:delete val="0"/>
        <c:axPos val="l"/>
        <c:numFmt formatCode="General" sourceLinked="1"/>
        <c:majorTickMark val="out"/>
        <c:minorTickMark val="none"/>
        <c:tickLblPos val="nextTo"/>
        <c:crossAx val="652772328"/>
        <c:crosses val="autoZero"/>
        <c:crossBetween val="between"/>
        <c:majorUnit val="4"/>
      </c:valAx>
      <c:spPr>
        <a:solidFill>
          <a:srgbClr val="FFFFFF"/>
        </a:solidFill>
      </c:spPr>
    </c:plotArea>
    <c:legend>
      <c:legendPos val="l"/>
      <c:legendEntry>
        <c:idx val="0"/>
        <c:delete val="1"/>
      </c:legendEntry>
      <c:layout>
        <c:manualLayout>
          <c:xMode val="edge"/>
          <c:yMode val="edge"/>
          <c:x val="0.10873656057578965"/>
          <c:y val="7.120166441479770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9F31-44F7-9A15-6E48DC01731F}"/>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9F31-44F7-9A15-6E48DC01731F}"/>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76.38043047842875</c:v>
                </c:pt>
                <c:pt idx="1">
                  <c:v>84.275618706333461</c:v>
                </c:pt>
              </c:numCache>
            </c:numRef>
          </c:val>
          <c:extLst>
            <c:ext xmlns:c16="http://schemas.microsoft.com/office/drawing/2014/chart" uri="{C3380CC4-5D6E-409C-BE32-E72D297353CC}">
              <c16:uniqueId val="{00000003-9F31-44F7-9A15-6E48DC01731F}"/>
            </c:ext>
          </c:extLst>
        </c:ser>
        <c:dLbls>
          <c:showLegendKey val="0"/>
          <c:showVal val="1"/>
          <c:showCatName val="0"/>
          <c:showSerName val="0"/>
          <c:showPercent val="0"/>
          <c:showBubbleSize val="0"/>
        </c:dLbls>
        <c:gapWidth val="50"/>
        <c:overlap val="88"/>
        <c:axId val="652771152"/>
        <c:axId val="652764488"/>
      </c:barChart>
      <c:catAx>
        <c:axId val="652771152"/>
        <c:scaling>
          <c:orientation val="minMax"/>
        </c:scaling>
        <c:delete val="0"/>
        <c:axPos val="b"/>
        <c:numFmt formatCode="General" sourceLinked="1"/>
        <c:majorTickMark val="out"/>
        <c:minorTickMark val="none"/>
        <c:tickLblPos val="nextTo"/>
        <c:crossAx val="652764488"/>
        <c:crosses val="autoZero"/>
        <c:auto val="0"/>
        <c:lblAlgn val="ctr"/>
        <c:lblOffset val="100"/>
        <c:tickLblSkip val="1"/>
        <c:tickMarkSkip val="1"/>
        <c:noMultiLvlLbl val="0"/>
      </c:catAx>
      <c:valAx>
        <c:axId val="65276448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11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FC93-4650-8897-A339F6485140}"/>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FC93-4650-8897-A339F6485140}"/>
              </c:ext>
            </c:extLst>
          </c:dPt>
          <c:dLbls>
            <c:dLbl>
              <c:idx val="1"/>
              <c:delete val="1"/>
              <c:extLst>
                <c:ext xmlns:c15="http://schemas.microsoft.com/office/drawing/2012/chart" uri="{CE6537A1-D6FC-4f65-9D91-7224C49458BB}"/>
                <c:ext xmlns:c16="http://schemas.microsoft.com/office/drawing/2014/chart" uri="{C3380CC4-5D6E-409C-BE32-E72D297353CC}">
                  <c16:uniqueId val="{00000003-FC93-4650-8897-A339F6485140}"/>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42.948880679903226</c:v>
                </c:pt>
                <c:pt idx="1">
                  <c:v>57.051119320096774</c:v>
                </c:pt>
              </c:numCache>
            </c:numRef>
          </c:val>
          <c:extLst>
            <c:ext xmlns:c16="http://schemas.microsoft.com/office/drawing/2014/chart" uri="{C3380CC4-5D6E-409C-BE32-E72D297353CC}">
              <c16:uniqueId val="{00000004-FC93-4650-8897-A339F648514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27D5-41C6-A131-86F04465EFAB}"/>
            </c:ext>
          </c:extLst>
        </c:ser>
        <c:dLbls>
          <c:showLegendKey val="0"/>
          <c:showVal val="0"/>
          <c:showCatName val="0"/>
          <c:showSerName val="0"/>
          <c:showPercent val="0"/>
          <c:showBubbleSize val="0"/>
        </c:dLbls>
        <c:gapWidth val="0"/>
        <c:axId val="652760960"/>
        <c:axId val="65276370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7D5-41C6-A131-86F04465EFAB}"/>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148.46861000000001</c:v>
                </c:pt>
                <c:pt idx="1">
                  <c:v>144.8349618270702</c:v>
                </c:pt>
                <c:pt idx="2">
                  <c:v>145.81487974880139</c:v>
                </c:pt>
                <c:pt idx="3">
                  <c:v>147.76987417905994</c:v>
                </c:pt>
                <c:pt idx="4">
                  <c:v>149.22171293214231</c:v>
                </c:pt>
                <c:pt idx="5">
                  <c:v>150.20556437153448</c:v>
                </c:pt>
                <c:pt idx="6">
                  <c:v>151.5077821629549</c:v>
                </c:pt>
                <c:pt idx="7">
                  <c:v>152.65996170871631</c:v>
                </c:pt>
                <c:pt idx="8">
                  <c:v>153.86880753918845</c:v>
                </c:pt>
                <c:pt idx="9">
                  <c:v>154.96786975306139</c:v>
                </c:pt>
                <c:pt idx="10">
                  <c:v>156.04208528373613</c:v>
                </c:pt>
                <c:pt idx="11">
                  <c:v>156.89196510719219</c:v>
                </c:pt>
                <c:pt idx="12">
                  <c:v>157.49953339157986</c:v>
                </c:pt>
                <c:pt idx="13">
                  <c:v>158.16014888645253</c:v>
                </c:pt>
                <c:pt idx="14">
                  <c:v>158.90717521673508</c:v>
                </c:pt>
                <c:pt idx="15">
                  <c:v>159.6161286666439</c:v>
                </c:pt>
                <c:pt idx="16">
                  <c:v>160.49142610803494</c:v>
                </c:pt>
                <c:pt idx="17">
                  <c:v>161.42183828427096</c:v>
                </c:pt>
                <c:pt idx="18">
                  <c:v>162.37814548863656</c:v>
                </c:pt>
                <c:pt idx="19">
                  <c:v>163.23552035475603</c:v>
                </c:pt>
                <c:pt idx="20">
                  <c:v>164.25107175121971</c:v>
                </c:pt>
              </c:numCache>
            </c:numRef>
          </c:val>
          <c:smooth val="0"/>
          <c:extLst>
            <c:ext xmlns:c16="http://schemas.microsoft.com/office/drawing/2014/chart" uri="{C3380CC4-5D6E-409C-BE32-E72D297353CC}">
              <c16:uniqueId val="{00000003-27D5-41C6-A131-86F04465EFAB}"/>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159.24541600841164</c:v>
                </c:pt>
                <c:pt idx="1">
                  <c:v>156.15164060615155</c:v>
                </c:pt>
                <c:pt idx="2">
                  <c:v>159.38907434432338</c:v>
                </c:pt>
                <c:pt idx="3">
                  <c:v>161.85833469859935</c:v>
                </c:pt>
                <c:pt idx="4">
                  <c:v>164.46947801549533</c:v>
                </c:pt>
                <c:pt idx="5">
                  <c:v>166.91992736128606</c:v>
                </c:pt>
                <c:pt idx="6">
                  <c:v>169.205879543789</c:v>
                </c:pt>
                <c:pt idx="7">
                  <c:v>171.44839577655338</c:v>
                </c:pt>
                <c:pt idx="8">
                  <c:v>173.82961912102729</c:v>
                </c:pt>
                <c:pt idx="9">
                  <c:v>176.26283427178728</c:v>
                </c:pt>
                <c:pt idx="10">
                  <c:v>178.73818085017234</c:v>
                </c:pt>
                <c:pt idx="11">
                  <c:v>181.09483056739549</c:v>
                </c:pt>
                <c:pt idx="12">
                  <c:v>183.09417032470935</c:v>
                </c:pt>
                <c:pt idx="13">
                  <c:v>184.89676454372676</c:v>
                </c:pt>
                <c:pt idx="14">
                  <c:v>186.31613001753718</c:v>
                </c:pt>
                <c:pt idx="15">
                  <c:v>187.7628198223438</c:v>
                </c:pt>
                <c:pt idx="16">
                  <c:v>189.07503022136467</c:v>
                </c:pt>
                <c:pt idx="17">
                  <c:v>190.20753304675983</c:v>
                </c:pt>
                <c:pt idx="18">
                  <c:v>191.41475733119731</c:v>
                </c:pt>
                <c:pt idx="19">
                  <c:v>192.56280699841426</c:v>
                </c:pt>
                <c:pt idx="20">
                  <c:v>193.63529756912322</c:v>
                </c:pt>
              </c:numCache>
            </c:numRef>
          </c:val>
          <c:smooth val="0"/>
          <c:extLst>
            <c:ext xmlns:c16="http://schemas.microsoft.com/office/drawing/2014/chart" uri="{C3380CC4-5D6E-409C-BE32-E72D297353CC}">
              <c16:uniqueId val="{00000004-27D5-41C6-A131-86F04465EFAB}"/>
            </c:ext>
          </c:extLst>
        </c:ser>
        <c:dLbls>
          <c:showLegendKey val="0"/>
          <c:showVal val="0"/>
          <c:showCatName val="0"/>
          <c:showSerName val="0"/>
          <c:showPercent val="0"/>
          <c:showBubbleSize val="0"/>
        </c:dLbls>
        <c:marker val="1"/>
        <c:smooth val="0"/>
        <c:axId val="652760960"/>
        <c:axId val="652763704"/>
      </c:lineChart>
      <c:catAx>
        <c:axId val="65276096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3704"/>
        <c:crosses val="autoZero"/>
        <c:auto val="1"/>
        <c:lblAlgn val="ctr"/>
        <c:lblOffset val="100"/>
        <c:noMultiLvlLbl val="0"/>
      </c:catAx>
      <c:valAx>
        <c:axId val="652763704"/>
        <c:scaling>
          <c:orientation val="minMax"/>
          <c:max val="210"/>
          <c:min val="120"/>
        </c:scaling>
        <c:delete val="0"/>
        <c:axPos val="l"/>
        <c:numFmt formatCode="General" sourceLinked="1"/>
        <c:majorTickMark val="out"/>
        <c:minorTickMark val="none"/>
        <c:tickLblPos val="nextTo"/>
        <c:crossAx val="652760960"/>
        <c:crosses val="autoZero"/>
        <c:crossBetween val="between"/>
        <c:majorUnit val="15"/>
      </c:valAx>
      <c:spPr>
        <a:solidFill>
          <a:srgbClr val="FFFFFF"/>
        </a:solidFill>
      </c:spPr>
    </c:plotArea>
    <c:legend>
      <c:legendPos val="l"/>
      <c:legendEntry>
        <c:idx val="0"/>
        <c:delete val="1"/>
      </c:legendEntry>
      <c:layout>
        <c:manualLayout>
          <c:xMode val="edge"/>
          <c:yMode val="edge"/>
          <c:x val="0.10873656057578965"/>
          <c:y val="7.120166441479770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Pt>
            <c:idx val="0"/>
            <c:invertIfNegative val="0"/>
            <c:bubble3D val="0"/>
            <c:extLst>
              <c:ext xmlns:c16="http://schemas.microsoft.com/office/drawing/2014/chart" uri="{C3380CC4-5D6E-409C-BE32-E72D297353CC}">
                <c16:uniqueId val="{00000001-59E2-4EC1-A447-D6285C2B5DC9}"/>
              </c:ext>
            </c:extLst>
          </c:dPt>
          <c:dPt>
            <c:idx val="1"/>
            <c:invertIfNegative val="0"/>
            <c:bubble3D val="0"/>
            <c:extLst>
              <c:ext xmlns:c16="http://schemas.microsoft.com/office/drawing/2014/chart" uri="{C3380CC4-5D6E-409C-BE32-E72D297353CC}">
                <c16:uniqueId val="{00000003-59E2-4EC1-A447-D6285C2B5DC9}"/>
              </c:ext>
            </c:extLst>
          </c:dPt>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4-59E2-4EC1-A447-D6285C2B5DC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6-59E2-4EC1-A447-D6285C2B5DC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90.769164107434861</c:v>
                </c:pt>
                <c:pt idx="1">
                  <c:v>87.302043996150289</c:v>
                </c:pt>
              </c:numCache>
            </c:numRef>
          </c:val>
          <c:extLst>
            <c:ext xmlns:c16="http://schemas.microsoft.com/office/drawing/2014/chart" uri="{C3380CC4-5D6E-409C-BE32-E72D297353CC}">
              <c16:uniqueId val="{00000007-59E2-4EC1-A447-D6285C2B5DC9}"/>
            </c:ext>
          </c:extLst>
        </c:ser>
        <c:dLbls>
          <c:showLegendKey val="0"/>
          <c:showVal val="1"/>
          <c:showCatName val="0"/>
          <c:showSerName val="0"/>
          <c:showPercent val="0"/>
          <c:showBubbleSize val="0"/>
        </c:dLbls>
        <c:gapWidth val="50"/>
        <c:overlap val="88"/>
        <c:axId val="652771936"/>
        <c:axId val="652761352"/>
      </c:barChart>
      <c:catAx>
        <c:axId val="652771936"/>
        <c:scaling>
          <c:orientation val="minMax"/>
        </c:scaling>
        <c:delete val="0"/>
        <c:axPos val="b"/>
        <c:numFmt formatCode="General" sourceLinked="1"/>
        <c:majorTickMark val="out"/>
        <c:minorTickMark val="none"/>
        <c:tickLblPos val="nextTo"/>
        <c:crossAx val="652761352"/>
        <c:crosses val="autoZero"/>
        <c:auto val="0"/>
        <c:lblAlgn val="ctr"/>
        <c:lblOffset val="100"/>
        <c:tickLblSkip val="1"/>
        <c:tickMarkSkip val="1"/>
        <c:noMultiLvlLbl val="0"/>
      </c:catAx>
      <c:valAx>
        <c:axId val="652761352"/>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71936"/>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3D65-4324-8B05-176599807116}"/>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3D65-4324-8B05-176599807116}"/>
              </c:ext>
            </c:extLst>
          </c:dPt>
          <c:dLbls>
            <c:dLbl>
              <c:idx val="1"/>
              <c:delete val="1"/>
              <c:extLst>
                <c:ext xmlns:c15="http://schemas.microsoft.com/office/drawing/2012/chart" uri="{CE6537A1-D6FC-4f65-9D91-7224C49458BB}"/>
                <c:ext xmlns:c16="http://schemas.microsoft.com/office/drawing/2014/chart" uri="{C3380CC4-5D6E-409C-BE32-E72D297353CC}">
                  <c16:uniqueId val="{00000003-3D65-4324-8B05-176599807116}"/>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7.4934294986632013</c:v>
                </c:pt>
                <c:pt idx="1">
                  <c:v>92.506570501336796</c:v>
                </c:pt>
              </c:numCache>
            </c:numRef>
          </c:val>
          <c:extLst>
            <c:ext xmlns:c16="http://schemas.microsoft.com/office/drawing/2014/chart" uri="{C3380CC4-5D6E-409C-BE32-E72D297353CC}">
              <c16:uniqueId val="{00000004-3D65-4324-8B05-176599807116}"/>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93E4-4E8D-8ADD-5CF20753FBC4}"/>
            </c:ext>
          </c:extLst>
        </c:ser>
        <c:dLbls>
          <c:showLegendKey val="0"/>
          <c:showVal val="0"/>
          <c:showCatName val="0"/>
          <c:showSerName val="0"/>
          <c:showPercent val="0"/>
          <c:showBubbleSize val="0"/>
        </c:dLbls>
        <c:gapWidth val="0"/>
        <c:axId val="652760568"/>
        <c:axId val="6527656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93E4-4E8D-8ADD-5CF20753FBC4}"/>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25.830304999999999</c:v>
                </c:pt>
                <c:pt idx="1">
                  <c:v>27.197192256892585</c:v>
                </c:pt>
                <c:pt idx="2">
                  <c:v>29.41573844482452</c:v>
                </c:pt>
                <c:pt idx="3">
                  <c:v>30.461150623119849</c:v>
                </c:pt>
                <c:pt idx="4">
                  <c:v>31.433799986449134</c:v>
                </c:pt>
                <c:pt idx="5">
                  <c:v>32.285978877949397</c:v>
                </c:pt>
                <c:pt idx="6">
                  <c:v>33.211625826597235</c:v>
                </c:pt>
                <c:pt idx="7">
                  <c:v>34.094579520330221</c:v>
                </c:pt>
                <c:pt idx="8">
                  <c:v>34.97136359900292</c:v>
                </c:pt>
                <c:pt idx="9">
                  <c:v>35.866229382239638</c:v>
                </c:pt>
                <c:pt idx="10">
                  <c:v>36.770610065726039</c:v>
                </c:pt>
                <c:pt idx="11">
                  <c:v>37.620792278601776</c:v>
                </c:pt>
                <c:pt idx="12">
                  <c:v>38.405540252628001</c:v>
                </c:pt>
                <c:pt idx="13">
                  <c:v>39.187843297586795</c:v>
                </c:pt>
                <c:pt idx="14">
                  <c:v>39.963038823410386</c:v>
                </c:pt>
                <c:pt idx="15">
                  <c:v>40.714315885210958</c:v>
                </c:pt>
                <c:pt idx="16">
                  <c:v>41.499544128067896</c:v>
                </c:pt>
                <c:pt idx="17">
                  <c:v>42.29178670088816</c:v>
                </c:pt>
                <c:pt idx="18">
                  <c:v>43.086343076395174</c:v>
                </c:pt>
                <c:pt idx="19">
                  <c:v>43.857651874597913</c:v>
                </c:pt>
                <c:pt idx="20">
                  <c:v>44.668415109808691</c:v>
                </c:pt>
              </c:numCache>
            </c:numRef>
          </c:val>
          <c:smooth val="0"/>
          <c:extLst>
            <c:ext xmlns:c16="http://schemas.microsoft.com/office/drawing/2014/chart" uri="{C3380CC4-5D6E-409C-BE32-E72D297353CC}">
              <c16:uniqueId val="{00000003-93E4-4E8D-8ADD-5CF20753FBC4}"/>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27.51190605200598</c:v>
                </c:pt>
                <c:pt idx="1">
                  <c:v>26.949345926862922</c:v>
                </c:pt>
                <c:pt idx="2">
                  <c:v>27.567164996396606</c:v>
                </c:pt>
                <c:pt idx="3">
                  <c:v>28.105136762117571</c:v>
                </c:pt>
                <c:pt idx="4">
                  <c:v>28.603376628568306</c:v>
                </c:pt>
                <c:pt idx="5">
                  <c:v>29.068926071488452</c:v>
                </c:pt>
                <c:pt idx="6">
                  <c:v>29.495440635470178</c:v>
                </c:pt>
                <c:pt idx="7">
                  <c:v>29.914115540430007</c:v>
                </c:pt>
                <c:pt idx="8">
                  <c:v>30.318922037083148</c:v>
                </c:pt>
                <c:pt idx="9">
                  <c:v>30.736494017722116</c:v>
                </c:pt>
                <c:pt idx="10">
                  <c:v>31.185025912603066</c:v>
                </c:pt>
                <c:pt idx="11">
                  <c:v>31.641678332982227</c:v>
                </c:pt>
                <c:pt idx="12">
                  <c:v>32.06183167006661</c:v>
                </c:pt>
                <c:pt idx="13">
                  <c:v>32.479812178770253</c:v>
                </c:pt>
                <c:pt idx="14">
                  <c:v>32.882684578925932</c:v>
                </c:pt>
                <c:pt idx="15">
                  <c:v>33.35393334315318</c:v>
                </c:pt>
                <c:pt idx="16">
                  <c:v>33.858107948245738</c:v>
                </c:pt>
                <c:pt idx="17">
                  <c:v>34.386314420806215</c:v>
                </c:pt>
                <c:pt idx="18">
                  <c:v>34.974684361036346</c:v>
                </c:pt>
                <c:pt idx="19">
                  <c:v>35.596872696036748</c:v>
                </c:pt>
                <c:pt idx="20">
                  <c:v>36.250726564486698</c:v>
                </c:pt>
              </c:numCache>
            </c:numRef>
          </c:val>
          <c:smooth val="0"/>
          <c:extLst>
            <c:ext xmlns:c16="http://schemas.microsoft.com/office/drawing/2014/chart" uri="{C3380CC4-5D6E-409C-BE32-E72D297353CC}">
              <c16:uniqueId val="{00000004-93E4-4E8D-8ADD-5CF20753FBC4}"/>
            </c:ext>
          </c:extLst>
        </c:ser>
        <c:dLbls>
          <c:showLegendKey val="0"/>
          <c:showVal val="0"/>
          <c:showCatName val="0"/>
          <c:showSerName val="0"/>
          <c:showPercent val="0"/>
          <c:showBubbleSize val="0"/>
        </c:dLbls>
        <c:marker val="1"/>
        <c:smooth val="0"/>
        <c:axId val="652760568"/>
        <c:axId val="652765664"/>
      </c:lineChart>
      <c:catAx>
        <c:axId val="65276056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652765664"/>
        <c:crosses val="autoZero"/>
        <c:auto val="1"/>
        <c:lblAlgn val="ctr"/>
        <c:lblOffset val="100"/>
        <c:noMultiLvlLbl val="0"/>
      </c:catAx>
      <c:valAx>
        <c:axId val="652765664"/>
        <c:scaling>
          <c:orientation val="minMax"/>
          <c:max val="50"/>
          <c:min val="20"/>
        </c:scaling>
        <c:delete val="0"/>
        <c:axPos val="l"/>
        <c:numFmt formatCode="General" sourceLinked="1"/>
        <c:majorTickMark val="out"/>
        <c:minorTickMark val="none"/>
        <c:tickLblPos val="nextTo"/>
        <c:crossAx val="652760568"/>
        <c:crosses val="autoZero"/>
        <c:crossBetween val="between"/>
        <c:majorUnit val="5"/>
      </c:valAx>
      <c:spPr>
        <a:solidFill>
          <a:srgbClr val="FFFFFF"/>
        </a:solidFill>
      </c:spPr>
    </c:plotArea>
    <c:legend>
      <c:legendPos val="l"/>
      <c:legendEntry>
        <c:idx val="0"/>
        <c:delete val="1"/>
      </c:legendEntry>
      <c:layout>
        <c:manualLayout>
          <c:xMode val="edge"/>
          <c:yMode val="edge"/>
          <c:x val="0.12682792195073311"/>
          <c:y val="8.0023896439499975E-2"/>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25677078826684"/>
          <c:y val="9.2164185151657571E-2"/>
          <c:w val="0.80379964523665315"/>
          <c:h val="0.75042449302775704"/>
        </c:manualLayout>
      </c:layout>
      <c:barChart>
        <c:barDir val="col"/>
        <c:grouping val="clustered"/>
        <c:varyColors val="0"/>
        <c:ser>
          <c:idx val="1"/>
          <c:order val="0"/>
          <c:tx>
            <c:strRef>
              <c:f>Sheet1!$A$3</c:f>
              <c:strCache>
                <c:ptCount val="1"/>
                <c:pt idx="0">
                  <c:v>Reģistrētais bezdarbs (kreisā ass)</c:v>
                </c:pt>
              </c:strCache>
            </c:strRef>
          </c:tx>
          <c:spPr>
            <a:solidFill>
              <a:sysClr val="window" lastClr="FFFFFF">
                <a:lumMod val="85000"/>
              </a:sysClr>
            </a:solidFill>
            <a:ln>
              <a:noFill/>
            </a:ln>
            <a:effectLst/>
          </c:spPr>
          <c:invertIfNegative val="0"/>
          <c:dPt>
            <c:idx val="0"/>
            <c:invertIfNegative val="0"/>
            <c:bubble3D val="0"/>
            <c:extLst>
              <c:ext xmlns:c16="http://schemas.microsoft.com/office/drawing/2014/chart" uri="{C3380CC4-5D6E-409C-BE32-E72D297353CC}">
                <c16:uniqueId val="{00000000-B047-48EF-AE3D-DDA2307AAB7D}"/>
              </c:ext>
            </c:extLst>
          </c:dPt>
          <c:dPt>
            <c:idx val="1"/>
            <c:invertIfNegative val="0"/>
            <c:bubble3D val="0"/>
            <c:extLst>
              <c:ext xmlns:c16="http://schemas.microsoft.com/office/drawing/2014/chart" uri="{C3380CC4-5D6E-409C-BE32-E72D297353CC}">
                <c16:uniqueId val="{00000001-B047-48EF-AE3D-DDA2307AAB7D}"/>
              </c:ext>
            </c:extLst>
          </c:dPt>
          <c:dPt>
            <c:idx val="2"/>
            <c:invertIfNegative val="0"/>
            <c:bubble3D val="0"/>
            <c:extLst>
              <c:ext xmlns:c16="http://schemas.microsoft.com/office/drawing/2014/chart" uri="{C3380CC4-5D6E-409C-BE32-E72D297353CC}">
                <c16:uniqueId val="{00000002-B047-48EF-AE3D-DDA2307AAB7D}"/>
              </c:ext>
            </c:extLst>
          </c:dPt>
          <c:dPt>
            <c:idx val="3"/>
            <c:invertIfNegative val="0"/>
            <c:bubble3D val="0"/>
            <c:extLst>
              <c:ext xmlns:c16="http://schemas.microsoft.com/office/drawing/2014/chart" uri="{C3380CC4-5D6E-409C-BE32-E72D297353CC}">
                <c16:uniqueId val="{00000003-B047-48EF-AE3D-DDA2307AAB7D}"/>
              </c:ext>
            </c:extLst>
          </c:dPt>
          <c:dPt>
            <c:idx val="4"/>
            <c:invertIfNegative val="0"/>
            <c:bubble3D val="0"/>
            <c:extLst>
              <c:ext xmlns:c16="http://schemas.microsoft.com/office/drawing/2014/chart" uri="{C3380CC4-5D6E-409C-BE32-E72D297353CC}">
                <c16:uniqueId val="{00000004-B047-48EF-AE3D-DDA2307AAB7D}"/>
              </c:ext>
            </c:extLst>
          </c:dPt>
          <c:dPt>
            <c:idx val="5"/>
            <c:invertIfNegative val="0"/>
            <c:bubble3D val="0"/>
            <c:extLst>
              <c:ext xmlns:c16="http://schemas.microsoft.com/office/drawing/2014/chart" uri="{C3380CC4-5D6E-409C-BE32-E72D297353CC}">
                <c16:uniqueId val="{00000005-B047-48EF-AE3D-DDA2307AAB7D}"/>
              </c:ext>
            </c:extLst>
          </c:dPt>
          <c:dPt>
            <c:idx val="6"/>
            <c:invertIfNegative val="0"/>
            <c:bubble3D val="0"/>
            <c:extLst>
              <c:ext xmlns:c16="http://schemas.microsoft.com/office/drawing/2014/chart" uri="{C3380CC4-5D6E-409C-BE32-E72D297353CC}">
                <c16:uniqueId val="{00000006-B047-48EF-AE3D-DDA2307AAB7D}"/>
              </c:ext>
            </c:extLst>
          </c:dPt>
          <c:dPt>
            <c:idx val="7"/>
            <c:invertIfNegative val="0"/>
            <c:bubble3D val="0"/>
            <c:extLst>
              <c:ext xmlns:c16="http://schemas.microsoft.com/office/drawing/2014/chart" uri="{C3380CC4-5D6E-409C-BE32-E72D297353CC}">
                <c16:uniqueId val="{00000007-B047-48EF-AE3D-DDA2307AAB7D}"/>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47-48EF-AE3D-DDA2307AAB7D}"/>
                </c:ext>
              </c:extLst>
            </c:dLbl>
            <c:dLbl>
              <c:idx val="4"/>
              <c:layout>
                <c:manualLayout>
                  <c:x val="0"/>
                  <c:y val="0.1691563620704424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47-48EF-AE3D-DDA2307AAB7D}"/>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Sheet1!$B$2:$F$2</c:f>
              <c:strCache>
                <c:ptCount val="5"/>
                <c:pt idx="0">
                  <c:v>Rīgas reģions</c:v>
                </c:pt>
                <c:pt idx="1">
                  <c:v>Kurzemes reģions</c:v>
                </c:pt>
                <c:pt idx="2">
                  <c:v>Latgales reģions</c:v>
                </c:pt>
                <c:pt idx="3">
                  <c:v>Vidzemes reģions</c:v>
                </c:pt>
                <c:pt idx="4">
                  <c:v>Zemgales reģions</c:v>
                </c:pt>
              </c:strCache>
            </c:strRef>
          </c:cat>
          <c:val>
            <c:numRef>
              <c:f>Sheet1!$B$3:$F$3</c:f>
              <c:numCache>
                <c:formatCode>0.0</c:formatCode>
                <c:ptCount val="5"/>
                <c:pt idx="0">
                  <c:v>4.5999999999999996</c:v>
                </c:pt>
                <c:pt idx="1">
                  <c:v>6.9</c:v>
                </c:pt>
                <c:pt idx="2">
                  <c:v>14.2</c:v>
                </c:pt>
                <c:pt idx="3">
                  <c:v>7.1</c:v>
                </c:pt>
                <c:pt idx="4">
                  <c:v>6.3</c:v>
                </c:pt>
              </c:numCache>
            </c:numRef>
          </c:val>
          <c:extLst>
            <c:ext xmlns:c16="http://schemas.microsoft.com/office/drawing/2014/chart" uri="{C3380CC4-5D6E-409C-BE32-E72D297353CC}">
              <c16:uniqueId val="{00000008-B047-48EF-AE3D-DDA2307AAB7D}"/>
            </c:ext>
          </c:extLst>
        </c:ser>
        <c:dLbls>
          <c:showLegendKey val="0"/>
          <c:showVal val="0"/>
          <c:showCatName val="0"/>
          <c:showSerName val="0"/>
          <c:showPercent val="0"/>
          <c:showBubbleSize val="0"/>
        </c:dLbls>
        <c:gapWidth val="80"/>
        <c:axId val="713673704"/>
        <c:axId val="713677624"/>
      </c:barChart>
      <c:lineChart>
        <c:grouping val="standard"/>
        <c:varyColors val="0"/>
        <c:ser>
          <c:idx val="0"/>
          <c:order val="1"/>
          <c:tx>
            <c:strRef>
              <c:f>Sheet1!$A$4</c:f>
              <c:strCache>
                <c:ptCount val="1"/>
                <c:pt idx="0">
                  <c:v>Latvija</c:v>
                </c:pt>
              </c:strCache>
            </c:strRef>
          </c:tx>
          <c:spPr>
            <a:ln w="28575" cap="rnd" cmpd="sng" algn="ctr">
              <a:solidFill>
                <a:srgbClr val="4F81BD">
                  <a:lumMod val="75000"/>
                </a:srgbClr>
              </a:solidFill>
              <a:prstDash val="solid"/>
              <a:round/>
            </a:ln>
            <a:effectLst/>
          </c:spPr>
          <c:marker>
            <c:symbol val="none"/>
          </c:marker>
          <c:cat>
            <c:strRef>
              <c:f>Sheet1!$B$2:$F$2</c:f>
              <c:strCache>
                <c:ptCount val="5"/>
                <c:pt idx="0">
                  <c:v>Rīgas reģions</c:v>
                </c:pt>
                <c:pt idx="1">
                  <c:v>Kurzemes reģions</c:v>
                </c:pt>
                <c:pt idx="2">
                  <c:v>Latgales reģions</c:v>
                </c:pt>
                <c:pt idx="3">
                  <c:v>Vidzemes reģions</c:v>
                </c:pt>
                <c:pt idx="4">
                  <c:v>Zemgales reģions</c:v>
                </c:pt>
              </c:strCache>
            </c:strRef>
          </c:cat>
          <c:val>
            <c:numRef>
              <c:f>Sheet1!$B$4:$F$4</c:f>
              <c:numCache>
                <c:formatCode>General</c:formatCode>
                <c:ptCount val="5"/>
                <c:pt idx="0">
                  <c:v>6.5</c:v>
                </c:pt>
                <c:pt idx="1">
                  <c:v>6.5</c:v>
                </c:pt>
                <c:pt idx="2">
                  <c:v>6.5</c:v>
                </c:pt>
                <c:pt idx="3">
                  <c:v>6.5</c:v>
                </c:pt>
                <c:pt idx="4">
                  <c:v>6.5</c:v>
                </c:pt>
              </c:numCache>
            </c:numRef>
          </c:val>
          <c:smooth val="0"/>
          <c:extLst>
            <c:ext xmlns:c16="http://schemas.microsoft.com/office/drawing/2014/chart" uri="{C3380CC4-5D6E-409C-BE32-E72D297353CC}">
              <c16:uniqueId val="{00000009-B047-48EF-AE3D-DDA2307AAB7D}"/>
            </c:ext>
          </c:extLst>
        </c:ser>
        <c:dLbls>
          <c:showLegendKey val="0"/>
          <c:showVal val="0"/>
          <c:showCatName val="0"/>
          <c:showSerName val="0"/>
          <c:showPercent val="0"/>
          <c:showBubbleSize val="0"/>
        </c:dLbls>
        <c:marker val="1"/>
        <c:smooth val="0"/>
        <c:axId val="713673704"/>
        <c:axId val="713677624"/>
      </c:lineChart>
      <c:lineChart>
        <c:grouping val="standard"/>
        <c:varyColors val="0"/>
        <c:ser>
          <c:idx val="2"/>
          <c:order val="2"/>
          <c:tx>
            <c:strRef>
              <c:f>Sheet1!$A$5</c:f>
              <c:strCache>
                <c:ptCount val="1"/>
                <c:pt idx="0">
                  <c:v>Brīvās darbavietas pret reģistrētiem darba meklētājiem (labā ass)</c:v>
                </c:pt>
              </c:strCache>
            </c:strRef>
          </c:tx>
          <c:spPr>
            <a:ln>
              <a:noFill/>
            </a:ln>
          </c:spPr>
          <c:marker>
            <c:symbol val="dash"/>
            <c:size val="14"/>
            <c:spPr>
              <a:solidFill>
                <a:srgbClr val="FF0000"/>
              </a:solidFill>
              <a:ln w="3175">
                <a:solidFill>
                  <a:srgbClr val="FF0000"/>
                </a:solidFill>
              </a:ln>
            </c:spPr>
          </c:marker>
          <c:cat>
            <c:strRef>
              <c:f>Sheet1!$B$2:$F$2</c:f>
              <c:strCache>
                <c:ptCount val="5"/>
                <c:pt idx="0">
                  <c:v>Rīgas reģions</c:v>
                </c:pt>
                <c:pt idx="1">
                  <c:v>Kurzemes reģions</c:v>
                </c:pt>
                <c:pt idx="2">
                  <c:v>Latgales reģions</c:v>
                </c:pt>
                <c:pt idx="3">
                  <c:v>Vidzemes reģions</c:v>
                </c:pt>
                <c:pt idx="4">
                  <c:v>Zemgales reģions</c:v>
                </c:pt>
              </c:strCache>
            </c:strRef>
          </c:cat>
          <c:val>
            <c:numRef>
              <c:f>Sheet1!$B$5:$F$5</c:f>
              <c:numCache>
                <c:formatCode>0</c:formatCode>
                <c:ptCount val="5"/>
                <c:pt idx="0">
                  <c:v>97.159315773272937</c:v>
                </c:pt>
                <c:pt idx="1">
                  <c:v>19.075812274368232</c:v>
                </c:pt>
                <c:pt idx="2">
                  <c:v>11.675741076830006</c:v>
                </c:pt>
                <c:pt idx="3">
                  <c:v>39.637696786715551</c:v>
                </c:pt>
                <c:pt idx="4">
                  <c:v>24.225352112676056</c:v>
                </c:pt>
              </c:numCache>
            </c:numRef>
          </c:val>
          <c:smooth val="0"/>
          <c:extLst>
            <c:ext xmlns:c16="http://schemas.microsoft.com/office/drawing/2014/chart" uri="{C3380CC4-5D6E-409C-BE32-E72D297353CC}">
              <c16:uniqueId val="{0000000A-B047-48EF-AE3D-DDA2307AAB7D}"/>
            </c:ext>
          </c:extLst>
        </c:ser>
        <c:dLbls>
          <c:showLegendKey val="0"/>
          <c:showVal val="0"/>
          <c:showCatName val="0"/>
          <c:showSerName val="0"/>
          <c:showPercent val="0"/>
          <c:showBubbleSize val="0"/>
        </c:dLbls>
        <c:marker val="1"/>
        <c:smooth val="0"/>
        <c:axId val="713678408"/>
        <c:axId val="713678016"/>
      </c:lineChart>
      <c:catAx>
        <c:axId val="713673704"/>
        <c:scaling>
          <c:orientation val="minMax"/>
        </c:scaling>
        <c:delete val="0"/>
        <c:axPos val="b"/>
        <c:numFmt formatCode="@" sourceLinked="0"/>
        <c:majorTickMark val="out"/>
        <c:minorTickMark val="none"/>
        <c:tickLblPos val="low"/>
        <c:spPr>
          <a:noFill/>
          <a:ln w="9525"/>
          <a:effectLst/>
        </c:spPr>
        <c:txPr>
          <a:bodyPr rot="0" vert="horz"/>
          <a:lstStyle/>
          <a:p>
            <a:pPr>
              <a:defRPr/>
            </a:pPr>
            <a:endParaRPr lang="lv-LV"/>
          </a:p>
        </c:txPr>
        <c:crossAx val="713677624"/>
        <c:crosses val="autoZero"/>
        <c:auto val="0"/>
        <c:lblAlgn val="ctr"/>
        <c:lblOffset val="0"/>
        <c:tickMarkSkip val="1"/>
        <c:noMultiLvlLbl val="1"/>
      </c:catAx>
      <c:valAx>
        <c:axId val="713677624"/>
        <c:scaling>
          <c:orientation val="minMax"/>
          <c:max val="20"/>
          <c:min val="0"/>
        </c:scaling>
        <c:delete val="0"/>
        <c:axPos val="l"/>
        <c:numFmt formatCode="#,##0" sourceLinked="0"/>
        <c:majorTickMark val="out"/>
        <c:minorTickMark val="none"/>
        <c:tickLblPos val="nextTo"/>
        <c:spPr>
          <a:noFill/>
          <a:ln w="9525" cap="flat" cmpd="sng" algn="ctr">
            <a:noFill/>
            <a:prstDash val="solid"/>
            <a:round/>
          </a:ln>
          <a:effectLst/>
        </c:spPr>
        <c:txPr>
          <a:bodyPr rot="0"/>
          <a:lstStyle/>
          <a:p>
            <a:pPr>
              <a:defRPr/>
            </a:pPr>
            <a:endParaRPr lang="lv-LV"/>
          </a:p>
        </c:txPr>
        <c:crossAx val="713673704"/>
        <c:crosses val="autoZero"/>
        <c:crossBetween val="between"/>
        <c:majorUnit val="5"/>
      </c:valAx>
      <c:valAx>
        <c:axId val="713678016"/>
        <c:scaling>
          <c:orientation val="minMax"/>
          <c:max val="100"/>
          <c:min val="0"/>
        </c:scaling>
        <c:delete val="0"/>
        <c:axPos val="r"/>
        <c:numFmt formatCode="0" sourceLinked="1"/>
        <c:majorTickMark val="out"/>
        <c:minorTickMark val="none"/>
        <c:tickLblPos val="nextTo"/>
        <c:spPr>
          <a:ln>
            <a:noFill/>
          </a:ln>
        </c:spPr>
        <c:crossAx val="713678408"/>
        <c:crosses val="max"/>
        <c:crossBetween val="between"/>
        <c:majorUnit val="25"/>
      </c:valAx>
      <c:catAx>
        <c:axId val="713678408"/>
        <c:scaling>
          <c:orientation val="minMax"/>
        </c:scaling>
        <c:delete val="1"/>
        <c:axPos val="b"/>
        <c:numFmt formatCode="General" sourceLinked="1"/>
        <c:majorTickMark val="out"/>
        <c:minorTickMark val="none"/>
        <c:tickLblPos val="nextTo"/>
        <c:crossAx val="713678016"/>
        <c:crosses val="autoZero"/>
        <c:auto val="1"/>
        <c:lblAlgn val="ctr"/>
        <c:lblOffset val="100"/>
        <c:noMultiLvlLbl val="0"/>
      </c:catAx>
      <c:spPr>
        <a:solidFill>
          <a:schemeClr val="bg1"/>
        </a:solidFill>
        <a:ln>
          <a:noFill/>
        </a:ln>
        <a:effectLst/>
      </c:spPr>
    </c:plotArea>
    <c:legend>
      <c:legendPos val="r"/>
      <c:legendEntry>
        <c:idx val="1"/>
        <c:delete val="1"/>
      </c:legendEntry>
      <c:layout>
        <c:manualLayout>
          <c:xMode val="edge"/>
          <c:yMode val="edge"/>
          <c:x val="0.29918695712561028"/>
          <c:y val="2.3969328150358741E-2"/>
          <c:w val="0.61493854991328256"/>
          <c:h val="0.21017903488320944"/>
        </c:manualLayout>
      </c:layout>
      <c:overlay val="0"/>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2">
    <c:autoUpdate val="0"/>
  </c:externalData>
  <c:userShapes r:id="rId3"/>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0388-4381-9842-57F0B2C724D1}"/>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0388-4381-9842-57F0B2C724D1}"/>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133.37367953406587</c:v>
                </c:pt>
                <c:pt idx="1">
                  <c:v>117.91110954589787</c:v>
                </c:pt>
              </c:numCache>
            </c:numRef>
          </c:val>
          <c:extLst>
            <c:ext xmlns:c16="http://schemas.microsoft.com/office/drawing/2014/chart" uri="{C3380CC4-5D6E-409C-BE32-E72D297353CC}">
              <c16:uniqueId val="{00000003-0388-4381-9842-57F0B2C724D1}"/>
            </c:ext>
          </c:extLst>
        </c:ser>
        <c:dLbls>
          <c:showLegendKey val="0"/>
          <c:showVal val="1"/>
          <c:showCatName val="0"/>
          <c:showSerName val="0"/>
          <c:showPercent val="0"/>
          <c:showBubbleSize val="0"/>
        </c:dLbls>
        <c:gapWidth val="50"/>
        <c:overlap val="88"/>
        <c:axId val="652767624"/>
        <c:axId val="652768016"/>
      </c:barChart>
      <c:catAx>
        <c:axId val="652767624"/>
        <c:scaling>
          <c:orientation val="minMax"/>
        </c:scaling>
        <c:delete val="0"/>
        <c:axPos val="b"/>
        <c:numFmt formatCode="General" sourceLinked="1"/>
        <c:majorTickMark val="out"/>
        <c:minorTickMark val="none"/>
        <c:tickLblPos val="nextTo"/>
        <c:crossAx val="652768016"/>
        <c:crosses val="autoZero"/>
        <c:auto val="0"/>
        <c:lblAlgn val="ctr"/>
        <c:lblOffset val="100"/>
        <c:tickLblSkip val="1"/>
        <c:tickMarkSkip val="1"/>
        <c:noMultiLvlLbl val="0"/>
      </c:catAx>
      <c:valAx>
        <c:axId val="652768016"/>
        <c:scaling>
          <c:orientation val="minMax"/>
          <c:max val="140"/>
          <c:min val="8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652767624"/>
        <c:crosses val="autoZero"/>
        <c:crossBetween val="between"/>
        <c:majorUnit val="20"/>
      </c:valAx>
      <c:spPr>
        <a:solidFill>
          <a:srgbClr val="FFFFFF"/>
        </a:solidFill>
      </c:spPr>
    </c:plotArea>
    <c:legend>
      <c:legendPos val="l"/>
      <c:layout>
        <c:manualLayout>
          <c:xMode val="edge"/>
          <c:yMode val="edge"/>
          <c:x val="0.51961071032861073"/>
          <c:y val="3.0592999871487166E-3"/>
          <c:w val="0.47519459273589909"/>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814A-426F-9114-AF923F5FC4DC}"/>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814A-426F-9114-AF923F5FC4DC}"/>
              </c:ext>
            </c:extLst>
          </c:dPt>
          <c:dLbls>
            <c:dLbl>
              <c:idx val="1"/>
              <c:delete val="1"/>
              <c:extLst>
                <c:ext xmlns:c15="http://schemas.microsoft.com/office/drawing/2012/chart" uri="{CE6537A1-D6FC-4f65-9D91-7224C49458BB}"/>
                <c:ext xmlns:c16="http://schemas.microsoft.com/office/drawing/2014/chart" uri="{C3380CC4-5D6E-409C-BE32-E72D297353CC}">
                  <c16:uniqueId val="{00000003-814A-426F-9114-AF923F5FC4DC}"/>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13.94355146863858</c:v>
                </c:pt>
                <c:pt idx="1">
                  <c:v>86.056448531361426</c:v>
                </c:pt>
              </c:numCache>
            </c:numRef>
          </c:val>
          <c:extLst>
            <c:ext xmlns:c16="http://schemas.microsoft.com/office/drawing/2014/chart" uri="{C3380CC4-5D6E-409C-BE32-E72D297353CC}">
              <c16:uniqueId val="{00000004-814A-426F-9114-AF923F5FC4DC}"/>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D880-435F-B411-C8A2D2C1977E}"/>
            </c:ext>
          </c:extLst>
        </c:ser>
        <c:dLbls>
          <c:showLegendKey val="0"/>
          <c:showVal val="0"/>
          <c:showCatName val="0"/>
          <c:showSerName val="0"/>
          <c:showPercent val="0"/>
          <c:showBubbleSize val="0"/>
        </c:dLbls>
        <c:gapWidth val="0"/>
        <c:axId val="746198800"/>
        <c:axId val="7462062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D880-435F-B411-C8A2D2C1977E}"/>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55.467165000000016</c:v>
                </c:pt>
                <c:pt idx="1">
                  <c:v>53.462842960202323</c:v>
                </c:pt>
                <c:pt idx="2">
                  <c:v>55.267216565399799</c:v>
                </c:pt>
                <c:pt idx="3">
                  <c:v>56.075294841398005</c:v>
                </c:pt>
                <c:pt idx="4">
                  <c:v>56.930303332011533</c:v>
                </c:pt>
                <c:pt idx="5">
                  <c:v>57.768828213575418</c:v>
                </c:pt>
                <c:pt idx="6">
                  <c:v>58.699985394932781</c:v>
                </c:pt>
                <c:pt idx="7">
                  <c:v>59.520272932467677</c:v>
                </c:pt>
                <c:pt idx="8">
                  <c:v>60.290359685695655</c:v>
                </c:pt>
                <c:pt idx="9">
                  <c:v>60.949653552426987</c:v>
                </c:pt>
                <c:pt idx="10">
                  <c:v>61.554427224447693</c:v>
                </c:pt>
                <c:pt idx="11">
                  <c:v>62.074727518535347</c:v>
                </c:pt>
                <c:pt idx="12">
                  <c:v>62.489111476716467</c:v>
                </c:pt>
                <c:pt idx="13">
                  <c:v>62.876882796974527</c:v>
                </c:pt>
                <c:pt idx="14">
                  <c:v>63.235460824638928</c:v>
                </c:pt>
                <c:pt idx="15">
                  <c:v>63.567067392270609</c:v>
                </c:pt>
                <c:pt idx="16">
                  <c:v>63.944878451798814</c:v>
                </c:pt>
                <c:pt idx="17">
                  <c:v>64.317735091959136</c:v>
                </c:pt>
                <c:pt idx="18">
                  <c:v>64.689131924238112</c:v>
                </c:pt>
                <c:pt idx="19">
                  <c:v>65.02975342210938</c:v>
                </c:pt>
                <c:pt idx="20">
                  <c:v>65.407261172444706</c:v>
                </c:pt>
              </c:numCache>
            </c:numRef>
          </c:val>
          <c:smooth val="0"/>
          <c:extLst>
            <c:ext xmlns:c16="http://schemas.microsoft.com/office/drawing/2014/chart" uri="{C3380CC4-5D6E-409C-BE32-E72D297353CC}">
              <c16:uniqueId val="{00000003-D880-435F-B411-C8A2D2C1977E}"/>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58.526628969756878</c:v>
                </c:pt>
                <c:pt idx="1">
                  <c:v>56.715349875801152</c:v>
                </c:pt>
                <c:pt idx="2">
                  <c:v>57.146668236620222</c:v>
                </c:pt>
                <c:pt idx="3">
                  <c:v>57.426775149399198</c:v>
                </c:pt>
                <c:pt idx="4">
                  <c:v>57.600268021177513</c:v>
                </c:pt>
                <c:pt idx="5">
                  <c:v>57.625608938783863</c:v>
                </c:pt>
                <c:pt idx="6">
                  <c:v>57.620589519271853</c:v>
                </c:pt>
                <c:pt idx="7">
                  <c:v>57.625751371278589</c:v>
                </c:pt>
                <c:pt idx="8">
                  <c:v>57.649060718209959</c:v>
                </c:pt>
                <c:pt idx="9">
                  <c:v>57.782553799807665</c:v>
                </c:pt>
                <c:pt idx="10">
                  <c:v>58.028171739092315</c:v>
                </c:pt>
                <c:pt idx="11">
                  <c:v>58.334961677463788</c:v>
                </c:pt>
                <c:pt idx="12">
                  <c:v>58.606084061171799</c:v>
                </c:pt>
                <c:pt idx="13">
                  <c:v>58.893946575506021</c:v>
                </c:pt>
                <c:pt idx="14">
                  <c:v>59.143765193868283</c:v>
                </c:pt>
                <c:pt idx="15">
                  <c:v>59.494776056262452</c:v>
                </c:pt>
                <c:pt idx="16">
                  <c:v>59.888434185152818</c:v>
                </c:pt>
                <c:pt idx="17">
                  <c:v>60.297322082536645</c:v>
                </c:pt>
                <c:pt idx="18">
                  <c:v>60.791173617689509</c:v>
                </c:pt>
                <c:pt idx="19">
                  <c:v>61.315931379587944</c:v>
                </c:pt>
                <c:pt idx="20">
                  <c:v>61.865046086028656</c:v>
                </c:pt>
              </c:numCache>
            </c:numRef>
          </c:val>
          <c:smooth val="0"/>
          <c:extLst>
            <c:ext xmlns:c16="http://schemas.microsoft.com/office/drawing/2014/chart" uri="{C3380CC4-5D6E-409C-BE32-E72D297353CC}">
              <c16:uniqueId val="{00000004-D880-435F-B411-C8A2D2C1977E}"/>
            </c:ext>
          </c:extLst>
        </c:ser>
        <c:dLbls>
          <c:showLegendKey val="0"/>
          <c:showVal val="0"/>
          <c:showCatName val="0"/>
          <c:showSerName val="0"/>
          <c:showPercent val="0"/>
          <c:showBubbleSize val="0"/>
        </c:dLbls>
        <c:marker val="1"/>
        <c:smooth val="0"/>
        <c:axId val="746198800"/>
        <c:axId val="746206248"/>
      </c:lineChart>
      <c:catAx>
        <c:axId val="746198800"/>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6248"/>
        <c:crosses val="autoZero"/>
        <c:auto val="1"/>
        <c:lblAlgn val="ctr"/>
        <c:lblOffset val="100"/>
        <c:noMultiLvlLbl val="0"/>
      </c:catAx>
      <c:valAx>
        <c:axId val="746206248"/>
        <c:scaling>
          <c:orientation val="minMax"/>
          <c:max val="85"/>
          <c:min val="50"/>
        </c:scaling>
        <c:delete val="0"/>
        <c:axPos val="l"/>
        <c:numFmt formatCode="General" sourceLinked="1"/>
        <c:majorTickMark val="out"/>
        <c:minorTickMark val="none"/>
        <c:tickLblPos val="nextTo"/>
        <c:crossAx val="746198800"/>
        <c:crosses val="autoZero"/>
        <c:crossBetween val="between"/>
        <c:majorUnit val="7"/>
      </c:valAx>
      <c:spPr>
        <a:solidFill>
          <a:srgbClr val="FFFFFF"/>
        </a:solidFill>
      </c:spPr>
    </c:plotArea>
    <c:legend>
      <c:legendPos val="l"/>
      <c:legendEntry>
        <c:idx val="0"/>
        <c:delete val="1"/>
      </c:legendEntry>
      <c:layout>
        <c:manualLayout>
          <c:xMode val="edge"/>
          <c:yMode val="edge"/>
          <c:x val="0.12230508160699724"/>
          <c:y val="0.15060175263711795"/>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CE05-44B2-9792-755371F64F12}"/>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CE05-44B2-9792-755371F64F12}"/>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120.89437843944802</c:v>
                </c:pt>
                <c:pt idx="1">
                  <c:v>106.07679921609491</c:v>
                </c:pt>
              </c:numCache>
            </c:numRef>
          </c:val>
          <c:extLst>
            <c:ext xmlns:c16="http://schemas.microsoft.com/office/drawing/2014/chart" uri="{C3380CC4-5D6E-409C-BE32-E72D297353CC}">
              <c16:uniqueId val="{00000003-CE05-44B2-9792-755371F64F12}"/>
            </c:ext>
          </c:extLst>
        </c:ser>
        <c:dLbls>
          <c:showLegendKey val="0"/>
          <c:showVal val="1"/>
          <c:showCatName val="0"/>
          <c:showSerName val="0"/>
          <c:showPercent val="0"/>
          <c:showBubbleSize val="0"/>
        </c:dLbls>
        <c:gapWidth val="50"/>
        <c:overlap val="88"/>
        <c:axId val="746201936"/>
        <c:axId val="746202328"/>
      </c:barChart>
      <c:catAx>
        <c:axId val="746201936"/>
        <c:scaling>
          <c:orientation val="minMax"/>
        </c:scaling>
        <c:delete val="0"/>
        <c:axPos val="b"/>
        <c:numFmt formatCode="General" sourceLinked="1"/>
        <c:majorTickMark val="out"/>
        <c:minorTickMark val="none"/>
        <c:tickLblPos val="nextTo"/>
        <c:crossAx val="746202328"/>
        <c:crosses val="autoZero"/>
        <c:auto val="0"/>
        <c:lblAlgn val="ctr"/>
        <c:lblOffset val="100"/>
        <c:tickLblSkip val="1"/>
        <c:tickMarkSkip val="1"/>
        <c:noMultiLvlLbl val="0"/>
      </c:catAx>
      <c:valAx>
        <c:axId val="746202328"/>
        <c:scaling>
          <c:orientation val="minMax"/>
          <c:max val="140"/>
          <c:min val="8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1936"/>
        <c:crosses val="autoZero"/>
        <c:crossBetween val="between"/>
        <c:majorUnit val="20"/>
      </c:valAx>
      <c:spPr>
        <a:solidFill>
          <a:srgbClr val="FFFFFF"/>
        </a:solidFill>
      </c:spPr>
    </c:plotArea>
    <c:legend>
      <c:legendPos val="l"/>
      <c:layout>
        <c:manualLayout>
          <c:xMode val="edge"/>
          <c:yMode val="edge"/>
          <c:x val="0.5107884783039085"/>
          <c:y val="3.0592999871487166E-3"/>
          <c:w val="0.48401682476060143"/>
          <c:h val="0.23255542549902922"/>
        </c:manualLayout>
      </c:layout>
      <c:overlay val="1"/>
      <c:spPr>
        <a:no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3953-44E8-BD67-BEA8BCD1E25C}"/>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3953-44E8-BD67-BEA8BCD1E25C}"/>
              </c:ext>
            </c:extLst>
          </c:dPt>
          <c:dLbls>
            <c:dLbl>
              <c:idx val="0"/>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953-44E8-BD67-BEA8BCD1E25C}"/>
                </c:ext>
              </c:extLst>
            </c:dLbl>
            <c:dLbl>
              <c:idx val="1"/>
              <c:delete val="1"/>
              <c:extLst>
                <c:ext xmlns:c15="http://schemas.microsoft.com/office/drawing/2012/chart" uri="{CE6537A1-D6FC-4f65-9D91-7224C49458BB}"/>
                <c:ext xmlns:c16="http://schemas.microsoft.com/office/drawing/2014/chart" uri="{C3380CC4-5D6E-409C-BE32-E72D297353CC}">
                  <c16:uniqueId val="{00000003-3953-44E8-BD67-BEA8BCD1E25C}"/>
                </c:ext>
              </c:extLst>
            </c:dLbl>
            <c:spPr>
              <a:noFill/>
              <a:ln>
                <a:noFill/>
              </a:ln>
              <a:effectLst/>
            </c:spPr>
            <c:txPr>
              <a:bodyPr/>
              <a:lstStyle/>
              <a:p>
                <a:pPr>
                  <a:defRPr>
                    <a:solidFill>
                      <a:schemeClr val="tx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2.0565894809340493</c:v>
                </c:pt>
                <c:pt idx="1">
                  <c:v>97.943410519065949</c:v>
                </c:pt>
              </c:numCache>
            </c:numRef>
          </c:val>
          <c:extLst>
            <c:ext xmlns:c16="http://schemas.microsoft.com/office/drawing/2014/chart" uri="{C3380CC4-5D6E-409C-BE32-E72D297353CC}">
              <c16:uniqueId val="{00000004-3953-44E8-BD67-BEA8BCD1E25C}"/>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4C79-4B2E-84A2-D9014E4BB982}"/>
            </c:ext>
          </c:extLst>
        </c:ser>
        <c:dLbls>
          <c:showLegendKey val="0"/>
          <c:showVal val="0"/>
          <c:showCatName val="0"/>
          <c:showSerName val="0"/>
          <c:showPercent val="0"/>
          <c:showBubbleSize val="0"/>
        </c:dLbls>
        <c:gapWidth val="0"/>
        <c:axId val="746199584"/>
        <c:axId val="74619997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4C79-4B2E-84A2-D9014E4BB982}"/>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8.8058300000000056</c:v>
                </c:pt>
                <c:pt idx="1">
                  <c:v>8.1377663493590031</c:v>
                </c:pt>
                <c:pt idx="2">
                  <c:v>8.5016999466567018</c:v>
                </c:pt>
                <c:pt idx="3">
                  <c:v>8.5863356193230764</c:v>
                </c:pt>
                <c:pt idx="4">
                  <c:v>8.62921515059484</c:v>
                </c:pt>
                <c:pt idx="5">
                  <c:v>8.6643459588798226</c:v>
                </c:pt>
                <c:pt idx="6">
                  <c:v>8.6955215407804403</c:v>
                </c:pt>
                <c:pt idx="7">
                  <c:v>8.7166756770968163</c:v>
                </c:pt>
                <c:pt idx="8">
                  <c:v>8.7290384706130695</c:v>
                </c:pt>
                <c:pt idx="9">
                  <c:v>8.7354485861152469</c:v>
                </c:pt>
                <c:pt idx="10">
                  <c:v>8.7447922091052863</c:v>
                </c:pt>
                <c:pt idx="11">
                  <c:v>8.744450820049904</c:v>
                </c:pt>
                <c:pt idx="12">
                  <c:v>8.7316209490425152</c:v>
                </c:pt>
                <c:pt idx="13">
                  <c:v>8.7171210798193073</c:v>
                </c:pt>
                <c:pt idx="14">
                  <c:v>8.6992798493044923</c:v>
                </c:pt>
                <c:pt idx="15">
                  <c:v>8.6806928916908834</c:v>
                </c:pt>
                <c:pt idx="16">
                  <c:v>8.6686010744437745</c:v>
                </c:pt>
                <c:pt idx="17">
                  <c:v>8.6584110418368088</c:v>
                </c:pt>
                <c:pt idx="18">
                  <c:v>8.6490253738368565</c:v>
                </c:pt>
                <c:pt idx="19">
                  <c:v>8.6382069498347747</c:v>
                </c:pt>
                <c:pt idx="20">
                  <c:v>8.6321524999343495</c:v>
                </c:pt>
              </c:numCache>
            </c:numRef>
          </c:val>
          <c:smooth val="0"/>
          <c:extLst>
            <c:ext xmlns:c16="http://schemas.microsoft.com/office/drawing/2014/chart" uri="{C3380CC4-5D6E-409C-BE32-E72D297353CC}">
              <c16:uniqueId val="{00000003-4C79-4B2E-84A2-D9014E4BB982}"/>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8.9745330747569394</c:v>
                </c:pt>
                <c:pt idx="1">
                  <c:v>8.7257742908590714</c:v>
                </c:pt>
                <c:pt idx="2">
                  <c:v>8.7746616438972165</c:v>
                </c:pt>
                <c:pt idx="3">
                  <c:v>8.8203037294909112</c:v>
                </c:pt>
                <c:pt idx="4">
                  <c:v>8.8449550105140613</c:v>
                </c:pt>
                <c:pt idx="5">
                  <c:v>8.829441373131516</c:v>
                </c:pt>
                <c:pt idx="6">
                  <c:v>8.7920137680138755</c:v>
                </c:pt>
                <c:pt idx="7">
                  <c:v>8.7436034197622625</c:v>
                </c:pt>
                <c:pt idx="8">
                  <c:v>8.6774469559363308</c:v>
                </c:pt>
                <c:pt idx="9">
                  <c:v>8.6127513757427963</c:v>
                </c:pt>
                <c:pt idx="10">
                  <c:v>8.5588042519058352</c:v>
                </c:pt>
                <c:pt idx="11">
                  <c:v>8.5114106356701367</c:v>
                </c:pt>
                <c:pt idx="12">
                  <c:v>8.4618398344324195</c:v>
                </c:pt>
                <c:pt idx="13">
                  <c:v>8.4185265195054466</c:v>
                </c:pt>
                <c:pt idx="14">
                  <c:v>8.3814731216186082</c:v>
                </c:pt>
                <c:pt idx="15">
                  <c:v>8.3788447749277601</c:v>
                </c:pt>
                <c:pt idx="16">
                  <c:v>8.4006156895543409</c:v>
                </c:pt>
                <c:pt idx="17">
                  <c:v>8.4442768456193438</c:v>
                </c:pt>
                <c:pt idx="18">
                  <c:v>8.5160554208291543</c:v>
                </c:pt>
                <c:pt idx="19">
                  <c:v>8.6035347819845764</c:v>
                </c:pt>
                <c:pt idx="20">
                  <c:v>8.7024110068850273</c:v>
                </c:pt>
              </c:numCache>
            </c:numRef>
          </c:val>
          <c:smooth val="0"/>
          <c:extLst>
            <c:ext xmlns:c16="http://schemas.microsoft.com/office/drawing/2014/chart" uri="{C3380CC4-5D6E-409C-BE32-E72D297353CC}">
              <c16:uniqueId val="{00000004-4C79-4B2E-84A2-D9014E4BB982}"/>
            </c:ext>
          </c:extLst>
        </c:ser>
        <c:dLbls>
          <c:showLegendKey val="0"/>
          <c:showVal val="0"/>
          <c:showCatName val="0"/>
          <c:showSerName val="0"/>
          <c:showPercent val="0"/>
          <c:showBubbleSize val="0"/>
        </c:dLbls>
        <c:marker val="1"/>
        <c:smooth val="0"/>
        <c:axId val="746199584"/>
        <c:axId val="746199976"/>
      </c:lineChart>
      <c:catAx>
        <c:axId val="74619958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99976"/>
        <c:crosses val="autoZero"/>
        <c:auto val="1"/>
        <c:lblAlgn val="ctr"/>
        <c:lblOffset val="100"/>
        <c:noMultiLvlLbl val="0"/>
      </c:catAx>
      <c:valAx>
        <c:axId val="746199976"/>
        <c:scaling>
          <c:orientation val="minMax"/>
          <c:max val="10"/>
          <c:min val="6"/>
        </c:scaling>
        <c:delete val="0"/>
        <c:axPos val="l"/>
        <c:numFmt formatCode="General" sourceLinked="1"/>
        <c:majorTickMark val="out"/>
        <c:minorTickMark val="none"/>
        <c:tickLblPos val="nextTo"/>
        <c:crossAx val="746199584"/>
        <c:crosses val="autoZero"/>
        <c:crossBetween val="between"/>
        <c:majorUnit val="1"/>
      </c:valAx>
      <c:spPr>
        <a:solidFill>
          <a:srgbClr val="FFFFFF"/>
        </a:solidFill>
      </c:spPr>
    </c:plotArea>
    <c:legend>
      <c:legendPos val="l"/>
      <c:legendEntry>
        <c:idx val="0"/>
        <c:delete val="1"/>
      </c:legendEntry>
      <c:layout>
        <c:manualLayout>
          <c:xMode val="edge"/>
          <c:yMode val="edge"/>
          <c:x val="0.55197491426190459"/>
          <c:y val="0.46820210552639896"/>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62E7-4A5D-85CE-6504A7DDA7D6}"/>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62E7-4A5D-85CE-6504A7DDA7D6}"/>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112.54049752700716</c:v>
                </c:pt>
                <c:pt idx="1">
                  <c:v>102.17306006452989</c:v>
                </c:pt>
              </c:numCache>
            </c:numRef>
          </c:val>
          <c:extLst>
            <c:ext xmlns:c16="http://schemas.microsoft.com/office/drawing/2014/chart" uri="{C3380CC4-5D6E-409C-BE32-E72D297353CC}">
              <c16:uniqueId val="{00000003-62E7-4A5D-85CE-6504A7DDA7D6}"/>
            </c:ext>
          </c:extLst>
        </c:ser>
        <c:dLbls>
          <c:showLegendKey val="0"/>
          <c:showVal val="1"/>
          <c:showCatName val="0"/>
          <c:showSerName val="0"/>
          <c:showPercent val="0"/>
          <c:showBubbleSize val="0"/>
        </c:dLbls>
        <c:gapWidth val="50"/>
        <c:overlap val="88"/>
        <c:axId val="746202720"/>
        <c:axId val="746200760"/>
      </c:barChart>
      <c:catAx>
        <c:axId val="746202720"/>
        <c:scaling>
          <c:orientation val="minMax"/>
        </c:scaling>
        <c:delete val="0"/>
        <c:axPos val="b"/>
        <c:numFmt formatCode="General" sourceLinked="1"/>
        <c:majorTickMark val="out"/>
        <c:minorTickMark val="none"/>
        <c:tickLblPos val="nextTo"/>
        <c:crossAx val="746200760"/>
        <c:crosses val="autoZero"/>
        <c:auto val="0"/>
        <c:lblAlgn val="ctr"/>
        <c:lblOffset val="100"/>
        <c:tickLblSkip val="1"/>
        <c:tickMarkSkip val="1"/>
        <c:noMultiLvlLbl val="0"/>
      </c:catAx>
      <c:valAx>
        <c:axId val="746200760"/>
        <c:scaling>
          <c:orientation val="minMax"/>
          <c:max val="14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272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F2C9-4424-A540-DD21B8CA02AB}"/>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F2C9-4424-A540-DD21B8CA02AB}"/>
              </c:ext>
            </c:extLst>
          </c:dPt>
          <c:dLbls>
            <c:dLbl>
              <c:idx val="1"/>
              <c:delete val="1"/>
              <c:extLst>
                <c:ext xmlns:c15="http://schemas.microsoft.com/office/drawing/2012/chart" uri="{CE6537A1-D6FC-4f65-9D91-7224C49458BB}"/>
                <c:ext xmlns:c16="http://schemas.microsoft.com/office/drawing/2014/chart" uri="{C3380CC4-5D6E-409C-BE32-E72D297353CC}">
                  <c16:uniqueId val="{00000003-F2C9-4424-A540-DD21B8CA02AB}"/>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8.6777784626163541</c:v>
                </c:pt>
                <c:pt idx="1">
                  <c:v>91.322221537383641</c:v>
                </c:pt>
              </c:numCache>
            </c:numRef>
          </c:val>
          <c:extLst>
            <c:ext xmlns:c16="http://schemas.microsoft.com/office/drawing/2014/chart" uri="{C3380CC4-5D6E-409C-BE32-E72D297353CC}">
              <c16:uniqueId val="{00000004-F2C9-4424-A540-DD21B8CA02AB}"/>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33F6-481E-8BAC-DED475B2EA4A}"/>
            </c:ext>
          </c:extLst>
        </c:ser>
        <c:dLbls>
          <c:showLegendKey val="0"/>
          <c:showVal val="0"/>
          <c:showCatName val="0"/>
          <c:showSerName val="0"/>
          <c:showPercent val="0"/>
          <c:showBubbleSize val="0"/>
        </c:dLbls>
        <c:gapWidth val="0"/>
        <c:axId val="746203896"/>
        <c:axId val="7462042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33F6-481E-8BAC-DED475B2EA4A}"/>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26.179110000000009</c:v>
                </c:pt>
                <c:pt idx="1">
                  <c:v>27.056699827452693</c:v>
                </c:pt>
                <c:pt idx="2">
                  <c:v>28.354023631132474</c:v>
                </c:pt>
                <c:pt idx="3">
                  <c:v>29.341017191497109</c:v>
                </c:pt>
                <c:pt idx="4">
                  <c:v>30.11876985203698</c:v>
                </c:pt>
                <c:pt idx="5">
                  <c:v>30.882114007297627</c:v>
                </c:pt>
                <c:pt idx="6">
                  <c:v>31.61634313596867</c:v>
                </c:pt>
                <c:pt idx="7">
                  <c:v>32.355691274580167</c:v>
                </c:pt>
                <c:pt idx="8">
                  <c:v>33.121921794010575</c:v>
                </c:pt>
                <c:pt idx="9">
                  <c:v>33.910522800758528</c:v>
                </c:pt>
                <c:pt idx="10">
                  <c:v>34.794611832517802</c:v>
                </c:pt>
                <c:pt idx="11">
                  <c:v>35.633704436495577</c:v>
                </c:pt>
                <c:pt idx="12">
                  <c:v>36.410173450971072</c:v>
                </c:pt>
                <c:pt idx="13">
                  <c:v>37.176763214387634</c:v>
                </c:pt>
                <c:pt idx="14">
                  <c:v>37.932283713901384</c:v>
                </c:pt>
                <c:pt idx="15">
                  <c:v>38.667921902468791</c:v>
                </c:pt>
                <c:pt idx="16">
                  <c:v>39.434364743550049</c:v>
                </c:pt>
                <c:pt idx="17">
                  <c:v>40.201938668469296</c:v>
                </c:pt>
                <c:pt idx="18">
                  <c:v>40.968776554589191</c:v>
                </c:pt>
                <c:pt idx="19">
                  <c:v>41.711509280274633</c:v>
                </c:pt>
                <c:pt idx="20">
                  <c:v>42.481499995063828</c:v>
                </c:pt>
              </c:numCache>
            </c:numRef>
          </c:val>
          <c:smooth val="0"/>
          <c:extLst>
            <c:ext xmlns:c16="http://schemas.microsoft.com/office/drawing/2014/chart" uri="{C3380CC4-5D6E-409C-BE32-E72D297353CC}">
              <c16:uniqueId val="{00000003-33F6-481E-8BAC-DED475B2EA4A}"/>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26.351995195252567</c:v>
                </c:pt>
                <c:pt idx="1">
                  <c:v>26.339754623051675</c:v>
                </c:pt>
                <c:pt idx="2">
                  <c:v>27.444229652637013</c:v>
                </c:pt>
                <c:pt idx="3">
                  <c:v>28.501558673370557</c:v>
                </c:pt>
                <c:pt idx="4">
                  <c:v>29.614855087613396</c:v>
                </c:pt>
                <c:pt idx="5">
                  <c:v>30.690162029119801</c:v>
                </c:pt>
                <c:pt idx="6">
                  <c:v>31.784138750206168</c:v>
                </c:pt>
                <c:pt idx="7">
                  <c:v>32.840332307122964</c:v>
                </c:pt>
                <c:pt idx="8">
                  <c:v>33.910133987585262</c:v>
                </c:pt>
                <c:pt idx="9">
                  <c:v>34.993868680271063</c:v>
                </c:pt>
                <c:pt idx="10">
                  <c:v>36.113870994422093</c:v>
                </c:pt>
                <c:pt idx="11">
                  <c:v>37.268653660147145</c:v>
                </c:pt>
                <c:pt idx="12">
                  <c:v>38.410313391031856</c:v>
                </c:pt>
                <c:pt idx="13">
                  <c:v>39.55224923219177</c:v>
                </c:pt>
                <c:pt idx="14">
                  <c:v>40.65423960875053</c:v>
                </c:pt>
                <c:pt idx="15">
                  <c:v>41.812158505629064</c:v>
                </c:pt>
                <c:pt idx="16">
                  <c:v>43.007018260769222</c:v>
                </c:pt>
                <c:pt idx="17">
                  <c:v>44.2386384219718</c:v>
                </c:pt>
                <c:pt idx="18">
                  <c:v>45.565452720725567</c:v>
                </c:pt>
                <c:pt idx="19">
                  <c:v>46.959065494506689</c:v>
                </c:pt>
                <c:pt idx="20">
                  <c:v>48.372379338113973</c:v>
                </c:pt>
              </c:numCache>
            </c:numRef>
          </c:val>
          <c:smooth val="0"/>
          <c:extLst>
            <c:ext xmlns:c16="http://schemas.microsoft.com/office/drawing/2014/chart" uri="{C3380CC4-5D6E-409C-BE32-E72D297353CC}">
              <c16:uniqueId val="{00000004-33F6-481E-8BAC-DED475B2EA4A}"/>
            </c:ext>
          </c:extLst>
        </c:ser>
        <c:dLbls>
          <c:showLegendKey val="0"/>
          <c:showVal val="0"/>
          <c:showCatName val="0"/>
          <c:showSerName val="0"/>
          <c:showPercent val="0"/>
          <c:showBubbleSize val="0"/>
        </c:dLbls>
        <c:marker val="1"/>
        <c:smooth val="0"/>
        <c:axId val="746203896"/>
        <c:axId val="746204288"/>
      </c:lineChart>
      <c:catAx>
        <c:axId val="74620389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4288"/>
        <c:crosses val="autoZero"/>
        <c:auto val="1"/>
        <c:lblAlgn val="ctr"/>
        <c:lblOffset val="100"/>
        <c:noMultiLvlLbl val="0"/>
      </c:catAx>
      <c:valAx>
        <c:axId val="746204288"/>
        <c:scaling>
          <c:orientation val="minMax"/>
          <c:max val="50"/>
          <c:min val="20"/>
        </c:scaling>
        <c:delete val="0"/>
        <c:axPos val="l"/>
        <c:numFmt formatCode="General" sourceLinked="1"/>
        <c:majorTickMark val="out"/>
        <c:minorTickMark val="none"/>
        <c:tickLblPos val="nextTo"/>
        <c:crossAx val="746203896"/>
        <c:crosses val="autoZero"/>
        <c:crossBetween val="between"/>
        <c:majorUnit val="5"/>
      </c:valAx>
      <c:spPr>
        <a:solidFill>
          <a:srgbClr val="FFFFFF"/>
        </a:solidFill>
      </c:spPr>
    </c:plotArea>
    <c:legend>
      <c:legendPos val="l"/>
      <c:legendEntry>
        <c:idx val="0"/>
        <c:delete val="1"/>
      </c:legendEntry>
      <c:layout>
        <c:manualLayout>
          <c:xMode val="edge"/>
          <c:yMode val="edge"/>
          <c:x val="0.55649775460564033"/>
          <c:y val="0.48584656957580347"/>
          <c:w val="0.36870408159631335"/>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5CCD-4BFE-B9FF-81A29977B87F}"/>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5CCD-4BFE-B9FF-81A29977B87F}"/>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96.535260634124555</c:v>
                </c:pt>
                <c:pt idx="1">
                  <c:v>96.346946130177912</c:v>
                </c:pt>
              </c:numCache>
            </c:numRef>
          </c:val>
          <c:extLst>
            <c:ext xmlns:c16="http://schemas.microsoft.com/office/drawing/2014/chart" uri="{C3380CC4-5D6E-409C-BE32-E72D297353CC}">
              <c16:uniqueId val="{00000003-5CCD-4BFE-B9FF-81A29977B87F}"/>
            </c:ext>
          </c:extLst>
        </c:ser>
        <c:dLbls>
          <c:showLegendKey val="0"/>
          <c:showVal val="1"/>
          <c:showCatName val="0"/>
          <c:showSerName val="0"/>
          <c:showPercent val="0"/>
          <c:showBubbleSize val="0"/>
        </c:dLbls>
        <c:gapWidth val="50"/>
        <c:overlap val="88"/>
        <c:axId val="746204680"/>
        <c:axId val="746198408"/>
      </c:barChart>
      <c:catAx>
        <c:axId val="746204680"/>
        <c:scaling>
          <c:orientation val="minMax"/>
        </c:scaling>
        <c:delete val="0"/>
        <c:axPos val="b"/>
        <c:numFmt formatCode="General" sourceLinked="1"/>
        <c:majorTickMark val="out"/>
        <c:minorTickMark val="none"/>
        <c:tickLblPos val="nextTo"/>
        <c:crossAx val="746198408"/>
        <c:crosses val="autoZero"/>
        <c:auto val="0"/>
        <c:lblAlgn val="ctr"/>
        <c:lblOffset val="100"/>
        <c:tickLblSkip val="1"/>
        <c:tickMarkSkip val="1"/>
        <c:noMultiLvlLbl val="0"/>
      </c:catAx>
      <c:valAx>
        <c:axId val="746198408"/>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0468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no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2021</c:v>
                </c:pt>
              </c:strCache>
            </c:strRef>
          </c:tx>
          <c:spPr>
            <a:solidFill>
              <a:srgbClr val="4BACC6">
                <a:lumMod val="75000"/>
              </a:srgbClr>
            </a:solidFill>
            <a:ln w="6350">
              <a:noFill/>
            </a:ln>
          </c:spPr>
          <c:invertIfNegative val="0"/>
          <c:dPt>
            <c:idx val="5"/>
            <c:invertIfNegative val="0"/>
            <c:bubble3D val="0"/>
            <c:extLst>
              <c:ext xmlns:c16="http://schemas.microsoft.com/office/drawing/2014/chart" uri="{C3380CC4-5D6E-409C-BE32-E72D297353CC}">
                <c16:uniqueId val="{00000001-496F-41F1-A74F-1C4C346099FE}"/>
              </c:ext>
            </c:extLst>
          </c:dPt>
          <c:dPt>
            <c:idx val="7"/>
            <c:invertIfNegative val="0"/>
            <c:bubble3D val="0"/>
            <c:spPr>
              <a:solidFill>
                <a:srgbClr val="C0504D">
                  <a:lumMod val="75000"/>
                </a:srgbClr>
              </a:solidFill>
              <a:ln w="6350">
                <a:noFill/>
              </a:ln>
            </c:spPr>
            <c:extLst>
              <c:ext xmlns:c16="http://schemas.microsoft.com/office/drawing/2014/chart" uri="{C3380CC4-5D6E-409C-BE32-E72D297353CC}">
                <c16:uniqueId val="{00000002-496F-41F1-A74F-1C4C346099FE}"/>
              </c:ext>
            </c:extLst>
          </c:dPt>
          <c:dPt>
            <c:idx val="9"/>
            <c:invertIfNegative val="0"/>
            <c:bubble3D val="0"/>
            <c:extLst>
              <c:ext xmlns:c16="http://schemas.microsoft.com/office/drawing/2014/chart" uri="{C3380CC4-5D6E-409C-BE32-E72D297353CC}">
                <c16:uniqueId val="{00000003-496F-41F1-A74F-1C4C346099FE}"/>
              </c:ext>
            </c:extLst>
          </c:dPt>
          <c:dPt>
            <c:idx val="10"/>
            <c:invertIfNegative val="0"/>
            <c:bubble3D val="0"/>
            <c:spPr>
              <a:solidFill>
                <a:srgbClr val="4F81BD">
                  <a:lumMod val="75000"/>
                </a:srgbClr>
              </a:solidFill>
              <a:ln w="6350">
                <a:noFill/>
              </a:ln>
            </c:spPr>
            <c:extLst>
              <c:ext xmlns:c16="http://schemas.microsoft.com/office/drawing/2014/chart" uri="{C3380CC4-5D6E-409C-BE32-E72D297353CC}">
                <c16:uniqueId val="{00000005-496F-41F1-A74F-1C4C346099FE}"/>
              </c:ext>
            </c:extLst>
          </c:dPt>
          <c:dPt>
            <c:idx val="15"/>
            <c:invertIfNegative val="0"/>
            <c:bubble3D val="0"/>
            <c:extLst>
              <c:ext xmlns:c16="http://schemas.microsoft.com/office/drawing/2014/chart" uri="{C3380CC4-5D6E-409C-BE32-E72D297353CC}">
                <c16:uniqueId val="{00000006-496F-41F1-A74F-1C4C346099FE}"/>
              </c:ext>
            </c:extLst>
          </c:dPt>
          <c:dPt>
            <c:idx val="16"/>
            <c:invertIfNegative val="0"/>
            <c:bubble3D val="0"/>
            <c:extLst>
              <c:ext xmlns:c16="http://schemas.microsoft.com/office/drawing/2014/chart" uri="{C3380CC4-5D6E-409C-BE32-E72D297353CC}">
                <c16:uniqueId val="{00000007-496F-41F1-A74F-1C4C346099FE}"/>
              </c:ext>
            </c:extLst>
          </c:dPt>
          <c:dLbls>
            <c:dLbl>
              <c:idx val="28"/>
              <c:layout>
                <c:manualLayout>
                  <c:x val="0"/>
                  <c:y val="7.59239408511160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6F-41F1-A74F-1C4C346099FE}"/>
                </c:ext>
              </c:extLst>
            </c:dLbl>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Spānija</c:v>
                </c:pt>
                <c:pt idx="1">
                  <c:v>Grieķija</c:v>
                </c:pt>
                <c:pt idx="2">
                  <c:v>Itālija</c:v>
                </c:pt>
                <c:pt idx="3">
                  <c:v>Zviedrija</c:v>
                </c:pt>
                <c:pt idx="4">
                  <c:v>Francija</c:v>
                </c:pt>
                <c:pt idx="5">
                  <c:v>Somija</c:v>
                </c:pt>
                <c:pt idx="6">
                  <c:v>Horvātija</c:v>
                </c:pt>
                <c:pt idx="7">
                  <c:v>Latvija</c:v>
                </c:pt>
                <c:pt idx="8">
                  <c:v>Kipra</c:v>
                </c:pt>
                <c:pt idx="9">
                  <c:v>Lietuva</c:v>
                </c:pt>
                <c:pt idx="10">
                  <c:v>ES-27</c:v>
                </c:pt>
                <c:pt idx="11">
                  <c:v>Slovākija</c:v>
                </c:pt>
                <c:pt idx="12">
                  <c:v>Portugāle</c:v>
                </c:pt>
                <c:pt idx="13">
                  <c:v>Beļģija</c:v>
                </c:pt>
                <c:pt idx="14">
                  <c:v>Igaunija</c:v>
                </c:pt>
                <c:pt idx="15">
                  <c:v>Īrija</c:v>
                </c:pt>
                <c:pt idx="16">
                  <c:v>Austrija</c:v>
                </c:pt>
                <c:pt idx="17">
                  <c:v>Rumānija</c:v>
                </c:pt>
                <c:pt idx="18">
                  <c:v>Bulgārija</c:v>
                </c:pt>
                <c:pt idx="19">
                  <c:v>Luksemburga</c:v>
                </c:pt>
                <c:pt idx="20">
                  <c:v>Dānija</c:v>
                </c:pt>
                <c:pt idx="21">
                  <c:v>Slovēnija</c:v>
                </c:pt>
                <c:pt idx="22">
                  <c:v>Nīderlande</c:v>
                </c:pt>
                <c:pt idx="23">
                  <c:v>Ungārija</c:v>
                </c:pt>
                <c:pt idx="24">
                  <c:v>Vācija</c:v>
                </c:pt>
                <c:pt idx="25">
                  <c:v>Malta</c:v>
                </c:pt>
                <c:pt idx="26">
                  <c:v>Polija</c:v>
                </c:pt>
                <c:pt idx="27">
                  <c:v>Čehija</c:v>
                </c:pt>
              </c:strCache>
            </c:strRef>
          </c:cat>
          <c:val>
            <c:numRef>
              <c:f>Sheet1!$C$2:$C$29</c:f>
              <c:numCache>
                <c:formatCode>0.0</c:formatCode>
                <c:ptCount val="28"/>
                <c:pt idx="0">
                  <c:v>14.8</c:v>
                </c:pt>
                <c:pt idx="1">
                  <c:v>14.7</c:v>
                </c:pt>
                <c:pt idx="2">
                  <c:v>9.5</c:v>
                </c:pt>
                <c:pt idx="3">
                  <c:v>8.8000000000000007</c:v>
                </c:pt>
                <c:pt idx="4">
                  <c:v>7.9</c:v>
                </c:pt>
                <c:pt idx="5">
                  <c:v>7.7</c:v>
                </c:pt>
                <c:pt idx="6">
                  <c:v>7.6</c:v>
                </c:pt>
                <c:pt idx="7">
                  <c:v>7.6</c:v>
                </c:pt>
                <c:pt idx="8">
                  <c:v>7.5</c:v>
                </c:pt>
                <c:pt idx="9">
                  <c:v>7.1</c:v>
                </c:pt>
                <c:pt idx="10">
                  <c:v>7</c:v>
                </c:pt>
                <c:pt idx="11">
                  <c:v>6.8</c:v>
                </c:pt>
                <c:pt idx="12">
                  <c:v>6.6</c:v>
                </c:pt>
                <c:pt idx="13">
                  <c:v>6.3</c:v>
                </c:pt>
                <c:pt idx="14">
                  <c:v>6.2</c:v>
                </c:pt>
                <c:pt idx="15">
                  <c:v>6.2</c:v>
                </c:pt>
                <c:pt idx="16">
                  <c:v>6.2</c:v>
                </c:pt>
                <c:pt idx="17">
                  <c:v>5.6</c:v>
                </c:pt>
                <c:pt idx="18">
                  <c:v>5.3</c:v>
                </c:pt>
                <c:pt idx="19">
                  <c:v>5.3</c:v>
                </c:pt>
                <c:pt idx="20">
                  <c:v>5.0999999999999996</c:v>
                </c:pt>
                <c:pt idx="21">
                  <c:v>4.8</c:v>
                </c:pt>
                <c:pt idx="22">
                  <c:v>4.2</c:v>
                </c:pt>
                <c:pt idx="23">
                  <c:v>4.0999999999999996</c:v>
                </c:pt>
                <c:pt idx="24">
                  <c:v>3.6</c:v>
                </c:pt>
                <c:pt idx="25">
                  <c:v>3.5</c:v>
                </c:pt>
                <c:pt idx="26">
                  <c:v>3.4</c:v>
                </c:pt>
                <c:pt idx="27">
                  <c:v>2.8</c:v>
                </c:pt>
              </c:numCache>
            </c:numRef>
          </c:val>
          <c:extLst>
            <c:ext xmlns:c16="http://schemas.microsoft.com/office/drawing/2014/chart" uri="{C3380CC4-5D6E-409C-BE32-E72D297353CC}">
              <c16:uniqueId val="{00000009-496F-41F1-A74F-1C4C346099FE}"/>
            </c:ext>
          </c:extLst>
        </c:ser>
        <c:dLbls>
          <c:showLegendKey val="0"/>
          <c:showVal val="0"/>
          <c:showCatName val="0"/>
          <c:showSerName val="0"/>
          <c:showPercent val="0"/>
          <c:showBubbleSize val="0"/>
        </c:dLbls>
        <c:gapWidth val="40"/>
        <c:axId val="742030704"/>
        <c:axId val="742034624"/>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Spānija</c:v>
                </c:pt>
                <c:pt idx="1">
                  <c:v>Grieķija</c:v>
                </c:pt>
                <c:pt idx="2">
                  <c:v>Itālija</c:v>
                </c:pt>
                <c:pt idx="3">
                  <c:v>Zviedrija</c:v>
                </c:pt>
                <c:pt idx="4">
                  <c:v>Francija</c:v>
                </c:pt>
                <c:pt idx="5">
                  <c:v>Somija</c:v>
                </c:pt>
                <c:pt idx="6">
                  <c:v>Horvātija</c:v>
                </c:pt>
                <c:pt idx="7">
                  <c:v>Latvija</c:v>
                </c:pt>
                <c:pt idx="8">
                  <c:v>Kipra</c:v>
                </c:pt>
                <c:pt idx="9">
                  <c:v>Lietuva</c:v>
                </c:pt>
                <c:pt idx="10">
                  <c:v>ES-27</c:v>
                </c:pt>
                <c:pt idx="11">
                  <c:v>Slovākija</c:v>
                </c:pt>
                <c:pt idx="12">
                  <c:v>Portugāle</c:v>
                </c:pt>
                <c:pt idx="13">
                  <c:v>Beļģija</c:v>
                </c:pt>
                <c:pt idx="14">
                  <c:v>Igaunija</c:v>
                </c:pt>
                <c:pt idx="15">
                  <c:v>Īrija</c:v>
                </c:pt>
                <c:pt idx="16">
                  <c:v>Austrija</c:v>
                </c:pt>
                <c:pt idx="17">
                  <c:v>Rumānija</c:v>
                </c:pt>
                <c:pt idx="18">
                  <c:v>Bulgārija</c:v>
                </c:pt>
                <c:pt idx="19">
                  <c:v>Luksemburga</c:v>
                </c:pt>
                <c:pt idx="20">
                  <c:v>Dānija</c:v>
                </c:pt>
                <c:pt idx="21">
                  <c:v>Slovēnija</c:v>
                </c:pt>
                <c:pt idx="22">
                  <c:v>Nīderlande</c:v>
                </c:pt>
                <c:pt idx="23">
                  <c:v>Ungārija</c:v>
                </c:pt>
                <c:pt idx="24">
                  <c:v>Vācija</c:v>
                </c:pt>
                <c:pt idx="25">
                  <c:v>Malta</c:v>
                </c:pt>
                <c:pt idx="26">
                  <c:v>Polija</c:v>
                </c:pt>
                <c:pt idx="27">
                  <c:v>Čehija</c:v>
                </c:pt>
              </c:strCache>
            </c:strRef>
          </c:cat>
          <c:val>
            <c:numRef>
              <c:f>Sheet1!$B$2:$B$29</c:f>
              <c:numCache>
                <c:formatCode>0.0</c:formatCode>
                <c:ptCount val="28"/>
                <c:pt idx="0">
                  <c:v>19.899999999999999</c:v>
                </c:pt>
                <c:pt idx="1">
                  <c:v>12.7</c:v>
                </c:pt>
                <c:pt idx="2">
                  <c:v>8.4</c:v>
                </c:pt>
                <c:pt idx="3">
                  <c:v>8.6</c:v>
                </c:pt>
                <c:pt idx="4">
                  <c:v>8.9</c:v>
                </c:pt>
                <c:pt idx="5">
                  <c:v>8.4</c:v>
                </c:pt>
                <c:pt idx="6">
                  <c:v>11.7</c:v>
                </c:pt>
                <c:pt idx="7">
                  <c:v>19.5</c:v>
                </c:pt>
                <c:pt idx="8">
                  <c:v>6.3</c:v>
                </c:pt>
                <c:pt idx="9">
                  <c:v>17.8</c:v>
                </c:pt>
                <c:pt idx="10">
                  <c:v>9.8000000000000007</c:v>
                </c:pt>
                <c:pt idx="11">
                  <c:v>14.4</c:v>
                </c:pt>
                <c:pt idx="12">
                  <c:v>11</c:v>
                </c:pt>
                <c:pt idx="13">
                  <c:v>8.3000000000000007</c:v>
                </c:pt>
                <c:pt idx="14">
                  <c:v>16.7</c:v>
                </c:pt>
                <c:pt idx="15">
                  <c:v>14.6</c:v>
                </c:pt>
                <c:pt idx="16">
                  <c:v>4.8</c:v>
                </c:pt>
                <c:pt idx="17">
                  <c:v>7</c:v>
                </c:pt>
                <c:pt idx="18">
                  <c:v>10.3</c:v>
                </c:pt>
                <c:pt idx="19">
                  <c:v>4.4000000000000004</c:v>
                </c:pt>
                <c:pt idx="20">
                  <c:v>7.7</c:v>
                </c:pt>
                <c:pt idx="21">
                  <c:v>7.3</c:v>
                </c:pt>
                <c:pt idx="22">
                  <c:v>5</c:v>
                </c:pt>
                <c:pt idx="23">
                  <c:v>11.2</c:v>
                </c:pt>
                <c:pt idx="24">
                  <c:v>7</c:v>
                </c:pt>
                <c:pt idx="25">
                  <c:v>6.9</c:v>
                </c:pt>
                <c:pt idx="26">
                  <c:v>9.6999999999999993</c:v>
                </c:pt>
                <c:pt idx="27">
                  <c:v>7.3</c:v>
                </c:pt>
              </c:numCache>
            </c:numRef>
          </c:val>
          <c:smooth val="0"/>
          <c:extLst>
            <c:ext xmlns:c16="http://schemas.microsoft.com/office/drawing/2014/chart" uri="{C3380CC4-5D6E-409C-BE32-E72D297353CC}">
              <c16:uniqueId val="{0000000A-496F-41F1-A74F-1C4C346099FE}"/>
            </c:ext>
          </c:extLst>
        </c:ser>
        <c:dLbls>
          <c:showLegendKey val="0"/>
          <c:showVal val="0"/>
          <c:showCatName val="0"/>
          <c:showSerName val="0"/>
          <c:showPercent val="0"/>
          <c:showBubbleSize val="0"/>
        </c:dLbls>
        <c:marker val="1"/>
        <c:smooth val="0"/>
        <c:axId val="742030704"/>
        <c:axId val="742034624"/>
      </c:lineChart>
      <c:catAx>
        <c:axId val="742030704"/>
        <c:scaling>
          <c:orientation val="minMax"/>
        </c:scaling>
        <c:delete val="0"/>
        <c:axPos val="b"/>
        <c:numFmt formatCode="General" sourceLinked="1"/>
        <c:majorTickMark val="out"/>
        <c:minorTickMark val="none"/>
        <c:tickLblPos val="low"/>
        <c:spPr>
          <a:ln/>
        </c:spPr>
        <c:txPr>
          <a:bodyPr rot="-5400000" vert="horz"/>
          <a:lstStyle/>
          <a:p>
            <a:pPr>
              <a:defRPr/>
            </a:pPr>
            <a:endParaRPr lang="lv-LV"/>
          </a:p>
        </c:txPr>
        <c:crossAx val="742034624"/>
        <c:crosses val="autoZero"/>
        <c:auto val="0"/>
        <c:lblAlgn val="ctr"/>
        <c:lblOffset val="0"/>
        <c:tickLblSkip val="1"/>
        <c:noMultiLvlLbl val="0"/>
      </c:catAx>
      <c:valAx>
        <c:axId val="742034624"/>
        <c:scaling>
          <c:orientation val="minMax"/>
        </c:scaling>
        <c:delete val="0"/>
        <c:axPos val="l"/>
        <c:numFmt formatCode="#,##0" sourceLinked="0"/>
        <c:majorTickMark val="out"/>
        <c:minorTickMark val="none"/>
        <c:tickLblPos val="nextTo"/>
        <c:spPr>
          <a:ln w="6350">
            <a:noFill/>
          </a:ln>
        </c:spPr>
        <c:txPr>
          <a:bodyPr rot="0" vert="horz"/>
          <a:lstStyle/>
          <a:p>
            <a:pPr>
              <a:defRPr/>
            </a:pPr>
            <a:endParaRPr lang="lv-LV"/>
          </a:p>
        </c:txPr>
        <c:crossAx val="742030704"/>
        <c:crosses val="autoZero"/>
        <c:crossBetween val="between"/>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BCEE-44D5-8042-6957AE4024C8}"/>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BCEE-44D5-8042-6957AE4024C8}"/>
              </c:ext>
            </c:extLst>
          </c:dPt>
          <c:dLbls>
            <c:dLbl>
              <c:idx val="1"/>
              <c:delete val="1"/>
              <c:extLst>
                <c:ext xmlns:c15="http://schemas.microsoft.com/office/drawing/2012/chart" uri="{CE6537A1-D6FC-4f65-9D91-7224C49458BB}"/>
                <c:ext xmlns:c16="http://schemas.microsoft.com/office/drawing/2014/chart" uri="{C3380CC4-5D6E-409C-BE32-E72D297353CC}">
                  <c16:uniqueId val="{00000003-BCEE-44D5-8042-6957AE4024C8}"/>
                </c:ext>
              </c:extLst>
            </c:dLbl>
            <c:spPr>
              <a:noFill/>
              <a:ln>
                <a:noFill/>
              </a:ln>
              <a:effectLst/>
            </c:spPr>
            <c:txPr>
              <a:bodyPr/>
              <a:lstStyle/>
              <a:p>
                <a:pPr>
                  <a:defRPr>
                    <a:solidFill>
                      <a:schemeClr val="bg1"/>
                    </a:solidFill>
                  </a:defRPr>
                </a:pPr>
                <a:endParaRPr lang="lv-LV"/>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7.3775342387234382</c:v>
                </c:pt>
                <c:pt idx="1">
                  <c:v>92.622465761276558</c:v>
                </c:pt>
              </c:numCache>
            </c:numRef>
          </c:val>
          <c:extLst>
            <c:ext xmlns:c16="http://schemas.microsoft.com/office/drawing/2014/chart" uri="{C3380CC4-5D6E-409C-BE32-E72D297353CC}">
              <c16:uniqueId val="{00000004-BCEE-44D5-8042-6957AE4024C8}"/>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450</c:v>
                </c:pt>
                <c:pt idx="20">
                  <c:v>450</c:v>
                </c:pt>
              </c:numCache>
            </c:numRef>
          </c:val>
          <c:extLst>
            <c:ext xmlns:c16="http://schemas.microsoft.com/office/drawing/2014/chart" uri="{C3380CC4-5D6E-409C-BE32-E72D297353CC}">
              <c16:uniqueId val="{00000000-A714-4CCE-86F7-DC0A0FC577E7}"/>
            </c:ext>
          </c:extLst>
        </c:ser>
        <c:dLbls>
          <c:showLegendKey val="0"/>
          <c:showVal val="0"/>
          <c:showCatName val="0"/>
          <c:showSerName val="0"/>
          <c:showPercent val="0"/>
          <c:showBubbleSize val="0"/>
        </c:dLbls>
        <c:gapWidth val="0"/>
        <c:axId val="746205072"/>
        <c:axId val="74620546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A714-4CCE-86F7-DC0A0FC577E7}"/>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24.597982500000001</c:v>
                </c:pt>
                <c:pt idx="1">
                  <c:v>23.673648473463292</c:v>
                </c:pt>
                <c:pt idx="2">
                  <c:v>24.483418266113667</c:v>
                </c:pt>
                <c:pt idx="3">
                  <c:v>24.902228046825027</c:v>
                </c:pt>
                <c:pt idx="4">
                  <c:v>25.211308763725572</c:v>
                </c:pt>
                <c:pt idx="5">
                  <c:v>25.444017710335935</c:v>
                </c:pt>
                <c:pt idx="6">
                  <c:v>25.668749468809999</c:v>
                </c:pt>
                <c:pt idx="7">
                  <c:v>25.868803834822899</c:v>
                </c:pt>
                <c:pt idx="8">
                  <c:v>26.087503718751634</c:v>
                </c:pt>
                <c:pt idx="9">
                  <c:v>26.328885627029894</c:v>
                </c:pt>
                <c:pt idx="10">
                  <c:v>26.587291997317639</c:v>
                </c:pt>
                <c:pt idx="11">
                  <c:v>26.810236481360835</c:v>
                </c:pt>
                <c:pt idx="12">
                  <c:v>26.995492095927041</c:v>
                </c:pt>
                <c:pt idx="13">
                  <c:v>27.176273305796439</c:v>
                </c:pt>
                <c:pt idx="14">
                  <c:v>27.347395381017762</c:v>
                </c:pt>
                <c:pt idx="15">
                  <c:v>27.509879422709329</c:v>
                </c:pt>
                <c:pt idx="16">
                  <c:v>27.694043033903636</c:v>
                </c:pt>
                <c:pt idx="17">
                  <c:v>27.879815304295541</c:v>
                </c:pt>
                <c:pt idx="18">
                  <c:v>28.069472721761649</c:v>
                </c:pt>
                <c:pt idx="19">
                  <c:v>28.246267013972339</c:v>
                </c:pt>
                <c:pt idx="20">
                  <c:v>28.44404717135582</c:v>
                </c:pt>
              </c:numCache>
            </c:numRef>
          </c:val>
          <c:smooth val="0"/>
          <c:extLst>
            <c:ext xmlns:c16="http://schemas.microsoft.com/office/drawing/2014/chart" uri="{C3380CC4-5D6E-409C-BE32-E72D297353CC}">
              <c16:uniqueId val="{00000003-A714-4CCE-86F7-DC0A0FC577E7}"/>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26.060887209115553</c:v>
                </c:pt>
                <c:pt idx="1">
                  <c:v>25.78270861378229</c:v>
                </c:pt>
                <c:pt idx="2">
                  <c:v>26.481712445381486</c:v>
                </c:pt>
                <c:pt idx="3">
                  <c:v>27.029337876897447</c:v>
                </c:pt>
                <c:pt idx="4">
                  <c:v>27.567518199340547</c:v>
                </c:pt>
                <c:pt idx="5">
                  <c:v>28.106417278460967</c:v>
                </c:pt>
                <c:pt idx="6">
                  <c:v>28.643611753997799</c:v>
                </c:pt>
                <c:pt idx="7">
                  <c:v>29.171035440906806</c:v>
                </c:pt>
                <c:pt idx="8">
                  <c:v>29.681904496441206</c:v>
                </c:pt>
                <c:pt idx="9">
                  <c:v>30.194931229414763</c:v>
                </c:pt>
                <c:pt idx="10">
                  <c:v>30.702710480795222</c:v>
                </c:pt>
                <c:pt idx="11">
                  <c:v>31.185532371547065</c:v>
                </c:pt>
                <c:pt idx="12">
                  <c:v>31.603172070047453</c:v>
                </c:pt>
                <c:pt idx="13">
                  <c:v>31.986335497937311</c:v>
                </c:pt>
                <c:pt idx="14">
                  <c:v>32.311469382182516</c:v>
                </c:pt>
                <c:pt idx="15">
                  <c:v>32.654360313205075</c:v>
                </c:pt>
                <c:pt idx="16">
                  <c:v>32.98859120054059</c:v>
                </c:pt>
                <c:pt idx="17">
                  <c:v>33.29022582508879</c:v>
                </c:pt>
                <c:pt idx="18">
                  <c:v>33.598127248304095</c:v>
                </c:pt>
                <c:pt idx="19">
                  <c:v>33.881288488068634</c:v>
                </c:pt>
                <c:pt idx="20">
                  <c:v>34.12923558024395</c:v>
                </c:pt>
              </c:numCache>
            </c:numRef>
          </c:val>
          <c:smooth val="0"/>
          <c:extLst>
            <c:ext xmlns:c16="http://schemas.microsoft.com/office/drawing/2014/chart" uri="{C3380CC4-5D6E-409C-BE32-E72D297353CC}">
              <c16:uniqueId val="{00000004-A714-4CCE-86F7-DC0A0FC577E7}"/>
            </c:ext>
          </c:extLst>
        </c:ser>
        <c:dLbls>
          <c:showLegendKey val="0"/>
          <c:showVal val="0"/>
          <c:showCatName val="0"/>
          <c:showSerName val="0"/>
          <c:showPercent val="0"/>
          <c:showBubbleSize val="0"/>
        </c:dLbls>
        <c:marker val="1"/>
        <c:smooth val="0"/>
        <c:axId val="746205072"/>
        <c:axId val="746205464"/>
      </c:lineChart>
      <c:catAx>
        <c:axId val="74620507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05464"/>
        <c:crosses val="autoZero"/>
        <c:auto val="1"/>
        <c:lblAlgn val="ctr"/>
        <c:lblOffset val="100"/>
        <c:noMultiLvlLbl val="0"/>
      </c:catAx>
      <c:valAx>
        <c:axId val="746205464"/>
        <c:scaling>
          <c:orientation val="minMax"/>
          <c:max val="38"/>
          <c:min val="14"/>
        </c:scaling>
        <c:delete val="0"/>
        <c:axPos val="l"/>
        <c:numFmt formatCode="General" sourceLinked="1"/>
        <c:majorTickMark val="out"/>
        <c:minorTickMark val="none"/>
        <c:tickLblPos val="nextTo"/>
        <c:crossAx val="746205072"/>
        <c:crosses val="autoZero"/>
        <c:crossBetween val="between"/>
        <c:majorUnit val="4"/>
      </c:valAx>
      <c:spPr>
        <a:solidFill>
          <a:srgbClr val="FFFFFF"/>
        </a:solidFill>
      </c:spPr>
    </c:plotArea>
    <c:legend>
      <c:legendPos val="l"/>
      <c:legendEntry>
        <c:idx val="0"/>
        <c:delete val="1"/>
      </c:legendEntry>
      <c:layout>
        <c:manualLayout>
          <c:xMode val="edge"/>
          <c:yMode val="edge"/>
          <c:x val="0.55649775460564033"/>
          <c:y val="0.47702433755110124"/>
          <c:w val="0.3596584009088416"/>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121E-449A-8395-DDC560644D7A}"/>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121E-449A-8395-DDC560644D7A}"/>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89.635331939558256</c:v>
                </c:pt>
                <c:pt idx="1">
                  <c:v>86.595911504126619</c:v>
                </c:pt>
              </c:numCache>
            </c:numRef>
          </c:val>
          <c:extLst>
            <c:ext xmlns:c16="http://schemas.microsoft.com/office/drawing/2014/chart" uri="{C3380CC4-5D6E-409C-BE32-E72D297353CC}">
              <c16:uniqueId val="{00000003-121E-449A-8395-DDC560644D7A}"/>
            </c:ext>
          </c:extLst>
        </c:ser>
        <c:dLbls>
          <c:showLegendKey val="0"/>
          <c:showVal val="1"/>
          <c:showCatName val="0"/>
          <c:showSerName val="0"/>
          <c:showPercent val="0"/>
          <c:showBubbleSize val="0"/>
        </c:dLbls>
        <c:gapWidth val="50"/>
        <c:overlap val="88"/>
        <c:axId val="746196840"/>
        <c:axId val="746197232"/>
      </c:barChart>
      <c:catAx>
        <c:axId val="746196840"/>
        <c:scaling>
          <c:orientation val="minMax"/>
        </c:scaling>
        <c:delete val="0"/>
        <c:axPos val="b"/>
        <c:numFmt formatCode="General" sourceLinked="1"/>
        <c:majorTickMark val="out"/>
        <c:minorTickMark val="none"/>
        <c:tickLblPos val="nextTo"/>
        <c:crossAx val="746197232"/>
        <c:crosses val="autoZero"/>
        <c:auto val="0"/>
        <c:lblAlgn val="ctr"/>
        <c:lblOffset val="100"/>
        <c:tickLblSkip val="1"/>
        <c:tickMarkSkip val="1"/>
        <c:noMultiLvlLbl val="0"/>
      </c:catAx>
      <c:valAx>
        <c:axId val="746197232"/>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684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2853560320724438"/>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Sheet1!$A$2:$A$9</c:f>
              <c:numCache>
                <c:formatCode>General</c:formatCode>
                <c:ptCount val="8"/>
              </c:numCache>
            </c:numRef>
          </c:cat>
          <c:val>
            <c:numRef>
              <c:f>Sheet1!$B$2:$B$9</c:f>
              <c:numCache>
                <c:formatCode>#,##0</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C959-45FF-BBD5-028CFFDE8326}"/>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C959-45FF-BBD5-028CFFDE8326}"/>
              </c:ext>
            </c:extLst>
          </c:dPt>
          <c:dLbls>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numCache>
            </c:numRef>
          </c:cat>
          <c:val>
            <c:numRef>
              <c:f>Sheet1!$C$2:$C$9</c:f>
              <c:numCache>
                <c:formatCode>#,##0</c:formatCode>
                <c:ptCount val="8"/>
                <c:pt idx="0">
                  <c:v>85.643425074281282</c:v>
                </c:pt>
                <c:pt idx="1">
                  <c:v>130.36015044853286</c:v>
                </c:pt>
                <c:pt idx="2">
                  <c:v>123.92145465005346</c:v>
                </c:pt>
                <c:pt idx="3">
                  <c:v>147.3791213436017</c:v>
                </c:pt>
                <c:pt idx="4">
                  <c:v>123.24282892703764</c:v>
                </c:pt>
                <c:pt idx="5">
                  <c:v>150.78410392269689</c:v>
                </c:pt>
                <c:pt idx="6">
                  <c:v>119.17869510253742</c:v>
                </c:pt>
                <c:pt idx="7">
                  <c:v>85.08170539085063</c:v>
                </c:pt>
              </c:numCache>
            </c:numRef>
          </c:val>
          <c:extLst>
            <c:ext xmlns:c16="http://schemas.microsoft.com/office/drawing/2014/chart" uri="{C3380CC4-5D6E-409C-BE32-E72D297353CC}">
              <c16:uniqueId val="{00000002-C959-45FF-BBD5-028CFFDE8326}"/>
            </c:ext>
          </c:extLst>
        </c:ser>
        <c:dLbls>
          <c:showLegendKey val="0"/>
          <c:showVal val="1"/>
          <c:showCatName val="0"/>
          <c:showSerName val="0"/>
          <c:showPercent val="0"/>
          <c:showBubbleSize val="0"/>
        </c:dLbls>
        <c:gapWidth val="40"/>
        <c:overlap val="70"/>
        <c:axId val="746198016"/>
        <c:axId val="746211344"/>
      </c:barChart>
      <c:catAx>
        <c:axId val="746198016"/>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746211344"/>
        <c:crosses val="autoZero"/>
        <c:auto val="0"/>
        <c:lblAlgn val="ctr"/>
        <c:lblOffset val="100"/>
        <c:tickLblSkip val="1"/>
        <c:tickMarkSkip val="1"/>
        <c:noMultiLvlLbl val="0"/>
      </c:catAx>
      <c:valAx>
        <c:axId val="746211344"/>
        <c:scaling>
          <c:orientation val="minMax"/>
          <c:max val="16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746198016"/>
        <c:crosses val="autoZero"/>
        <c:crossBetween val="between"/>
        <c:majorUnit val="20"/>
      </c:valAx>
      <c:spPr>
        <a:solidFill>
          <a:srgbClr val="FFFFFF"/>
        </a:solidFill>
        <a:ln>
          <a:noFill/>
        </a:ln>
        <a:effectLst/>
      </c:spPr>
    </c:plotArea>
    <c:legend>
      <c:legendPos val="l"/>
      <c:layout>
        <c:manualLayout>
          <c:xMode val="edge"/>
          <c:yMode val="edge"/>
          <c:x val="0.78747136543991991"/>
          <c:y val="1.7766891164479185E-3"/>
          <c:w val="0.1753675925925926"/>
          <c:h val="0.1709071208792226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0A81-4407-B672-1024C1081E8B}"/>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0A81-4407-B672-1024C1081E8B}"/>
              </c:ext>
            </c:extLst>
          </c:dPt>
          <c:dLbls>
            <c:dLbl>
              <c:idx val="1"/>
              <c:delete val="1"/>
              <c:extLst>
                <c:ext xmlns:c15="http://schemas.microsoft.com/office/drawing/2012/chart" uri="{CE6537A1-D6FC-4f65-9D91-7224C49458BB}"/>
                <c:ext xmlns:c16="http://schemas.microsoft.com/office/drawing/2014/chart" uri="{C3380CC4-5D6E-409C-BE32-E72D297353CC}">
                  <c16:uniqueId val="{00000003-0A81-4407-B672-1024C1081E8B}"/>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2.102043520130819</c:v>
                </c:pt>
                <c:pt idx="1">
                  <c:v>97.89795647986918</c:v>
                </c:pt>
              </c:numCache>
            </c:numRef>
          </c:val>
          <c:extLst>
            <c:ext xmlns:c16="http://schemas.microsoft.com/office/drawing/2014/chart" uri="{C3380CC4-5D6E-409C-BE32-E72D297353CC}">
              <c16:uniqueId val="{00000004-0A81-4407-B672-1024C1081E8B}"/>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12</c:v>
                </c:pt>
                <c:pt idx="20">
                  <c:v>12</c:v>
                </c:pt>
              </c:numCache>
            </c:numRef>
          </c:val>
          <c:extLst>
            <c:ext xmlns:c16="http://schemas.microsoft.com/office/drawing/2014/chart" uri="{C3380CC4-5D6E-409C-BE32-E72D297353CC}">
              <c16:uniqueId val="{00000000-7ABF-4733-9781-6F4B0EDA4269}"/>
            </c:ext>
          </c:extLst>
        </c:ser>
        <c:dLbls>
          <c:showLegendKey val="0"/>
          <c:showVal val="0"/>
          <c:showCatName val="0"/>
          <c:showSerName val="0"/>
          <c:showPercent val="0"/>
          <c:showBubbleSize val="0"/>
        </c:dLbls>
        <c:gapWidth val="0"/>
        <c:axId val="746211736"/>
        <c:axId val="74621448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7ABF-4733-9781-6F4B0EDA4269}"/>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7.3745175000000005</c:v>
                </c:pt>
                <c:pt idx="1">
                  <c:v>7.0074497484088401</c:v>
                </c:pt>
                <c:pt idx="2">
                  <c:v>7.0828362402679002</c:v>
                </c:pt>
                <c:pt idx="3">
                  <c:v>7.1232732628106739</c:v>
                </c:pt>
                <c:pt idx="4">
                  <c:v>7.1501284828605254</c:v>
                </c:pt>
                <c:pt idx="5">
                  <c:v>7.1737078245827295</c:v>
                </c:pt>
                <c:pt idx="6">
                  <c:v>7.1921758723557137</c:v>
                </c:pt>
                <c:pt idx="7">
                  <c:v>7.2014976306700316</c:v>
                </c:pt>
                <c:pt idx="8">
                  <c:v>7.2066689334220166</c:v>
                </c:pt>
                <c:pt idx="9">
                  <c:v>7.1943200977572399</c:v>
                </c:pt>
                <c:pt idx="10">
                  <c:v>7.1779955488936382</c:v>
                </c:pt>
                <c:pt idx="11">
                  <c:v>7.1550410531955322</c:v>
                </c:pt>
                <c:pt idx="12">
                  <c:v>7.1224096337359022</c:v>
                </c:pt>
                <c:pt idx="13">
                  <c:v>7.0898828657009094</c:v>
                </c:pt>
                <c:pt idx="14">
                  <c:v>7.0577428726048232</c:v>
                </c:pt>
                <c:pt idx="15">
                  <c:v>7.0270190854409176</c:v>
                </c:pt>
                <c:pt idx="16">
                  <c:v>7.0026206835896412</c:v>
                </c:pt>
                <c:pt idx="17">
                  <c:v>6.9790431379748625</c:v>
                </c:pt>
                <c:pt idx="18">
                  <c:v>6.957646813318636</c:v>
                </c:pt>
                <c:pt idx="19">
                  <c:v>6.9330805756563896</c:v>
                </c:pt>
                <c:pt idx="20">
                  <c:v>6.9138833111831524</c:v>
                </c:pt>
              </c:numCache>
            </c:numRef>
          </c:val>
          <c:smooth val="0"/>
          <c:extLst>
            <c:ext xmlns:c16="http://schemas.microsoft.com/office/drawing/2014/chart" uri="{C3380CC4-5D6E-409C-BE32-E72D297353CC}">
              <c16:uniqueId val="{00000003-7ABF-4733-9781-6F4B0EDA4269}"/>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7.9520858188923311</c:v>
                </c:pt>
                <c:pt idx="1">
                  <c:v>7.6083683813809033</c:v>
                </c:pt>
                <c:pt idx="2">
                  <c:v>7.5831019340394095</c:v>
                </c:pt>
                <c:pt idx="3">
                  <c:v>7.5573939837155617</c:v>
                </c:pt>
                <c:pt idx="4">
                  <c:v>7.5703161748647538</c:v>
                </c:pt>
                <c:pt idx="5">
                  <c:v>7.6094448827140289</c:v>
                </c:pt>
                <c:pt idx="6">
                  <c:v>7.6859334705398199</c:v>
                </c:pt>
                <c:pt idx="7">
                  <c:v>7.808533140741166</c:v>
                </c:pt>
                <c:pt idx="8">
                  <c:v>7.9728309396319545</c:v>
                </c:pt>
                <c:pt idx="9">
                  <c:v>8.1728575742328005</c:v>
                </c:pt>
                <c:pt idx="10">
                  <c:v>8.3812569881084666</c:v>
                </c:pt>
                <c:pt idx="11">
                  <c:v>8.5700271348681625</c:v>
                </c:pt>
                <c:pt idx="12">
                  <c:v>8.7320947743337882</c:v>
                </c:pt>
                <c:pt idx="13">
                  <c:v>8.8623657678458816</c:v>
                </c:pt>
                <c:pt idx="14">
                  <c:v>8.9693078825406456</c:v>
                </c:pt>
                <c:pt idx="15">
                  <c:v>9.0826699413255962</c:v>
                </c:pt>
                <c:pt idx="16">
                  <c:v>9.1798682497925519</c:v>
                </c:pt>
                <c:pt idx="17">
                  <c:v>9.2364930282277822</c:v>
                </c:pt>
                <c:pt idx="18">
                  <c:v>9.2804857084549752</c:v>
                </c:pt>
                <c:pt idx="19">
                  <c:v>9.3065717224183384</c:v>
                </c:pt>
                <c:pt idx="20">
                  <c:v>9.3260296901215085</c:v>
                </c:pt>
              </c:numCache>
            </c:numRef>
          </c:val>
          <c:smooth val="0"/>
          <c:extLst>
            <c:ext xmlns:c16="http://schemas.microsoft.com/office/drawing/2014/chart" uri="{C3380CC4-5D6E-409C-BE32-E72D297353CC}">
              <c16:uniqueId val="{00000004-7ABF-4733-9781-6F4B0EDA4269}"/>
            </c:ext>
          </c:extLst>
        </c:ser>
        <c:dLbls>
          <c:showLegendKey val="0"/>
          <c:showVal val="0"/>
          <c:showCatName val="0"/>
          <c:showSerName val="0"/>
          <c:showPercent val="0"/>
          <c:showBubbleSize val="0"/>
        </c:dLbls>
        <c:marker val="1"/>
        <c:smooth val="0"/>
        <c:axId val="746211736"/>
        <c:axId val="746214480"/>
      </c:lineChart>
      <c:catAx>
        <c:axId val="7462117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4480"/>
        <c:crosses val="autoZero"/>
        <c:auto val="1"/>
        <c:lblAlgn val="ctr"/>
        <c:lblOffset val="100"/>
        <c:noMultiLvlLbl val="0"/>
      </c:catAx>
      <c:valAx>
        <c:axId val="746214480"/>
        <c:scaling>
          <c:orientation val="minMax"/>
          <c:max val="11"/>
          <c:min val="6"/>
        </c:scaling>
        <c:delete val="0"/>
        <c:axPos val="l"/>
        <c:numFmt formatCode="General" sourceLinked="1"/>
        <c:majorTickMark val="out"/>
        <c:minorTickMark val="none"/>
        <c:tickLblPos val="nextTo"/>
        <c:crossAx val="746211736"/>
        <c:crosses val="autoZero"/>
        <c:crossBetween val="between"/>
        <c:majorUnit val="1"/>
      </c:valAx>
      <c:spPr>
        <a:solidFill>
          <a:srgbClr val="FFFFFF"/>
        </a:solidFill>
      </c:spPr>
    </c:plotArea>
    <c:legend>
      <c:legendPos val="l"/>
      <c:legendEntry>
        <c:idx val="0"/>
        <c:delete val="1"/>
      </c:legendEntry>
      <c:layout>
        <c:manualLayout>
          <c:xMode val="edge"/>
          <c:yMode val="edge"/>
          <c:x val="0.11325940091952551"/>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358D-4543-AFBC-743F9F2275D3}"/>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358D-4543-AFBC-743F9F2275D3}"/>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89.536149947502082</c:v>
                </c:pt>
                <c:pt idx="1">
                  <c:v>85.643425074281282</c:v>
                </c:pt>
              </c:numCache>
            </c:numRef>
          </c:val>
          <c:extLst>
            <c:ext xmlns:c16="http://schemas.microsoft.com/office/drawing/2014/chart" uri="{C3380CC4-5D6E-409C-BE32-E72D297353CC}">
              <c16:uniqueId val="{00000003-358D-4543-AFBC-743F9F2275D3}"/>
            </c:ext>
          </c:extLst>
        </c:ser>
        <c:dLbls>
          <c:showLegendKey val="0"/>
          <c:showVal val="1"/>
          <c:showCatName val="0"/>
          <c:showSerName val="0"/>
          <c:showPercent val="0"/>
          <c:showBubbleSize val="0"/>
        </c:dLbls>
        <c:gapWidth val="50"/>
        <c:overlap val="88"/>
        <c:axId val="746210560"/>
        <c:axId val="746212520"/>
      </c:barChart>
      <c:catAx>
        <c:axId val="746210560"/>
        <c:scaling>
          <c:orientation val="minMax"/>
        </c:scaling>
        <c:delete val="0"/>
        <c:axPos val="b"/>
        <c:numFmt formatCode="General" sourceLinked="1"/>
        <c:majorTickMark val="out"/>
        <c:minorTickMark val="none"/>
        <c:tickLblPos val="nextTo"/>
        <c:crossAx val="746212520"/>
        <c:crosses val="autoZero"/>
        <c:auto val="0"/>
        <c:lblAlgn val="ctr"/>
        <c:lblOffset val="100"/>
        <c:tickLblSkip val="1"/>
        <c:tickMarkSkip val="1"/>
        <c:noMultiLvlLbl val="0"/>
      </c:catAx>
      <c:valAx>
        <c:axId val="746212520"/>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1056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B29D-4E9F-B955-52D54728A179}"/>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B29D-4E9F-B955-52D54728A179}"/>
              </c:ext>
            </c:extLst>
          </c:dPt>
          <c:dLbls>
            <c:dLbl>
              <c:idx val="0"/>
              <c:layout>
                <c:manualLayout>
                  <c:x val="0.13176489793650076"/>
                  <c:y val="3.087781208645787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9D-4E9F-B955-52D54728A179}"/>
                </c:ext>
              </c:extLst>
            </c:dLbl>
            <c:dLbl>
              <c:idx val="1"/>
              <c:delete val="1"/>
              <c:extLst>
                <c:ext xmlns:c15="http://schemas.microsoft.com/office/drawing/2012/chart" uri="{CE6537A1-D6FC-4f65-9D91-7224C49458BB}"/>
                <c:ext xmlns:c16="http://schemas.microsoft.com/office/drawing/2014/chart" uri="{C3380CC4-5D6E-409C-BE32-E72D297353CC}">
                  <c16:uniqueId val="{00000003-B29D-4E9F-B955-52D54728A179}"/>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5.6602899509813405</c:v>
                </c:pt>
                <c:pt idx="1">
                  <c:v>94.339710049018663</c:v>
                </c:pt>
              </c:numCache>
            </c:numRef>
          </c:val>
          <c:extLst>
            <c:ext xmlns:c16="http://schemas.microsoft.com/office/drawing/2014/chart" uri="{C3380CC4-5D6E-409C-BE32-E72D297353CC}">
              <c16:uniqueId val="{00000004-B29D-4E9F-B955-52D54728A179}"/>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50</c:v>
                </c:pt>
                <c:pt idx="20">
                  <c:v>50</c:v>
                </c:pt>
              </c:numCache>
            </c:numRef>
          </c:val>
          <c:extLst>
            <c:ext xmlns:c16="http://schemas.microsoft.com/office/drawing/2014/chart" uri="{C3380CC4-5D6E-409C-BE32-E72D297353CC}">
              <c16:uniqueId val="{00000000-FBD9-488A-9A23-8F71C2A74A51}"/>
            </c:ext>
          </c:extLst>
        </c:ser>
        <c:dLbls>
          <c:showLegendKey val="0"/>
          <c:showVal val="0"/>
          <c:showCatName val="0"/>
          <c:showSerName val="0"/>
          <c:showPercent val="0"/>
          <c:showBubbleSize val="0"/>
        </c:dLbls>
        <c:gapWidth val="0"/>
        <c:axId val="746214872"/>
        <c:axId val="74621369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FBD9-488A-9A23-8F71C2A74A51}"/>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28.633345000000006</c:v>
                </c:pt>
                <c:pt idx="1">
                  <c:v>27.911196705507297</c:v>
                </c:pt>
                <c:pt idx="2">
                  <c:v>27.875525130812957</c:v>
                </c:pt>
                <c:pt idx="3">
                  <c:v>27.948336073040533</c:v>
                </c:pt>
                <c:pt idx="4">
                  <c:v>28.087128362278442</c:v>
                </c:pt>
                <c:pt idx="5">
                  <c:v>28.290950504438669</c:v>
                </c:pt>
                <c:pt idx="6">
                  <c:v>28.578640344171333</c:v>
                </c:pt>
                <c:pt idx="7">
                  <c:v>28.867740305509361</c:v>
                </c:pt>
                <c:pt idx="8">
                  <c:v>29.167621684098805</c:v>
                </c:pt>
                <c:pt idx="9">
                  <c:v>29.319738267588225</c:v>
                </c:pt>
                <c:pt idx="10">
                  <c:v>29.420563437570525</c:v>
                </c:pt>
                <c:pt idx="11">
                  <c:v>29.476892149009341</c:v>
                </c:pt>
                <c:pt idx="12">
                  <c:v>29.489338296064037</c:v>
                </c:pt>
                <c:pt idx="13">
                  <c:v>29.528158788467714</c:v>
                </c:pt>
                <c:pt idx="14">
                  <c:v>29.594744001685751</c:v>
                </c:pt>
                <c:pt idx="15">
                  <c:v>29.665751747663094</c:v>
                </c:pt>
                <c:pt idx="16">
                  <c:v>29.771552042914799</c:v>
                </c:pt>
                <c:pt idx="17">
                  <c:v>29.894057590889606</c:v>
                </c:pt>
                <c:pt idx="18">
                  <c:v>30.030648885498767</c:v>
                </c:pt>
                <c:pt idx="19">
                  <c:v>30.148430636390859</c:v>
                </c:pt>
                <c:pt idx="20">
                  <c:v>30.303324016768538</c:v>
                </c:pt>
              </c:numCache>
            </c:numRef>
          </c:val>
          <c:smooth val="0"/>
          <c:extLst>
            <c:ext xmlns:c16="http://schemas.microsoft.com/office/drawing/2014/chart" uri="{C3380CC4-5D6E-409C-BE32-E72D297353CC}">
              <c16:uniqueId val="{00000003-FBD9-488A-9A23-8F71C2A74A51}"/>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31.230219329154007</c:v>
                </c:pt>
                <c:pt idx="1">
                  <c:v>29.210061086593541</c:v>
                </c:pt>
                <c:pt idx="2">
                  <c:v>28.378577723582634</c:v>
                </c:pt>
                <c:pt idx="3">
                  <c:v>27.574196621756101</c:v>
                </c:pt>
                <c:pt idx="4">
                  <c:v>26.751910377176589</c:v>
                </c:pt>
                <c:pt idx="5">
                  <c:v>25.875827523344189</c:v>
                </c:pt>
                <c:pt idx="6">
                  <c:v>25.01896712024579</c:v>
                </c:pt>
                <c:pt idx="7">
                  <c:v>24.235728442725176</c:v>
                </c:pt>
                <c:pt idx="8">
                  <c:v>23.574520710509834</c:v>
                </c:pt>
                <c:pt idx="9">
                  <c:v>23.028806015404694</c:v>
                </c:pt>
                <c:pt idx="10">
                  <c:v>22.568678646306086</c:v>
                </c:pt>
                <c:pt idx="11">
                  <c:v>22.146378719197624</c:v>
                </c:pt>
                <c:pt idx="12">
                  <c:v>21.723956346336163</c:v>
                </c:pt>
                <c:pt idx="13">
                  <c:v>21.29329978017369</c:v>
                </c:pt>
                <c:pt idx="14">
                  <c:v>20.852059452961107</c:v>
                </c:pt>
                <c:pt idx="15">
                  <c:v>20.464871853999369</c:v>
                </c:pt>
                <c:pt idx="16">
                  <c:v>20.075526516849248</c:v>
                </c:pt>
                <c:pt idx="17">
                  <c:v>19.641740186107718</c:v>
                </c:pt>
                <c:pt idx="18">
                  <c:v>19.217962669961576</c:v>
                </c:pt>
                <c:pt idx="19">
                  <c:v>18.789242985745762</c:v>
                </c:pt>
                <c:pt idx="20">
                  <c:v>18.374964827527435</c:v>
                </c:pt>
              </c:numCache>
            </c:numRef>
          </c:val>
          <c:smooth val="0"/>
          <c:extLst>
            <c:ext xmlns:c16="http://schemas.microsoft.com/office/drawing/2014/chart" uri="{C3380CC4-5D6E-409C-BE32-E72D297353CC}">
              <c16:uniqueId val="{00000004-FBD9-488A-9A23-8F71C2A74A51}"/>
            </c:ext>
          </c:extLst>
        </c:ser>
        <c:dLbls>
          <c:showLegendKey val="0"/>
          <c:showVal val="0"/>
          <c:showCatName val="0"/>
          <c:showSerName val="0"/>
          <c:showPercent val="0"/>
          <c:showBubbleSize val="0"/>
        </c:dLbls>
        <c:marker val="1"/>
        <c:smooth val="0"/>
        <c:axId val="746214872"/>
        <c:axId val="746213696"/>
      </c:lineChart>
      <c:catAx>
        <c:axId val="74621487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3696"/>
        <c:crosses val="autoZero"/>
        <c:auto val="1"/>
        <c:lblAlgn val="ctr"/>
        <c:lblOffset val="100"/>
        <c:noMultiLvlLbl val="0"/>
      </c:catAx>
      <c:valAx>
        <c:axId val="746213696"/>
        <c:scaling>
          <c:orientation val="minMax"/>
          <c:max val="50"/>
          <c:min val="10"/>
        </c:scaling>
        <c:delete val="0"/>
        <c:axPos val="l"/>
        <c:numFmt formatCode="General" sourceLinked="1"/>
        <c:majorTickMark val="out"/>
        <c:minorTickMark val="none"/>
        <c:tickLblPos val="nextTo"/>
        <c:crossAx val="746214872"/>
        <c:crosses val="autoZero"/>
        <c:crossBetween val="between"/>
        <c:majorUnit val="10"/>
      </c:valAx>
      <c:spPr>
        <a:solidFill>
          <a:srgbClr val="FFFFFF"/>
        </a:solidFill>
      </c:spPr>
    </c:plotArea>
    <c:legend>
      <c:legendPos val="l"/>
      <c:legendEntry>
        <c:idx val="0"/>
        <c:delete val="1"/>
      </c:legendEntry>
      <c:layout>
        <c:manualLayout>
          <c:xMode val="edge"/>
          <c:yMode val="edge"/>
          <c:x val="0.10873656057578965"/>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DBD0-4054-A20C-EDCC8E0C7C3E}"/>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DBD0-4054-A20C-EDCC8E0C7C3E}"/>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124.1564035336602</c:v>
                </c:pt>
                <c:pt idx="1">
                  <c:v>130.36015044853286</c:v>
                </c:pt>
              </c:numCache>
            </c:numRef>
          </c:val>
          <c:extLst>
            <c:ext xmlns:c16="http://schemas.microsoft.com/office/drawing/2014/chart" uri="{C3380CC4-5D6E-409C-BE32-E72D297353CC}">
              <c16:uniqueId val="{00000003-DBD0-4054-A20C-EDCC8E0C7C3E}"/>
            </c:ext>
          </c:extLst>
        </c:ser>
        <c:dLbls>
          <c:showLegendKey val="0"/>
          <c:showVal val="1"/>
          <c:showCatName val="0"/>
          <c:showSerName val="0"/>
          <c:showPercent val="0"/>
          <c:showBubbleSize val="0"/>
        </c:dLbls>
        <c:gapWidth val="50"/>
        <c:overlap val="88"/>
        <c:axId val="746210952"/>
        <c:axId val="746215656"/>
      </c:barChart>
      <c:catAx>
        <c:axId val="746210952"/>
        <c:scaling>
          <c:orientation val="minMax"/>
        </c:scaling>
        <c:delete val="0"/>
        <c:axPos val="b"/>
        <c:numFmt formatCode="General" sourceLinked="1"/>
        <c:majorTickMark val="out"/>
        <c:minorTickMark val="none"/>
        <c:tickLblPos val="nextTo"/>
        <c:crossAx val="746215656"/>
        <c:crosses val="autoZero"/>
        <c:auto val="0"/>
        <c:lblAlgn val="ctr"/>
        <c:lblOffset val="100"/>
        <c:tickLblSkip val="1"/>
        <c:tickMarkSkip val="1"/>
        <c:noMultiLvlLbl val="0"/>
      </c:catAx>
      <c:valAx>
        <c:axId val="74621565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21095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145291651112511E-2"/>
          <c:y val="2.9830040724474274E-2"/>
          <c:w val="0.91017927059007375"/>
          <c:h val="0.87407059741655713"/>
        </c:manualLayout>
      </c:layout>
      <c:scatterChart>
        <c:scatterStyle val="smoothMarker"/>
        <c:varyColors val="0"/>
        <c:ser>
          <c:idx val="0"/>
          <c:order val="0"/>
          <c:tx>
            <c:strRef>
              <c:f>Sheet1!$C$1</c:f>
              <c:strCache>
                <c:ptCount val="1"/>
                <c:pt idx="0">
                  <c:v>Y-Values</c:v>
                </c:pt>
              </c:strCache>
            </c:strRef>
          </c:tx>
          <c:spPr>
            <a:ln w="28575">
              <a:solidFill>
                <a:srgbClr val="4F81BD">
                  <a:lumMod val="75000"/>
                </a:srgbClr>
              </a:solidFill>
            </a:ln>
          </c:spPr>
          <c:marker>
            <c:symbol val="diamond"/>
            <c:size val="5"/>
            <c:spPr>
              <a:solidFill>
                <a:sysClr val="window" lastClr="FFFFFF">
                  <a:lumMod val="85000"/>
                </a:sysClr>
              </a:solidFill>
              <a:ln w="0">
                <a:solidFill>
                  <a:sysClr val="window" lastClr="FFFFFF">
                    <a:lumMod val="50000"/>
                  </a:sysClr>
                </a:solidFill>
              </a:ln>
            </c:spPr>
          </c:marker>
          <c:dPt>
            <c:idx val="33"/>
            <c:marker>
              <c:spPr>
                <a:solidFill>
                  <a:srgbClr val="E7E6E6"/>
                </a:solidFill>
                <a:ln w="0">
                  <a:solidFill>
                    <a:sysClr val="window" lastClr="FFFFFF">
                      <a:lumMod val="50000"/>
                    </a:sysClr>
                  </a:solidFill>
                </a:ln>
              </c:spPr>
            </c:marker>
            <c:bubble3D val="0"/>
            <c:extLst>
              <c:ext xmlns:c16="http://schemas.microsoft.com/office/drawing/2014/chart" uri="{C3380CC4-5D6E-409C-BE32-E72D297353CC}">
                <c16:uniqueId val="{00000000-ED4D-46B8-AB47-B511DBA2A58B}"/>
              </c:ext>
            </c:extLst>
          </c:dPt>
          <c:dPt>
            <c:idx val="35"/>
            <c:bubble3D val="0"/>
            <c:extLst>
              <c:ext xmlns:c16="http://schemas.microsoft.com/office/drawing/2014/chart" uri="{C3380CC4-5D6E-409C-BE32-E72D297353CC}">
                <c16:uniqueId val="{00000001-ED4D-46B8-AB47-B511DBA2A58B}"/>
              </c:ext>
            </c:extLst>
          </c:dPt>
          <c:dPt>
            <c:idx val="37"/>
            <c:marker>
              <c:symbol val="none"/>
            </c:marker>
            <c:bubble3D val="0"/>
            <c:extLst>
              <c:ext xmlns:c16="http://schemas.microsoft.com/office/drawing/2014/chart" uri="{C3380CC4-5D6E-409C-BE32-E72D297353CC}">
                <c16:uniqueId val="{00000002-ED4D-46B8-AB47-B511DBA2A58B}"/>
              </c:ext>
            </c:extLst>
          </c:dPt>
          <c:dPt>
            <c:idx val="38"/>
            <c:marker>
              <c:symbol val="none"/>
            </c:marker>
            <c:bubble3D val="0"/>
            <c:extLst>
              <c:ext xmlns:c16="http://schemas.microsoft.com/office/drawing/2014/chart" uri="{C3380CC4-5D6E-409C-BE32-E72D297353CC}">
                <c16:uniqueId val="{00000003-ED4D-46B8-AB47-B511DBA2A58B}"/>
              </c:ext>
            </c:extLst>
          </c:dPt>
          <c:dPt>
            <c:idx val="39"/>
            <c:bubble3D val="0"/>
            <c:extLst>
              <c:ext xmlns:c16="http://schemas.microsoft.com/office/drawing/2014/chart" uri="{C3380CC4-5D6E-409C-BE32-E72D297353CC}">
                <c16:uniqueId val="{00000004-ED4D-46B8-AB47-B511DBA2A58B}"/>
              </c:ext>
            </c:extLst>
          </c:dPt>
          <c:dPt>
            <c:idx val="41"/>
            <c:bubble3D val="0"/>
            <c:extLst>
              <c:ext xmlns:c16="http://schemas.microsoft.com/office/drawing/2014/chart" uri="{C3380CC4-5D6E-409C-BE32-E72D297353CC}">
                <c16:uniqueId val="{00000005-ED4D-46B8-AB47-B511DBA2A58B}"/>
              </c:ext>
            </c:extLst>
          </c:dPt>
          <c:dPt>
            <c:idx val="43"/>
            <c:bubble3D val="0"/>
            <c:extLst>
              <c:ext xmlns:c16="http://schemas.microsoft.com/office/drawing/2014/chart" uri="{C3380CC4-5D6E-409C-BE32-E72D297353CC}">
                <c16:uniqueId val="{00000006-ED4D-46B8-AB47-B511DBA2A58B}"/>
              </c:ext>
            </c:extLst>
          </c:dPt>
          <c:dPt>
            <c:idx val="47"/>
            <c:marker>
              <c:symbol val="circle"/>
              <c:size val="7"/>
              <c:spPr>
                <a:solidFill>
                  <a:srgbClr val="FF0000"/>
                </a:solidFill>
                <a:ln w="0">
                  <a:solidFill>
                    <a:srgbClr val="FF0000"/>
                  </a:solidFill>
                </a:ln>
              </c:spPr>
            </c:marker>
            <c:bubble3D val="0"/>
            <c:extLst>
              <c:ext xmlns:c16="http://schemas.microsoft.com/office/drawing/2014/chart" uri="{C3380CC4-5D6E-409C-BE32-E72D297353CC}">
                <c16:uniqueId val="{00000007-ED4D-46B8-AB47-B511DBA2A58B}"/>
              </c:ext>
            </c:extLst>
          </c:dPt>
          <c:dLbls>
            <c:dLbl>
              <c:idx val="1"/>
              <c:tx>
                <c:rich>
                  <a:bodyPr/>
                  <a:lstStyle/>
                  <a:p>
                    <a:r>
                      <a:rPr lang="en-US" dirty="0"/>
                      <a:t>2010 II</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D4D-46B8-AB47-B511DBA2A58B}"/>
                </c:ext>
              </c:extLst>
            </c:dLbl>
            <c:dLbl>
              <c:idx val="9"/>
              <c:layout>
                <c:manualLayout>
                  <c:x val="-5.4479756456899744E-2"/>
                  <c:y val="-4.6991524874982121E-2"/>
                </c:manualLayout>
              </c:layout>
              <c:tx>
                <c:rich>
                  <a:bodyPr/>
                  <a:lstStyle/>
                  <a:p>
                    <a:r>
                      <a:rPr lang="en-US" dirty="0"/>
                      <a:t>2012 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D4D-46B8-AB47-B511DBA2A58B}"/>
                </c:ext>
              </c:extLst>
            </c:dLbl>
            <c:dLbl>
              <c:idx val="19"/>
              <c:layout>
                <c:manualLayout>
                  <c:x val="-9.0456806874717369E-2"/>
                  <c:y val="3.6188178528347409E-2"/>
                </c:manualLayout>
              </c:layout>
              <c:tx>
                <c:rich>
                  <a:bodyPr/>
                  <a:lstStyle/>
                  <a:p>
                    <a:r>
                      <a:rPr lang="en-US"/>
                      <a:t>2014 IV</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D4D-46B8-AB47-B511DBA2A58B}"/>
                </c:ext>
              </c:extLst>
            </c:dLbl>
            <c:dLbl>
              <c:idx val="29"/>
              <c:layout>
                <c:manualLayout>
                  <c:x val="-0.11198481465257824"/>
                  <c:y val="4.8993664694205144E-2"/>
                </c:manualLayout>
              </c:layout>
              <c:tx>
                <c:rich>
                  <a:bodyPr/>
                  <a:lstStyle/>
                  <a:p>
                    <a:r>
                      <a:rPr lang="en-US"/>
                      <a:t>2017 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D4D-46B8-AB47-B511DBA2A58B}"/>
                </c:ext>
              </c:extLst>
            </c:dLbl>
            <c:dLbl>
              <c:idx val="34"/>
              <c:layout>
                <c:manualLayout>
                  <c:x val="-0.10466055272502701"/>
                  <c:y val="-5.7729199610119332E-2"/>
                </c:manualLayout>
              </c:layout>
              <c:tx>
                <c:rich>
                  <a:bodyPr/>
                  <a:lstStyle/>
                  <a:p>
                    <a:r>
                      <a:rPr lang="en-US"/>
                      <a:t>2018 III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D4D-46B8-AB47-B511DBA2A58B}"/>
                </c:ext>
              </c:extLst>
            </c:dLbl>
            <c:dLbl>
              <c:idx val="39"/>
              <c:tx>
                <c:rich>
                  <a:bodyPr/>
                  <a:lstStyle/>
                  <a:p>
                    <a:r>
                      <a:rPr lang="en-US"/>
                      <a:t>2019 Iv</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D4D-46B8-AB47-B511DBA2A58B}"/>
                </c:ext>
              </c:extLst>
            </c:dLbl>
            <c:dLbl>
              <c:idx val="40"/>
              <c:tx>
                <c:rich>
                  <a:bodyPr/>
                  <a:lstStyle/>
                  <a:p>
                    <a:r>
                      <a:rPr lang="en-US"/>
                      <a:t>2020</a:t>
                    </a:r>
                    <a:r>
                      <a:rPr lang="en-US" baseline="0"/>
                      <a:t> I</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D4D-46B8-AB47-B511DBA2A58B}"/>
                </c:ext>
              </c:extLst>
            </c:dLbl>
            <c:dLbl>
              <c:idx val="43"/>
              <c:tx>
                <c:rich>
                  <a:bodyPr/>
                  <a:lstStyle/>
                  <a:p>
                    <a:r>
                      <a:rPr lang="en-US"/>
                      <a:t>2020 IV</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D4D-46B8-AB47-B511DBA2A58B}"/>
                </c:ext>
              </c:extLst>
            </c:dLbl>
            <c:dLbl>
              <c:idx val="47"/>
              <c:layout>
                <c:manualLayout>
                  <c:x val="5.8796924468566263E-2"/>
                  <c:y val="-1.367053998632946E-2"/>
                </c:manualLayout>
              </c:layout>
              <c:tx>
                <c:rich>
                  <a:bodyPr/>
                  <a:lstStyle/>
                  <a:p>
                    <a:pPr>
                      <a:defRPr/>
                    </a:pPr>
                    <a:r>
                      <a:rPr lang="en-US"/>
                      <a:t>2022 I</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D4D-46B8-AB47-B511DBA2A58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3175"/>
                  </c:spPr>
                </c15:leaderLines>
              </c:ext>
            </c:extLst>
          </c:dLbls>
          <c:xVal>
            <c:numRef>
              <c:f>Sheet1!$B$2:$B$66</c:f>
              <c:numCache>
                <c:formatCode>General</c:formatCode>
                <c:ptCount val="49"/>
                <c:pt idx="0">
                  <c:v>17.666666666666668</c:v>
                </c:pt>
                <c:pt idx="1">
                  <c:v>17.962444423422571</c:v>
                </c:pt>
                <c:pt idx="2">
                  <c:v>16.261705920990895</c:v>
                </c:pt>
                <c:pt idx="3">
                  <c:v>15.495089158005149</c:v>
                </c:pt>
                <c:pt idx="4">
                  <c:v>16.215116279069768</c:v>
                </c:pt>
                <c:pt idx="5">
                  <c:v>15.240104267233058</c:v>
                </c:pt>
                <c:pt idx="6">
                  <c:v>13.356428918000972</c:v>
                </c:pt>
                <c:pt idx="7">
                  <c:v>12.651773599534794</c:v>
                </c:pt>
                <c:pt idx="8">
                  <c:v>13.074457593688361</c:v>
                </c:pt>
                <c:pt idx="9">
                  <c:v>12.343798299845439</c:v>
                </c:pt>
                <c:pt idx="10">
                  <c:v>11.06502653159672</c:v>
                </c:pt>
                <c:pt idx="11">
                  <c:v>10.188006170458927</c:v>
                </c:pt>
                <c:pt idx="12">
                  <c:v>10.624493426905207</c:v>
                </c:pt>
                <c:pt idx="13">
                  <c:v>10.23811895984856</c:v>
                </c:pt>
                <c:pt idx="14">
                  <c:v>9.0539487778751582</c:v>
                </c:pt>
                <c:pt idx="15">
                  <c:v>8.831772937814133</c:v>
                </c:pt>
                <c:pt idx="16">
                  <c:v>9.673298010596822</c:v>
                </c:pt>
                <c:pt idx="17">
                  <c:v>9.2444489098764198</c:v>
                </c:pt>
                <c:pt idx="18">
                  <c:v>8.395215021199272</c:v>
                </c:pt>
                <c:pt idx="19">
                  <c:v>8.0568783068783087</c:v>
                </c:pt>
                <c:pt idx="20">
                  <c:v>8.7594962421287832</c:v>
                </c:pt>
                <c:pt idx="21">
                  <c:v>8.3224153521551294</c:v>
                </c:pt>
                <c:pt idx="22">
                  <c:v>8.0759835819401342</c:v>
                </c:pt>
                <c:pt idx="23">
                  <c:v>7.8200581104097795</c:v>
                </c:pt>
                <c:pt idx="24">
                  <c:v>8.628519527702089</c:v>
                </c:pt>
                <c:pt idx="25">
                  <c:v>8.288016112789526</c:v>
                </c:pt>
                <c:pt idx="26">
                  <c:v>7.8229229836264418</c:v>
                </c:pt>
                <c:pt idx="27">
                  <c:v>7.5471871178149197</c:v>
                </c:pt>
                <c:pt idx="28">
                  <c:v>8.1999999999999993</c:v>
                </c:pt>
                <c:pt idx="29">
                  <c:v>7.2</c:v>
                </c:pt>
                <c:pt idx="30">
                  <c:v>6.6</c:v>
                </c:pt>
                <c:pt idx="31">
                  <c:v>6.8</c:v>
                </c:pt>
                <c:pt idx="32">
                  <c:v>7</c:v>
                </c:pt>
                <c:pt idx="33">
                  <c:v>6.4</c:v>
                </c:pt>
                <c:pt idx="34">
                  <c:v>6.1</c:v>
                </c:pt>
                <c:pt idx="35">
                  <c:v>6.4</c:v>
                </c:pt>
                <c:pt idx="36">
                  <c:v>6.6</c:v>
                </c:pt>
                <c:pt idx="37">
                  <c:v>6</c:v>
                </c:pt>
                <c:pt idx="38">
                  <c:v>5.7</c:v>
                </c:pt>
                <c:pt idx="39">
                  <c:v>6.2</c:v>
                </c:pt>
                <c:pt idx="40">
                  <c:v>6.8</c:v>
                </c:pt>
                <c:pt idx="41">
                  <c:v>8.6</c:v>
                </c:pt>
                <c:pt idx="42">
                  <c:v>7.7</c:v>
                </c:pt>
                <c:pt idx="43">
                  <c:v>7.7</c:v>
                </c:pt>
                <c:pt idx="44">
                  <c:v>8.1999999999999993</c:v>
                </c:pt>
                <c:pt idx="45">
                  <c:v>7.4</c:v>
                </c:pt>
                <c:pt idx="46">
                  <c:v>6</c:v>
                </c:pt>
                <c:pt idx="47">
                  <c:v>6.7</c:v>
                </c:pt>
                <c:pt idx="48">
                  <c:v>6.8</c:v>
                </c:pt>
              </c:numCache>
            </c:numRef>
          </c:xVal>
          <c:yVal>
            <c:numRef>
              <c:f>Sheet1!$C$2:$C$66</c:f>
              <c:numCache>
                <c:formatCode>General</c:formatCode>
                <c:ptCount val="49"/>
                <c:pt idx="0">
                  <c:v>0.16083451872925558</c:v>
                </c:pt>
                <c:pt idx="1">
                  <c:v>0.25276700406773245</c:v>
                </c:pt>
                <c:pt idx="2">
                  <c:v>0.31856995402083138</c:v>
                </c:pt>
                <c:pt idx="3">
                  <c:v>0.21540955468675502</c:v>
                </c:pt>
                <c:pt idx="4">
                  <c:v>0.25187229010642492</c:v>
                </c:pt>
                <c:pt idx="5">
                  <c:v>0.354701679860977</c:v>
                </c:pt>
                <c:pt idx="6">
                  <c:v>0.36157205240174672</c:v>
                </c:pt>
                <c:pt idx="7">
                  <c:v>0.24345803450281062</c:v>
                </c:pt>
                <c:pt idx="8">
                  <c:v>0.29457593688362921</c:v>
                </c:pt>
                <c:pt idx="9">
                  <c:v>0.39547913446676969</c:v>
                </c:pt>
                <c:pt idx="10">
                  <c:v>0.4894356005788712</c:v>
                </c:pt>
                <c:pt idx="11">
                  <c:v>0.30273814114924796</c:v>
                </c:pt>
                <c:pt idx="12">
                  <c:v>0.43599881387763173</c:v>
                </c:pt>
                <c:pt idx="13">
                  <c:v>0.59161103915512603</c:v>
                </c:pt>
                <c:pt idx="14">
                  <c:v>0.57727139935728888</c:v>
                </c:pt>
                <c:pt idx="15">
                  <c:v>0.42810682960480928</c:v>
                </c:pt>
                <c:pt idx="16">
                  <c:v>0.51194641607517744</c:v>
                </c:pt>
                <c:pt idx="17">
                  <c:v>0.61087109414246965</c:v>
                </c:pt>
                <c:pt idx="18">
                  <c:v>0.66262870987280431</c:v>
                </c:pt>
                <c:pt idx="19">
                  <c:v>0.42205942205942204</c:v>
                </c:pt>
                <c:pt idx="20">
                  <c:v>0.49482023156611821</c:v>
                </c:pt>
                <c:pt idx="21">
                  <c:v>0.62021501054958306</c:v>
                </c:pt>
                <c:pt idx="22">
                  <c:v>0.65892481729902896</c:v>
                </c:pt>
                <c:pt idx="23">
                  <c:v>0.51157198677487226</c:v>
                </c:pt>
                <c:pt idx="24">
                  <c:v>0.58724391966898781</c:v>
                </c:pt>
                <c:pt idx="25">
                  <c:v>0.65146022155085603</c:v>
                </c:pt>
                <c:pt idx="26">
                  <c:v>0.56448352536891044</c:v>
                </c:pt>
                <c:pt idx="27">
                  <c:v>0.452914798206278</c:v>
                </c:pt>
                <c:pt idx="28" formatCode="0.00">
                  <c:v>0.73125898541795031</c:v>
                </c:pt>
                <c:pt idx="29" formatCode="0.00">
                  <c:v>0.8169273229070837</c:v>
                </c:pt>
                <c:pt idx="30" formatCode="0.00">
                  <c:v>1.1328267477203648</c:v>
                </c:pt>
                <c:pt idx="31" formatCode="0.00">
                  <c:v>1.2869946023016601</c:v>
                </c:pt>
                <c:pt idx="32" formatCode="0.00">
                  <c:v>1.6555214723926381</c:v>
                </c:pt>
                <c:pt idx="33" formatCode="0.00">
                  <c:v>2.0326903553299491</c:v>
                </c:pt>
                <c:pt idx="34" formatCode="0.00">
                  <c:v>2.4454894822006472</c:v>
                </c:pt>
                <c:pt idx="35" formatCode="0.00">
                  <c:v>1.8352953219367387</c:v>
                </c:pt>
                <c:pt idx="36" formatCode="0.00">
                  <c:v>2.9129404492066762</c:v>
                </c:pt>
                <c:pt idx="37" formatCode="0.00">
                  <c:v>3.2232447523523939</c:v>
                </c:pt>
                <c:pt idx="38" formatCode="0.00">
                  <c:v>3.1983208764205999</c:v>
                </c:pt>
                <c:pt idx="39" formatCode="0.00">
                  <c:v>3.3442842430484037</c:v>
                </c:pt>
                <c:pt idx="40" formatCode="0.00">
                  <c:v>2.7641934822709571</c:v>
                </c:pt>
                <c:pt idx="41" formatCode="0.00">
                  <c:v>1.8491184911849119</c:v>
                </c:pt>
                <c:pt idx="42" formatCode="0.00">
                  <c:v>1.8063026072675015</c:v>
                </c:pt>
                <c:pt idx="43" formatCode="0.00">
                  <c:v>1.5055665383414838</c:v>
                </c:pt>
                <c:pt idx="44" formatCode="0.00">
                  <c:v>1.9615260265114776</c:v>
                </c:pt>
                <c:pt idx="45" formatCode="0.00">
                  <c:v>2.1569508165164106</c:v>
                </c:pt>
                <c:pt idx="46" formatCode="0.00">
                  <c:v>2.4996824724809485</c:v>
                </c:pt>
                <c:pt idx="47" formatCode="0.00">
                  <c:v>2.2676480068765446</c:v>
                </c:pt>
                <c:pt idx="48" formatCode="0.00">
                  <c:v>2.936925506957015</c:v>
                </c:pt>
              </c:numCache>
            </c:numRef>
          </c:yVal>
          <c:smooth val="1"/>
          <c:extLst>
            <c:ext xmlns:c16="http://schemas.microsoft.com/office/drawing/2014/chart" uri="{C3380CC4-5D6E-409C-BE32-E72D297353CC}">
              <c16:uniqueId val="{0000000E-ED4D-46B8-AB47-B511DBA2A58B}"/>
            </c:ext>
          </c:extLst>
        </c:ser>
        <c:dLbls>
          <c:showLegendKey val="0"/>
          <c:showVal val="1"/>
          <c:showCatName val="0"/>
          <c:showSerName val="0"/>
          <c:showPercent val="0"/>
          <c:showBubbleSize val="0"/>
        </c:dLbls>
        <c:axId val="468466264"/>
        <c:axId val="468470184"/>
      </c:scatterChart>
      <c:valAx>
        <c:axId val="468466264"/>
        <c:scaling>
          <c:orientation val="minMax"/>
          <c:max val="20"/>
          <c:min val="4"/>
        </c:scaling>
        <c:delete val="0"/>
        <c:axPos val="b"/>
        <c:numFmt formatCode="General" sourceLinked="1"/>
        <c:majorTickMark val="out"/>
        <c:minorTickMark val="none"/>
        <c:tickLblPos val="nextTo"/>
        <c:spPr>
          <a:ln w="9525">
            <a:solidFill>
              <a:sysClr val="window" lastClr="FFFFFF">
                <a:lumMod val="65000"/>
              </a:sysClr>
            </a:solidFill>
          </a:ln>
        </c:spPr>
        <c:crossAx val="468470184"/>
        <c:crosses val="autoZero"/>
        <c:crossBetween val="midCat"/>
        <c:majorUnit val="2"/>
      </c:valAx>
      <c:valAx>
        <c:axId val="468470184"/>
        <c:scaling>
          <c:orientation val="minMax"/>
          <c:max val="3.6"/>
          <c:min val="0"/>
        </c:scaling>
        <c:delete val="0"/>
        <c:axPos val="l"/>
        <c:numFmt formatCode="0.0" sourceLinked="0"/>
        <c:majorTickMark val="out"/>
        <c:minorTickMark val="none"/>
        <c:tickLblPos val="nextTo"/>
        <c:spPr>
          <a:ln w="3175">
            <a:noFill/>
          </a:ln>
        </c:spPr>
        <c:crossAx val="468466264"/>
        <c:crosses val="autoZero"/>
        <c:crossBetween val="midCat"/>
        <c:majorUnit val="0.9"/>
      </c:valAx>
      <c:spPr>
        <a:noFill/>
        <a:ln w="25400">
          <a:noFill/>
        </a:ln>
      </c:spPr>
    </c:plotArea>
    <c:plotVisOnly val="1"/>
    <c:dispBlanksAs val="gap"/>
    <c:showDLblsOverMax val="0"/>
  </c:chart>
  <c:spPr>
    <a:noFill/>
    <a:ln w="9525" cap="flat" cmpd="sng" algn="ctr">
      <a:noFill/>
      <a:prstDash val="solid"/>
    </a:ln>
    <a:effectLst>
      <a:outerShdw sx="1000" sy="1000" rotWithShape="0">
        <a:srgbClr val="000000"/>
      </a:outerShdw>
    </a:effectLst>
  </c:spPr>
  <c:txPr>
    <a:bodyPr/>
    <a:lstStyle/>
    <a:p>
      <a:pPr>
        <a:defRPr sz="800" b="0">
          <a:solidFill>
            <a:schemeClr val="dk1"/>
          </a:solidFill>
          <a:latin typeface="Segoe UI Light" panose="020B0502040204020203" pitchFamily="34" charset="0"/>
          <a:ea typeface="+mn-ea"/>
          <a:cs typeface="Segoe UI Light" panose="020B0502040204020203" pitchFamily="34" charset="0"/>
        </a:defRPr>
      </a:pPr>
      <a:endParaRPr lang="lv-LV"/>
    </a:p>
  </c:txPr>
  <c:externalData r:id="rId2">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2D9C-4AE9-BDFB-56DEE00AF8AA}"/>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2D9C-4AE9-BDFB-56DEE00AF8AA}"/>
              </c:ext>
            </c:extLst>
          </c:dPt>
          <c:dLbls>
            <c:dLbl>
              <c:idx val="1"/>
              <c:delete val="1"/>
              <c:extLst>
                <c:ext xmlns:c15="http://schemas.microsoft.com/office/drawing/2012/chart" uri="{CE6537A1-D6FC-4f65-9D91-7224C49458BB}"/>
                <c:ext xmlns:c16="http://schemas.microsoft.com/office/drawing/2014/chart" uri="{C3380CC4-5D6E-409C-BE32-E72D297353CC}">
                  <c16:uniqueId val="{00000003-2D9C-4AE9-BDFB-56DEE00AF8AA}"/>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1.4325650799631766</c:v>
                </c:pt>
                <c:pt idx="1">
                  <c:v>98.567434920036817</c:v>
                </c:pt>
              </c:numCache>
            </c:numRef>
          </c:val>
          <c:extLst>
            <c:ext xmlns:c16="http://schemas.microsoft.com/office/drawing/2014/chart" uri="{C3380CC4-5D6E-409C-BE32-E72D297353CC}">
              <c16:uniqueId val="{00000004-2D9C-4AE9-BDFB-56DEE00AF8AA}"/>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12</c:v>
                </c:pt>
                <c:pt idx="20">
                  <c:v>12</c:v>
                </c:pt>
              </c:numCache>
            </c:numRef>
          </c:val>
          <c:extLst>
            <c:ext xmlns:c16="http://schemas.microsoft.com/office/drawing/2014/chart" uri="{C3380CC4-5D6E-409C-BE32-E72D297353CC}">
              <c16:uniqueId val="{00000000-0C10-4640-8647-1301563FF798}"/>
            </c:ext>
          </c:extLst>
        </c:ser>
        <c:dLbls>
          <c:showLegendKey val="0"/>
          <c:showVal val="0"/>
          <c:showCatName val="0"/>
          <c:showSerName val="0"/>
          <c:showPercent val="0"/>
          <c:showBubbleSize val="0"/>
        </c:dLbls>
        <c:gapWidth val="0"/>
        <c:axId val="746209384"/>
        <c:axId val="74621016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0C10-4640-8647-1301563FF798}"/>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5.8513375000000014</c:v>
                </c:pt>
                <c:pt idx="1">
                  <c:v>5.7027586005022766</c:v>
                </c:pt>
                <c:pt idx="2">
                  <c:v>6.1497552652973804</c:v>
                </c:pt>
                <c:pt idx="3">
                  <c:v>6.2894374323464799</c:v>
                </c:pt>
                <c:pt idx="4">
                  <c:v>6.4082943682925615</c:v>
                </c:pt>
                <c:pt idx="5">
                  <c:v>6.5111619777771219</c:v>
                </c:pt>
                <c:pt idx="6">
                  <c:v>6.6194970682041054</c:v>
                </c:pt>
                <c:pt idx="7">
                  <c:v>6.7268731271934046</c:v>
                </c:pt>
                <c:pt idx="8">
                  <c:v>6.8389733209569972</c:v>
                </c:pt>
                <c:pt idx="9">
                  <c:v>6.9556733681120662</c:v>
                </c:pt>
                <c:pt idx="10">
                  <c:v>7.07828943805288</c:v>
                </c:pt>
                <c:pt idx="11">
                  <c:v>7.1975195794279143</c:v>
                </c:pt>
                <c:pt idx="12">
                  <c:v>7.3095328683671967</c:v>
                </c:pt>
                <c:pt idx="13">
                  <c:v>7.4241095870880471</c:v>
                </c:pt>
                <c:pt idx="14">
                  <c:v>7.5400611822985484</c:v>
                </c:pt>
                <c:pt idx="15">
                  <c:v>7.6586998575257219</c:v>
                </c:pt>
                <c:pt idx="16">
                  <c:v>7.7870189657710762</c:v>
                </c:pt>
                <c:pt idx="17">
                  <c:v>7.9193571127729978</c:v>
                </c:pt>
                <c:pt idx="18">
                  <c:v>8.05717767804048</c:v>
                </c:pt>
                <c:pt idx="19">
                  <c:v>8.1959048448481582</c:v>
                </c:pt>
                <c:pt idx="20">
                  <c:v>8.3439492642353468</c:v>
                </c:pt>
              </c:numCache>
            </c:numRef>
          </c:val>
          <c:smooth val="0"/>
          <c:extLst>
            <c:ext xmlns:c16="http://schemas.microsoft.com/office/drawing/2014/chart" uri="{C3380CC4-5D6E-409C-BE32-E72D297353CC}">
              <c16:uniqueId val="{00000003-0C10-4640-8647-1301563FF798}"/>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5.988756514537056</c:v>
                </c:pt>
                <c:pt idx="1">
                  <c:v>5.6197478202774303</c:v>
                </c:pt>
                <c:pt idx="2">
                  <c:v>5.550827002513528</c:v>
                </c:pt>
                <c:pt idx="3">
                  <c:v>5.4832219973339296</c:v>
                </c:pt>
                <c:pt idx="4">
                  <c:v>5.4269385528212002</c:v>
                </c:pt>
                <c:pt idx="5">
                  <c:v>5.3918592569261845</c:v>
                </c:pt>
                <c:pt idx="6">
                  <c:v>5.3801791109231729</c:v>
                </c:pt>
                <c:pt idx="7">
                  <c:v>5.4071293030947372</c:v>
                </c:pt>
                <c:pt idx="8">
                  <c:v>5.4707299922591206</c:v>
                </c:pt>
                <c:pt idx="9">
                  <c:v>5.5775477974799621</c:v>
                </c:pt>
                <c:pt idx="10">
                  <c:v>5.7119160342666513</c:v>
                </c:pt>
                <c:pt idx="11">
                  <c:v>5.8550760303416967</c:v>
                </c:pt>
                <c:pt idx="12">
                  <c:v>5.9998060707856471</c:v>
                </c:pt>
                <c:pt idx="13">
                  <c:v>6.1423063304004488</c:v>
                </c:pt>
                <c:pt idx="14">
                  <c:v>6.2845799031844489</c:v>
                </c:pt>
                <c:pt idx="15">
                  <c:v>6.4444909211923109</c:v>
                </c:pt>
                <c:pt idx="16">
                  <c:v>6.6031035621118921</c:v>
                </c:pt>
                <c:pt idx="17">
                  <c:v>6.7411406686743645</c:v>
                </c:pt>
                <c:pt idx="18">
                  <c:v>6.8702574006156576</c:v>
                </c:pt>
                <c:pt idx="19">
                  <c:v>6.9862986918261161</c:v>
                </c:pt>
                <c:pt idx="20">
                  <c:v>7.1007551422118089</c:v>
                </c:pt>
              </c:numCache>
            </c:numRef>
          </c:val>
          <c:smooth val="0"/>
          <c:extLst>
            <c:ext xmlns:c16="http://schemas.microsoft.com/office/drawing/2014/chart" uri="{C3380CC4-5D6E-409C-BE32-E72D297353CC}">
              <c16:uniqueId val="{00000004-0C10-4640-8647-1301563FF798}"/>
            </c:ext>
          </c:extLst>
        </c:ser>
        <c:dLbls>
          <c:showLegendKey val="0"/>
          <c:showVal val="0"/>
          <c:showCatName val="0"/>
          <c:showSerName val="0"/>
          <c:showPercent val="0"/>
          <c:showBubbleSize val="0"/>
        </c:dLbls>
        <c:marker val="1"/>
        <c:smooth val="0"/>
        <c:axId val="746209384"/>
        <c:axId val="746210168"/>
      </c:lineChart>
      <c:catAx>
        <c:axId val="74620938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210168"/>
        <c:crosses val="autoZero"/>
        <c:auto val="1"/>
        <c:lblAlgn val="ctr"/>
        <c:lblOffset val="100"/>
        <c:noMultiLvlLbl val="0"/>
      </c:catAx>
      <c:valAx>
        <c:axId val="746210168"/>
        <c:scaling>
          <c:orientation val="minMax"/>
          <c:max val="11"/>
          <c:min val="3"/>
        </c:scaling>
        <c:delete val="0"/>
        <c:axPos val="l"/>
        <c:numFmt formatCode="General" sourceLinked="1"/>
        <c:majorTickMark val="out"/>
        <c:minorTickMark val="none"/>
        <c:tickLblPos val="nextTo"/>
        <c:crossAx val="746209384"/>
        <c:crosses val="autoZero"/>
        <c:crossBetween val="between"/>
        <c:majorUnit val="2"/>
      </c:valAx>
      <c:spPr>
        <a:solidFill>
          <a:srgbClr val="FFFFFF"/>
        </a:solidFill>
      </c:spPr>
    </c:plotArea>
    <c:legend>
      <c:legendPos val="l"/>
      <c:legendEntry>
        <c:idx val="0"/>
        <c:delete val="1"/>
      </c:legendEntry>
      <c:layout>
        <c:manualLayout>
          <c:xMode val="edge"/>
          <c:yMode val="edge"/>
          <c:x val="0.12230508160699724"/>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ED8A-4FEF-8FB7-220AA90C1405}"/>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ED8A-4FEF-8FB7-220AA90C1405}"/>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124.89506113743944</c:v>
                </c:pt>
                <c:pt idx="1">
                  <c:v>123.92145465005346</c:v>
                </c:pt>
              </c:numCache>
            </c:numRef>
          </c:val>
          <c:extLst>
            <c:ext xmlns:c16="http://schemas.microsoft.com/office/drawing/2014/chart" uri="{C3380CC4-5D6E-409C-BE32-E72D297353CC}">
              <c16:uniqueId val="{00000003-ED8A-4FEF-8FB7-220AA90C1405}"/>
            </c:ext>
          </c:extLst>
        </c:ser>
        <c:dLbls>
          <c:showLegendKey val="0"/>
          <c:showVal val="1"/>
          <c:showCatName val="0"/>
          <c:showSerName val="0"/>
          <c:showPercent val="0"/>
          <c:showBubbleSize val="0"/>
        </c:dLbls>
        <c:gapWidth val="50"/>
        <c:overlap val="88"/>
        <c:axId val="746188608"/>
        <c:axId val="746184296"/>
      </c:barChart>
      <c:catAx>
        <c:axId val="746188608"/>
        <c:scaling>
          <c:orientation val="minMax"/>
        </c:scaling>
        <c:delete val="0"/>
        <c:axPos val="b"/>
        <c:numFmt formatCode="General" sourceLinked="1"/>
        <c:majorTickMark val="out"/>
        <c:minorTickMark val="none"/>
        <c:tickLblPos val="nextTo"/>
        <c:crossAx val="746184296"/>
        <c:crosses val="autoZero"/>
        <c:auto val="0"/>
        <c:lblAlgn val="ctr"/>
        <c:lblOffset val="100"/>
        <c:tickLblSkip val="1"/>
        <c:tickMarkSkip val="1"/>
        <c:noMultiLvlLbl val="0"/>
      </c:catAx>
      <c:valAx>
        <c:axId val="746184296"/>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88608"/>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2915-43FA-B84B-6F7602B9B22C}"/>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2915-43FA-B84B-6F7602B9B22C}"/>
              </c:ext>
            </c:extLst>
          </c:dPt>
          <c:dLbls>
            <c:dLbl>
              <c:idx val="1"/>
              <c:delete val="1"/>
              <c:extLst>
                <c:ext xmlns:c15="http://schemas.microsoft.com/office/drawing/2012/chart" uri="{CE6537A1-D6FC-4f65-9D91-7224C49458BB}"/>
                <c:ext xmlns:c16="http://schemas.microsoft.com/office/drawing/2014/chart" uri="{C3380CC4-5D6E-409C-BE32-E72D297353CC}">
                  <c16:uniqueId val="{00000003-2915-43FA-B84B-6F7602B9B22C}"/>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22.914714528077621</c:v>
                </c:pt>
                <c:pt idx="1">
                  <c:v>77.085285471922376</c:v>
                </c:pt>
              </c:numCache>
            </c:numRef>
          </c:val>
          <c:extLst>
            <c:ext xmlns:c16="http://schemas.microsoft.com/office/drawing/2014/chart" uri="{C3380CC4-5D6E-409C-BE32-E72D297353CC}">
              <c16:uniqueId val="{00000004-2915-43FA-B84B-6F7602B9B22C}"/>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300</c:v>
                </c:pt>
                <c:pt idx="20">
                  <c:v>300</c:v>
                </c:pt>
              </c:numCache>
            </c:numRef>
          </c:val>
          <c:extLst>
            <c:ext xmlns:c16="http://schemas.microsoft.com/office/drawing/2014/chart" uri="{C3380CC4-5D6E-409C-BE32-E72D297353CC}">
              <c16:uniqueId val="{00000000-35A9-4379-B48B-BC6FA8381AED}"/>
            </c:ext>
          </c:extLst>
        </c:ser>
        <c:dLbls>
          <c:showLegendKey val="0"/>
          <c:showVal val="0"/>
          <c:showCatName val="0"/>
          <c:showSerName val="0"/>
          <c:showPercent val="0"/>
          <c:showBubbleSize val="0"/>
        </c:dLbls>
        <c:gapWidth val="0"/>
        <c:axId val="746191352"/>
        <c:axId val="74618664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35A9-4379-B48B-BC6FA8381AED}"/>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125.05640250000002</c:v>
                </c:pt>
                <c:pt idx="1">
                  <c:v>121.02475005679456</c:v>
                </c:pt>
                <c:pt idx="2">
                  <c:v>120.8439881690185</c:v>
                </c:pt>
                <c:pt idx="3">
                  <c:v>122.33081662675033</c:v>
                </c:pt>
                <c:pt idx="4">
                  <c:v>124.16789632476615</c:v>
                </c:pt>
                <c:pt idx="5">
                  <c:v>126.03482472136383</c:v>
                </c:pt>
                <c:pt idx="6">
                  <c:v>128.33896700834578</c:v>
                </c:pt>
                <c:pt idx="7">
                  <c:v>130.28761486855376</c:v>
                </c:pt>
                <c:pt idx="8">
                  <c:v>132.20219487236318</c:v>
                </c:pt>
                <c:pt idx="9">
                  <c:v>133.59464025404228</c:v>
                </c:pt>
                <c:pt idx="10">
                  <c:v>134.65356876856805</c:v>
                </c:pt>
                <c:pt idx="11">
                  <c:v>135.3803323242492</c:v>
                </c:pt>
                <c:pt idx="12">
                  <c:v>135.84054826354136</c:v>
                </c:pt>
                <c:pt idx="13">
                  <c:v>136.3184319004539</c:v>
                </c:pt>
                <c:pt idx="14">
                  <c:v>136.78822453858828</c:v>
                </c:pt>
                <c:pt idx="15">
                  <c:v>137.185796874467</c:v>
                </c:pt>
                <c:pt idx="16">
                  <c:v>137.66701321215646</c:v>
                </c:pt>
                <c:pt idx="17">
                  <c:v>138.14338525361569</c:v>
                </c:pt>
                <c:pt idx="18">
                  <c:v>138.60115889424836</c:v>
                </c:pt>
                <c:pt idx="19">
                  <c:v>138.93293745987302</c:v>
                </c:pt>
                <c:pt idx="20">
                  <c:v>139.35551459394074</c:v>
                </c:pt>
              </c:numCache>
            </c:numRef>
          </c:val>
          <c:smooth val="0"/>
          <c:extLst>
            <c:ext xmlns:c16="http://schemas.microsoft.com/office/drawing/2014/chart" uri="{C3380CC4-5D6E-409C-BE32-E72D297353CC}">
              <c16:uniqueId val="{00000003-35A9-4379-B48B-BC6FA8381AED}"/>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136.41170148327836</c:v>
                </c:pt>
                <c:pt idx="1">
                  <c:v>125.79218689381403</c:v>
                </c:pt>
                <c:pt idx="2">
                  <c:v>121.16797172844907</c:v>
                </c:pt>
                <c:pt idx="3">
                  <c:v>116.67614622915009</c:v>
                </c:pt>
                <c:pt idx="4">
                  <c:v>112.42019507128646</c:v>
                </c:pt>
                <c:pt idx="5">
                  <c:v>108.11386319673214</c:v>
                </c:pt>
                <c:pt idx="6">
                  <c:v>104.07488014434068</c:v>
                </c:pt>
                <c:pt idx="7">
                  <c:v>100.4288238694914</c:v>
                </c:pt>
                <c:pt idx="8">
                  <c:v>96.939774633011638</c:v>
                </c:pt>
                <c:pt idx="9">
                  <c:v>93.9545392137628</c:v>
                </c:pt>
                <c:pt idx="10">
                  <c:v>91.365430558264009</c:v>
                </c:pt>
                <c:pt idx="11">
                  <c:v>88.898974234908081</c:v>
                </c:pt>
                <c:pt idx="12">
                  <c:v>86.393237622382884</c:v>
                </c:pt>
                <c:pt idx="13">
                  <c:v>83.845654779448026</c:v>
                </c:pt>
                <c:pt idx="14">
                  <c:v>81.31834152617246</c:v>
                </c:pt>
                <c:pt idx="15">
                  <c:v>79.128534170158758</c:v>
                </c:pt>
                <c:pt idx="16">
                  <c:v>77.032815868880377</c:v>
                </c:pt>
                <c:pt idx="17">
                  <c:v>74.8561594254505</c:v>
                </c:pt>
                <c:pt idx="18">
                  <c:v>72.830028682661919</c:v>
                </c:pt>
                <c:pt idx="19">
                  <c:v>70.902755680746665</c:v>
                </c:pt>
                <c:pt idx="20">
                  <c:v>69.196590209648463</c:v>
                </c:pt>
              </c:numCache>
            </c:numRef>
          </c:val>
          <c:smooth val="0"/>
          <c:extLst>
            <c:ext xmlns:c16="http://schemas.microsoft.com/office/drawing/2014/chart" uri="{C3380CC4-5D6E-409C-BE32-E72D297353CC}">
              <c16:uniqueId val="{00000004-35A9-4379-B48B-BC6FA8381AED}"/>
            </c:ext>
          </c:extLst>
        </c:ser>
        <c:dLbls>
          <c:showLegendKey val="0"/>
          <c:showVal val="0"/>
          <c:showCatName val="0"/>
          <c:showSerName val="0"/>
          <c:showPercent val="0"/>
          <c:showBubbleSize val="0"/>
        </c:dLbls>
        <c:marker val="1"/>
        <c:smooth val="0"/>
        <c:axId val="746191352"/>
        <c:axId val="746186648"/>
      </c:lineChart>
      <c:catAx>
        <c:axId val="746191352"/>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6648"/>
        <c:crosses val="autoZero"/>
        <c:auto val="1"/>
        <c:lblAlgn val="ctr"/>
        <c:lblOffset val="100"/>
        <c:noMultiLvlLbl val="0"/>
      </c:catAx>
      <c:valAx>
        <c:axId val="746186648"/>
        <c:scaling>
          <c:orientation val="minMax"/>
          <c:max val="230"/>
          <c:min val="50"/>
        </c:scaling>
        <c:delete val="0"/>
        <c:axPos val="l"/>
        <c:numFmt formatCode="General" sourceLinked="1"/>
        <c:majorTickMark val="out"/>
        <c:minorTickMark val="none"/>
        <c:tickLblPos val="nextTo"/>
        <c:crossAx val="746191352"/>
        <c:crosses val="autoZero"/>
        <c:crossBetween val="between"/>
        <c:majorUnit val="30"/>
      </c:valAx>
      <c:spPr>
        <a:solidFill>
          <a:srgbClr val="FFFFFF"/>
        </a:solidFill>
      </c:spPr>
    </c:plotArea>
    <c:legend>
      <c:legendPos val="l"/>
      <c:legendEntry>
        <c:idx val="0"/>
        <c:delete val="1"/>
      </c:legendEntry>
      <c:layout>
        <c:manualLayout>
          <c:xMode val="edge"/>
          <c:yMode val="edge"/>
          <c:x val="0.12682792195073311"/>
          <c:y val="6.2379432390095468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62B0-4442-A5B8-20AC9BF18A59}"/>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62B0-4442-A5B8-20AC9BF18A59}"/>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131.02931443182874</c:v>
                </c:pt>
                <c:pt idx="1">
                  <c:v>147.3791213436017</c:v>
                </c:pt>
              </c:numCache>
            </c:numRef>
          </c:val>
          <c:extLst>
            <c:ext xmlns:c16="http://schemas.microsoft.com/office/drawing/2014/chart" uri="{C3380CC4-5D6E-409C-BE32-E72D297353CC}">
              <c16:uniqueId val="{00000003-62B0-4442-A5B8-20AC9BF18A59}"/>
            </c:ext>
          </c:extLst>
        </c:ser>
        <c:dLbls>
          <c:showLegendKey val="0"/>
          <c:showVal val="1"/>
          <c:showCatName val="0"/>
          <c:showSerName val="0"/>
          <c:showPercent val="0"/>
          <c:showBubbleSize val="0"/>
        </c:dLbls>
        <c:gapWidth val="50"/>
        <c:overlap val="88"/>
        <c:axId val="746195664"/>
        <c:axId val="746190176"/>
      </c:barChart>
      <c:catAx>
        <c:axId val="746195664"/>
        <c:scaling>
          <c:orientation val="minMax"/>
        </c:scaling>
        <c:delete val="0"/>
        <c:axPos val="b"/>
        <c:numFmt formatCode="General" sourceLinked="1"/>
        <c:majorTickMark val="out"/>
        <c:minorTickMark val="none"/>
        <c:tickLblPos val="nextTo"/>
        <c:crossAx val="746190176"/>
        <c:crosses val="autoZero"/>
        <c:auto val="0"/>
        <c:lblAlgn val="ctr"/>
        <c:lblOffset val="100"/>
        <c:tickLblSkip val="1"/>
        <c:tickMarkSkip val="1"/>
        <c:noMultiLvlLbl val="0"/>
      </c:catAx>
      <c:valAx>
        <c:axId val="746190176"/>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566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15CD-4BF7-8665-E1C643FEA09F}"/>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15CD-4BF7-8665-E1C643FEA09F}"/>
              </c:ext>
            </c:extLst>
          </c:dPt>
          <c:dLbls>
            <c:dLbl>
              <c:idx val="0"/>
              <c:layout>
                <c:manualLayout>
                  <c:x val="0.14313411529337394"/>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5CD-4BF7-8665-E1C643FEA09F}"/>
                </c:ext>
              </c:extLst>
            </c:dLbl>
            <c:dLbl>
              <c:idx val="1"/>
              <c:delete val="1"/>
              <c:extLst>
                <c:ext xmlns:c15="http://schemas.microsoft.com/office/drawing/2012/chart" uri="{CE6537A1-D6FC-4f65-9D91-7224C49458BB}"/>
                <c:ext xmlns:c16="http://schemas.microsoft.com/office/drawing/2014/chart" uri="{C3380CC4-5D6E-409C-BE32-E72D297353CC}">
                  <c16:uniqueId val="{00000003-15CD-4BF7-8665-E1C643FEA09F}"/>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2.2665771002490156</c:v>
                </c:pt>
                <c:pt idx="1">
                  <c:v>97.733422899750991</c:v>
                </c:pt>
              </c:numCache>
            </c:numRef>
          </c:val>
          <c:extLst>
            <c:ext xmlns:c16="http://schemas.microsoft.com/office/drawing/2014/chart" uri="{C3380CC4-5D6E-409C-BE32-E72D297353CC}">
              <c16:uniqueId val="{00000004-15CD-4BF7-8665-E1C643FEA09F}"/>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15</c:v>
                </c:pt>
                <c:pt idx="20">
                  <c:v>15</c:v>
                </c:pt>
              </c:numCache>
            </c:numRef>
          </c:val>
          <c:extLst>
            <c:ext xmlns:c16="http://schemas.microsoft.com/office/drawing/2014/chart" uri="{C3380CC4-5D6E-409C-BE32-E72D297353CC}">
              <c16:uniqueId val="{00000000-2591-4B7F-B255-8FD7FA94D8F9}"/>
            </c:ext>
          </c:extLst>
        </c:ser>
        <c:dLbls>
          <c:showLegendKey val="0"/>
          <c:showVal val="0"/>
          <c:showCatName val="0"/>
          <c:showSerName val="0"/>
          <c:showPercent val="0"/>
          <c:showBubbleSize val="0"/>
        </c:dLbls>
        <c:gapWidth val="0"/>
        <c:axId val="746187824"/>
        <c:axId val="746186256"/>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591-4B7F-B255-8FD7FA94D8F9}"/>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11.368470000000006</c:v>
                </c:pt>
                <c:pt idx="1">
                  <c:v>10.904658094417004</c:v>
                </c:pt>
                <c:pt idx="2">
                  <c:v>10.736759225946953</c:v>
                </c:pt>
                <c:pt idx="3">
                  <c:v>10.854537376427531</c:v>
                </c:pt>
                <c:pt idx="4">
                  <c:v>10.922045812991824</c:v>
                </c:pt>
                <c:pt idx="5">
                  <c:v>10.976858833618817</c:v>
                </c:pt>
                <c:pt idx="6">
                  <c:v>11.026017923440133</c:v>
                </c:pt>
                <c:pt idx="7">
                  <c:v>11.065096147426001</c:v>
                </c:pt>
                <c:pt idx="8">
                  <c:v>11.097549998370061</c:v>
                </c:pt>
                <c:pt idx="9">
                  <c:v>11.114616217303261</c:v>
                </c:pt>
                <c:pt idx="10">
                  <c:v>11.13780498085457</c:v>
                </c:pt>
                <c:pt idx="11">
                  <c:v>11.12995501260384</c:v>
                </c:pt>
                <c:pt idx="12">
                  <c:v>11.106769849803582</c:v>
                </c:pt>
                <c:pt idx="13">
                  <c:v>11.10130991117274</c:v>
                </c:pt>
                <c:pt idx="14">
                  <c:v>11.098915334774288</c:v>
                </c:pt>
                <c:pt idx="15">
                  <c:v>11.086711006375735</c:v>
                </c:pt>
                <c:pt idx="16">
                  <c:v>11.076636685262596</c:v>
                </c:pt>
                <c:pt idx="17">
                  <c:v>11.073412316003209</c:v>
                </c:pt>
                <c:pt idx="18">
                  <c:v>11.06198793081302</c:v>
                </c:pt>
                <c:pt idx="19">
                  <c:v>11.038658042283325</c:v>
                </c:pt>
                <c:pt idx="20">
                  <c:v>11.021128732396031</c:v>
                </c:pt>
              </c:numCache>
            </c:numRef>
          </c:val>
          <c:smooth val="0"/>
          <c:extLst>
            <c:ext xmlns:c16="http://schemas.microsoft.com/office/drawing/2014/chart" uri="{C3380CC4-5D6E-409C-BE32-E72D297353CC}">
              <c16:uniqueId val="{00000003-2591-4B7F-B255-8FD7FA94D8F9}"/>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12.349914569174237</c:v>
                </c:pt>
                <c:pt idx="1">
                  <c:v>11.490441660810873</c:v>
                </c:pt>
                <c:pt idx="2">
                  <c:v>11.132838344146272</c:v>
                </c:pt>
                <c:pt idx="3">
                  <c:v>10.777570258130266</c:v>
                </c:pt>
                <c:pt idx="4">
                  <c:v>10.435396814302592</c:v>
                </c:pt>
                <c:pt idx="5">
                  <c:v>10.087116568820788</c:v>
                </c:pt>
                <c:pt idx="6">
                  <c:v>9.7608167090816327</c:v>
                </c:pt>
                <c:pt idx="7">
                  <c:v>9.4833142932142884</c:v>
                </c:pt>
                <c:pt idx="8">
                  <c:v>9.2687649240523928</c:v>
                </c:pt>
                <c:pt idx="9">
                  <c:v>9.1247113808658202</c:v>
                </c:pt>
                <c:pt idx="10">
                  <c:v>9.0372844228108278</c:v>
                </c:pt>
                <c:pt idx="11">
                  <c:v>8.9693799700276315</c:v>
                </c:pt>
                <c:pt idx="12">
                  <c:v>8.8951156715011823</c:v>
                </c:pt>
                <c:pt idx="13">
                  <c:v>8.8071603448822593</c:v>
                </c:pt>
                <c:pt idx="14">
                  <c:v>8.7183637862801007</c:v>
                </c:pt>
                <c:pt idx="15">
                  <c:v>8.658948629115887</c:v>
                </c:pt>
                <c:pt idx="16">
                  <c:v>8.5981446818588587</c:v>
                </c:pt>
                <c:pt idx="17">
                  <c:v>8.5032349417179223</c:v>
                </c:pt>
                <c:pt idx="18">
                  <c:v>8.3986487679482877</c:v>
                </c:pt>
                <c:pt idx="19">
                  <c:v>8.2792864505756807</c:v>
                </c:pt>
                <c:pt idx="20">
                  <c:v>8.1648242972525296</c:v>
                </c:pt>
              </c:numCache>
            </c:numRef>
          </c:val>
          <c:smooth val="0"/>
          <c:extLst>
            <c:ext xmlns:c16="http://schemas.microsoft.com/office/drawing/2014/chart" uri="{C3380CC4-5D6E-409C-BE32-E72D297353CC}">
              <c16:uniqueId val="{00000004-2591-4B7F-B255-8FD7FA94D8F9}"/>
            </c:ext>
          </c:extLst>
        </c:ser>
        <c:dLbls>
          <c:showLegendKey val="0"/>
          <c:showVal val="0"/>
          <c:showCatName val="0"/>
          <c:showSerName val="0"/>
          <c:showPercent val="0"/>
          <c:showBubbleSize val="0"/>
        </c:dLbls>
        <c:marker val="1"/>
        <c:smooth val="0"/>
        <c:axId val="746187824"/>
        <c:axId val="746186256"/>
      </c:lineChart>
      <c:catAx>
        <c:axId val="746187824"/>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6256"/>
        <c:crosses val="autoZero"/>
        <c:auto val="1"/>
        <c:lblAlgn val="ctr"/>
        <c:lblOffset val="100"/>
        <c:noMultiLvlLbl val="0"/>
      </c:catAx>
      <c:valAx>
        <c:axId val="746186256"/>
        <c:scaling>
          <c:orientation val="minMax"/>
          <c:max val="15"/>
          <c:min val="7"/>
        </c:scaling>
        <c:delete val="0"/>
        <c:axPos val="l"/>
        <c:numFmt formatCode="General" sourceLinked="1"/>
        <c:majorTickMark val="out"/>
        <c:minorTickMark val="none"/>
        <c:tickLblPos val="nextTo"/>
        <c:crossAx val="746187824"/>
        <c:crosses val="autoZero"/>
        <c:crossBetween val="between"/>
        <c:majorUnit val="2"/>
      </c:valAx>
      <c:spPr>
        <a:solidFill>
          <a:srgbClr val="FFFFFF"/>
        </a:solidFill>
      </c:spPr>
    </c:plotArea>
    <c:legend>
      <c:legendPos val="l"/>
      <c:legendEntry>
        <c:idx val="0"/>
        <c:delete val="1"/>
      </c:legendEntry>
      <c:layout>
        <c:manualLayout>
          <c:xMode val="edge"/>
          <c:yMode val="edge"/>
          <c:x val="0.12230508160699724"/>
          <c:y val="5.3557200365393229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p2020</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264-453E-B717-2071FAF4B29D}"/>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8264-453E-B717-2071FAF4B29D}"/>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p2020</c:v>
                </c:pt>
              </c:strCache>
            </c:strRef>
          </c:cat>
          <c:val>
            <c:numRef>
              <c:f>Sheet1!$C$2:$C$3</c:f>
              <c:numCache>
                <c:formatCode>0</c:formatCode>
                <c:ptCount val="2"/>
                <c:pt idx="0">
                  <c:v>96.746648614228661</c:v>
                </c:pt>
                <c:pt idx="1">
                  <c:v>123.24282892703764</c:v>
                </c:pt>
              </c:numCache>
            </c:numRef>
          </c:val>
          <c:extLst>
            <c:ext xmlns:c16="http://schemas.microsoft.com/office/drawing/2014/chart" uri="{C3380CC4-5D6E-409C-BE32-E72D297353CC}">
              <c16:uniqueId val="{00000003-8264-453E-B717-2071FAF4B29D}"/>
            </c:ext>
          </c:extLst>
        </c:ser>
        <c:dLbls>
          <c:showLegendKey val="0"/>
          <c:showVal val="1"/>
          <c:showCatName val="0"/>
          <c:showSerName val="0"/>
          <c:showPercent val="0"/>
          <c:showBubbleSize val="0"/>
        </c:dLbls>
        <c:gapWidth val="50"/>
        <c:overlap val="88"/>
        <c:axId val="746193312"/>
        <c:axId val="746189784"/>
      </c:barChart>
      <c:catAx>
        <c:axId val="746193312"/>
        <c:scaling>
          <c:orientation val="minMax"/>
        </c:scaling>
        <c:delete val="0"/>
        <c:axPos val="b"/>
        <c:numFmt formatCode="General" sourceLinked="1"/>
        <c:majorTickMark val="out"/>
        <c:minorTickMark val="none"/>
        <c:tickLblPos val="nextTo"/>
        <c:crossAx val="746189784"/>
        <c:crosses val="autoZero"/>
        <c:auto val="0"/>
        <c:lblAlgn val="ctr"/>
        <c:lblOffset val="100"/>
        <c:tickLblSkip val="1"/>
        <c:tickMarkSkip val="1"/>
        <c:noMultiLvlLbl val="0"/>
      </c:catAx>
      <c:valAx>
        <c:axId val="746189784"/>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3312"/>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E781-4AFC-8902-FC20AA936B01}"/>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E781-4AFC-8902-FC20AA936B01}"/>
              </c:ext>
            </c:extLst>
          </c:dPt>
          <c:dLbls>
            <c:dLbl>
              <c:idx val="0"/>
              <c:layout>
                <c:manualLayout>
                  <c:x val="0.11183637885581903"/>
                  <c:y val="2.205558006175562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81-4AFC-8902-FC20AA936B01}"/>
                </c:ext>
              </c:extLst>
            </c:dLbl>
            <c:dLbl>
              <c:idx val="1"/>
              <c:delete val="1"/>
              <c:extLst>
                <c:ext xmlns:c15="http://schemas.microsoft.com/office/drawing/2012/chart" uri="{CE6537A1-D6FC-4f65-9D91-7224C49458BB}"/>
                <c:ext xmlns:c16="http://schemas.microsoft.com/office/drawing/2014/chart" uri="{C3380CC4-5D6E-409C-BE32-E72D297353CC}">
                  <c16:uniqueId val="{00000003-E781-4AFC-8902-FC20AA936B01}"/>
                </c:ext>
              </c:extLst>
            </c:dLbl>
            <c:spPr>
              <a:noFill/>
              <a:ln>
                <a:noFill/>
              </a:ln>
              <a:effectLst/>
            </c:spPr>
            <c:txPr>
              <a:bodyPr/>
              <a:lstStyle/>
              <a:p>
                <a:pPr>
                  <a:defRPr>
                    <a:solidFill>
                      <a:sysClr val="windowText" lastClr="000000"/>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2.4434559991159359</c:v>
                </c:pt>
                <c:pt idx="1">
                  <c:v>97.55654400088406</c:v>
                </c:pt>
              </c:numCache>
            </c:numRef>
          </c:val>
          <c:extLst>
            <c:ext xmlns:c16="http://schemas.microsoft.com/office/drawing/2014/chart" uri="{C3380CC4-5D6E-409C-BE32-E72D297353CC}">
              <c16:uniqueId val="{00000004-E781-4AFC-8902-FC20AA936B01}"/>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Reģistrēto darba meklētāju skaits</a:t>
            </a:r>
          </a:p>
          <a:p>
            <a:pPr>
              <a:defRPr/>
            </a:pPr>
            <a:r>
              <a:rPr lang="lv-LV"/>
              <a:t>tūkstoši</a:t>
            </a:r>
          </a:p>
        </c:rich>
      </c:tx>
      <c:layout>
        <c:manualLayout>
          <c:xMode val="edge"/>
          <c:yMode val="edge"/>
          <c:x val="0.26632696084614133"/>
          <c:y val="1.9933554817275746E-2"/>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7.3974755964493197E-2"/>
          <c:y val="0.1123392605725609"/>
          <c:w val="0.87496423358979425"/>
          <c:h val="0.74438433567897022"/>
        </c:manualLayout>
      </c:layout>
      <c:lineChart>
        <c:grouping val="standard"/>
        <c:varyColors val="0"/>
        <c:ser>
          <c:idx val="0"/>
          <c:order val="0"/>
          <c:tx>
            <c:strRef>
              <c:f>Sheet1!$B$1</c:f>
              <c:strCache>
                <c:ptCount val="1"/>
                <c:pt idx="0">
                  <c:v>Reģistrēto b/d skaits</c:v>
                </c:pt>
              </c:strCache>
            </c:strRef>
          </c:tx>
          <c:spPr>
            <a:ln w="28575" cap="rnd">
              <a:solidFill>
                <a:srgbClr val="009999"/>
              </a:solidFill>
              <a:round/>
            </a:ln>
            <a:effectLst/>
          </c:spPr>
          <c:marker>
            <c:symbol val="diamond"/>
            <c:size val="8"/>
            <c:spPr>
              <a:solidFill>
                <a:srgbClr val="009999"/>
              </a:solidFill>
              <a:ln w="9525">
                <a:noFill/>
              </a:ln>
              <a:effectLst/>
            </c:spPr>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1F-4E62-AAD3-7CF069CD4811}"/>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1F-4E62-AAD3-7CF069CD4811}"/>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1F-4E62-AAD3-7CF069CD4811}"/>
                </c:ext>
              </c:extLst>
            </c:dLbl>
            <c:dLbl>
              <c:idx val="2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1F-4E62-AAD3-7CF069CD4811}"/>
                </c:ext>
              </c:extLst>
            </c:dLbl>
            <c:dLbl>
              <c:idx val="59"/>
              <c:tx>
                <c:rich>
                  <a:bodyPr/>
                  <a:lstStyle/>
                  <a:p>
                    <a:r>
                      <a:rPr lang="en-US"/>
                      <a:t>78.9</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E1F-4E62-AAD3-7CF069CD4811}"/>
                </c:ext>
              </c:extLst>
            </c:dLbl>
            <c:dLbl>
              <c:idx val="8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1F-4E62-AAD3-7CF069CD4811}"/>
                </c:ext>
              </c:extLst>
            </c:dLbl>
            <c:dLbl>
              <c:idx val="134"/>
              <c:tx>
                <c:rich>
                  <a:bodyPr/>
                  <a:lstStyle/>
                  <a:p>
                    <a:r>
                      <a:rPr lang="en-US"/>
                      <a:t>75.1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E1F-4E62-AAD3-7CF069CD4811}"/>
                </c:ext>
              </c:extLst>
            </c:dLbl>
            <c:dLbl>
              <c:idx val="19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1F-4E62-AAD3-7CF069CD4811}"/>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Sheet1!$B$2:$B$28</c:f>
              <c:numCache>
                <c:formatCode>General</c:formatCode>
                <c:ptCount val="27"/>
                <c:pt idx="0">
                  <c:v>58.832000000000001</c:v>
                </c:pt>
                <c:pt idx="1">
                  <c:v>58.247</c:v>
                </c:pt>
                <c:pt idx="2">
                  <c:v>61.926000000000002</c:v>
                </c:pt>
                <c:pt idx="3">
                  <c:v>72.917000000000002</c:v>
                </c:pt>
                <c:pt idx="4">
                  <c:v>76.44</c:v>
                </c:pt>
                <c:pt idx="5">
                  <c:v>78.266000000000005</c:v>
                </c:pt>
                <c:pt idx="6">
                  <c:v>77.998000000000005</c:v>
                </c:pt>
                <c:pt idx="7">
                  <c:v>75.013000000000005</c:v>
                </c:pt>
                <c:pt idx="8">
                  <c:v>70.305999999999997</c:v>
                </c:pt>
                <c:pt idx="9">
                  <c:v>67.123999999999995</c:v>
                </c:pt>
                <c:pt idx="10">
                  <c:v>67.518000000000001</c:v>
                </c:pt>
                <c:pt idx="11">
                  <c:v>69.605000000000004</c:v>
                </c:pt>
                <c:pt idx="12">
                  <c:v>72.611999999999995</c:v>
                </c:pt>
                <c:pt idx="13">
                  <c:v>74.494</c:v>
                </c:pt>
                <c:pt idx="14">
                  <c:v>74.231999999999999</c:v>
                </c:pt>
                <c:pt idx="15">
                  <c:v>71.376000000000005</c:v>
                </c:pt>
                <c:pt idx="16">
                  <c:v>68.765000000000001</c:v>
                </c:pt>
                <c:pt idx="17">
                  <c:v>67.307000000000002</c:v>
                </c:pt>
                <c:pt idx="18">
                  <c:v>64.391999999999996</c:v>
                </c:pt>
                <c:pt idx="19">
                  <c:v>59.04</c:v>
                </c:pt>
                <c:pt idx="20">
                  <c:v>54.524000000000001</c:v>
                </c:pt>
                <c:pt idx="21">
                  <c:v>54.042000000000002</c:v>
                </c:pt>
                <c:pt idx="22">
                  <c:v>57.536000000000001</c:v>
                </c:pt>
                <c:pt idx="23">
                  <c:v>60.774000000000001</c:v>
                </c:pt>
                <c:pt idx="24">
                  <c:v>62.27</c:v>
                </c:pt>
                <c:pt idx="25">
                  <c:v>61.813000000000002</c:v>
                </c:pt>
                <c:pt idx="26">
                  <c:v>60.563000000000002</c:v>
                </c:pt>
              </c:numCache>
            </c:numRef>
          </c:val>
          <c:smooth val="1"/>
          <c:extLst>
            <c:ext xmlns:c16="http://schemas.microsoft.com/office/drawing/2014/chart" uri="{C3380CC4-5D6E-409C-BE32-E72D297353CC}">
              <c16:uniqueId val="{00000008-5E1F-4E62-AAD3-7CF069CD4811}"/>
            </c:ext>
          </c:extLst>
        </c:ser>
        <c:dLbls>
          <c:showLegendKey val="0"/>
          <c:showVal val="0"/>
          <c:showCatName val="0"/>
          <c:showSerName val="0"/>
          <c:showPercent val="0"/>
          <c:showBubbleSize val="0"/>
        </c:dLbls>
        <c:marker val="1"/>
        <c:smooth val="0"/>
        <c:axId val="742024040"/>
        <c:axId val="742032664"/>
      </c:lineChart>
      <c:dateAx>
        <c:axId val="742024040"/>
        <c:scaling>
          <c:orientation val="minMax"/>
        </c:scaling>
        <c:delete val="0"/>
        <c:axPos val="b"/>
        <c:numFmt formatCode="General" sourceLinked="1"/>
        <c:majorTickMark val="none"/>
        <c:minorTickMark val="out"/>
        <c:tickLblPos val="nextTo"/>
        <c:spPr>
          <a:noFill/>
          <a:ln w="9525" cap="flat" cmpd="sng" algn="ctr">
            <a:solidFill>
              <a:schemeClr val="bg1">
                <a:lumMod val="6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32664"/>
        <c:crosses val="autoZero"/>
        <c:auto val="1"/>
        <c:lblOffset val="100"/>
        <c:baseTimeUnit val="days"/>
        <c:majorUnit val="2"/>
        <c:majorTimeUnit val="months"/>
        <c:minorUnit val="1"/>
        <c:minorTimeUnit val="months"/>
      </c:dateAx>
      <c:valAx>
        <c:axId val="742032664"/>
        <c:scaling>
          <c:orientation val="minMax"/>
          <c:max val="82"/>
          <c:min val="52"/>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4040"/>
        <c:crosses val="autoZero"/>
        <c:crossBetween val="between"/>
        <c:majorUnit val="6"/>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25</c:v>
                </c:pt>
                <c:pt idx="20">
                  <c:v>25</c:v>
                </c:pt>
              </c:numCache>
            </c:numRef>
          </c:val>
          <c:extLst>
            <c:ext xmlns:c16="http://schemas.microsoft.com/office/drawing/2014/chart" uri="{C3380CC4-5D6E-409C-BE32-E72D297353CC}">
              <c16:uniqueId val="{00000000-6AC4-4FCF-9560-25AA6404E47A}"/>
            </c:ext>
          </c:extLst>
        </c:ser>
        <c:dLbls>
          <c:showLegendKey val="0"/>
          <c:showVal val="0"/>
          <c:showCatName val="0"/>
          <c:showSerName val="0"/>
          <c:showPercent val="0"/>
          <c:showBubbleSize val="0"/>
        </c:dLbls>
        <c:gapWidth val="0"/>
        <c:axId val="746194488"/>
        <c:axId val="746184688"/>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6AC4-4FCF-9560-25AA6404E47A}"/>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11.498575000000006</c:v>
                </c:pt>
                <c:pt idx="1">
                  <c:v>11.994948624513039</c:v>
                </c:pt>
                <c:pt idx="2">
                  <c:v>12.534107248107146</c:v>
                </c:pt>
                <c:pt idx="3">
                  <c:v>12.870012805387944</c:v>
                </c:pt>
                <c:pt idx="4">
                  <c:v>13.09144547646407</c:v>
                </c:pt>
                <c:pt idx="5">
                  <c:v>13.334551356663207</c:v>
                </c:pt>
                <c:pt idx="6">
                  <c:v>13.577945415629028</c:v>
                </c:pt>
                <c:pt idx="7">
                  <c:v>13.825329310671668</c:v>
                </c:pt>
                <c:pt idx="8">
                  <c:v>14.096634992100787</c:v>
                </c:pt>
                <c:pt idx="9">
                  <c:v>14.368260345405664</c:v>
                </c:pt>
                <c:pt idx="10">
                  <c:v>14.690194171790077</c:v>
                </c:pt>
                <c:pt idx="11">
                  <c:v>14.987322224562915</c:v>
                </c:pt>
                <c:pt idx="12">
                  <c:v>15.252315814348204</c:v>
                </c:pt>
                <c:pt idx="13">
                  <c:v>15.514883442927399</c:v>
                </c:pt>
                <c:pt idx="14">
                  <c:v>15.772263545620179</c:v>
                </c:pt>
                <c:pt idx="15">
                  <c:v>16.017631684741833</c:v>
                </c:pt>
                <c:pt idx="16">
                  <c:v>16.272478644514198</c:v>
                </c:pt>
                <c:pt idx="17">
                  <c:v>16.524337156683757</c:v>
                </c:pt>
                <c:pt idx="18">
                  <c:v>16.771500680601015</c:v>
                </c:pt>
                <c:pt idx="19">
                  <c:v>17.001449311332514</c:v>
                </c:pt>
                <c:pt idx="20">
                  <c:v>17.241073774888108</c:v>
                </c:pt>
              </c:numCache>
            </c:numRef>
          </c:val>
          <c:smooth val="0"/>
          <c:extLst>
            <c:ext xmlns:c16="http://schemas.microsoft.com/office/drawing/2014/chart" uri="{C3380CC4-5D6E-409C-BE32-E72D297353CC}">
              <c16:uniqueId val="{00000003-6AC4-4FCF-9560-25AA6404E47A}"/>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11.918224722952997</c:v>
                </c:pt>
                <c:pt idx="1">
                  <c:v>11.218800500156322</c:v>
                </c:pt>
                <c:pt idx="2">
                  <c:v>11.009254965205574</c:v>
                </c:pt>
                <c:pt idx="3">
                  <c:v>10.829690434595893</c:v>
                </c:pt>
                <c:pt idx="4">
                  <c:v>10.608500922821593</c:v>
                </c:pt>
                <c:pt idx="5">
                  <c:v>10.350348221792826</c:v>
                </c:pt>
                <c:pt idx="6">
                  <c:v>10.114552411512916</c:v>
                </c:pt>
                <c:pt idx="7">
                  <c:v>9.9335190772720257</c:v>
                </c:pt>
                <c:pt idx="8">
                  <c:v>9.8148017375354648</c:v>
                </c:pt>
                <c:pt idx="9">
                  <c:v>9.7610832171501105</c:v>
                </c:pt>
                <c:pt idx="10">
                  <c:v>9.7425350482046582</c:v>
                </c:pt>
                <c:pt idx="11">
                  <c:v>9.751533234888587</c:v>
                </c:pt>
                <c:pt idx="12">
                  <c:v>9.7718546091167546</c:v>
                </c:pt>
                <c:pt idx="13">
                  <c:v>9.7821389146450013</c:v>
                </c:pt>
                <c:pt idx="14">
                  <c:v>9.7786352812538819</c:v>
                </c:pt>
                <c:pt idx="15">
                  <c:v>9.7919925896137165</c:v>
                </c:pt>
                <c:pt idx="16">
                  <c:v>9.7959494827487337</c:v>
                </c:pt>
                <c:pt idx="17">
                  <c:v>9.7697692458657155</c:v>
                </c:pt>
                <c:pt idx="18">
                  <c:v>9.7506661077957624</c:v>
                </c:pt>
                <c:pt idx="19">
                  <c:v>9.7328952940681734</c:v>
                </c:pt>
                <c:pt idx="20">
                  <c:v>9.7390905667861372</c:v>
                </c:pt>
              </c:numCache>
            </c:numRef>
          </c:val>
          <c:smooth val="0"/>
          <c:extLst>
            <c:ext xmlns:c16="http://schemas.microsoft.com/office/drawing/2014/chart" uri="{C3380CC4-5D6E-409C-BE32-E72D297353CC}">
              <c16:uniqueId val="{00000004-6AC4-4FCF-9560-25AA6404E47A}"/>
            </c:ext>
          </c:extLst>
        </c:ser>
        <c:dLbls>
          <c:showLegendKey val="0"/>
          <c:showVal val="0"/>
          <c:showCatName val="0"/>
          <c:showSerName val="0"/>
          <c:showPercent val="0"/>
          <c:showBubbleSize val="0"/>
        </c:dLbls>
        <c:marker val="1"/>
        <c:smooth val="0"/>
        <c:axId val="746194488"/>
        <c:axId val="746184688"/>
      </c:lineChart>
      <c:catAx>
        <c:axId val="74619448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84688"/>
        <c:crosses val="autoZero"/>
        <c:auto val="1"/>
        <c:lblAlgn val="ctr"/>
        <c:lblOffset val="100"/>
        <c:noMultiLvlLbl val="0"/>
      </c:catAx>
      <c:valAx>
        <c:axId val="746184688"/>
        <c:scaling>
          <c:orientation val="minMax"/>
          <c:max val="24"/>
          <c:min val="8"/>
        </c:scaling>
        <c:delete val="0"/>
        <c:axPos val="l"/>
        <c:numFmt formatCode="General" sourceLinked="1"/>
        <c:majorTickMark val="out"/>
        <c:minorTickMark val="none"/>
        <c:tickLblPos val="nextTo"/>
        <c:crossAx val="746194488"/>
        <c:crosses val="autoZero"/>
        <c:crossBetween val="between"/>
        <c:majorUnit val="4"/>
      </c:valAx>
      <c:spPr>
        <a:solidFill>
          <a:srgbClr val="FFFFFF"/>
        </a:solidFill>
      </c:spPr>
    </c:plotArea>
    <c:legend>
      <c:legendPos val="l"/>
      <c:legendEntry>
        <c:idx val="0"/>
        <c:delete val="1"/>
      </c:legendEntry>
      <c:layout>
        <c:manualLayout>
          <c:xMode val="edge"/>
          <c:yMode val="edge"/>
          <c:x val="0.11778224126326138"/>
          <c:y val="8.0023896439499975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1EC-4929-91B3-73D906E349BB}"/>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81EC-4929-91B3-73D906E349BB}"/>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134.94397644211944</c:v>
                </c:pt>
                <c:pt idx="1">
                  <c:v>150.78410392269689</c:v>
                </c:pt>
              </c:numCache>
            </c:numRef>
          </c:val>
          <c:extLst>
            <c:ext xmlns:c16="http://schemas.microsoft.com/office/drawing/2014/chart" uri="{C3380CC4-5D6E-409C-BE32-E72D297353CC}">
              <c16:uniqueId val="{00000003-81EC-4929-91B3-73D906E349BB}"/>
            </c:ext>
          </c:extLst>
        </c:ser>
        <c:dLbls>
          <c:showLegendKey val="0"/>
          <c:showVal val="1"/>
          <c:showCatName val="0"/>
          <c:showSerName val="0"/>
          <c:showPercent val="0"/>
          <c:showBubbleSize val="0"/>
        </c:dLbls>
        <c:gapWidth val="50"/>
        <c:overlap val="88"/>
        <c:axId val="746189000"/>
        <c:axId val="746187040"/>
      </c:barChart>
      <c:catAx>
        <c:axId val="746189000"/>
        <c:scaling>
          <c:orientation val="minMax"/>
        </c:scaling>
        <c:delete val="0"/>
        <c:axPos val="b"/>
        <c:numFmt formatCode="General" sourceLinked="1"/>
        <c:majorTickMark val="out"/>
        <c:minorTickMark val="none"/>
        <c:tickLblPos val="nextTo"/>
        <c:crossAx val="746187040"/>
        <c:crosses val="autoZero"/>
        <c:auto val="0"/>
        <c:lblAlgn val="ctr"/>
        <c:lblOffset val="100"/>
        <c:tickLblSkip val="1"/>
        <c:tickMarkSkip val="1"/>
        <c:noMultiLvlLbl val="0"/>
      </c:catAx>
      <c:valAx>
        <c:axId val="746187040"/>
        <c:scaling>
          <c:orientation val="minMax"/>
          <c:max val="18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8900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CCCB-4C03-8165-4C794425A8A0}"/>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CCCB-4C03-8165-4C794425A8A0}"/>
              </c:ext>
            </c:extLst>
          </c:dPt>
          <c:dLbls>
            <c:dLbl>
              <c:idx val="1"/>
              <c:delete val="1"/>
              <c:extLst>
                <c:ext xmlns:c15="http://schemas.microsoft.com/office/drawing/2012/chart" uri="{CE6537A1-D6FC-4f65-9D91-7224C49458BB}"/>
                <c:ext xmlns:c16="http://schemas.microsoft.com/office/drawing/2014/chart" uri="{C3380CC4-5D6E-409C-BE32-E72D297353CC}">
                  <c16:uniqueId val="{00000003-CCCB-4C03-8165-4C794425A8A0}"/>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10.992222722753281</c:v>
                </c:pt>
                <c:pt idx="1">
                  <c:v>89.007777277246717</c:v>
                </c:pt>
              </c:numCache>
            </c:numRef>
          </c:val>
          <c:extLst>
            <c:ext xmlns:c16="http://schemas.microsoft.com/office/drawing/2014/chart" uri="{C3380CC4-5D6E-409C-BE32-E72D297353CC}">
              <c16:uniqueId val="{00000004-CCCB-4C03-8165-4C794425A8A0}"/>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100</c:v>
                </c:pt>
                <c:pt idx="20">
                  <c:v>100</c:v>
                </c:pt>
              </c:numCache>
            </c:numRef>
          </c:val>
          <c:extLst>
            <c:ext xmlns:c16="http://schemas.microsoft.com/office/drawing/2014/chart" uri="{C3380CC4-5D6E-409C-BE32-E72D297353CC}">
              <c16:uniqueId val="{00000000-2937-4551-B353-731E82BB8FEB}"/>
            </c:ext>
          </c:extLst>
        </c:ser>
        <c:dLbls>
          <c:showLegendKey val="0"/>
          <c:showVal val="0"/>
          <c:showCatName val="0"/>
          <c:showSerName val="0"/>
          <c:showPercent val="0"/>
          <c:showBubbleSize val="0"/>
        </c:dLbls>
        <c:gapWidth val="0"/>
        <c:axId val="746192136"/>
        <c:axId val="746192920"/>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2937-4551-B353-731E82BB8FEB}"/>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49.439580000000021</c:v>
                </c:pt>
                <c:pt idx="1">
                  <c:v>47.958859426966782</c:v>
                </c:pt>
                <c:pt idx="2">
                  <c:v>47.781521561470825</c:v>
                </c:pt>
                <c:pt idx="3">
                  <c:v>48.77900291547693</c:v>
                </c:pt>
                <c:pt idx="4">
                  <c:v>49.263946252947378</c:v>
                </c:pt>
                <c:pt idx="5">
                  <c:v>49.819199275641161</c:v>
                </c:pt>
                <c:pt idx="6">
                  <c:v>50.356599619749204</c:v>
                </c:pt>
                <c:pt idx="7">
                  <c:v>50.78565382915032</c:v>
                </c:pt>
                <c:pt idx="8">
                  <c:v>51.300280699263858</c:v>
                </c:pt>
                <c:pt idx="9">
                  <c:v>51.792265093003877</c:v>
                </c:pt>
                <c:pt idx="10">
                  <c:v>52.2337973021409</c:v>
                </c:pt>
                <c:pt idx="11">
                  <c:v>52.569558669906833</c:v>
                </c:pt>
                <c:pt idx="12">
                  <c:v>52.812342306761757</c:v>
                </c:pt>
                <c:pt idx="13">
                  <c:v>53.064263642536694</c:v>
                </c:pt>
                <c:pt idx="14">
                  <c:v>53.440290546072163</c:v>
                </c:pt>
                <c:pt idx="15">
                  <c:v>53.799867266041147</c:v>
                </c:pt>
                <c:pt idx="16">
                  <c:v>54.199044716080245</c:v>
                </c:pt>
                <c:pt idx="17">
                  <c:v>54.604492290979131</c:v>
                </c:pt>
                <c:pt idx="18">
                  <c:v>55.008267180896226</c:v>
                </c:pt>
                <c:pt idx="19">
                  <c:v>55.354640529112174</c:v>
                </c:pt>
                <c:pt idx="20">
                  <c:v>55.742546418107942</c:v>
                </c:pt>
              </c:numCache>
            </c:numRef>
          </c:val>
          <c:smooth val="0"/>
          <c:extLst>
            <c:ext xmlns:c16="http://schemas.microsoft.com/office/drawing/2014/chart" uri="{C3380CC4-5D6E-409C-BE32-E72D297353CC}">
              <c16:uniqueId val="{00000003-2937-4551-B353-731E82BB8FEB}"/>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53.876575844490802</c:v>
                </c:pt>
                <c:pt idx="1">
                  <c:v>50.502413025746058</c:v>
                </c:pt>
                <c:pt idx="2">
                  <c:v>49.538383387444632</c:v>
                </c:pt>
                <c:pt idx="3">
                  <c:v>48.55105885804133</c:v>
                </c:pt>
                <c:pt idx="4">
                  <c:v>47.643978501696793</c:v>
                </c:pt>
                <c:pt idx="5">
                  <c:v>46.706283733466861</c:v>
                </c:pt>
                <c:pt idx="6">
                  <c:v>45.841856247719221</c:v>
                </c:pt>
                <c:pt idx="7">
                  <c:v>45.123725696847082</c:v>
                </c:pt>
                <c:pt idx="8">
                  <c:v>44.544555299554602</c:v>
                </c:pt>
                <c:pt idx="9">
                  <c:v>44.133673413089596</c:v>
                </c:pt>
                <c:pt idx="10">
                  <c:v>43.828133255864785</c:v>
                </c:pt>
                <c:pt idx="11">
                  <c:v>43.5068305531627</c:v>
                </c:pt>
                <c:pt idx="12">
                  <c:v>43.105820080541825</c:v>
                </c:pt>
                <c:pt idx="13">
                  <c:v>42.637872800633133</c:v>
                </c:pt>
                <c:pt idx="14">
                  <c:v>42.126445938736921</c:v>
                </c:pt>
                <c:pt idx="15">
                  <c:v>41.724448021952938</c:v>
                </c:pt>
                <c:pt idx="16">
                  <c:v>41.308189376922201</c:v>
                </c:pt>
                <c:pt idx="17">
                  <c:v>40.776811707666809</c:v>
                </c:pt>
                <c:pt idx="18">
                  <c:v>40.249483642930464</c:v>
                </c:pt>
                <c:pt idx="19">
                  <c:v>39.691440147590832</c:v>
                </c:pt>
                <c:pt idx="20">
                  <c:v>39.162356528750841</c:v>
                </c:pt>
              </c:numCache>
            </c:numRef>
          </c:val>
          <c:smooth val="0"/>
          <c:extLst>
            <c:ext xmlns:c16="http://schemas.microsoft.com/office/drawing/2014/chart" uri="{C3380CC4-5D6E-409C-BE32-E72D297353CC}">
              <c16:uniqueId val="{00000004-2937-4551-B353-731E82BB8FEB}"/>
            </c:ext>
          </c:extLst>
        </c:ser>
        <c:dLbls>
          <c:showLegendKey val="0"/>
          <c:showVal val="0"/>
          <c:showCatName val="0"/>
          <c:showSerName val="0"/>
          <c:showPercent val="0"/>
          <c:showBubbleSize val="0"/>
        </c:dLbls>
        <c:marker val="1"/>
        <c:smooth val="0"/>
        <c:axId val="746192136"/>
        <c:axId val="746192920"/>
      </c:lineChart>
      <c:catAx>
        <c:axId val="746192136"/>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746192920"/>
        <c:crosses val="autoZero"/>
        <c:auto val="1"/>
        <c:lblAlgn val="ctr"/>
        <c:lblOffset val="100"/>
        <c:noMultiLvlLbl val="0"/>
      </c:catAx>
      <c:valAx>
        <c:axId val="746192920"/>
        <c:scaling>
          <c:orientation val="minMax"/>
          <c:max val="72"/>
          <c:min val="30"/>
        </c:scaling>
        <c:delete val="0"/>
        <c:axPos val="l"/>
        <c:numFmt formatCode="General" sourceLinked="1"/>
        <c:majorTickMark val="out"/>
        <c:minorTickMark val="none"/>
        <c:tickLblPos val="nextTo"/>
        <c:crossAx val="746192136"/>
        <c:crosses val="autoZero"/>
        <c:crossBetween val="between"/>
        <c:majorUnit val="7"/>
      </c:valAx>
      <c:spPr>
        <a:solidFill>
          <a:srgbClr val="FFFFFF"/>
        </a:solidFill>
      </c:spPr>
    </c:plotArea>
    <c:legend>
      <c:legendPos val="l"/>
      <c:legendEntry>
        <c:idx val="0"/>
        <c:delete val="1"/>
      </c:legendEntry>
      <c:layout>
        <c:manualLayout>
          <c:xMode val="edge"/>
          <c:yMode val="edge"/>
          <c:x val="0.11778224126326138"/>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85CD-4E4D-9E09-DA1A2982555C}"/>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85CD-4E4D-9E09-DA1A2982555C}"/>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111.87638887561893</c:v>
                </c:pt>
                <c:pt idx="1">
                  <c:v>119.17869510253742</c:v>
                </c:pt>
              </c:numCache>
            </c:numRef>
          </c:val>
          <c:extLst>
            <c:ext xmlns:c16="http://schemas.microsoft.com/office/drawing/2014/chart" uri="{C3380CC4-5D6E-409C-BE32-E72D297353CC}">
              <c16:uniqueId val="{00000003-85CD-4E4D-9E09-DA1A2982555C}"/>
            </c:ext>
          </c:extLst>
        </c:ser>
        <c:dLbls>
          <c:showLegendKey val="0"/>
          <c:showVal val="1"/>
          <c:showCatName val="0"/>
          <c:showSerName val="0"/>
          <c:showPercent val="0"/>
          <c:showBubbleSize val="0"/>
        </c:dLbls>
        <c:gapWidth val="50"/>
        <c:overlap val="88"/>
        <c:axId val="746193704"/>
        <c:axId val="746194880"/>
      </c:barChart>
      <c:catAx>
        <c:axId val="746193704"/>
        <c:scaling>
          <c:orientation val="minMax"/>
        </c:scaling>
        <c:delete val="0"/>
        <c:axPos val="b"/>
        <c:numFmt formatCode="General" sourceLinked="1"/>
        <c:majorTickMark val="out"/>
        <c:minorTickMark val="none"/>
        <c:tickLblPos val="nextTo"/>
        <c:crossAx val="746194880"/>
        <c:crosses val="autoZero"/>
        <c:auto val="0"/>
        <c:lblAlgn val="ctr"/>
        <c:lblOffset val="100"/>
        <c:tickLblSkip val="1"/>
        <c:tickMarkSkip val="1"/>
        <c:noMultiLvlLbl val="0"/>
      </c:catAx>
      <c:valAx>
        <c:axId val="746194880"/>
        <c:scaling>
          <c:orientation val="minMax"/>
          <c:max val="16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746193704"/>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1173806555774E-2"/>
          <c:y val="3.3055141075155441E-2"/>
          <c:w val="0.89936535275431695"/>
          <c:h val="0.95370094050103627"/>
        </c:manualLayout>
      </c:layout>
      <c:pieChart>
        <c:varyColors val="1"/>
        <c:ser>
          <c:idx val="3"/>
          <c:order val="0"/>
          <c:tx>
            <c:strRef>
              <c:f>Sheet1!$B$1</c:f>
              <c:strCache>
                <c:ptCount val="1"/>
                <c:pt idx="0">
                  <c:v>piedāvājums</c:v>
                </c:pt>
              </c:strCache>
            </c:strRef>
          </c:tx>
          <c:spPr>
            <a:solidFill>
              <a:srgbClr val="E6EEF2"/>
            </a:solidFill>
            <a:ln w="3175">
              <a:noFill/>
            </a:ln>
          </c:spPr>
          <c:explosion val="5"/>
          <c:dPt>
            <c:idx val="0"/>
            <c:bubble3D val="0"/>
            <c:spPr>
              <a:solidFill>
                <a:srgbClr val="8064A2"/>
              </a:solidFill>
              <a:ln w="3175">
                <a:noFill/>
              </a:ln>
            </c:spPr>
            <c:extLst>
              <c:ext xmlns:c16="http://schemas.microsoft.com/office/drawing/2014/chart" uri="{C3380CC4-5D6E-409C-BE32-E72D297353CC}">
                <c16:uniqueId val="{00000001-030F-44BC-B519-2D11F9125F3D}"/>
              </c:ext>
            </c:extLst>
          </c:dPt>
          <c:dPt>
            <c:idx val="1"/>
            <c:bubble3D val="0"/>
            <c:spPr>
              <a:solidFill>
                <a:srgbClr val="8064A2">
                  <a:lumMod val="40000"/>
                  <a:lumOff val="60000"/>
                </a:srgbClr>
              </a:solidFill>
              <a:ln w="3175">
                <a:noFill/>
              </a:ln>
            </c:spPr>
            <c:extLst>
              <c:ext xmlns:c16="http://schemas.microsoft.com/office/drawing/2014/chart" uri="{C3380CC4-5D6E-409C-BE32-E72D297353CC}">
                <c16:uniqueId val="{00000003-030F-44BC-B519-2D11F9125F3D}"/>
              </c:ext>
            </c:extLst>
          </c:dPt>
          <c:dLbls>
            <c:dLbl>
              <c:idx val="1"/>
              <c:delete val="1"/>
              <c:extLst>
                <c:ext xmlns:c15="http://schemas.microsoft.com/office/drawing/2012/chart" uri="{CE6537A1-D6FC-4f65-9D91-7224C49458BB}"/>
                <c:ext xmlns:c16="http://schemas.microsoft.com/office/drawing/2014/chart" uri="{C3380CC4-5D6E-409C-BE32-E72D297353CC}">
                  <c16:uniqueId val="{00000003-030F-44BC-B519-2D11F9125F3D}"/>
                </c:ext>
              </c:extLst>
            </c:dLbl>
            <c:spPr>
              <a:noFill/>
              <a:ln>
                <a:noFill/>
              </a:ln>
              <a:effectLst/>
            </c:spPr>
            <c:txPr>
              <a:bodyPr/>
              <a:lstStyle/>
              <a:p>
                <a:pPr>
                  <a:defRPr>
                    <a:solidFill>
                      <a:schemeClr val="bg1"/>
                    </a:solidFill>
                  </a:defRPr>
                </a:pPr>
                <a:endParaRPr lang="lv-LV"/>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STEM</c:v>
                </c:pt>
                <c:pt idx="1">
                  <c:v>pārējie</c:v>
                </c:pt>
              </c:strCache>
            </c:strRef>
          </c:cat>
          <c:val>
            <c:numRef>
              <c:f>Sheet1!$B$2:$B$3</c:f>
              <c:numCache>
                <c:formatCode>General</c:formatCode>
                <c:ptCount val="2"/>
                <c:pt idx="0" formatCode="0.0">
                  <c:v>52.18813109872881</c:v>
                </c:pt>
                <c:pt idx="1">
                  <c:v>47.81186890127119</c:v>
                </c:pt>
              </c:numCache>
            </c:numRef>
          </c:val>
          <c:extLst>
            <c:ext xmlns:c16="http://schemas.microsoft.com/office/drawing/2014/chart" uri="{C3380CC4-5D6E-409C-BE32-E72D297353CC}">
              <c16:uniqueId val="{00000004-030F-44BC-B519-2D11F9125F3D}"/>
            </c:ext>
          </c:extLst>
        </c:ser>
        <c:dLbls>
          <c:showLegendKey val="0"/>
          <c:showVal val="0"/>
          <c:showCatName val="0"/>
          <c:showSerName val="0"/>
          <c:showPercent val="0"/>
          <c:showBubbleSize val="0"/>
          <c:showLeaderLines val="0"/>
        </c:dLbls>
        <c:firstSliceAng val="0"/>
      </c:pieChart>
      <c:spPr>
        <a:solidFill>
          <a:srgbClr val="FFFFFF"/>
        </a:solidFill>
      </c:spPr>
    </c:plotArea>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72269499566713E-2"/>
          <c:y val="4.8723606828969854E-2"/>
          <c:w val="0.89117919245761335"/>
          <c:h val="0.72292564664529413"/>
        </c:manualLayout>
      </c:layout>
      <c:barChart>
        <c:barDir val="col"/>
        <c:grouping val="clustered"/>
        <c:varyColors val="0"/>
        <c:ser>
          <c:idx val="1"/>
          <c:order val="2"/>
          <c:tx>
            <c:strRef>
              <c:f>Sheet1!$A$4</c:f>
              <c:strCache>
                <c:ptCount val="1"/>
              </c:strCache>
            </c:strRef>
          </c:tx>
          <c:spPr>
            <a:solidFill>
              <a:sysClr val="window" lastClr="FFFFFF">
                <a:lumMod val="85000"/>
              </a:sysClr>
            </a:solidFill>
            <a:ln>
              <a:noFill/>
            </a:ln>
          </c:spPr>
          <c:invertIfNegative val="0"/>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Sheet1!$B$4:$W$4</c:f>
              <c:numCache>
                <c:formatCode>General</c:formatCode>
                <c:ptCount val="21"/>
                <c:pt idx="10">
                  <c:v>400</c:v>
                </c:pt>
                <c:pt idx="20">
                  <c:v>400</c:v>
                </c:pt>
              </c:numCache>
            </c:numRef>
          </c:val>
          <c:extLst>
            <c:ext xmlns:c16="http://schemas.microsoft.com/office/drawing/2014/chart" uri="{C3380CC4-5D6E-409C-BE32-E72D297353CC}">
              <c16:uniqueId val="{00000000-E893-4E6F-9A91-36E0657CCAF6}"/>
            </c:ext>
          </c:extLst>
        </c:ser>
        <c:dLbls>
          <c:showLegendKey val="0"/>
          <c:showVal val="0"/>
          <c:showCatName val="0"/>
          <c:showSerName val="0"/>
          <c:showPercent val="0"/>
          <c:showBubbleSize val="0"/>
        </c:dLbls>
        <c:gapWidth val="0"/>
        <c:axId val="598979808"/>
        <c:axId val="598988824"/>
      </c:barChart>
      <c:lineChart>
        <c:grouping val="standard"/>
        <c:varyColors val="0"/>
        <c:ser>
          <c:idx val="3"/>
          <c:order val="0"/>
          <c:tx>
            <c:strRef>
              <c:f>Sheet1!$A$2</c:f>
              <c:strCache>
                <c:ptCount val="1"/>
                <c:pt idx="0">
                  <c:v>Pieprasījums</c:v>
                </c:pt>
              </c:strCache>
            </c:strRef>
          </c:tx>
          <c:marker>
            <c:symbol val="none"/>
          </c:marker>
          <c:dPt>
            <c:idx val="0"/>
            <c:bubble3D val="0"/>
            <c:spPr/>
            <c:extLst>
              <c:ext xmlns:c16="http://schemas.microsoft.com/office/drawing/2014/chart" uri="{C3380CC4-5D6E-409C-BE32-E72D297353CC}">
                <c16:uniqueId val="{00000002-E893-4E6F-9A91-36E0657CCAF6}"/>
              </c:ext>
            </c:extLst>
          </c:dPt>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211.59560000000002</c:v>
                </c:pt>
                <c:pt idx="1">
                  <c:v>202.28720534233966</c:v>
                </c:pt>
                <c:pt idx="2">
                  <c:v>200.49636866106351</c:v>
                </c:pt>
                <c:pt idx="3">
                  <c:v>198.0008537501223</c:v>
                </c:pt>
                <c:pt idx="4">
                  <c:v>195.24184809935142</c:v>
                </c:pt>
                <c:pt idx="5">
                  <c:v>192.45795955342405</c:v>
                </c:pt>
                <c:pt idx="6">
                  <c:v>189.64043429507666</c:v>
                </c:pt>
                <c:pt idx="7">
                  <c:v>186.61482790497388</c:v>
                </c:pt>
                <c:pt idx="8">
                  <c:v>183.5775858965865</c:v>
                </c:pt>
                <c:pt idx="9">
                  <c:v>180.31201467469097</c:v>
                </c:pt>
                <c:pt idx="10">
                  <c:v>177.0416241434782</c:v>
                </c:pt>
                <c:pt idx="11">
                  <c:v>173.6581699456604</c:v>
                </c:pt>
                <c:pt idx="12">
                  <c:v>170.09377628565133</c:v>
                </c:pt>
                <c:pt idx="13">
                  <c:v>166.44066023537067</c:v>
                </c:pt>
                <c:pt idx="14">
                  <c:v>162.82109452271408</c:v>
                </c:pt>
                <c:pt idx="15">
                  <c:v>159.08682900038121</c:v>
                </c:pt>
                <c:pt idx="16">
                  <c:v>155.57386861241915</c:v>
                </c:pt>
                <c:pt idx="17">
                  <c:v>152.1227195360367</c:v>
                </c:pt>
                <c:pt idx="18">
                  <c:v>148.6466947250189</c:v>
                </c:pt>
                <c:pt idx="19">
                  <c:v>145.18353752906657</c:v>
                </c:pt>
                <c:pt idx="20">
                  <c:v>141.82148107363167</c:v>
                </c:pt>
              </c:numCache>
            </c:numRef>
          </c:val>
          <c:smooth val="0"/>
          <c:extLst>
            <c:ext xmlns:c16="http://schemas.microsoft.com/office/drawing/2014/chart" uri="{C3380CC4-5D6E-409C-BE32-E72D297353CC}">
              <c16:uniqueId val="{00000003-E893-4E6F-9A91-36E0657CCAF6}"/>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233.44966910472331</c:v>
                </c:pt>
                <c:pt idx="1">
                  <c:v>220.29162777874501</c:v>
                </c:pt>
                <c:pt idx="2">
                  <c:v>218.58814699768945</c:v>
                </c:pt>
                <c:pt idx="3">
                  <c:v>216.69516647019253</c:v>
                </c:pt>
                <c:pt idx="4">
                  <c:v>215.08097614964211</c:v>
                </c:pt>
                <c:pt idx="5">
                  <c:v>213.25326259999167</c:v>
                </c:pt>
                <c:pt idx="6">
                  <c:v>211.43447885259809</c:v>
                </c:pt>
                <c:pt idx="7">
                  <c:v>209.86659928669133</c:v>
                </c:pt>
                <c:pt idx="8">
                  <c:v>208.66337470067967</c:v>
                </c:pt>
                <c:pt idx="9">
                  <c:v>208.15826873985122</c:v>
                </c:pt>
                <c:pt idx="10">
                  <c:v>208.08424482111593</c:v>
                </c:pt>
                <c:pt idx="11">
                  <c:v>208.03208045589372</c:v>
                </c:pt>
                <c:pt idx="12">
                  <c:v>207.74767705202098</c:v>
                </c:pt>
                <c:pt idx="13">
                  <c:v>207.45185749091564</c:v>
                </c:pt>
                <c:pt idx="14">
                  <c:v>207.20924853731239</c:v>
                </c:pt>
                <c:pt idx="15">
                  <c:v>207.47856079750946</c:v>
                </c:pt>
                <c:pt idx="16">
                  <c:v>207.69887569220006</c:v>
                </c:pt>
                <c:pt idx="17">
                  <c:v>207.34026508921008</c:v>
                </c:pt>
                <c:pt idx="18">
                  <c:v>206.81067738696981</c:v>
                </c:pt>
                <c:pt idx="19">
                  <c:v>206.03670942969546</c:v>
                </c:pt>
                <c:pt idx="20">
                  <c:v>205.22863588612645</c:v>
                </c:pt>
              </c:numCache>
            </c:numRef>
          </c:val>
          <c:smooth val="0"/>
          <c:extLst>
            <c:ext xmlns:c16="http://schemas.microsoft.com/office/drawing/2014/chart" uri="{C3380CC4-5D6E-409C-BE32-E72D297353CC}">
              <c16:uniqueId val="{00000004-E893-4E6F-9A91-36E0657CCAF6}"/>
            </c:ext>
          </c:extLst>
        </c:ser>
        <c:dLbls>
          <c:showLegendKey val="0"/>
          <c:showVal val="0"/>
          <c:showCatName val="0"/>
          <c:showSerName val="0"/>
          <c:showPercent val="0"/>
          <c:showBubbleSize val="0"/>
        </c:dLbls>
        <c:marker val="1"/>
        <c:smooth val="0"/>
        <c:axId val="598979808"/>
        <c:axId val="598988824"/>
      </c:lineChart>
      <c:catAx>
        <c:axId val="598979808"/>
        <c:scaling>
          <c:orientation val="minMax"/>
        </c:scaling>
        <c:delete val="0"/>
        <c:axPos val="b"/>
        <c:numFmt formatCode="General" sourceLinked="1"/>
        <c:majorTickMark val="out"/>
        <c:minorTickMark val="none"/>
        <c:tickLblPos val="nextTo"/>
        <c:txPr>
          <a:bodyPr rot="-5400000" vert="horz"/>
          <a:lstStyle/>
          <a:p>
            <a:pPr>
              <a:defRPr sz="700"/>
            </a:pPr>
            <a:endParaRPr lang="lv-LV"/>
          </a:p>
        </c:txPr>
        <c:crossAx val="598988824"/>
        <c:crosses val="autoZero"/>
        <c:auto val="1"/>
        <c:lblAlgn val="ctr"/>
        <c:lblOffset val="100"/>
        <c:noMultiLvlLbl val="0"/>
      </c:catAx>
      <c:valAx>
        <c:axId val="598988824"/>
        <c:scaling>
          <c:orientation val="minMax"/>
          <c:max val="300"/>
          <c:min val="120"/>
        </c:scaling>
        <c:delete val="0"/>
        <c:axPos val="l"/>
        <c:numFmt formatCode="General" sourceLinked="1"/>
        <c:majorTickMark val="out"/>
        <c:minorTickMark val="none"/>
        <c:tickLblPos val="nextTo"/>
        <c:crossAx val="598979808"/>
        <c:crosses val="autoZero"/>
        <c:crossBetween val="between"/>
        <c:majorUnit val="30"/>
      </c:valAx>
      <c:spPr>
        <a:solidFill>
          <a:srgbClr val="FFFFFF"/>
        </a:solidFill>
      </c:spPr>
    </c:plotArea>
    <c:legend>
      <c:legendPos val="l"/>
      <c:legendEntry>
        <c:idx val="0"/>
        <c:delete val="1"/>
      </c:legendEntry>
      <c:layout>
        <c:manualLayout>
          <c:xMode val="edge"/>
          <c:yMode val="edge"/>
          <c:x val="0.12230508160699724"/>
          <c:y val="7.1201664414797736E-2"/>
          <c:w val="0.37774961150804331"/>
          <c:h val="0.23755214321191764"/>
        </c:manualLayout>
      </c:layout>
      <c:overlay val="0"/>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639699904768541"/>
          <c:y val="6.3762019171618362E-2"/>
          <c:w val="0.76169652165671498"/>
          <c:h val="0.80043327581913426"/>
        </c:manualLayout>
      </c:layout>
      <c:barChart>
        <c:barDir val="col"/>
        <c:grouping val="clustered"/>
        <c:varyColors val="0"/>
        <c:ser>
          <c:idx val="3"/>
          <c:order val="0"/>
          <c:tx>
            <c:strRef>
              <c:f>Sheet1!$B$1</c:f>
              <c:strCache>
                <c:ptCount val="1"/>
                <c:pt idx="0">
                  <c:v>piedāvājums</c:v>
                </c:pt>
              </c:strCache>
            </c:strRef>
          </c:tx>
          <c:spPr>
            <a:solidFill>
              <a:srgbClr val="8064A2"/>
            </a:solidFill>
            <a:ln w="3175">
              <a:noFill/>
            </a:ln>
          </c:spPr>
          <c:invertIfNegative val="0"/>
          <c:dLbls>
            <c:delete val="1"/>
          </c:dLbls>
          <c:cat>
            <c:strRef>
              <c:f>Sheet1!$A$2:$A$3</c:f>
              <c:strCache>
                <c:ptCount val="2"/>
                <c:pt idx="0">
                  <c:v>p2020</c:v>
                </c:pt>
                <c:pt idx="1">
                  <c:v>p2022</c:v>
                </c:pt>
              </c:strCache>
            </c:strRef>
          </c:cat>
          <c:val>
            <c:numRef>
              <c:f>Sheet1!$B$2:$B$3</c:f>
              <c:numCache>
                <c:formatCode>General</c:formatCode>
                <c:ptCount val="2"/>
                <c:pt idx="0">
                  <c:v>100</c:v>
                </c:pt>
                <c:pt idx="1">
                  <c:v>100</c:v>
                </c:pt>
              </c:numCache>
            </c:numRef>
          </c:val>
          <c:extLst>
            <c:ext xmlns:c16="http://schemas.microsoft.com/office/drawing/2014/chart" uri="{C3380CC4-5D6E-409C-BE32-E72D297353CC}">
              <c16:uniqueId val="{00000000-714E-499F-B527-BBA5F91F28B7}"/>
            </c:ext>
          </c:extLst>
        </c:ser>
        <c:ser>
          <c:idx val="0"/>
          <c:order val="1"/>
          <c:tx>
            <c:strRef>
              <c:f>Sheet1!$C$1</c:f>
              <c:strCache>
                <c:ptCount val="1"/>
                <c:pt idx="0">
                  <c:v>pieprasījums</c:v>
                </c:pt>
              </c:strCache>
            </c:strRef>
          </c:tx>
          <c:spPr>
            <a:solidFill>
              <a:srgbClr val="8064A2">
                <a:lumMod val="60000"/>
                <a:lumOff val="40000"/>
              </a:srgbClr>
            </a:solidFill>
            <a:ln w="3175">
              <a:noFill/>
            </a:ln>
          </c:spPr>
          <c:invertIfNegative val="0"/>
          <c:dPt>
            <c:idx val="0"/>
            <c:invertIfNegative val="0"/>
            <c:bubble3D val="0"/>
            <c:spPr>
              <a:solidFill>
                <a:srgbClr val="8064A2">
                  <a:lumMod val="60000"/>
                  <a:lumOff val="40000"/>
                </a:srgbClr>
              </a:solidFill>
              <a:ln w="19050">
                <a:noFill/>
              </a:ln>
            </c:spPr>
            <c:extLst>
              <c:ext xmlns:c16="http://schemas.microsoft.com/office/drawing/2014/chart" uri="{C3380CC4-5D6E-409C-BE32-E72D297353CC}">
                <c16:uniqueId val="{00000002-714E-499F-B527-BBA5F91F28B7}"/>
              </c:ext>
            </c:extLst>
          </c:dPt>
          <c:dLbls>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p2020</c:v>
                </c:pt>
                <c:pt idx="1">
                  <c:v>p2022</c:v>
                </c:pt>
              </c:strCache>
            </c:strRef>
          </c:cat>
          <c:val>
            <c:numRef>
              <c:f>Sheet1!$C$2:$C$3</c:f>
              <c:numCache>
                <c:formatCode>0</c:formatCode>
                <c:ptCount val="2"/>
                <c:pt idx="0">
                  <c:v>87.403680156958202</c:v>
                </c:pt>
                <c:pt idx="1">
                  <c:v>85.08170539085063</c:v>
                </c:pt>
              </c:numCache>
            </c:numRef>
          </c:val>
          <c:extLst>
            <c:ext xmlns:c16="http://schemas.microsoft.com/office/drawing/2014/chart" uri="{C3380CC4-5D6E-409C-BE32-E72D297353CC}">
              <c16:uniqueId val="{00000003-714E-499F-B527-BBA5F91F28B7}"/>
            </c:ext>
          </c:extLst>
        </c:ser>
        <c:dLbls>
          <c:showLegendKey val="0"/>
          <c:showVal val="1"/>
          <c:showCatName val="0"/>
          <c:showSerName val="0"/>
          <c:showPercent val="0"/>
          <c:showBubbleSize val="0"/>
        </c:dLbls>
        <c:gapWidth val="50"/>
        <c:overlap val="88"/>
        <c:axId val="598986080"/>
        <c:axId val="598989216"/>
      </c:barChart>
      <c:catAx>
        <c:axId val="598986080"/>
        <c:scaling>
          <c:orientation val="minMax"/>
        </c:scaling>
        <c:delete val="0"/>
        <c:axPos val="b"/>
        <c:numFmt formatCode="General" sourceLinked="1"/>
        <c:majorTickMark val="out"/>
        <c:minorTickMark val="none"/>
        <c:tickLblPos val="nextTo"/>
        <c:crossAx val="598989216"/>
        <c:crosses val="autoZero"/>
        <c:auto val="0"/>
        <c:lblAlgn val="ctr"/>
        <c:lblOffset val="100"/>
        <c:tickLblSkip val="1"/>
        <c:tickMarkSkip val="1"/>
        <c:noMultiLvlLbl val="0"/>
      </c:catAx>
      <c:valAx>
        <c:axId val="598989216"/>
        <c:scaling>
          <c:orientation val="minMax"/>
          <c:max val="120"/>
          <c:min val="60"/>
        </c:scaling>
        <c:delete val="0"/>
        <c:axPos val="l"/>
        <c:numFmt formatCode="#,##0" sourceLinked="0"/>
        <c:majorTickMark val="out"/>
        <c:minorTickMark val="none"/>
        <c:tickLblPos val="nextTo"/>
        <c:spPr>
          <a:ln w="6350">
            <a:solidFill>
              <a:sysClr val="window" lastClr="FFFFFF">
                <a:lumMod val="75000"/>
              </a:sysClr>
            </a:solidFill>
          </a:ln>
        </c:spPr>
        <c:txPr>
          <a:bodyPr rot="0" vert="horz"/>
          <a:lstStyle/>
          <a:p>
            <a:pPr>
              <a:defRPr/>
            </a:pPr>
            <a:endParaRPr lang="lv-LV"/>
          </a:p>
        </c:txPr>
        <c:crossAx val="598986080"/>
        <c:crosses val="autoZero"/>
        <c:crossBetween val="between"/>
        <c:majorUnit val="20"/>
      </c:valAx>
      <c:spPr>
        <a:solidFill>
          <a:srgbClr val="FFFFFF"/>
        </a:solidFill>
      </c:spPr>
    </c:plotArea>
    <c:legend>
      <c:legendPos val="l"/>
      <c:layout>
        <c:manualLayout>
          <c:xMode val="edge"/>
          <c:yMode val="edge"/>
          <c:x val="0.29905465356653427"/>
          <c:y val="3.0592999871487166E-3"/>
          <c:w val="0.69575043119610047"/>
          <c:h val="0.23255542549902922"/>
        </c:manualLayout>
      </c:layout>
      <c:overlay val="1"/>
      <c:spPr>
        <a:solidFill>
          <a:srgbClr val="FFFFFF"/>
        </a:solidFill>
      </c:spPr>
    </c:legend>
    <c:plotVisOnly val="1"/>
    <c:dispBlanksAs val="gap"/>
    <c:showDLblsOverMax val="0"/>
  </c:chart>
  <c:spPr>
    <a:solidFill>
      <a:srgbClr val="FFFFFF"/>
    </a:solidFill>
    <a:ln>
      <a:noFill/>
    </a:ln>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91.546089104099707</c:v>
                </c:pt>
                <c:pt idx="1">
                  <c:v>88.192430141359409</c:v>
                </c:pt>
                <c:pt idx="2">
                  <c:v>89.753057175893048</c:v>
                </c:pt>
                <c:pt idx="3">
                  <c:v>91.039486704552644</c:v>
                </c:pt>
                <c:pt idx="4">
                  <c:v>92.072356432652711</c:v>
                </c:pt>
                <c:pt idx="5">
                  <c:v>93.062102287141755</c:v>
                </c:pt>
                <c:pt idx="6">
                  <c:v>94.169351134373386</c:v>
                </c:pt>
                <c:pt idx="7">
                  <c:v>95.127108606088385</c:v>
                </c:pt>
                <c:pt idx="8">
                  <c:v>96.072011990435328</c:v>
                </c:pt>
                <c:pt idx="9">
                  <c:v>96.831931233799864</c:v>
                </c:pt>
                <c:pt idx="10">
                  <c:v>97.511740826888612</c:v>
                </c:pt>
                <c:pt idx="11">
                  <c:v>98.05085825751155</c:v>
                </c:pt>
                <c:pt idx="12">
                  <c:v>98.436618467014597</c:v>
                </c:pt>
                <c:pt idx="13">
                  <c:v>98.80557074418428</c:v>
                </c:pt>
                <c:pt idx="14">
                  <c:v>99.202765304913612</c:v>
                </c:pt>
                <c:pt idx="15">
                  <c:v>99.557555938910781</c:v>
                </c:pt>
                <c:pt idx="16">
                  <c:v>100.00315462021152</c:v>
                </c:pt>
                <c:pt idx="17">
                  <c:v>100.4632500593506</c:v>
                </c:pt>
                <c:pt idx="18">
                  <c:v>100.92333613460207</c:v>
                </c:pt>
                <c:pt idx="19">
                  <c:v>101.33094777578954</c:v>
                </c:pt>
                <c:pt idx="20">
                  <c:v>101.81277540642604</c:v>
                </c:pt>
              </c:numCache>
            </c:numRef>
          </c:val>
          <c:smooth val="0"/>
          <c:extLst>
            <c:ext xmlns:c16="http://schemas.microsoft.com/office/drawing/2014/chart" uri="{C3380CC4-5D6E-409C-BE32-E72D297353CC}">
              <c16:uniqueId val="{00000000-CE91-43DE-AAEC-0A9075211C79}"/>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95.08428870328737</c:v>
                </c:pt>
                <c:pt idx="1">
                  <c:v>93.124333720384755</c:v>
                </c:pt>
                <c:pt idx="2">
                  <c:v>94.942487679844476</c:v>
                </c:pt>
                <c:pt idx="3">
                  <c:v>96.527350994005616</c:v>
                </c:pt>
                <c:pt idx="4">
                  <c:v>98.135913635048198</c:v>
                </c:pt>
                <c:pt idx="5">
                  <c:v>99.531034584071051</c:v>
                </c:pt>
                <c:pt idx="6">
                  <c:v>100.75541218571608</c:v>
                </c:pt>
                <c:pt idx="7">
                  <c:v>101.8732001348768</c:v>
                </c:pt>
                <c:pt idx="8">
                  <c:v>102.93950380240814</c:v>
                </c:pt>
                <c:pt idx="9">
                  <c:v>104.06095314812097</c:v>
                </c:pt>
                <c:pt idx="10">
                  <c:v>105.22889384762881</c:v>
                </c:pt>
                <c:pt idx="11">
                  <c:v>106.41489704830606</c:v>
                </c:pt>
                <c:pt idx="12">
                  <c:v>107.46519299672467</c:v>
                </c:pt>
                <c:pt idx="13">
                  <c:v>108.38790460636704</c:v>
                </c:pt>
                <c:pt idx="14">
                  <c:v>109.05464827365883</c:v>
                </c:pt>
                <c:pt idx="15">
                  <c:v>109.71874257748968</c:v>
                </c:pt>
                <c:pt idx="16">
                  <c:v>110.35713864506316</c:v>
                </c:pt>
                <c:pt idx="17">
                  <c:v>110.96040387498206</c:v>
                </c:pt>
                <c:pt idx="18">
                  <c:v>111.70869443880228</c:v>
                </c:pt>
                <c:pt idx="19">
                  <c:v>112.52675453392573</c:v>
                </c:pt>
                <c:pt idx="20">
                  <c:v>113.35837386509878</c:v>
                </c:pt>
              </c:numCache>
            </c:numRef>
          </c:val>
          <c:smooth val="0"/>
          <c:extLst>
            <c:ext xmlns:c16="http://schemas.microsoft.com/office/drawing/2014/chart" uri="{C3380CC4-5D6E-409C-BE32-E72D297353CC}">
              <c16:uniqueId val="{00000001-CE91-43DE-AAEC-0A9075211C79}"/>
            </c:ext>
          </c:extLst>
        </c:ser>
        <c:dLbls>
          <c:showLegendKey val="0"/>
          <c:showVal val="0"/>
          <c:showCatName val="0"/>
          <c:showSerName val="0"/>
          <c:showPercent val="0"/>
          <c:showBubbleSize val="0"/>
        </c:dLbls>
        <c:smooth val="0"/>
        <c:axId val="598979024"/>
        <c:axId val="598984904"/>
      </c:lineChart>
      <c:catAx>
        <c:axId val="598979024"/>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4904"/>
        <c:crosses val="autoZero"/>
        <c:auto val="1"/>
        <c:lblAlgn val="ctr"/>
        <c:lblOffset val="0"/>
        <c:tickLblSkip val="2"/>
        <c:tickMarkSkip val="2"/>
        <c:noMultiLvlLbl val="1"/>
      </c:catAx>
      <c:valAx>
        <c:axId val="598984904"/>
        <c:scaling>
          <c:orientation val="minMax"/>
          <c:min val="80"/>
        </c:scaling>
        <c:delete val="0"/>
        <c:axPos val="l"/>
        <c:numFmt formatCode="0" sourceLinked="0"/>
        <c:majorTickMark val="out"/>
        <c:minorTickMark val="none"/>
        <c:tickLblPos val="nextTo"/>
        <c:txPr>
          <a:bodyPr rot="0" vert="horz"/>
          <a:lstStyle/>
          <a:p>
            <a:pPr>
              <a:defRPr/>
            </a:pPr>
            <a:endParaRPr lang="lv-LV"/>
          </a:p>
        </c:txPr>
        <c:crossAx val="598979024"/>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172.9567436496084</c:v>
                </c:pt>
                <c:pt idx="1">
                  <c:v>173.22784346781447</c:v>
                </c:pt>
                <c:pt idx="2">
                  <c:v>177.57332274467149</c:v>
                </c:pt>
                <c:pt idx="3">
                  <c:v>180.36880200606885</c:v>
                </c:pt>
                <c:pt idx="4">
                  <c:v>182.07824391112172</c:v>
                </c:pt>
                <c:pt idx="5">
                  <c:v>183.3394113389418</c:v>
                </c:pt>
                <c:pt idx="6">
                  <c:v>184.446338983141</c:v>
                </c:pt>
                <c:pt idx="7">
                  <c:v>185.70752632666043</c:v>
                </c:pt>
                <c:pt idx="8">
                  <c:v>186.98431337478695</c:v>
                </c:pt>
                <c:pt idx="9">
                  <c:v>188.73202515635907</c:v>
                </c:pt>
                <c:pt idx="10">
                  <c:v>190.78866215256883</c:v>
                </c:pt>
                <c:pt idx="11">
                  <c:v>192.61056047197746</c:v>
                </c:pt>
                <c:pt idx="12">
                  <c:v>194.12690014696022</c:v>
                </c:pt>
                <c:pt idx="13">
                  <c:v>195.61923031563839</c:v>
                </c:pt>
                <c:pt idx="14">
                  <c:v>197.08417343926376</c:v>
                </c:pt>
                <c:pt idx="15">
                  <c:v>198.46131733695469</c:v>
                </c:pt>
                <c:pt idx="16">
                  <c:v>200.02483621195546</c:v>
                </c:pt>
                <c:pt idx="17">
                  <c:v>201.6160183381252</c:v>
                </c:pt>
                <c:pt idx="18">
                  <c:v>203.21428554630228</c:v>
                </c:pt>
                <c:pt idx="19">
                  <c:v>204.71133565459488</c:v>
                </c:pt>
                <c:pt idx="20">
                  <c:v>206.3632095677624</c:v>
                </c:pt>
              </c:numCache>
            </c:numRef>
          </c:val>
          <c:smooth val="0"/>
          <c:extLst>
            <c:ext xmlns:c16="http://schemas.microsoft.com/office/drawing/2014/chart" uri="{C3380CC4-5D6E-409C-BE32-E72D297353CC}">
              <c16:uniqueId val="{00000000-BD34-48CF-917C-1E36882E90C2}"/>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181.22136160436168</c:v>
                </c:pt>
                <c:pt idx="1">
                  <c:v>176.4598852978807</c:v>
                </c:pt>
                <c:pt idx="2">
                  <c:v>179.47884406390514</c:v>
                </c:pt>
                <c:pt idx="3">
                  <c:v>181.93238186872503</c:v>
                </c:pt>
                <c:pt idx="4">
                  <c:v>184.38085642256095</c:v>
                </c:pt>
                <c:pt idx="5">
                  <c:v>186.56217120941812</c:v>
                </c:pt>
                <c:pt idx="6">
                  <c:v>188.67570237608157</c:v>
                </c:pt>
                <c:pt idx="7">
                  <c:v>190.78470098542456</c:v>
                </c:pt>
                <c:pt idx="8">
                  <c:v>192.87335841742279</c:v>
                </c:pt>
                <c:pt idx="9">
                  <c:v>195.06720859261276</c:v>
                </c:pt>
                <c:pt idx="10">
                  <c:v>197.34440089317192</c:v>
                </c:pt>
                <c:pt idx="11">
                  <c:v>199.57806226617953</c:v>
                </c:pt>
                <c:pt idx="12">
                  <c:v>201.51841194390732</c:v>
                </c:pt>
                <c:pt idx="13">
                  <c:v>203.31005202098618</c:v>
                </c:pt>
                <c:pt idx="14">
                  <c:v>204.79427318552376</c:v>
                </c:pt>
                <c:pt idx="15">
                  <c:v>206.47815695643828</c:v>
                </c:pt>
                <c:pt idx="16">
                  <c:v>208.17649668333587</c:v>
                </c:pt>
                <c:pt idx="17">
                  <c:v>209.83605999682902</c:v>
                </c:pt>
                <c:pt idx="18">
                  <c:v>211.77032337471087</c:v>
                </c:pt>
                <c:pt idx="19">
                  <c:v>213.78125799294435</c:v>
                </c:pt>
                <c:pt idx="20">
                  <c:v>215.79095888667862</c:v>
                </c:pt>
              </c:numCache>
            </c:numRef>
          </c:val>
          <c:smooth val="0"/>
          <c:extLst>
            <c:ext xmlns:c16="http://schemas.microsoft.com/office/drawing/2014/chart" uri="{C3380CC4-5D6E-409C-BE32-E72D297353CC}">
              <c16:uniqueId val="{00000001-BD34-48CF-917C-1E36882E90C2}"/>
            </c:ext>
          </c:extLst>
        </c:ser>
        <c:dLbls>
          <c:showLegendKey val="0"/>
          <c:showVal val="0"/>
          <c:showCatName val="0"/>
          <c:showSerName val="0"/>
          <c:showPercent val="0"/>
          <c:showBubbleSize val="0"/>
        </c:dLbls>
        <c:smooth val="0"/>
        <c:axId val="598986472"/>
        <c:axId val="598987256"/>
      </c:lineChart>
      <c:catAx>
        <c:axId val="59898647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7256"/>
        <c:crosses val="autoZero"/>
        <c:auto val="1"/>
        <c:lblAlgn val="ctr"/>
        <c:lblOffset val="0"/>
        <c:tickLblSkip val="2"/>
        <c:tickMarkSkip val="2"/>
        <c:noMultiLvlLbl val="1"/>
      </c:catAx>
      <c:valAx>
        <c:axId val="598987256"/>
        <c:scaling>
          <c:orientation val="minMax"/>
          <c:max val="225"/>
          <c:min val="165"/>
        </c:scaling>
        <c:delete val="0"/>
        <c:axPos val="l"/>
        <c:numFmt formatCode="0" sourceLinked="0"/>
        <c:majorTickMark val="out"/>
        <c:minorTickMark val="none"/>
        <c:tickLblPos val="nextTo"/>
        <c:txPr>
          <a:bodyPr rot="0" vert="horz"/>
          <a:lstStyle/>
          <a:p>
            <a:pPr>
              <a:defRPr/>
            </a:pPr>
            <a:endParaRPr lang="lv-LV"/>
          </a:p>
        </c:txPr>
        <c:crossAx val="598986472"/>
        <c:crossesAt val="1"/>
        <c:crossBetween val="between"/>
        <c:majorUnit val="15"/>
      </c:valAx>
      <c:spPr>
        <a:noFill/>
        <a:ln w="6335">
          <a:noFill/>
        </a:ln>
      </c:spPr>
    </c:plotArea>
    <c:legend>
      <c:legendPos val="t"/>
      <c:layout>
        <c:manualLayout>
          <c:xMode val="edge"/>
          <c:yMode val="edge"/>
          <c:x val="0.2902700213763707"/>
          <c:y val="3.478024674591098E-2"/>
          <c:w val="0.50226321132565288"/>
          <c:h val="0.2281168107612577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Reģistrētais bezdarba līmenis</a:t>
            </a:r>
          </a:p>
          <a:p>
            <a:pPr>
              <a:defRPr/>
            </a:pPr>
            <a:r>
              <a:rPr lang="lv-LV"/>
              <a:t>procentos</a:t>
            </a:r>
          </a:p>
        </c:rich>
      </c:tx>
      <c:layout>
        <c:manualLayout>
          <c:xMode val="edge"/>
          <c:yMode val="edge"/>
          <c:x val="0.30525775239193498"/>
          <c:y val="2.0013079760378794E-2"/>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0.10646937391253061"/>
          <c:y val="0.13928149606299212"/>
          <c:w val="0.87543071161048702"/>
          <c:h val="0.72084547571088498"/>
        </c:manualLayout>
      </c:layout>
      <c:lineChart>
        <c:grouping val="standard"/>
        <c:varyColors val="0"/>
        <c:ser>
          <c:idx val="0"/>
          <c:order val="0"/>
          <c:tx>
            <c:strRef>
              <c:f>Sheet1!$C$1</c:f>
              <c:strCache>
                <c:ptCount val="1"/>
                <c:pt idx="0">
                  <c:v>Reģistrētā b/d līmenis (%)</c:v>
                </c:pt>
              </c:strCache>
            </c:strRef>
          </c:tx>
          <c:spPr>
            <a:ln w="28575" cap="rnd">
              <a:solidFill>
                <a:schemeClr val="accent2">
                  <a:lumMod val="75000"/>
                </a:schemeClr>
              </a:solidFill>
              <a:round/>
            </a:ln>
            <a:effectLst/>
          </c:spPr>
          <c:marker>
            <c:symbol val="diamond"/>
            <c:size val="8"/>
            <c:spPr>
              <a:solidFill>
                <a:schemeClr val="accent2">
                  <a:lumMod val="75000"/>
                </a:schemeClr>
              </a:solidFill>
              <a:ln w="9525">
                <a:no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C8-430F-AEF5-289F0341DBF6}"/>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C8-430F-AEF5-289F0341DBF6}"/>
                </c:ext>
              </c:extLst>
            </c:dLbl>
            <c:dLbl>
              <c:idx val="2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C8-430F-AEF5-289F0341DBF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Sheet1!$C$2:$C$28</c:f>
              <c:numCache>
                <c:formatCode>0.0</c:formatCode>
                <c:ptCount val="27"/>
                <c:pt idx="0">
                  <c:v>6.4</c:v>
                </c:pt>
                <c:pt idx="1">
                  <c:v>6.3</c:v>
                </c:pt>
                <c:pt idx="2">
                  <c:v>6.8</c:v>
                </c:pt>
                <c:pt idx="3">
                  <c:v>8</c:v>
                </c:pt>
                <c:pt idx="4">
                  <c:v>8.4</c:v>
                </c:pt>
                <c:pt idx="5">
                  <c:v>8.6</c:v>
                </c:pt>
                <c:pt idx="6">
                  <c:v>8.6</c:v>
                </c:pt>
                <c:pt idx="7">
                  <c:v>8.1999999999999993</c:v>
                </c:pt>
                <c:pt idx="8">
                  <c:v>7.7</c:v>
                </c:pt>
                <c:pt idx="9">
                  <c:v>7.4</c:v>
                </c:pt>
                <c:pt idx="10">
                  <c:v>7.4</c:v>
                </c:pt>
                <c:pt idx="11">
                  <c:v>7.7</c:v>
                </c:pt>
                <c:pt idx="12">
                  <c:v>8</c:v>
                </c:pt>
                <c:pt idx="13">
                  <c:v>8.1999999999999993</c:v>
                </c:pt>
                <c:pt idx="14">
                  <c:v>8.1999999999999993</c:v>
                </c:pt>
                <c:pt idx="15">
                  <c:v>7.9</c:v>
                </c:pt>
                <c:pt idx="16">
                  <c:v>7.6</c:v>
                </c:pt>
                <c:pt idx="17">
                  <c:v>7.4</c:v>
                </c:pt>
                <c:pt idx="18">
                  <c:v>7.1</c:v>
                </c:pt>
                <c:pt idx="19">
                  <c:v>6.5</c:v>
                </c:pt>
                <c:pt idx="20">
                  <c:v>6</c:v>
                </c:pt>
                <c:pt idx="21">
                  <c:v>6</c:v>
                </c:pt>
                <c:pt idx="22">
                  <c:v>6.4</c:v>
                </c:pt>
                <c:pt idx="23">
                  <c:v>6.7</c:v>
                </c:pt>
                <c:pt idx="24">
                  <c:v>6.9</c:v>
                </c:pt>
                <c:pt idx="25">
                  <c:v>6.8</c:v>
                </c:pt>
                <c:pt idx="26">
                  <c:v>6.7</c:v>
                </c:pt>
              </c:numCache>
            </c:numRef>
          </c:val>
          <c:smooth val="1"/>
          <c:extLst>
            <c:ext xmlns:c16="http://schemas.microsoft.com/office/drawing/2014/chart" uri="{C3380CC4-5D6E-409C-BE32-E72D297353CC}">
              <c16:uniqueId val="{00000003-22C8-430F-AEF5-289F0341DBF6}"/>
            </c:ext>
          </c:extLst>
        </c:ser>
        <c:ser>
          <c:idx val="1"/>
          <c:order val="1"/>
          <c:tx>
            <c:strRef>
              <c:f>Sheet1!$D$1</c:f>
              <c:strCache>
                <c:ptCount val="1"/>
                <c:pt idx="0">
                  <c:v>2019.gada maija beigas</c:v>
                </c:pt>
              </c:strCache>
            </c:strRef>
          </c:tx>
          <c:spPr>
            <a:ln w="19050" cap="rnd">
              <a:solidFill>
                <a:schemeClr val="tx1">
                  <a:lumMod val="50000"/>
                  <a:lumOff val="50000"/>
                  <a:alpha val="40000"/>
                </a:schemeClr>
              </a:solidFill>
              <a:prstDash val="solid"/>
              <a:round/>
            </a:ln>
            <a:effectLst/>
          </c:spPr>
          <c:marker>
            <c:symbol val="none"/>
          </c:marker>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Sheet1!$D$2:$D$28</c:f>
              <c:numCache>
                <c:formatCode>General</c:formatCode>
                <c:ptCount val="27"/>
                <c:pt idx="0">
                  <c:v>6.1</c:v>
                </c:pt>
                <c:pt idx="1">
                  <c:v>6.1</c:v>
                </c:pt>
                <c:pt idx="2">
                  <c:v>6.1</c:v>
                </c:pt>
                <c:pt idx="3">
                  <c:v>6.1</c:v>
                </c:pt>
                <c:pt idx="4">
                  <c:v>6.1</c:v>
                </c:pt>
                <c:pt idx="5">
                  <c:v>6.1</c:v>
                </c:pt>
                <c:pt idx="6">
                  <c:v>6.1</c:v>
                </c:pt>
                <c:pt idx="7">
                  <c:v>6.1</c:v>
                </c:pt>
                <c:pt idx="8">
                  <c:v>6.1</c:v>
                </c:pt>
                <c:pt idx="9">
                  <c:v>6.1</c:v>
                </c:pt>
                <c:pt idx="10">
                  <c:v>6.1</c:v>
                </c:pt>
                <c:pt idx="11">
                  <c:v>6.1</c:v>
                </c:pt>
                <c:pt idx="12">
                  <c:v>6.1</c:v>
                </c:pt>
                <c:pt idx="13">
                  <c:v>6.1</c:v>
                </c:pt>
                <c:pt idx="14">
                  <c:v>6.1</c:v>
                </c:pt>
                <c:pt idx="15">
                  <c:v>6.1</c:v>
                </c:pt>
                <c:pt idx="16">
                  <c:v>6.1</c:v>
                </c:pt>
                <c:pt idx="17">
                  <c:v>6.1</c:v>
                </c:pt>
                <c:pt idx="18">
                  <c:v>6.1</c:v>
                </c:pt>
                <c:pt idx="19">
                  <c:v>6.1</c:v>
                </c:pt>
                <c:pt idx="20">
                  <c:v>6.1</c:v>
                </c:pt>
                <c:pt idx="21">
                  <c:v>6.1</c:v>
                </c:pt>
                <c:pt idx="22">
                  <c:v>6.1</c:v>
                </c:pt>
                <c:pt idx="23">
                  <c:v>6.1</c:v>
                </c:pt>
                <c:pt idx="24">
                  <c:v>6.1</c:v>
                </c:pt>
                <c:pt idx="25">
                  <c:v>6.1</c:v>
                </c:pt>
                <c:pt idx="26">
                  <c:v>6.1</c:v>
                </c:pt>
              </c:numCache>
            </c:numRef>
          </c:val>
          <c:smooth val="0"/>
          <c:extLst>
            <c:ext xmlns:c16="http://schemas.microsoft.com/office/drawing/2014/chart" uri="{C3380CC4-5D6E-409C-BE32-E72D297353CC}">
              <c16:uniqueId val="{00000004-22C8-430F-AEF5-289F0341DBF6}"/>
            </c:ext>
          </c:extLst>
        </c:ser>
        <c:ser>
          <c:idx val="2"/>
          <c:order val="2"/>
          <c:tx>
            <c:strRef>
              <c:f>Sheet1!$E$1</c:f>
              <c:strCache>
                <c:ptCount val="1"/>
                <c:pt idx="0">
                  <c:v>2018.gada maija beigas</c:v>
                </c:pt>
              </c:strCache>
            </c:strRef>
          </c:tx>
          <c:spPr>
            <a:ln w="12700" cap="rnd">
              <a:solidFill>
                <a:schemeClr val="tx1">
                  <a:lumMod val="50000"/>
                  <a:lumOff val="50000"/>
                  <a:alpha val="40000"/>
                </a:schemeClr>
              </a:solidFill>
              <a:prstDash val="solid"/>
              <a:round/>
            </a:ln>
            <a:effectLst/>
          </c:spPr>
          <c:marker>
            <c:symbol val="none"/>
          </c:marker>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Sheet1!$E$2:$E$28</c:f>
              <c:numCache>
                <c:formatCode>General</c:formatCode>
                <c:ptCount val="27"/>
                <c:pt idx="0">
                  <c:v>6.4</c:v>
                </c:pt>
                <c:pt idx="1">
                  <c:v>6.4</c:v>
                </c:pt>
                <c:pt idx="2">
                  <c:v>6.4</c:v>
                </c:pt>
                <c:pt idx="3">
                  <c:v>6.4</c:v>
                </c:pt>
                <c:pt idx="4">
                  <c:v>6.4</c:v>
                </c:pt>
                <c:pt idx="5">
                  <c:v>6.4</c:v>
                </c:pt>
                <c:pt idx="6">
                  <c:v>6.4</c:v>
                </c:pt>
                <c:pt idx="7">
                  <c:v>6.4</c:v>
                </c:pt>
                <c:pt idx="8">
                  <c:v>6.4</c:v>
                </c:pt>
                <c:pt idx="9">
                  <c:v>6.4</c:v>
                </c:pt>
                <c:pt idx="10">
                  <c:v>6.4</c:v>
                </c:pt>
                <c:pt idx="11">
                  <c:v>6.4</c:v>
                </c:pt>
                <c:pt idx="12">
                  <c:v>6.4</c:v>
                </c:pt>
                <c:pt idx="13">
                  <c:v>6.4</c:v>
                </c:pt>
                <c:pt idx="14">
                  <c:v>6.4</c:v>
                </c:pt>
                <c:pt idx="15">
                  <c:v>6.4</c:v>
                </c:pt>
                <c:pt idx="16">
                  <c:v>6.4</c:v>
                </c:pt>
                <c:pt idx="17">
                  <c:v>6.4</c:v>
                </c:pt>
                <c:pt idx="18">
                  <c:v>6.4</c:v>
                </c:pt>
                <c:pt idx="19">
                  <c:v>6.4</c:v>
                </c:pt>
                <c:pt idx="20">
                  <c:v>6.4</c:v>
                </c:pt>
                <c:pt idx="21">
                  <c:v>6.4</c:v>
                </c:pt>
                <c:pt idx="22">
                  <c:v>6.4</c:v>
                </c:pt>
                <c:pt idx="23">
                  <c:v>6.4</c:v>
                </c:pt>
                <c:pt idx="24">
                  <c:v>6.4</c:v>
                </c:pt>
                <c:pt idx="25">
                  <c:v>6.4</c:v>
                </c:pt>
                <c:pt idx="26">
                  <c:v>6.4</c:v>
                </c:pt>
              </c:numCache>
            </c:numRef>
          </c:val>
          <c:smooth val="0"/>
          <c:extLst>
            <c:ext xmlns:c16="http://schemas.microsoft.com/office/drawing/2014/chart" uri="{C3380CC4-5D6E-409C-BE32-E72D297353CC}">
              <c16:uniqueId val="{00000005-22C8-430F-AEF5-289F0341DBF6}"/>
            </c:ext>
          </c:extLst>
        </c:ser>
        <c:ser>
          <c:idx val="3"/>
          <c:order val="3"/>
          <c:tx>
            <c:strRef>
              <c:f>Sheet1!$F$1</c:f>
              <c:strCache>
                <c:ptCount val="1"/>
                <c:pt idx="0">
                  <c:v>2017.gada maija beigas</c:v>
                </c:pt>
              </c:strCache>
            </c:strRef>
          </c:tx>
          <c:spPr>
            <a:ln w="6350" cap="rnd">
              <a:solidFill>
                <a:schemeClr val="tx1">
                  <a:lumMod val="50000"/>
                  <a:lumOff val="50000"/>
                  <a:alpha val="40000"/>
                </a:schemeClr>
              </a:solidFill>
              <a:prstDash val="solid"/>
              <a:round/>
            </a:ln>
            <a:effectLst/>
          </c:spPr>
          <c:marker>
            <c:symbol val="none"/>
          </c:marker>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Sheet1!$F$2:$F$28</c:f>
              <c:numCache>
                <c:formatCode>General</c:formatCode>
                <c:ptCount val="27"/>
                <c:pt idx="0">
                  <c:v>7.4</c:v>
                </c:pt>
                <c:pt idx="1">
                  <c:v>7.4</c:v>
                </c:pt>
                <c:pt idx="2">
                  <c:v>7.4</c:v>
                </c:pt>
                <c:pt idx="3">
                  <c:v>7.4</c:v>
                </c:pt>
                <c:pt idx="4">
                  <c:v>7.4</c:v>
                </c:pt>
                <c:pt idx="5">
                  <c:v>7.4</c:v>
                </c:pt>
                <c:pt idx="6">
                  <c:v>7.4</c:v>
                </c:pt>
                <c:pt idx="7">
                  <c:v>7.4</c:v>
                </c:pt>
                <c:pt idx="8">
                  <c:v>7.4</c:v>
                </c:pt>
                <c:pt idx="9">
                  <c:v>7.4</c:v>
                </c:pt>
                <c:pt idx="10">
                  <c:v>7.4</c:v>
                </c:pt>
                <c:pt idx="11">
                  <c:v>7.4</c:v>
                </c:pt>
                <c:pt idx="12">
                  <c:v>7.4</c:v>
                </c:pt>
                <c:pt idx="13">
                  <c:v>7.4</c:v>
                </c:pt>
                <c:pt idx="14">
                  <c:v>7.4</c:v>
                </c:pt>
                <c:pt idx="15">
                  <c:v>7.4</c:v>
                </c:pt>
                <c:pt idx="16">
                  <c:v>7.4</c:v>
                </c:pt>
                <c:pt idx="17">
                  <c:v>7.4</c:v>
                </c:pt>
                <c:pt idx="18">
                  <c:v>7.4</c:v>
                </c:pt>
                <c:pt idx="19">
                  <c:v>7.4</c:v>
                </c:pt>
                <c:pt idx="20">
                  <c:v>7.4</c:v>
                </c:pt>
                <c:pt idx="21">
                  <c:v>7.4</c:v>
                </c:pt>
                <c:pt idx="22">
                  <c:v>7.4</c:v>
                </c:pt>
                <c:pt idx="23">
                  <c:v>7.4</c:v>
                </c:pt>
                <c:pt idx="24">
                  <c:v>7.4</c:v>
                </c:pt>
                <c:pt idx="25">
                  <c:v>7.4</c:v>
                </c:pt>
                <c:pt idx="26">
                  <c:v>7.4</c:v>
                </c:pt>
              </c:numCache>
            </c:numRef>
          </c:val>
          <c:smooth val="0"/>
          <c:extLst>
            <c:ext xmlns:c16="http://schemas.microsoft.com/office/drawing/2014/chart" uri="{C3380CC4-5D6E-409C-BE32-E72D297353CC}">
              <c16:uniqueId val="{00000006-22C8-430F-AEF5-289F0341DBF6}"/>
            </c:ext>
          </c:extLst>
        </c:ser>
        <c:dLbls>
          <c:showLegendKey val="0"/>
          <c:showVal val="0"/>
          <c:showCatName val="0"/>
          <c:showSerName val="0"/>
          <c:showPercent val="0"/>
          <c:showBubbleSize val="0"/>
        </c:dLbls>
        <c:marker val="1"/>
        <c:smooth val="0"/>
        <c:axId val="742028352"/>
        <c:axId val="742026392"/>
      </c:lineChart>
      <c:dateAx>
        <c:axId val="742028352"/>
        <c:scaling>
          <c:orientation val="minMax"/>
        </c:scaling>
        <c:delete val="0"/>
        <c:axPos val="b"/>
        <c:numFmt formatCode="General" sourceLinked="1"/>
        <c:majorTickMark val="none"/>
        <c:minorTickMark val="out"/>
        <c:tickLblPos val="nextTo"/>
        <c:spPr>
          <a:noFill/>
          <a:ln w="9525" cap="flat" cmpd="sng" algn="ctr">
            <a:solidFill>
              <a:schemeClr val="bg1">
                <a:lumMod val="6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6392"/>
        <c:crosses val="autoZero"/>
        <c:auto val="1"/>
        <c:lblOffset val="100"/>
        <c:baseTimeUnit val="days"/>
        <c:majorUnit val="2"/>
        <c:majorTimeUnit val="months"/>
        <c:minorUnit val="1"/>
        <c:minorTimeUnit val="months"/>
      </c:dateAx>
      <c:valAx>
        <c:axId val="742026392"/>
        <c:scaling>
          <c:orientation val="minMax"/>
          <c:max val="9"/>
          <c:min val="6"/>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8352"/>
        <c:crosses val="autoZero"/>
        <c:crossBetween val="between"/>
        <c:majorUnit val="0.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userShapes r:id="rId4"/>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127.30112013081479</c:v>
                </c:pt>
                <c:pt idx="1">
                  <c:v>124.85050494448157</c:v>
                </c:pt>
                <c:pt idx="2">
                  <c:v>127.54764170751433</c:v>
                </c:pt>
                <c:pt idx="3">
                  <c:v>129.81559898510338</c:v>
                </c:pt>
                <c:pt idx="4">
                  <c:v>131.7696760849565</c:v>
                </c:pt>
                <c:pt idx="5">
                  <c:v>133.58492582973565</c:v>
                </c:pt>
                <c:pt idx="6">
                  <c:v>135.55389328240605</c:v>
                </c:pt>
                <c:pt idx="7">
                  <c:v>137.42286221842835</c:v>
                </c:pt>
                <c:pt idx="8">
                  <c:v>139.3098952682503</c:v>
                </c:pt>
                <c:pt idx="9">
                  <c:v>141.02227401369871</c:v>
                </c:pt>
                <c:pt idx="10">
                  <c:v>142.72593511264347</c:v>
                </c:pt>
                <c:pt idx="11">
                  <c:v>144.25611867693192</c:v>
                </c:pt>
                <c:pt idx="12">
                  <c:v>145.57137207166397</c:v>
                </c:pt>
                <c:pt idx="13">
                  <c:v>146.87165693423481</c:v>
                </c:pt>
                <c:pt idx="14">
                  <c:v>148.18065237345445</c:v>
                </c:pt>
                <c:pt idx="15">
                  <c:v>149.42915266479375</c:v>
                </c:pt>
                <c:pt idx="16">
                  <c:v>150.82076288854375</c:v>
                </c:pt>
                <c:pt idx="17">
                  <c:v>152.23747501328802</c:v>
                </c:pt>
                <c:pt idx="18">
                  <c:v>153.66138180789645</c:v>
                </c:pt>
                <c:pt idx="19">
                  <c:v>155.01064925608256</c:v>
                </c:pt>
                <c:pt idx="20">
                  <c:v>156.47867642884697</c:v>
                </c:pt>
              </c:numCache>
            </c:numRef>
          </c:val>
          <c:smooth val="0"/>
          <c:extLst>
            <c:ext xmlns:c16="http://schemas.microsoft.com/office/drawing/2014/chart" uri="{C3380CC4-5D6E-409C-BE32-E72D297353CC}">
              <c16:uniqueId val="{00000000-CA57-44F2-A37B-E62A37AAFF6A}"/>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136.99190010565334</c:v>
                </c:pt>
                <c:pt idx="1">
                  <c:v>133.58492381142389</c:v>
                </c:pt>
                <c:pt idx="2">
                  <c:v>135.56011952588196</c:v>
                </c:pt>
                <c:pt idx="3">
                  <c:v>136.90596791404454</c:v>
                </c:pt>
                <c:pt idx="4">
                  <c:v>138.31982896097136</c:v>
                </c:pt>
                <c:pt idx="5">
                  <c:v>139.68905616689588</c:v>
                </c:pt>
                <c:pt idx="6">
                  <c:v>141.13547789116208</c:v>
                </c:pt>
                <c:pt idx="7">
                  <c:v>142.62227890597677</c:v>
                </c:pt>
                <c:pt idx="8">
                  <c:v>144.16892095645585</c:v>
                </c:pt>
                <c:pt idx="9">
                  <c:v>145.83450164217291</c:v>
                </c:pt>
                <c:pt idx="10">
                  <c:v>147.59028112086426</c:v>
                </c:pt>
                <c:pt idx="11">
                  <c:v>149.28386371490382</c:v>
                </c:pt>
                <c:pt idx="12">
                  <c:v>150.74183378354451</c:v>
                </c:pt>
                <c:pt idx="13">
                  <c:v>152.1060279445866</c:v>
                </c:pt>
                <c:pt idx="14">
                  <c:v>153.31001915994975</c:v>
                </c:pt>
                <c:pt idx="15">
                  <c:v>154.62904221193909</c:v>
                </c:pt>
                <c:pt idx="16">
                  <c:v>155.92307001876162</c:v>
                </c:pt>
                <c:pt idx="17">
                  <c:v>157.10062220105894</c:v>
                </c:pt>
                <c:pt idx="18">
                  <c:v>158.38200783363217</c:v>
                </c:pt>
                <c:pt idx="19">
                  <c:v>159.6651229452921</c:v>
                </c:pt>
                <c:pt idx="20">
                  <c:v>160.98067230549353</c:v>
                </c:pt>
              </c:numCache>
            </c:numRef>
          </c:val>
          <c:smooth val="0"/>
          <c:extLst>
            <c:ext xmlns:c16="http://schemas.microsoft.com/office/drawing/2014/chart" uri="{C3380CC4-5D6E-409C-BE32-E72D297353CC}">
              <c16:uniqueId val="{00000001-CA57-44F2-A37B-E62A37AAFF6A}"/>
            </c:ext>
          </c:extLst>
        </c:ser>
        <c:dLbls>
          <c:showLegendKey val="0"/>
          <c:showVal val="0"/>
          <c:showCatName val="0"/>
          <c:showSerName val="0"/>
          <c:showPercent val="0"/>
          <c:showBubbleSize val="0"/>
        </c:dLbls>
        <c:smooth val="0"/>
        <c:axId val="598990000"/>
        <c:axId val="598990392"/>
      </c:lineChart>
      <c:catAx>
        <c:axId val="59899000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90392"/>
        <c:crosses val="autoZero"/>
        <c:auto val="1"/>
        <c:lblAlgn val="ctr"/>
        <c:lblOffset val="0"/>
        <c:tickLblSkip val="2"/>
        <c:tickMarkSkip val="2"/>
        <c:noMultiLvlLbl val="1"/>
      </c:catAx>
      <c:valAx>
        <c:axId val="598990392"/>
        <c:scaling>
          <c:orientation val="minMax"/>
          <c:min val="120"/>
        </c:scaling>
        <c:delete val="0"/>
        <c:axPos val="l"/>
        <c:numFmt formatCode="0" sourceLinked="0"/>
        <c:majorTickMark val="out"/>
        <c:minorTickMark val="none"/>
        <c:tickLblPos val="nextTo"/>
        <c:txPr>
          <a:bodyPr rot="0" vert="horz"/>
          <a:lstStyle/>
          <a:p>
            <a:pPr>
              <a:defRPr/>
            </a:pPr>
            <a:endParaRPr lang="lv-LV"/>
          </a:p>
        </c:txPr>
        <c:crossAx val="598990000"/>
        <c:crossesAt val="1"/>
        <c:crossBetween val="between"/>
        <c:majorUnit val="10"/>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42.218626836812049</c:v>
                </c:pt>
                <c:pt idx="1">
                  <c:v>40.250121558955769</c:v>
                </c:pt>
                <c:pt idx="2">
                  <c:v>39.867670984080561</c:v>
                </c:pt>
                <c:pt idx="3">
                  <c:v>39.370078622233102</c:v>
                </c:pt>
                <c:pt idx="4">
                  <c:v>38.805528936872527</c:v>
                </c:pt>
                <c:pt idx="5">
                  <c:v>38.249200683621083</c:v>
                </c:pt>
                <c:pt idx="6">
                  <c:v>37.707921953920859</c:v>
                </c:pt>
                <c:pt idx="7">
                  <c:v>37.100220452041974</c:v>
                </c:pt>
                <c:pt idx="8">
                  <c:v>36.505556738734256</c:v>
                </c:pt>
                <c:pt idx="9">
                  <c:v>35.801122240886315</c:v>
                </c:pt>
                <c:pt idx="10">
                  <c:v>35.060399570576443</c:v>
                </c:pt>
                <c:pt idx="11">
                  <c:v>34.272134206001454</c:v>
                </c:pt>
                <c:pt idx="12">
                  <c:v>33.431953576743496</c:v>
                </c:pt>
                <c:pt idx="13">
                  <c:v>32.585902837640042</c:v>
                </c:pt>
                <c:pt idx="14">
                  <c:v>31.741710510502347</c:v>
                </c:pt>
                <c:pt idx="15">
                  <c:v>30.884102813737822</c:v>
                </c:pt>
                <c:pt idx="16">
                  <c:v>30.055079445434476</c:v>
                </c:pt>
                <c:pt idx="17">
                  <c:v>29.227959067794739</c:v>
                </c:pt>
                <c:pt idx="18">
                  <c:v>28.399651381497556</c:v>
                </c:pt>
                <c:pt idx="19">
                  <c:v>27.555154095933339</c:v>
                </c:pt>
                <c:pt idx="20">
                  <c:v>26.72902531689375</c:v>
                </c:pt>
              </c:numCache>
            </c:numRef>
          </c:val>
          <c:smooth val="0"/>
          <c:extLst>
            <c:ext xmlns:c16="http://schemas.microsoft.com/office/drawing/2014/chart" uri="{C3380CC4-5D6E-409C-BE32-E72D297353CC}">
              <c16:uniqueId val="{00000000-ABC9-48F8-A3F8-F7CEA057AB50}"/>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46.788503196797336</c:v>
                </c:pt>
                <c:pt idx="1">
                  <c:v>45.036001222387831</c:v>
                </c:pt>
                <c:pt idx="2">
                  <c:v>45.125177562719301</c:v>
                </c:pt>
                <c:pt idx="3">
                  <c:v>45.009132740559487</c:v>
                </c:pt>
                <c:pt idx="4">
                  <c:v>44.783093477620014</c:v>
                </c:pt>
                <c:pt idx="5">
                  <c:v>44.284860304424612</c:v>
                </c:pt>
                <c:pt idx="6">
                  <c:v>43.511263470236877</c:v>
                </c:pt>
                <c:pt idx="7">
                  <c:v>42.533674132324222</c:v>
                </c:pt>
                <c:pt idx="8">
                  <c:v>42.038396581312178</c:v>
                </c:pt>
                <c:pt idx="9">
                  <c:v>41.501868727571313</c:v>
                </c:pt>
                <c:pt idx="10">
                  <c:v>40.903934591637849</c:v>
                </c:pt>
                <c:pt idx="11">
                  <c:v>40.237483441798126</c:v>
                </c:pt>
                <c:pt idx="12">
                  <c:v>39.492997577462098</c:v>
                </c:pt>
                <c:pt idx="13">
                  <c:v>38.725046992847901</c:v>
                </c:pt>
                <c:pt idx="14">
                  <c:v>37.895162626335036</c:v>
                </c:pt>
                <c:pt idx="15">
                  <c:v>37.122873736342868</c:v>
                </c:pt>
                <c:pt idx="16">
                  <c:v>36.313814362471241</c:v>
                </c:pt>
                <c:pt idx="17">
                  <c:v>35.387777669763331</c:v>
                </c:pt>
                <c:pt idx="18">
                  <c:v>34.399633985000897</c:v>
                </c:pt>
                <c:pt idx="19">
                  <c:v>33.343021732603731</c:v>
                </c:pt>
                <c:pt idx="20">
                  <c:v>32.254813912682906</c:v>
                </c:pt>
              </c:numCache>
            </c:numRef>
          </c:val>
          <c:smooth val="0"/>
          <c:extLst>
            <c:ext xmlns:c16="http://schemas.microsoft.com/office/drawing/2014/chart" uri="{C3380CC4-5D6E-409C-BE32-E72D297353CC}">
              <c16:uniqueId val="{00000001-ABC9-48F8-A3F8-F7CEA057AB50}"/>
            </c:ext>
          </c:extLst>
        </c:ser>
        <c:dLbls>
          <c:showLegendKey val="0"/>
          <c:showVal val="0"/>
          <c:showCatName val="0"/>
          <c:showSerName val="0"/>
          <c:showPercent val="0"/>
          <c:showBubbleSize val="0"/>
        </c:dLbls>
        <c:smooth val="0"/>
        <c:axId val="598982160"/>
        <c:axId val="598979416"/>
      </c:lineChart>
      <c:catAx>
        <c:axId val="598982160"/>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79416"/>
        <c:crosses val="autoZero"/>
        <c:auto val="1"/>
        <c:lblAlgn val="ctr"/>
        <c:lblOffset val="0"/>
        <c:tickLblSkip val="2"/>
        <c:tickMarkSkip val="2"/>
        <c:noMultiLvlLbl val="1"/>
      </c:catAx>
      <c:valAx>
        <c:axId val="598979416"/>
        <c:scaling>
          <c:orientation val="minMax"/>
          <c:min val="20"/>
        </c:scaling>
        <c:delete val="0"/>
        <c:axPos val="l"/>
        <c:numFmt formatCode="0" sourceLinked="0"/>
        <c:majorTickMark val="out"/>
        <c:minorTickMark val="none"/>
        <c:tickLblPos val="nextTo"/>
        <c:txPr>
          <a:bodyPr rot="0" vert="horz"/>
          <a:lstStyle/>
          <a:p>
            <a:pPr>
              <a:defRPr/>
            </a:pPr>
            <a:endParaRPr lang="lv-LV"/>
          </a:p>
        </c:txPr>
        <c:crossAx val="598982160"/>
        <c:crossesAt val="1"/>
        <c:crossBetween val="between"/>
        <c:majorUnit val="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129.81304837099236</c:v>
                </c:pt>
                <c:pt idx="1">
                  <c:v>125.03996318482784</c:v>
                </c:pt>
                <c:pt idx="2">
                  <c:v>125.13160497913167</c:v>
                </c:pt>
                <c:pt idx="3">
                  <c:v>124.73286804239009</c:v>
                </c:pt>
                <c:pt idx="4">
                  <c:v>123.46300949143564</c:v>
                </c:pt>
                <c:pt idx="5">
                  <c:v>122.33938217004575</c:v>
                </c:pt>
                <c:pt idx="6">
                  <c:v>121.2346920121206</c:v>
                </c:pt>
                <c:pt idx="7">
                  <c:v>120.06905118388028</c:v>
                </c:pt>
                <c:pt idx="8">
                  <c:v>118.97464442607588</c:v>
                </c:pt>
                <c:pt idx="9">
                  <c:v>117.78997739505651</c:v>
                </c:pt>
                <c:pt idx="10">
                  <c:v>116.62734509090154</c:v>
                </c:pt>
                <c:pt idx="11">
                  <c:v>115.37053694269086</c:v>
                </c:pt>
                <c:pt idx="12">
                  <c:v>113.97023958416986</c:v>
                </c:pt>
                <c:pt idx="13">
                  <c:v>112.56471916573594</c:v>
                </c:pt>
                <c:pt idx="14">
                  <c:v>111.32243905769936</c:v>
                </c:pt>
                <c:pt idx="15">
                  <c:v>110.0777352817348</c:v>
                </c:pt>
                <c:pt idx="16">
                  <c:v>108.97007729863674</c:v>
                </c:pt>
                <c:pt idx="17">
                  <c:v>107.90422833870323</c:v>
                </c:pt>
                <c:pt idx="18">
                  <c:v>106.8680561673219</c:v>
                </c:pt>
                <c:pt idx="19">
                  <c:v>105.80261747322197</c:v>
                </c:pt>
                <c:pt idx="20">
                  <c:v>104.83876820704475</c:v>
                </c:pt>
              </c:numCache>
            </c:numRef>
          </c:val>
          <c:smooth val="0"/>
          <c:extLst>
            <c:ext xmlns:c16="http://schemas.microsoft.com/office/drawing/2014/chart" uri="{C3380CC4-5D6E-409C-BE32-E72D297353CC}">
              <c16:uniqueId val="{00000000-A5E4-427F-B7D2-96C22A4772CF}"/>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144.45738549129052</c:v>
                </c:pt>
                <c:pt idx="1">
                  <c:v>137.71717330463849</c:v>
                </c:pt>
                <c:pt idx="2">
                  <c:v>137.52031755244445</c:v>
                </c:pt>
                <c:pt idx="3">
                  <c:v>137.3243635842332</c:v>
                </c:pt>
                <c:pt idx="4">
                  <c:v>137.02951704260315</c:v>
                </c:pt>
                <c:pt idx="5">
                  <c:v>136.25624573960113</c:v>
                </c:pt>
                <c:pt idx="6">
                  <c:v>135.31609660454512</c:v>
                </c:pt>
                <c:pt idx="7">
                  <c:v>134.43567975920251</c:v>
                </c:pt>
                <c:pt idx="8">
                  <c:v>133.5781623416818</c:v>
                </c:pt>
                <c:pt idx="9">
                  <c:v>132.80487556570824</c:v>
                </c:pt>
                <c:pt idx="10">
                  <c:v>131.9246574137741</c:v>
                </c:pt>
                <c:pt idx="11">
                  <c:v>130.94566391683881</c:v>
                </c:pt>
                <c:pt idx="12">
                  <c:v>129.85202068806703</c:v>
                </c:pt>
                <c:pt idx="13">
                  <c:v>128.72654686239031</c:v>
                </c:pt>
                <c:pt idx="14">
                  <c:v>127.56317863546724</c:v>
                </c:pt>
                <c:pt idx="15">
                  <c:v>126.70343870256198</c:v>
                </c:pt>
                <c:pt idx="16">
                  <c:v>125.85864652146843</c:v>
                </c:pt>
                <c:pt idx="17">
                  <c:v>124.81635506176499</c:v>
                </c:pt>
                <c:pt idx="18">
                  <c:v>123.78871585811233</c:v>
                </c:pt>
                <c:pt idx="19">
                  <c:v>122.70707574286685</c:v>
                </c:pt>
                <c:pt idx="20">
                  <c:v>121.59665991936748</c:v>
                </c:pt>
              </c:numCache>
            </c:numRef>
          </c:val>
          <c:smooth val="0"/>
          <c:extLst>
            <c:ext xmlns:c16="http://schemas.microsoft.com/office/drawing/2014/chart" uri="{C3380CC4-5D6E-409C-BE32-E72D297353CC}">
              <c16:uniqueId val="{00000001-A5E4-427F-B7D2-96C22A4772CF}"/>
            </c:ext>
          </c:extLst>
        </c:ser>
        <c:dLbls>
          <c:showLegendKey val="0"/>
          <c:showVal val="0"/>
          <c:showCatName val="0"/>
          <c:showSerName val="0"/>
          <c:showPercent val="0"/>
          <c:showBubbleSize val="0"/>
        </c:dLbls>
        <c:smooth val="0"/>
        <c:axId val="598980592"/>
        <c:axId val="598982944"/>
      </c:lineChart>
      <c:catAx>
        <c:axId val="59898059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98982944"/>
        <c:crosses val="autoZero"/>
        <c:auto val="1"/>
        <c:lblAlgn val="ctr"/>
        <c:lblOffset val="0"/>
        <c:tickLblSkip val="2"/>
        <c:tickMarkSkip val="2"/>
        <c:noMultiLvlLbl val="1"/>
      </c:catAx>
      <c:valAx>
        <c:axId val="598982944"/>
        <c:scaling>
          <c:orientation val="minMax"/>
          <c:max val="165"/>
          <c:min val="90"/>
        </c:scaling>
        <c:delete val="0"/>
        <c:axPos val="l"/>
        <c:numFmt formatCode="0" sourceLinked="0"/>
        <c:majorTickMark val="out"/>
        <c:minorTickMark val="none"/>
        <c:tickLblPos val="nextTo"/>
        <c:txPr>
          <a:bodyPr rot="0" vert="horz"/>
          <a:lstStyle/>
          <a:p>
            <a:pPr>
              <a:defRPr/>
            </a:pPr>
            <a:endParaRPr lang="lv-LV"/>
          </a:p>
        </c:txPr>
        <c:crossAx val="598980592"/>
        <c:crossesAt val="1"/>
        <c:crossBetween val="between"/>
        <c:majorUnit val="15"/>
      </c:valAx>
      <c:spPr>
        <a:noFill/>
        <a:ln w="6335">
          <a:noFill/>
        </a:ln>
      </c:spPr>
    </c:plotArea>
    <c:legend>
      <c:legendPos val="t"/>
      <c:layout>
        <c:manualLayout>
          <c:xMode val="edge"/>
          <c:yMode val="edge"/>
          <c:x val="0.2902700213763707"/>
          <c:y val="3.478024674591098E-2"/>
          <c:w val="0.50226321132565288"/>
          <c:h val="0.2281168107612577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28.55069716301837</c:v>
                </c:pt>
                <c:pt idx="1">
                  <c:v>25.949358962835475</c:v>
                </c:pt>
                <c:pt idx="2">
                  <c:v>26.498349769704589</c:v>
                </c:pt>
                <c:pt idx="3">
                  <c:v>26.742745055997869</c:v>
                </c:pt>
                <c:pt idx="4">
                  <c:v>26.687428026920561</c:v>
                </c:pt>
                <c:pt idx="5">
                  <c:v>26.592970265437081</c:v>
                </c:pt>
                <c:pt idx="6">
                  <c:v>26.479662043354907</c:v>
                </c:pt>
                <c:pt idx="7">
                  <c:v>26.338032544211703</c:v>
                </c:pt>
                <c:pt idx="8">
                  <c:v>26.17385784347162</c:v>
                </c:pt>
                <c:pt idx="9">
                  <c:v>25.996176537632309</c:v>
                </c:pt>
                <c:pt idx="10">
                  <c:v>25.844734267042572</c:v>
                </c:pt>
                <c:pt idx="11">
                  <c:v>25.636917969255904</c:v>
                </c:pt>
                <c:pt idx="12">
                  <c:v>25.405357544693224</c:v>
                </c:pt>
                <c:pt idx="13">
                  <c:v>25.210691916963547</c:v>
                </c:pt>
                <c:pt idx="14">
                  <c:v>25.030262922883413</c:v>
                </c:pt>
                <c:pt idx="15">
                  <c:v>24.835686369345087</c:v>
                </c:pt>
                <c:pt idx="16">
                  <c:v>24.651527228318496</c:v>
                </c:pt>
                <c:pt idx="17">
                  <c:v>24.487957383301822</c:v>
                </c:pt>
                <c:pt idx="18">
                  <c:v>24.312148663126855</c:v>
                </c:pt>
                <c:pt idx="19">
                  <c:v>24.121564079486618</c:v>
                </c:pt>
                <c:pt idx="20">
                  <c:v>23.946583137725742</c:v>
                </c:pt>
              </c:numCache>
            </c:numRef>
          </c:val>
          <c:smooth val="0"/>
          <c:extLst>
            <c:ext xmlns:c16="http://schemas.microsoft.com/office/drawing/2014/chart" uri="{C3380CC4-5D6E-409C-BE32-E72D297353CC}">
              <c16:uniqueId val="{00000000-1F81-43AD-9258-814EE66975F5}"/>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30.443010415840146</c:v>
                </c:pt>
                <c:pt idx="1">
                  <c:v>28.7207677056312</c:v>
                </c:pt>
                <c:pt idx="2">
                  <c:v>28.22707657951069</c:v>
                </c:pt>
                <c:pt idx="3">
                  <c:v>27.65880478734994</c:v>
                </c:pt>
                <c:pt idx="4">
                  <c:v>27.100794173383949</c:v>
                </c:pt>
                <c:pt idx="5">
                  <c:v>26.609440451496361</c:v>
                </c:pt>
                <c:pt idx="6">
                  <c:v>26.200024942008653</c:v>
                </c:pt>
                <c:pt idx="7">
                  <c:v>25.84291293661051</c:v>
                </c:pt>
                <c:pt idx="8">
                  <c:v>25.502529207654455</c:v>
                </c:pt>
                <c:pt idx="9">
                  <c:v>25.194978371510988</c:v>
                </c:pt>
                <c:pt idx="10">
                  <c:v>24.901924094793891</c:v>
                </c:pt>
                <c:pt idx="11">
                  <c:v>24.592427021730678</c:v>
                </c:pt>
                <c:pt idx="12">
                  <c:v>24.243360378004269</c:v>
                </c:pt>
                <c:pt idx="13">
                  <c:v>23.885655530688105</c:v>
                </c:pt>
                <c:pt idx="14">
                  <c:v>23.530737282151829</c:v>
                </c:pt>
                <c:pt idx="15">
                  <c:v>23.238740869826294</c:v>
                </c:pt>
                <c:pt idx="16">
                  <c:v>22.951627328754789</c:v>
                </c:pt>
                <c:pt idx="17">
                  <c:v>22.645290273072042</c:v>
                </c:pt>
                <c:pt idx="18">
                  <c:v>22.367428210745086</c:v>
                </c:pt>
                <c:pt idx="19">
                  <c:v>22.092395187418081</c:v>
                </c:pt>
                <c:pt idx="20">
                  <c:v>21.828577803245025</c:v>
                </c:pt>
              </c:numCache>
            </c:numRef>
          </c:val>
          <c:smooth val="0"/>
          <c:extLst>
            <c:ext xmlns:c16="http://schemas.microsoft.com/office/drawing/2014/chart" uri="{C3380CC4-5D6E-409C-BE32-E72D297353CC}">
              <c16:uniqueId val="{00000001-1F81-43AD-9258-814EE66975F5}"/>
            </c:ext>
          </c:extLst>
        </c:ser>
        <c:dLbls>
          <c:showLegendKey val="0"/>
          <c:showVal val="0"/>
          <c:showCatName val="0"/>
          <c:showSerName val="0"/>
          <c:showPercent val="0"/>
          <c:showBubbleSize val="0"/>
        </c:dLbls>
        <c:smooth val="0"/>
        <c:axId val="566346576"/>
        <c:axId val="566357944"/>
      </c:lineChart>
      <c:catAx>
        <c:axId val="566346576"/>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7944"/>
        <c:crosses val="autoZero"/>
        <c:auto val="1"/>
        <c:lblAlgn val="ctr"/>
        <c:lblOffset val="0"/>
        <c:tickLblSkip val="2"/>
        <c:tickMarkSkip val="2"/>
        <c:noMultiLvlLbl val="1"/>
      </c:catAx>
      <c:valAx>
        <c:axId val="566357944"/>
        <c:scaling>
          <c:orientation val="minMax"/>
          <c:min val="20"/>
        </c:scaling>
        <c:delete val="0"/>
        <c:axPos val="l"/>
        <c:numFmt formatCode="0" sourceLinked="0"/>
        <c:majorTickMark val="out"/>
        <c:minorTickMark val="none"/>
        <c:tickLblPos val="nextTo"/>
        <c:txPr>
          <a:bodyPr rot="0" vert="horz"/>
          <a:lstStyle/>
          <a:p>
            <a:pPr>
              <a:defRPr/>
            </a:pPr>
            <a:endParaRPr lang="lv-LV"/>
          </a:p>
        </c:txPr>
        <c:crossAx val="566346576"/>
        <c:crossesAt val="1"/>
        <c:crossBetween val="between"/>
        <c:majorUnit val="3"/>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102.83788198132207</c:v>
                </c:pt>
                <c:pt idx="1">
                  <c:v>99.077024371612183</c:v>
                </c:pt>
                <c:pt idx="2">
                  <c:v>99.412110512295669</c:v>
                </c:pt>
                <c:pt idx="3">
                  <c:v>100.22261603121618</c:v>
                </c:pt>
                <c:pt idx="4">
                  <c:v>101.42127644589439</c:v>
                </c:pt>
                <c:pt idx="5">
                  <c:v>102.65078961530399</c:v>
                </c:pt>
                <c:pt idx="6">
                  <c:v>104.22076450910437</c:v>
                </c:pt>
                <c:pt idx="7">
                  <c:v>105.49851212556393</c:v>
                </c:pt>
                <c:pt idx="8">
                  <c:v>106.64953127589057</c:v>
                </c:pt>
                <c:pt idx="9">
                  <c:v>107.35252417026082</c:v>
                </c:pt>
                <c:pt idx="10">
                  <c:v>107.78832017983412</c:v>
                </c:pt>
                <c:pt idx="11">
                  <c:v>108.01660177029812</c:v>
                </c:pt>
                <c:pt idx="12">
                  <c:v>108.06773291801795</c:v>
                </c:pt>
                <c:pt idx="13">
                  <c:v>108.10530614832355</c:v>
                </c:pt>
                <c:pt idx="14">
                  <c:v>108.13381148850918</c:v>
                </c:pt>
                <c:pt idx="15">
                  <c:v>108.11583680654316</c:v>
                </c:pt>
                <c:pt idx="16">
                  <c:v>108.20035947844421</c:v>
                </c:pt>
                <c:pt idx="17">
                  <c:v>108.29918822982233</c:v>
                </c:pt>
                <c:pt idx="18">
                  <c:v>108.4013711777268</c:v>
                </c:pt>
                <c:pt idx="19">
                  <c:v>108.44912253696668</c:v>
                </c:pt>
                <c:pt idx="20">
                  <c:v>108.57812247105642</c:v>
                </c:pt>
              </c:numCache>
            </c:numRef>
          </c:val>
          <c:smooth val="0"/>
          <c:extLst>
            <c:ext xmlns:c16="http://schemas.microsoft.com/office/drawing/2014/chart" uri="{C3380CC4-5D6E-409C-BE32-E72D297353CC}">
              <c16:uniqueId val="{00000000-8AB5-4A1B-837B-0BA901CADE39}"/>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113.01357141177779</c:v>
                </c:pt>
                <c:pt idx="1">
                  <c:v>107.52018362460767</c:v>
                </c:pt>
                <c:pt idx="2">
                  <c:v>106.42251270484336</c:v>
                </c:pt>
                <c:pt idx="3">
                  <c:v>104.93380866409073</c:v>
                </c:pt>
                <c:pt idx="4">
                  <c:v>103.54809815793492</c:v>
                </c:pt>
                <c:pt idx="5">
                  <c:v>101.97653325734134</c:v>
                </c:pt>
                <c:pt idx="6">
                  <c:v>100.7606879984132</c:v>
                </c:pt>
                <c:pt idx="7">
                  <c:v>99.689724178691392</c:v>
                </c:pt>
                <c:pt idx="8">
                  <c:v>98.011447829013605</c:v>
                </c:pt>
                <c:pt idx="9">
                  <c:v>96.504895675090424</c:v>
                </c:pt>
                <c:pt idx="10">
                  <c:v>95.042888013628783</c:v>
                </c:pt>
                <c:pt idx="11">
                  <c:v>93.525291403331352</c:v>
                </c:pt>
                <c:pt idx="12">
                  <c:v>91.902584793620761</c:v>
                </c:pt>
                <c:pt idx="13">
                  <c:v>90.272546813906445</c:v>
                </c:pt>
                <c:pt idx="14">
                  <c:v>88.616068337135943</c:v>
                </c:pt>
                <c:pt idx="15">
                  <c:v>87.249249586582678</c:v>
                </c:pt>
                <c:pt idx="16">
                  <c:v>85.910555971359031</c:v>
                </c:pt>
                <c:pt idx="17">
                  <c:v>84.420725463942333</c:v>
                </c:pt>
                <c:pt idx="18">
                  <c:v>82.991876995986033</c:v>
                </c:pt>
                <c:pt idx="19">
                  <c:v>81.55507798083346</c:v>
                </c:pt>
                <c:pt idx="20">
                  <c:v>80.138964229041363</c:v>
                </c:pt>
              </c:numCache>
            </c:numRef>
          </c:val>
          <c:smooth val="0"/>
          <c:extLst>
            <c:ext xmlns:c16="http://schemas.microsoft.com/office/drawing/2014/chart" uri="{C3380CC4-5D6E-409C-BE32-E72D297353CC}">
              <c16:uniqueId val="{00000001-8AB5-4A1B-837B-0BA901CADE39}"/>
            </c:ext>
          </c:extLst>
        </c:ser>
        <c:dLbls>
          <c:showLegendKey val="0"/>
          <c:showVal val="0"/>
          <c:showCatName val="0"/>
          <c:showSerName val="0"/>
          <c:showPercent val="0"/>
          <c:showBubbleSize val="0"/>
        </c:dLbls>
        <c:smooth val="0"/>
        <c:axId val="566347752"/>
        <c:axId val="566350888"/>
      </c:lineChart>
      <c:catAx>
        <c:axId val="566347752"/>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0888"/>
        <c:crosses val="autoZero"/>
        <c:auto val="1"/>
        <c:lblAlgn val="ctr"/>
        <c:lblOffset val="0"/>
        <c:tickLblSkip val="2"/>
        <c:tickMarkSkip val="2"/>
        <c:noMultiLvlLbl val="1"/>
      </c:catAx>
      <c:valAx>
        <c:axId val="566350888"/>
        <c:scaling>
          <c:orientation val="minMax"/>
          <c:min val="70"/>
        </c:scaling>
        <c:delete val="0"/>
        <c:axPos val="l"/>
        <c:numFmt formatCode="0" sourceLinked="0"/>
        <c:majorTickMark val="out"/>
        <c:minorTickMark val="none"/>
        <c:tickLblPos val="nextTo"/>
        <c:txPr>
          <a:bodyPr rot="0" vert="horz"/>
          <a:lstStyle/>
          <a:p>
            <a:pPr>
              <a:defRPr/>
            </a:pPr>
            <a:endParaRPr lang="lv-LV"/>
          </a:p>
        </c:txPr>
        <c:crossAx val="566347752"/>
        <c:crossesAt val="1"/>
        <c:crossBetween val="between"/>
        <c:majorUnit val="8"/>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80.263746097977304</c:v>
                </c:pt>
                <c:pt idx="1">
                  <c:v>77.194844415504903</c:v>
                </c:pt>
                <c:pt idx="2">
                  <c:v>76.771735441940436</c:v>
                </c:pt>
                <c:pt idx="3">
                  <c:v>76.534323123651063</c:v>
                </c:pt>
                <c:pt idx="4">
                  <c:v>76.77193126546203</c:v>
                </c:pt>
                <c:pt idx="5">
                  <c:v>76.999083669506732</c:v>
                </c:pt>
                <c:pt idx="6">
                  <c:v>77.255432790039222</c:v>
                </c:pt>
                <c:pt idx="7">
                  <c:v>77.349529629286465</c:v>
                </c:pt>
                <c:pt idx="8">
                  <c:v>77.597787000431239</c:v>
                </c:pt>
                <c:pt idx="9">
                  <c:v>77.662595905828127</c:v>
                </c:pt>
                <c:pt idx="10">
                  <c:v>77.640633961565641</c:v>
                </c:pt>
                <c:pt idx="11">
                  <c:v>77.495054848292611</c:v>
                </c:pt>
                <c:pt idx="12">
                  <c:v>77.221867237601387</c:v>
                </c:pt>
                <c:pt idx="13">
                  <c:v>76.950756799286907</c:v>
                </c:pt>
                <c:pt idx="14">
                  <c:v>76.670774209816003</c:v>
                </c:pt>
                <c:pt idx="15">
                  <c:v>76.35078135778231</c:v>
                </c:pt>
                <c:pt idx="16">
                  <c:v>76.092389855252264</c:v>
                </c:pt>
                <c:pt idx="17">
                  <c:v>75.847481828096733</c:v>
                </c:pt>
                <c:pt idx="18">
                  <c:v>75.594895352355124</c:v>
                </c:pt>
                <c:pt idx="19">
                  <c:v>75.299618631346178</c:v>
                </c:pt>
                <c:pt idx="20">
                  <c:v>75.056385705819295</c:v>
                </c:pt>
              </c:numCache>
            </c:numRef>
          </c:val>
          <c:smooth val="0"/>
          <c:extLst>
            <c:ext xmlns:c16="http://schemas.microsoft.com/office/drawing/2014/chart" uri="{C3380CC4-5D6E-409C-BE32-E72D297353CC}">
              <c16:uniqueId val="{00000000-76FA-4732-A4DD-09164F38D640}"/>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86.343030557245342</c:v>
                </c:pt>
                <c:pt idx="1">
                  <c:v>81.942680431134605</c:v>
                </c:pt>
                <c:pt idx="2">
                  <c:v>80.988502214179988</c:v>
                </c:pt>
                <c:pt idx="3">
                  <c:v>79.907757158049279</c:v>
                </c:pt>
                <c:pt idx="4">
                  <c:v>78.80500451139379</c:v>
                </c:pt>
                <c:pt idx="5">
                  <c:v>77.641693174043908</c:v>
                </c:pt>
                <c:pt idx="6">
                  <c:v>76.302310143445112</c:v>
                </c:pt>
                <c:pt idx="7">
                  <c:v>75.197226578874279</c:v>
                </c:pt>
                <c:pt idx="8">
                  <c:v>74.260651299444561</c:v>
                </c:pt>
                <c:pt idx="9">
                  <c:v>73.379934413741921</c:v>
                </c:pt>
                <c:pt idx="10">
                  <c:v>72.510560173401373</c:v>
                </c:pt>
                <c:pt idx="11">
                  <c:v>71.589730498336195</c:v>
                </c:pt>
                <c:pt idx="12">
                  <c:v>70.625835476900519</c:v>
                </c:pt>
                <c:pt idx="13">
                  <c:v>69.70958934065149</c:v>
                </c:pt>
                <c:pt idx="14">
                  <c:v>68.855621051308773</c:v>
                </c:pt>
                <c:pt idx="15">
                  <c:v>68.151939216131666</c:v>
                </c:pt>
                <c:pt idx="16">
                  <c:v>67.538661047907055</c:v>
                </c:pt>
                <c:pt idx="17">
                  <c:v>66.888003946488624</c:v>
                </c:pt>
                <c:pt idx="18">
                  <c:v>66.283425690158595</c:v>
                </c:pt>
                <c:pt idx="19">
                  <c:v>65.662955775142123</c:v>
                </c:pt>
                <c:pt idx="20">
                  <c:v>65.118689509208863</c:v>
                </c:pt>
              </c:numCache>
            </c:numRef>
          </c:val>
          <c:smooth val="0"/>
          <c:extLst>
            <c:ext xmlns:c16="http://schemas.microsoft.com/office/drawing/2014/chart" uri="{C3380CC4-5D6E-409C-BE32-E72D297353CC}">
              <c16:uniqueId val="{00000001-76FA-4732-A4DD-09164F38D640}"/>
            </c:ext>
          </c:extLst>
        </c:ser>
        <c:dLbls>
          <c:showLegendKey val="0"/>
          <c:showVal val="0"/>
          <c:showCatName val="0"/>
          <c:showSerName val="0"/>
          <c:showPercent val="0"/>
          <c:showBubbleSize val="0"/>
        </c:dLbls>
        <c:smooth val="0"/>
        <c:axId val="566348928"/>
        <c:axId val="566350104"/>
      </c:lineChart>
      <c:catAx>
        <c:axId val="56634892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566350104"/>
        <c:crosses val="autoZero"/>
        <c:auto val="1"/>
        <c:lblAlgn val="ctr"/>
        <c:lblOffset val="0"/>
        <c:tickLblSkip val="2"/>
        <c:tickMarkSkip val="2"/>
        <c:noMultiLvlLbl val="1"/>
      </c:catAx>
      <c:valAx>
        <c:axId val="566350104"/>
        <c:scaling>
          <c:orientation val="minMax"/>
          <c:max val="105"/>
          <c:min val="55"/>
        </c:scaling>
        <c:delete val="0"/>
        <c:axPos val="l"/>
        <c:numFmt formatCode="0" sourceLinked="0"/>
        <c:majorTickMark val="out"/>
        <c:minorTickMark val="none"/>
        <c:tickLblPos val="nextTo"/>
        <c:txPr>
          <a:bodyPr rot="0" vert="horz"/>
          <a:lstStyle/>
          <a:p>
            <a:pPr>
              <a:defRPr/>
            </a:pPr>
            <a:endParaRPr lang="lv-LV"/>
          </a:p>
        </c:txPr>
        <c:crossAx val="566348928"/>
        <c:crossesAt val="1"/>
        <c:crossBetween val="between"/>
        <c:majorUnit val="10"/>
      </c:valAx>
      <c:spPr>
        <a:noFill/>
        <a:ln w="6335">
          <a:noFill/>
        </a:ln>
      </c:spPr>
    </c:plotArea>
    <c:legend>
      <c:legendPos val="t"/>
      <c:layout>
        <c:manualLayout>
          <c:xMode val="edge"/>
          <c:yMode val="edge"/>
          <c:x val="0.2902700213763707"/>
          <c:y val="3.478024674591098E-2"/>
          <c:w val="0.50226321132565288"/>
          <c:h val="0.22811681076125775"/>
        </c:manualLayout>
      </c:layout>
      <c:overlay val="0"/>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85153256704991"/>
          <c:y val="2.7980535279805412E-2"/>
          <c:w val="0.81271072796934851"/>
          <c:h val="0.80433564814814862"/>
        </c:manualLayout>
      </c:layout>
      <c:lineChart>
        <c:grouping val="standard"/>
        <c:varyColors val="0"/>
        <c:ser>
          <c:idx val="1"/>
          <c:order val="0"/>
          <c:tx>
            <c:strRef>
              <c:f>Sheet1!$A$2</c:f>
              <c:strCache>
                <c:ptCount val="1"/>
                <c:pt idx="0">
                  <c:v>Pieprasījums</c:v>
                </c:pt>
              </c:strCache>
            </c:strRef>
          </c:tx>
          <c:spPr>
            <a:ln w="22172">
              <a:solidFill>
                <a:srgbClr val="C0504D"/>
              </a:solidFill>
              <a:prstDash val="solid"/>
            </a:ln>
          </c:spPr>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Sheet1!$B$2:$W$2</c:f>
              <c:numCache>
                <c:formatCode>0</c:formatCode>
                <c:ptCount val="21"/>
                <c:pt idx="0">
                  <c:v>111.12052374193742</c:v>
                </c:pt>
                <c:pt idx="1">
                  <c:v>103.65833519421263</c:v>
                </c:pt>
                <c:pt idx="2">
                  <c:v>102.53387559852372</c:v>
                </c:pt>
                <c:pt idx="3">
                  <c:v>101.24267616152088</c:v>
                </c:pt>
                <c:pt idx="4">
                  <c:v>99.490928972055215</c:v>
                </c:pt>
                <c:pt idx="5">
                  <c:v>97.731015290408152</c:v>
                </c:pt>
                <c:pt idx="6">
                  <c:v>95.991574429140798</c:v>
                </c:pt>
                <c:pt idx="7">
                  <c:v>94.117614087902268</c:v>
                </c:pt>
                <c:pt idx="8">
                  <c:v>92.210476391477542</c:v>
                </c:pt>
                <c:pt idx="9">
                  <c:v>90.170906337068104</c:v>
                </c:pt>
                <c:pt idx="10">
                  <c:v>88.059836103926528</c:v>
                </c:pt>
                <c:pt idx="11">
                  <c:v>85.810561329991231</c:v>
                </c:pt>
                <c:pt idx="12">
                  <c:v>83.437104609480627</c:v>
                </c:pt>
                <c:pt idx="13">
                  <c:v>81.066160270055875</c:v>
                </c:pt>
                <c:pt idx="14">
                  <c:v>78.756285524408455</c:v>
                </c:pt>
                <c:pt idx="15">
                  <c:v>76.425526007090212</c:v>
                </c:pt>
                <c:pt idx="16">
                  <c:v>74.17231221108824</c:v>
                </c:pt>
                <c:pt idx="17">
                  <c:v>71.941624522287199</c:v>
                </c:pt>
                <c:pt idx="18">
                  <c:v>69.715805688510954</c:v>
                </c:pt>
                <c:pt idx="19">
                  <c:v>67.462189174622026</c:v>
                </c:pt>
                <c:pt idx="20">
                  <c:v>65.265921433885339</c:v>
                </c:pt>
              </c:numCache>
            </c:numRef>
          </c:val>
          <c:smooth val="0"/>
          <c:extLst>
            <c:ext xmlns:c16="http://schemas.microsoft.com/office/drawing/2014/chart" uri="{C3380CC4-5D6E-409C-BE32-E72D297353CC}">
              <c16:uniqueId val="{00000000-3575-406C-A233-C4BB8AC7BF56}"/>
            </c:ext>
          </c:extLst>
        </c:ser>
        <c:ser>
          <c:idx val="0"/>
          <c:order val="1"/>
          <c:tx>
            <c:strRef>
              <c:f>Sheet1!$A$3</c:f>
              <c:strCache>
                <c:ptCount val="1"/>
                <c:pt idx="0">
                  <c:v>Piedāvājums</c:v>
                </c:pt>
              </c:strCache>
            </c:strRef>
          </c:tx>
          <c:marker>
            <c:symbol val="none"/>
          </c:marker>
          <c:cat>
            <c:numRef>
              <c:f>Sheet1!$B$1:$W$1</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Sheet1!$B$3:$W$3</c:f>
              <c:numCache>
                <c:formatCode>0</c:formatCode>
                <c:ptCount val="21"/>
                <c:pt idx="0">
                  <c:v>130.7847266485457</c:v>
                </c:pt>
                <c:pt idx="1">
                  <c:v>124.059382676475</c:v>
                </c:pt>
                <c:pt idx="2">
                  <c:v>123.09436703131855</c:v>
                </c:pt>
                <c:pt idx="3">
                  <c:v>122.48395388421461</c:v>
                </c:pt>
                <c:pt idx="4">
                  <c:v>122.19258282799363</c:v>
                </c:pt>
                <c:pt idx="5">
                  <c:v>121.75945168235394</c:v>
                </c:pt>
                <c:pt idx="6">
                  <c:v>121.25210108380857</c:v>
                </c:pt>
                <c:pt idx="7">
                  <c:v>120.69774575401418</c:v>
                </c:pt>
                <c:pt idx="8">
                  <c:v>119.92264801920322</c:v>
                </c:pt>
                <c:pt idx="9">
                  <c:v>119.16241057297476</c:v>
                </c:pt>
                <c:pt idx="10">
                  <c:v>118.30309257581256</c:v>
                </c:pt>
                <c:pt idx="11">
                  <c:v>117.14221548003874</c:v>
                </c:pt>
                <c:pt idx="12">
                  <c:v>115.67392808789545</c:v>
                </c:pt>
                <c:pt idx="13">
                  <c:v>114.03556814368352</c:v>
                </c:pt>
                <c:pt idx="14">
                  <c:v>112.28685756192439</c:v>
                </c:pt>
                <c:pt idx="15">
                  <c:v>110.73988520612835</c:v>
                </c:pt>
                <c:pt idx="16">
                  <c:v>109.21598706955572</c:v>
                </c:pt>
                <c:pt idx="17">
                  <c:v>107.4933451393194</c:v>
                </c:pt>
                <c:pt idx="18">
                  <c:v>105.88276224213934</c:v>
                </c:pt>
                <c:pt idx="19">
                  <c:v>104.14283476226399</c:v>
                </c:pt>
                <c:pt idx="20">
                  <c:v>102.4191337272356</c:v>
                </c:pt>
              </c:numCache>
            </c:numRef>
          </c:val>
          <c:smooth val="0"/>
          <c:extLst>
            <c:ext xmlns:c16="http://schemas.microsoft.com/office/drawing/2014/chart" uri="{C3380CC4-5D6E-409C-BE32-E72D297353CC}">
              <c16:uniqueId val="{00000001-3575-406C-A233-C4BB8AC7BF56}"/>
            </c:ext>
          </c:extLst>
        </c:ser>
        <c:dLbls>
          <c:showLegendKey val="0"/>
          <c:showVal val="0"/>
          <c:showCatName val="0"/>
          <c:showSerName val="0"/>
          <c:showPercent val="0"/>
          <c:showBubbleSize val="0"/>
        </c:dLbls>
        <c:smooth val="0"/>
        <c:axId val="652768408"/>
        <c:axId val="652764096"/>
      </c:lineChart>
      <c:catAx>
        <c:axId val="652768408"/>
        <c:scaling>
          <c:orientation val="minMax"/>
        </c:scaling>
        <c:delete val="0"/>
        <c:axPos val="b"/>
        <c:numFmt formatCode="General" sourceLinked="1"/>
        <c:majorTickMark val="out"/>
        <c:minorTickMark val="none"/>
        <c:tickLblPos val="nextTo"/>
        <c:spPr>
          <a:solidFill>
            <a:sysClr val="window" lastClr="FFFFFF"/>
          </a:solidFill>
        </c:spPr>
        <c:txPr>
          <a:bodyPr rot="-5400000" vert="horz"/>
          <a:lstStyle/>
          <a:p>
            <a:pPr>
              <a:defRPr/>
            </a:pPr>
            <a:endParaRPr lang="lv-LV"/>
          </a:p>
        </c:txPr>
        <c:crossAx val="652764096"/>
        <c:crosses val="autoZero"/>
        <c:auto val="1"/>
        <c:lblAlgn val="ctr"/>
        <c:lblOffset val="0"/>
        <c:tickLblSkip val="2"/>
        <c:tickMarkSkip val="2"/>
        <c:noMultiLvlLbl val="1"/>
      </c:catAx>
      <c:valAx>
        <c:axId val="652764096"/>
        <c:scaling>
          <c:orientation val="minMax"/>
          <c:min val="60"/>
        </c:scaling>
        <c:delete val="0"/>
        <c:axPos val="l"/>
        <c:numFmt formatCode="0" sourceLinked="0"/>
        <c:majorTickMark val="out"/>
        <c:minorTickMark val="none"/>
        <c:tickLblPos val="nextTo"/>
        <c:txPr>
          <a:bodyPr rot="0" vert="horz"/>
          <a:lstStyle/>
          <a:p>
            <a:pPr>
              <a:defRPr/>
            </a:pPr>
            <a:endParaRPr lang="lv-LV"/>
          </a:p>
        </c:txPr>
        <c:crossAx val="652768408"/>
        <c:crossesAt val="1"/>
        <c:crossBetween val="between"/>
        <c:majorUnit val="15"/>
      </c:valAx>
      <c:spPr>
        <a:noFill/>
        <a:ln w="6335">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46416864716893E-2"/>
          <c:y val="6.2785388127853878E-2"/>
          <c:w val="0.77744090147496703"/>
          <c:h val="0.8048816674909286"/>
        </c:manualLayout>
      </c:layout>
      <c:barChart>
        <c:barDir val="col"/>
        <c:grouping val="clustered"/>
        <c:varyColors val="0"/>
        <c:ser>
          <c:idx val="0"/>
          <c:order val="0"/>
          <c:tx>
            <c:strRef>
              <c:f>Contacts!$K$11</c:f>
              <c:strCache>
                <c:ptCount val="1"/>
                <c:pt idx="0">
                  <c:v>Piedāvājums</c:v>
                </c:pt>
              </c:strCache>
            </c:strRef>
          </c:tx>
          <c:spPr>
            <a:solidFill>
              <a:schemeClr val="tx2"/>
            </a:solidFill>
            <a:ln>
              <a:noFill/>
            </a:ln>
            <a:effectLst/>
          </c:spPr>
          <c:invertIfNegative val="0"/>
          <c:cat>
            <c:strRef>
              <c:f>Contacts!$L$10:$O$10</c:f>
              <c:strCache>
                <c:ptCount val="4"/>
                <c:pt idx="0">
                  <c:v>Kopā</c:v>
                </c:pt>
                <c:pt idx="1">
                  <c:v>Augsta kvalifikācija</c:v>
                </c:pt>
                <c:pt idx="2">
                  <c:v>Vidēja kvalifikācija</c:v>
                </c:pt>
                <c:pt idx="3">
                  <c:v>Zema kvalifikācija</c:v>
                </c:pt>
              </c:strCache>
            </c:strRef>
          </c:cat>
          <c:val>
            <c:numRef>
              <c:f>Contacts!$L$11:$O$11</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0-8C4C-4253-B931-00016D3CA536}"/>
            </c:ext>
          </c:extLst>
        </c:ser>
        <c:ser>
          <c:idx val="1"/>
          <c:order val="1"/>
          <c:tx>
            <c:strRef>
              <c:f>Contacts!$K$12</c:f>
              <c:strCache>
                <c:ptCount val="1"/>
                <c:pt idx="0">
                  <c:v>Pieprasījums</c:v>
                </c:pt>
              </c:strCache>
            </c:strRef>
          </c:tx>
          <c:spPr>
            <a:solidFill>
              <a:schemeClr val="accent2"/>
            </a:solidFill>
            <a:ln>
              <a:noFill/>
            </a:ln>
            <a:effectLst/>
          </c:spPr>
          <c:invertIfNegative val="0"/>
          <c:dLbls>
            <c:dLbl>
              <c:idx val="0"/>
              <c:layout>
                <c:manualLayout>
                  <c:x val="-2.3747328425552127E-3"/>
                  <c:y val="0.136986301369862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4C-4253-B931-00016D3CA536}"/>
                </c:ext>
              </c:extLst>
            </c:dLbl>
            <c:dLbl>
              <c:idx val="1"/>
              <c:layout>
                <c:manualLayout>
                  <c:x val="-8.707253169104151E-17"/>
                  <c:y val="0.131278538812785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4C-4253-B931-00016D3CA536}"/>
                </c:ext>
              </c:extLst>
            </c:dLbl>
            <c:dLbl>
              <c:idx val="2"/>
              <c:layout>
                <c:manualLayout>
                  <c:x val="4.7494656851104254E-3"/>
                  <c:y val="0.131278538812785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4C-4253-B931-00016D3CA536}"/>
                </c:ext>
              </c:extLst>
            </c:dLbl>
            <c:dLbl>
              <c:idx val="3"/>
              <c:layout>
                <c:manualLayout>
                  <c:x val="7.1241985276656377E-3"/>
                  <c:y val="0.125570776255707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4C-4253-B931-00016D3CA53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Contacts!$L$10:$O$10</c:f>
              <c:strCache>
                <c:ptCount val="4"/>
                <c:pt idx="0">
                  <c:v>Kopā</c:v>
                </c:pt>
                <c:pt idx="1">
                  <c:v>Augsta kvalifikācija</c:v>
                </c:pt>
                <c:pt idx="2">
                  <c:v>Vidēja kvalifikācija</c:v>
                </c:pt>
                <c:pt idx="3">
                  <c:v>Zema kvalifikācija</c:v>
                </c:pt>
              </c:strCache>
            </c:strRef>
          </c:cat>
          <c:val>
            <c:numRef>
              <c:f>Contacts!$L$12:$O$12</c:f>
              <c:numCache>
                <c:formatCode>General</c:formatCode>
                <c:ptCount val="4"/>
                <c:pt idx="0">
                  <c:v>97</c:v>
                </c:pt>
                <c:pt idx="1">
                  <c:v>102</c:v>
                </c:pt>
                <c:pt idx="2">
                  <c:v>96</c:v>
                </c:pt>
                <c:pt idx="3">
                  <c:v>87</c:v>
                </c:pt>
              </c:numCache>
            </c:numRef>
          </c:val>
          <c:extLst>
            <c:ext xmlns:c16="http://schemas.microsoft.com/office/drawing/2014/chart" uri="{C3380CC4-5D6E-409C-BE32-E72D297353CC}">
              <c16:uniqueId val="{00000005-8C4C-4253-B931-00016D3CA536}"/>
            </c:ext>
          </c:extLst>
        </c:ser>
        <c:dLbls>
          <c:showLegendKey val="0"/>
          <c:showVal val="0"/>
          <c:showCatName val="0"/>
          <c:showSerName val="0"/>
          <c:showPercent val="0"/>
          <c:showBubbleSize val="0"/>
        </c:dLbls>
        <c:gapWidth val="104"/>
        <c:overlap val="69"/>
        <c:axId val="1667350111"/>
        <c:axId val="1667346367"/>
      </c:barChart>
      <c:catAx>
        <c:axId val="166735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67346367"/>
        <c:crosses val="autoZero"/>
        <c:auto val="1"/>
        <c:lblAlgn val="ctr"/>
        <c:lblOffset val="100"/>
        <c:noMultiLvlLbl val="0"/>
      </c:catAx>
      <c:valAx>
        <c:axId val="16673463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67350111"/>
        <c:crosses val="autoZero"/>
        <c:crossBetween val="between"/>
      </c:valAx>
      <c:spPr>
        <a:noFill/>
        <a:ln>
          <a:noFill/>
        </a:ln>
        <a:effectLst/>
      </c:spPr>
    </c:plotArea>
    <c:legend>
      <c:legendPos val="b"/>
      <c:layout>
        <c:manualLayout>
          <c:xMode val="edge"/>
          <c:yMode val="edge"/>
          <c:x val="0.82449826756694578"/>
          <c:y val="0.27774826519972673"/>
          <c:w val="0.16078736417743555"/>
          <c:h val="0.2599229676769855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95F4-406D-903D-3C136716465A}"/>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95F4-406D-903D-3C136716465A}"/>
              </c:ext>
            </c:extLst>
          </c:dPt>
          <c:dLbls>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94.418897754963595</c:v>
                </c:pt>
                <c:pt idx="1">
                  <c:v>92.666317454676843</c:v>
                </c:pt>
                <c:pt idx="2">
                  <c:v>96.678021412853823</c:v>
                </c:pt>
                <c:pt idx="3">
                  <c:v>96.704155604773675</c:v>
                </c:pt>
                <c:pt idx="4">
                  <c:v>85.71400262737555</c:v>
                </c:pt>
                <c:pt idx="5">
                  <c:v>88.404508586371833</c:v>
                </c:pt>
                <c:pt idx="6">
                  <c:v>103.78609367155605</c:v>
                </c:pt>
                <c:pt idx="7">
                  <c:v>113.4101903178465</c:v>
                </c:pt>
                <c:pt idx="8">
                  <c:v>107.07493332818865</c:v>
                </c:pt>
                <c:pt idx="9">
                  <c:v>74.435785393771397</c:v>
                </c:pt>
              </c:numCache>
            </c:numRef>
          </c:val>
          <c:extLst>
            <c:ext xmlns:c16="http://schemas.microsoft.com/office/drawing/2014/chart" uri="{C3380CC4-5D6E-409C-BE32-E72D297353CC}">
              <c16:uniqueId val="{00000002-95F4-406D-903D-3C136716465A}"/>
            </c:ext>
          </c:extLst>
        </c:ser>
        <c:dLbls>
          <c:showLegendKey val="0"/>
          <c:showVal val="1"/>
          <c:showCatName val="0"/>
          <c:showSerName val="0"/>
          <c:showPercent val="0"/>
          <c:showBubbleSize val="0"/>
        </c:dLbls>
        <c:gapWidth val="40"/>
        <c:overlap val="70"/>
        <c:axId val="652783304"/>
        <c:axId val="652773504"/>
      </c:barChart>
      <c:catAx>
        <c:axId val="65278330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73504"/>
        <c:crosses val="autoZero"/>
        <c:auto val="0"/>
        <c:lblAlgn val="ctr"/>
        <c:lblOffset val="100"/>
        <c:tickLblSkip val="1"/>
        <c:tickMarkSkip val="1"/>
        <c:noMultiLvlLbl val="0"/>
      </c:catAx>
      <c:valAx>
        <c:axId val="652773504"/>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83304"/>
        <c:crosses val="autoZero"/>
        <c:crossBetween val="between"/>
        <c:majorUnit val="20"/>
      </c:valAx>
      <c:spPr>
        <a:solidFill>
          <a:srgbClr val="FFFFFF"/>
        </a:solidFill>
        <a:ln>
          <a:noFill/>
        </a:ln>
        <a:effectLst/>
      </c:spPr>
    </c:plotArea>
    <c:legend>
      <c:legendPos val="l"/>
      <c:layout>
        <c:manualLayout>
          <c:xMode val="edge"/>
          <c:yMode val="edge"/>
          <c:x val="0.42587947920907415"/>
          <c:y val="8.9986039307568183E-2"/>
          <c:w val="0.1753675925925926"/>
          <c:h val="0.17090712087922266"/>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69907407407409E-2"/>
          <c:y val="4.678143904801723E-2"/>
          <c:w val="0.91310180318519607"/>
          <c:h val="0.88582237276206388"/>
        </c:manualLayout>
      </c:layout>
      <c:barChart>
        <c:barDir val="col"/>
        <c:grouping val="clustered"/>
        <c:varyColors val="0"/>
        <c:ser>
          <c:idx val="3"/>
          <c:order val="0"/>
          <c:tx>
            <c:strRef>
              <c:f>Sheet1!$B$1</c:f>
              <c:strCache>
                <c:ptCount val="1"/>
                <c:pt idx="0">
                  <c:v>piedāvājums</c:v>
                </c:pt>
              </c:strCache>
            </c:strRef>
          </c:tx>
          <c:spPr>
            <a:solidFill>
              <a:schemeClr val="accent4"/>
            </a:solidFill>
            <a:ln>
              <a:noFill/>
            </a:ln>
            <a:effectLst/>
          </c:spPr>
          <c:invertIfNegative val="0"/>
          <c:dLbls>
            <c:delete val="1"/>
          </c:dLbls>
          <c:cat>
            <c:numRef>
              <c:f>Sheet1!$A$2:$A$11</c:f>
              <c:numCache>
                <c:formatCode>General</c:formatCode>
                <c:ptCount val="10"/>
              </c:numCache>
            </c:numRef>
          </c:cat>
          <c:val>
            <c:numRef>
              <c:f>Sheet1!$B$2:$B$11</c:f>
              <c:numCache>
                <c:formatCode>#,##0</c:formatCode>
                <c:ptCount val="10"/>
                <c:pt idx="0">
                  <c:v>100</c:v>
                </c:pt>
                <c:pt idx="1">
                  <c:v>100</c:v>
                </c:pt>
                <c:pt idx="2">
                  <c:v>100</c:v>
                </c:pt>
                <c:pt idx="3">
                  <c:v>100</c:v>
                </c:pt>
                <c:pt idx="4">
                  <c:v>100</c:v>
                </c:pt>
                <c:pt idx="5">
                  <c:v>100</c:v>
                </c:pt>
                <c:pt idx="6">
                  <c:v>100</c:v>
                </c:pt>
                <c:pt idx="7">
                  <c:v>100</c:v>
                </c:pt>
                <c:pt idx="8">
                  <c:v>100</c:v>
                </c:pt>
                <c:pt idx="9">
                  <c:v>100</c:v>
                </c:pt>
              </c:numCache>
            </c:numRef>
          </c:val>
          <c:extLst>
            <c:ext xmlns:c16="http://schemas.microsoft.com/office/drawing/2014/chart" uri="{C3380CC4-5D6E-409C-BE32-E72D297353CC}">
              <c16:uniqueId val="{00000000-9D1C-4578-8990-062BE71262CB}"/>
            </c:ext>
          </c:extLst>
        </c:ser>
        <c:ser>
          <c:idx val="0"/>
          <c:order val="1"/>
          <c:tx>
            <c:strRef>
              <c:f>Sheet1!$C$1</c:f>
              <c:strCache>
                <c:ptCount val="1"/>
                <c:pt idx="0">
                  <c:v>pieprasījums</c:v>
                </c:pt>
              </c:strCache>
            </c:strRef>
          </c:tx>
          <c:spPr>
            <a:solidFill>
              <a:schemeClr val="accent4">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1-9D1C-4578-8990-062BE71262CB}"/>
              </c:ext>
            </c:extLst>
          </c:dPt>
          <c:dLbls>
            <c:dLbl>
              <c:idx val="9"/>
              <c:layout>
                <c:manualLayout>
                  <c:x val="0"/>
                  <c:y val="9.36010020211747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1C-4578-8990-062BE71262CB}"/>
                </c:ext>
              </c:extLst>
            </c:dLbl>
            <c:spPr>
              <a:noFill/>
              <a:ln>
                <a:noFill/>
              </a:ln>
              <a:effectLst/>
            </c:spPr>
            <c:txPr>
              <a:bodyPr rot="0" vert="horz"/>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Sheet1!$C$2:$C$11</c:f>
              <c:numCache>
                <c:formatCode>#,##0</c:formatCode>
                <c:ptCount val="10"/>
                <c:pt idx="0">
                  <c:v>95.048265212971856</c:v>
                </c:pt>
                <c:pt idx="1">
                  <c:v>89.814957585389777</c:v>
                </c:pt>
                <c:pt idx="2">
                  <c:v>95.631073068326671</c:v>
                </c:pt>
                <c:pt idx="3">
                  <c:v>97.203393542733437</c:v>
                </c:pt>
                <c:pt idx="4">
                  <c:v>82.868329016722797</c:v>
                </c:pt>
                <c:pt idx="5">
                  <c:v>86.218460504231672</c:v>
                </c:pt>
                <c:pt idx="6">
                  <c:v>109.70290118564598</c:v>
                </c:pt>
                <c:pt idx="7">
                  <c:v>135.48730447867337</c:v>
                </c:pt>
                <c:pt idx="8">
                  <c:v>115.26089709653182</c:v>
                </c:pt>
                <c:pt idx="9">
                  <c:v>63.724344327791975</c:v>
                </c:pt>
              </c:numCache>
            </c:numRef>
          </c:val>
          <c:extLst>
            <c:ext xmlns:c16="http://schemas.microsoft.com/office/drawing/2014/chart" uri="{C3380CC4-5D6E-409C-BE32-E72D297353CC}">
              <c16:uniqueId val="{00000003-9D1C-4578-8990-062BE71262CB}"/>
            </c:ext>
          </c:extLst>
        </c:ser>
        <c:dLbls>
          <c:showLegendKey val="0"/>
          <c:showVal val="1"/>
          <c:showCatName val="0"/>
          <c:showSerName val="0"/>
          <c:showPercent val="0"/>
          <c:showBubbleSize val="0"/>
        </c:dLbls>
        <c:gapWidth val="40"/>
        <c:overlap val="70"/>
        <c:axId val="652779384"/>
        <c:axId val="652779776"/>
      </c:barChart>
      <c:catAx>
        <c:axId val="652779384"/>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a:lstStyle/>
          <a:p>
            <a:pPr>
              <a:defRPr/>
            </a:pPr>
            <a:endParaRPr lang="lv-LV"/>
          </a:p>
        </c:txPr>
        <c:crossAx val="652779776"/>
        <c:crosses val="autoZero"/>
        <c:auto val="0"/>
        <c:lblAlgn val="ctr"/>
        <c:lblOffset val="100"/>
        <c:tickLblSkip val="1"/>
        <c:tickMarkSkip val="1"/>
        <c:noMultiLvlLbl val="0"/>
      </c:catAx>
      <c:valAx>
        <c:axId val="652779776"/>
        <c:scaling>
          <c:orientation val="minMax"/>
          <c:max val="140"/>
          <c:min val="60"/>
        </c:scaling>
        <c:delete val="0"/>
        <c:axPos val="l"/>
        <c:numFmt formatCode="#,##0" sourceLinked="0"/>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652779384"/>
        <c:crosses val="autoZero"/>
        <c:crossBetween val="between"/>
        <c:majorUnit val="20"/>
      </c:valAx>
      <c:spPr>
        <a:solidFill>
          <a:srgbClr val="FFFFFF"/>
        </a:solidFill>
        <a:ln>
          <a:noFill/>
        </a:ln>
        <a:effectLst/>
      </c:spPr>
    </c:plotArea>
    <c:legend>
      <c:legendPos val="l"/>
      <c:layout>
        <c:manualLayout>
          <c:xMode val="edge"/>
          <c:yMode val="edge"/>
          <c:x val="0.42587947920907415"/>
          <c:y val="4.2945641202924899E-2"/>
          <c:w val="0.1753675925925926"/>
          <c:h val="0.21794757035221637"/>
        </c:manualLayout>
      </c:layout>
      <c:overlay val="1"/>
      <c:spPr>
        <a:solidFill>
          <a:srgbClr val="FFFFFF"/>
        </a:solidFill>
        <a:ln>
          <a:noFill/>
        </a:ln>
        <a:effectLst/>
      </c:spPr>
      <c:txPr>
        <a:bodyPr rot="0" vert="horz"/>
        <a:lstStyle/>
        <a:p>
          <a:pPr>
            <a:defRPr/>
          </a:pPr>
          <a:endParaRPr lang="lv-LV"/>
        </a:p>
      </c:txPr>
    </c:legend>
    <c:plotVisOnly val="1"/>
    <c:dispBlanksAs val="gap"/>
    <c:showDLblsOverMax val="0"/>
  </c:chart>
  <c:spPr>
    <a:solidFill>
      <a:srgbClr val="FFFFFF"/>
    </a:solidFill>
    <a:ln w="9525" cap="flat" cmpd="sng" algn="ctr">
      <a:noFill/>
      <a:prstDash val="solid"/>
      <a:round/>
    </a:ln>
    <a:effectLst/>
  </c:spPr>
  <c:txPr>
    <a:bodyPr/>
    <a:lstStyle/>
    <a:p>
      <a:pPr>
        <a:defRPr sz="800" b="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Bezdarbnieku skaits un vakances pa reģioniem</a:t>
            </a:r>
          </a:p>
          <a:p>
            <a:pPr>
              <a:defRPr/>
            </a:pPr>
            <a:r>
              <a:rPr lang="lv-LV"/>
              <a:t>2022.</a:t>
            </a:r>
            <a:r>
              <a:rPr lang="en-US"/>
              <a:t> </a:t>
            </a:r>
            <a:r>
              <a:rPr lang="lv-LV"/>
              <a:t>gada 28. martā</a:t>
            </a:r>
          </a:p>
        </c:rich>
      </c:tx>
      <c:layout>
        <c:manualLayout>
          <c:xMode val="edge"/>
          <c:yMode val="edge"/>
          <c:x val="0.19846223428312981"/>
          <c:y val="3.3288948069241014E-2"/>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2.9491564663122007E-2"/>
          <c:y val="0.17823926214830621"/>
          <c:w val="0.95647164813780428"/>
          <c:h val="0.73637115128050845"/>
        </c:manualLayout>
      </c:layout>
      <c:barChart>
        <c:barDir val="col"/>
        <c:grouping val="clustered"/>
        <c:varyColors val="0"/>
        <c:ser>
          <c:idx val="0"/>
          <c:order val="0"/>
          <c:tx>
            <c:strRef>
              <c:f>Sheet1!$B$1</c:f>
              <c:strCache>
                <c:ptCount val="1"/>
                <c:pt idx="0">
                  <c:v>Reģistrēto bezdarbnieku 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Rīgas reģions</c:v>
                </c:pt>
                <c:pt idx="1">
                  <c:v>Kurzeme</c:v>
                </c:pt>
                <c:pt idx="2">
                  <c:v>Latgale</c:v>
                </c:pt>
                <c:pt idx="3">
                  <c:v>Vidzeme</c:v>
                </c:pt>
                <c:pt idx="4">
                  <c:v>Zemgale</c:v>
                </c:pt>
              </c:strCache>
            </c:strRef>
          </c:cat>
          <c:val>
            <c:numRef>
              <c:f>Sheet1!$B$2:$B$6</c:f>
              <c:numCache>
                <c:formatCode>General</c:formatCode>
                <c:ptCount val="5"/>
                <c:pt idx="0">
                  <c:v>23537</c:v>
                </c:pt>
                <c:pt idx="1">
                  <c:v>7669</c:v>
                </c:pt>
                <c:pt idx="2">
                  <c:v>17270</c:v>
                </c:pt>
                <c:pt idx="3">
                  <c:v>5061</c:v>
                </c:pt>
                <c:pt idx="4">
                  <c:v>7026</c:v>
                </c:pt>
              </c:numCache>
            </c:numRef>
          </c:val>
          <c:extLst>
            <c:ext xmlns:c16="http://schemas.microsoft.com/office/drawing/2014/chart" uri="{C3380CC4-5D6E-409C-BE32-E72D297353CC}">
              <c16:uniqueId val="{00000000-B5FF-47BD-83B8-2EBA7B7CF26A}"/>
            </c:ext>
          </c:extLst>
        </c:ser>
        <c:ser>
          <c:idx val="1"/>
          <c:order val="1"/>
          <c:tx>
            <c:strRef>
              <c:f>Sheet1!$C$1</c:f>
              <c:strCache>
                <c:ptCount val="1"/>
                <c:pt idx="0">
                  <c:v>Vakances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Rīgas reģions</c:v>
                </c:pt>
                <c:pt idx="1">
                  <c:v>Kurzeme</c:v>
                </c:pt>
                <c:pt idx="2">
                  <c:v>Latgale</c:v>
                </c:pt>
                <c:pt idx="3">
                  <c:v>Vidzeme</c:v>
                </c:pt>
                <c:pt idx="4">
                  <c:v>Zemgale</c:v>
                </c:pt>
              </c:strCache>
            </c:strRef>
          </c:cat>
          <c:val>
            <c:numRef>
              <c:f>Sheet1!$C$2:$C$6</c:f>
              <c:numCache>
                <c:formatCode>General</c:formatCode>
                <c:ptCount val="5"/>
                <c:pt idx="0">
                  <c:v>23852</c:v>
                </c:pt>
                <c:pt idx="1">
                  <c:v>1864</c:v>
                </c:pt>
                <c:pt idx="2">
                  <c:v>2080</c:v>
                </c:pt>
                <c:pt idx="3">
                  <c:v>1660</c:v>
                </c:pt>
                <c:pt idx="4">
                  <c:v>1883</c:v>
                </c:pt>
              </c:numCache>
            </c:numRef>
          </c:val>
          <c:extLst>
            <c:ext xmlns:c16="http://schemas.microsoft.com/office/drawing/2014/chart" uri="{C3380CC4-5D6E-409C-BE32-E72D297353CC}">
              <c16:uniqueId val="{00000002-B5FF-47BD-83B8-2EBA7B7CF26A}"/>
            </c:ext>
          </c:extLst>
        </c:ser>
        <c:dLbls>
          <c:showLegendKey val="0"/>
          <c:showVal val="1"/>
          <c:showCatName val="0"/>
          <c:showSerName val="0"/>
          <c:showPercent val="0"/>
          <c:showBubbleSize val="0"/>
        </c:dLbls>
        <c:gapWidth val="51"/>
        <c:overlap val="-25"/>
        <c:axId val="742029528"/>
        <c:axId val="742024824"/>
      </c:barChart>
      <c:catAx>
        <c:axId val="742029528"/>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4824"/>
        <c:crosses val="autoZero"/>
        <c:auto val="1"/>
        <c:lblAlgn val="ctr"/>
        <c:lblOffset val="100"/>
        <c:noMultiLvlLbl val="0"/>
      </c:catAx>
      <c:valAx>
        <c:axId val="74202482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9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TOP 30 profesijas pēc piešķirtā bezdarbnieka statusa</a:t>
            </a:r>
          </a:p>
          <a:p>
            <a:pPr>
              <a:defRPr/>
            </a:pPr>
            <a:r>
              <a:rPr lang="lv-LV"/>
              <a:t>2022.</a:t>
            </a:r>
            <a:r>
              <a:rPr lang="en-US"/>
              <a:t> </a:t>
            </a:r>
            <a:r>
              <a:rPr lang="lv-LV"/>
              <a:t>gada 1.</a:t>
            </a:r>
            <a:r>
              <a:rPr lang="en-US"/>
              <a:t> </a:t>
            </a:r>
            <a:r>
              <a:rPr lang="lv-LV"/>
              <a:t>janvāris – 28. marts</a:t>
            </a:r>
          </a:p>
        </c:rich>
      </c:tx>
      <c:layout>
        <c:manualLayout>
          <c:xMode val="edge"/>
          <c:yMode val="edge"/>
          <c:x val="0.32435545060726284"/>
          <c:y val="9.6385542168674707E-3"/>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1.3591627406406837E-2"/>
          <c:y val="7.6984251968503933E-2"/>
          <c:w val="0.9762430951361204"/>
          <c:h val="0.4162777777777778"/>
        </c:manualLayout>
      </c:layout>
      <c:barChart>
        <c:barDir val="col"/>
        <c:grouping val="clustered"/>
        <c:varyColors val="0"/>
        <c:ser>
          <c:idx val="0"/>
          <c:order val="0"/>
          <c:tx>
            <c:strRef>
              <c:f>Sheet1!$B$1</c:f>
              <c:strCache>
                <c:ptCount val="1"/>
                <c:pt idx="0">
                  <c:v>Series 1</c:v>
                </c:pt>
              </c:strCache>
            </c:strRef>
          </c:tx>
          <c:spPr>
            <a:solidFill>
              <a:srgbClr val="009999"/>
            </a:solidFill>
            <a:ln>
              <a:noFill/>
            </a:ln>
            <a:effectLst/>
          </c:spPr>
          <c:invertIfNegative val="0"/>
          <c:dLbls>
            <c:dLbl>
              <c:idx val="0"/>
              <c:layout>
                <c:manualLayout>
                  <c:x val="-1.915708812260537E-3"/>
                  <c:y val="-1.666666666666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1E-4443-A356-2C80F971BD26}"/>
                </c:ext>
              </c:extLst>
            </c:dLbl>
            <c:dLbl>
              <c:idx val="1"/>
              <c:layout>
                <c:manualLayout>
                  <c:x val="4.3901153131103424E-1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1E-4443-A356-2C80F971BD26}"/>
                </c:ext>
              </c:extLst>
            </c:dLbl>
            <c:dLbl>
              <c:idx val="2"/>
              <c:layout>
                <c:manualLayout>
                  <c:x val="-8.7802306262206848E-18"/>
                  <c:y val="1.1111111111111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1E-4443-A356-2C80F971BD26}"/>
                </c:ext>
              </c:extLst>
            </c:dLbl>
            <c:dLbl>
              <c:idx val="3"/>
              <c:layout>
                <c:manualLayout>
                  <c:x val="0"/>
                  <c:y val="1.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1E-4443-A356-2C80F971BD2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Sheet1!$A$2:$A$31</c:f>
              <c:strCache>
                <c:ptCount val="30"/>
                <c:pt idx="0">
                  <c:v>Palīgstrādnieks</c:v>
                </c:pt>
                <c:pt idx="1">
                  <c:v>Veikala pārdevējs</c:v>
                </c:pt>
                <c:pt idx="2">
                  <c:v>Pārdevējs konsultants</c:v>
                </c:pt>
                <c:pt idx="3">
                  <c:v>Apkopējs</c:v>
                </c:pt>
                <c:pt idx="4">
                  <c:v>Kravas automobiļa vadītājs</c:v>
                </c:pt>
                <c:pt idx="5">
                  <c:v>Pavārs</c:v>
                </c:pt>
                <c:pt idx="6">
                  <c:v>Ceha strādnieks</c:v>
                </c:pt>
                <c:pt idx="7">
                  <c:v>Automobiļa vadītājs</c:v>
                </c:pt>
                <c:pt idx="8">
                  <c:v>Ēku celtnieks</c:v>
                </c:pt>
                <c:pt idx="9">
                  <c:v>Būvstrādnieks</c:v>
                </c:pt>
                <c:pt idx="10">
                  <c:v>Projekta vadītājs</c:v>
                </c:pt>
                <c:pt idx="11">
                  <c:v>Klientu apkalpošanas speciālists</c:v>
                </c:pt>
                <c:pt idx="12">
                  <c:v>Sētnieks</c:v>
                </c:pt>
                <c:pt idx="13">
                  <c:v>Noliktavas darbinieks</c:v>
                </c:pt>
                <c:pt idx="14">
                  <c:v>Aprūpētājs</c:v>
                </c:pt>
                <c:pt idx="15">
                  <c:v>Biroja administrators</c:v>
                </c:pt>
                <c:pt idx="16">
                  <c:v>Kokapstrādes iekārtu operators</c:v>
                </c:pt>
                <c:pt idx="17">
                  <c:v>Ceļu būves palīgstrādnieks</c:v>
                </c:pt>
                <c:pt idx="18">
                  <c:v>Pirmsskolas izglītības skolotājs</c:v>
                </c:pt>
                <c:pt idx="19">
                  <c:v>Administrators</c:v>
                </c:pt>
                <c:pt idx="20">
                  <c:v>Šuvējs</c:v>
                </c:pt>
                <c:pt idx="21">
                  <c:v>Tirdzniecības pārdevējs</c:v>
                </c:pt>
                <c:pt idx="22">
                  <c:v>Lietvedis</c:v>
                </c:pt>
                <c:pt idx="23">
                  <c:v>Traktortehnikas vadītājs</c:v>
                </c:pt>
                <c:pt idx="24">
                  <c:v>Ekskavatora vadītājs</c:v>
                </c:pt>
                <c:pt idx="25">
                  <c:v>Krāvējs (roku darbs)</c:v>
                </c:pt>
                <c:pt idx="26">
                  <c:v>Virtuves darbinieks</c:v>
                </c:pt>
                <c:pt idx="27">
                  <c:v>Noliktavas pārzinis</c:v>
                </c:pt>
                <c:pt idx="28">
                  <c:v>Datu ievades operators</c:v>
                </c:pt>
                <c:pt idx="29">
                  <c:v>Izstrādājumu marķētājs</c:v>
                </c:pt>
              </c:strCache>
            </c:strRef>
          </c:cat>
          <c:val>
            <c:numRef>
              <c:f>Sheet1!$B$2:$B$31</c:f>
              <c:numCache>
                <c:formatCode>General</c:formatCode>
                <c:ptCount val="30"/>
                <c:pt idx="0">
                  <c:v>1045</c:v>
                </c:pt>
                <c:pt idx="1">
                  <c:v>714</c:v>
                </c:pt>
                <c:pt idx="2">
                  <c:v>533</c:v>
                </c:pt>
                <c:pt idx="3">
                  <c:v>464</c:v>
                </c:pt>
                <c:pt idx="4">
                  <c:v>314</c:v>
                </c:pt>
                <c:pt idx="5">
                  <c:v>298</c:v>
                </c:pt>
                <c:pt idx="6">
                  <c:v>270</c:v>
                </c:pt>
                <c:pt idx="7">
                  <c:v>265</c:v>
                </c:pt>
                <c:pt idx="8">
                  <c:v>248</c:v>
                </c:pt>
                <c:pt idx="9">
                  <c:v>245</c:v>
                </c:pt>
                <c:pt idx="10">
                  <c:v>236</c:v>
                </c:pt>
                <c:pt idx="11">
                  <c:v>233</c:v>
                </c:pt>
                <c:pt idx="12">
                  <c:v>207</c:v>
                </c:pt>
                <c:pt idx="13">
                  <c:v>200</c:v>
                </c:pt>
                <c:pt idx="14">
                  <c:v>144</c:v>
                </c:pt>
                <c:pt idx="15">
                  <c:v>135</c:v>
                </c:pt>
                <c:pt idx="16">
                  <c:v>134</c:v>
                </c:pt>
                <c:pt idx="17">
                  <c:v>94</c:v>
                </c:pt>
                <c:pt idx="18">
                  <c:v>94</c:v>
                </c:pt>
                <c:pt idx="19">
                  <c:v>92</c:v>
                </c:pt>
                <c:pt idx="20">
                  <c:v>90</c:v>
                </c:pt>
                <c:pt idx="21">
                  <c:v>87</c:v>
                </c:pt>
                <c:pt idx="22">
                  <c:v>76</c:v>
                </c:pt>
                <c:pt idx="23">
                  <c:v>68</c:v>
                </c:pt>
                <c:pt idx="24">
                  <c:v>57</c:v>
                </c:pt>
                <c:pt idx="25">
                  <c:v>48</c:v>
                </c:pt>
                <c:pt idx="26">
                  <c:v>47</c:v>
                </c:pt>
                <c:pt idx="27">
                  <c:v>42</c:v>
                </c:pt>
                <c:pt idx="28">
                  <c:v>39</c:v>
                </c:pt>
                <c:pt idx="29">
                  <c:v>38</c:v>
                </c:pt>
              </c:numCache>
            </c:numRef>
          </c:val>
          <c:extLst>
            <c:ext xmlns:c16="http://schemas.microsoft.com/office/drawing/2014/chart" uri="{C3380CC4-5D6E-409C-BE32-E72D297353CC}">
              <c16:uniqueId val="{00000004-551E-4443-A356-2C80F971BD26}"/>
            </c:ext>
          </c:extLst>
        </c:ser>
        <c:dLbls>
          <c:showLegendKey val="0"/>
          <c:showVal val="0"/>
          <c:showCatName val="0"/>
          <c:showSerName val="0"/>
          <c:showPercent val="0"/>
          <c:showBubbleSize val="0"/>
        </c:dLbls>
        <c:gapWidth val="60"/>
        <c:axId val="742026784"/>
        <c:axId val="742027176"/>
      </c:barChart>
      <c:catAx>
        <c:axId val="742026784"/>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7176"/>
        <c:crosses val="autoZero"/>
        <c:auto val="0"/>
        <c:lblAlgn val="ctr"/>
        <c:lblOffset val="100"/>
        <c:tickLblSkip val="1"/>
        <c:noMultiLvlLbl val="0"/>
      </c:catAx>
      <c:valAx>
        <c:axId val="742027176"/>
        <c:scaling>
          <c:orientation val="minMax"/>
        </c:scaling>
        <c:delete val="1"/>
        <c:axPos val="l"/>
        <c:numFmt formatCode="General" sourceLinked="1"/>
        <c:majorTickMark val="none"/>
        <c:minorTickMark val="none"/>
        <c:tickLblPos val="nextTo"/>
        <c:crossAx val="74202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TOP 20 profesijas, kas iekārtojušās darbā</a:t>
            </a:r>
          </a:p>
          <a:p>
            <a:pPr>
              <a:defRPr/>
            </a:pPr>
            <a:r>
              <a:rPr lang="lv-LV"/>
              <a:t>2022.</a:t>
            </a:r>
            <a:r>
              <a:rPr lang="en-US"/>
              <a:t> </a:t>
            </a:r>
            <a:r>
              <a:rPr lang="lv-LV"/>
              <a:t>gada 1.</a:t>
            </a:r>
            <a:r>
              <a:rPr lang="en-US"/>
              <a:t> </a:t>
            </a:r>
            <a:r>
              <a:rPr lang="lv-LV"/>
              <a:t>janvāris – 28.</a:t>
            </a:r>
            <a:r>
              <a:rPr lang="en-US"/>
              <a:t> </a:t>
            </a:r>
            <a:r>
              <a:rPr lang="lv-LV"/>
              <a:t>februāris</a:t>
            </a:r>
          </a:p>
        </c:rich>
      </c:tx>
      <c:layout>
        <c:manualLayout>
          <c:xMode val="edge"/>
          <c:yMode val="edge"/>
          <c:x val="0.26949612067722306"/>
          <c:y val="1.4018691588785047E-2"/>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1.3591627406406837E-2"/>
          <c:y val="4.3650793650793648E-2"/>
          <c:w val="0.9762430951361204"/>
          <c:h val="0.45318335208098987"/>
        </c:manualLayout>
      </c:layout>
      <c:barChart>
        <c:barDir val="col"/>
        <c:grouping val="clustered"/>
        <c:varyColors val="0"/>
        <c:ser>
          <c:idx val="0"/>
          <c:order val="0"/>
          <c:tx>
            <c:strRef>
              <c:f>Sheet1!$B$1</c:f>
              <c:strCache>
                <c:ptCount val="1"/>
                <c:pt idx="0">
                  <c:v>Series 1</c:v>
                </c:pt>
              </c:strCache>
            </c:strRef>
          </c:tx>
          <c:spPr>
            <a:solidFill>
              <a:srgbClr val="009999"/>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Palīgstrādnieks</c:v>
                </c:pt>
                <c:pt idx="1">
                  <c:v>Apkopējs</c:v>
                </c:pt>
                <c:pt idx="2">
                  <c:v>Veikala pārdevējs</c:v>
                </c:pt>
                <c:pt idx="3">
                  <c:v>Pārdevējs konsultants</c:v>
                </c:pt>
                <c:pt idx="4">
                  <c:v>Ceha strādnieks</c:v>
                </c:pt>
                <c:pt idx="5">
                  <c:v>Kravas automobiļa vadītājs</c:v>
                </c:pt>
                <c:pt idx="6">
                  <c:v>Klientu apkalpošanas speciālists</c:v>
                </c:pt>
                <c:pt idx="7">
                  <c:v>Sētnieks</c:v>
                </c:pt>
                <c:pt idx="8">
                  <c:v>Projekta vadītājs</c:v>
                </c:pt>
                <c:pt idx="9">
                  <c:v>Pavārs</c:v>
                </c:pt>
                <c:pt idx="10">
                  <c:v>Automobiļa vadītājs</c:v>
                </c:pt>
                <c:pt idx="11">
                  <c:v>Aprūpētājs</c:v>
                </c:pt>
                <c:pt idx="12">
                  <c:v>Noliktavas darbinieks</c:v>
                </c:pt>
                <c:pt idx="13">
                  <c:v>Būvstrādnieks</c:v>
                </c:pt>
                <c:pt idx="14">
                  <c:v>Pārdošanas speciālists</c:v>
                </c:pt>
                <c:pt idx="15">
                  <c:v>Skolotāja palīgs</c:v>
                </c:pt>
                <c:pt idx="16">
                  <c:v>Programmētājs</c:v>
                </c:pt>
                <c:pt idx="17">
                  <c:v>Pirmsskolas izglītības skolotājs</c:v>
                </c:pt>
                <c:pt idx="18">
                  <c:v>Ēku celtnieks</c:v>
                </c:pt>
                <c:pt idx="19">
                  <c:v>Grāmatvedis (4. l. kval.)</c:v>
                </c:pt>
              </c:strCache>
            </c:strRef>
          </c:cat>
          <c:val>
            <c:numRef>
              <c:f>Sheet1!$B$2:$B$21</c:f>
              <c:numCache>
                <c:formatCode>General</c:formatCode>
                <c:ptCount val="20"/>
                <c:pt idx="0">
                  <c:v>344</c:v>
                </c:pt>
                <c:pt idx="1">
                  <c:v>275</c:v>
                </c:pt>
                <c:pt idx="2">
                  <c:v>274</c:v>
                </c:pt>
                <c:pt idx="3">
                  <c:v>251</c:v>
                </c:pt>
                <c:pt idx="4">
                  <c:v>154</c:v>
                </c:pt>
                <c:pt idx="5">
                  <c:v>135</c:v>
                </c:pt>
                <c:pt idx="6">
                  <c:v>134</c:v>
                </c:pt>
                <c:pt idx="7">
                  <c:v>131</c:v>
                </c:pt>
                <c:pt idx="8">
                  <c:v>126</c:v>
                </c:pt>
                <c:pt idx="9">
                  <c:v>107</c:v>
                </c:pt>
                <c:pt idx="10">
                  <c:v>105</c:v>
                </c:pt>
                <c:pt idx="11">
                  <c:v>104</c:v>
                </c:pt>
                <c:pt idx="12">
                  <c:v>86</c:v>
                </c:pt>
                <c:pt idx="13">
                  <c:v>84</c:v>
                </c:pt>
                <c:pt idx="14">
                  <c:v>77</c:v>
                </c:pt>
                <c:pt idx="15">
                  <c:v>75</c:v>
                </c:pt>
                <c:pt idx="16">
                  <c:v>70</c:v>
                </c:pt>
                <c:pt idx="17">
                  <c:v>68</c:v>
                </c:pt>
                <c:pt idx="18">
                  <c:v>66</c:v>
                </c:pt>
                <c:pt idx="19">
                  <c:v>62</c:v>
                </c:pt>
              </c:numCache>
            </c:numRef>
          </c:val>
          <c:extLst>
            <c:ext xmlns:c16="http://schemas.microsoft.com/office/drawing/2014/chart" uri="{C3380CC4-5D6E-409C-BE32-E72D297353CC}">
              <c16:uniqueId val="{00000000-9BD6-409A-8803-F965E7F3E245}"/>
            </c:ext>
          </c:extLst>
        </c:ser>
        <c:dLbls>
          <c:showLegendKey val="0"/>
          <c:showVal val="0"/>
          <c:showCatName val="0"/>
          <c:showSerName val="0"/>
          <c:showPercent val="0"/>
          <c:showBubbleSize val="0"/>
        </c:dLbls>
        <c:gapWidth val="78"/>
        <c:overlap val="-27"/>
        <c:axId val="742027568"/>
        <c:axId val="742029920"/>
      </c:barChart>
      <c:catAx>
        <c:axId val="742027568"/>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29920"/>
        <c:crosses val="autoZero"/>
        <c:auto val="0"/>
        <c:lblAlgn val="ctr"/>
        <c:lblOffset val="100"/>
        <c:tickLblSkip val="1"/>
        <c:noMultiLvlLbl val="0"/>
      </c:catAx>
      <c:valAx>
        <c:axId val="742029920"/>
        <c:scaling>
          <c:orientation val="minMax"/>
        </c:scaling>
        <c:delete val="1"/>
        <c:axPos val="l"/>
        <c:numFmt formatCode="General" sourceLinked="1"/>
        <c:majorTickMark val="none"/>
        <c:minorTickMark val="none"/>
        <c:tickLblPos val="nextTo"/>
        <c:crossAx val="74202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4">
                <a:lumMod val="75000"/>
              </a:schemeClr>
            </a:solidFill>
            <a:ln>
              <a:noFill/>
            </a:ln>
          </c:spPr>
          <c:invertIfNegative val="0"/>
          <c:dPt>
            <c:idx val="5"/>
            <c:invertIfNegative val="0"/>
            <c:bubble3D val="0"/>
            <c:extLst>
              <c:ext xmlns:c16="http://schemas.microsoft.com/office/drawing/2014/chart" uri="{C3380CC4-5D6E-409C-BE32-E72D297353CC}">
                <c16:uniqueId val="{00000000-8FE1-48D7-B62D-BE82D883D70F}"/>
              </c:ext>
            </c:extLst>
          </c:dPt>
          <c:dPt>
            <c:idx val="7"/>
            <c:invertIfNegative val="0"/>
            <c:bubble3D val="0"/>
            <c:extLst>
              <c:ext xmlns:c16="http://schemas.microsoft.com/office/drawing/2014/chart" uri="{C3380CC4-5D6E-409C-BE32-E72D297353CC}">
                <c16:uniqueId val="{00000001-8FE1-48D7-B62D-BE82D883D70F}"/>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E1-48D7-B62D-BE82D883D70F}"/>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E1-48D7-B62D-BE82D883D70F}"/>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E1-48D7-B62D-BE82D883D70F}"/>
                </c:ext>
              </c:extLst>
            </c:dLbl>
            <c:dLbl>
              <c:idx val="5"/>
              <c:layout>
                <c:manualLayout>
                  <c:x val="-8.0869526014771903E-17"/>
                  <c:y val="3.75980084352546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E1-48D7-B62D-BE82D883D70F}"/>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2016</c:v>
                </c:pt>
                <c:pt idx="1">
                  <c:v>2017</c:v>
                </c:pt>
                <c:pt idx="2">
                  <c:v>2018</c:v>
                </c:pt>
                <c:pt idx="3">
                  <c:v>2019</c:v>
                </c:pt>
                <c:pt idx="4">
                  <c:v>2020</c:v>
                </c:pt>
                <c:pt idx="5">
                  <c:v>2021</c:v>
                </c:pt>
              </c:numCache>
            </c:numRef>
          </c:cat>
          <c:val>
            <c:numRef>
              <c:f>Sheet1!$B$2:$B$9</c:f>
              <c:numCache>
                <c:formatCode>0.0</c:formatCode>
                <c:ptCount val="6"/>
                <c:pt idx="0">
                  <c:v>3.9</c:v>
                </c:pt>
                <c:pt idx="1">
                  <c:v>6.4</c:v>
                </c:pt>
                <c:pt idx="2">
                  <c:v>4.5</c:v>
                </c:pt>
                <c:pt idx="3">
                  <c:v>2.1</c:v>
                </c:pt>
                <c:pt idx="4">
                  <c:v>-2.2000000000000002</c:v>
                </c:pt>
                <c:pt idx="5">
                  <c:v>6.2</c:v>
                </c:pt>
              </c:numCache>
            </c:numRef>
          </c:val>
          <c:extLst>
            <c:ext xmlns:c16="http://schemas.microsoft.com/office/drawing/2014/chart" uri="{C3380CC4-5D6E-409C-BE32-E72D297353CC}">
              <c16:uniqueId val="{00000005-8FE1-48D7-B62D-BE82D883D70F}"/>
            </c:ext>
          </c:extLst>
        </c:ser>
        <c:dLbls>
          <c:dLblPos val="outEnd"/>
          <c:showLegendKey val="0"/>
          <c:showVal val="1"/>
          <c:showCatName val="0"/>
          <c:showSerName val="0"/>
          <c:showPercent val="0"/>
          <c:showBubbleSize val="0"/>
        </c:dLbls>
        <c:gapWidth val="30"/>
        <c:axId val="742127528"/>
        <c:axId val="742128312"/>
      </c:barChart>
      <c:catAx>
        <c:axId val="742127528"/>
        <c:scaling>
          <c:orientation val="minMax"/>
        </c:scaling>
        <c:delete val="0"/>
        <c:axPos val="b"/>
        <c:numFmt formatCode="General" sourceLinked="1"/>
        <c:majorTickMark val="out"/>
        <c:minorTickMark val="none"/>
        <c:tickLblPos val="low"/>
        <c:txPr>
          <a:bodyPr rot="-5400000" vert="horz"/>
          <a:lstStyle/>
          <a:p>
            <a:pPr>
              <a:defRPr/>
            </a:pPr>
            <a:endParaRPr lang="lv-LV"/>
          </a:p>
        </c:txPr>
        <c:crossAx val="742128312"/>
        <c:crosses val="autoZero"/>
        <c:auto val="1"/>
        <c:lblAlgn val="ctr"/>
        <c:lblOffset val="0"/>
        <c:noMultiLvlLbl val="0"/>
      </c:catAx>
      <c:valAx>
        <c:axId val="742128312"/>
        <c:scaling>
          <c:orientation val="minMax"/>
        </c:scaling>
        <c:delete val="1"/>
        <c:axPos val="l"/>
        <c:numFmt formatCode="0" sourceLinked="0"/>
        <c:majorTickMark val="out"/>
        <c:minorTickMark val="none"/>
        <c:tickLblPos val="nextTo"/>
        <c:crossAx val="74212752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r>
              <a:rPr lang="lv-LV"/>
              <a:t>Aktuālo vakanču skaits</a:t>
            </a:r>
          </a:p>
        </c:rich>
      </c:tx>
      <c:layout>
        <c:manualLayout>
          <c:xMode val="edge"/>
          <c:yMode val="edge"/>
          <c:x val="0.3212680115273775"/>
          <c:y val="2.3310023310023312E-2"/>
        </c:manualLayout>
      </c:layout>
      <c:overlay val="1"/>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title>
    <c:autoTitleDeleted val="0"/>
    <c:plotArea>
      <c:layout>
        <c:manualLayout>
          <c:layoutTarget val="inner"/>
          <c:xMode val="edge"/>
          <c:yMode val="edge"/>
          <c:x val="0.12266385921815483"/>
          <c:y val="2.6461097957160954E-2"/>
          <c:w val="0.81040005446005126"/>
          <c:h val="0.90974138722170239"/>
        </c:manualLayout>
      </c:layout>
      <c:lineChart>
        <c:grouping val="standard"/>
        <c:varyColors val="0"/>
        <c:ser>
          <c:idx val="0"/>
          <c:order val="0"/>
          <c:tx>
            <c:strRef>
              <c:f>Sheet1!$B$1</c:f>
              <c:strCache>
                <c:ptCount val="1"/>
                <c:pt idx="0">
                  <c:v>Aktuālo vakanču skaits</c:v>
                </c:pt>
              </c:strCache>
            </c:strRef>
          </c:tx>
          <c:spPr>
            <a:ln w="28575" cap="rnd">
              <a:solidFill>
                <a:srgbClr val="009999"/>
              </a:solidFill>
              <a:round/>
            </a:ln>
            <a:effectLst/>
          </c:spPr>
          <c:marker>
            <c:symbol val="diamond"/>
            <c:size val="8"/>
            <c:spPr>
              <a:solidFill>
                <a:srgbClr val="009999"/>
              </a:solidFill>
              <a:ln w="9525">
                <a:noFill/>
              </a:ln>
              <a:effectLst/>
            </c:spPr>
          </c:marker>
          <c:dLbls>
            <c:dLbl>
              <c:idx val="1"/>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F9-47DE-8B02-CF9B0D500AB8}"/>
                </c:ext>
              </c:extLst>
            </c:dLbl>
            <c:dLbl>
              <c:idx val="26"/>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F9-47DE-8B02-CF9B0D500AB8}"/>
                </c:ext>
              </c:extLst>
            </c:dLbl>
            <c:dLbl>
              <c:idx val="181"/>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F9-47DE-8B02-CF9B0D500AB8}"/>
                </c:ext>
              </c:extLst>
            </c:dLbl>
            <c:numFmt formatCode="#,##0" sourceLinked="0"/>
            <c:spPr>
              <a:noFill/>
              <a:ln>
                <a:no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dLblPos val="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Jan                                               2020</c:v>
                </c:pt>
                <c:pt idx="1">
                  <c:v>Feb</c:v>
                </c:pt>
                <c:pt idx="2">
                  <c:v>Mar</c:v>
                </c:pt>
                <c:pt idx="3">
                  <c:v>Apr</c:v>
                </c:pt>
                <c:pt idx="4">
                  <c:v>Mai</c:v>
                </c:pt>
                <c:pt idx="5">
                  <c:v>Jūn</c:v>
                </c:pt>
                <c:pt idx="6">
                  <c:v>Jūl</c:v>
                </c:pt>
                <c:pt idx="7">
                  <c:v>Aug</c:v>
                </c:pt>
                <c:pt idx="8">
                  <c:v>Sep</c:v>
                </c:pt>
                <c:pt idx="9">
                  <c:v>Okt</c:v>
                </c:pt>
                <c:pt idx="10">
                  <c:v>Nov</c:v>
                </c:pt>
                <c:pt idx="11">
                  <c:v>Dec</c:v>
                </c:pt>
                <c:pt idx="12">
                  <c:v>Jan                                                 2021</c:v>
                </c:pt>
                <c:pt idx="13">
                  <c:v>Feb</c:v>
                </c:pt>
                <c:pt idx="14">
                  <c:v>Mar</c:v>
                </c:pt>
                <c:pt idx="15">
                  <c:v>Apr</c:v>
                </c:pt>
                <c:pt idx="16">
                  <c:v>Mai</c:v>
                </c:pt>
                <c:pt idx="17">
                  <c:v>Jūn</c:v>
                </c:pt>
                <c:pt idx="18">
                  <c:v>Jūl</c:v>
                </c:pt>
                <c:pt idx="19">
                  <c:v>Aug</c:v>
                </c:pt>
                <c:pt idx="20">
                  <c:v>Sep</c:v>
                </c:pt>
                <c:pt idx="21">
                  <c:v>Okt</c:v>
                </c:pt>
                <c:pt idx="22">
                  <c:v>Nov</c:v>
                </c:pt>
                <c:pt idx="23">
                  <c:v>Dec</c:v>
                </c:pt>
                <c:pt idx="24">
                  <c:v>Jan                                                    2022</c:v>
                </c:pt>
                <c:pt idx="25">
                  <c:v>Feb</c:v>
                </c:pt>
                <c:pt idx="26">
                  <c:v>Mar</c:v>
                </c:pt>
              </c:strCache>
            </c:strRef>
          </c:cat>
          <c:val>
            <c:numRef>
              <c:f>Sheet1!$B$2:$B$28</c:f>
              <c:numCache>
                <c:formatCode>#,##0</c:formatCode>
                <c:ptCount val="27"/>
                <c:pt idx="0">
                  <c:v>29416</c:v>
                </c:pt>
                <c:pt idx="1">
                  <c:v>30750</c:v>
                </c:pt>
                <c:pt idx="2">
                  <c:v>26973</c:v>
                </c:pt>
                <c:pt idx="3">
                  <c:v>17638</c:v>
                </c:pt>
                <c:pt idx="4">
                  <c:v>17175</c:v>
                </c:pt>
                <c:pt idx="5">
                  <c:v>18040</c:v>
                </c:pt>
                <c:pt idx="6">
                  <c:v>18125</c:v>
                </c:pt>
                <c:pt idx="7">
                  <c:v>18002</c:v>
                </c:pt>
                <c:pt idx="8">
                  <c:v>17597</c:v>
                </c:pt>
                <c:pt idx="9">
                  <c:v>16989</c:v>
                </c:pt>
                <c:pt idx="10">
                  <c:v>16610</c:v>
                </c:pt>
                <c:pt idx="11">
                  <c:v>14470</c:v>
                </c:pt>
                <c:pt idx="12">
                  <c:v>13469</c:v>
                </c:pt>
                <c:pt idx="13">
                  <c:v>14551</c:v>
                </c:pt>
                <c:pt idx="14">
                  <c:v>18201</c:v>
                </c:pt>
                <c:pt idx="15">
                  <c:v>17774</c:v>
                </c:pt>
                <c:pt idx="16">
                  <c:v>18881</c:v>
                </c:pt>
                <c:pt idx="17">
                  <c:v>20169</c:v>
                </c:pt>
                <c:pt idx="18">
                  <c:v>20649</c:v>
                </c:pt>
                <c:pt idx="19">
                  <c:v>22754</c:v>
                </c:pt>
                <c:pt idx="20">
                  <c:v>23617</c:v>
                </c:pt>
                <c:pt idx="21">
                  <c:v>22360</c:v>
                </c:pt>
                <c:pt idx="22">
                  <c:v>22256</c:v>
                </c:pt>
                <c:pt idx="23">
                  <c:v>21105</c:v>
                </c:pt>
                <c:pt idx="24">
                  <c:v>20838</c:v>
                </c:pt>
                <c:pt idx="25">
                  <c:v>23907</c:v>
                </c:pt>
                <c:pt idx="26">
                  <c:v>31339</c:v>
                </c:pt>
              </c:numCache>
            </c:numRef>
          </c:val>
          <c:smooth val="1"/>
          <c:extLst>
            <c:ext xmlns:c16="http://schemas.microsoft.com/office/drawing/2014/chart" uri="{C3380CC4-5D6E-409C-BE32-E72D297353CC}">
              <c16:uniqueId val="{00000003-EFF9-47DE-8B02-CF9B0D500AB8}"/>
            </c:ext>
          </c:extLst>
        </c:ser>
        <c:dLbls>
          <c:showLegendKey val="0"/>
          <c:showVal val="0"/>
          <c:showCatName val="0"/>
          <c:showSerName val="0"/>
          <c:showPercent val="0"/>
          <c:showBubbleSize val="0"/>
        </c:dLbls>
        <c:marker val="1"/>
        <c:smooth val="0"/>
        <c:axId val="742038936"/>
        <c:axId val="742047168"/>
      </c:lineChart>
      <c:dateAx>
        <c:axId val="742038936"/>
        <c:scaling>
          <c:orientation val="minMax"/>
        </c:scaling>
        <c:delete val="0"/>
        <c:axPos val="b"/>
        <c:numFmt formatCode="General" sourceLinked="1"/>
        <c:majorTickMark val="none"/>
        <c:minorTickMark val="out"/>
        <c:tickLblPos val="nextTo"/>
        <c:spPr>
          <a:noFill/>
          <a:ln w="9525" cap="flat" cmpd="sng" algn="ctr">
            <a:solidFill>
              <a:schemeClr val="bg1">
                <a:lumMod val="65000"/>
              </a:schemeClr>
            </a:solidFill>
            <a:round/>
          </a:ln>
          <a:effectLst/>
        </c:spPr>
        <c:txPr>
          <a:bodyPr rot="0" spcFirstLastPara="1" vertOverflow="ellipsis"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47168"/>
        <c:crosses val="autoZero"/>
        <c:auto val="1"/>
        <c:lblOffset val="100"/>
        <c:baseTimeUnit val="days"/>
        <c:majorUnit val="2"/>
        <c:majorTimeUnit val="months"/>
        <c:minorUnit val="1"/>
        <c:minorTimeUnit val="months"/>
      </c:dateAx>
      <c:valAx>
        <c:axId val="742047168"/>
        <c:scaling>
          <c:orientation val="minMax"/>
          <c:min val="10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Calibri Light" panose="020F0302020204030204" pitchFamily="34" charset="0"/>
                <a:ea typeface="+mn-ea"/>
                <a:cs typeface="Calibri Light" panose="020F0302020204030204" pitchFamily="34" charset="0"/>
              </a:defRPr>
            </a:pPr>
            <a:endParaRPr lang="lv-LV"/>
          </a:p>
        </c:txPr>
        <c:crossAx val="742038936"/>
        <c:crosses val="autoZero"/>
        <c:crossBetween val="between"/>
        <c:majorUnit val="5000"/>
        <c:min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Calibri Light" panose="020F0302020204030204" pitchFamily="34" charset="0"/>
          <a:cs typeface="Calibri Light" panose="020F0302020204030204" pitchFamily="34"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2.3574473256995031E-2"/>
          <c:w val="0.86172742188924289"/>
          <c:h val="0.87889017180459938"/>
        </c:manualLayout>
      </c:layout>
      <c:barChart>
        <c:barDir val="col"/>
        <c:grouping val="clustered"/>
        <c:varyColors val="0"/>
        <c:ser>
          <c:idx val="0"/>
          <c:order val="0"/>
          <c:tx>
            <c:strRef>
              <c:f>Sheet1!$A$3</c:f>
              <c:strCache>
                <c:ptCount val="1"/>
                <c:pt idx="0">
                  <c:v>Bruto darba alga</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25E2-4C36-AEBB-E7A7E9250E6E}"/>
              </c:ext>
            </c:extLst>
          </c:dPt>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Sheet1!$B$2:$K$2</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Sheet1!$B$3:$K$3</c:f>
              <c:numCache>
                <c:formatCode>0</c:formatCode>
                <c:ptCount val="10"/>
                <c:pt idx="0">
                  <c:v>685</c:v>
                </c:pt>
                <c:pt idx="1">
                  <c:v>716</c:v>
                </c:pt>
                <c:pt idx="2">
                  <c:v>765</c:v>
                </c:pt>
                <c:pt idx="3">
                  <c:v>818</c:v>
                </c:pt>
                <c:pt idx="4">
                  <c:v>859</c:v>
                </c:pt>
                <c:pt idx="5">
                  <c:v>926</c:v>
                </c:pt>
                <c:pt idx="6">
                  <c:v>1004</c:v>
                </c:pt>
                <c:pt idx="7">
                  <c:v>1076</c:v>
                </c:pt>
                <c:pt idx="8">
                  <c:v>1143</c:v>
                </c:pt>
                <c:pt idx="9">
                  <c:v>1277</c:v>
                </c:pt>
              </c:numCache>
            </c:numRef>
          </c:val>
          <c:extLst>
            <c:ext xmlns:c16="http://schemas.microsoft.com/office/drawing/2014/chart" uri="{C3380CC4-5D6E-409C-BE32-E72D297353CC}">
              <c16:uniqueId val="{00000001-25E2-4C36-AEBB-E7A7E9250E6E}"/>
            </c:ext>
          </c:extLst>
        </c:ser>
        <c:dLbls>
          <c:dLblPos val="outEnd"/>
          <c:showLegendKey val="0"/>
          <c:showVal val="1"/>
          <c:showCatName val="0"/>
          <c:showSerName val="0"/>
          <c:showPercent val="0"/>
          <c:showBubbleSize val="0"/>
        </c:dLbls>
        <c:gapWidth val="60"/>
        <c:axId val="742047560"/>
        <c:axId val="742044424"/>
      </c:barChart>
      <c:catAx>
        <c:axId val="742047560"/>
        <c:scaling>
          <c:orientation val="minMax"/>
        </c:scaling>
        <c:delete val="0"/>
        <c:axPos val="b"/>
        <c:numFmt formatCode="0" sourceLinked="0"/>
        <c:majorTickMark val="out"/>
        <c:minorTickMark val="none"/>
        <c:tickLblPos val="low"/>
        <c:spPr>
          <a:ln w="9525"/>
        </c:spPr>
        <c:txPr>
          <a:bodyPr rot="0" vert="horz"/>
          <a:lstStyle/>
          <a:p>
            <a:pPr>
              <a:defRPr/>
            </a:pPr>
            <a:endParaRPr lang="lv-LV"/>
          </a:p>
        </c:txPr>
        <c:crossAx val="742044424"/>
        <c:crosses val="autoZero"/>
        <c:auto val="1"/>
        <c:lblAlgn val="ctr"/>
        <c:lblOffset val="100"/>
        <c:noMultiLvlLbl val="0"/>
      </c:catAx>
      <c:valAx>
        <c:axId val="742044424"/>
        <c:scaling>
          <c:orientation val="minMax"/>
          <c:max val="1350"/>
          <c:min val="500"/>
        </c:scaling>
        <c:delete val="0"/>
        <c:axPos val="l"/>
        <c:numFmt formatCode="0" sourceLinked="0"/>
        <c:majorTickMark val="out"/>
        <c:minorTickMark val="none"/>
        <c:tickLblPos val="nextTo"/>
        <c:spPr>
          <a:ln>
            <a:noFill/>
          </a:ln>
        </c:spPr>
        <c:crossAx val="742047560"/>
        <c:crosses val="autoZero"/>
        <c:crossBetween val="between"/>
        <c:majorUnit val="100"/>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45240540355504E-2"/>
          <c:y val="5.1851817552503086E-2"/>
          <c:w val="0.8881881911639119"/>
          <c:h val="0.82292424414310761"/>
        </c:manualLayout>
      </c:layout>
      <c:barChart>
        <c:barDir val="col"/>
        <c:grouping val="clustered"/>
        <c:varyColors val="0"/>
        <c:ser>
          <c:idx val="0"/>
          <c:order val="0"/>
          <c:tx>
            <c:strRef>
              <c:f>Sheet1!$A$3</c:f>
              <c:strCache>
                <c:ptCount val="1"/>
                <c:pt idx="0">
                  <c:v>Sabiedriskajā sektorā</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5ABF-4824-9C98-01DE19864895}"/>
              </c:ext>
            </c:extLst>
          </c:dPt>
          <c:dLbls>
            <c:dLbl>
              <c:idx val="9"/>
              <c:layout>
                <c:manualLayout>
                  <c:x val="-8.820286659316427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BF-4824-9C98-01DE19864895}"/>
                </c:ext>
              </c:extLst>
            </c:dLbl>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Sheet1!$B$2:$K$2</c:f>
              <c:numCache>
                <c:formatCode>0</c:formatCode>
                <c:ptCount val="10"/>
                <c:pt idx="0">
                  <c:v>2012</c:v>
                </c:pt>
                <c:pt idx="1">
                  <c:v>2013</c:v>
                </c:pt>
                <c:pt idx="2">
                  <c:v>2014</c:v>
                </c:pt>
                <c:pt idx="3">
                  <c:v>2015</c:v>
                </c:pt>
                <c:pt idx="4">
                  <c:v>2016</c:v>
                </c:pt>
                <c:pt idx="5" formatCode="General">
                  <c:v>2017</c:v>
                </c:pt>
                <c:pt idx="6">
                  <c:v>2018</c:v>
                </c:pt>
                <c:pt idx="7">
                  <c:v>2019</c:v>
                </c:pt>
                <c:pt idx="8">
                  <c:v>2020</c:v>
                </c:pt>
                <c:pt idx="9">
                  <c:v>2021</c:v>
                </c:pt>
              </c:numCache>
            </c:numRef>
          </c:cat>
          <c:val>
            <c:numRef>
              <c:f>Sheet1!$B$3:$K$3</c:f>
              <c:numCache>
                <c:formatCode>0.0</c:formatCode>
                <c:ptCount val="10"/>
                <c:pt idx="0">
                  <c:v>4.4285714285714306</c:v>
                </c:pt>
                <c:pt idx="1">
                  <c:v>4.6448087431693992</c:v>
                </c:pt>
                <c:pt idx="2">
                  <c:v>6.1357702349869454</c:v>
                </c:pt>
                <c:pt idx="3">
                  <c:v>5.1660516605166054</c:v>
                </c:pt>
                <c:pt idx="4">
                  <c:v>3.6257309941520468</c:v>
                </c:pt>
                <c:pt idx="5">
                  <c:v>7.336343115124154</c:v>
                </c:pt>
                <c:pt idx="6">
                  <c:v>8.517350157728707</c:v>
                </c:pt>
                <c:pt idx="7">
                  <c:v>6.8798449612403099</c:v>
                </c:pt>
                <c:pt idx="8">
                  <c:v>4.8050770625566637</c:v>
                </c:pt>
                <c:pt idx="9">
                  <c:v>11.851211072664359</c:v>
                </c:pt>
              </c:numCache>
            </c:numRef>
          </c:val>
          <c:extLst>
            <c:ext xmlns:c16="http://schemas.microsoft.com/office/drawing/2014/chart" uri="{C3380CC4-5D6E-409C-BE32-E72D297353CC}">
              <c16:uniqueId val="{00000002-5ABF-4824-9C98-01DE19864895}"/>
            </c:ext>
          </c:extLst>
        </c:ser>
        <c:ser>
          <c:idx val="1"/>
          <c:order val="1"/>
          <c:tx>
            <c:strRef>
              <c:f>Sheet1!$A$4</c:f>
              <c:strCache>
                <c:ptCount val="1"/>
                <c:pt idx="0">
                  <c:v>Privātajā sektorā</c:v>
                </c:pt>
              </c:strCache>
            </c:strRef>
          </c:tx>
          <c:invertIfNegative val="0"/>
          <c:dLbls>
            <c:dLbl>
              <c:idx val="9"/>
              <c:layout>
                <c:manualLayout>
                  <c:x val="8.8202866593164279E-3"/>
                  <c:y val="-1.8558796513148679E-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BF-4824-9C98-01DE19864895}"/>
                </c:ext>
              </c:extLst>
            </c:dLbl>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Sheet1!$B$2:$K$2</c:f>
              <c:numCache>
                <c:formatCode>0</c:formatCode>
                <c:ptCount val="10"/>
                <c:pt idx="0">
                  <c:v>2012</c:v>
                </c:pt>
                <c:pt idx="1">
                  <c:v>2013</c:v>
                </c:pt>
                <c:pt idx="2">
                  <c:v>2014</c:v>
                </c:pt>
                <c:pt idx="3">
                  <c:v>2015</c:v>
                </c:pt>
                <c:pt idx="4">
                  <c:v>2016</c:v>
                </c:pt>
                <c:pt idx="5" formatCode="General">
                  <c:v>2017</c:v>
                </c:pt>
                <c:pt idx="6">
                  <c:v>2018</c:v>
                </c:pt>
                <c:pt idx="7">
                  <c:v>2019</c:v>
                </c:pt>
                <c:pt idx="8">
                  <c:v>2020</c:v>
                </c:pt>
                <c:pt idx="9">
                  <c:v>2021</c:v>
                </c:pt>
              </c:numCache>
            </c:numRef>
          </c:cat>
          <c:val>
            <c:numRef>
              <c:f>Sheet1!$B$4:$K$4</c:f>
              <c:numCache>
                <c:formatCode>0.0</c:formatCode>
                <c:ptCount val="10"/>
                <c:pt idx="0">
                  <c:v>3.4591194968553509</c:v>
                </c:pt>
                <c:pt idx="1">
                  <c:v>4.7112462006079028</c:v>
                </c:pt>
                <c:pt idx="2">
                  <c:v>7.5471698113207566</c:v>
                </c:pt>
                <c:pt idx="3">
                  <c:v>7.8272604588394188</c:v>
                </c:pt>
                <c:pt idx="4">
                  <c:v>5.7571964956195245</c:v>
                </c:pt>
                <c:pt idx="5">
                  <c:v>8.2840236686390512</c:v>
                </c:pt>
                <c:pt idx="6">
                  <c:v>8.3060109289617543</c:v>
                </c:pt>
                <c:pt idx="7">
                  <c:v>7.6690211907164354</c:v>
                </c:pt>
                <c:pt idx="8">
                  <c:v>6.6541705716963451</c:v>
                </c:pt>
                <c:pt idx="9">
                  <c:v>11.86291739894552</c:v>
                </c:pt>
              </c:numCache>
            </c:numRef>
          </c:val>
          <c:extLst>
            <c:ext xmlns:c16="http://schemas.microsoft.com/office/drawing/2014/chart" uri="{C3380CC4-5D6E-409C-BE32-E72D297353CC}">
              <c16:uniqueId val="{00000004-5ABF-4824-9C98-01DE19864895}"/>
            </c:ext>
          </c:extLst>
        </c:ser>
        <c:dLbls>
          <c:dLblPos val="outEnd"/>
          <c:showLegendKey val="0"/>
          <c:showVal val="1"/>
          <c:showCatName val="0"/>
          <c:showSerName val="0"/>
          <c:showPercent val="0"/>
          <c:showBubbleSize val="0"/>
        </c:dLbls>
        <c:gapWidth val="40"/>
        <c:axId val="742046776"/>
        <c:axId val="742047952"/>
      </c:barChart>
      <c:catAx>
        <c:axId val="742046776"/>
        <c:scaling>
          <c:orientation val="minMax"/>
        </c:scaling>
        <c:delete val="0"/>
        <c:axPos val="b"/>
        <c:numFmt formatCode="0" sourceLinked="0"/>
        <c:majorTickMark val="out"/>
        <c:minorTickMark val="none"/>
        <c:tickLblPos val="low"/>
        <c:spPr>
          <a:ln w="9525"/>
        </c:spPr>
        <c:txPr>
          <a:bodyPr rot="0" vert="horz"/>
          <a:lstStyle/>
          <a:p>
            <a:pPr>
              <a:defRPr/>
            </a:pPr>
            <a:endParaRPr lang="lv-LV"/>
          </a:p>
        </c:txPr>
        <c:crossAx val="742047952"/>
        <c:crosses val="autoZero"/>
        <c:auto val="1"/>
        <c:lblAlgn val="ctr"/>
        <c:lblOffset val="100"/>
        <c:noMultiLvlLbl val="0"/>
      </c:catAx>
      <c:valAx>
        <c:axId val="742047952"/>
        <c:scaling>
          <c:orientation val="minMax"/>
          <c:max val="13"/>
          <c:min val="0"/>
        </c:scaling>
        <c:delete val="0"/>
        <c:axPos val="l"/>
        <c:numFmt formatCode="0" sourceLinked="0"/>
        <c:majorTickMark val="out"/>
        <c:minorTickMark val="none"/>
        <c:tickLblPos val="nextTo"/>
        <c:spPr>
          <a:ln>
            <a:noFill/>
          </a:ln>
        </c:spPr>
        <c:crossAx val="742046776"/>
        <c:crosses val="autoZero"/>
        <c:crossBetween val="between"/>
        <c:majorUnit val="2"/>
      </c:valAx>
      <c:spPr>
        <a:noFill/>
      </c:spPr>
    </c:plotArea>
    <c:legend>
      <c:legendPos val="t"/>
      <c:layout>
        <c:manualLayout>
          <c:xMode val="edge"/>
          <c:yMode val="edge"/>
          <c:x val="0.11267950932814766"/>
          <c:y val="1.1761246692149369E-2"/>
          <c:w val="0.43064980163036404"/>
          <c:h val="0.18676338927021877"/>
        </c:manualLayout>
      </c:layout>
      <c:overlay val="0"/>
    </c:legend>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436878885352137E-2"/>
          <c:y val="6.0613946338154374E-2"/>
          <c:w val="0.8789631193571017"/>
          <c:h val="0.81145332428859507"/>
        </c:manualLayout>
      </c:layout>
      <c:barChart>
        <c:barDir val="col"/>
        <c:grouping val="clustered"/>
        <c:varyColors val="0"/>
        <c:ser>
          <c:idx val="0"/>
          <c:order val="0"/>
          <c:tx>
            <c:strRef>
              <c:f>Sheet1!$A$2</c:f>
              <c:strCache>
                <c:ptCount val="1"/>
                <c:pt idx="0">
                  <c:v>&gt;1 000 EUR</c:v>
                </c:pt>
              </c:strCache>
            </c:strRef>
          </c:tx>
          <c:spPr>
            <a:solidFill>
              <a:schemeClr val="accent6"/>
            </a:solidFill>
            <a:ln>
              <a:noFill/>
            </a:ln>
            <a:effectLst/>
          </c:spPr>
          <c:invertIfNegative val="0"/>
          <c:dPt>
            <c:idx val="9"/>
            <c:invertIfNegative val="0"/>
            <c:bubble3D val="0"/>
            <c:spPr>
              <a:solidFill>
                <a:schemeClr val="accent6"/>
              </a:solidFill>
              <a:ln>
                <a:noFill/>
              </a:ln>
              <a:effectLst/>
            </c:spPr>
            <c:extLst>
              <c:ext xmlns:c16="http://schemas.microsoft.com/office/drawing/2014/chart" uri="{C3380CC4-5D6E-409C-BE32-E72D297353CC}">
                <c16:uniqueId val="{00000001-3440-4EE0-914D-E2509C100584}"/>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3-3440-4EE0-914D-E2509C100584}"/>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3440-4EE0-914D-E2509C100584}"/>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7-3440-4EE0-914D-E2509C100584}"/>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9-3440-4EE0-914D-E2509C100584}"/>
              </c:ext>
            </c:extLst>
          </c:dPt>
          <c:cat>
            <c:strRef>
              <c:f>Sheet1!$B$1:$O$1</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Sheet1!$B$2:$O$2</c:f>
              <c:numCache>
                <c:formatCode>0</c:formatCode>
                <c:ptCount val="14"/>
                <c:pt idx="0">
                  <c:v>19.8</c:v>
                </c:pt>
                <c:pt idx="1">
                  <c:v>16.3</c:v>
                </c:pt>
                <c:pt idx="2">
                  <c:v>13.999999999999996</c:v>
                </c:pt>
                <c:pt idx="3">
                  <c:v>15.099999999999998</c:v>
                </c:pt>
                <c:pt idx="4">
                  <c:v>16.400000000000002</c:v>
                </c:pt>
                <c:pt idx="5">
                  <c:v>18.200000000000003</c:v>
                </c:pt>
                <c:pt idx="6">
                  <c:v>20.399999999999999</c:v>
                </c:pt>
                <c:pt idx="7">
                  <c:v>22.9</c:v>
                </c:pt>
                <c:pt idx="8">
                  <c:v>25.4</c:v>
                </c:pt>
                <c:pt idx="9">
                  <c:v>29.399999999999995</c:v>
                </c:pt>
                <c:pt idx="10">
                  <c:v>33.699999999999996</c:v>
                </c:pt>
                <c:pt idx="11">
                  <c:v>38.016593293698328</c:v>
                </c:pt>
                <c:pt idx="12">
                  <c:v>41.2</c:v>
                </c:pt>
                <c:pt idx="13">
                  <c:v>46.699999999999996</c:v>
                </c:pt>
              </c:numCache>
            </c:numRef>
          </c:val>
          <c:extLst>
            <c:ext xmlns:c16="http://schemas.microsoft.com/office/drawing/2014/chart" uri="{C3380CC4-5D6E-409C-BE32-E72D297353CC}">
              <c16:uniqueId val="{0000000A-3440-4EE0-914D-E2509C100584}"/>
            </c:ext>
          </c:extLst>
        </c:ser>
        <c:dLbls>
          <c:showLegendKey val="0"/>
          <c:showVal val="0"/>
          <c:showCatName val="0"/>
          <c:showSerName val="0"/>
          <c:showPercent val="0"/>
          <c:showBubbleSize val="0"/>
        </c:dLbls>
        <c:gapWidth val="60"/>
        <c:axId val="742045992"/>
        <c:axId val="742045600"/>
      </c:barChart>
      <c:lineChart>
        <c:grouping val="standard"/>
        <c:varyColors val="0"/>
        <c:ser>
          <c:idx val="9"/>
          <c:order val="1"/>
          <c:tx>
            <c:strRef>
              <c:f>Sheet1!$A$3</c:f>
              <c:strCache>
                <c:ptCount val="1"/>
                <c:pt idx="0">
                  <c:v>Minimālā darba alga vai mazāk</c:v>
                </c:pt>
              </c:strCache>
            </c:strRef>
          </c:tx>
          <c:spPr>
            <a:ln w="19050" cap="rnd" cmpd="sng" algn="ctr">
              <a:solidFill>
                <a:sysClr val="window" lastClr="FFFFFF">
                  <a:lumMod val="50000"/>
                </a:sysClr>
              </a:solidFill>
              <a:prstDash val="solid"/>
              <a:round/>
            </a:ln>
            <a:effectLst/>
          </c:spPr>
          <c:marker>
            <c:symbol val="none"/>
          </c:marker>
          <c:dPt>
            <c:idx val="9"/>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C-3440-4EE0-914D-E2509C100584}"/>
              </c:ext>
            </c:extLst>
          </c:dPt>
          <c:dPt>
            <c:idx val="10"/>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0E-3440-4EE0-914D-E2509C100584}"/>
              </c:ext>
            </c:extLst>
          </c:dPt>
          <c:dPt>
            <c:idx val="11"/>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0-3440-4EE0-914D-E2509C100584}"/>
              </c:ext>
            </c:extLst>
          </c:dPt>
          <c:dPt>
            <c:idx val="12"/>
            <c:bubble3D val="0"/>
            <c:spPr>
              <a:ln w="19050" cap="rnd" cmpd="sng" algn="ctr">
                <a:solidFill>
                  <a:sysClr val="window" lastClr="FFFFFF">
                    <a:lumMod val="50000"/>
                  </a:sysClr>
                </a:solidFill>
                <a:prstDash val="solid"/>
                <a:round/>
              </a:ln>
              <a:effectLst/>
            </c:spPr>
            <c:extLst>
              <c:ext xmlns:c16="http://schemas.microsoft.com/office/drawing/2014/chart" uri="{C3380CC4-5D6E-409C-BE32-E72D297353CC}">
                <c16:uniqueId val="{00000012-3440-4EE0-914D-E2509C100584}"/>
              </c:ext>
            </c:extLst>
          </c:dPt>
          <c:cat>
            <c:strRef>
              <c:f>Sheet1!$B$1:$O$1</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Sheet1!$B$3:$O$3</c:f>
              <c:numCache>
                <c:formatCode>0</c:formatCode>
                <c:ptCount val="14"/>
                <c:pt idx="0">
                  <c:v>17.899999999999999</c:v>
                </c:pt>
                <c:pt idx="1">
                  <c:v>24.2</c:v>
                </c:pt>
                <c:pt idx="2">
                  <c:v>26.5</c:v>
                </c:pt>
                <c:pt idx="3">
                  <c:v>28.2</c:v>
                </c:pt>
                <c:pt idx="4">
                  <c:v>26.3</c:v>
                </c:pt>
                <c:pt idx="5">
                  <c:v>23.6</c:v>
                </c:pt>
                <c:pt idx="6">
                  <c:v>23.2</c:v>
                </c:pt>
                <c:pt idx="7">
                  <c:v>23.5</c:v>
                </c:pt>
                <c:pt idx="8">
                  <c:v>21.7</c:v>
                </c:pt>
                <c:pt idx="9">
                  <c:v>20.100000000000001</c:v>
                </c:pt>
                <c:pt idx="10">
                  <c:v>20.6</c:v>
                </c:pt>
                <c:pt idx="11">
                  <c:v>18.899999999999999</c:v>
                </c:pt>
                <c:pt idx="12">
                  <c:v>18.100000000000001</c:v>
                </c:pt>
                <c:pt idx="13">
                  <c:v>19.399999999999999</c:v>
                </c:pt>
              </c:numCache>
            </c:numRef>
          </c:val>
          <c:smooth val="0"/>
          <c:extLst>
            <c:ext xmlns:c16="http://schemas.microsoft.com/office/drawing/2014/chart" uri="{C3380CC4-5D6E-409C-BE32-E72D297353CC}">
              <c16:uniqueId val="{00000013-3440-4EE0-914D-E2509C100584}"/>
            </c:ext>
          </c:extLst>
        </c:ser>
        <c:dLbls>
          <c:showLegendKey val="0"/>
          <c:showVal val="0"/>
          <c:showCatName val="0"/>
          <c:showSerName val="0"/>
          <c:showPercent val="0"/>
          <c:showBubbleSize val="0"/>
        </c:dLbls>
        <c:marker val="1"/>
        <c:smooth val="0"/>
        <c:axId val="742045992"/>
        <c:axId val="742045600"/>
      </c:lineChart>
      <c:catAx>
        <c:axId val="742045992"/>
        <c:scaling>
          <c:orientation val="minMax"/>
        </c:scaling>
        <c:delete val="0"/>
        <c:axPos val="b"/>
        <c:numFmt formatCode="General" sourceLinked="1"/>
        <c:majorTickMark val="out"/>
        <c:minorTickMark val="none"/>
        <c:tickLblPos val="low"/>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crossAx val="742045600"/>
        <c:crosses val="autoZero"/>
        <c:auto val="0"/>
        <c:lblAlgn val="ctr"/>
        <c:lblOffset val="100"/>
        <c:noMultiLvlLbl val="0"/>
      </c:catAx>
      <c:valAx>
        <c:axId val="742045600"/>
        <c:scaling>
          <c:orientation val="minMax"/>
        </c:scaling>
        <c:delete val="0"/>
        <c:axPos val="l"/>
        <c:numFmt formatCode="0" sourceLinked="0"/>
        <c:majorTickMark val="out"/>
        <c:minorTickMark val="none"/>
        <c:tickLblPos val="nextTo"/>
        <c:spPr>
          <a:noFill/>
          <a:ln w="3175" cap="flat" cmpd="sng" algn="ctr">
            <a:noFill/>
            <a:prstDash val="solid"/>
            <a:round/>
          </a:ln>
          <a:effectLst/>
        </c:spPr>
        <c:txPr>
          <a:bodyPr rot="0" spcFirstLastPara="1" vertOverflow="ellipsis"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crossAx val="742045992"/>
        <c:crosses val="autoZero"/>
        <c:crossBetween val="between"/>
        <c:majorUnit val="10"/>
      </c:valAx>
      <c:spPr>
        <a:noFill/>
        <a:ln w="24631">
          <a:noFill/>
        </a:ln>
        <a:effectLst/>
      </c:spPr>
    </c:plotArea>
    <c:legend>
      <c:legendPos val="l"/>
      <c:layout>
        <c:manualLayout>
          <c:xMode val="edge"/>
          <c:yMode val="edge"/>
          <c:x val="0.10165866532394587"/>
          <c:y val="2.3790594243934739E-2"/>
          <c:w val="0.7801341269841271"/>
          <c:h val="0.17557515310586178"/>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Segoe UI Light" panose="020B0502040204020203" pitchFamily="34" charset="0"/>
              <a:ea typeface="Arial"/>
              <a:cs typeface="Arial"/>
            </a:defRPr>
          </a:pPr>
          <a:endParaRPr lang="lv-LV"/>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379263833631537"/>
          <c:y val="1.089537653947103E-2"/>
          <c:w val="0.4678564508295523"/>
          <c:h val="0.97246682604785839"/>
        </c:manualLayout>
      </c:layout>
      <c:barChart>
        <c:barDir val="bar"/>
        <c:grouping val="clustered"/>
        <c:varyColors val="0"/>
        <c:ser>
          <c:idx val="2"/>
          <c:order val="0"/>
          <c:spPr>
            <a:solidFill>
              <a:srgbClr val="9BBB59"/>
            </a:solidFill>
          </c:spPr>
          <c:invertIfNegative val="0"/>
          <c:dPt>
            <c:idx val="6"/>
            <c:invertIfNegative val="0"/>
            <c:bubble3D val="0"/>
            <c:extLst>
              <c:ext xmlns:c16="http://schemas.microsoft.com/office/drawing/2014/chart" uri="{C3380CC4-5D6E-409C-BE32-E72D297353CC}">
                <c16:uniqueId val="{00000001-0C33-4CF0-A679-BC12066C826F}"/>
              </c:ext>
            </c:extLst>
          </c:dPt>
          <c:dPt>
            <c:idx val="13"/>
            <c:invertIfNegative val="0"/>
            <c:bubble3D val="0"/>
            <c:spPr>
              <a:solidFill>
                <a:srgbClr val="F79646">
                  <a:lumMod val="75000"/>
                </a:srgbClr>
              </a:solidFill>
            </c:spPr>
            <c:extLst>
              <c:ext xmlns:c16="http://schemas.microsoft.com/office/drawing/2014/chart" uri="{C3380CC4-5D6E-409C-BE32-E72D297353CC}">
                <c16:uniqueId val="{00000003-780C-4A20-A4E8-A9F95EE0FADC}"/>
              </c:ext>
            </c:extLst>
          </c:dPt>
          <c:dLbls>
            <c:dLbl>
              <c:idx val="13"/>
              <c:spPr>
                <a:noFill/>
                <a:ln>
                  <a:noFill/>
                </a:ln>
                <a:effectLst/>
              </c:spPr>
              <c:txPr>
                <a:bodyPr wrap="square" lIns="38100" tIns="19050" rIns="38100" bIns="19050" anchor="ctr">
                  <a:spAutoFit/>
                </a:bodyPr>
                <a:lstStyle/>
                <a:p>
                  <a:pPr>
                    <a:defRPr b="1">
                      <a:solidFill>
                        <a:schemeClr val="bg1"/>
                      </a:solidFill>
                    </a:defRPr>
                  </a:pPr>
                  <a:endParaRPr lang="lv-LV"/>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780C-4A20-A4E8-A9F95EE0FADC}"/>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Sheet1!$E$3:$E$22</c:f>
              <c:strCache>
                <c:ptCount val="20"/>
                <c:pt idx="0">
                  <c:v>Ūdens apgāde; notekūdeņu, atkritumu apsaimniekošana un sanācija</c:v>
                </c:pt>
                <c:pt idx="1">
                  <c:v>Ieguves rūpniecība un karjeru izstrāde</c:v>
                </c:pt>
                <c:pt idx="2">
                  <c:v>Finanšu un apdrošināšanas darbības</c:v>
                </c:pt>
                <c:pt idx="3">
                  <c:v>Valsts pārvalde un aizsardzība</c:v>
                </c:pt>
                <c:pt idx="4">
                  <c:v>Transports un uzglabāšana</c:v>
                </c:pt>
                <c:pt idx="5">
                  <c:v>Elektroenerģija, gāzes apgāde, siltumapgāde un gaisa kondicionēšana</c:v>
                </c:pt>
                <c:pt idx="6">
                  <c:v>Apstrādes rūpniecība</c:v>
                </c:pt>
                <c:pt idx="7">
                  <c:v>Administratīvo un apkalpojošo dienestu darbība</c:v>
                </c:pt>
                <c:pt idx="8">
                  <c:v>Lauksaimniecība, mežsaimniecība un zivsaimniecība</c:v>
                </c:pt>
                <c:pt idx="9">
                  <c:v>Izmitināšana un ēdināšanas pakalpojumi</c:v>
                </c:pt>
                <c:pt idx="10">
                  <c:v>Operācijas ar nekustamo īpašumu</c:v>
                </c:pt>
                <c:pt idx="11">
                  <c:v>Būvniecība</c:v>
                </c:pt>
                <c:pt idx="12">
                  <c:v>Izglītība </c:v>
                </c:pt>
                <c:pt idx="13">
                  <c:v>VIDĒJI VALSTĪ</c:v>
                </c:pt>
                <c:pt idx="14">
                  <c:v>Informācijas un komunikācijas pakalpojumi</c:v>
                </c:pt>
                <c:pt idx="15">
                  <c:v>Tirdzniecība; automobiļu un motociklu remonts</c:v>
                </c:pt>
                <c:pt idx="16">
                  <c:v>Citi pakalpojumi</c:v>
                </c:pt>
                <c:pt idx="17">
                  <c:v>Māksla, izklaide un atpūta </c:v>
                </c:pt>
                <c:pt idx="18">
                  <c:v>Profesionālie, zinātniskie un tehniskie pakalpojumi</c:v>
                </c:pt>
                <c:pt idx="19">
                  <c:v>Veselība un sociālā aprūpe</c:v>
                </c:pt>
              </c:strCache>
            </c:strRef>
          </c:cat>
          <c:val>
            <c:numRef>
              <c:f>Sheet1!$C$3:$C$22</c:f>
              <c:numCache>
                <c:formatCode>0.0</c:formatCode>
                <c:ptCount val="20"/>
                <c:pt idx="0">
                  <c:v>3.8</c:v>
                </c:pt>
                <c:pt idx="1">
                  <c:v>4.7</c:v>
                </c:pt>
                <c:pt idx="2">
                  <c:v>5.6</c:v>
                </c:pt>
                <c:pt idx="3">
                  <c:v>7</c:v>
                </c:pt>
                <c:pt idx="4">
                  <c:v>7.9</c:v>
                </c:pt>
                <c:pt idx="5">
                  <c:v>8</c:v>
                </c:pt>
                <c:pt idx="6">
                  <c:v>8.3000000000000007</c:v>
                </c:pt>
                <c:pt idx="7">
                  <c:v>8.6</c:v>
                </c:pt>
                <c:pt idx="8">
                  <c:v>8.8000000000000007</c:v>
                </c:pt>
                <c:pt idx="9">
                  <c:v>9.5</c:v>
                </c:pt>
                <c:pt idx="10">
                  <c:v>9.8000000000000007</c:v>
                </c:pt>
                <c:pt idx="11">
                  <c:v>10.5</c:v>
                </c:pt>
                <c:pt idx="12">
                  <c:v>10.8</c:v>
                </c:pt>
                <c:pt idx="13">
                  <c:v>11.7</c:v>
                </c:pt>
                <c:pt idx="14">
                  <c:v>11.9</c:v>
                </c:pt>
                <c:pt idx="15">
                  <c:v>12.7</c:v>
                </c:pt>
                <c:pt idx="16">
                  <c:v>13.4</c:v>
                </c:pt>
                <c:pt idx="17">
                  <c:v>13.9</c:v>
                </c:pt>
                <c:pt idx="18">
                  <c:v>18.100000000000001</c:v>
                </c:pt>
                <c:pt idx="19">
                  <c:v>28.2</c:v>
                </c:pt>
              </c:numCache>
            </c:numRef>
          </c:val>
          <c:extLst>
            <c:ext xmlns:c16="http://schemas.microsoft.com/office/drawing/2014/chart" uri="{C3380CC4-5D6E-409C-BE32-E72D297353CC}">
              <c16:uniqueId val="{00000002-0C33-4CF0-A679-BC12066C826F}"/>
            </c:ext>
          </c:extLst>
        </c:ser>
        <c:dLbls>
          <c:showLegendKey val="0"/>
          <c:showVal val="0"/>
          <c:showCatName val="0"/>
          <c:showSerName val="0"/>
          <c:showPercent val="0"/>
          <c:showBubbleSize val="0"/>
        </c:dLbls>
        <c:gapWidth val="40"/>
        <c:axId val="742045208"/>
        <c:axId val="742036192"/>
      </c:barChart>
      <c:catAx>
        <c:axId val="742045208"/>
        <c:scaling>
          <c:orientation val="minMax"/>
        </c:scaling>
        <c:delete val="0"/>
        <c:axPos val="l"/>
        <c:numFmt formatCode="General" sourceLinked="1"/>
        <c:majorTickMark val="out"/>
        <c:minorTickMark val="none"/>
        <c:tickLblPos val="nextTo"/>
        <c:spPr>
          <a:ln w="3175"/>
        </c:spPr>
        <c:crossAx val="742036192"/>
        <c:crosses val="autoZero"/>
        <c:auto val="0"/>
        <c:lblAlgn val="ctr"/>
        <c:lblOffset val="0"/>
        <c:noMultiLvlLbl val="1"/>
      </c:catAx>
      <c:valAx>
        <c:axId val="742036192"/>
        <c:scaling>
          <c:orientation val="minMax"/>
          <c:max val="30"/>
          <c:min val="0"/>
        </c:scaling>
        <c:delete val="1"/>
        <c:axPos val="b"/>
        <c:numFmt formatCode="0" sourceLinked="0"/>
        <c:majorTickMark val="out"/>
        <c:minorTickMark val="none"/>
        <c:tickLblPos val="nextTo"/>
        <c:crossAx val="742045208"/>
        <c:crosses val="autoZero"/>
        <c:crossBetween val="between"/>
        <c:majorUnit val="7"/>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272090056801266E-2"/>
          <c:y val="8.7675264729839802E-2"/>
          <c:w val="0.8838468202444979"/>
          <c:h val="0.41472676260295049"/>
        </c:manualLayout>
      </c:layout>
      <c:barChart>
        <c:barDir val="col"/>
        <c:grouping val="clustered"/>
        <c:varyColors val="0"/>
        <c:ser>
          <c:idx val="1"/>
          <c:order val="1"/>
          <c:tx>
            <c:strRef>
              <c:f>Sheet1!$C$1</c:f>
              <c:strCache>
                <c:ptCount val="1"/>
                <c:pt idx="0">
                  <c:v>Bruto darba samaksa 2021.g. dec. (EUR, kreisā ass)</c:v>
                </c:pt>
              </c:strCache>
            </c:strRef>
          </c:tx>
          <c:spPr>
            <a:solidFill>
              <a:srgbClr val="CC9900"/>
            </a:solidFill>
            <a:ln>
              <a:noFill/>
            </a:ln>
            <a:effectLst/>
          </c:spPr>
          <c:invertIfNegative val="0"/>
          <c:dLbls>
            <c:dLbl>
              <c:idx val="2"/>
              <c:layout>
                <c:manualLayout>
                  <c:x val="0"/>
                  <c:y val="-6.03773584905660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42-40FA-B64E-CAE7DFEF22EB}"/>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Vadītāji</c:v>
                </c:pt>
                <c:pt idx="1">
                  <c:v>Vecākie speciālisti</c:v>
                </c:pt>
                <c:pt idx="2">
                  <c:v>Speciālisti</c:v>
                </c:pt>
                <c:pt idx="3">
                  <c:v>Kalpotāji</c:v>
                </c:pt>
                <c:pt idx="4">
                  <c:v>Kvalificēti strādnieki un amatnieki</c:v>
                </c:pt>
                <c:pt idx="5">
                  <c:v>Iekārtu un mašīnu operatori</c:v>
                </c:pt>
                <c:pt idx="6">
                  <c:v>NBS profesijas</c:v>
                </c:pt>
                <c:pt idx="7">
                  <c:v>Kvalificēti lauksaimniecības darbinieki</c:v>
                </c:pt>
                <c:pt idx="8">
                  <c:v>Pakalpojumu un tirdzniecības darbinieki</c:v>
                </c:pt>
                <c:pt idx="9">
                  <c:v>Vienkāršās profesijas</c:v>
                </c:pt>
              </c:strCache>
            </c:strRef>
          </c:cat>
          <c:val>
            <c:numRef>
              <c:f>Sheet1!$C$2:$C$11</c:f>
              <c:numCache>
                <c:formatCode>#,##0</c:formatCode>
                <c:ptCount val="10"/>
                <c:pt idx="0">
                  <c:v>2343</c:v>
                </c:pt>
                <c:pt idx="1">
                  <c:v>2195</c:v>
                </c:pt>
                <c:pt idx="2">
                  <c:v>1774</c:v>
                </c:pt>
                <c:pt idx="3">
                  <c:v>1349</c:v>
                </c:pt>
                <c:pt idx="4">
                  <c:v>1344</c:v>
                </c:pt>
                <c:pt idx="5">
                  <c:v>1285</c:v>
                </c:pt>
                <c:pt idx="6">
                  <c:v>1167</c:v>
                </c:pt>
                <c:pt idx="7">
                  <c:v>1055</c:v>
                </c:pt>
                <c:pt idx="8" formatCode="General">
                  <c:v>984</c:v>
                </c:pt>
                <c:pt idx="9" formatCode="General">
                  <c:v>908</c:v>
                </c:pt>
              </c:numCache>
            </c:numRef>
          </c:val>
          <c:extLst>
            <c:ext xmlns:c16="http://schemas.microsoft.com/office/drawing/2014/chart" uri="{C3380CC4-5D6E-409C-BE32-E72D297353CC}">
              <c16:uniqueId val="{00000000-716D-4F4F-83BD-1D29A93C37C3}"/>
            </c:ext>
          </c:extLst>
        </c:ser>
        <c:dLbls>
          <c:showLegendKey val="0"/>
          <c:showVal val="0"/>
          <c:showCatName val="0"/>
          <c:showSerName val="0"/>
          <c:showPercent val="0"/>
          <c:showBubbleSize val="0"/>
        </c:dLbls>
        <c:gapWidth val="80"/>
        <c:axId val="524604104"/>
        <c:axId val="524602792"/>
      </c:barChart>
      <c:lineChart>
        <c:grouping val="standard"/>
        <c:varyColors val="0"/>
        <c:ser>
          <c:idx val="0"/>
          <c:order val="0"/>
          <c:tx>
            <c:strRef>
              <c:f>Sheet1!$B$1</c:f>
              <c:strCache>
                <c:ptCount val="1"/>
                <c:pt idx="0">
                  <c:v>Bruto darba samaksa (2021.g. dec. / 2020.g. dec., izmaiņas %, labā ass)</c:v>
                </c:pt>
              </c:strCache>
            </c:strRef>
          </c:tx>
          <c:spPr>
            <a:ln w="28575" cap="rnd">
              <a:noFill/>
              <a:round/>
            </a:ln>
            <a:effectLst/>
          </c:spPr>
          <c:marker>
            <c:symbol val="diamond"/>
            <c:size val="10"/>
            <c:spPr>
              <a:solidFill>
                <a:schemeClr val="tx1">
                  <a:lumMod val="65000"/>
                  <a:lumOff val="35000"/>
                </a:schemeClr>
              </a:solidFill>
              <a:ln w="9525">
                <a:solidFill>
                  <a:schemeClr val="tx1">
                    <a:lumMod val="65000"/>
                    <a:lumOff val="35000"/>
                  </a:schemeClr>
                </a:solidFill>
              </a:ln>
              <a:effectLst/>
            </c:spPr>
          </c:marker>
          <c:cat>
            <c:strRef>
              <c:f>Sheet1!$A$2:$A$11</c:f>
              <c:strCache>
                <c:ptCount val="10"/>
                <c:pt idx="0">
                  <c:v>Vadītāji</c:v>
                </c:pt>
                <c:pt idx="1">
                  <c:v>Vecākie speciālisti</c:v>
                </c:pt>
                <c:pt idx="2">
                  <c:v>Speciālisti</c:v>
                </c:pt>
                <c:pt idx="3">
                  <c:v>Kalpotāji</c:v>
                </c:pt>
                <c:pt idx="4">
                  <c:v>Kvalificēti strādnieki un amatnieki</c:v>
                </c:pt>
                <c:pt idx="5">
                  <c:v>Iekārtu un mašīnu operatori</c:v>
                </c:pt>
                <c:pt idx="6">
                  <c:v>NBS profesijas</c:v>
                </c:pt>
                <c:pt idx="7">
                  <c:v>Kvalificēti lauksaimniecības darbinieki</c:v>
                </c:pt>
                <c:pt idx="8">
                  <c:v>Pakalpojumu un tirdzniecības darbinieki</c:v>
                </c:pt>
                <c:pt idx="9">
                  <c:v>Vienkāršās profesijas</c:v>
                </c:pt>
              </c:strCache>
            </c:strRef>
          </c:cat>
          <c:val>
            <c:numRef>
              <c:f>Sheet1!$B$2:$B$11</c:f>
              <c:numCache>
                <c:formatCode>0.0%</c:formatCode>
                <c:ptCount val="10"/>
                <c:pt idx="0">
                  <c:v>3.5000000000000003E-2</c:v>
                </c:pt>
                <c:pt idx="1">
                  <c:v>0.09</c:v>
                </c:pt>
                <c:pt idx="2">
                  <c:v>9.2999999999999999E-2</c:v>
                </c:pt>
                <c:pt idx="3">
                  <c:v>3.9E-2</c:v>
                </c:pt>
                <c:pt idx="4">
                  <c:v>5.8999999999999997E-2</c:v>
                </c:pt>
                <c:pt idx="5">
                  <c:v>9.6000000000000002E-2</c:v>
                </c:pt>
                <c:pt idx="6">
                  <c:v>1.2E-2</c:v>
                </c:pt>
                <c:pt idx="7">
                  <c:v>4.9000000000000002E-2</c:v>
                </c:pt>
                <c:pt idx="8">
                  <c:v>0.1</c:v>
                </c:pt>
                <c:pt idx="9">
                  <c:v>8.8999999999999996E-2</c:v>
                </c:pt>
              </c:numCache>
            </c:numRef>
          </c:val>
          <c:smooth val="0"/>
          <c:extLst>
            <c:ext xmlns:c16="http://schemas.microsoft.com/office/drawing/2014/chart" uri="{C3380CC4-5D6E-409C-BE32-E72D297353CC}">
              <c16:uniqueId val="{00000001-716D-4F4F-83BD-1D29A93C37C3}"/>
            </c:ext>
          </c:extLst>
        </c:ser>
        <c:dLbls>
          <c:showLegendKey val="0"/>
          <c:showVal val="0"/>
          <c:showCatName val="0"/>
          <c:showSerName val="0"/>
          <c:showPercent val="0"/>
          <c:showBubbleSize val="0"/>
        </c:dLbls>
        <c:marker val="1"/>
        <c:smooth val="0"/>
        <c:axId val="524610992"/>
        <c:axId val="524610008"/>
      </c:lineChart>
      <c:valAx>
        <c:axId val="524602792"/>
        <c:scaling>
          <c:orientation val="minMax"/>
        </c:scaling>
        <c:delete val="0"/>
        <c:axPos val="r"/>
        <c:numFmt formatCode="#,##0" sourceLinked="1"/>
        <c:majorTickMark val="out"/>
        <c:minorTickMark val="none"/>
        <c:tickLblPos val="low"/>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04104"/>
        <c:crosses val="max"/>
        <c:crossBetween val="between"/>
      </c:valAx>
      <c:catAx>
        <c:axId val="524604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02792"/>
        <c:crosses val="autoZero"/>
        <c:auto val="0"/>
        <c:lblAlgn val="ctr"/>
        <c:lblOffset val="100"/>
        <c:tickLblSkip val="1"/>
        <c:noMultiLvlLbl val="0"/>
      </c:catAx>
      <c:valAx>
        <c:axId val="524610008"/>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24610992"/>
        <c:crosses val="max"/>
        <c:crossBetween val="between"/>
        <c:majorUnit val="3.0000000000000006E-2"/>
      </c:valAx>
      <c:catAx>
        <c:axId val="524610992"/>
        <c:scaling>
          <c:orientation val="minMax"/>
        </c:scaling>
        <c:delete val="1"/>
        <c:axPos val="b"/>
        <c:numFmt formatCode="General" sourceLinked="1"/>
        <c:majorTickMark val="out"/>
        <c:minorTickMark val="none"/>
        <c:tickLblPos val="nextTo"/>
        <c:crossAx val="524610008"/>
        <c:crosses val="autoZero"/>
        <c:auto val="1"/>
        <c:lblAlgn val="ctr"/>
        <c:lblOffset val="100"/>
        <c:noMultiLvlLbl val="0"/>
      </c:catAx>
      <c:spPr>
        <a:noFill/>
        <a:ln>
          <a:noFill/>
        </a:ln>
        <a:effectLst/>
      </c:spPr>
    </c:plotArea>
    <c:legend>
      <c:legendPos val="b"/>
      <c:layout>
        <c:manualLayout>
          <c:xMode val="edge"/>
          <c:yMode val="edge"/>
          <c:x val="0.35360528277771863"/>
          <c:y val="1.8448728391709684E-3"/>
          <c:w val="0.59751828869937429"/>
          <c:h val="0.131211512354059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211328422656846E-2"/>
          <c:y val="3.9784827364179154E-2"/>
          <c:w val="0.83768487003640679"/>
          <c:h val="0.81951427758277207"/>
        </c:manualLayout>
      </c:layout>
      <c:barChart>
        <c:barDir val="col"/>
        <c:grouping val="clustered"/>
        <c:varyColors val="0"/>
        <c:ser>
          <c:idx val="1"/>
          <c:order val="2"/>
          <c:tx>
            <c:strRef>
              <c:f>Sheet1!$A$29</c:f>
              <c:strCache>
                <c:ptCount val="1"/>
                <c:pt idx="0">
                  <c:v>Latvija (ES-27 = 100, labā ass)</c:v>
                </c:pt>
              </c:strCache>
            </c:strRef>
          </c:tx>
          <c:spPr>
            <a:solidFill>
              <a:sysClr val="window" lastClr="FFFFFF">
                <a:lumMod val="75000"/>
              </a:sysClr>
            </a:solidFill>
            <a:ln w="25380" cap="rnd">
              <a:noFill/>
              <a:round/>
            </a:ln>
            <a:effectLst/>
          </c:spPr>
          <c:invertIfNegative val="0"/>
          <c:cat>
            <c:strRef>
              <c:f>Sheet1!$B$26:$M$26</c:f>
              <c:strCache>
                <c:ptCount val="12"/>
                <c:pt idx="1">
                  <c:v>2011</c:v>
                </c:pt>
                <c:pt idx="3">
                  <c:v>2013</c:v>
                </c:pt>
                <c:pt idx="5">
                  <c:v>2015</c:v>
                </c:pt>
                <c:pt idx="7">
                  <c:v>2017</c:v>
                </c:pt>
                <c:pt idx="9">
                  <c:v>2019</c:v>
                </c:pt>
                <c:pt idx="11">
                  <c:v>2021</c:v>
                </c:pt>
              </c:strCache>
            </c:strRef>
          </c:cat>
          <c:val>
            <c:numRef>
              <c:f>Sheet1!$B$29:$M$29</c:f>
              <c:numCache>
                <c:formatCode>General</c:formatCode>
                <c:ptCount val="12"/>
                <c:pt idx="0">
                  <c:v>38.250374386888133</c:v>
                </c:pt>
                <c:pt idx="1">
                  <c:v>39.943358892079054</c:v>
                </c:pt>
                <c:pt idx="2">
                  <c:v>43.310880171087987</c:v>
                </c:pt>
                <c:pt idx="3">
                  <c:v>43.270779350278417</c:v>
                </c:pt>
                <c:pt idx="4">
                  <c:v>44.941099913297158</c:v>
                </c:pt>
                <c:pt idx="5">
                  <c:v>44.879966749831794</c:v>
                </c:pt>
                <c:pt idx="6">
                  <c:v>45.816232474205201</c:v>
                </c:pt>
                <c:pt idx="7">
                  <c:v>47.552382450278941</c:v>
                </c:pt>
                <c:pt idx="8">
                  <c:v>49.650190540989328</c:v>
                </c:pt>
                <c:pt idx="9">
                  <c:v>50.980184737086688</c:v>
                </c:pt>
                <c:pt idx="10">
                  <c:v>51.74183048597326</c:v>
                </c:pt>
                <c:pt idx="11">
                  <c:v>55.685463631601984</c:v>
                </c:pt>
              </c:numCache>
            </c:numRef>
          </c:val>
          <c:extLst>
            <c:ext xmlns:c16="http://schemas.microsoft.com/office/drawing/2014/chart" uri="{C3380CC4-5D6E-409C-BE32-E72D297353CC}">
              <c16:uniqueId val="{00000002-7C5A-4C37-B44D-09A07FADB84B}"/>
            </c:ext>
          </c:extLst>
        </c:ser>
        <c:dLbls>
          <c:showLegendKey val="0"/>
          <c:showVal val="0"/>
          <c:showCatName val="0"/>
          <c:showSerName val="0"/>
          <c:showPercent val="0"/>
          <c:showBubbleSize val="0"/>
        </c:dLbls>
        <c:gapWidth val="80"/>
        <c:axId val="836729199"/>
        <c:axId val="836745839"/>
      </c:barChart>
      <c:lineChart>
        <c:grouping val="standard"/>
        <c:varyColors val="0"/>
        <c:ser>
          <c:idx val="2"/>
          <c:order val="0"/>
          <c:tx>
            <c:strRef>
              <c:f>Sheet1!$A$27</c:f>
              <c:strCache>
                <c:ptCount val="1"/>
                <c:pt idx="0">
                  <c:v>Latvija (2010 = 100, kreisā ass)</c:v>
                </c:pt>
              </c:strCache>
            </c:strRef>
          </c:tx>
          <c:spPr>
            <a:ln w="25400">
              <a:solidFill>
                <a:srgbClr val="F79646"/>
              </a:solidFill>
            </a:ln>
          </c:spPr>
          <c:marker>
            <c:symbol val="none"/>
          </c:marker>
          <c:cat>
            <c:strRef>
              <c:f>Sheet1!$B$26:$M$26</c:f>
              <c:strCache>
                <c:ptCount val="12"/>
                <c:pt idx="1">
                  <c:v>2011</c:v>
                </c:pt>
                <c:pt idx="3">
                  <c:v>2013</c:v>
                </c:pt>
                <c:pt idx="5">
                  <c:v>2015</c:v>
                </c:pt>
                <c:pt idx="7">
                  <c:v>2017</c:v>
                </c:pt>
                <c:pt idx="9">
                  <c:v>2019</c:v>
                </c:pt>
                <c:pt idx="11">
                  <c:v>2021</c:v>
                </c:pt>
              </c:strCache>
            </c:strRef>
          </c:cat>
          <c:val>
            <c:numRef>
              <c:f>Sheet1!$B$27:$M$27</c:f>
              <c:numCache>
                <c:formatCode>General</c:formatCode>
                <c:ptCount val="12"/>
                <c:pt idx="0">
                  <c:v>100</c:v>
                </c:pt>
                <c:pt idx="1">
                  <c:v>101.04226675340509</c:v>
                </c:pt>
                <c:pt idx="2">
                  <c:v>106.60760066759947</c:v>
                </c:pt>
                <c:pt idx="3">
                  <c:v>106.30342326347142</c:v>
                </c:pt>
                <c:pt idx="4">
                  <c:v>109.80632661922579</c:v>
                </c:pt>
                <c:pt idx="5">
                  <c:v>112.48491936228335</c:v>
                </c:pt>
                <c:pt idx="6">
                  <c:v>115.4990385235165</c:v>
                </c:pt>
                <c:pt idx="7">
                  <c:v>119.36750820994473</c:v>
                </c:pt>
                <c:pt idx="8">
                  <c:v>122.34936027689669</c:v>
                </c:pt>
                <c:pt idx="9">
                  <c:v>125.50356923660284</c:v>
                </c:pt>
                <c:pt idx="10">
                  <c:v>123.66199179393948</c:v>
                </c:pt>
                <c:pt idx="11">
                  <c:v>132.85339808463891</c:v>
                </c:pt>
              </c:numCache>
            </c:numRef>
          </c:val>
          <c:smooth val="0"/>
          <c:extLst>
            <c:ext xmlns:c16="http://schemas.microsoft.com/office/drawing/2014/chart" uri="{C3380CC4-5D6E-409C-BE32-E72D297353CC}">
              <c16:uniqueId val="{00000000-7C5A-4C37-B44D-09A07FADB84B}"/>
            </c:ext>
          </c:extLst>
        </c:ser>
        <c:ser>
          <c:idx val="0"/>
          <c:order val="1"/>
          <c:tx>
            <c:strRef>
              <c:f>Sheet1!$A$28</c:f>
              <c:strCache>
                <c:ptCount val="1"/>
                <c:pt idx="0">
                  <c:v>ES-28 (2010 = 100, kreisā ass)</c:v>
                </c:pt>
              </c:strCache>
            </c:strRef>
          </c:tx>
          <c:spPr>
            <a:ln w="25380" cap="rnd">
              <a:solidFill>
                <a:schemeClr val="accent1"/>
              </a:solidFill>
              <a:round/>
            </a:ln>
            <a:effectLst/>
          </c:spPr>
          <c:marker>
            <c:symbol val="none"/>
          </c:marker>
          <c:cat>
            <c:strRef>
              <c:f>Sheet1!$B$26:$M$26</c:f>
              <c:strCache>
                <c:ptCount val="12"/>
                <c:pt idx="1">
                  <c:v>2011</c:v>
                </c:pt>
                <c:pt idx="3">
                  <c:v>2013</c:v>
                </c:pt>
                <c:pt idx="5">
                  <c:v>2015</c:v>
                </c:pt>
                <c:pt idx="7">
                  <c:v>2017</c:v>
                </c:pt>
                <c:pt idx="9">
                  <c:v>2019</c:v>
                </c:pt>
                <c:pt idx="11">
                  <c:v>2021</c:v>
                </c:pt>
              </c:strCache>
            </c:strRef>
          </c:cat>
          <c:val>
            <c:numRef>
              <c:f>Sheet1!$B$28:$M$28</c:f>
              <c:numCache>
                <c:formatCode>General</c:formatCode>
                <c:ptCount val="12"/>
                <c:pt idx="0">
                  <c:v>100</c:v>
                </c:pt>
                <c:pt idx="1">
                  <c:v>101.78396046263612</c:v>
                </c:pt>
                <c:pt idx="2">
                  <c:v>101.28369265274952</c:v>
                </c:pt>
                <c:pt idx="3">
                  <c:v>101.63501497484168</c:v>
                </c:pt>
                <c:pt idx="4">
                  <c:v>102.29411547293392</c:v>
                </c:pt>
                <c:pt idx="5">
                  <c:v>103.6690564862734</c:v>
                </c:pt>
                <c:pt idx="6">
                  <c:v>104.39664190872517</c:v>
                </c:pt>
                <c:pt idx="7">
                  <c:v>105.62263977027233</c:v>
                </c:pt>
                <c:pt idx="8">
                  <c:v>106.24930815437843</c:v>
                </c:pt>
                <c:pt idx="9">
                  <c:v>107.0296477229391</c:v>
                </c:pt>
                <c:pt idx="10">
                  <c:v>102.1197808885578</c:v>
                </c:pt>
                <c:pt idx="11">
                  <c:v>106.31478734747827</c:v>
                </c:pt>
              </c:numCache>
            </c:numRef>
          </c:val>
          <c:smooth val="0"/>
          <c:extLst>
            <c:ext xmlns:c16="http://schemas.microsoft.com/office/drawing/2014/chart" uri="{C3380CC4-5D6E-409C-BE32-E72D297353CC}">
              <c16:uniqueId val="{00000001-7C5A-4C37-B44D-09A07FADB84B}"/>
            </c:ext>
          </c:extLst>
        </c:ser>
        <c:dLbls>
          <c:showLegendKey val="0"/>
          <c:showVal val="0"/>
          <c:showCatName val="0"/>
          <c:showSerName val="0"/>
          <c:showPercent val="0"/>
          <c:showBubbleSize val="0"/>
        </c:dLbls>
        <c:marker val="1"/>
        <c:smooth val="0"/>
        <c:axId val="248745264"/>
        <c:axId val="1"/>
      </c:lineChart>
      <c:catAx>
        <c:axId val="248745264"/>
        <c:scaling>
          <c:orientation val="minMax"/>
        </c:scaling>
        <c:delete val="0"/>
        <c:axPos val="b"/>
        <c:numFmt formatCode="General" sourceLinked="1"/>
        <c:majorTickMark val="out"/>
        <c:minorTickMark val="none"/>
        <c:tickLblPos val="nextTo"/>
        <c:spPr>
          <a:noFill/>
          <a:ln w="3172" cap="flat" cmpd="sng" algn="ctr">
            <a:solidFill>
              <a:sysClr val="window" lastClr="FFFFFF">
                <a:lumMod val="50000"/>
              </a:sysClr>
            </a:solidFill>
            <a:round/>
          </a:ln>
          <a:effectLst/>
        </c:spPr>
        <c:txPr>
          <a:bodyPr rot="0" vert="horz"/>
          <a:lstStyle/>
          <a:p>
            <a:pPr>
              <a:defRPr/>
            </a:pPr>
            <a:endParaRPr lang="lv-LV"/>
          </a:p>
        </c:txPr>
        <c:crossAx val="1"/>
        <c:crosses val="autoZero"/>
        <c:auto val="1"/>
        <c:lblAlgn val="ctr"/>
        <c:lblOffset val="100"/>
        <c:tickLblSkip val="1"/>
        <c:noMultiLvlLbl val="0"/>
      </c:catAx>
      <c:valAx>
        <c:axId val="1"/>
        <c:scaling>
          <c:orientation val="minMax"/>
          <c:max val="150"/>
          <c:min val="100"/>
        </c:scaling>
        <c:delete val="0"/>
        <c:axPos val="l"/>
        <c:numFmt formatCode="0" sourceLinked="0"/>
        <c:majorTickMark val="out"/>
        <c:minorTickMark val="none"/>
        <c:tickLblPos val="nextTo"/>
        <c:spPr>
          <a:noFill/>
          <a:ln w="3172">
            <a:noFill/>
          </a:ln>
          <a:effectLst/>
        </c:spPr>
        <c:txPr>
          <a:bodyPr rot="-60000000" vert="horz"/>
          <a:lstStyle/>
          <a:p>
            <a:pPr>
              <a:defRPr/>
            </a:pPr>
            <a:endParaRPr lang="lv-LV"/>
          </a:p>
        </c:txPr>
        <c:crossAx val="248745264"/>
        <c:crosses val="autoZero"/>
        <c:crossBetween val="between"/>
        <c:majorUnit val="10"/>
      </c:valAx>
      <c:valAx>
        <c:axId val="836745839"/>
        <c:scaling>
          <c:orientation val="minMax"/>
          <c:max val="80"/>
        </c:scaling>
        <c:delete val="0"/>
        <c:axPos val="r"/>
        <c:numFmt formatCode="General" sourceLinked="1"/>
        <c:majorTickMark val="out"/>
        <c:minorTickMark val="none"/>
        <c:tickLblPos val="nextTo"/>
        <c:spPr>
          <a:ln>
            <a:noFill/>
          </a:ln>
        </c:spPr>
        <c:crossAx val="836729199"/>
        <c:crosses val="max"/>
        <c:crossBetween val="between"/>
        <c:majorUnit val="20"/>
      </c:valAx>
      <c:catAx>
        <c:axId val="836729199"/>
        <c:scaling>
          <c:orientation val="minMax"/>
        </c:scaling>
        <c:delete val="1"/>
        <c:axPos val="b"/>
        <c:numFmt formatCode="General" sourceLinked="1"/>
        <c:majorTickMark val="out"/>
        <c:minorTickMark val="none"/>
        <c:tickLblPos val="nextTo"/>
        <c:crossAx val="836745839"/>
        <c:crosses val="autoZero"/>
        <c:auto val="1"/>
        <c:lblAlgn val="ctr"/>
        <c:lblOffset val="100"/>
        <c:noMultiLvlLbl val="0"/>
      </c:catAx>
      <c:spPr>
        <a:noFill/>
        <a:ln w="25380">
          <a:noFill/>
        </a:ln>
      </c:spPr>
    </c:plotArea>
    <c:legend>
      <c:legendPos val="b"/>
      <c:legendEntry>
        <c:idx val="1"/>
        <c:txPr>
          <a:bodyPr rot="0" vert="horz"/>
          <a:lstStyle/>
          <a:p>
            <a:pPr>
              <a:defRPr/>
            </a:pPr>
            <a:endParaRPr lang="lv-LV"/>
          </a:p>
        </c:txPr>
      </c:legendEntry>
      <c:layout>
        <c:manualLayout>
          <c:xMode val="edge"/>
          <c:yMode val="edge"/>
          <c:x val="0.10052620585056626"/>
          <c:y val="3.0368300736601472E-2"/>
          <c:w val="0.62939668873570731"/>
          <c:h val="0.22986271877305658"/>
        </c:manualLayout>
      </c:layout>
      <c:overlay val="0"/>
      <c:spPr>
        <a:noFill/>
        <a:ln w="25380">
          <a:noFill/>
        </a:ln>
      </c:spPr>
      <c:txPr>
        <a:bodyPr rot="0" vert="horz"/>
        <a:lstStyle/>
        <a:p>
          <a:pPr>
            <a:defRPr/>
          </a:pPr>
          <a:endParaRPr lang="lv-LV"/>
        </a:p>
      </c:txPr>
    </c:legend>
    <c:plotVisOnly val="1"/>
    <c:dispBlanksAs val="gap"/>
    <c:showDLblsOverMax val="0"/>
  </c:chart>
  <c:spPr>
    <a:solidFill>
      <a:sysClr val="window" lastClr="FFFFFF"/>
    </a:solidFill>
    <a:ln>
      <a:noFill/>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99589691487076"/>
          <c:y val="6.6869300911854099E-2"/>
          <c:w val="0.83541353236552629"/>
          <c:h val="0.82782375607304404"/>
        </c:manualLayout>
      </c:layout>
      <c:barChart>
        <c:barDir val="col"/>
        <c:grouping val="clustered"/>
        <c:varyColors val="0"/>
        <c:ser>
          <c:idx val="0"/>
          <c:order val="0"/>
          <c:tx>
            <c:strRef>
              <c:f>Sheet1!$B$1</c:f>
              <c:strCache>
                <c:ptCount val="1"/>
                <c:pt idx="0">
                  <c:v>Produktivitāte                                           (uz vienu nodarbināto)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1996-2003</c:v>
                </c:pt>
                <c:pt idx="1">
                  <c:v>2004-2007</c:v>
                </c:pt>
                <c:pt idx="2">
                  <c:v>2008-2011</c:v>
                </c:pt>
                <c:pt idx="3">
                  <c:v>2012-2019</c:v>
                </c:pt>
                <c:pt idx="4">
                  <c:v>2020</c:v>
                </c:pt>
                <c:pt idx="5">
                  <c:v>2021</c:v>
                </c:pt>
              </c:strCache>
            </c:strRef>
          </c:cat>
          <c:val>
            <c:numRef>
              <c:f>Sheet1!$B$2:$B$7</c:f>
              <c:numCache>
                <c:formatCode>0.0</c:formatCode>
                <c:ptCount val="6"/>
                <c:pt idx="0" formatCode="General">
                  <c:v>5.6</c:v>
                </c:pt>
                <c:pt idx="1">
                  <c:v>7.389834095790178</c:v>
                </c:pt>
                <c:pt idx="2">
                  <c:v>0.26</c:v>
                </c:pt>
                <c:pt idx="3">
                  <c:v>2.75</c:v>
                </c:pt>
                <c:pt idx="4">
                  <c:v>-1.5</c:v>
                </c:pt>
                <c:pt idx="5">
                  <c:v>7.4</c:v>
                </c:pt>
              </c:numCache>
            </c:numRef>
          </c:val>
          <c:extLst>
            <c:ext xmlns:c16="http://schemas.microsoft.com/office/drawing/2014/chart" uri="{C3380CC4-5D6E-409C-BE32-E72D297353CC}">
              <c16:uniqueId val="{00000000-DB37-40AB-9559-DE1355D63F7A}"/>
            </c:ext>
          </c:extLst>
        </c:ser>
        <c:dLbls>
          <c:showLegendKey val="0"/>
          <c:showVal val="0"/>
          <c:showCatName val="0"/>
          <c:showSerName val="0"/>
          <c:showPercent val="0"/>
          <c:showBubbleSize val="0"/>
        </c:dLbls>
        <c:gapWidth val="47"/>
        <c:overlap val="100"/>
        <c:axId val="279243727"/>
        <c:axId val="768361311"/>
      </c:barChart>
      <c:lineChart>
        <c:grouping val="stacked"/>
        <c:varyColors val="0"/>
        <c:ser>
          <c:idx val="1"/>
          <c:order val="1"/>
          <c:tx>
            <c:strRef>
              <c:f>Sheet1!$C$1</c:f>
              <c:strCache>
                <c:ptCount val="1"/>
                <c:pt idx="0">
                  <c:v>Produktivitāte                           (uz vienu stundu)</c:v>
                </c:pt>
              </c:strCache>
            </c:strRef>
          </c:tx>
          <c:spPr>
            <a:ln w="28575" cap="rnd">
              <a:noFill/>
              <a:round/>
            </a:ln>
            <a:effectLst/>
          </c:spPr>
          <c:marker>
            <c:symbol val="diamond"/>
            <c:size val="7"/>
            <c:spPr>
              <a:solidFill>
                <a:schemeClr val="accent2">
                  <a:lumMod val="50000"/>
                </a:schemeClr>
              </a:solidFill>
              <a:ln w="9525">
                <a:noFill/>
              </a:ln>
              <a:effectLst/>
            </c:spPr>
          </c:marker>
          <c:cat>
            <c:strRef>
              <c:f>Sheet1!$A$2:$A$7</c:f>
              <c:strCache>
                <c:ptCount val="6"/>
                <c:pt idx="0">
                  <c:v>1996-2003</c:v>
                </c:pt>
                <c:pt idx="1">
                  <c:v>2004-2007</c:v>
                </c:pt>
                <c:pt idx="2">
                  <c:v>2008-2011</c:v>
                </c:pt>
                <c:pt idx="3">
                  <c:v>2012-2019</c:v>
                </c:pt>
                <c:pt idx="4">
                  <c:v>2020</c:v>
                </c:pt>
                <c:pt idx="5">
                  <c:v>2021</c:v>
                </c:pt>
              </c:strCache>
            </c:strRef>
          </c:cat>
          <c:val>
            <c:numRef>
              <c:f>Sheet1!$C$2:$C$7</c:f>
              <c:numCache>
                <c:formatCode>General</c:formatCode>
                <c:ptCount val="6"/>
                <c:pt idx="0">
                  <c:v>5.8</c:v>
                </c:pt>
                <c:pt idx="1">
                  <c:v>8</c:v>
                </c:pt>
                <c:pt idx="2">
                  <c:v>1.5</c:v>
                </c:pt>
                <c:pt idx="3">
                  <c:v>3.3</c:v>
                </c:pt>
                <c:pt idx="4">
                  <c:v>1.9</c:v>
                </c:pt>
                <c:pt idx="5">
                  <c:v>5.8</c:v>
                </c:pt>
              </c:numCache>
            </c:numRef>
          </c:val>
          <c:smooth val="0"/>
          <c:extLst>
            <c:ext xmlns:c16="http://schemas.microsoft.com/office/drawing/2014/chart" uri="{C3380CC4-5D6E-409C-BE32-E72D297353CC}">
              <c16:uniqueId val="{00000001-DB37-40AB-9559-DE1355D63F7A}"/>
            </c:ext>
          </c:extLst>
        </c:ser>
        <c:dLbls>
          <c:showLegendKey val="0"/>
          <c:showVal val="0"/>
          <c:showCatName val="0"/>
          <c:showSerName val="0"/>
          <c:showPercent val="0"/>
          <c:showBubbleSize val="0"/>
        </c:dLbls>
        <c:marker val="1"/>
        <c:smooth val="0"/>
        <c:axId val="279243727"/>
        <c:axId val="768361311"/>
      </c:lineChart>
      <c:catAx>
        <c:axId val="279243727"/>
        <c:scaling>
          <c:orientation val="minMax"/>
        </c:scaling>
        <c:delete val="0"/>
        <c:axPos val="b"/>
        <c:numFmt formatCode="General" sourceLinked="1"/>
        <c:majorTickMark val="out"/>
        <c:minorTickMark val="none"/>
        <c:tickLblPos val="low"/>
        <c:spPr>
          <a:noFill/>
          <a:ln w="3175" cap="flat" cmpd="sng" algn="ctr">
            <a:solidFill>
              <a:schemeClr val="bg1">
                <a:lumMod val="50000"/>
              </a:scheme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68361311"/>
        <c:crosses val="autoZero"/>
        <c:auto val="1"/>
        <c:lblAlgn val="ctr"/>
        <c:lblOffset val="100"/>
        <c:tickLblSkip val="1"/>
        <c:noMultiLvlLbl val="0"/>
      </c:catAx>
      <c:valAx>
        <c:axId val="768361311"/>
        <c:scaling>
          <c:orientation val="minMax"/>
          <c:max val="8"/>
        </c:scaling>
        <c:delete val="0"/>
        <c:axPos val="l"/>
        <c:numFmt formatCode="General" sourceLinked="1"/>
        <c:majorTickMark val="out"/>
        <c:minorTickMark val="none"/>
        <c:tickLblPos val="nextTo"/>
        <c:spPr>
          <a:noFill/>
          <a:ln w="3175">
            <a:solidFill>
              <a:schemeClr val="bg1">
                <a:lumMod val="50000"/>
              </a:scheme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279243727"/>
        <c:crosses val="autoZero"/>
        <c:crossBetween val="between"/>
      </c:valAx>
      <c:spPr>
        <a:noFill/>
        <a:ln>
          <a:noFill/>
        </a:ln>
        <a:effectLst/>
      </c:spPr>
    </c:plotArea>
    <c:legend>
      <c:legendPos val="b"/>
      <c:layout>
        <c:manualLayout>
          <c:xMode val="edge"/>
          <c:yMode val="edge"/>
          <c:x val="0.38408493866601845"/>
          <c:y val="4.1113891930812385E-2"/>
          <c:w val="0.39345840314613373"/>
          <c:h val="0.301358794425909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923395034290069"/>
          <c:y val="2.8596535710936448E-2"/>
          <c:w val="0.52143883350266695"/>
          <c:h val="0.82921131329690978"/>
        </c:manualLayout>
      </c:layout>
      <c:barChart>
        <c:barDir val="bar"/>
        <c:grouping val="clustered"/>
        <c:varyColors val="0"/>
        <c:ser>
          <c:idx val="2"/>
          <c:order val="0"/>
          <c:tx>
            <c:strRef>
              <c:f>Sheet1!$C$1</c:f>
              <c:strCache>
                <c:ptCount val="1"/>
                <c:pt idx="0">
                  <c:v>nozares ar augstām iespējām strādāt attālināti </c:v>
                </c:pt>
              </c:strCache>
            </c:strRef>
          </c:tx>
          <c:spPr>
            <a:solidFill>
              <a:srgbClr val="ED7D31">
                <a:lumMod val="60000"/>
                <a:lumOff val="40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Produktivitāte (PV uz vienu stundu)</c:v>
                </c:pt>
                <c:pt idx="1">
                  <c:v>Produktivitāte (PV uz vienu nodarbināto)</c:v>
                </c:pt>
                <c:pt idx="2">
                  <c:v>Nostrādātās stundas</c:v>
                </c:pt>
                <c:pt idx="3">
                  <c:v>Nodarbināto skaits</c:v>
                </c:pt>
                <c:pt idx="4">
                  <c:v>Pievinotā vērtība</c:v>
                </c:pt>
              </c:strCache>
            </c:strRef>
          </c:cat>
          <c:val>
            <c:numRef>
              <c:f>Sheet1!$C$2:$C$6</c:f>
              <c:numCache>
                <c:formatCode>0.0</c:formatCode>
                <c:ptCount val="5"/>
                <c:pt idx="0">
                  <c:v>3.5</c:v>
                </c:pt>
                <c:pt idx="1">
                  <c:v>0.8</c:v>
                </c:pt>
                <c:pt idx="2">
                  <c:v>-2.9880522476586293</c:v>
                </c:pt>
                <c:pt idx="3">
                  <c:v>-0.3</c:v>
                </c:pt>
                <c:pt idx="4">
                  <c:v>0.54758006168842144</c:v>
                </c:pt>
              </c:numCache>
            </c:numRef>
          </c:val>
          <c:extLst>
            <c:ext xmlns:c16="http://schemas.microsoft.com/office/drawing/2014/chart" uri="{C3380CC4-5D6E-409C-BE32-E72D297353CC}">
              <c16:uniqueId val="{00000000-EDB5-4C36-9F8C-42C398BC6DB7}"/>
            </c:ext>
          </c:extLst>
        </c:ser>
        <c:dLbls>
          <c:showLegendKey val="0"/>
          <c:showVal val="0"/>
          <c:showCatName val="0"/>
          <c:showSerName val="0"/>
          <c:showPercent val="0"/>
          <c:showBubbleSize val="0"/>
        </c:dLbls>
        <c:gapWidth val="30"/>
        <c:axId val="601153216"/>
        <c:axId val="601155840"/>
      </c:barChart>
      <c:catAx>
        <c:axId val="601153216"/>
        <c:scaling>
          <c:orientation val="minMax"/>
        </c:scaling>
        <c:delete val="0"/>
        <c:axPos val="l"/>
        <c:numFmt formatCode="General" sourceLinked="1"/>
        <c:majorTickMark val="out"/>
        <c:minorTickMark val="none"/>
        <c:tickLblPos val="low"/>
        <c:crossAx val="601155840"/>
        <c:crosses val="autoZero"/>
        <c:auto val="1"/>
        <c:lblAlgn val="ctr"/>
        <c:lblOffset val="100"/>
        <c:noMultiLvlLbl val="0"/>
      </c:catAx>
      <c:valAx>
        <c:axId val="601155840"/>
        <c:scaling>
          <c:orientation val="minMax"/>
          <c:max val="6"/>
          <c:min val="-9"/>
        </c:scaling>
        <c:delete val="0"/>
        <c:axPos val="b"/>
        <c:numFmt formatCode="0" sourceLinked="0"/>
        <c:majorTickMark val="out"/>
        <c:minorTickMark val="none"/>
        <c:tickLblPos val="nextTo"/>
        <c:spPr>
          <a:noFill/>
          <a:ln w="3175">
            <a:solidFill>
              <a:sysClr val="window" lastClr="FFFFFF">
                <a:lumMod val="65000"/>
              </a:sysClr>
            </a:solidFill>
          </a:ln>
          <a:effectLst/>
        </c:spPr>
        <c:txPr>
          <a:bodyPr rot="-60000000" vert="horz"/>
          <a:lstStyle/>
          <a:p>
            <a:pPr>
              <a:defRPr/>
            </a:pPr>
            <a:endParaRPr lang="lv-LV"/>
          </a:p>
        </c:txPr>
        <c:crossAx val="601153216"/>
        <c:crosses val="autoZero"/>
        <c:crossBetween val="between"/>
        <c:majorUnit val="3"/>
        <c:min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251208850193582E-2"/>
          <c:y val="5.3218655360387647E-2"/>
          <c:w val="0.8711727325245523"/>
          <c:h val="0.87383354500042332"/>
        </c:manualLayout>
      </c:layout>
      <c:barChart>
        <c:barDir val="bar"/>
        <c:grouping val="clustered"/>
        <c:varyColors val="0"/>
        <c:ser>
          <c:idx val="0"/>
          <c:order val="0"/>
          <c:tx>
            <c:strRef>
              <c:f>Sheet1!$B$1</c:f>
              <c:strCache>
                <c:ptCount val="1"/>
                <c:pt idx="0">
                  <c:v>KOPĀ TAUTSAIMNIECĪBĀ </c:v>
                </c:pt>
              </c:strCache>
            </c:strRef>
          </c:tx>
          <c:spPr>
            <a:solidFill>
              <a:srgbClr val="4472C4">
                <a:lumMod val="75000"/>
              </a:srgb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Produktivitāte (PV uz vienu stundu)</c:v>
                </c:pt>
                <c:pt idx="1">
                  <c:v>Produktivitāte (PV uz vienu nodarbināto)</c:v>
                </c:pt>
                <c:pt idx="2">
                  <c:v>Nostrādātās stundas</c:v>
                </c:pt>
                <c:pt idx="3">
                  <c:v>Nodarbināto skaits</c:v>
                </c:pt>
                <c:pt idx="4">
                  <c:v>Pievienotā vērtība</c:v>
                </c:pt>
              </c:strCache>
            </c:strRef>
          </c:cat>
          <c:val>
            <c:numRef>
              <c:f>Sheet1!$B$2:$B$6</c:f>
              <c:numCache>
                <c:formatCode>0.0</c:formatCode>
                <c:ptCount val="5"/>
                <c:pt idx="0">
                  <c:v>3.5</c:v>
                </c:pt>
                <c:pt idx="1">
                  <c:v>0.3</c:v>
                </c:pt>
                <c:pt idx="2">
                  <c:v>-6.6</c:v>
                </c:pt>
                <c:pt idx="3">
                  <c:v>-3.4</c:v>
                </c:pt>
                <c:pt idx="4">
                  <c:v>-3.1</c:v>
                </c:pt>
              </c:numCache>
            </c:numRef>
          </c:val>
          <c:extLst>
            <c:ext xmlns:c16="http://schemas.microsoft.com/office/drawing/2014/chart" uri="{C3380CC4-5D6E-409C-BE32-E72D297353CC}">
              <c16:uniqueId val="{00000000-6A5D-4A5B-A93E-D63D768257E5}"/>
            </c:ext>
          </c:extLst>
        </c:ser>
        <c:dLbls>
          <c:showLegendKey val="0"/>
          <c:showVal val="0"/>
          <c:showCatName val="0"/>
          <c:showSerName val="0"/>
          <c:showPercent val="0"/>
          <c:showBubbleSize val="0"/>
        </c:dLbls>
        <c:gapWidth val="30"/>
        <c:axId val="601153216"/>
        <c:axId val="601155840"/>
      </c:barChart>
      <c:catAx>
        <c:axId val="601153216"/>
        <c:scaling>
          <c:orientation val="minMax"/>
        </c:scaling>
        <c:delete val="1"/>
        <c:axPos val="l"/>
        <c:numFmt formatCode="General" sourceLinked="1"/>
        <c:majorTickMark val="none"/>
        <c:minorTickMark val="none"/>
        <c:tickLblPos val="low"/>
        <c:crossAx val="601155840"/>
        <c:crosses val="autoZero"/>
        <c:auto val="1"/>
        <c:lblAlgn val="ctr"/>
        <c:lblOffset val="100"/>
        <c:noMultiLvlLbl val="0"/>
      </c:catAx>
      <c:valAx>
        <c:axId val="601155840"/>
        <c:scaling>
          <c:orientation val="minMax"/>
          <c:max val="6"/>
          <c:min val="-9"/>
        </c:scaling>
        <c:delete val="0"/>
        <c:axPos val="b"/>
        <c:numFmt formatCode="0" sourceLinked="0"/>
        <c:majorTickMark val="out"/>
        <c:minorTickMark val="none"/>
        <c:tickLblPos val="nextTo"/>
        <c:spPr>
          <a:noFill/>
          <a:ln w="3175">
            <a:solidFill>
              <a:sysClr val="window" lastClr="FFFFFF">
                <a:lumMod val="65000"/>
              </a:sysClr>
            </a:solid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lv-LV"/>
          </a:p>
        </c:txPr>
        <c:crossAx val="601153216"/>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panose="020B0502040204020203" pitchFamily="34" charset="0"/>
          <a:cs typeface="Segoe UI" panose="020B0502040204020203" pitchFamily="34"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2021</c:v>
                </c:pt>
              </c:strCache>
            </c:strRef>
          </c:tx>
          <c:spPr>
            <a:solidFill>
              <a:schemeClr val="accent3">
                <a:lumMod val="75000"/>
              </a:schemeClr>
            </a:solidFill>
            <a:ln>
              <a:noFill/>
            </a:ln>
          </c:spPr>
          <c:invertIfNegative val="0"/>
          <c:dPt>
            <c:idx val="5"/>
            <c:invertIfNegative val="0"/>
            <c:bubble3D val="0"/>
            <c:extLst>
              <c:ext xmlns:c16="http://schemas.microsoft.com/office/drawing/2014/chart" uri="{C3380CC4-5D6E-409C-BE32-E72D297353CC}">
                <c16:uniqueId val="{00000000-D1E2-4BCA-9D28-F0B58FA1E8C4}"/>
              </c:ext>
            </c:extLst>
          </c:dPt>
          <c:dPt>
            <c:idx val="7"/>
            <c:invertIfNegative val="0"/>
            <c:bubble3D val="0"/>
            <c:extLst>
              <c:ext xmlns:c16="http://schemas.microsoft.com/office/drawing/2014/chart" uri="{C3380CC4-5D6E-409C-BE32-E72D297353CC}">
                <c16:uniqueId val="{00000001-D1E2-4BCA-9D28-F0B58FA1E8C4}"/>
              </c:ext>
            </c:extLst>
          </c:dPt>
          <c:dLbls>
            <c:dLbl>
              <c:idx val="1"/>
              <c:layout>
                <c:manualLayout>
                  <c:x val="-4.0434763007385952E-17"/>
                  <c:y val="2.84320317405631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F3-4493-9AC3-BF2742A9276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E2-4BCA-9D28-F0B58FA1E8C4}"/>
                </c:ext>
              </c:extLst>
            </c:dLbl>
            <c:dLbl>
              <c:idx val="3"/>
              <c:layout>
                <c:manualLayout>
                  <c:x val="-8.0869526014771903E-17"/>
                  <c:y val="-8.62196389177534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E2-4BCA-9D28-F0B58FA1E8C4}"/>
                </c:ext>
              </c:extLst>
            </c:dLbl>
            <c:dLbl>
              <c:idx val="4"/>
              <c:layout>
                <c:manualLayout>
                  <c:x val="0"/>
                  <c:y val="7.05716302046577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E2-4BCA-9D28-F0B58FA1E8C4}"/>
                </c:ext>
              </c:extLst>
            </c:dLbl>
            <c:dLbl>
              <c:idx val="5"/>
              <c:layout>
                <c:manualLayout>
                  <c:x val="0"/>
                  <c:y val="1.47300218383076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E2-4BCA-9D28-F0B58FA1E8C4}"/>
                </c:ext>
              </c:extLst>
            </c:dLbl>
            <c:spPr>
              <a:noFill/>
              <a:ln>
                <a:noFill/>
              </a:ln>
              <a:effectLst/>
            </c:spPr>
            <c:txPr>
              <a:bodyPr wrap="square" lIns="0" tIns="19050" rIns="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Sheet1!$A$2:$A$9</c:f>
              <c:numCache>
                <c:formatCode>General</c:formatCode>
                <c:ptCount val="6"/>
                <c:pt idx="0">
                  <c:v>2016</c:v>
                </c:pt>
                <c:pt idx="1">
                  <c:v>2017</c:v>
                </c:pt>
                <c:pt idx="2">
                  <c:v>2018</c:v>
                </c:pt>
                <c:pt idx="3">
                  <c:v>2019</c:v>
                </c:pt>
                <c:pt idx="4">
                  <c:v>2020</c:v>
                </c:pt>
                <c:pt idx="5">
                  <c:v>2021</c:v>
                </c:pt>
              </c:numCache>
            </c:numRef>
          </c:cat>
          <c:val>
            <c:numRef>
              <c:f>Sheet1!$B$2:$B$9</c:f>
              <c:numCache>
                <c:formatCode>0.0</c:formatCode>
                <c:ptCount val="6"/>
                <c:pt idx="0">
                  <c:v>-8.1999999999999993</c:v>
                </c:pt>
                <c:pt idx="1">
                  <c:v>11.4</c:v>
                </c:pt>
                <c:pt idx="2">
                  <c:v>11.8</c:v>
                </c:pt>
                <c:pt idx="3">
                  <c:v>6.9</c:v>
                </c:pt>
                <c:pt idx="4">
                  <c:v>0.2</c:v>
                </c:pt>
                <c:pt idx="5">
                  <c:v>2.9</c:v>
                </c:pt>
              </c:numCache>
            </c:numRef>
          </c:val>
          <c:extLst>
            <c:ext xmlns:c16="http://schemas.microsoft.com/office/drawing/2014/chart" uri="{C3380CC4-5D6E-409C-BE32-E72D297353CC}">
              <c16:uniqueId val="{00000005-D1E2-4BCA-9D28-F0B58FA1E8C4}"/>
            </c:ext>
          </c:extLst>
        </c:ser>
        <c:dLbls>
          <c:dLblPos val="outEnd"/>
          <c:showLegendKey val="0"/>
          <c:showVal val="1"/>
          <c:showCatName val="0"/>
          <c:showSerName val="0"/>
          <c:showPercent val="0"/>
          <c:showBubbleSize val="0"/>
        </c:dLbls>
        <c:gapWidth val="30"/>
        <c:axId val="742130272"/>
        <c:axId val="742133016"/>
      </c:barChart>
      <c:catAx>
        <c:axId val="742130272"/>
        <c:scaling>
          <c:orientation val="minMax"/>
        </c:scaling>
        <c:delete val="0"/>
        <c:axPos val="b"/>
        <c:numFmt formatCode="General" sourceLinked="1"/>
        <c:majorTickMark val="out"/>
        <c:minorTickMark val="none"/>
        <c:tickLblPos val="low"/>
        <c:txPr>
          <a:bodyPr rot="-5400000" vert="horz"/>
          <a:lstStyle/>
          <a:p>
            <a:pPr>
              <a:defRPr/>
            </a:pPr>
            <a:endParaRPr lang="lv-LV"/>
          </a:p>
        </c:txPr>
        <c:crossAx val="742133016"/>
        <c:crosses val="autoZero"/>
        <c:auto val="1"/>
        <c:lblAlgn val="ctr"/>
        <c:lblOffset val="0"/>
        <c:noMultiLvlLbl val="0"/>
      </c:catAx>
      <c:valAx>
        <c:axId val="742133016"/>
        <c:scaling>
          <c:orientation val="minMax"/>
          <c:min val="-12"/>
        </c:scaling>
        <c:delete val="1"/>
        <c:axPos val="l"/>
        <c:numFmt formatCode="0" sourceLinked="0"/>
        <c:majorTickMark val="out"/>
        <c:minorTickMark val="none"/>
        <c:tickLblPos val="nextTo"/>
        <c:crossAx val="742130272"/>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25516067248352"/>
          <c:y val="1.2462402053757879E-2"/>
          <c:w val="0.72927537773994466"/>
          <c:h val="0.9075693929943659"/>
        </c:manualLayout>
      </c:layout>
      <c:barChart>
        <c:barDir val="bar"/>
        <c:grouping val="clustered"/>
        <c:varyColors val="0"/>
        <c:ser>
          <c:idx val="2"/>
          <c:order val="0"/>
          <c:tx>
            <c:strRef>
              <c:f>Sheet1!$D$1</c:f>
              <c:strCache>
                <c:ptCount val="1"/>
                <c:pt idx="0">
                  <c:v>pārējās nozares</c:v>
                </c:pt>
              </c:strCache>
            </c:strRef>
          </c:tx>
          <c:spPr>
            <a:solidFill>
              <a:srgbClr val="4472C4">
                <a:lumMod val="60000"/>
                <a:lumOff val="40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Produktivitāte (PV uz vienu stundu)</c:v>
                </c:pt>
                <c:pt idx="1">
                  <c:v>Produktivitāte (PV uz vienu nodarbināto)</c:v>
                </c:pt>
                <c:pt idx="2">
                  <c:v>Nostrādātās stundas</c:v>
                </c:pt>
                <c:pt idx="3">
                  <c:v>Nodarbināto skaits</c:v>
                </c:pt>
                <c:pt idx="4">
                  <c:v>Pievinotā vērtība</c:v>
                </c:pt>
              </c:strCache>
            </c:strRef>
          </c:cat>
          <c:val>
            <c:numRef>
              <c:f>Sheet1!$D$2:$D$6</c:f>
              <c:numCache>
                <c:formatCode>0.0</c:formatCode>
                <c:ptCount val="5"/>
                <c:pt idx="0">
                  <c:v>2.7</c:v>
                </c:pt>
                <c:pt idx="1">
                  <c:v>-0.6</c:v>
                </c:pt>
                <c:pt idx="2">
                  <c:v>-8.6999999999999993</c:v>
                </c:pt>
                <c:pt idx="3">
                  <c:v>-5.3</c:v>
                </c:pt>
                <c:pt idx="4">
                  <c:v>-6</c:v>
                </c:pt>
              </c:numCache>
            </c:numRef>
          </c:val>
          <c:extLst>
            <c:ext xmlns:c16="http://schemas.microsoft.com/office/drawing/2014/chart" uri="{C3380CC4-5D6E-409C-BE32-E72D297353CC}">
              <c16:uniqueId val="{00000000-95E6-4F1D-B60A-73867ECB3863}"/>
            </c:ext>
          </c:extLst>
        </c:ser>
        <c:dLbls>
          <c:showLegendKey val="0"/>
          <c:showVal val="0"/>
          <c:showCatName val="0"/>
          <c:showSerName val="0"/>
          <c:showPercent val="0"/>
          <c:showBubbleSize val="0"/>
        </c:dLbls>
        <c:gapWidth val="30"/>
        <c:axId val="601153216"/>
        <c:axId val="601155840"/>
      </c:barChart>
      <c:catAx>
        <c:axId val="601153216"/>
        <c:scaling>
          <c:orientation val="minMax"/>
        </c:scaling>
        <c:delete val="1"/>
        <c:axPos val="l"/>
        <c:numFmt formatCode="General" sourceLinked="1"/>
        <c:majorTickMark val="none"/>
        <c:minorTickMark val="none"/>
        <c:tickLblPos val="low"/>
        <c:crossAx val="601155840"/>
        <c:crosses val="autoZero"/>
        <c:auto val="1"/>
        <c:lblAlgn val="ctr"/>
        <c:lblOffset val="100"/>
        <c:noMultiLvlLbl val="0"/>
      </c:catAx>
      <c:valAx>
        <c:axId val="601155840"/>
        <c:scaling>
          <c:orientation val="minMax"/>
          <c:max val="6"/>
          <c:min val="-9"/>
        </c:scaling>
        <c:delete val="0"/>
        <c:axPos val="b"/>
        <c:numFmt formatCode="0" sourceLinked="0"/>
        <c:majorTickMark val="out"/>
        <c:minorTickMark val="none"/>
        <c:tickLblPos val="nextTo"/>
        <c:spPr>
          <a:noFill/>
          <a:ln w="3175">
            <a:solidFill>
              <a:sysClr val="window" lastClr="FFFFFF">
                <a:lumMod val="65000"/>
              </a:sysClr>
            </a:solidFill>
          </a:ln>
          <a:effectLst/>
        </c:spPr>
        <c:txPr>
          <a:bodyPr rot="-60000000" vert="horz"/>
          <a:lstStyle/>
          <a:p>
            <a:pPr>
              <a:defRPr/>
            </a:pPr>
            <a:endParaRPr lang="lv-LV"/>
          </a:p>
        </c:txPr>
        <c:crossAx val="601153216"/>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545551715537816E-2"/>
          <c:y val="5.0544994190021397E-2"/>
          <c:w val="0.9105675704564079"/>
          <c:h val="0.40875422100794673"/>
        </c:manualLayout>
      </c:layout>
      <c:barChart>
        <c:barDir val="col"/>
        <c:grouping val="clustered"/>
        <c:varyColors val="0"/>
        <c:ser>
          <c:idx val="0"/>
          <c:order val="0"/>
          <c:tx>
            <c:strRef>
              <c:f>Sheet1!$B$1</c:f>
              <c:strCache>
                <c:ptCount val="1"/>
                <c:pt idx="0">
                  <c:v>Vidēji 2020.gada II-IV cetuksnī</c:v>
                </c:pt>
              </c:strCache>
            </c:strRef>
          </c:tx>
          <c:spPr>
            <a:solidFill>
              <a:schemeClr val="accent1">
                <a:lumMod val="60000"/>
                <a:lumOff val="40000"/>
              </a:schemeClr>
            </a:solidFill>
            <a:ln w="3175">
              <a:noFill/>
            </a:ln>
            <a:effectLst/>
          </c:spPr>
          <c:invertIfNegative val="0"/>
          <c:dLbls>
            <c:dLbl>
              <c:idx val="1"/>
              <c:layout>
                <c:manualLayout>
                  <c:x val="0"/>
                  <c:y val="4.47372136356201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96-405C-BD96-0A377C0535E7}"/>
                </c:ext>
              </c:extLst>
            </c:dLbl>
            <c:dLbl>
              <c:idx val="2"/>
              <c:layout>
                <c:manualLayout>
                  <c:x val="-4.0501759742734539E-17"/>
                  <c:y val="5.19425041690487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96-405C-BD96-0A377C0535E7}"/>
                </c:ext>
              </c:extLst>
            </c:dLbl>
            <c:dLbl>
              <c:idx val="8"/>
              <c:layout>
                <c:manualLayout>
                  <c:x val="-1.6200703897093816E-16"/>
                  <c:y val="5.37977134182565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96-405C-BD96-0A377C0535E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Pavisam</c:v>
                </c:pt>
                <c:pt idx="1">
                  <c:v>B-F Rūpniecība un būvniecība</c:v>
                </c:pt>
                <c:pt idx="2">
                  <c:v>G_I Tirdzniecība, izmitināšana un ēdināšanas pakalpojumi</c:v>
                </c:pt>
                <c:pt idx="3">
                  <c:v>J Informācijas un komunikācijas pakalpojumi</c:v>
                </c:pt>
                <c:pt idx="4">
                  <c:v>K Finanšu un apdrošināšanas darbības</c:v>
                </c:pt>
                <c:pt idx="5">
                  <c:v>L-N Zinātniskie, administratīvie pakalpojumi; operācijas ar nekustamo īpašumu</c:v>
                </c:pt>
                <c:pt idx="6">
                  <c:v>O Valsts pārvalde un aizsardzība</c:v>
                </c:pt>
                <c:pt idx="7">
                  <c:v>P Izglītība</c:v>
                </c:pt>
                <c:pt idx="8">
                  <c:v>Q-U Veselība un sociālā aprūpe, pārējie saimniecisko darbību veidi</c:v>
                </c:pt>
              </c:strCache>
            </c:strRef>
          </c:cat>
          <c:val>
            <c:numRef>
              <c:f>Sheet1!$B$2:$B$11</c:f>
              <c:numCache>
                <c:formatCode>0</c:formatCode>
                <c:ptCount val="9"/>
                <c:pt idx="0">
                  <c:v>15.066666666666668</c:v>
                </c:pt>
                <c:pt idx="1">
                  <c:v>6.3666666666666671</c:v>
                </c:pt>
                <c:pt idx="2">
                  <c:v>8.0666666666666682</c:v>
                </c:pt>
                <c:pt idx="3">
                  <c:v>50.9</c:v>
                </c:pt>
                <c:pt idx="4">
                  <c:v>59.633333333333333</c:v>
                </c:pt>
                <c:pt idx="5">
                  <c:v>22.833333333333332</c:v>
                </c:pt>
                <c:pt idx="6">
                  <c:v>23.5</c:v>
                </c:pt>
                <c:pt idx="7">
                  <c:v>28.033333333333331</c:v>
                </c:pt>
                <c:pt idx="8">
                  <c:v>7.666666666666667</c:v>
                </c:pt>
              </c:numCache>
            </c:numRef>
          </c:val>
          <c:extLst>
            <c:ext xmlns:c16="http://schemas.microsoft.com/office/drawing/2014/chart" uri="{C3380CC4-5D6E-409C-BE32-E72D297353CC}">
              <c16:uniqueId val="{00000003-8696-405C-BD96-0A377C0535E7}"/>
            </c:ext>
          </c:extLst>
        </c:ser>
        <c:dLbls>
          <c:showLegendKey val="0"/>
          <c:showVal val="0"/>
          <c:showCatName val="0"/>
          <c:showSerName val="0"/>
          <c:showPercent val="0"/>
          <c:showBubbleSize val="0"/>
        </c:dLbls>
        <c:gapWidth val="75"/>
        <c:overlap val="-25"/>
        <c:axId val="649281504"/>
        <c:axId val="649283472"/>
      </c:barChart>
      <c:lineChart>
        <c:grouping val="stacked"/>
        <c:varyColors val="0"/>
        <c:ser>
          <c:idx val="1"/>
          <c:order val="1"/>
          <c:tx>
            <c:strRef>
              <c:f>Sheet1!$C$1</c:f>
              <c:strCache>
                <c:ptCount val="1"/>
                <c:pt idx="0">
                  <c:v>Potenciāli</c:v>
                </c:pt>
              </c:strCache>
            </c:strRef>
          </c:tx>
          <c:spPr>
            <a:ln w="28575" cap="rnd">
              <a:noFill/>
              <a:round/>
            </a:ln>
            <a:effectLst/>
          </c:spPr>
          <c:marker>
            <c:symbol val="diamond"/>
            <c:size val="20"/>
            <c:spPr>
              <a:solidFill>
                <a:schemeClr val="accent2">
                  <a:lumMod val="40000"/>
                  <a:lumOff val="60000"/>
                </a:schemeClr>
              </a:solidFill>
              <a:ln w="9525">
                <a:noFill/>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Segoe UI" panose="020B0502040204020203" pitchFamily="34" charset="0"/>
                    <a:ea typeface="+mn-ea"/>
                    <a:cs typeface="Segoe UI" panose="020B0502040204020203"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9"/>
                <c:pt idx="0">
                  <c:v>Pavisam</c:v>
                </c:pt>
                <c:pt idx="1">
                  <c:v>B-F Rūpniecība un būvniecība</c:v>
                </c:pt>
                <c:pt idx="2">
                  <c:v>G_I Tirdzniecība, izmitināšana un ēdināšanas pakalpojumi</c:v>
                </c:pt>
                <c:pt idx="3">
                  <c:v>J Informācijas un komunikācijas pakalpojumi</c:v>
                </c:pt>
                <c:pt idx="4">
                  <c:v>K Finanšu un apdrošināšanas darbības</c:v>
                </c:pt>
                <c:pt idx="5">
                  <c:v>L-N Zinātniskie, administratīvie pakalpojumi; operācijas ar nekustamo īpašumu</c:v>
                </c:pt>
                <c:pt idx="6">
                  <c:v>O Valsts pārvalde un aizsardzība</c:v>
                </c:pt>
                <c:pt idx="7">
                  <c:v>P Izglītība</c:v>
                </c:pt>
                <c:pt idx="8">
                  <c:v>Q-U Veselība un sociālā aprūpe, pārējie saimniecisko darbību veidi</c:v>
                </c:pt>
              </c:strCache>
            </c:strRef>
          </c:cat>
          <c:val>
            <c:numRef>
              <c:f>Sheet1!$C$2:$C$11</c:f>
              <c:numCache>
                <c:formatCode>0</c:formatCode>
                <c:ptCount val="9"/>
                <c:pt idx="0">
                  <c:v>38.218671598389079</c:v>
                </c:pt>
                <c:pt idx="1">
                  <c:v>19.676652663093339</c:v>
                </c:pt>
                <c:pt idx="2">
                  <c:v>25.963585498406296</c:v>
                </c:pt>
                <c:pt idx="3">
                  <c:v>79</c:v>
                </c:pt>
                <c:pt idx="4">
                  <c:v>93</c:v>
                </c:pt>
                <c:pt idx="5">
                  <c:v>55.556073191523105</c:v>
                </c:pt>
                <c:pt idx="6">
                  <c:v>64</c:v>
                </c:pt>
                <c:pt idx="7">
                  <c:v>68.000000000000028</c:v>
                </c:pt>
                <c:pt idx="8">
                  <c:v>39.538681948424063</c:v>
                </c:pt>
              </c:numCache>
            </c:numRef>
          </c:val>
          <c:smooth val="0"/>
          <c:extLst>
            <c:ext xmlns:c16="http://schemas.microsoft.com/office/drawing/2014/chart" uri="{C3380CC4-5D6E-409C-BE32-E72D297353CC}">
              <c16:uniqueId val="{00000004-8696-405C-BD96-0A377C0535E7}"/>
            </c:ext>
          </c:extLst>
        </c:ser>
        <c:dLbls>
          <c:showLegendKey val="0"/>
          <c:showVal val="0"/>
          <c:showCatName val="0"/>
          <c:showSerName val="0"/>
          <c:showPercent val="0"/>
          <c:showBubbleSize val="0"/>
        </c:dLbls>
        <c:marker val="1"/>
        <c:smooth val="0"/>
        <c:axId val="649281504"/>
        <c:axId val="649283472"/>
      </c:lineChart>
      <c:catAx>
        <c:axId val="649281504"/>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5400000" spcFirstLastPara="1" vertOverflow="ellipsis"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lv-LV"/>
          </a:p>
        </c:txPr>
        <c:crossAx val="649283472"/>
        <c:crosses val="autoZero"/>
        <c:auto val="1"/>
        <c:lblAlgn val="ctr"/>
        <c:lblOffset val="100"/>
        <c:noMultiLvlLbl val="0"/>
      </c:catAx>
      <c:valAx>
        <c:axId val="6492834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lv-LV"/>
          </a:p>
        </c:txPr>
        <c:crossAx val="649281504"/>
        <c:crosses val="autoZero"/>
        <c:crossBetween val="between"/>
        <c:majorUnit val="20"/>
      </c:valAx>
      <c:spPr>
        <a:noFill/>
        <a:ln>
          <a:noFill/>
        </a:ln>
        <a:effectLst/>
      </c:spPr>
    </c:plotArea>
    <c:legend>
      <c:legendPos val="b"/>
      <c:layout>
        <c:manualLayout>
          <c:xMode val="edge"/>
          <c:yMode val="edge"/>
          <c:x val="9.2238919386324628E-2"/>
          <c:y val="1.667693764581929E-2"/>
          <c:w val="0.25867246627449442"/>
          <c:h val="0.1507802528315522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latin typeface="Segoe UI" panose="020B0502040204020203" pitchFamily="34" charset="0"/>
          <a:cs typeface="Segoe UI" panose="020B0502040204020203" pitchFamily="34" charset="0"/>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17250779154259"/>
          <c:y val="6.4686856806821527E-2"/>
          <c:w val="0.85031591558221709"/>
          <c:h val="0.74012460438916761"/>
        </c:manualLayout>
      </c:layout>
      <c:barChart>
        <c:barDir val="col"/>
        <c:grouping val="clustered"/>
        <c:varyColors val="0"/>
        <c:ser>
          <c:idx val="0"/>
          <c:order val="0"/>
          <c:tx>
            <c:strRef>
              <c:f>Sheet1!$B$1</c:f>
              <c:strCache>
                <c:ptCount val="1"/>
                <c:pt idx="0">
                  <c:v>Produktivitāte</c:v>
                </c:pt>
              </c:strCache>
            </c:strRef>
          </c:tx>
          <c:spPr>
            <a:solidFill>
              <a:schemeClr val="accent1"/>
            </a:solidFill>
            <a:ln>
              <a:noFill/>
            </a:ln>
            <a:effectLst/>
          </c:spPr>
          <c:invertIfNegative val="0"/>
          <c:dLbls>
            <c:dLbl>
              <c:idx val="0"/>
              <c:layout>
                <c:manualLayout>
                  <c:x val="-1.9386106623586429E-2"/>
                  <c:y val="1.3114754098360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19-4703-B6BF-CA0E63EF41EE}"/>
                </c:ext>
              </c:extLst>
            </c:dLbl>
            <c:dLbl>
              <c:idx val="1"/>
              <c:layout>
                <c:manualLayout>
                  <c:x val="-1.9386106623586429E-2"/>
                  <c:y val="1.3114754098360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19-4703-B6BF-CA0E63EF41EE}"/>
                </c:ext>
              </c:extLst>
            </c:dLbl>
            <c:dLbl>
              <c:idx val="2"/>
              <c:layout>
                <c:manualLayout>
                  <c:x val="-1.9386106623586429E-2"/>
                  <c:y val="-6.01085952378648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19-4703-B6BF-CA0E63EF41EE}"/>
                </c:ext>
              </c:extLst>
            </c:dLbl>
            <c:dLbl>
              <c:idx val="3"/>
              <c:layout>
                <c:manualLayout>
                  <c:x val="-1.9386106623586429E-2"/>
                  <c:y val="6.5573770491802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19-4703-B6BF-CA0E63EF41EE}"/>
                </c:ext>
              </c:extLst>
            </c:dLbl>
            <c:dLbl>
              <c:idx val="4"/>
              <c:layout>
                <c:manualLayout>
                  <c:x val="-2.2617124394184285E-2"/>
                  <c:y val="6.55737704918020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19-4703-B6BF-CA0E63EF41EE}"/>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Sheet1!$B$2:$B$6</c:f>
              <c:numCache>
                <c:formatCode>0.0</c:formatCode>
                <c:ptCount val="5"/>
                <c:pt idx="0">
                  <c:v>0.1</c:v>
                </c:pt>
                <c:pt idx="1">
                  <c:v>-0.7</c:v>
                </c:pt>
                <c:pt idx="2">
                  <c:v>10.9</c:v>
                </c:pt>
                <c:pt idx="3">
                  <c:v>8.6</c:v>
                </c:pt>
                <c:pt idx="4">
                  <c:v>9.5</c:v>
                </c:pt>
              </c:numCache>
            </c:numRef>
          </c:val>
          <c:extLst>
            <c:ext xmlns:c16="http://schemas.microsoft.com/office/drawing/2014/chart" uri="{C3380CC4-5D6E-409C-BE32-E72D297353CC}">
              <c16:uniqueId val="{00000005-0019-4703-B6BF-CA0E63EF41EE}"/>
            </c:ext>
          </c:extLst>
        </c:ser>
        <c:ser>
          <c:idx val="1"/>
          <c:order val="1"/>
          <c:tx>
            <c:strRef>
              <c:f>Sheet1!$C$1</c:f>
              <c:strCache>
                <c:ptCount val="1"/>
                <c:pt idx="0">
                  <c:v>Darbaspēka izmaksas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ES-27</c:v>
                </c:pt>
                <c:pt idx="1">
                  <c:v>Eiro zonas valstis</c:v>
                </c:pt>
                <c:pt idx="2">
                  <c:v>Igaunija</c:v>
                </c:pt>
                <c:pt idx="3">
                  <c:v>Latvija</c:v>
                </c:pt>
                <c:pt idx="4">
                  <c:v>Lietuva</c:v>
                </c:pt>
              </c:strCache>
            </c:strRef>
          </c:cat>
          <c:val>
            <c:numRef>
              <c:f>Sheet1!$C$2:$C$6</c:f>
              <c:numCache>
                <c:formatCode>0.0</c:formatCode>
                <c:ptCount val="5"/>
                <c:pt idx="0">
                  <c:v>6.347274653950592</c:v>
                </c:pt>
                <c:pt idx="1">
                  <c:v>5.5658759294479694</c:v>
                </c:pt>
                <c:pt idx="2">
                  <c:v>22.780655009974041</c:v>
                </c:pt>
                <c:pt idx="3">
                  <c:v>26.182160588940249</c:v>
                </c:pt>
                <c:pt idx="4">
                  <c:v>32.113353925723715</c:v>
                </c:pt>
              </c:numCache>
            </c:numRef>
          </c:val>
          <c:extLst>
            <c:ext xmlns:c16="http://schemas.microsoft.com/office/drawing/2014/chart" uri="{C3380CC4-5D6E-409C-BE32-E72D297353CC}">
              <c16:uniqueId val="{00000006-0019-4703-B6BF-CA0E63EF41EE}"/>
            </c:ext>
          </c:extLst>
        </c:ser>
        <c:dLbls>
          <c:showLegendKey val="0"/>
          <c:showVal val="0"/>
          <c:showCatName val="0"/>
          <c:showSerName val="0"/>
          <c:showPercent val="0"/>
          <c:showBubbleSize val="0"/>
        </c:dLbls>
        <c:gapWidth val="60"/>
        <c:overlap val="43"/>
        <c:axId val="742043640"/>
        <c:axId val="742044032"/>
      </c:barChart>
      <c:lineChart>
        <c:grouping val="stacked"/>
        <c:varyColors val="0"/>
        <c:ser>
          <c:idx val="2"/>
          <c:order val="2"/>
          <c:tx>
            <c:strRef>
              <c:f>Sheet1!$D$1</c:f>
              <c:strCache>
                <c:ptCount val="1"/>
                <c:pt idx="0">
                  <c:v>Nominālais ULC</c:v>
                </c:pt>
              </c:strCache>
            </c:strRef>
          </c:tx>
          <c:spPr>
            <a:ln w="28575" cap="rnd">
              <a:noFill/>
              <a:round/>
            </a:ln>
            <a:effectLst/>
          </c:spPr>
          <c:marker>
            <c:symbol val="diamond"/>
            <c:size val="12"/>
            <c:spPr>
              <a:solidFill>
                <a:srgbClr val="FFC000"/>
              </a:solidFill>
              <a:ln w="9525">
                <a:solidFill>
                  <a:schemeClr val="accent3"/>
                </a:solidFill>
              </a:ln>
              <a:effectLst/>
            </c:spPr>
          </c:marker>
          <c:cat>
            <c:strRef>
              <c:f>Sheet1!$A$2:$A$6</c:f>
              <c:strCache>
                <c:ptCount val="5"/>
                <c:pt idx="0">
                  <c:v>ES-27</c:v>
                </c:pt>
                <c:pt idx="1">
                  <c:v>Eiro zonas valstis</c:v>
                </c:pt>
                <c:pt idx="2">
                  <c:v>Igaunija</c:v>
                </c:pt>
                <c:pt idx="3">
                  <c:v>Latvija</c:v>
                </c:pt>
                <c:pt idx="4">
                  <c:v>Lietuva</c:v>
                </c:pt>
              </c:strCache>
            </c:strRef>
          </c:cat>
          <c:val>
            <c:numRef>
              <c:f>Sheet1!$D$2:$D$6</c:f>
              <c:numCache>
                <c:formatCode>0.0</c:formatCode>
                <c:ptCount val="5"/>
                <c:pt idx="0">
                  <c:v>6.3</c:v>
                </c:pt>
                <c:pt idx="1">
                  <c:v>6.3</c:v>
                </c:pt>
                <c:pt idx="2">
                  <c:v>10.7</c:v>
                </c:pt>
                <c:pt idx="3">
                  <c:v>16.2</c:v>
                </c:pt>
                <c:pt idx="4">
                  <c:v>20.7</c:v>
                </c:pt>
              </c:numCache>
            </c:numRef>
          </c:val>
          <c:smooth val="0"/>
          <c:extLst>
            <c:ext xmlns:c16="http://schemas.microsoft.com/office/drawing/2014/chart" uri="{C3380CC4-5D6E-409C-BE32-E72D297353CC}">
              <c16:uniqueId val="{00000007-0019-4703-B6BF-CA0E63EF41EE}"/>
            </c:ext>
          </c:extLst>
        </c:ser>
        <c:dLbls>
          <c:showLegendKey val="0"/>
          <c:showVal val="0"/>
          <c:showCatName val="0"/>
          <c:showSerName val="0"/>
          <c:showPercent val="0"/>
          <c:showBubbleSize val="0"/>
        </c:dLbls>
        <c:marker val="1"/>
        <c:smooth val="0"/>
        <c:axId val="742043640"/>
        <c:axId val="742044032"/>
      </c:lineChart>
      <c:catAx>
        <c:axId val="742043640"/>
        <c:scaling>
          <c:orientation val="minMax"/>
        </c:scaling>
        <c:delete val="0"/>
        <c:axPos val="b"/>
        <c:numFmt formatCode="General" sourceLinked="1"/>
        <c:majorTickMark val="out"/>
        <c:minorTickMark val="none"/>
        <c:tickLblPos val="low"/>
        <c:spPr>
          <a:noFill/>
          <a:ln w="635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44032"/>
        <c:crosses val="autoZero"/>
        <c:auto val="1"/>
        <c:lblAlgn val="ctr"/>
        <c:lblOffset val="100"/>
        <c:noMultiLvlLbl val="0"/>
      </c:catAx>
      <c:valAx>
        <c:axId val="74204403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43640"/>
        <c:crosses val="autoZero"/>
        <c:crossBetween val="between"/>
        <c:majorUnit val="12"/>
      </c:valAx>
      <c:spPr>
        <a:noFill/>
        <a:ln>
          <a:noFill/>
        </a:ln>
        <a:effectLst/>
      </c:spPr>
    </c:plotArea>
    <c:legend>
      <c:legendPos val="b"/>
      <c:layout>
        <c:manualLayout>
          <c:xMode val="edge"/>
          <c:yMode val="edge"/>
          <c:x val="9.8511622738651203E-2"/>
          <c:y val="0.10297851257272642"/>
          <c:w val="0.4633956367361467"/>
          <c:h val="0.250152919359058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786793877887656E-2"/>
          <c:y val="6.9188080393214599E-2"/>
          <c:w val="0.78701490146857422"/>
          <c:h val="0.83862319327108503"/>
        </c:manualLayout>
      </c:layout>
      <c:barChart>
        <c:barDir val="col"/>
        <c:grouping val="clustered"/>
        <c:varyColors val="0"/>
        <c:ser>
          <c:idx val="2"/>
          <c:order val="2"/>
          <c:tx>
            <c:strRef>
              <c:f>Sheet1!$A$4</c:f>
              <c:strCache>
                <c:ptCount val="1"/>
                <c:pt idx="0">
                  <c:v>ULC (izmaiņas procentos, kreisā ass)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Sheet1!$B$4:$M$4</c:f>
              <c:numCache>
                <c:formatCode>0.0</c:formatCode>
                <c:ptCount val="12"/>
                <c:pt idx="0">
                  <c:v>-8.686947162576061</c:v>
                </c:pt>
                <c:pt idx="1">
                  <c:v>1.4488067151571897</c:v>
                </c:pt>
                <c:pt idx="2">
                  <c:v>1.8167152820912236</c:v>
                </c:pt>
                <c:pt idx="3">
                  <c:v>6.0790553912743519</c:v>
                </c:pt>
                <c:pt idx="4">
                  <c:v>4.7734456151087983</c:v>
                </c:pt>
                <c:pt idx="5">
                  <c:v>5.0068480860390139</c:v>
                </c:pt>
                <c:pt idx="6">
                  <c:v>4.4622988041628417</c:v>
                </c:pt>
                <c:pt idx="7">
                  <c:v>4.1204554125979769</c:v>
                </c:pt>
                <c:pt idx="8">
                  <c:v>5.4378329064208515</c:v>
                </c:pt>
                <c:pt idx="9">
                  <c:v>5.0895770390404209</c:v>
                </c:pt>
                <c:pt idx="10">
                  <c:v>7.0475162567819893</c:v>
                </c:pt>
                <c:pt idx="11">
                  <c:v>3.2991510162701161</c:v>
                </c:pt>
              </c:numCache>
            </c:numRef>
          </c:val>
          <c:extLst>
            <c:ext xmlns:c16="http://schemas.microsoft.com/office/drawing/2014/chart" uri="{C3380CC4-5D6E-409C-BE32-E72D297353CC}">
              <c16:uniqueId val="{00000000-8095-4C6F-8C15-01D9EED91352}"/>
            </c:ext>
          </c:extLst>
        </c:ser>
        <c:dLbls>
          <c:showLegendKey val="0"/>
          <c:showVal val="0"/>
          <c:showCatName val="0"/>
          <c:showSerName val="0"/>
          <c:showPercent val="0"/>
          <c:showBubbleSize val="0"/>
        </c:dLbls>
        <c:gapWidth val="40"/>
        <c:axId val="742037368"/>
        <c:axId val="742038544"/>
      </c:barChart>
      <c:lineChart>
        <c:grouping val="standard"/>
        <c:varyColors val="0"/>
        <c:ser>
          <c:idx val="1"/>
          <c:order val="0"/>
          <c:tx>
            <c:strRef>
              <c:f>Sheet1!$A$3</c:f>
              <c:strCache>
                <c:ptCount val="1"/>
                <c:pt idx="0">
                  <c:v>Darbaspēka izmaksas (2010=100, labā ass)</c:v>
                </c:pt>
              </c:strCache>
            </c:strRef>
          </c:tx>
          <c:spPr>
            <a:ln w="28575" cap="rnd">
              <a:solidFill>
                <a:schemeClr val="accent1">
                  <a:lumMod val="75000"/>
                </a:schemeClr>
              </a:solidFill>
              <a:round/>
            </a:ln>
            <a:effectLst/>
          </c:spPr>
          <c:marker>
            <c:symbol val="none"/>
          </c:marker>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Sheet1!$B$3:$M$3</c:f>
              <c:numCache>
                <c:formatCode>0.0</c:formatCode>
                <c:ptCount val="12"/>
                <c:pt idx="0">
                  <c:v>100</c:v>
                </c:pt>
                <c:pt idx="1">
                  <c:v>102.50617389927545</c:v>
                </c:pt>
                <c:pt idx="2">
                  <c:v>110.11695517742743</c:v>
                </c:pt>
                <c:pt idx="3">
                  <c:v>116.4777356208442</c:v>
                </c:pt>
                <c:pt idx="4">
                  <c:v>126.05911640276078</c:v>
                </c:pt>
                <c:pt idx="5">
                  <c:v>135.59972836264006</c:v>
                </c:pt>
                <c:pt idx="6">
                  <c:v>145.44622905032588</c:v>
                </c:pt>
                <c:pt idx="7">
                  <c:v>156.51151092164852</c:v>
                </c:pt>
                <c:pt idx="8">
                  <c:v>169.1446750423527</c:v>
                </c:pt>
                <c:pt idx="9">
                  <c:v>182.33596852152743</c:v>
                </c:pt>
                <c:pt idx="10">
                  <c:v>192.32206065739854</c:v>
                </c:pt>
                <c:pt idx="11">
                  <c:v>213.43335229946322</c:v>
                </c:pt>
              </c:numCache>
            </c:numRef>
          </c:val>
          <c:smooth val="0"/>
          <c:extLst>
            <c:ext xmlns:c16="http://schemas.microsoft.com/office/drawing/2014/chart" uri="{C3380CC4-5D6E-409C-BE32-E72D297353CC}">
              <c16:uniqueId val="{00000001-8095-4C6F-8C15-01D9EED91352}"/>
            </c:ext>
          </c:extLst>
        </c:ser>
        <c:ser>
          <c:idx val="0"/>
          <c:order val="1"/>
          <c:tx>
            <c:strRef>
              <c:f>Sheet1!$A$2</c:f>
              <c:strCache>
                <c:ptCount val="1"/>
                <c:pt idx="0">
                  <c:v>Produktivitāte (2010=100, labā ass)</c:v>
                </c:pt>
              </c:strCache>
            </c:strRef>
          </c:tx>
          <c:spPr>
            <a:ln w="28575" cap="rnd">
              <a:solidFill>
                <a:srgbClr val="C00000"/>
              </a:solidFill>
              <a:round/>
            </a:ln>
            <a:effectLst/>
          </c:spPr>
          <c:marker>
            <c:symbol val="none"/>
          </c:marker>
          <c:cat>
            <c:strRef>
              <c:f>Sheet1!$B$1:$M$1</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Sheet1!$B$2:$M$2</c:f>
              <c:numCache>
                <c:formatCode>0.0</c:formatCode>
                <c:ptCount val="12"/>
                <c:pt idx="0">
                  <c:v>100</c:v>
                </c:pt>
                <c:pt idx="1">
                  <c:v>101.04226675340509</c:v>
                </c:pt>
                <c:pt idx="2">
                  <c:v>106.60760066759947</c:v>
                </c:pt>
                <c:pt idx="3">
                  <c:v>106.30342326347142</c:v>
                </c:pt>
                <c:pt idx="4">
                  <c:v>109.80632661922579</c:v>
                </c:pt>
                <c:pt idx="5">
                  <c:v>112.48491936228335</c:v>
                </c:pt>
                <c:pt idx="6">
                  <c:v>115.4990385235165</c:v>
                </c:pt>
                <c:pt idx="7">
                  <c:v>119.36750820994473</c:v>
                </c:pt>
                <c:pt idx="8">
                  <c:v>122.34936027689669</c:v>
                </c:pt>
                <c:pt idx="9">
                  <c:v>125.50356923660284</c:v>
                </c:pt>
                <c:pt idx="10">
                  <c:v>123.66199179393948</c:v>
                </c:pt>
                <c:pt idx="11">
                  <c:v>132.85339808463891</c:v>
                </c:pt>
              </c:numCache>
            </c:numRef>
          </c:val>
          <c:smooth val="0"/>
          <c:extLst>
            <c:ext xmlns:c16="http://schemas.microsoft.com/office/drawing/2014/chart" uri="{C3380CC4-5D6E-409C-BE32-E72D297353CC}">
              <c16:uniqueId val="{00000002-8095-4C6F-8C15-01D9EED91352}"/>
            </c:ext>
          </c:extLst>
        </c:ser>
        <c:dLbls>
          <c:showLegendKey val="0"/>
          <c:showVal val="0"/>
          <c:showCatName val="0"/>
          <c:showSerName val="0"/>
          <c:showPercent val="0"/>
          <c:showBubbleSize val="0"/>
        </c:dLbls>
        <c:marker val="1"/>
        <c:smooth val="0"/>
        <c:axId val="742041288"/>
        <c:axId val="742040112"/>
      </c:lineChart>
      <c:catAx>
        <c:axId val="742037368"/>
        <c:scaling>
          <c:orientation val="minMax"/>
        </c:scaling>
        <c:delete val="0"/>
        <c:axPos val="b"/>
        <c:numFmt formatCode="General" sourceLinked="1"/>
        <c:majorTickMark val="out"/>
        <c:minorTickMark val="none"/>
        <c:tickLblPos val="low"/>
        <c:spPr>
          <a:noFill/>
          <a:ln w="3175" cap="flat" cmpd="sng" algn="ctr">
            <a:solidFill>
              <a:sysClr val="window" lastClr="FFFFFF">
                <a:lumMod val="50000"/>
              </a:sysClr>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38544"/>
        <c:crosses val="autoZero"/>
        <c:auto val="1"/>
        <c:lblAlgn val="ctr"/>
        <c:lblOffset val="0"/>
        <c:noMultiLvlLbl val="0"/>
      </c:catAx>
      <c:valAx>
        <c:axId val="742038544"/>
        <c:scaling>
          <c:orientation val="minMax"/>
          <c:max val="6.5"/>
          <c:min val="-10"/>
        </c:scaling>
        <c:delete val="0"/>
        <c:axPos val="l"/>
        <c:numFmt formatCode="0" sourceLinked="0"/>
        <c:majorTickMark val="out"/>
        <c:minorTickMark val="none"/>
        <c:tickLblPos val="nextTo"/>
        <c:spPr>
          <a:noFill/>
          <a:ln w="3175">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37368"/>
        <c:crossesAt val="1"/>
        <c:crossBetween val="between"/>
        <c:majorUnit val="4"/>
      </c:valAx>
      <c:valAx>
        <c:axId val="742040112"/>
        <c:scaling>
          <c:orientation val="minMax"/>
          <c:max val="220"/>
          <c:min val="6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crossAx val="742041288"/>
        <c:crosses val="max"/>
        <c:crossBetween val="between"/>
        <c:majorUnit val="20"/>
      </c:valAx>
      <c:catAx>
        <c:axId val="742041288"/>
        <c:scaling>
          <c:orientation val="minMax"/>
        </c:scaling>
        <c:delete val="1"/>
        <c:axPos val="b"/>
        <c:numFmt formatCode="General" sourceLinked="1"/>
        <c:majorTickMark val="out"/>
        <c:minorTickMark val="none"/>
        <c:tickLblPos val="nextTo"/>
        <c:crossAx val="742040112"/>
        <c:crosses val="autoZero"/>
        <c:auto val="1"/>
        <c:lblAlgn val="ctr"/>
        <c:lblOffset val="100"/>
        <c:noMultiLvlLbl val="0"/>
      </c:catAx>
      <c:spPr>
        <a:noFill/>
        <a:ln>
          <a:noFill/>
        </a:ln>
        <a:effectLst/>
      </c:spPr>
    </c:plotArea>
    <c:legend>
      <c:legendPos val="b"/>
      <c:layout>
        <c:manualLayout>
          <c:xMode val="edge"/>
          <c:yMode val="edge"/>
          <c:x val="0.17422878920730275"/>
          <c:y val="0.67534236109342549"/>
          <c:w val="0.75531587217529439"/>
          <c:h val="0.212703072509938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142960929069752E-2"/>
          <c:y val="3.5222609557706203E-2"/>
          <c:w val="0.87927470735086222"/>
          <c:h val="0.8685009272400197"/>
        </c:manualLayout>
      </c:layout>
      <c:barChart>
        <c:barDir val="col"/>
        <c:grouping val="clustered"/>
        <c:varyColors val="0"/>
        <c:ser>
          <c:idx val="0"/>
          <c:order val="0"/>
          <c:tx>
            <c:strRef>
              <c:f>Sheet1!$D$1</c:f>
              <c:strCache>
                <c:ptCount val="1"/>
                <c:pt idx="0">
                  <c:v>Produktivitāte </c:v>
                </c:pt>
              </c:strCache>
            </c:strRef>
          </c:tx>
          <c:spPr>
            <a:ln w="3173">
              <a:noFill/>
            </a:ln>
          </c:spPr>
          <c:invertIfNegative val="0"/>
          <c:dPt>
            <c:idx val="4"/>
            <c:invertIfNegative val="0"/>
            <c:bubble3D val="0"/>
            <c:extLst>
              <c:ext xmlns:c16="http://schemas.microsoft.com/office/drawing/2014/chart" uri="{C3380CC4-5D6E-409C-BE32-E72D297353CC}">
                <c16:uniqueId val="{00000000-4C06-49AA-AD16-C8BA743E7CEE}"/>
              </c:ext>
            </c:extLst>
          </c:dPt>
          <c:dPt>
            <c:idx val="5"/>
            <c:invertIfNegative val="0"/>
            <c:bubble3D val="0"/>
            <c:extLst>
              <c:ext xmlns:c16="http://schemas.microsoft.com/office/drawing/2014/chart" uri="{C3380CC4-5D6E-409C-BE32-E72D297353CC}">
                <c16:uniqueId val="{00000001-4C06-49AA-AD16-C8BA743E7CEE}"/>
              </c:ext>
            </c:extLst>
          </c:dPt>
          <c:dPt>
            <c:idx val="6"/>
            <c:invertIfNegative val="0"/>
            <c:bubble3D val="0"/>
            <c:extLst>
              <c:ext xmlns:c16="http://schemas.microsoft.com/office/drawing/2014/chart" uri="{C3380CC4-5D6E-409C-BE32-E72D297353CC}">
                <c16:uniqueId val="{00000002-4C06-49AA-AD16-C8BA743E7CEE}"/>
              </c:ext>
            </c:extLst>
          </c:dPt>
          <c:dPt>
            <c:idx val="11"/>
            <c:invertIfNegative val="0"/>
            <c:bubble3D val="0"/>
            <c:extLst>
              <c:ext xmlns:c16="http://schemas.microsoft.com/office/drawing/2014/chart" uri="{C3380CC4-5D6E-409C-BE32-E72D297353CC}">
                <c16:uniqueId val="{00000003-4C06-49AA-AD16-C8BA743E7CEE}"/>
              </c:ext>
            </c:extLst>
          </c:dPt>
          <c:cat>
            <c:strRef>
              <c:f>Sheet1!$A$2:$C$13</c:f>
              <c:strCache>
                <c:ptCount val="7"/>
                <c:pt idx="0">
                  <c:v>2015-2019</c:v>
                </c:pt>
                <c:pt idx="1">
                  <c:v>2020</c:v>
                </c:pt>
                <c:pt idx="2">
                  <c:v>2021</c:v>
                </c:pt>
                <c:pt idx="4">
                  <c:v>2015-2019</c:v>
                </c:pt>
                <c:pt idx="5">
                  <c:v>2020</c:v>
                </c:pt>
                <c:pt idx="6">
                  <c:v>2021</c:v>
                </c:pt>
              </c:strCache>
            </c:strRef>
          </c:cat>
          <c:val>
            <c:numRef>
              <c:f>Sheet1!$D$2:$D$13</c:f>
              <c:numCache>
                <c:formatCode>0.0</c:formatCode>
                <c:ptCount val="7"/>
                <c:pt idx="0">
                  <c:v>3.1324352643166975</c:v>
                </c:pt>
                <c:pt idx="1">
                  <c:v>2.1</c:v>
                </c:pt>
                <c:pt idx="2">
                  <c:v>1.1000000000000001</c:v>
                </c:pt>
                <c:pt idx="4">
                  <c:v>2.2749655812533121</c:v>
                </c:pt>
                <c:pt idx="5">
                  <c:v>-3</c:v>
                </c:pt>
                <c:pt idx="6">
                  <c:v>10.4</c:v>
                </c:pt>
              </c:numCache>
            </c:numRef>
          </c:val>
          <c:extLst>
            <c:ext xmlns:c16="http://schemas.microsoft.com/office/drawing/2014/chart" uri="{C3380CC4-5D6E-409C-BE32-E72D297353CC}">
              <c16:uniqueId val="{00000004-4C06-49AA-AD16-C8BA743E7CEE}"/>
            </c:ext>
          </c:extLst>
        </c:ser>
        <c:ser>
          <c:idx val="1"/>
          <c:order val="1"/>
          <c:tx>
            <c:strRef>
              <c:f>Sheet1!$E$1</c:f>
              <c:strCache>
                <c:ptCount val="1"/>
                <c:pt idx="0">
                  <c:v>Darbaspēka izmaksas </c:v>
                </c:pt>
              </c:strCache>
            </c:strRef>
          </c:tx>
          <c:spPr>
            <a:ln w="3173">
              <a:noFill/>
            </a:ln>
          </c:spPr>
          <c:invertIfNegative val="0"/>
          <c:dPt>
            <c:idx val="0"/>
            <c:invertIfNegative val="0"/>
            <c:bubble3D val="0"/>
            <c:extLst>
              <c:ext xmlns:c16="http://schemas.microsoft.com/office/drawing/2014/chart" uri="{C3380CC4-5D6E-409C-BE32-E72D297353CC}">
                <c16:uniqueId val="{00000005-4C06-49AA-AD16-C8BA743E7CEE}"/>
              </c:ext>
            </c:extLst>
          </c:dPt>
          <c:dPt>
            <c:idx val="4"/>
            <c:invertIfNegative val="0"/>
            <c:bubble3D val="0"/>
            <c:extLst>
              <c:ext xmlns:c16="http://schemas.microsoft.com/office/drawing/2014/chart" uri="{C3380CC4-5D6E-409C-BE32-E72D297353CC}">
                <c16:uniqueId val="{00000006-4C06-49AA-AD16-C8BA743E7CEE}"/>
              </c:ext>
            </c:extLst>
          </c:dPt>
          <c:cat>
            <c:strRef>
              <c:f>Sheet1!$A$2:$C$13</c:f>
              <c:strCache>
                <c:ptCount val="7"/>
                <c:pt idx="0">
                  <c:v>2015-2019</c:v>
                </c:pt>
                <c:pt idx="1">
                  <c:v>2020</c:v>
                </c:pt>
                <c:pt idx="2">
                  <c:v>2021</c:v>
                </c:pt>
                <c:pt idx="4">
                  <c:v>2015-2019</c:v>
                </c:pt>
                <c:pt idx="5">
                  <c:v>2020</c:v>
                </c:pt>
                <c:pt idx="6">
                  <c:v>2021</c:v>
                </c:pt>
              </c:strCache>
            </c:strRef>
          </c:cat>
          <c:val>
            <c:numRef>
              <c:f>Sheet1!$E$2:$E$13</c:f>
              <c:numCache>
                <c:formatCode>0.0</c:formatCode>
                <c:ptCount val="7"/>
                <c:pt idx="0">
                  <c:v>7.1546730151287932</c:v>
                </c:pt>
                <c:pt idx="1">
                  <c:v>6.3</c:v>
                </c:pt>
                <c:pt idx="2">
                  <c:v>8</c:v>
                </c:pt>
                <c:pt idx="4">
                  <c:v>7.8601673698179155</c:v>
                </c:pt>
                <c:pt idx="5" formatCode="0">
                  <c:v>5.2</c:v>
                </c:pt>
                <c:pt idx="6" formatCode="0">
                  <c:v>12.3</c:v>
                </c:pt>
              </c:numCache>
            </c:numRef>
          </c:val>
          <c:extLst>
            <c:ext xmlns:c16="http://schemas.microsoft.com/office/drawing/2014/chart" uri="{C3380CC4-5D6E-409C-BE32-E72D297353CC}">
              <c16:uniqueId val="{00000007-4C06-49AA-AD16-C8BA743E7CEE}"/>
            </c:ext>
          </c:extLst>
        </c:ser>
        <c:ser>
          <c:idx val="2"/>
          <c:order val="2"/>
          <c:tx>
            <c:strRef>
              <c:f>Sheet1!$F$1</c:f>
              <c:strCache>
                <c:ptCount val="1"/>
                <c:pt idx="0">
                  <c:v>ULC </c:v>
                </c:pt>
              </c:strCache>
            </c:strRef>
          </c:tx>
          <c:spPr>
            <a:ln w="3173">
              <a:noFill/>
            </a:ln>
          </c:spPr>
          <c:invertIfNegative val="0"/>
          <c:dPt>
            <c:idx val="0"/>
            <c:invertIfNegative val="0"/>
            <c:bubble3D val="0"/>
            <c:extLst>
              <c:ext xmlns:c16="http://schemas.microsoft.com/office/drawing/2014/chart" uri="{C3380CC4-5D6E-409C-BE32-E72D297353CC}">
                <c16:uniqueId val="{00000008-4C06-49AA-AD16-C8BA743E7CEE}"/>
              </c:ext>
            </c:extLst>
          </c:dPt>
          <c:dPt>
            <c:idx val="4"/>
            <c:invertIfNegative val="0"/>
            <c:bubble3D val="0"/>
            <c:extLst>
              <c:ext xmlns:c16="http://schemas.microsoft.com/office/drawing/2014/chart" uri="{C3380CC4-5D6E-409C-BE32-E72D297353CC}">
                <c16:uniqueId val="{00000009-4C06-49AA-AD16-C8BA743E7CEE}"/>
              </c:ext>
            </c:extLst>
          </c:dPt>
          <c:cat>
            <c:strRef>
              <c:f>Sheet1!$A$2:$C$13</c:f>
              <c:strCache>
                <c:ptCount val="7"/>
                <c:pt idx="0">
                  <c:v>2015-2019</c:v>
                </c:pt>
                <c:pt idx="1">
                  <c:v>2020</c:v>
                </c:pt>
                <c:pt idx="2">
                  <c:v>2021</c:v>
                </c:pt>
                <c:pt idx="4">
                  <c:v>2015-2019</c:v>
                </c:pt>
                <c:pt idx="5">
                  <c:v>2020</c:v>
                </c:pt>
                <c:pt idx="6">
                  <c:v>2021</c:v>
                </c:pt>
              </c:strCache>
            </c:strRef>
          </c:cat>
          <c:val>
            <c:numRef>
              <c:f>Sheet1!$F$2:$F$13</c:f>
              <c:numCache>
                <c:formatCode>0.0</c:formatCode>
                <c:ptCount val="7"/>
                <c:pt idx="0">
                  <c:v>3.9</c:v>
                </c:pt>
                <c:pt idx="1">
                  <c:v>4.0999999999999996</c:v>
                </c:pt>
                <c:pt idx="2">
                  <c:v>6.8</c:v>
                </c:pt>
                <c:pt idx="4">
                  <c:v>5.5</c:v>
                </c:pt>
                <c:pt idx="5">
                  <c:v>8.5</c:v>
                </c:pt>
                <c:pt idx="6">
                  <c:v>1.7</c:v>
                </c:pt>
              </c:numCache>
            </c:numRef>
          </c:val>
          <c:extLst>
            <c:ext xmlns:c16="http://schemas.microsoft.com/office/drawing/2014/chart" uri="{C3380CC4-5D6E-409C-BE32-E72D297353CC}">
              <c16:uniqueId val="{0000000A-4C06-49AA-AD16-C8BA743E7CEE}"/>
            </c:ext>
          </c:extLst>
        </c:ser>
        <c:dLbls>
          <c:showLegendKey val="0"/>
          <c:showVal val="0"/>
          <c:showCatName val="0"/>
          <c:showSerName val="0"/>
          <c:showPercent val="0"/>
          <c:showBubbleSize val="0"/>
        </c:dLbls>
        <c:gapWidth val="40"/>
        <c:overlap val="40"/>
        <c:axId val="249730424"/>
        <c:axId val="1"/>
      </c:barChart>
      <c:catAx>
        <c:axId val="249730424"/>
        <c:scaling>
          <c:orientation val="minMax"/>
        </c:scaling>
        <c:delete val="0"/>
        <c:axPos val="b"/>
        <c:numFmt formatCode="General" sourceLinked="1"/>
        <c:majorTickMark val="out"/>
        <c:minorTickMark val="none"/>
        <c:tickLblPos val="low"/>
        <c:spPr>
          <a:ln w="3173"/>
        </c:spPr>
        <c:txPr>
          <a:bodyPr rot="0" vert="horz"/>
          <a:lstStyle/>
          <a:p>
            <a:pPr>
              <a:defRPr/>
            </a:pPr>
            <a:endParaRPr lang="lv-LV"/>
          </a:p>
        </c:txPr>
        <c:crossAx val="1"/>
        <c:crosses val="autoZero"/>
        <c:auto val="0"/>
        <c:lblAlgn val="ctr"/>
        <c:lblOffset val="0"/>
        <c:tickLblSkip val="1"/>
        <c:noMultiLvlLbl val="1"/>
      </c:catAx>
      <c:valAx>
        <c:axId val="1"/>
        <c:scaling>
          <c:orientation val="minMax"/>
          <c:max val="13"/>
          <c:min val="-4"/>
        </c:scaling>
        <c:delete val="0"/>
        <c:axPos val="l"/>
        <c:numFmt formatCode="0" sourceLinked="0"/>
        <c:majorTickMark val="out"/>
        <c:minorTickMark val="none"/>
        <c:tickLblPos val="nextTo"/>
        <c:spPr>
          <a:ln w="3173"/>
        </c:spPr>
        <c:txPr>
          <a:bodyPr rot="0" vert="horz"/>
          <a:lstStyle/>
          <a:p>
            <a:pPr>
              <a:defRPr/>
            </a:pPr>
            <a:endParaRPr lang="lv-LV"/>
          </a:p>
        </c:txPr>
        <c:crossAx val="249730424"/>
        <c:crosses val="autoZero"/>
        <c:crossBetween val="between"/>
        <c:majorUnit val="4"/>
      </c:valAx>
      <c:spPr>
        <a:noFill/>
        <a:ln w="25382">
          <a:noFill/>
        </a:ln>
      </c:spPr>
    </c:plotArea>
    <c:legend>
      <c:legendPos val="r"/>
      <c:layout>
        <c:manualLayout>
          <c:xMode val="edge"/>
          <c:yMode val="edge"/>
          <c:x val="0.11409093626583859"/>
          <c:y val="5.6118145591005746E-3"/>
          <c:w val="0.42649980833682077"/>
          <c:h val="0.22477259297045857"/>
        </c:manualLayout>
      </c:layout>
      <c:overlay val="0"/>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1232844118184172E-2"/>
          <c:y val="0.28508104378749188"/>
          <c:w val="0.81133580463412303"/>
          <c:h val="0.62005616689857312"/>
        </c:manualLayout>
      </c:layout>
      <c:barChart>
        <c:barDir val="col"/>
        <c:grouping val="clustered"/>
        <c:varyColors val="0"/>
        <c:ser>
          <c:idx val="0"/>
          <c:order val="1"/>
          <c:tx>
            <c:strRef>
              <c:f>Sheet1!$A$2</c:f>
              <c:strCache>
                <c:ptCount val="1"/>
                <c:pt idx="0">
                  <c:v>Nominālais ULC (izmaiņas procentos, kreisā ass)</c:v>
                </c:pt>
              </c:strCache>
            </c:strRef>
          </c:tx>
          <c:spPr>
            <a:solidFill>
              <a:srgbClr val="4F81BD"/>
            </a:solidFill>
            <a:ln w="25377">
              <a:noFill/>
            </a:ln>
          </c:spPr>
          <c:invertIfNegative val="0"/>
          <c:dLbls>
            <c:spPr>
              <a:noFill/>
              <a:ln w="2537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Sheet1!$B$1:$M$1</c:f>
              <c:numCache>
                <c:formatCode>General</c:formatCode>
                <c:ptCount val="12"/>
                <c:pt idx="1">
                  <c:v>2011</c:v>
                </c:pt>
                <c:pt idx="3">
                  <c:v>2013</c:v>
                </c:pt>
                <c:pt idx="5">
                  <c:v>2015</c:v>
                </c:pt>
                <c:pt idx="7">
                  <c:v>2017</c:v>
                </c:pt>
                <c:pt idx="9">
                  <c:v>2019</c:v>
                </c:pt>
                <c:pt idx="11">
                  <c:v>2021</c:v>
                </c:pt>
              </c:numCache>
            </c:numRef>
          </c:cat>
          <c:val>
            <c:numRef>
              <c:f>Sheet1!$B$2:$M$2</c:f>
              <c:numCache>
                <c:formatCode>0.0</c:formatCode>
                <c:ptCount val="12"/>
                <c:pt idx="0">
                  <c:v>-15.534827020631653</c:v>
                </c:pt>
                <c:pt idx="1">
                  <c:v>2.6699386532790044</c:v>
                </c:pt>
                <c:pt idx="2">
                  <c:v>7.9861809650866462</c:v>
                </c:pt>
                <c:pt idx="3">
                  <c:v>6.4062453964657067</c:v>
                </c:pt>
                <c:pt idx="4">
                  <c:v>5.590900331885635</c:v>
                </c:pt>
                <c:pt idx="5">
                  <c:v>2.7965563634199953</c:v>
                </c:pt>
                <c:pt idx="6">
                  <c:v>5.2898972789396055</c:v>
                </c:pt>
                <c:pt idx="7">
                  <c:v>1.8225475240606386</c:v>
                </c:pt>
                <c:pt idx="8">
                  <c:v>3.2532074767063932</c:v>
                </c:pt>
                <c:pt idx="9">
                  <c:v>5.2973995040324127</c:v>
                </c:pt>
                <c:pt idx="10">
                  <c:v>2.7689578400990911</c:v>
                </c:pt>
                <c:pt idx="11">
                  <c:v>4.6787913269536148</c:v>
                </c:pt>
              </c:numCache>
            </c:numRef>
          </c:val>
          <c:extLst>
            <c:ext xmlns:c16="http://schemas.microsoft.com/office/drawing/2014/chart" uri="{C3380CC4-5D6E-409C-BE32-E72D297353CC}">
              <c16:uniqueId val="{00000000-2CB0-45B5-B6D1-2C221D8E4EAE}"/>
            </c:ext>
          </c:extLst>
        </c:ser>
        <c:dLbls>
          <c:showLegendKey val="0"/>
          <c:showVal val="0"/>
          <c:showCatName val="0"/>
          <c:showSerName val="0"/>
          <c:showPercent val="0"/>
          <c:showBubbleSize val="0"/>
        </c:dLbls>
        <c:gapWidth val="50"/>
        <c:axId val="250069832"/>
        <c:axId val="1"/>
      </c:barChart>
      <c:lineChart>
        <c:grouping val="standard"/>
        <c:varyColors val="0"/>
        <c:ser>
          <c:idx val="2"/>
          <c:order val="0"/>
          <c:spPr>
            <a:ln w="28549" cap="rnd" cmpd="sng" algn="ctr">
              <a:solidFill>
                <a:schemeClr val="accent3">
                  <a:shade val="95000"/>
                  <a:satMod val="105000"/>
                </a:schemeClr>
              </a:solidFill>
              <a:prstDash val="solid"/>
              <a:round/>
            </a:ln>
            <a:effectLst/>
          </c:spPr>
          <c:marker>
            <c:symbol val="none"/>
          </c:marker>
          <c:cat>
            <c:numRef>
              <c:f>Sheet1!$B$1:$M$1</c:f>
              <c:numCache>
                <c:formatCode>General</c:formatCode>
                <c:ptCount val="12"/>
                <c:pt idx="1">
                  <c:v>2011</c:v>
                </c:pt>
                <c:pt idx="3">
                  <c:v>2013</c:v>
                </c:pt>
                <c:pt idx="5">
                  <c:v>2015</c:v>
                </c:pt>
                <c:pt idx="7">
                  <c:v>2017</c:v>
                </c:pt>
                <c:pt idx="9">
                  <c:v>2019</c:v>
                </c:pt>
                <c:pt idx="11">
                  <c:v>2021</c:v>
                </c:pt>
              </c:numCache>
            </c:numRef>
          </c:cat>
          <c:val>
            <c:numLit>
              <c:formatCode>General</c:formatCode>
              <c:ptCount val="1"/>
              <c:pt idx="0">
                <c:v>0</c:v>
              </c:pt>
            </c:numLit>
          </c:val>
          <c:smooth val="1"/>
          <c:extLst>
            <c:ext xmlns:c16="http://schemas.microsoft.com/office/drawing/2014/chart" uri="{C3380CC4-5D6E-409C-BE32-E72D297353CC}">
              <c16:uniqueId val="{00000001-2CB0-45B5-B6D1-2C221D8E4EAE}"/>
            </c:ext>
          </c:extLst>
        </c:ser>
        <c:dLbls>
          <c:showLegendKey val="0"/>
          <c:showVal val="0"/>
          <c:showCatName val="0"/>
          <c:showSerName val="0"/>
          <c:showPercent val="0"/>
          <c:showBubbleSize val="0"/>
        </c:dLbls>
        <c:marker val="1"/>
        <c:smooth val="0"/>
        <c:axId val="250069832"/>
        <c:axId val="1"/>
      </c:lineChart>
      <c:lineChart>
        <c:grouping val="standard"/>
        <c:varyColors val="0"/>
        <c:ser>
          <c:idx val="1"/>
          <c:order val="2"/>
          <c:tx>
            <c:strRef>
              <c:f>Sheet1!$A$3</c:f>
              <c:strCache>
                <c:ptCount val="1"/>
                <c:pt idx="0">
                  <c:v>Produktivitāte (2010. gads = 100, labā ass)</c:v>
                </c:pt>
              </c:strCache>
            </c:strRef>
          </c:tx>
          <c:spPr>
            <a:ln w="25377" cap="rnd" cmpd="sng" algn="ctr">
              <a:solidFill>
                <a:srgbClr val="C0504D">
                  <a:shade val="95000"/>
                  <a:satMod val="105000"/>
                </a:srgbClr>
              </a:solidFill>
              <a:prstDash val="solid"/>
              <a:round/>
            </a:ln>
            <a:effectLst/>
          </c:spPr>
          <c:marker>
            <c:symbol val="none"/>
          </c:marker>
          <c:cat>
            <c:numRef>
              <c:f>Sheet1!$B$1:$M$1</c:f>
              <c:numCache>
                <c:formatCode>General</c:formatCode>
                <c:ptCount val="12"/>
                <c:pt idx="1">
                  <c:v>2011</c:v>
                </c:pt>
                <c:pt idx="3">
                  <c:v>2013</c:v>
                </c:pt>
                <c:pt idx="5">
                  <c:v>2015</c:v>
                </c:pt>
                <c:pt idx="7">
                  <c:v>2017</c:v>
                </c:pt>
                <c:pt idx="9">
                  <c:v>2019</c:v>
                </c:pt>
                <c:pt idx="11">
                  <c:v>2021</c:v>
                </c:pt>
              </c:numCache>
            </c:numRef>
          </c:cat>
          <c:val>
            <c:numRef>
              <c:f>Sheet1!$B$3:$M$3</c:f>
              <c:numCache>
                <c:formatCode>General</c:formatCode>
                <c:ptCount val="12"/>
                <c:pt idx="0">
                  <c:v>100</c:v>
                </c:pt>
                <c:pt idx="1">
                  <c:v>98.883768572447167</c:v>
                </c:pt>
                <c:pt idx="2">
                  <c:v>99.105101251904443</c:v>
                </c:pt>
                <c:pt idx="3">
                  <c:v>98.253363042951591</c:v>
                </c:pt>
                <c:pt idx="4">
                  <c:v>101.76633687344345</c:v>
                </c:pt>
                <c:pt idx="5">
                  <c:v>107.68256433172681</c:v>
                </c:pt>
                <c:pt idx="6">
                  <c:v>109.12090195050553</c:v>
                </c:pt>
                <c:pt idx="7">
                  <c:v>116.51530628347726</c:v>
                </c:pt>
                <c:pt idx="8">
                  <c:v>123.98419131472458</c:v>
                </c:pt>
                <c:pt idx="9">
                  <c:v>127.83169232980975</c:v>
                </c:pt>
                <c:pt idx="10">
                  <c:v>131.12527997804594</c:v>
                </c:pt>
                <c:pt idx="11">
                  <c:v>134.62356005976952</c:v>
                </c:pt>
              </c:numCache>
            </c:numRef>
          </c:val>
          <c:smooth val="0"/>
          <c:extLst>
            <c:ext xmlns:c16="http://schemas.microsoft.com/office/drawing/2014/chart" uri="{C3380CC4-5D6E-409C-BE32-E72D297353CC}">
              <c16:uniqueId val="{00000002-2CB0-45B5-B6D1-2C221D8E4EAE}"/>
            </c:ext>
          </c:extLst>
        </c:ser>
        <c:ser>
          <c:idx val="3"/>
          <c:order val="3"/>
          <c:tx>
            <c:strRef>
              <c:f>Sheet1!$A$4</c:f>
              <c:strCache>
                <c:ptCount val="1"/>
                <c:pt idx="0">
                  <c:v>Darbaspēka izmaksas (2010. gads = 100, labā ass)</c:v>
                </c:pt>
              </c:strCache>
            </c:strRef>
          </c:tx>
          <c:spPr>
            <a:ln w="25377"/>
            <a:effectLst/>
          </c:spPr>
          <c:marker>
            <c:symbol val="none"/>
          </c:marker>
          <c:cat>
            <c:numRef>
              <c:f>Sheet1!$B$1:$M$1</c:f>
              <c:numCache>
                <c:formatCode>General</c:formatCode>
                <c:ptCount val="12"/>
                <c:pt idx="1">
                  <c:v>2011</c:v>
                </c:pt>
                <c:pt idx="3">
                  <c:v>2013</c:v>
                </c:pt>
                <c:pt idx="5">
                  <c:v>2015</c:v>
                </c:pt>
                <c:pt idx="7">
                  <c:v>2017</c:v>
                </c:pt>
                <c:pt idx="9">
                  <c:v>2019</c:v>
                </c:pt>
                <c:pt idx="11">
                  <c:v>2021</c:v>
                </c:pt>
              </c:numCache>
            </c:numRef>
          </c:cat>
          <c:val>
            <c:numRef>
              <c:f>Sheet1!$B$4:$M$4</c:f>
              <c:numCache>
                <c:formatCode>General</c:formatCode>
                <c:ptCount val="12"/>
                <c:pt idx="0">
                  <c:v>100</c:v>
                </c:pt>
                <c:pt idx="1">
                  <c:v>101.52390453138189</c:v>
                </c:pt>
                <c:pt idx="2">
                  <c:v>109.877177363727</c:v>
                </c:pt>
                <c:pt idx="3">
                  <c:v>115.91136716316099</c:v>
                </c:pt>
                <c:pt idx="4">
                  <c:v>126.76788336072933</c:v>
                </c:pt>
                <c:pt idx="5">
                  <c:v>137.88881910532285</c:v>
                </c:pt>
                <c:pt idx="6">
                  <c:v>147.12223440427752</c:v>
                </c:pt>
                <c:pt idx="7">
                  <c:v>159.95481017107267</c:v>
                </c:pt>
                <c:pt idx="8">
                  <c:v>175.74548996785259</c:v>
                </c:pt>
                <c:pt idx="9">
                  <c:v>190.79810601678622</c:v>
                </c:pt>
                <c:pt idx="10">
                  <c:v>201.13326417950387</c:v>
                </c:pt>
                <c:pt idx="11">
                  <c:v>216.16095172025118</c:v>
                </c:pt>
              </c:numCache>
            </c:numRef>
          </c:val>
          <c:smooth val="0"/>
          <c:extLst>
            <c:ext xmlns:c16="http://schemas.microsoft.com/office/drawing/2014/chart" uri="{C3380CC4-5D6E-409C-BE32-E72D297353CC}">
              <c16:uniqueId val="{00000003-2CB0-45B5-B6D1-2C221D8E4EAE}"/>
            </c:ext>
          </c:extLst>
        </c:ser>
        <c:dLbls>
          <c:showLegendKey val="0"/>
          <c:showVal val="0"/>
          <c:showCatName val="0"/>
          <c:showSerName val="0"/>
          <c:showPercent val="0"/>
          <c:showBubbleSize val="0"/>
        </c:dLbls>
        <c:marker val="1"/>
        <c:smooth val="0"/>
        <c:axId val="3"/>
        <c:axId val="4"/>
      </c:lineChart>
      <c:catAx>
        <c:axId val="250069832"/>
        <c:scaling>
          <c:orientation val="minMax"/>
        </c:scaling>
        <c:delete val="0"/>
        <c:axPos val="b"/>
        <c:numFmt formatCode="General" sourceLinked="1"/>
        <c:majorTickMark val="out"/>
        <c:minorTickMark val="none"/>
        <c:tickLblPos val="low"/>
        <c:spPr>
          <a:noFill/>
          <a:ln w="3172"/>
          <a:effectLst/>
        </c:spPr>
        <c:txPr>
          <a:bodyPr rot="0" vert="horz"/>
          <a:lstStyle/>
          <a:p>
            <a:pPr>
              <a:defRPr/>
            </a:pPr>
            <a:endParaRPr lang="lv-LV"/>
          </a:p>
        </c:txPr>
        <c:crossAx val="1"/>
        <c:crosses val="autoZero"/>
        <c:auto val="1"/>
        <c:lblAlgn val="ctr"/>
        <c:lblOffset val="0"/>
        <c:tickLblSkip val="1"/>
        <c:tickMarkSkip val="1"/>
        <c:noMultiLvlLbl val="1"/>
      </c:catAx>
      <c:valAx>
        <c:axId val="1"/>
        <c:scaling>
          <c:orientation val="minMax"/>
          <c:max val="10"/>
          <c:min val="-20"/>
        </c:scaling>
        <c:delete val="0"/>
        <c:axPos val="l"/>
        <c:numFmt formatCode="0" sourceLinked="0"/>
        <c:majorTickMark val="out"/>
        <c:minorTickMark val="none"/>
        <c:tickLblPos val="nextTo"/>
        <c:spPr>
          <a:noFill/>
          <a:ln w="3172" cap="flat" cmpd="sng" algn="ctr">
            <a:solidFill>
              <a:schemeClr val="tx1">
                <a:tint val="75000"/>
                <a:shade val="95000"/>
                <a:satMod val="105000"/>
              </a:schemeClr>
            </a:solidFill>
            <a:prstDash val="solid"/>
            <a:round/>
          </a:ln>
          <a:effectLst/>
        </c:spPr>
        <c:txPr>
          <a:bodyPr rot="0"/>
          <a:lstStyle/>
          <a:p>
            <a:pPr>
              <a:defRPr/>
            </a:pPr>
            <a:endParaRPr lang="lv-LV"/>
          </a:p>
        </c:txPr>
        <c:crossAx val="250069832"/>
        <c:crosses val="autoZero"/>
        <c:crossBetween val="between"/>
        <c:majorUnit val="1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230"/>
          <c:min val="80"/>
        </c:scaling>
        <c:delete val="0"/>
        <c:axPos val="r"/>
        <c:numFmt formatCode="0" sourceLinked="0"/>
        <c:majorTickMark val="out"/>
        <c:minorTickMark val="none"/>
        <c:tickLblPos val="nextTo"/>
        <c:spPr>
          <a:noFill/>
          <a:ln w="3172" cap="flat" cmpd="sng" algn="ctr">
            <a:solidFill>
              <a:sysClr val="windowText" lastClr="000000">
                <a:tint val="75000"/>
                <a:shade val="95000"/>
                <a:satMod val="105000"/>
              </a:sysClr>
            </a:solidFill>
            <a:prstDash val="solid"/>
            <a:round/>
          </a:ln>
          <a:effectLst/>
        </c:spPr>
        <c:txPr>
          <a:bodyPr rot="-60000000" vert="horz"/>
          <a:lstStyle/>
          <a:p>
            <a:pPr>
              <a:defRPr/>
            </a:pPr>
            <a:endParaRPr lang="lv-LV"/>
          </a:p>
        </c:txPr>
        <c:crossAx val="3"/>
        <c:crosses val="max"/>
        <c:crossBetween val="between"/>
        <c:majorUnit val="30"/>
      </c:valAx>
      <c:spPr>
        <a:noFill/>
        <a:ln w="25377">
          <a:noFill/>
        </a:ln>
      </c:spPr>
    </c:plotArea>
    <c:legend>
      <c:legendPos val="l"/>
      <c:legendEntry>
        <c:idx val="1"/>
        <c:delete val="1"/>
      </c:legendEntry>
      <c:layout>
        <c:manualLayout>
          <c:xMode val="edge"/>
          <c:yMode val="edge"/>
          <c:x val="2.097303580997012E-2"/>
          <c:y val="1.4838467772173639E-3"/>
          <c:w val="0.93646271831846095"/>
          <c:h val="0.24642173330215522"/>
        </c:manualLayout>
      </c:layout>
      <c:overlay val="0"/>
      <c:spPr>
        <a:noFill/>
        <a:ln w="25377">
          <a:noFill/>
        </a:ln>
      </c:spPr>
      <c:txPr>
        <a:bodyPr rot="0" vert="horz"/>
        <a:lstStyle/>
        <a:p>
          <a:pPr>
            <a:defRPr/>
          </a:pPr>
          <a:endParaRPr lang="lv-LV"/>
        </a:p>
      </c:txPr>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923429804095845E-2"/>
          <c:y val="2.9421666666666665E-2"/>
          <c:w val="0.88861368159795739"/>
          <c:h val="0.84681902265892139"/>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8755-4AA4-9E66-298E6BCF48CB}"/>
              </c:ext>
            </c:extLst>
          </c:dPt>
          <c:dPt>
            <c:idx val="23"/>
            <c:invertIfNegative val="0"/>
            <c:bubble3D val="0"/>
            <c:extLst>
              <c:ext xmlns:c16="http://schemas.microsoft.com/office/drawing/2014/chart" uri="{C3380CC4-5D6E-409C-BE32-E72D297353CC}">
                <c16:uniqueId val="{00000001-8755-4AA4-9E66-298E6BCF48CB}"/>
              </c:ext>
            </c:extLst>
          </c:dPt>
          <c:dPt>
            <c:idx val="25"/>
            <c:invertIfNegative val="0"/>
            <c:bubble3D val="0"/>
            <c:extLst>
              <c:ext xmlns:c16="http://schemas.microsoft.com/office/drawing/2014/chart" uri="{C3380CC4-5D6E-409C-BE32-E72D297353CC}">
                <c16:uniqueId val="{00000002-8755-4AA4-9E66-298E6BCF48CB}"/>
              </c:ext>
            </c:extLst>
          </c:dPt>
          <c:dLbls>
            <c:numFmt formatCode="#,##0" sourceLinked="0"/>
            <c:spPr>
              <a:noFill/>
              <a:ln w="25382">
                <a:noFill/>
              </a:ln>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2004</c:v>
                </c:pt>
                <c:pt idx="1">
                  <c:v>2007</c:v>
                </c:pt>
                <c:pt idx="2">
                  <c:v>2013</c:v>
                </c:pt>
                <c:pt idx="3">
                  <c:v>2014</c:v>
                </c:pt>
                <c:pt idx="4">
                  <c:v>2015</c:v>
                </c:pt>
                <c:pt idx="5">
                  <c:v>2016</c:v>
                </c:pt>
                <c:pt idx="6">
                  <c:v>2017</c:v>
                </c:pt>
                <c:pt idx="7">
                  <c:v>2018</c:v>
                </c:pt>
                <c:pt idx="8">
                  <c:v>2019</c:v>
                </c:pt>
                <c:pt idx="9">
                  <c:v>2020</c:v>
                </c:pt>
                <c:pt idx="10">
                  <c:v>2021</c:v>
                </c:pt>
              </c:numCache>
            </c:numRef>
          </c:cat>
          <c:val>
            <c:numRef>
              <c:f>Sheet1!$B$2:$L$2</c:f>
              <c:numCache>
                <c:formatCode>0.0</c:formatCode>
                <c:ptCount val="11"/>
                <c:pt idx="0">
                  <c:v>23.928241806385792</c:v>
                </c:pt>
                <c:pt idx="1">
                  <c:v>39.419448202026494</c:v>
                </c:pt>
                <c:pt idx="2">
                  <c:v>43.270779350278417</c:v>
                </c:pt>
                <c:pt idx="3">
                  <c:v>44.941099913297158</c:v>
                </c:pt>
                <c:pt idx="4">
                  <c:v>44.879966749831794</c:v>
                </c:pt>
                <c:pt idx="5">
                  <c:v>45.816232474205201</c:v>
                </c:pt>
                <c:pt idx="6">
                  <c:v>47.552382450278941</c:v>
                </c:pt>
                <c:pt idx="7">
                  <c:v>49.650190540989328</c:v>
                </c:pt>
                <c:pt idx="8">
                  <c:v>50.980184737086688</c:v>
                </c:pt>
                <c:pt idx="9">
                  <c:v>51.74183048597326</c:v>
                </c:pt>
                <c:pt idx="10">
                  <c:v>55.685463631601984</c:v>
                </c:pt>
              </c:numCache>
            </c:numRef>
          </c:val>
          <c:extLst>
            <c:ext xmlns:c16="http://schemas.microsoft.com/office/drawing/2014/chart" uri="{C3380CC4-5D6E-409C-BE32-E72D297353CC}">
              <c16:uniqueId val="{00000003-8755-4AA4-9E66-298E6BCF48CB}"/>
            </c:ext>
          </c:extLst>
        </c:ser>
        <c:ser>
          <c:idx val="0"/>
          <c:order val="1"/>
          <c:tx>
            <c:strRef>
              <c:f>Sheet1!$A$3</c:f>
              <c:strCache>
                <c:ptCount val="1"/>
                <c:pt idx="0">
                  <c:v>Apstrādes rūpniecība</c:v>
                </c:pt>
              </c:strCache>
            </c:strRef>
          </c:tx>
          <c:spPr>
            <a:solidFill>
              <a:srgbClr val="4F81BD"/>
            </a:solidFill>
            <a:ln w="25382">
              <a:noFill/>
            </a:ln>
          </c:spPr>
          <c:invertIfNegative val="0"/>
          <c:dLbls>
            <c:numFmt formatCode="#,##0" sourceLinked="0"/>
            <c:spPr>
              <a:noFill/>
              <a:ln w="25382">
                <a:noFill/>
              </a:ln>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2004</c:v>
                </c:pt>
                <c:pt idx="1">
                  <c:v>2007</c:v>
                </c:pt>
                <c:pt idx="2">
                  <c:v>2013</c:v>
                </c:pt>
                <c:pt idx="3">
                  <c:v>2014</c:v>
                </c:pt>
                <c:pt idx="4">
                  <c:v>2015</c:v>
                </c:pt>
                <c:pt idx="5">
                  <c:v>2016</c:v>
                </c:pt>
                <c:pt idx="6">
                  <c:v>2017</c:v>
                </c:pt>
                <c:pt idx="7">
                  <c:v>2018</c:v>
                </c:pt>
                <c:pt idx="8">
                  <c:v>2019</c:v>
                </c:pt>
                <c:pt idx="9">
                  <c:v>2020</c:v>
                </c:pt>
                <c:pt idx="10">
                  <c:v>2021</c:v>
                </c:pt>
              </c:numCache>
            </c:numRef>
          </c:cat>
          <c:val>
            <c:numRef>
              <c:f>Sheet1!$B$3:$L$3</c:f>
              <c:numCache>
                <c:formatCode>0.0</c:formatCode>
                <c:ptCount val="11"/>
                <c:pt idx="0">
                  <c:v>18.583731603638533</c:v>
                </c:pt>
                <c:pt idx="1">
                  <c:v>27.863554477729345</c:v>
                </c:pt>
                <c:pt idx="2">
                  <c:v>34.470157794119473</c:v>
                </c:pt>
                <c:pt idx="3">
                  <c:v>34.476999703641887</c:v>
                </c:pt>
                <c:pt idx="4">
                  <c:v>33.671561573560524</c:v>
                </c:pt>
                <c:pt idx="5">
                  <c:v>33.043551595163144</c:v>
                </c:pt>
                <c:pt idx="6">
                  <c:v>35.515821655462062</c:v>
                </c:pt>
                <c:pt idx="7">
                  <c:v>37.867557276226371</c:v>
                </c:pt>
                <c:pt idx="8">
                  <c:v>39.164319989858903</c:v>
                </c:pt>
                <c:pt idx="9">
                  <c:v>41.542837721936337</c:v>
                </c:pt>
                <c:pt idx="10">
                  <c:v>43.478794298171373</c:v>
                </c:pt>
              </c:numCache>
            </c:numRef>
          </c:val>
          <c:extLst>
            <c:ext xmlns:c16="http://schemas.microsoft.com/office/drawing/2014/chart" uri="{C3380CC4-5D6E-409C-BE32-E72D297353CC}">
              <c16:uniqueId val="{00000004-8755-4AA4-9E66-298E6BCF48CB}"/>
            </c:ext>
          </c:extLst>
        </c:ser>
        <c:dLbls>
          <c:showLegendKey val="0"/>
          <c:showVal val="0"/>
          <c:showCatName val="0"/>
          <c:showSerName val="0"/>
          <c:showPercent val="0"/>
          <c:showBubbleSize val="0"/>
        </c:dLbls>
        <c:gapWidth val="40"/>
        <c:overlap val="50"/>
        <c:axId val="248097856"/>
        <c:axId val="1"/>
      </c:barChart>
      <c:catAx>
        <c:axId val="248097856"/>
        <c:scaling>
          <c:orientation val="minMax"/>
        </c:scaling>
        <c:delete val="0"/>
        <c:axPos val="b"/>
        <c:numFmt formatCode="General" sourceLinked="1"/>
        <c:majorTickMark val="out"/>
        <c:minorTickMark val="none"/>
        <c:tickLblPos val="low"/>
        <c:spPr>
          <a:noFill/>
          <a:ln w="3173"/>
          <a:effectLst/>
        </c:spPr>
        <c:txPr>
          <a:bodyPr rot="0"/>
          <a:lstStyle/>
          <a:p>
            <a:pPr>
              <a:defRPr/>
            </a:pPr>
            <a:endParaRPr lang="lv-LV"/>
          </a:p>
        </c:txPr>
        <c:crossAx val="1"/>
        <c:crosses val="autoZero"/>
        <c:auto val="0"/>
        <c:lblAlgn val="ctr"/>
        <c:lblOffset val="100"/>
        <c:tickLblSkip val="1"/>
        <c:tickMarkSkip val="1"/>
        <c:noMultiLvlLbl val="1"/>
      </c:catAx>
      <c:valAx>
        <c:axId val="1"/>
        <c:scaling>
          <c:orientation val="minMax"/>
          <c:max val="60"/>
          <c:min val="0"/>
        </c:scaling>
        <c:delete val="0"/>
        <c:axPos val="l"/>
        <c:numFmt formatCode="#,##0" sourceLinked="0"/>
        <c:majorTickMark val="out"/>
        <c:minorTickMark val="none"/>
        <c:tickLblPos val="nextTo"/>
        <c:spPr>
          <a:noFill/>
          <a:ln w="3173"/>
          <a:effectLst/>
        </c:spPr>
        <c:txPr>
          <a:bodyPr rot="0"/>
          <a:lstStyle/>
          <a:p>
            <a:pPr>
              <a:defRPr/>
            </a:pPr>
            <a:endParaRPr lang="lv-LV"/>
          </a:p>
        </c:txPr>
        <c:crossAx val="248097856"/>
        <c:crosses val="autoZero"/>
        <c:crossBetween val="between"/>
        <c:majorUnit val="15"/>
      </c:valAx>
      <c:spPr>
        <a:noFill/>
        <a:ln w="25382">
          <a:noFill/>
        </a:ln>
      </c:spPr>
    </c:plotArea>
    <c:legend>
      <c:legendPos val="r"/>
      <c:layout>
        <c:manualLayout>
          <c:xMode val="edge"/>
          <c:yMode val="edge"/>
          <c:x val="6.8088161165284808E-2"/>
          <c:y val="1.9612783696155628E-2"/>
          <c:w val="0.47221011280874658"/>
          <c:h val="0.13670643418911066"/>
        </c:manualLayout>
      </c:layout>
      <c:overlay val="0"/>
      <c:spPr>
        <a:noFill/>
        <a:ln w="25382">
          <a:noFill/>
        </a:ln>
      </c:spPr>
      <c:txPr>
        <a:bodyPr rot="0" vert="horz"/>
        <a:lstStyle/>
        <a:p>
          <a:pPr>
            <a:defRPr/>
          </a:pPr>
          <a:endParaRPr lang="lv-LV"/>
        </a:p>
      </c:txPr>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lv-LV"/>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091840366701688E-2"/>
          <c:y val="3.5195299205652807E-2"/>
          <c:w val="0.90027589439963907"/>
          <c:h val="0.84752608658407558"/>
        </c:manualLayout>
      </c:layout>
      <c:barChart>
        <c:barDir val="col"/>
        <c:grouping val="clustered"/>
        <c:varyColors val="0"/>
        <c:ser>
          <c:idx val="1"/>
          <c:order val="0"/>
          <c:tx>
            <c:strRef>
              <c:f>Sheet1!$A$2</c:f>
              <c:strCache>
                <c:ptCount val="1"/>
                <c:pt idx="0">
                  <c:v>Tautsaimniecība kopā</c:v>
                </c:pt>
              </c:strCache>
            </c:strRef>
          </c:tx>
          <c:spPr>
            <a:solidFill>
              <a:srgbClr val="9BBB59"/>
            </a:solidFill>
            <a:ln w="25382">
              <a:noFill/>
            </a:ln>
          </c:spPr>
          <c:invertIfNegative val="0"/>
          <c:dPt>
            <c:idx val="0"/>
            <c:invertIfNegative val="0"/>
            <c:bubble3D val="0"/>
            <c:extLst>
              <c:ext xmlns:c16="http://schemas.microsoft.com/office/drawing/2014/chart" uri="{C3380CC4-5D6E-409C-BE32-E72D297353CC}">
                <c16:uniqueId val="{00000000-090B-4B0B-848A-0FE1D9AC5E01}"/>
              </c:ext>
            </c:extLst>
          </c:dPt>
          <c:dPt>
            <c:idx val="23"/>
            <c:invertIfNegative val="0"/>
            <c:bubble3D val="0"/>
            <c:extLst>
              <c:ext xmlns:c16="http://schemas.microsoft.com/office/drawing/2014/chart" uri="{C3380CC4-5D6E-409C-BE32-E72D297353CC}">
                <c16:uniqueId val="{00000001-090B-4B0B-848A-0FE1D9AC5E01}"/>
              </c:ext>
            </c:extLst>
          </c:dPt>
          <c:dPt>
            <c:idx val="25"/>
            <c:invertIfNegative val="0"/>
            <c:bubble3D val="0"/>
            <c:extLst>
              <c:ext xmlns:c16="http://schemas.microsoft.com/office/drawing/2014/chart" uri="{C3380CC4-5D6E-409C-BE32-E72D297353CC}">
                <c16:uniqueId val="{00000002-090B-4B0B-848A-0FE1D9AC5E01}"/>
              </c:ext>
            </c:extLst>
          </c:dPt>
          <c:dLbls>
            <c:numFmt formatCode="#,##0" sourceLinked="0"/>
            <c:spPr>
              <a:noFill/>
              <a:ln w="25382">
                <a:noFill/>
              </a:ln>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2004</c:v>
                </c:pt>
                <c:pt idx="1">
                  <c:v>2007</c:v>
                </c:pt>
                <c:pt idx="2">
                  <c:v>2013</c:v>
                </c:pt>
                <c:pt idx="3">
                  <c:v>2014</c:v>
                </c:pt>
                <c:pt idx="4">
                  <c:v>2015</c:v>
                </c:pt>
                <c:pt idx="5">
                  <c:v>2016</c:v>
                </c:pt>
                <c:pt idx="6">
                  <c:v>2017</c:v>
                </c:pt>
                <c:pt idx="7">
                  <c:v>2018</c:v>
                </c:pt>
                <c:pt idx="8">
                  <c:v>2019</c:v>
                </c:pt>
                <c:pt idx="9">
                  <c:v>2020</c:v>
                </c:pt>
                <c:pt idx="10">
                  <c:v>2021</c:v>
                </c:pt>
              </c:numCache>
            </c:numRef>
          </c:cat>
          <c:val>
            <c:numRef>
              <c:f>Sheet1!$B$2:$L$2</c:f>
              <c:numCache>
                <c:formatCode>0.0</c:formatCode>
                <c:ptCount val="11"/>
                <c:pt idx="0">
                  <c:v>16.631833554765812</c:v>
                </c:pt>
                <c:pt idx="1">
                  <c:v>35.974947685312401</c:v>
                </c:pt>
                <c:pt idx="2">
                  <c:v>36.154948102579368</c:v>
                </c:pt>
                <c:pt idx="3">
                  <c:v>38.754752055343175</c:v>
                </c:pt>
                <c:pt idx="4">
                  <c:v>41.130228462507333</c:v>
                </c:pt>
                <c:pt idx="5">
                  <c:v>43.520863042076989</c:v>
                </c:pt>
                <c:pt idx="6">
                  <c:v>45.835816161761329</c:v>
                </c:pt>
                <c:pt idx="7">
                  <c:v>48.355403891077124</c:v>
                </c:pt>
                <c:pt idx="8">
                  <c:v>50.895787300390758</c:v>
                </c:pt>
                <c:pt idx="9">
                  <c:v>53.901636870487067</c:v>
                </c:pt>
                <c:pt idx="10">
                  <c:v>57.37491790991097</c:v>
                </c:pt>
              </c:numCache>
            </c:numRef>
          </c:val>
          <c:extLst>
            <c:ext xmlns:c16="http://schemas.microsoft.com/office/drawing/2014/chart" uri="{C3380CC4-5D6E-409C-BE32-E72D297353CC}">
              <c16:uniqueId val="{00000003-090B-4B0B-848A-0FE1D9AC5E01}"/>
            </c:ext>
          </c:extLst>
        </c:ser>
        <c:ser>
          <c:idx val="0"/>
          <c:order val="1"/>
          <c:tx>
            <c:strRef>
              <c:f>Sheet1!$A$3</c:f>
              <c:strCache>
                <c:ptCount val="1"/>
                <c:pt idx="0">
                  <c:v>Apstrādes rūpniecība</c:v>
                </c:pt>
              </c:strCache>
            </c:strRef>
          </c:tx>
          <c:spPr>
            <a:solidFill>
              <a:srgbClr val="4F81BD"/>
            </a:solidFill>
            <a:ln w="25382">
              <a:noFill/>
            </a:ln>
          </c:spPr>
          <c:invertIfNegative val="0"/>
          <c:dLbls>
            <c:numFmt formatCode="#,##0" sourceLinked="0"/>
            <c:spPr>
              <a:noFill/>
              <a:ln w="25382">
                <a:noFill/>
              </a:ln>
            </c:spPr>
            <c:txPr>
              <a:bodyPr rot="0" vert="horz"/>
              <a:lstStyle/>
              <a:p>
                <a:pPr>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2004</c:v>
                </c:pt>
                <c:pt idx="1">
                  <c:v>2007</c:v>
                </c:pt>
                <c:pt idx="2">
                  <c:v>2013</c:v>
                </c:pt>
                <c:pt idx="3">
                  <c:v>2014</c:v>
                </c:pt>
                <c:pt idx="4">
                  <c:v>2015</c:v>
                </c:pt>
                <c:pt idx="5">
                  <c:v>2016</c:v>
                </c:pt>
                <c:pt idx="6">
                  <c:v>2017</c:v>
                </c:pt>
                <c:pt idx="7">
                  <c:v>2018</c:v>
                </c:pt>
                <c:pt idx="8">
                  <c:v>2019</c:v>
                </c:pt>
                <c:pt idx="9">
                  <c:v>2020</c:v>
                </c:pt>
                <c:pt idx="10">
                  <c:v>2021</c:v>
                </c:pt>
              </c:numCache>
            </c:numRef>
          </c:cat>
          <c:val>
            <c:numRef>
              <c:f>Sheet1!$B$3:$L$3</c:f>
              <c:numCache>
                <c:formatCode>0.0</c:formatCode>
                <c:ptCount val="11"/>
                <c:pt idx="0">
                  <c:v>14.044901437606539</c:v>
                </c:pt>
                <c:pt idx="1">
                  <c:v>27.035833141568137</c:v>
                </c:pt>
                <c:pt idx="2">
                  <c:v>28.63616298599332</c:v>
                </c:pt>
                <c:pt idx="3">
                  <c:v>30.79058842168736</c:v>
                </c:pt>
                <c:pt idx="4">
                  <c:v>32.840615641346652</c:v>
                </c:pt>
                <c:pt idx="5">
                  <c:v>34.684061520532929</c:v>
                </c:pt>
                <c:pt idx="6">
                  <c:v>37.007174339707824</c:v>
                </c:pt>
                <c:pt idx="7">
                  <c:v>39.768092773629341</c:v>
                </c:pt>
                <c:pt idx="8">
                  <c:v>42.167520115656281</c:v>
                </c:pt>
                <c:pt idx="9">
                  <c:v>45.216854916802227</c:v>
                </c:pt>
                <c:pt idx="10">
                  <c:v>46.290846774240556</c:v>
                </c:pt>
              </c:numCache>
            </c:numRef>
          </c:val>
          <c:extLst>
            <c:ext xmlns:c16="http://schemas.microsoft.com/office/drawing/2014/chart" uri="{C3380CC4-5D6E-409C-BE32-E72D297353CC}">
              <c16:uniqueId val="{00000004-090B-4B0B-848A-0FE1D9AC5E01}"/>
            </c:ext>
          </c:extLst>
        </c:ser>
        <c:dLbls>
          <c:showLegendKey val="0"/>
          <c:showVal val="0"/>
          <c:showCatName val="0"/>
          <c:showSerName val="0"/>
          <c:showPercent val="0"/>
          <c:showBubbleSize val="0"/>
        </c:dLbls>
        <c:gapWidth val="40"/>
        <c:overlap val="50"/>
        <c:axId val="203775232"/>
        <c:axId val="1"/>
      </c:barChart>
      <c:catAx>
        <c:axId val="203775232"/>
        <c:scaling>
          <c:orientation val="minMax"/>
        </c:scaling>
        <c:delete val="0"/>
        <c:axPos val="b"/>
        <c:numFmt formatCode="General" sourceLinked="1"/>
        <c:majorTickMark val="out"/>
        <c:minorTickMark val="none"/>
        <c:tickLblPos val="low"/>
        <c:spPr>
          <a:noFill/>
          <a:ln w="3173"/>
          <a:effectLst/>
        </c:spPr>
        <c:txPr>
          <a:bodyPr rot="0"/>
          <a:lstStyle/>
          <a:p>
            <a:pPr>
              <a:defRPr/>
            </a:pPr>
            <a:endParaRPr lang="lv-LV"/>
          </a:p>
        </c:txPr>
        <c:crossAx val="1"/>
        <c:crosses val="autoZero"/>
        <c:auto val="0"/>
        <c:lblAlgn val="ctr"/>
        <c:lblOffset val="100"/>
        <c:tickLblSkip val="1"/>
        <c:tickMarkSkip val="1"/>
        <c:noMultiLvlLbl val="1"/>
      </c:catAx>
      <c:valAx>
        <c:axId val="1"/>
        <c:scaling>
          <c:orientation val="minMax"/>
          <c:max val="60"/>
          <c:min val="0"/>
        </c:scaling>
        <c:delete val="0"/>
        <c:axPos val="l"/>
        <c:numFmt formatCode="#,##0" sourceLinked="0"/>
        <c:majorTickMark val="out"/>
        <c:minorTickMark val="none"/>
        <c:tickLblPos val="nextTo"/>
        <c:spPr>
          <a:noFill/>
          <a:ln w="3173"/>
          <a:effectLst/>
        </c:spPr>
        <c:txPr>
          <a:bodyPr rot="0"/>
          <a:lstStyle/>
          <a:p>
            <a:pPr>
              <a:defRPr/>
            </a:pPr>
            <a:endParaRPr lang="lv-LV"/>
          </a:p>
        </c:txPr>
        <c:crossAx val="203775232"/>
        <c:crosses val="autoZero"/>
        <c:crossBetween val="between"/>
        <c:majorUnit val="15"/>
      </c:valAx>
      <c:spPr>
        <a:noFill/>
        <a:ln w="25382">
          <a:noFill/>
        </a:ln>
      </c:spPr>
    </c:plotArea>
    <c:legend>
      <c:legendPos val="r"/>
      <c:layout>
        <c:manualLayout>
          <c:xMode val="edge"/>
          <c:yMode val="edge"/>
          <c:x val="9.4646363037219461E-2"/>
          <c:y val="2.5495599814729038E-2"/>
          <c:w val="0.41095424745915571"/>
          <c:h val="0.16023390458545622"/>
        </c:manualLayout>
      </c:layout>
      <c:overlay val="0"/>
      <c:spPr>
        <a:noFill/>
        <a:ln w="25382">
          <a:noFill/>
        </a:ln>
      </c:spPr>
      <c:txPr>
        <a:bodyPr rot="0" vert="horz"/>
        <a:lstStyle/>
        <a:p>
          <a:pPr>
            <a:defRPr/>
          </a:pPr>
          <a:endParaRPr lang="lv-LV"/>
        </a:p>
      </c:txPr>
    </c:legend>
    <c:plotVisOnly val="1"/>
    <c:dispBlanksAs val="gap"/>
    <c:showDLblsOverMax val="0"/>
  </c:chart>
  <c:spPr>
    <a:noFill/>
    <a:ln>
      <a:noFill/>
    </a:ln>
  </c:spPr>
  <c:txPr>
    <a:bodyPr/>
    <a:lstStyle/>
    <a:p>
      <a:pPr>
        <a:defRPr sz="799" b="0" i="0" u="none" strike="noStrike" baseline="0">
          <a:solidFill>
            <a:srgbClr val="000000"/>
          </a:solidFill>
          <a:latin typeface="Segoe UI Light" panose="020B0502040204020203" pitchFamily="34" charset="0"/>
          <a:ea typeface="Garamond"/>
          <a:cs typeface="Segoe UI Light" panose="020B0502040204020203" pitchFamily="34" charset="0"/>
        </a:defRPr>
      </a:pPr>
      <a:endParaRPr lang="lv-LV"/>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0163759523004"/>
          <c:y val="0.12815453071573238"/>
          <c:w val="0.74950238665473801"/>
          <c:h val="0.74950238665473801"/>
        </c:manualLayout>
      </c:layout>
      <c:pieChart>
        <c:varyColors val="1"/>
        <c:ser>
          <c:idx val="0"/>
          <c:order val="0"/>
          <c:tx>
            <c:strRef>
              <c:f>Sheet1!$B$1</c:f>
              <c:strCache>
                <c:ptCount val="1"/>
                <c:pt idx="0">
                  <c:v>Column1</c:v>
                </c:pt>
              </c:strCache>
            </c:strRef>
          </c:tx>
          <c:dPt>
            <c:idx val="0"/>
            <c:bubble3D val="0"/>
            <c:extLst>
              <c:ext xmlns:c16="http://schemas.microsoft.com/office/drawing/2014/chart" uri="{C3380CC4-5D6E-409C-BE32-E72D297353CC}">
                <c16:uniqueId val="{00000000-9897-46DE-BA28-42C44512744F}"/>
              </c:ext>
            </c:extLst>
          </c:dPt>
          <c:dPt>
            <c:idx val="1"/>
            <c:bubble3D val="0"/>
            <c:extLst>
              <c:ext xmlns:c16="http://schemas.microsoft.com/office/drawing/2014/chart" uri="{C3380CC4-5D6E-409C-BE32-E72D297353CC}">
                <c16:uniqueId val="{00000001-9897-46DE-BA28-42C44512744F}"/>
              </c:ext>
            </c:extLst>
          </c:dPt>
          <c:dPt>
            <c:idx val="2"/>
            <c:bubble3D val="0"/>
            <c:extLst>
              <c:ext xmlns:c16="http://schemas.microsoft.com/office/drawing/2014/chart" uri="{C3380CC4-5D6E-409C-BE32-E72D297353CC}">
                <c16:uniqueId val="{00000002-9897-46DE-BA28-42C44512744F}"/>
              </c:ext>
            </c:extLst>
          </c:dPt>
          <c:dPt>
            <c:idx val="3"/>
            <c:bubble3D val="0"/>
            <c:extLst>
              <c:ext xmlns:c16="http://schemas.microsoft.com/office/drawing/2014/chart" uri="{C3380CC4-5D6E-409C-BE32-E72D297353CC}">
                <c16:uniqueId val="{00000003-9897-46DE-BA28-42C44512744F}"/>
              </c:ext>
            </c:extLst>
          </c:dPt>
          <c:dPt>
            <c:idx val="4"/>
            <c:bubble3D val="0"/>
            <c:extLst>
              <c:ext xmlns:c16="http://schemas.microsoft.com/office/drawing/2014/chart" uri="{C3380CC4-5D6E-409C-BE32-E72D297353CC}">
                <c16:uniqueId val="{00000004-9897-46DE-BA28-42C44512744F}"/>
              </c:ext>
            </c:extLst>
          </c:dPt>
          <c:dLbls>
            <c:dLbl>
              <c:idx val="0"/>
              <c:numFmt formatCode="General" sourceLinked="0"/>
              <c:spPr/>
              <c:txPr>
                <a:bodyPr/>
                <a:lstStyle/>
                <a:p>
                  <a:pPr>
                    <a:defRPr/>
                  </a:pPr>
                  <a:endParaRPr lang="lv-LV"/>
                </a:p>
              </c:txPr>
              <c:dLblPos val="inEnd"/>
              <c:showLegendKey val="0"/>
              <c:showVal val="0"/>
              <c:showCatName val="0"/>
              <c:showSerName val="0"/>
              <c:showPercent val="1"/>
              <c:showBubbleSize val="0"/>
              <c:extLst>
                <c:ext xmlns:c16="http://schemas.microsoft.com/office/drawing/2014/chart" uri="{C3380CC4-5D6E-409C-BE32-E72D297353CC}">
                  <c16:uniqueId val="{00000000-9897-46DE-BA28-42C44512744F}"/>
                </c:ext>
              </c:extLst>
            </c:dLbl>
            <c:numFmt formatCode="General" sourceLinked="0"/>
            <c:spPr>
              <a:noFill/>
              <a:ln>
                <a:noFill/>
              </a:ln>
              <a:effectLst/>
            </c:sp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Sheet1!$A$2:$A$9</c:f>
              <c:strCache>
                <c:ptCount val="8"/>
                <c:pt idx="0">
                  <c:v>Lauksaimniecība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0.00</c:formatCode>
                <c:ptCount val="8"/>
                <c:pt idx="0">
                  <c:v>8.616433525332079</c:v>
                </c:pt>
                <c:pt idx="1">
                  <c:v>13.189138356647467</c:v>
                </c:pt>
                <c:pt idx="2">
                  <c:v>3.1033266721523449</c:v>
                </c:pt>
                <c:pt idx="3">
                  <c:v>6.7708945574232988</c:v>
                </c:pt>
                <c:pt idx="4">
                  <c:v>19.043140942753027</c:v>
                </c:pt>
                <c:pt idx="5">
                  <c:v>8.3930880451392973</c:v>
                </c:pt>
                <c:pt idx="6">
                  <c:v>18.067473845068765</c:v>
                </c:pt>
                <c:pt idx="7">
                  <c:v>22.769483954390498</c:v>
                </c:pt>
              </c:numCache>
            </c:numRef>
          </c:val>
          <c:extLst>
            <c:ext xmlns:c16="http://schemas.microsoft.com/office/drawing/2014/chart" uri="{C3380CC4-5D6E-409C-BE32-E72D297353CC}">
              <c16:uniqueId val="{00000005-9897-46DE-BA28-42C44512744F}"/>
            </c:ext>
          </c:extLst>
        </c:ser>
        <c:dLbls>
          <c:dLblPos val="ctr"/>
          <c:showLegendKey val="0"/>
          <c:showVal val="1"/>
          <c:showCatName val="0"/>
          <c:showSerName val="0"/>
          <c:showPercent val="0"/>
          <c:showBubbleSize val="0"/>
          <c:showLeaderLines val="0"/>
        </c:dLbls>
        <c:firstSliceAng val="0"/>
      </c:pieChart>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55091407618713"/>
          <c:y val="0.3733233118587449"/>
          <c:w val="2.5058127039331007E-2"/>
          <c:h val="3.6710421800122614E-2"/>
        </c:manualLayout>
      </c:layout>
      <c:pieChart>
        <c:varyColors val="1"/>
        <c:ser>
          <c:idx val="0"/>
          <c:order val="0"/>
          <c:tx>
            <c:strRef>
              <c:f>Sheet1!$B$1</c:f>
              <c:strCache>
                <c:ptCount val="1"/>
                <c:pt idx="0">
                  <c:v>Column1</c:v>
                </c:pt>
              </c:strCache>
            </c:strRef>
          </c:tx>
          <c:explosion val="8"/>
          <c:dPt>
            <c:idx val="0"/>
            <c:bubble3D val="0"/>
            <c:extLst>
              <c:ext xmlns:c16="http://schemas.microsoft.com/office/drawing/2014/chart" uri="{C3380CC4-5D6E-409C-BE32-E72D297353CC}">
                <c16:uniqueId val="{00000000-E24D-4B09-9777-2F5F9B395910}"/>
              </c:ext>
            </c:extLst>
          </c:dPt>
          <c:dPt>
            <c:idx val="1"/>
            <c:bubble3D val="0"/>
            <c:extLst>
              <c:ext xmlns:c16="http://schemas.microsoft.com/office/drawing/2014/chart" uri="{C3380CC4-5D6E-409C-BE32-E72D297353CC}">
                <c16:uniqueId val="{00000001-E24D-4B09-9777-2F5F9B395910}"/>
              </c:ext>
            </c:extLst>
          </c:dPt>
          <c:dPt>
            <c:idx val="2"/>
            <c:bubble3D val="0"/>
            <c:extLst>
              <c:ext xmlns:c16="http://schemas.microsoft.com/office/drawing/2014/chart" uri="{C3380CC4-5D6E-409C-BE32-E72D297353CC}">
                <c16:uniqueId val="{00000002-E24D-4B09-9777-2F5F9B395910}"/>
              </c:ext>
            </c:extLst>
          </c:dPt>
          <c:dPt>
            <c:idx val="3"/>
            <c:bubble3D val="0"/>
            <c:extLst>
              <c:ext xmlns:c16="http://schemas.microsoft.com/office/drawing/2014/chart" uri="{C3380CC4-5D6E-409C-BE32-E72D297353CC}">
                <c16:uniqueId val="{00000003-E24D-4B09-9777-2F5F9B395910}"/>
              </c:ext>
            </c:extLst>
          </c:dPt>
          <c:dPt>
            <c:idx val="4"/>
            <c:bubble3D val="0"/>
            <c:extLst>
              <c:ext xmlns:c16="http://schemas.microsoft.com/office/drawing/2014/chart" uri="{C3380CC4-5D6E-409C-BE32-E72D297353CC}">
                <c16:uniqueId val="{00000004-E24D-4B09-9777-2F5F9B395910}"/>
              </c:ext>
            </c:extLst>
          </c:dPt>
          <c:dLbls>
            <c:delete val="1"/>
          </c:dLbls>
          <c:cat>
            <c:strRef>
              <c:f>Sheet1!$A$2:$A$9</c:f>
              <c:strCache>
                <c:ptCount val="8"/>
                <c:pt idx="0">
                  <c:v>Lauksaimniecība, mežsaimniecība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c:formatCode>
                <c:ptCount val="8"/>
                <c:pt idx="0">
                  <c:v>8.0477866050273761</c:v>
                </c:pt>
                <c:pt idx="1">
                  <c:v>14.060341288308919</c:v>
                </c:pt>
                <c:pt idx="2">
                  <c:v>2.3088731785982244</c:v>
                </c:pt>
                <c:pt idx="3">
                  <c:v>7.5275753277516912</c:v>
                </c:pt>
                <c:pt idx="4">
                  <c:v>17.892382332053046</c:v>
                </c:pt>
                <c:pt idx="5">
                  <c:v>8.6519872250561161</c:v>
                </c:pt>
                <c:pt idx="6">
                  <c:v>18.730681253501494</c:v>
                </c:pt>
                <c:pt idx="7">
                  <c:v>22.78037278970314</c:v>
                </c:pt>
              </c:numCache>
            </c:numRef>
          </c:val>
          <c:extLst>
            <c:ext xmlns:c16="http://schemas.microsoft.com/office/drawing/2014/chart" uri="{C3380CC4-5D6E-409C-BE32-E72D297353CC}">
              <c16:uniqueId val="{00000005-E24D-4B09-9777-2F5F9B395910}"/>
            </c:ext>
          </c:extLst>
        </c:ser>
        <c:dLbls>
          <c:dLblPos val="ctr"/>
          <c:showLegendKey val="0"/>
          <c:showVal val="1"/>
          <c:showCatName val="0"/>
          <c:showSerName val="0"/>
          <c:showPercent val="0"/>
          <c:showBubbleSize val="0"/>
          <c:showLeaderLines val="1"/>
        </c:dLbls>
        <c:firstSliceAng val="0"/>
      </c:pieChart>
    </c:plotArea>
    <c:legend>
      <c:legendPos val="r"/>
      <c:layout>
        <c:manualLayout>
          <c:xMode val="edge"/>
          <c:yMode val="edge"/>
          <c:x val="2.4233216713401371E-3"/>
          <c:y val="2.65344412964485E-2"/>
          <c:w val="0.99385870154660416"/>
          <c:h val="0.93896910265798728"/>
        </c:manualLayout>
      </c:layout>
      <c:overlay val="0"/>
      <c:spPr>
        <a:solidFill>
          <a:schemeClr val="bg1"/>
        </a:solidFill>
      </c:spPr>
    </c:legend>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32117569481219E-2"/>
          <c:y val="4.0999075784612704E-2"/>
          <c:w val="0.89390847899798576"/>
          <c:h val="0.79089403697508875"/>
        </c:manualLayout>
      </c:layout>
      <c:barChart>
        <c:barDir val="col"/>
        <c:grouping val="clustered"/>
        <c:varyColors val="0"/>
        <c:ser>
          <c:idx val="0"/>
          <c:order val="0"/>
          <c:tx>
            <c:strRef>
              <c:f>Sheet1!$B$1</c:f>
              <c:strCache>
                <c:ptCount val="1"/>
                <c:pt idx="0">
                  <c:v>2019</c:v>
                </c:pt>
              </c:strCache>
            </c:strRef>
          </c:tx>
          <c:spPr>
            <a:solidFill>
              <a:schemeClr val="accent6">
                <a:lumMod val="75000"/>
              </a:schemeClr>
            </a:solidFill>
            <a:ln>
              <a:noFill/>
            </a:ln>
          </c:spPr>
          <c:invertIfNegative val="0"/>
          <c:dPt>
            <c:idx val="5"/>
            <c:invertIfNegative val="0"/>
            <c:bubble3D val="0"/>
            <c:extLst>
              <c:ext xmlns:c16="http://schemas.microsoft.com/office/drawing/2014/chart" uri="{C3380CC4-5D6E-409C-BE32-E72D297353CC}">
                <c16:uniqueId val="{00000000-6F1D-459F-A8C1-AF9AAE952D23}"/>
              </c:ext>
            </c:extLst>
          </c:dPt>
          <c:dPt>
            <c:idx val="7"/>
            <c:invertIfNegative val="0"/>
            <c:bubble3D val="0"/>
            <c:extLst>
              <c:ext xmlns:c16="http://schemas.microsoft.com/office/drawing/2014/chart" uri="{C3380CC4-5D6E-409C-BE32-E72D297353CC}">
                <c16:uniqueId val="{00000001-6F1D-459F-A8C1-AF9AAE952D23}"/>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1D-459F-A8C1-AF9AAE952D23}"/>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1D-459F-A8C1-AF9AAE952D23}"/>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1D-459F-A8C1-AF9AAE952D23}"/>
                </c:ext>
              </c:extLst>
            </c:dLbl>
            <c:dLbl>
              <c:idx val="5"/>
              <c:layout>
                <c:manualLayout>
                  <c:x val="-8.0869526014771903E-17"/>
                  <c:y val="2.50868253324368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1D-459F-A8C1-AF9AAE952D23}"/>
                </c:ext>
              </c:extLst>
            </c:dLbl>
            <c:spPr>
              <a:noFill/>
              <a:ln>
                <a:noFill/>
              </a:ln>
              <a:effectLst/>
            </c:spPr>
            <c:txPr>
              <a:bodyPr wrap="square" lIns="38100" tIns="19050" rIns="38100" bIns="19050" anchor="ctr">
                <a:spAutoFit/>
              </a:bodyPr>
              <a:lstStyle/>
              <a:p>
                <a:pPr>
                  <a:defRPr sz="800"/>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6"/>
                <c:pt idx="0">
                  <c:v>2016</c:v>
                </c:pt>
                <c:pt idx="1">
                  <c:v>2017</c:v>
                </c:pt>
                <c:pt idx="2">
                  <c:v>2018</c:v>
                </c:pt>
                <c:pt idx="3">
                  <c:v>2019</c:v>
                </c:pt>
                <c:pt idx="4">
                  <c:v>2020</c:v>
                </c:pt>
                <c:pt idx="5">
                  <c:v>2021</c:v>
                </c:pt>
              </c:numCache>
            </c:numRef>
          </c:cat>
          <c:val>
            <c:numRef>
              <c:f>Sheet1!$B$2:$B$9</c:f>
              <c:numCache>
                <c:formatCode>0.0</c:formatCode>
                <c:ptCount val="6"/>
                <c:pt idx="0">
                  <c:v>3.4</c:v>
                </c:pt>
                <c:pt idx="1">
                  <c:v>2.9</c:v>
                </c:pt>
                <c:pt idx="2">
                  <c:v>3</c:v>
                </c:pt>
                <c:pt idx="3">
                  <c:v>0.2</c:v>
                </c:pt>
                <c:pt idx="4">
                  <c:v>-7.4</c:v>
                </c:pt>
                <c:pt idx="5">
                  <c:v>4.8</c:v>
                </c:pt>
              </c:numCache>
            </c:numRef>
          </c:val>
          <c:extLst>
            <c:ext xmlns:c16="http://schemas.microsoft.com/office/drawing/2014/chart" uri="{C3380CC4-5D6E-409C-BE32-E72D297353CC}">
              <c16:uniqueId val="{00000005-6F1D-459F-A8C1-AF9AAE952D23}"/>
            </c:ext>
          </c:extLst>
        </c:ser>
        <c:dLbls>
          <c:dLblPos val="outEnd"/>
          <c:showLegendKey val="0"/>
          <c:showVal val="1"/>
          <c:showCatName val="0"/>
          <c:showSerName val="0"/>
          <c:showPercent val="0"/>
          <c:showBubbleSize val="0"/>
        </c:dLbls>
        <c:gapWidth val="30"/>
        <c:axId val="742135368"/>
        <c:axId val="742124392"/>
      </c:barChart>
      <c:catAx>
        <c:axId val="742135368"/>
        <c:scaling>
          <c:orientation val="minMax"/>
        </c:scaling>
        <c:delete val="0"/>
        <c:axPos val="b"/>
        <c:numFmt formatCode="General" sourceLinked="1"/>
        <c:majorTickMark val="out"/>
        <c:minorTickMark val="none"/>
        <c:tickLblPos val="low"/>
        <c:txPr>
          <a:bodyPr rot="-5400000" vert="horz"/>
          <a:lstStyle/>
          <a:p>
            <a:pPr>
              <a:defRPr/>
            </a:pPr>
            <a:endParaRPr lang="lv-LV"/>
          </a:p>
        </c:txPr>
        <c:crossAx val="742124392"/>
        <c:crosses val="autoZero"/>
        <c:auto val="1"/>
        <c:lblAlgn val="ctr"/>
        <c:lblOffset val="0"/>
        <c:noMultiLvlLbl val="0"/>
      </c:catAx>
      <c:valAx>
        <c:axId val="742124392"/>
        <c:scaling>
          <c:orientation val="minMax"/>
        </c:scaling>
        <c:delete val="1"/>
        <c:axPos val="l"/>
        <c:numFmt formatCode="0" sourceLinked="0"/>
        <c:majorTickMark val="out"/>
        <c:minorTickMark val="none"/>
        <c:tickLblPos val="nextTo"/>
        <c:crossAx val="742135368"/>
        <c:crosses val="autoZero"/>
        <c:crossBetween val="between"/>
        <c:majorUnit val="2"/>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79039114464962"/>
          <c:y val="0.12815453071573238"/>
          <c:w val="0.80358081563022687"/>
          <c:h val="0.75334532028910117"/>
        </c:manualLayout>
      </c:layout>
      <c:pieChart>
        <c:varyColors val="1"/>
        <c:ser>
          <c:idx val="0"/>
          <c:order val="0"/>
          <c:tx>
            <c:strRef>
              <c:f>Sheet1!$B$1</c:f>
              <c:strCache>
                <c:ptCount val="1"/>
                <c:pt idx="0">
                  <c:v>Column1</c:v>
                </c:pt>
              </c:strCache>
            </c:strRef>
          </c:tx>
          <c:dPt>
            <c:idx val="0"/>
            <c:bubble3D val="0"/>
            <c:extLst>
              <c:ext xmlns:c16="http://schemas.microsoft.com/office/drawing/2014/chart" uri="{C3380CC4-5D6E-409C-BE32-E72D297353CC}">
                <c16:uniqueId val="{00000000-50A1-4DD3-A3E4-7E042DE7AB44}"/>
              </c:ext>
            </c:extLst>
          </c:dPt>
          <c:dPt>
            <c:idx val="1"/>
            <c:bubble3D val="0"/>
            <c:extLst>
              <c:ext xmlns:c16="http://schemas.microsoft.com/office/drawing/2014/chart" uri="{C3380CC4-5D6E-409C-BE32-E72D297353CC}">
                <c16:uniqueId val="{00000001-50A1-4DD3-A3E4-7E042DE7AB44}"/>
              </c:ext>
            </c:extLst>
          </c:dPt>
          <c:dPt>
            <c:idx val="2"/>
            <c:bubble3D val="0"/>
            <c:extLst>
              <c:ext xmlns:c16="http://schemas.microsoft.com/office/drawing/2014/chart" uri="{C3380CC4-5D6E-409C-BE32-E72D297353CC}">
                <c16:uniqueId val="{00000002-50A1-4DD3-A3E4-7E042DE7AB44}"/>
              </c:ext>
            </c:extLst>
          </c:dPt>
          <c:dPt>
            <c:idx val="3"/>
            <c:bubble3D val="0"/>
            <c:extLst>
              <c:ext xmlns:c16="http://schemas.microsoft.com/office/drawing/2014/chart" uri="{C3380CC4-5D6E-409C-BE32-E72D297353CC}">
                <c16:uniqueId val="{00000003-50A1-4DD3-A3E4-7E042DE7AB44}"/>
              </c:ext>
            </c:extLst>
          </c:dPt>
          <c:dPt>
            <c:idx val="4"/>
            <c:bubble3D val="0"/>
            <c:extLst>
              <c:ext xmlns:c16="http://schemas.microsoft.com/office/drawing/2014/chart" uri="{C3380CC4-5D6E-409C-BE32-E72D297353CC}">
                <c16:uniqueId val="{00000004-50A1-4DD3-A3E4-7E042DE7AB44}"/>
              </c:ext>
            </c:extLst>
          </c:dPt>
          <c:dLbls>
            <c:dLbl>
              <c:idx val="0"/>
              <c:numFmt formatCode="General" sourceLinked="0"/>
              <c:spPr/>
              <c:txPr>
                <a:bodyPr/>
                <a:lstStyle/>
                <a:p>
                  <a:pPr>
                    <a:defRPr/>
                  </a:pPr>
                  <a:endParaRPr lang="lv-LV"/>
                </a:p>
              </c:txPr>
              <c:dLblPos val="inEnd"/>
              <c:showLegendKey val="0"/>
              <c:showVal val="0"/>
              <c:showCatName val="0"/>
              <c:showSerName val="0"/>
              <c:showPercent val="1"/>
              <c:showBubbleSize val="0"/>
              <c:extLst>
                <c:ext xmlns:c16="http://schemas.microsoft.com/office/drawing/2014/chart" uri="{C3380CC4-5D6E-409C-BE32-E72D297353CC}">
                  <c16:uniqueId val="{00000000-50A1-4DD3-A3E4-7E042DE7AB44}"/>
                </c:ext>
              </c:extLst>
            </c:dLbl>
            <c:dLbl>
              <c:idx val="7"/>
              <c:tx>
                <c:rich>
                  <a:bodyPr/>
                  <a:lstStyle/>
                  <a:p>
                    <a:r>
                      <a:rPr lang="en-US"/>
                      <a:t>24%</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0A1-4DD3-A3E4-7E042DE7AB44}"/>
                </c:ext>
              </c:extLst>
            </c:dLbl>
            <c:numFmt formatCode="General" sourceLinked="0"/>
            <c:spPr>
              <a:noFill/>
              <a:ln>
                <a:noFill/>
              </a:ln>
              <a:effectLst/>
            </c:sp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Sheet1!$A$2:$A$9</c:f>
              <c:strCache>
                <c:ptCount val="8"/>
                <c:pt idx="0">
                  <c:v>Lauksaimniecība</c:v>
                </c:pt>
                <c:pt idx="1">
                  <c:v>Apstrādes rūpniecība</c:v>
                </c:pt>
                <c:pt idx="2">
                  <c:v>Pārējā rūpniecība</c:v>
                </c:pt>
                <c:pt idx="3">
                  <c:v>Būvniecība</c:v>
                </c:pt>
                <c:pt idx="4">
                  <c:v>Tirdzniecība, izmitināšana</c:v>
                </c:pt>
                <c:pt idx="5">
                  <c:v>Transports un uzglabāšana</c:v>
                </c:pt>
                <c:pt idx="6">
                  <c:v>Citi komercpakalpojumi</c:v>
                </c:pt>
                <c:pt idx="7">
                  <c:v>Sabiedriskie pakalpojumi</c:v>
                </c:pt>
              </c:strCache>
            </c:strRef>
          </c:cat>
          <c:val>
            <c:numRef>
              <c:f>Sheet1!$B$2:$B$9</c:f>
              <c:numCache>
                <c:formatCode>0.00</c:formatCode>
                <c:ptCount val="8"/>
                <c:pt idx="0">
                  <c:v>7</c:v>
                </c:pt>
                <c:pt idx="1">
                  <c:v>13</c:v>
                </c:pt>
                <c:pt idx="2">
                  <c:v>3</c:v>
                </c:pt>
                <c:pt idx="3">
                  <c:v>8</c:v>
                </c:pt>
                <c:pt idx="4">
                  <c:v>18</c:v>
                </c:pt>
                <c:pt idx="5">
                  <c:v>8</c:v>
                </c:pt>
                <c:pt idx="6">
                  <c:v>20</c:v>
                </c:pt>
                <c:pt idx="7">
                  <c:v>24</c:v>
                </c:pt>
              </c:numCache>
            </c:numRef>
          </c:val>
          <c:extLst>
            <c:ext xmlns:c16="http://schemas.microsoft.com/office/drawing/2014/chart" uri="{C3380CC4-5D6E-409C-BE32-E72D297353CC}">
              <c16:uniqueId val="{00000006-50A1-4DD3-A3E4-7E042DE7AB44}"/>
            </c:ext>
          </c:extLst>
        </c:ser>
        <c:dLbls>
          <c:dLblPos val="ctr"/>
          <c:showLegendKey val="0"/>
          <c:showVal val="1"/>
          <c:showCatName val="0"/>
          <c:showSerName val="0"/>
          <c:showPercent val="0"/>
          <c:showBubbleSize val="0"/>
          <c:showLeaderLines val="0"/>
        </c:dLbls>
        <c:firstSliceAng val="0"/>
      </c:pieChart>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Segoe UI Light" panose="020B0502040204020203" pitchFamily="34" charset="0"/>
                <a:ea typeface="+mn-ea"/>
                <a:cs typeface="Segoe UI Light" panose="020B0502040204020203" pitchFamily="34" charset="0"/>
              </a:defRPr>
            </a:pPr>
            <a:r>
              <a:rPr lang="lv-LV" sz="800" b="1">
                <a:solidFill>
                  <a:schemeClr val="tx1"/>
                </a:solidFill>
              </a:rPr>
              <a:t>Nodarbinātība augsto tehnoloģiju ekonomikā ES-27 valstīs 2020. gadā </a:t>
            </a:r>
            <a:br>
              <a:rPr lang="lv-LV" sz="900" b="1">
                <a:solidFill>
                  <a:schemeClr val="tx1"/>
                </a:solidFill>
              </a:rPr>
            </a:br>
            <a:r>
              <a:rPr lang="lv-LV" sz="800" b="0" i="1">
                <a:solidFill>
                  <a:schemeClr val="tx1"/>
                </a:solidFill>
              </a:rPr>
              <a:t>% no kopējās nodarbinātības</a:t>
            </a:r>
            <a:endParaRPr lang="lv-LV" sz="800" b="0" i="1" u="none" strike="noStrike" kern="1200" spc="0" baseline="0">
              <a:solidFill>
                <a:schemeClr val="tx1"/>
              </a:solidFill>
              <a:latin typeface="Segoe UI Light" panose="020B0502040204020203" pitchFamily="34" charset="0"/>
              <a:ea typeface="+mn-ea"/>
              <a:cs typeface="Segoe UI Light" panose="020B0502040204020203" pitchFamily="34" charset="0"/>
            </a:endParaRPr>
          </a:p>
          <a:p>
            <a:pPr>
              <a:defRPr sz="900">
                <a:solidFill>
                  <a:schemeClr val="tx1"/>
                </a:solidFill>
              </a:defRPr>
            </a:pPr>
            <a:endParaRPr lang="lv-LV" sz="800" b="0" i="1">
              <a:solidFill>
                <a:schemeClr val="tx1"/>
              </a:solidFill>
            </a:endParaRP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6.6580927384076991E-2"/>
          <c:y val="0.29485714285714287"/>
          <c:w val="0.90286351706036749"/>
          <c:h val="0.39491906368846752"/>
        </c:manualLayout>
      </c:layout>
      <c:barChart>
        <c:barDir val="col"/>
        <c:grouping val="stacked"/>
        <c:varyColors val="0"/>
        <c:ser>
          <c:idx val="0"/>
          <c:order val="0"/>
          <c:tx>
            <c:strRef>
              <c:f>'Sheet 1'!$B$2</c:f>
              <c:strCache>
                <c:ptCount val="1"/>
                <c:pt idx="0">
                  <c:v>Zināšanu ietilpīgie pakalpojumi</c:v>
                </c:pt>
              </c:strCache>
            </c:strRef>
          </c:tx>
          <c:spPr>
            <a:solidFill>
              <a:schemeClr val="accent6">
                <a:lumMod val="75000"/>
              </a:schemeClr>
            </a:solidFill>
            <a:ln>
              <a:noFill/>
            </a:ln>
            <a:effectLst/>
          </c:spPr>
          <c:invertIfNegative val="0"/>
          <c:cat>
            <c:strRef>
              <c:f>'Sheet 1'!$A$3:$A$29</c:f>
              <c:strCache>
                <c:ptCount val="27"/>
                <c:pt idx="0">
                  <c:v>Čehija</c:v>
                </c:pt>
                <c:pt idx="1">
                  <c:v>Slovēnija</c:v>
                </c:pt>
                <c:pt idx="2">
                  <c:v>Vācija</c:v>
                </c:pt>
                <c:pt idx="3">
                  <c:v>Ungārija</c:v>
                </c:pt>
                <c:pt idx="4">
                  <c:v>Slovākija</c:v>
                </c:pt>
                <c:pt idx="5">
                  <c:v>Somija</c:v>
                </c:pt>
                <c:pt idx="6">
                  <c:v>Igaunija</c:v>
                </c:pt>
                <c:pt idx="7">
                  <c:v>Zviedrija</c:v>
                </c:pt>
                <c:pt idx="8">
                  <c:v>Polija</c:v>
                </c:pt>
                <c:pt idx="9">
                  <c:v>Rumānija</c:v>
                </c:pt>
                <c:pt idx="10">
                  <c:v>Austrija</c:v>
                </c:pt>
                <c:pt idx="11">
                  <c:v>Itālija</c:v>
                </c:pt>
                <c:pt idx="12">
                  <c:v>Dānija</c:v>
                </c:pt>
                <c:pt idx="13">
                  <c:v>Īrija</c:v>
                </c:pt>
                <c:pt idx="14">
                  <c:v>Bulgārija</c:v>
                </c:pt>
                <c:pt idx="15">
                  <c:v>Malta</c:v>
                </c:pt>
                <c:pt idx="16">
                  <c:v>Francija</c:v>
                </c:pt>
                <c:pt idx="17">
                  <c:v>Luksemburga</c:v>
                </c:pt>
                <c:pt idx="18">
                  <c:v>Horvātja</c:v>
                </c:pt>
                <c:pt idx="19">
                  <c:v>Latvija</c:v>
                </c:pt>
                <c:pt idx="20">
                  <c:v>Nīderlande</c:v>
                </c:pt>
                <c:pt idx="21">
                  <c:v>Spānija</c:v>
                </c:pt>
                <c:pt idx="22">
                  <c:v>Beļģija</c:v>
                </c:pt>
                <c:pt idx="23">
                  <c:v>Lietuva</c:v>
                </c:pt>
                <c:pt idx="24">
                  <c:v>Portugāle</c:v>
                </c:pt>
                <c:pt idx="25">
                  <c:v>Kipra</c:v>
                </c:pt>
                <c:pt idx="26">
                  <c:v>Greiķija</c:v>
                </c:pt>
              </c:strCache>
            </c:strRef>
          </c:cat>
          <c:val>
            <c:numRef>
              <c:f>'Sheet 1'!$B$3:$B$29</c:f>
              <c:numCache>
                <c:formatCode>General</c:formatCode>
                <c:ptCount val="27"/>
                <c:pt idx="0">
                  <c:v>3.1</c:v>
                </c:pt>
                <c:pt idx="1">
                  <c:v>3.6</c:v>
                </c:pt>
                <c:pt idx="2">
                  <c:v>2.9</c:v>
                </c:pt>
                <c:pt idx="3">
                  <c:v>3.4</c:v>
                </c:pt>
                <c:pt idx="4">
                  <c:v>2.9</c:v>
                </c:pt>
                <c:pt idx="5">
                  <c:v>4.2</c:v>
                </c:pt>
                <c:pt idx="6">
                  <c:v>4.5999999999999996</c:v>
                </c:pt>
                <c:pt idx="7">
                  <c:v>3.8</c:v>
                </c:pt>
                <c:pt idx="8">
                  <c:v>2.4</c:v>
                </c:pt>
                <c:pt idx="9">
                  <c:v>1.9</c:v>
                </c:pt>
                <c:pt idx="10">
                  <c:v>2.7</c:v>
                </c:pt>
                <c:pt idx="11">
                  <c:v>2.8</c:v>
                </c:pt>
                <c:pt idx="12">
                  <c:v>3.4</c:v>
                </c:pt>
                <c:pt idx="13">
                  <c:v>3.8</c:v>
                </c:pt>
                <c:pt idx="14">
                  <c:v>2.9</c:v>
                </c:pt>
                <c:pt idx="15">
                  <c:v>4</c:v>
                </c:pt>
                <c:pt idx="16">
                  <c:v>4.3</c:v>
                </c:pt>
                <c:pt idx="17">
                  <c:v>3.9</c:v>
                </c:pt>
                <c:pt idx="18">
                  <c:v>2.7</c:v>
                </c:pt>
                <c:pt idx="19">
                  <c:v>3.3</c:v>
                </c:pt>
                <c:pt idx="20">
                  <c:v>3.4</c:v>
                </c:pt>
                <c:pt idx="21">
                  <c:v>2.7</c:v>
                </c:pt>
                <c:pt idx="22">
                  <c:v>2.2000000000000002</c:v>
                </c:pt>
                <c:pt idx="23">
                  <c:v>2.4</c:v>
                </c:pt>
                <c:pt idx="24">
                  <c:v>1.9</c:v>
                </c:pt>
                <c:pt idx="25">
                  <c:v>2.6</c:v>
                </c:pt>
                <c:pt idx="26">
                  <c:v>1.8</c:v>
                </c:pt>
              </c:numCache>
            </c:numRef>
          </c:val>
          <c:extLst>
            <c:ext xmlns:c16="http://schemas.microsoft.com/office/drawing/2014/chart" uri="{C3380CC4-5D6E-409C-BE32-E72D297353CC}">
              <c16:uniqueId val="{00000000-83CE-4FC1-AD51-AC3D91924F74}"/>
            </c:ext>
          </c:extLst>
        </c:ser>
        <c:ser>
          <c:idx val="2"/>
          <c:order val="1"/>
          <c:tx>
            <c:strRef>
              <c:f>'Sheet 1'!$D$2</c:f>
              <c:strCache>
                <c:ptCount val="1"/>
                <c:pt idx="0">
                  <c:v>Augsto tehnoloģiju rūpniecība</c:v>
                </c:pt>
              </c:strCache>
            </c:strRef>
          </c:tx>
          <c:spPr>
            <a:solidFill>
              <a:schemeClr val="tx2">
                <a:lumMod val="60000"/>
                <a:lumOff val="40000"/>
              </a:schemeClr>
            </a:solidFill>
            <a:ln>
              <a:noFill/>
            </a:ln>
            <a:effectLst/>
          </c:spPr>
          <c:invertIfNegative val="0"/>
          <c:cat>
            <c:strRef>
              <c:f>'Sheet 1'!$A$3:$A$29</c:f>
              <c:strCache>
                <c:ptCount val="27"/>
                <c:pt idx="0">
                  <c:v>Čehija</c:v>
                </c:pt>
                <c:pt idx="1">
                  <c:v>Slovēnija</c:v>
                </c:pt>
                <c:pt idx="2">
                  <c:v>Vācija</c:v>
                </c:pt>
                <c:pt idx="3">
                  <c:v>Ungārija</c:v>
                </c:pt>
                <c:pt idx="4">
                  <c:v>Slovākija</c:v>
                </c:pt>
                <c:pt idx="5">
                  <c:v>Somija</c:v>
                </c:pt>
                <c:pt idx="6">
                  <c:v>Igaunija</c:v>
                </c:pt>
                <c:pt idx="7">
                  <c:v>Zviedrija</c:v>
                </c:pt>
                <c:pt idx="8">
                  <c:v>Polija</c:v>
                </c:pt>
                <c:pt idx="9">
                  <c:v>Rumānija</c:v>
                </c:pt>
                <c:pt idx="10">
                  <c:v>Austrija</c:v>
                </c:pt>
                <c:pt idx="11">
                  <c:v>Itālija</c:v>
                </c:pt>
                <c:pt idx="12">
                  <c:v>Dānija</c:v>
                </c:pt>
                <c:pt idx="13">
                  <c:v>Īrija</c:v>
                </c:pt>
                <c:pt idx="14">
                  <c:v>Bulgārija</c:v>
                </c:pt>
                <c:pt idx="15">
                  <c:v>Malta</c:v>
                </c:pt>
                <c:pt idx="16">
                  <c:v>Francija</c:v>
                </c:pt>
                <c:pt idx="17">
                  <c:v>Luksemburga</c:v>
                </c:pt>
                <c:pt idx="18">
                  <c:v>Horvātja</c:v>
                </c:pt>
                <c:pt idx="19">
                  <c:v>Latvija</c:v>
                </c:pt>
                <c:pt idx="20">
                  <c:v>Nīderlande</c:v>
                </c:pt>
                <c:pt idx="21">
                  <c:v>Spānija</c:v>
                </c:pt>
                <c:pt idx="22">
                  <c:v>Beļģija</c:v>
                </c:pt>
                <c:pt idx="23">
                  <c:v>Lietuva</c:v>
                </c:pt>
                <c:pt idx="24">
                  <c:v>Portugāle</c:v>
                </c:pt>
                <c:pt idx="25">
                  <c:v>Kipra</c:v>
                </c:pt>
                <c:pt idx="26">
                  <c:v>Greiķija</c:v>
                </c:pt>
              </c:strCache>
            </c:strRef>
          </c:cat>
          <c:val>
            <c:numRef>
              <c:f>'Sheet 1'!$D$3:$D$29</c:f>
              <c:numCache>
                <c:formatCode>General</c:formatCode>
                <c:ptCount val="27"/>
                <c:pt idx="0">
                  <c:v>10.9</c:v>
                </c:pt>
                <c:pt idx="1">
                  <c:v>7.4</c:v>
                </c:pt>
                <c:pt idx="2">
                  <c:v>8</c:v>
                </c:pt>
                <c:pt idx="3">
                  <c:v>7.3</c:v>
                </c:pt>
                <c:pt idx="4">
                  <c:v>7.8</c:v>
                </c:pt>
                <c:pt idx="5">
                  <c:v>4.5999999999999996</c:v>
                </c:pt>
                <c:pt idx="6">
                  <c:v>3.8</c:v>
                </c:pt>
                <c:pt idx="7">
                  <c:v>4.4000000000000004</c:v>
                </c:pt>
                <c:pt idx="8">
                  <c:v>5.8</c:v>
                </c:pt>
                <c:pt idx="9">
                  <c:v>6.2</c:v>
                </c:pt>
                <c:pt idx="10">
                  <c:v>5</c:v>
                </c:pt>
                <c:pt idx="11">
                  <c:v>4.5999999999999996</c:v>
                </c:pt>
                <c:pt idx="12">
                  <c:v>3.6</c:v>
                </c:pt>
                <c:pt idx="13">
                  <c:v>3.1</c:v>
                </c:pt>
                <c:pt idx="14">
                  <c:v>3.9</c:v>
                </c:pt>
                <c:pt idx="15">
                  <c:v>2.7</c:v>
                </c:pt>
                <c:pt idx="16">
                  <c:v>2.2999999999999998</c:v>
                </c:pt>
                <c:pt idx="17">
                  <c:v>2.2999999999999998</c:v>
                </c:pt>
                <c:pt idx="18">
                  <c:v>3.4</c:v>
                </c:pt>
                <c:pt idx="19">
                  <c:v>2.5</c:v>
                </c:pt>
                <c:pt idx="20">
                  <c:v>2.4</c:v>
                </c:pt>
                <c:pt idx="21">
                  <c:v>3</c:v>
                </c:pt>
                <c:pt idx="22">
                  <c:v>3.2</c:v>
                </c:pt>
                <c:pt idx="23">
                  <c:v>2.1</c:v>
                </c:pt>
                <c:pt idx="24">
                  <c:v>2.4</c:v>
                </c:pt>
                <c:pt idx="25">
                  <c:v>0.9</c:v>
                </c:pt>
                <c:pt idx="26">
                  <c:v>1.3</c:v>
                </c:pt>
              </c:numCache>
            </c:numRef>
          </c:val>
          <c:extLst>
            <c:ext xmlns:c16="http://schemas.microsoft.com/office/drawing/2014/chart" uri="{C3380CC4-5D6E-409C-BE32-E72D297353CC}">
              <c16:uniqueId val="{00000001-83CE-4FC1-AD51-AC3D91924F74}"/>
            </c:ext>
          </c:extLst>
        </c:ser>
        <c:dLbls>
          <c:showLegendKey val="0"/>
          <c:showVal val="0"/>
          <c:showCatName val="0"/>
          <c:showSerName val="0"/>
          <c:showPercent val="0"/>
          <c:showBubbleSize val="0"/>
        </c:dLbls>
        <c:gapWidth val="56"/>
        <c:overlap val="100"/>
        <c:axId val="742054224"/>
        <c:axId val="742051872"/>
      </c:barChart>
      <c:catAx>
        <c:axId val="74205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51872"/>
        <c:crosses val="autoZero"/>
        <c:auto val="1"/>
        <c:lblAlgn val="ctr"/>
        <c:lblOffset val="100"/>
        <c:noMultiLvlLbl val="0"/>
      </c:catAx>
      <c:valAx>
        <c:axId val="742051872"/>
        <c:scaling>
          <c:orientation val="minMax"/>
          <c:max val="15"/>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crossAx val="742054224"/>
        <c:crosses val="autoZero"/>
        <c:crossBetween val="between"/>
        <c:majorUnit val="5"/>
      </c:valAx>
      <c:spPr>
        <a:noFill/>
        <a:ln w="25400">
          <a:noFill/>
        </a:ln>
        <a:effectLst/>
      </c:spPr>
    </c:plotArea>
    <c:legend>
      <c:legendPos val="b"/>
      <c:layout>
        <c:manualLayout>
          <c:xMode val="edge"/>
          <c:yMode val="edge"/>
          <c:x val="0.60927524059492566"/>
          <c:y val="0.23920234580052499"/>
          <c:w val="0.36800664916885389"/>
          <c:h val="0.1417523786089238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031703186392842E-3"/>
          <c:y val="4.9655469422911283E-2"/>
          <c:w val="0.98593759026491812"/>
          <c:h val="0.43900789361097592"/>
        </c:manualLayout>
      </c:layout>
      <c:barChart>
        <c:barDir val="col"/>
        <c:grouping val="clustered"/>
        <c:varyColors val="0"/>
        <c:ser>
          <c:idx val="0"/>
          <c:order val="0"/>
          <c:spPr>
            <a:solidFill>
              <a:schemeClr val="accent2">
                <a:lumMod val="75000"/>
              </a:schemeClr>
            </a:solidFill>
          </c:spPr>
          <c:invertIfNegative val="0"/>
          <c:dPt>
            <c:idx val="0"/>
            <c:invertIfNegative val="0"/>
            <c:bubble3D val="0"/>
            <c:spPr>
              <a:solidFill>
                <a:srgbClr val="C00000"/>
              </a:solidFill>
            </c:spPr>
            <c:extLst>
              <c:ext xmlns:c16="http://schemas.microsoft.com/office/drawing/2014/chart" uri="{C3380CC4-5D6E-409C-BE32-E72D297353CC}">
                <c16:uniqueId val="{00000001-D4AC-455C-95AC-723C06630CBC}"/>
              </c:ext>
            </c:extLst>
          </c:dPt>
          <c:dPt>
            <c:idx val="1"/>
            <c:invertIfNegative val="0"/>
            <c:bubble3D val="0"/>
            <c:spPr>
              <a:solidFill>
                <a:srgbClr val="C00000"/>
              </a:solidFill>
            </c:spPr>
            <c:extLst>
              <c:ext xmlns:c16="http://schemas.microsoft.com/office/drawing/2014/chart" uri="{C3380CC4-5D6E-409C-BE32-E72D297353CC}">
                <c16:uniqueId val="{00000003-D4AC-455C-95AC-723C06630CBC}"/>
              </c:ext>
            </c:extLst>
          </c:dPt>
          <c:dPt>
            <c:idx val="2"/>
            <c:invertIfNegative val="0"/>
            <c:bubble3D val="0"/>
            <c:spPr>
              <a:solidFill>
                <a:srgbClr val="C00000"/>
              </a:solidFill>
            </c:spPr>
            <c:extLst>
              <c:ext xmlns:c16="http://schemas.microsoft.com/office/drawing/2014/chart" uri="{C3380CC4-5D6E-409C-BE32-E72D297353CC}">
                <c16:uniqueId val="{00000005-D4AC-455C-95AC-723C06630CBC}"/>
              </c:ext>
            </c:extLst>
          </c:dPt>
          <c:dPt>
            <c:idx val="3"/>
            <c:invertIfNegative val="0"/>
            <c:bubble3D val="0"/>
            <c:spPr>
              <a:solidFill>
                <a:srgbClr val="C00000"/>
              </a:solidFill>
            </c:spPr>
            <c:extLst>
              <c:ext xmlns:c16="http://schemas.microsoft.com/office/drawing/2014/chart" uri="{C3380CC4-5D6E-409C-BE32-E72D297353CC}">
                <c16:uniqueId val="{00000007-D4AC-455C-95AC-723C06630CBC}"/>
              </c:ext>
            </c:extLst>
          </c:dPt>
          <c:dPt>
            <c:idx val="4"/>
            <c:invertIfNegative val="0"/>
            <c:bubble3D val="0"/>
            <c:spPr>
              <a:solidFill>
                <a:srgbClr val="C00000"/>
              </a:solidFill>
            </c:spPr>
            <c:extLst>
              <c:ext xmlns:c16="http://schemas.microsoft.com/office/drawing/2014/chart" uri="{C3380CC4-5D6E-409C-BE32-E72D297353CC}">
                <c16:uniqueId val="{00000009-D4AC-455C-95AC-723C06630CBC}"/>
              </c:ext>
            </c:extLst>
          </c:dPt>
          <c:dPt>
            <c:idx val="5"/>
            <c:invertIfNegative val="0"/>
            <c:bubble3D val="0"/>
            <c:spPr>
              <a:solidFill>
                <a:srgbClr val="C00000"/>
              </a:solidFill>
            </c:spPr>
            <c:extLst>
              <c:ext xmlns:c16="http://schemas.microsoft.com/office/drawing/2014/chart" uri="{C3380CC4-5D6E-409C-BE32-E72D297353CC}">
                <c16:uniqueId val="{0000000B-D4AC-455C-95AC-723C06630CBC}"/>
              </c:ext>
            </c:extLst>
          </c:dPt>
          <c:dPt>
            <c:idx val="6"/>
            <c:invertIfNegative val="0"/>
            <c:bubble3D val="0"/>
            <c:spPr>
              <a:solidFill>
                <a:srgbClr val="C00000"/>
              </a:solidFill>
            </c:spPr>
            <c:extLst>
              <c:ext xmlns:c16="http://schemas.microsoft.com/office/drawing/2014/chart" uri="{C3380CC4-5D6E-409C-BE32-E72D297353CC}">
                <c16:uniqueId val="{0000000D-D4AC-455C-95AC-723C06630CBC}"/>
              </c:ext>
            </c:extLst>
          </c:dPt>
          <c:dPt>
            <c:idx val="8"/>
            <c:invertIfNegative val="0"/>
            <c:bubble3D val="0"/>
            <c:extLst>
              <c:ext xmlns:c16="http://schemas.microsoft.com/office/drawing/2014/chart" uri="{C3380CC4-5D6E-409C-BE32-E72D297353CC}">
                <c16:uniqueId val="{0000000E-D4AC-455C-95AC-723C06630CBC}"/>
              </c:ext>
            </c:extLst>
          </c:dPt>
          <c:dPt>
            <c:idx val="10"/>
            <c:invertIfNegative val="0"/>
            <c:bubble3D val="0"/>
            <c:extLst>
              <c:ext xmlns:c16="http://schemas.microsoft.com/office/drawing/2014/chart" uri="{C3380CC4-5D6E-409C-BE32-E72D297353CC}">
                <c16:uniqueId val="{0000000F-D4AC-455C-95AC-723C06630CBC}"/>
              </c:ext>
            </c:extLst>
          </c:dPt>
          <c:dPt>
            <c:idx val="11"/>
            <c:invertIfNegative val="0"/>
            <c:bubble3D val="0"/>
            <c:extLst>
              <c:ext xmlns:c16="http://schemas.microsoft.com/office/drawing/2014/chart" uri="{C3380CC4-5D6E-409C-BE32-E72D297353CC}">
                <c16:uniqueId val="{00000010-D4AC-455C-95AC-723C06630CBC}"/>
              </c:ext>
            </c:extLst>
          </c:dPt>
          <c:dPt>
            <c:idx val="12"/>
            <c:invertIfNegative val="0"/>
            <c:bubble3D val="0"/>
            <c:extLst>
              <c:ext xmlns:c16="http://schemas.microsoft.com/office/drawing/2014/chart" uri="{C3380CC4-5D6E-409C-BE32-E72D297353CC}">
                <c16:uniqueId val="{00000011-D4AC-455C-95AC-723C06630CBC}"/>
              </c:ext>
            </c:extLst>
          </c:dPt>
          <c:dPt>
            <c:idx val="15"/>
            <c:invertIfNegative val="0"/>
            <c:bubble3D val="0"/>
            <c:extLst>
              <c:ext xmlns:c16="http://schemas.microsoft.com/office/drawing/2014/chart" uri="{C3380CC4-5D6E-409C-BE32-E72D297353CC}">
                <c16:uniqueId val="{00000012-D4AC-455C-95AC-723C06630CBC}"/>
              </c:ext>
            </c:extLst>
          </c:dPt>
          <c:dPt>
            <c:idx val="16"/>
            <c:invertIfNegative val="0"/>
            <c:bubble3D val="0"/>
            <c:extLst>
              <c:ext xmlns:c16="http://schemas.microsoft.com/office/drawing/2014/chart" uri="{C3380CC4-5D6E-409C-BE32-E72D297353CC}">
                <c16:uniqueId val="{00000013-D4AC-455C-95AC-723C06630CBC}"/>
              </c:ext>
            </c:extLst>
          </c:dPt>
          <c:dPt>
            <c:idx val="17"/>
            <c:invertIfNegative val="0"/>
            <c:bubble3D val="0"/>
            <c:extLst>
              <c:ext xmlns:c16="http://schemas.microsoft.com/office/drawing/2014/chart" uri="{C3380CC4-5D6E-409C-BE32-E72D297353CC}">
                <c16:uniqueId val="{00000014-D4AC-455C-95AC-723C06630CBC}"/>
              </c:ext>
            </c:extLst>
          </c:dPt>
          <c:dPt>
            <c:idx val="19"/>
            <c:invertIfNegative val="0"/>
            <c:bubble3D val="0"/>
            <c:extLst>
              <c:ext xmlns:c16="http://schemas.microsoft.com/office/drawing/2014/chart" uri="{C3380CC4-5D6E-409C-BE32-E72D297353CC}">
                <c16:uniqueId val="{00000015-D4AC-455C-95AC-723C06630CBC}"/>
              </c:ext>
            </c:extLst>
          </c:dPt>
          <c:dPt>
            <c:idx val="20"/>
            <c:invertIfNegative val="0"/>
            <c:bubble3D val="0"/>
            <c:extLst>
              <c:ext xmlns:c16="http://schemas.microsoft.com/office/drawing/2014/chart" uri="{C3380CC4-5D6E-409C-BE32-E72D297353CC}">
                <c16:uniqueId val="{00000016-D4AC-455C-95AC-723C06630CBC}"/>
              </c:ext>
            </c:extLst>
          </c:dPt>
          <c:dPt>
            <c:idx val="21"/>
            <c:invertIfNegative val="0"/>
            <c:bubble3D val="0"/>
            <c:extLst>
              <c:ext xmlns:c16="http://schemas.microsoft.com/office/drawing/2014/chart" uri="{C3380CC4-5D6E-409C-BE32-E72D297353CC}">
                <c16:uniqueId val="{00000017-D4AC-455C-95AC-723C06630CBC}"/>
              </c:ext>
            </c:extLst>
          </c:dPt>
          <c:dPt>
            <c:idx val="23"/>
            <c:invertIfNegative val="0"/>
            <c:bubble3D val="0"/>
            <c:extLst>
              <c:ext xmlns:c16="http://schemas.microsoft.com/office/drawing/2014/chart" uri="{C3380CC4-5D6E-409C-BE32-E72D297353CC}">
                <c16:uniqueId val="{00000018-D4AC-455C-95AC-723C06630CBC}"/>
              </c:ext>
            </c:extLst>
          </c:dPt>
          <c:dPt>
            <c:idx val="24"/>
            <c:invertIfNegative val="0"/>
            <c:bubble3D val="0"/>
            <c:extLst>
              <c:ext xmlns:c16="http://schemas.microsoft.com/office/drawing/2014/chart" uri="{C3380CC4-5D6E-409C-BE32-E72D297353CC}">
                <c16:uniqueId val="{00000019-D4AC-455C-95AC-723C06630CBC}"/>
              </c:ext>
            </c:extLst>
          </c:dPt>
          <c:dPt>
            <c:idx val="26"/>
            <c:invertIfNegative val="0"/>
            <c:bubble3D val="0"/>
            <c:extLst>
              <c:ext xmlns:c16="http://schemas.microsoft.com/office/drawing/2014/chart" uri="{C3380CC4-5D6E-409C-BE32-E72D297353CC}">
                <c16:uniqueId val="{0000001A-D4AC-455C-95AC-723C06630CBC}"/>
              </c:ext>
            </c:extLst>
          </c:dPt>
          <c:dPt>
            <c:idx val="28"/>
            <c:invertIfNegative val="0"/>
            <c:bubble3D val="0"/>
            <c:extLst>
              <c:ext xmlns:c16="http://schemas.microsoft.com/office/drawing/2014/chart" uri="{C3380CC4-5D6E-409C-BE32-E72D297353CC}">
                <c16:uniqueId val="{0000001B-D4AC-455C-95AC-723C06630CBC}"/>
              </c:ext>
            </c:extLst>
          </c:dPt>
          <c:dPt>
            <c:idx val="29"/>
            <c:invertIfNegative val="0"/>
            <c:bubble3D val="0"/>
            <c:extLst>
              <c:ext xmlns:c16="http://schemas.microsoft.com/office/drawing/2014/chart" uri="{C3380CC4-5D6E-409C-BE32-E72D297353CC}">
                <c16:uniqueId val="{0000001C-D4AC-455C-95AC-723C06630CBC}"/>
              </c:ext>
            </c:extLst>
          </c:dPt>
          <c:dPt>
            <c:idx val="30"/>
            <c:invertIfNegative val="0"/>
            <c:bubble3D val="0"/>
            <c:extLst>
              <c:ext xmlns:c16="http://schemas.microsoft.com/office/drawing/2014/chart" uri="{C3380CC4-5D6E-409C-BE32-E72D297353CC}">
                <c16:uniqueId val="{0000001D-D4AC-455C-95AC-723C06630CBC}"/>
              </c:ext>
            </c:extLst>
          </c:dPt>
          <c:dPt>
            <c:idx val="31"/>
            <c:invertIfNegative val="0"/>
            <c:bubble3D val="0"/>
            <c:extLst>
              <c:ext xmlns:c16="http://schemas.microsoft.com/office/drawing/2014/chart" uri="{C3380CC4-5D6E-409C-BE32-E72D297353CC}">
                <c16:uniqueId val="{0000001E-D4AC-455C-95AC-723C06630CBC}"/>
              </c:ext>
            </c:extLst>
          </c:dPt>
          <c:dPt>
            <c:idx val="38"/>
            <c:invertIfNegative val="0"/>
            <c:bubble3D val="0"/>
            <c:spPr>
              <a:solidFill>
                <a:srgbClr val="F79646">
                  <a:lumMod val="75000"/>
                </a:srgbClr>
              </a:solidFill>
            </c:spPr>
            <c:extLst>
              <c:ext xmlns:c16="http://schemas.microsoft.com/office/drawing/2014/chart" uri="{C3380CC4-5D6E-409C-BE32-E72D297353CC}">
                <c16:uniqueId val="{00000020-D4AC-455C-95AC-723C06630CBC}"/>
              </c:ext>
            </c:extLst>
          </c:dPt>
          <c:dPt>
            <c:idx val="39"/>
            <c:invertIfNegative val="0"/>
            <c:bubble3D val="0"/>
            <c:spPr>
              <a:solidFill>
                <a:srgbClr val="F79646">
                  <a:lumMod val="75000"/>
                </a:srgbClr>
              </a:solidFill>
            </c:spPr>
            <c:extLst>
              <c:ext xmlns:c16="http://schemas.microsoft.com/office/drawing/2014/chart" uri="{C3380CC4-5D6E-409C-BE32-E72D297353CC}">
                <c16:uniqueId val="{00000022-D4AC-455C-95AC-723C06630CBC}"/>
              </c:ext>
            </c:extLst>
          </c:dPt>
          <c:dPt>
            <c:idx val="40"/>
            <c:invertIfNegative val="0"/>
            <c:bubble3D val="0"/>
            <c:spPr>
              <a:solidFill>
                <a:srgbClr val="F79646">
                  <a:lumMod val="75000"/>
                </a:srgbClr>
              </a:solidFill>
            </c:spPr>
            <c:extLst>
              <c:ext xmlns:c16="http://schemas.microsoft.com/office/drawing/2014/chart" uri="{C3380CC4-5D6E-409C-BE32-E72D297353CC}">
                <c16:uniqueId val="{00000024-D4AC-455C-95AC-723C06630CBC}"/>
              </c:ext>
            </c:extLst>
          </c:dPt>
          <c:dPt>
            <c:idx val="41"/>
            <c:invertIfNegative val="0"/>
            <c:bubble3D val="0"/>
            <c:spPr>
              <a:solidFill>
                <a:srgbClr val="F79646">
                  <a:lumMod val="75000"/>
                </a:srgbClr>
              </a:solidFill>
            </c:spPr>
            <c:extLst>
              <c:ext xmlns:c16="http://schemas.microsoft.com/office/drawing/2014/chart" uri="{C3380CC4-5D6E-409C-BE32-E72D297353CC}">
                <c16:uniqueId val="{00000026-D4AC-455C-95AC-723C06630CBC}"/>
              </c:ext>
            </c:extLst>
          </c:dPt>
          <c:dPt>
            <c:idx val="42"/>
            <c:invertIfNegative val="0"/>
            <c:bubble3D val="0"/>
            <c:spPr>
              <a:solidFill>
                <a:srgbClr val="F79646">
                  <a:lumMod val="75000"/>
                </a:srgbClr>
              </a:solidFill>
            </c:spPr>
            <c:extLst>
              <c:ext xmlns:c16="http://schemas.microsoft.com/office/drawing/2014/chart" uri="{C3380CC4-5D6E-409C-BE32-E72D297353CC}">
                <c16:uniqueId val="{00000028-D4AC-455C-95AC-723C06630CBC}"/>
              </c:ext>
            </c:extLst>
          </c:dPt>
          <c:dPt>
            <c:idx val="43"/>
            <c:invertIfNegative val="0"/>
            <c:bubble3D val="0"/>
            <c:spPr>
              <a:solidFill>
                <a:srgbClr val="F79646">
                  <a:lumMod val="75000"/>
                </a:srgbClr>
              </a:solidFill>
            </c:spPr>
            <c:extLst>
              <c:ext xmlns:c16="http://schemas.microsoft.com/office/drawing/2014/chart" uri="{C3380CC4-5D6E-409C-BE32-E72D297353CC}">
                <c16:uniqueId val="{0000002A-D4AC-455C-95AC-723C06630CBC}"/>
              </c:ext>
            </c:extLst>
          </c:dPt>
          <c:dPt>
            <c:idx val="44"/>
            <c:invertIfNegative val="0"/>
            <c:bubble3D val="0"/>
            <c:spPr>
              <a:solidFill>
                <a:srgbClr val="F79646">
                  <a:lumMod val="75000"/>
                </a:srgbClr>
              </a:solidFill>
            </c:spPr>
            <c:extLst>
              <c:ext xmlns:c16="http://schemas.microsoft.com/office/drawing/2014/chart" uri="{C3380CC4-5D6E-409C-BE32-E72D297353CC}">
                <c16:uniqueId val="{0000002C-D4AC-455C-95AC-723C06630CBC}"/>
              </c:ext>
            </c:extLst>
          </c:dPt>
          <c:dPt>
            <c:idx val="45"/>
            <c:invertIfNegative val="0"/>
            <c:bubble3D val="0"/>
            <c:spPr>
              <a:solidFill>
                <a:srgbClr val="F79646">
                  <a:lumMod val="75000"/>
                </a:srgbClr>
              </a:solidFill>
            </c:spPr>
            <c:extLst>
              <c:ext xmlns:c16="http://schemas.microsoft.com/office/drawing/2014/chart" uri="{C3380CC4-5D6E-409C-BE32-E72D297353CC}">
                <c16:uniqueId val="{0000002E-D4AC-455C-95AC-723C06630CBC}"/>
              </c:ext>
            </c:extLst>
          </c:dPt>
          <c:dPt>
            <c:idx val="46"/>
            <c:invertIfNegative val="0"/>
            <c:bubble3D val="0"/>
            <c:spPr>
              <a:solidFill>
                <a:srgbClr val="F79646">
                  <a:lumMod val="75000"/>
                </a:srgbClr>
              </a:solidFill>
            </c:spPr>
            <c:extLst>
              <c:ext xmlns:c16="http://schemas.microsoft.com/office/drawing/2014/chart" uri="{C3380CC4-5D6E-409C-BE32-E72D297353CC}">
                <c16:uniqueId val="{00000030-D4AC-455C-95AC-723C06630CBC}"/>
              </c:ext>
            </c:extLst>
          </c:dPt>
          <c:dPt>
            <c:idx val="47"/>
            <c:invertIfNegative val="0"/>
            <c:bubble3D val="0"/>
            <c:spPr>
              <a:solidFill>
                <a:srgbClr val="F79646">
                  <a:lumMod val="75000"/>
                </a:srgbClr>
              </a:solidFill>
            </c:spPr>
            <c:extLst>
              <c:ext xmlns:c16="http://schemas.microsoft.com/office/drawing/2014/chart" uri="{C3380CC4-5D6E-409C-BE32-E72D297353CC}">
                <c16:uniqueId val="{00000032-D4AC-455C-95AC-723C06630CBC}"/>
              </c:ext>
            </c:extLst>
          </c:dPt>
          <c:dPt>
            <c:idx val="48"/>
            <c:invertIfNegative val="0"/>
            <c:bubble3D val="0"/>
            <c:spPr>
              <a:solidFill>
                <a:srgbClr val="F79646">
                  <a:lumMod val="75000"/>
                </a:srgbClr>
              </a:solidFill>
            </c:spPr>
            <c:extLst>
              <c:ext xmlns:c16="http://schemas.microsoft.com/office/drawing/2014/chart" uri="{C3380CC4-5D6E-409C-BE32-E72D297353CC}">
                <c16:uniqueId val="{00000034-D4AC-455C-95AC-723C06630CBC}"/>
              </c:ext>
            </c:extLst>
          </c:dPt>
          <c:dPt>
            <c:idx val="49"/>
            <c:invertIfNegative val="0"/>
            <c:bubble3D val="0"/>
            <c:spPr>
              <a:solidFill>
                <a:srgbClr val="F79646">
                  <a:lumMod val="75000"/>
                </a:srgbClr>
              </a:solidFill>
            </c:spPr>
            <c:extLst>
              <c:ext xmlns:c16="http://schemas.microsoft.com/office/drawing/2014/chart" uri="{C3380CC4-5D6E-409C-BE32-E72D297353CC}">
                <c16:uniqueId val="{00000036-D4AC-455C-95AC-723C06630CBC}"/>
              </c:ext>
            </c:extLst>
          </c:dPt>
          <c:dPt>
            <c:idx val="50"/>
            <c:invertIfNegative val="0"/>
            <c:bubble3D val="0"/>
            <c:spPr>
              <a:solidFill>
                <a:srgbClr val="F79646">
                  <a:lumMod val="75000"/>
                </a:srgbClr>
              </a:solidFill>
            </c:spPr>
            <c:extLst>
              <c:ext xmlns:c16="http://schemas.microsoft.com/office/drawing/2014/chart" uri="{C3380CC4-5D6E-409C-BE32-E72D297353CC}">
                <c16:uniqueId val="{00000038-D4AC-455C-95AC-723C06630CBC}"/>
              </c:ext>
            </c:extLst>
          </c:dPt>
          <c:dPt>
            <c:idx val="51"/>
            <c:invertIfNegative val="0"/>
            <c:bubble3D val="0"/>
            <c:spPr>
              <a:solidFill>
                <a:schemeClr val="accent6">
                  <a:lumMod val="60000"/>
                  <a:lumOff val="40000"/>
                </a:schemeClr>
              </a:solidFill>
            </c:spPr>
            <c:extLst>
              <c:ext xmlns:c16="http://schemas.microsoft.com/office/drawing/2014/chart" uri="{C3380CC4-5D6E-409C-BE32-E72D297353CC}">
                <c16:uniqueId val="{0000003A-D4AC-455C-95AC-723C06630CBC}"/>
              </c:ext>
            </c:extLst>
          </c:dPt>
          <c:dPt>
            <c:idx val="52"/>
            <c:invertIfNegative val="0"/>
            <c:bubble3D val="0"/>
            <c:spPr>
              <a:solidFill>
                <a:schemeClr val="accent6">
                  <a:lumMod val="60000"/>
                  <a:lumOff val="40000"/>
                </a:schemeClr>
              </a:solidFill>
            </c:spPr>
            <c:extLst>
              <c:ext xmlns:c16="http://schemas.microsoft.com/office/drawing/2014/chart" uri="{C3380CC4-5D6E-409C-BE32-E72D297353CC}">
                <c16:uniqueId val="{0000003C-D4AC-455C-95AC-723C06630CBC}"/>
              </c:ext>
            </c:extLst>
          </c:dPt>
          <c:dPt>
            <c:idx val="53"/>
            <c:invertIfNegative val="0"/>
            <c:bubble3D val="0"/>
            <c:spPr>
              <a:solidFill>
                <a:schemeClr val="accent6">
                  <a:lumMod val="60000"/>
                  <a:lumOff val="40000"/>
                </a:schemeClr>
              </a:solidFill>
            </c:spPr>
            <c:extLst>
              <c:ext xmlns:c16="http://schemas.microsoft.com/office/drawing/2014/chart" uri="{C3380CC4-5D6E-409C-BE32-E72D297353CC}">
                <c16:uniqueId val="{0000003E-D4AC-455C-95AC-723C06630CBC}"/>
              </c:ext>
            </c:extLst>
          </c:dPt>
          <c:dPt>
            <c:idx val="54"/>
            <c:invertIfNegative val="0"/>
            <c:bubble3D val="0"/>
            <c:spPr>
              <a:solidFill>
                <a:schemeClr val="accent6">
                  <a:lumMod val="60000"/>
                  <a:lumOff val="40000"/>
                </a:schemeClr>
              </a:solidFill>
            </c:spPr>
            <c:extLst>
              <c:ext xmlns:c16="http://schemas.microsoft.com/office/drawing/2014/chart" uri="{C3380CC4-5D6E-409C-BE32-E72D297353CC}">
                <c16:uniqueId val="{00000040-D4AC-455C-95AC-723C06630CBC}"/>
              </c:ext>
            </c:extLst>
          </c:dPt>
          <c:dPt>
            <c:idx val="55"/>
            <c:invertIfNegative val="0"/>
            <c:bubble3D val="0"/>
            <c:spPr>
              <a:solidFill>
                <a:schemeClr val="accent6">
                  <a:lumMod val="60000"/>
                  <a:lumOff val="40000"/>
                </a:schemeClr>
              </a:solidFill>
            </c:spPr>
            <c:extLst>
              <c:ext xmlns:c16="http://schemas.microsoft.com/office/drawing/2014/chart" uri="{C3380CC4-5D6E-409C-BE32-E72D297353CC}">
                <c16:uniqueId val="{00000042-D4AC-455C-95AC-723C06630CBC}"/>
              </c:ext>
            </c:extLst>
          </c:dPt>
          <c:dPt>
            <c:idx val="56"/>
            <c:invertIfNegative val="0"/>
            <c:bubble3D val="0"/>
            <c:spPr>
              <a:solidFill>
                <a:schemeClr val="accent6">
                  <a:lumMod val="60000"/>
                  <a:lumOff val="40000"/>
                </a:schemeClr>
              </a:solidFill>
            </c:spPr>
            <c:extLst>
              <c:ext xmlns:c16="http://schemas.microsoft.com/office/drawing/2014/chart" uri="{C3380CC4-5D6E-409C-BE32-E72D297353CC}">
                <c16:uniqueId val="{00000044-D4AC-455C-95AC-723C06630CBC}"/>
              </c:ext>
            </c:extLst>
          </c:dPt>
          <c:dPt>
            <c:idx val="57"/>
            <c:invertIfNegative val="0"/>
            <c:bubble3D val="0"/>
            <c:spPr>
              <a:solidFill>
                <a:schemeClr val="accent6">
                  <a:lumMod val="60000"/>
                  <a:lumOff val="40000"/>
                </a:schemeClr>
              </a:solidFill>
            </c:spPr>
            <c:extLst>
              <c:ext xmlns:c16="http://schemas.microsoft.com/office/drawing/2014/chart" uri="{C3380CC4-5D6E-409C-BE32-E72D297353CC}">
                <c16:uniqueId val="{00000046-D4AC-455C-95AC-723C06630CBC}"/>
              </c:ext>
            </c:extLst>
          </c:dPt>
          <c:dPt>
            <c:idx val="58"/>
            <c:invertIfNegative val="0"/>
            <c:bubble3D val="0"/>
            <c:spPr>
              <a:solidFill>
                <a:schemeClr val="accent6">
                  <a:lumMod val="60000"/>
                  <a:lumOff val="40000"/>
                </a:schemeClr>
              </a:solidFill>
            </c:spPr>
            <c:extLst>
              <c:ext xmlns:c16="http://schemas.microsoft.com/office/drawing/2014/chart" uri="{C3380CC4-5D6E-409C-BE32-E72D297353CC}">
                <c16:uniqueId val="{00000048-D4AC-455C-95AC-723C06630CBC}"/>
              </c:ext>
            </c:extLst>
          </c:dPt>
          <c:dPt>
            <c:idx val="59"/>
            <c:invertIfNegative val="0"/>
            <c:bubble3D val="0"/>
            <c:spPr>
              <a:solidFill>
                <a:schemeClr val="accent6">
                  <a:lumMod val="60000"/>
                  <a:lumOff val="40000"/>
                </a:schemeClr>
              </a:solidFill>
            </c:spPr>
            <c:extLst>
              <c:ext xmlns:c16="http://schemas.microsoft.com/office/drawing/2014/chart" uri="{C3380CC4-5D6E-409C-BE32-E72D297353CC}">
                <c16:uniqueId val="{0000004A-D4AC-455C-95AC-723C06630CBC}"/>
              </c:ext>
            </c:extLst>
          </c:dPt>
          <c:dPt>
            <c:idx val="60"/>
            <c:invertIfNegative val="0"/>
            <c:bubble3D val="0"/>
            <c:spPr>
              <a:solidFill>
                <a:schemeClr val="accent6">
                  <a:lumMod val="60000"/>
                  <a:lumOff val="40000"/>
                </a:schemeClr>
              </a:solidFill>
            </c:spPr>
            <c:extLst>
              <c:ext xmlns:c16="http://schemas.microsoft.com/office/drawing/2014/chart" uri="{C3380CC4-5D6E-409C-BE32-E72D297353CC}">
                <c16:uniqueId val="{0000004C-D4AC-455C-95AC-723C06630CBC}"/>
              </c:ext>
            </c:extLst>
          </c:dPt>
          <c:dPt>
            <c:idx val="61"/>
            <c:invertIfNegative val="0"/>
            <c:bubble3D val="0"/>
            <c:spPr>
              <a:solidFill>
                <a:schemeClr val="accent6">
                  <a:lumMod val="60000"/>
                  <a:lumOff val="40000"/>
                </a:schemeClr>
              </a:solidFill>
            </c:spPr>
            <c:extLst>
              <c:ext xmlns:c16="http://schemas.microsoft.com/office/drawing/2014/chart" uri="{C3380CC4-5D6E-409C-BE32-E72D297353CC}">
                <c16:uniqueId val="{0000004E-D4AC-455C-95AC-723C06630CBC}"/>
              </c:ext>
            </c:extLst>
          </c:dPt>
          <c:dPt>
            <c:idx val="62"/>
            <c:invertIfNegative val="0"/>
            <c:bubble3D val="0"/>
            <c:spPr>
              <a:solidFill>
                <a:schemeClr val="accent6">
                  <a:lumMod val="60000"/>
                  <a:lumOff val="40000"/>
                </a:schemeClr>
              </a:solidFill>
            </c:spPr>
            <c:extLst>
              <c:ext xmlns:c16="http://schemas.microsoft.com/office/drawing/2014/chart" uri="{C3380CC4-5D6E-409C-BE32-E72D297353CC}">
                <c16:uniqueId val="{00000050-D4AC-455C-95AC-723C06630CBC}"/>
              </c:ext>
            </c:extLst>
          </c:dPt>
          <c:dPt>
            <c:idx val="63"/>
            <c:invertIfNegative val="0"/>
            <c:bubble3D val="0"/>
            <c:spPr>
              <a:solidFill>
                <a:schemeClr val="accent6">
                  <a:lumMod val="60000"/>
                  <a:lumOff val="40000"/>
                </a:schemeClr>
              </a:solidFill>
            </c:spPr>
            <c:extLst>
              <c:ext xmlns:c16="http://schemas.microsoft.com/office/drawing/2014/chart" uri="{C3380CC4-5D6E-409C-BE32-E72D297353CC}">
                <c16:uniqueId val="{00000052-D4AC-455C-95AC-723C06630CBC}"/>
              </c:ext>
            </c:extLst>
          </c:dPt>
          <c:dPt>
            <c:idx val="64"/>
            <c:invertIfNegative val="0"/>
            <c:bubble3D val="0"/>
            <c:spPr>
              <a:solidFill>
                <a:schemeClr val="accent6">
                  <a:lumMod val="60000"/>
                  <a:lumOff val="40000"/>
                </a:schemeClr>
              </a:solidFill>
            </c:spPr>
            <c:extLst>
              <c:ext xmlns:c16="http://schemas.microsoft.com/office/drawing/2014/chart" uri="{C3380CC4-5D6E-409C-BE32-E72D297353CC}">
                <c16:uniqueId val="{00000054-D4AC-455C-95AC-723C06630CBC}"/>
              </c:ext>
            </c:extLst>
          </c:dPt>
          <c:dPt>
            <c:idx val="65"/>
            <c:invertIfNegative val="0"/>
            <c:bubble3D val="0"/>
            <c:spPr>
              <a:solidFill>
                <a:schemeClr val="accent6">
                  <a:lumMod val="60000"/>
                  <a:lumOff val="40000"/>
                </a:schemeClr>
              </a:solidFill>
            </c:spPr>
            <c:extLst>
              <c:ext xmlns:c16="http://schemas.microsoft.com/office/drawing/2014/chart" uri="{C3380CC4-5D6E-409C-BE32-E72D297353CC}">
                <c16:uniqueId val="{00000056-D4AC-455C-95AC-723C06630CBC}"/>
              </c:ext>
            </c:extLst>
          </c:dPt>
          <c:dPt>
            <c:idx val="66"/>
            <c:invertIfNegative val="0"/>
            <c:bubble3D val="0"/>
            <c:spPr>
              <a:solidFill>
                <a:schemeClr val="accent6">
                  <a:lumMod val="60000"/>
                  <a:lumOff val="40000"/>
                </a:schemeClr>
              </a:solidFill>
            </c:spPr>
            <c:extLst>
              <c:ext xmlns:c16="http://schemas.microsoft.com/office/drawing/2014/chart" uri="{C3380CC4-5D6E-409C-BE32-E72D297353CC}">
                <c16:uniqueId val="{00000058-D4AC-455C-95AC-723C06630CBC}"/>
              </c:ext>
            </c:extLst>
          </c:dPt>
          <c:dPt>
            <c:idx val="67"/>
            <c:invertIfNegative val="0"/>
            <c:bubble3D val="0"/>
            <c:spPr>
              <a:solidFill>
                <a:schemeClr val="accent6">
                  <a:lumMod val="60000"/>
                  <a:lumOff val="40000"/>
                </a:schemeClr>
              </a:solidFill>
            </c:spPr>
            <c:extLst>
              <c:ext xmlns:c16="http://schemas.microsoft.com/office/drawing/2014/chart" uri="{C3380CC4-5D6E-409C-BE32-E72D297353CC}">
                <c16:uniqueId val="{0000005A-D4AC-455C-95AC-723C06630CBC}"/>
              </c:ext>
            </c:extLst>
          </c:dPt>
          <c:dPt>
            <c:idx val="68"/>
            <c:invertIfNegative val="0"/>
            <c:bubble3D val="0"/>
            <c:spPr>
              <a:solidFill>
                <a:schemeClr val="accent6">
                  <a:lumMod val="60000"/>
                  <a:lumOff val="40000"/>
                </a:schemeClr>
              </a:solidFill>
            </c:spPr>
            <c:extLst>
              <c:ext xmlns:c16="http://schemas.microsoft.com/office/drawing/2014/chart" uri="{C3380CC4-5D6E-409C-BE32-E72D297353CC}">
                <c16:uniqueId val="{0000005C-D4AC-455C-95AC-723C06630CBC}"/>
              </c:ext>
            </c:extLst>
          </c:dPt>
          <c:dPt>
            <c:idx val="69"/>
            <c:invertIfNegative val="0"/>
            <c:bubble3D val="0"/>
            <c:spPr>
              <a:solidFill>
                <a:schemeClr val="accent6">
                  <a:lumMod val="60000"/>
                  <a:lumOff val="40000"/>
                </a:schemeClr>
              </a:solidFill>
            </c:spPr>
            <c:extLst>
              <c:ext xmlns:c16="http://schemas.microsoft.com/office/drawing/2014/chart" uri="{C3380CC4-5D6E-409C-BE32-E72D297353CC}">
                <c16:uniqueId val="{0000005E-D4AC-455C-95AC-723C06630CBC}"/>
              </c:ext>
            </c:extLst>
          </c:dPt>
          <c:dPt>
            <c:idx val="70"/>
            <c:invertIfNegative val="0"/>
            <c:bubble3D val="0"/>
            <c:spPr>
              <a:solidFill>
                <a:schemeClr val="accent6">
                  <a:lumMod val="60000"/>
                  <a:lumOff val="40000"/>
                </a:schemeClr>
              </a:solidFill>
            </c:spPr>
            <c:extLst>
              <c:ext xmlns:c16="http://schemas.microsoft.com/office/drawing/2014/chart" uri="{C3380CC4-5D6E-409C-BE32-E72D297353CC}">
                <c16:uniqueId val="{00000060-D4AC-455C-95AC-723C06630CBC}"/>
              </c:ext>
            </c:extLst>
          </c:dPt>
          <c:dPt>
            <c:idx val="71"/>
            <c:invertIfNegative val="0"/>
            <c:bubble3D val="0"/>
            <c:spPr>
              <a:solidFill>
                <a:schemeClr val="accent6">
                  <a:lumMod val="60000"/>
                  <a:lumOff val="40000"/>
                </a:schemeClr>
              </a:solidFill>
            </c:spPr>
            <c:extLst>
              <c:ext xmlns:c16="http://schemas.microsoft.com/office/drawing/2014/chart" uri="{C3380CC4-5D6E-409C-BE32-E72D297353CC}">
                <c16:uniqueId val="{00000062-D4AC-455C-95AC-723C06630CBC}"/>
              </c:ext>
            </c:extLst>
          </c:dPt>
          <c:dPt>
            <c:idx val="72"/>
            <c:invertIfNegative val="0"/>
            <c:bubble3D val="0"/>
            <c:spPr>
              <a:solidFill>
                <a:schemeClr val="accent6">
                  <a:lumMod val="60000"/>
                  <a:lumOff val="40000"/>
                </a:schemeClr>
              </a:solidFill>
            </c:spPr>
            <c:extLst>
              <c:ext xmlns:c16="http://schemas.microsoft.com/office/drawing/2014/chart" uri="{C3380CC4-5D6E-409C-BE32-E72D297353CC}">
                <c16:uniqueId val="{00000064-D4AC-455C-95AC-723C06630CBC}"/>
              </c:ext>
            </c:extLst>
          </c:dPt>
          <c:dPt>
            <c:idx val="73"/>
            <c:invertIfNegative val="0"/>
            <c:bubble3D val="0"/>
            <c:spPr>
              <a:solidFill>
                <a:schemeClr val="accent6">
                  <a:lumMod val="60000"/>
                  <a:lumOff val="40000"/>
                </a:schemeClr>
              </a:solidFill>
            </c:spPr>
            <c:extLst>
              <c:ext xmlns:c16="http://schemas.microsoft.com/office/drawing/2014/chart" uri="{C3380CC4-5D6E-409C-BE32-E72D297353CC}">
                <c16:uniqueId val="{00000066-D4AC-455C-95AC-723C06630CBC}"/>
              </c:ext>
            </c:extLst>
          </c:dPt>
          <c:dPt>
            <c:idx val="74"/>
            <c:invertIfNegative val="0"/>
            <c:bubble3D val="0"/>
            <c:spPr>
              <a:solidFill>
                <a:schemeClr val="accent6">
                  <a:lumMod val="60000"/>
                  <a:lumOff val="40000"/>
                </a:schemeClr>
              </a:solidFill>
            </c:spPr>
            <c:extLst>
              <c:ext xmlns:c16="http://schemas.microsoft.com/office/drawing/2014/chart" uri="{C3380CC4-5D6E-409C-BE32-E72D297353CC}">
                <c16:uniqueId val="{00000068-D4AC-455C-95AC-723C06630CBC}"/>
              </c:ext>
            </c:extLst>
          </c:dPt>
          <c:dPt>
            <c:idx val="75"/>
            <c:invertIfNegative val="0"/>
            <c:bubble3D val="0"/>
            <c:spPr>
              <a:solidFill>
                <a:schemeClr val="accent6">
                  <a:lumMod val="75000"/>
                </a:schemeClr>
              </a:solidFill>
            </c:spPr>
            <c:extLst>
              <c:ext xmlns:c16="http://schemas.microsoft.com/office/drawing/2014/chart" uri="{C3380CC4-5D6E-409C-BE32-E72D297353CC}">
                <c16:uniqueId val="{0000006A-D4AC-455C-95AC-723C06630CBC}"/>
              </c:ext>
            </c:extLst>
          </c:dPt>
          <c:dPt>
            <c:idx val="76"/>
            <c:invertIfNegative val="0"/>
            <c:bubble3D val="0"/>
            <c:spPr>
              <a:solidFill>
                <a:schemeClr val="accent6">
                  <a:lumMod val="75000"/>
                </a:schemeClr>
              </a:solidFill>
            </c:spPr>
            <c:extLst>
              <c:ext xmlns:c16="http://schemas.microsoft.com/office/drawing/2014/chart" uri="{C3380CC4-5D6E-409C-BE32-E72D297353CC}">
                <c16:uniqueId val="{0000006C-D4AC-455C-95AC-723C06630CBC}"/>
              </c:ext>
            </c:extLst>
          </c:dPt>
          <c:dPt>
            <c:idx val="77"/>
            <c:invertIfNegative val="0"/>
            <c:bubble3D val="0"/>
            <c:spPr>
              <a:solidFill>
                <a:schemeClr val="accent6">
                  <a:lumMod val="75000"/>
                </a:schemeClr>
              </a:solidFill>
            </c:spPr>
            <c:extLst>
              <c:ext xmlns:c16="http://schemas.microsoft.com/office/drawing/2014/chart" uri="{C3380CC4-5D6E-409C-BE32-E72D297353CC}">
                <c16:uniqueId val="{0000006E-D4AC-455C-95AC-723C06630CBC}"/>
              </c:ext>
            </c:extLst>
          </c:dPt>
          <c:dPt>
            <c:idx val="78"/>
            <c:invertIfNegative val="0"/>
            <c:bubble3D val="0"/>
            <c:spPr>
              <a:solidFill>
                <a:schemeClr val="accent6">
                  <a:lumMod val="75000"/>
                </a:schemeClr>
              </a:solidFill>
            </c:spPr>
            <c:extLst>
              <c:ext xmlns:c16="http://schemas.microsoft.com/office/drawing/2014/chart" uri="{C3380CC4-5D6E-409C-BE32-E72D297353CC}">
                <c16:uniqueId val="{00000070-D4AC-455C-95AC-723C06630CBC}"/>
              </c:ext>
            </c:extLst>
          </c:dPt>
          <c:dPt>
            <c:idx val="79"/>
            <c:invertIfNegative val="0"/>
            <c:bubble3D val="0"/>
            <c:spPr>
              <a:solidFill>
                <a:schemeClr val="accent6">
                  <a:lumMod val="75000"/>
                </a:schemeClr>
              </a:solidFill>
            </c:spPr>
            <c:extLst>
              <c:ext xmlns:c16="http://schemas.microsoft.com/office/drawing/2014/chart" uri="{C3380CC4-5D6E-409C-BE32-E72D297353CC}">
                <c16:uniqueId val="{00000072-D4AC-455C-95AC-723C06630CBC}"/>
              </c:ext>
            </c:extLst>
          </c:dPt>
          <c:dLbls>
            <c:dLbl>
              <c:idx val="8"/>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E-D4AC-455C-95AC-723C06630CBC}"/>
                </c:ext>
              </c:extLst>
            </c:dLbl>
            <c:dLbl>
              <c:idx val="24"/>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9-D4AC-455C-95AC-723C06630CBC}"/>
                </c:ext>
              </c:extLst>
            </c:dLbl>
            <c:numFmt formatCode="#,##0.0" sourceLinked="0"/>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Sheet1!$A$2:$A$82</c:f>
              <c:strCache>
                <c:ptCount val="40"/>
                <c:pt idx="0">
                  <c:v>I56 Ēdināšanas pakalpojumi</c:v>
                </c:pt>
                <c:pt idx="1">
                  <c:v>G47 Mazumtirdzniecība, izņemot automobiļus un motociklus</c:v>
                </c:pt>
                <c:pt idx="2">
                  <c:v>H52 Uzglabāšanas un transporta palīgdarbības</c:v>
                </c:pt>
                <c:pt idx="3">
                  <c:v>H49 Sauszemes transports un cauruļvadu transports</c:v>
                </c:pt>
                <c:pt idx="4">
                  <c:v>S96 Pārējo individuālo pakalpojumu sniegšana</c:v>
                </c:pt>
                <c:pt idx="5">
                  <c:v>P Izglītība</c:v>
                </c:pt>
                <c:pt idx="6">
                  <c:v>I55 Izmitināšana</c:v>
                </c:pt>
                <c:pt idx="7">
                  <c:v>F43 Specializētie būvdarbi</c:v>
                </c:pt>
                <c:pt idx="8">
                  <c:v>N80 Apsardzes pakalpojumi un izmeklēšana</c:v>
                </c:pt>
                <c:pt idx="9">
                  <c:v>R90 Radošas, mākslinieciskas un izklaides darbības</c:v>
                </c:pt>
                <c:pt idx="10">
                  <c:v>L68 Operācijas ar nekustamo īpašumu</c:v>
                </c:pt>
                <c:pt idx="11">
                  <c:v>M69 Juridiskie un grāmatvedības pakalpojumi</c:v>
                </c:pt>
                <c:pt idx="12">
                  <c:v>G45 Automobiļu un motociklu vairumtirdzniecība, mazumtirdzniecība un remonts</c:v>
                </c:pt>
                <c:pt idx="13">
                  <c:v>C33 Iekārtu un ierīču remonts un uzstādīšana</c:v>
                </c:pt>
                <c:pt idx="14">
                  <c:v>R92 Azartspēles un derības</c:v>
                </c:pt>
                <c:pt idx="15">
                  <c:v>F41 Ēku būvniecība</c:v>
                </c:pt>
                <c:pt idx="16">
                  <c:v>D35 Elektroenerģija, gāzes apgāde, siltumapgāde un gaisa kondicionēšana</c:v>
                </c:pt>
                <c:pt idx="17">
                  <c:v>E38 Atkritumu savākšana, apstrāde un izvietošana, materiālu pārstrāde</c:v>
                </c:pt>
                <c:pt idx="19">
                  <c:v>M75 Veterinārie pakalpojumi</c:v>
                </c:pt>
                <c:pt idx="20">
                  <c:v>S94 Sabiedrisko, politisko un citu organizāciju darbība</c:v>
                </c:pt>
                <c:pt idx="21">
                  <c:v>C28 Citur neklasificētu iekārtu, mehānismu un darba mašīnu ražošana</c:v>
                </c:pt>
                <c:pt idx="22">
                  <c:v>C23 Nemetālisko minerālu izstrādājumu ražošana</c:v>
                </c:pt>
                <c:pt idx="23">
                  <c:v>K65 Apdrošināšana, pārapdrošināšana un pensiju uzkrāšana, izņemot obligāto sociālo apdrošināšanu</c:v>
                </c:pt>
                <c:pt idx="24">
                  <c:v>M72 Zinātniskās pētniecības darbs</c:v>
                </c:pt>
                <c:pt idx="25">
                  <c:v>C27 Elektrisko iekārtu ražošana</c:v>
                </c:pt>
                <c:pt idx="26">
                  <c:v>C26 Datoru, elektronisko un optisko iekārtu ražošana</c:v>
                </c:pt>
                <c:pt idx="27">
                  <c:v>C20 Ķīmisko vielu un ķīmisko produktu ražošana</c:v>
                </c:pt>
                <c:pt idx="28">
                  <c:v>J63 Informācijas pakalpojumi</c:v>
                </c:pt>
                <c:pt idx="29">
                  <c:v>C21 Farmaceitisko pamatvielu un farmaceitisko preparātu ražošana</c:v>
                </c:pt>
                <c:pt idx="30">
                  <c:v>C22 Gumijas un plastmasas izstrādājumu ražošana</c:v>
                </c:pt>
                <c:pt idx="31">
                  <c:v>C18 Poligrāfija un ierakstu reproducēšana</c:v>
                </c:pt>
                <c:pt idx="32">
                  <c:v>B08 Pārējā ieguves rūpniecība un karjeru izstrāde</c:v>
                </c:pt>
                <c:pt idx="33">
                  <c:v>C30 Citu transportlīdzekļu ražošana</c:v>
                </c:pt>
                <c:pt idx="34">
                  <c:v>C25 Gatavo metālizstrādājumu ražošana, izņemot mašīnas un iekārtas</c:v>
                </c:pt>
                <c:pt idx="35">
                  <c:v>C31 Mēbeļu ražošana</c:v>
                </c:pt>
                <c:pt idx="36">
                  <c:v>C16 Koksnes, koka un korķa izstrādājumu ražošana, izņemot mēbeles, salmu un pīto izstrādājumu ražošana</c:v>
                </c:pt>
                <c:pt idx="37">
                  <c:v>Q88 Sociālā aprūpe bez izmitināšanas</c:v>
                </c:pt>
                <c:pt idx="38">
                  <c:v>J62 Datorprogrammēšana, konsultēšana un saistītas darbības</c:v>
                </c:pt>
                <c:pt idx="39">
                  <c:v>Q86 Veselības aizsardzība</c:v>
                </c:pt>
              </c:strCache>
            </c:strRef>
          </c:cat>
          <c:val>
            <c:numRef>
              <c:f>Sheet1!$B$2:$B$82</c:f>
              <c:numCache>
                <c:formatCode>0.00</c:formatCode>
                <c:ptCount val="40"/>
                <c:pt idx="0">
                  <c:v>-6.89</c:v>
                </c:pt>
                <c:pt idx="1">
                  <c:v>-4.66</c:v>
                </c:pt>
                <c:pt idx="2">
                  <c:v>-3.66</c:v>
                </c:pt>
                <c:pt idx="3">
                  <c:v>-2.99</c:v>
                </c:pt>
                <c:pt idx="4">
                  <c:v>-2.351</c:v>
                </c:pt>
                <c:pt idx="5">
                  <c:v>-2.327</c:v>
                </c:pt>
                <c:pt idx="6">
                  <c:v>-2.1349999999999998</c:v>
                </c:pt>
                <c:pt idx="7">
                  <c:v>-2.081</c:v>
                </c:pt>
                <c:pt idx="8">
                  <c:v>-1.8049999999999999</c:v>
                </c:pt>
                <c:pt idx="9">
                  <c:v>-1.6080000000000001</c:v>
                </c:pt>
                <c:pt idx="10">
                  <c:v>-1.5449999999999999</c:v>
                </c:pt>
                <c:pt idx="11">
                  <c:v>-1.5409999999999999</c:v>
                </c:pt>
                <c:pt idx="12">
                  <c:v>-1.5009999999999999</c:v>
                </c:pt>
                <c:pt idx="13">
                  <c:v>-1.2709999999999999</c:v>
                </c:pt>
                <c:pt idx="14">
                  <c:v>-1.2370000000000001</c:v>
                </c:pt>
                <c:pt idx="15">
                  <c:v>-1.2310000000000001</c:v>
                </c:pt>
                <c:pt idx="16">
                  <c:v>-1.206</c:v>
                </c:pt>
                <c:pt idx="17">
                  <c:v>-1.0049999999999999</c:v>
                </c:pt>
              </c:numCache>
            </c:numRef>
          </c:val>
          <c:extLst>
            <c:ext xmlns:c16="http://schemas.microsoft.com/office/drawing/2014/chart" uri="{C3380CC4-5D6E-409C-BE32-E72D297353CC}">
              <c16:uniqueId val="{00000073-D4AC-455C-95AC-723C06630CBC}"/>
            </c:ext>
          </c:extLst>
        </c:ser>
        <c:ser>
          <c:idx val="1"/>
          <c:order val="1"/>
          <c:tx>
            <c:strRef>
              <c:f>Sheet1!$C$1</c:f>
              <c:strCache>
                <c:ptCount val="1"/>
              </c:strCache>
            </c:strRef>
          </c:tx>
          <c:spPr>
            <a:solidFill>
              <a:srgbClr val="9BBB59"/>
            </a:solidFill>
          </c:spPr>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Sheet1!$C$2:$C$82</c:f>
              <c:numCache>
                <c:formatCode>General</c:formatCode>
                <c:ptCount val="40"/>
                <c:pt idx="19" formatCode="0.00">
                  <c:v>0.107</c:v>
                </c:pt>
                <c:pt idx="20" formatCode="0.00">
                  <c:v>0.13500000000000001</c:v>
                </c:pt>
                <c:pt idx="21" formatCode="0.00">
                  <c:v>0.154</c:v>
                </c:pt>
                <c:pt idx="22" formatCode="0.00">
                  <c:v>0.17299999999999999</c:v>
                </c:pt>
                <c:pt idx="23" formatCode="0.00">
                  <c:v>0.17799999999999999</c:v>
                </c:pt>
                <c:pt idx="24" formatCode="0.00">
                  <c:v>0.19700000000000001</c:v>
                </c:pt>
                <c:pt idx="25" formatCode="0.00">
                  <c:v>0.21199999999999999</c:v>
                </c:pt>
                <c:pt idx="26" formatCode="0.00">
                  <c:v>0.23400000000000001</c:v>
                </c:pt>
                <c:pt idx="27" formatCode="0.00">
                  <c:v>0.25</c:v>
                </c:pt>
                <c:pt idx="28" formatCode="0.00">
                  <c:v>0.28399999999999997</c:v>
                </c:pt>
                <c:pt idx="29" formatCode="0.00">
                  <c:v>0.29499999999999998</c:v>
                </c:pt>
                <c:pt idx="30" formatCode="0.00">
                  <c:v>0.29899999999999999</c:v>
                </c:pt>
                <c:pt idx="31" formatCode="0.00">
                  <c:v>0.34799999999999998</c:v>
                </c:pt>
                <c:pt idx="32" formatCode="0.00">
                  <c:v>0.40100000000000002</c:v>
                </c:pt>
                <c:pt idx="33" formatCode="0.00">
                  <c:v>0.434</c:v>
                </c:pt>
                <c:pt idx="34" formatCode="0.00">
                  <c:v>0.77</c:v>
                </c:pt>
                <c:pt idx="35" formatCode="0.00">
                  <c:v>0.94599999999999995</c:v>
                </c:pt>
                <c:pt idx="36" formatCode="0.00">
                  <c:v>1.423</c:v>
                </c:pt>
                <c:pt idx="37" formatCode="0.00">
                  <c:v>1.516</c:v>
                </c:pt>
                <c:pt idx="38" formatCode="0.00">
                  <c:v>2.5310000000000001</c:v>
                </c:pt>
                <c:pt idx="39" formatCode="0.00">
                  <c:v>4.7069999999999999</c:v>
                </c:pt>
              </c:numCache>
            </c:numRef>
          </c:val>
          <c:extLst>
            <c:ext xmlns:c16="http://schemas.microsoft.com/office/drawing/2014/chart" uri="{C3380CC4-5D6E-409C-BE32-E72D297353CC}">
              <c16:uniqueId val="{00000074-92B1-437A-A394-71955F84396E}"/>
            </c:ext>
          </c:extLst>
        </c:ser>
        <c:dLbls>
          <c:showLegendKey val="0"/>
          <c:showVal val="0"/>
          <c:showCatName val="0"/>
          <c:showSerName val="0"/>
          <c:showPercent val="0"/>
          <c:showBubbleSize val="0"/>
        </c:dLbls>
        <c:gapWidth val="20"/>
        <c:overlap val="100"/>
        <c:axId val="265297168"/>
        <c:axId val="265297952"/>
      </c:barChart>
      <c:catAx>
        <c:axId val="265297168"/>
        <c:scaling>
          <c:orientation val="minMax"/>
        </c:scaling>
        <c:delete val="0"/>
        <c:axPos val="b"/>
        <c:numFmt formatCode="General" sourceLinked="1"/>
        <c:majorTickMark val="none"/>
        <c:minorTickMark val="none"/>
        <c:tickLblPos val="low"/>
        <c:spPr>
          <a:noFill/>
          <a:ln w="3175"/>
        </c:spPr>
        <c:txPr>
          <a:bodyPr rot="-5400000" vert="horz"/>
          <a:lstStyle/>
          <a:p>
            <a:pPr>
              <a:defRPr/>
            </a:pPr>
            <a:endParaRPr lang="lv-LV"/>
          </a:p>
        </c:txPr>
        <c:crossAx val="265297952"/>
        <c:crosses val="autoZero"/>
        <c:auto val="1"/>
        <c:lblAlgn val="ctr"/>
        <c:lblOffset val="500"/>
        <c:tickLblSkip val="1"/>
        <c:noMultiLvlLbl val="1"/>
      </c:catAx>
      <c:valAx>
        <c:axId val="265297952"/>
        <c:scaling>
          <c:orientation val="minMax"/>
          <c:max val="6"/>
        </c:scaling>
        <c:delete val="1"/>
        <c:axPos val="l"/>
        <c:numFmt formatCode="0" sourceLinked="0"/>
        <c:majorTickMark val="out"/>
        <c:minorTickMark val="none"/>
        <c:tickLblPos val="nextTo"/>
        <c:crossAx val="265297168"/>
        <c:crosses val="autoZero"/>
        <c:crossBetween val="between"/>
        <c:majorUnit val="1"/>
      </c:valAx>
      <c:spPr>
        <a:noFill/>
        <a:ln w="24758">
          <a:noFill/>
        </a:ln>
      </c:spPr>
    </c:plotArea>
    <c:plotVisOnly val="1"/>
    <c:dispBlanksAs val="gap"/>
    <c:showDLblsOverMax val="0"/>
  </c:chart>
  <c:spPr>
    <a:noFill/>
    <a:ln>
      <a:noFill/>
    </a:ln>
  </c:spPr>
  <c:txPr>
    <a:bodyPr/>
    <a:lstStyle/>
    <a:p>
      <a:pPr>
        <a:defRPr sz="600" b="0" i="0" u="none" strike="noStrike" baseline="0">
          <a:solidFill>
            <a:srgbClr val="000000"/>
          </a:solidFill>
          <a:latin typeface="Segoe UI Light" panose="020B0502040204020203" pitchFamily="34" charset="0"/>
          <a:ea typeface="Arial"/>
          <a:cs typeface="Segoe UI Light" panose="020B0502040204020203" pitchFamily="34" charset="0"/>
        </a:defRPr>
      </a:pPr>
      <a:endParaRPr lang="lv-LV"/>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677406144121223E-2"/>
          <c:y val="3.1553175616893837E-2"/>
          <c:w val="0.90783571689946174"/>
          <c:h val="0.8324231469941713"/>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CC6600"/>
              </a:solidFill>
              <a:ln>
                <a:noFill/>
              </a:ln>
              <a:effectLst/>
            </c:spPr>
            <c:extLst>
              <c:ext xmlns:c16="http://schemas.microsoft.com/office/drawing/2014/chart" uri="{C3380CC4-5D6E-409C-BE32-E72D297353CC}">
                <c16:uniqueId val="{00000001-A837-4476-9862-AB69BED3395A}"/>
              </c:ext>
            </c:extLst>
          </c:dPt>
          <c:dPt>
            <c:idx val="1"/>
            <c:invertIfNegative val="0"/>
            <c:bubble3D val="0"/>
            <c:spPr>
              <a:solidFill>
                <a:srgbClr val="008000"/>
              </a:solidFill>
              <a:ln>
                <a:noFill/>
              </a:ln>
              <a:effectLst/>
            </c:spPr>
            <c:extLst>
              <c:ext xmlns:c16="http://schemas.microsoft.com/office/drawing/2014/chart" uri="{C3380CC4-5D6E-409C-BE32-E72D297353CC}">
                <c16:uniqueId val="{00000003-A837-4476-9862-AB69BED3395A}"/>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A837-4476-9862-AB69BED3395A}"/>
              </c:ext>
            </c:extLst>
          </c:dPt>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Augstākās kvalifikācijas profesijas</c:v>
                </c:pt>
                <c:pt idx="1">
                  <c:v>Vidējās kvalifikācijas profesijas</c:v>
                </c:pt>
                <c:pt idx="2">
                  <c:v>Vienkāršās profesijas</c:v>
                </c:pt>
              </c:strCache>
            </c:strRef>
          </c:cat>
          <c:val>
            <c:numRef>
              <c:f>Sheet1!$B$2:$B$4</c:f>
              <c:numCache>
                <c:formatCode>General</c:formatCode>
                <c:ptCount val="3"/>
                <c:pt idx="0">
                  <c:v>1</c:v>
                </c:pt>
                <c:pt idx="1">
                  <c:v>-10</c:v>
                </c:pt>
                <c:pt idx="2">
                  <c:v>-8.5</c:v>
                </c:pt>
              </c:numCache>
            </c:numRef>
          </c:val>
          <c:extLst>
            <c:ext xmlns:c16="http://schemas.microsoft.com/office/drawing/2014/chart" uri="{C3380CC4-5D6E-409C-BE32-E72D297353CC}">
              <c16:uniqueId val="{00000006-A837-4476-9862-AB69BED3395A}"/>
            </c:ext>
          </c:extLst>
        </c:ser>
        <c:dLbls>
          <c:showLegendKey val="0"/>
          <c:showVal val="0"/>
          <c:showCatName val="0"/>
          <c:showSerName val="0"/>
          <c:showPercent val="0"/>
          <c:showBubbleSize val="0"/>
        </c:dLbls>
        <c:gapWidth val="61"/>
        <c:overlap val="-27"/>
        <c:axId val="663213088"/>
        <c:axId val="663210792"/>
      </c:barChart>
      <c:catAx>
        <c:axId val="663213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63210792"/>
        <c:crosses val="autoZero"/>
        <c:auto val="1"/>
        <c:lblAlgn val="ctr"/>
        <c:lblOffset val="100"/>
        <c:noMultiLvlLbl val="0"/>
      </c:catAx>
      <c:valAx>
        <c:axId val="663210792"/>
        <c:scaling>
          <c:orientation val="minMax"/>
          <c:max val="3"/>
          <c:min val="-12"/>
        </c:scaling>
        <c:delete val="1"/>
        <c:axPos val="l"/>
        <c:numFmt formatCode="General" sourceLinked="1"/>
        <c:majorTickMark val="out"/>
        <c:minorTickMark val="none"/>
        <c:tickLblPos val="nextTo"/>
        <c:crossAx val="66321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86808657448248E-2"/>
          <c:y val="1.8693839740620648E-2"/>
          <c:w val="0.90783571689946174"/>
          <c:h val="0.76330399876486021"/>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CC6600"/>
              </a:solidFill>
              <a:ln>
                <a:noFill/>
              </a:ln>
              <a:effectLst/>
            </c:spPr>
            <c:extLst>
              <c:ext xmlns:c16="http://schemas.microsoft.com/office/drawing/2014/chart" uri="{C3380CC4-5D6E-409C-BE32-E72D297353CC}">
                <c16:uniqueId val="{00000001-A69F-425E-A771-5EDABAE6E25F}"/>
              </c:ext>
            </c:extLst>
          </c:dPt>
          <c:dPt>
            <c:idx val="1"/>
            <c:invertIfNegative val="0"/>
            <c:bubble3D val="0"/>
            <c:spPr>
              <a:solidFill>
                <a:srgbClr val="008000"/>
              </a:solidFill>
              <a:ln>
                <a:noFill/>
              </a:ln>
              <a:effectLst/>
            </c:spPr>
            <c:extLst>
              <c:ext xmlns:c16="http://schemas.microsoft.com/office/drawing/2014/chart" uri="{C3380CC4-5D6E-409C-BE32-E72D297353CC}">
                <c16:uniqueId val="{00000003-A69F-425E-A771-5EDABAE6E25F}"/>
              </c:ext>
            </c:extLst>
          </c:dPt>
          <c:dPt>
            <c:idx val="2"/>
            <c:invertIfNegative val="0"/>
            <c:bubble3D val="0"/>
            <c:spPr>
              <a:solidFill>
                <a:srgbClr val="CCCC00"/>
              </a:solidFill>
              <a:ln>
                <a:noFill/>
              </a:ln>
              <a:effectLst/>
            </c:spPr>
            <c:extLst>
              <c:ext xmlns:c16="http://schemas.microsoft.com/office/drawing/2014/chart" uri="{C3380CC4-5D6E-409C-BE32-E72D297353CC}">
                <c16:uniqueId val="{00000005-A69F-425E-A771-5EDABAE6E25F}"/>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A69F-425E-A771-5EDABAE6E25F}"/>
              </c:ext>
            </c:extLst>
          </c:dPt>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Augstākā izglītība (ISCED 5.-8. līmenis)</c:v>
                </c:pt>
                <c:pt idx="1">
                  <c:v>Arodizglītība vai profesionālā vidējā izglītība (ISCED 3. un 4. līmenis)</c:v>
                </c:pt>
                <c:pt idx="2">
                  <c:v>Vispārējā vidējā izglītība (ISCED 3. līmenis)</c:v>
                </c:pt>
                <c:pt idx="3">
                  <c:v>Pamatizglītība (ISCED 2. līmenis)</c:v>
                </c:pt>
              </c:strCache>
            </c:strRef>
          </c:cat>
          <c:val>
            <c:numRef>
              <c:f>Sheet1!$B$2:$B$5</c:f>
              <c:numCache>
                <c:formatCode>General</c:formatCode>
                <c:ptCount val="4"/>
                <c:pt idx="0">
                  <c:v>8.5</c:v>
                </c:pt>
                <c:pt idx="1">
                  <c:v>2.7</c:v>
                </c:pt>
                <c:pt idx="2">
                  <c:v>-45.4</c:v>
                </c:pt>
                <c:pt idx="3">
                  <c:v>-10</c:v>
                </c:pt>
              </c:numCache>
            </c:numRef>
          </c:val>
          <c:extLst>
            <c:ext xmlns:c16="http://schemas.microsoft.com/office/drawing/2014/chart" uri="{C3380CC4-5D6E-409C-BE32-E72D297353CC}">
              <c16:uniqueId val="{00000008-A69F-425E-A771-5EDABAE6E25F}"/>
            </c:ext>
          </c:extLst>
        </c:ser>
        <c:dLbls>
          <c:showLegendKey val="0"/>
          <c:showVal val="0"/>
          <c:showCatName val="0"/>
          <c:showSerName val="0"/>
          <c:showPercent val="0"/>
          <c:showBubbleSize val="0"/>
        </c:dLbls>
        <c:gapWidth val="180"/>
        <c:overlap val="-27"/>
        <c:axId val="663213088"/>
        <c:axId val="663210792"/>
      </c:barChart>
      <c:catAx>
        <c:axId val="663213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63210792"/>
        <c:crosses val="autoZero"/>
        <c:auto val="1"/>
        <c:lblAlgn val="ctr"/>
        <c:lblOffset val="100"/>
        <c:noMultiLvlLbl val="0"/>
      </c:catAx>
      <c:valAx>
        <c:axId val="663210792"/>
        <c:scaling>
          <c:orientation val="minMax"/>
          <c:min val="-60"/>
        </c:scaling>
        <c:delete val="1"/>
        <c:axPos val="l"/>
        <c:numFmt formatCode="General" sourceLinked="1"/>
        <c:majorTickMark val="out"/>
        <c:minorTickMark val="none"/>
        <c:tickLblPos val="nextTo"/>
        <c:crossAx val="663213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410099208560919E-2"/>
          <c:y val="3.8145910055816676E-2"/>
          <c:w val="0.93325018410152749"/>
          <c:h val="0.74970057037443949"/>
        </c:manualLayout>
      </c:layout>
      <c:barChart>
        <c:barDir val="col"/>
        <c:grouping val="stacked"/>
        <c:varyColors val="0"/>
        <c:ser>
          <c:idx val="0"/>
          <c:order val="0"/>
          <c:tx>
            <c:strRef>
              <c:f>Sheet1!$B$1</c:f>
              <c:strCache>
                <c:ptCount val="1"/>
                <c:pt idx="0">
                  <c:v>Zema</c:v>
                </c:pt>
              </c:strCache>
            </c:strRef>
          </c:tx>
          <c:spPr>
            <a:solidFill>
              <a:schemeClr val="bg1">
                <a:lumMod val="75000"/>
              </a:schemeClr>
            </a:solidFill>
            <a:ln>
              <a:noFill/>
            </a:ln>
            <a:effectLst/>
          </c:spPr>
          <c:invertIfNegative val="0"/>
          <c:cat>
            <c:strRef>
              <c:f>Sheet1!$A$2:$A$29</c:f>
              <c:strCache>
                <c:ptCount val="28"/>
                <c:pt idx="0">
                  <c:v>Portugāle</c:v>
                </c:pt>
                <c:pt idx="1">
                  <c:v>Slovēnija</c:v>
                </c:pt>
                <c:pt idx="2">
                  <c:v>Īrija</c:v>
                </c:pt>
                <c:pt idx="3">
                  <c:v>Ungārija</c:v>
                </c:pt>
                <c:pt idx="4">
                  <c:v>Nīderlande</c:v>
                </c:pt>
                <c:pt idx="5">
                  <c:v>Slovākija</c:v>
                </c:pt>
                <c:pt idx="6">
                  <c:v>Rumānija</c:v>
                </c:pt>
                <c:pt idx="7">
                  <c:v>Luksemburga</c:v>
                </c:pt>
                <c:pt idx="8">
                  <c:v>Malta</c:v>
                </c:pt>
                <c:pt idx="9">
                  <c:v>Čehija</c:v>
                </c:pt>
                <c:pt idx="10">
                  <c:v>Igaunija</c:v>
                </c:pt>
                <c:pt idx="11">
                  <c:v>Latvija</c:v>
                </c:pt>
                <c:pt idx="12">
                  <c:v>Lietuva</c:v>
                </c:pt>
                <c:pt idx="13">
                  <c:v>Kipra</c:v>
                </c:pt>
                <c:pt idx="14">
                  <c:v>Zviedrija</c:v>
                </c:pt>
                <c:pt idx="15">
                  <c:v>Bulgārija</c:v>
                </c:pt>
                <c:pt idx="16">
                  <c:v>Beļģija</c:v>
                </c:pt>
                <c:pt idx="17">
                  <c:v>Francija</c:v>
                </c:pt>
                <c:pt idx="18">
                  <c:v>Spānija</c:v>
                </c:pt>
                <c:pt idx="19">
                  <c:v>Grieķija</c:v>
                </c:pt>
                <c:pt idx="20">
                  <c:v>ES-27</c:v>
                </c:pt>
                <c:pt idx="21">
                  <c:v>Austrija</c:v>
                </c:pt>
                <c:pt idx="22">
                  <c:v>Polija</c:v>
                </c:pt>
                <c:pt idx="23">
                  <c:v>Dānija</c:v>
                </c:pt>
                <c:pt idx="24">
                  <c:v>Vācija</c:v>
                </c:pt>
                <c:pt idx="25">
                  <c:v>Itālija</c:v>
                </c:pt>
                <c:pt idx="26">
                  <c:v>Horvātija</c:v>
                </c:pt>
                <c:pt idx="27">
                  <c:v>Somija</c:v>
                </c:pt>
              </c:strCache>
            </c:strRef>
          </c:cat>
          <c:val>
            <c:numRef>
              <c:f>Sheet1!$B$2:$B$29</c:f>
              <c:numCache>
                <c:formatCode>0.00</c:formatCode>
                <c:ptCount val="28"/>
                <c:pt idx="0">
                  <c:v>-1.7825438257564636</c:v>
                </c:pt>
                <c:pt idx="1">
                  <c:v>2.7471620294611787</c:v>
                </c:pt>
                <c:pt idx="2">
                  <c:v>-0.94993347493785851</c:v>
                </c:pt>
                <c:pt idx="3">
                  <c:v>-0.55038842375698671</c:v>
                </c:pt>
                <c:pt idx="4">
                  <c:v>-0.64544562862121901</c:v>
                </c:pt>
                <c:pt idx="5">
                  <c:v>-1.1244694094525456</c:v>
                </c:pt>
                <c:pt idx="6">
                  <c:v>0.76789456422022706</c:v>
                </c:pt>
                <c:pt idx="7">
                  <c:v>-1.1243604069870017</c:v>
                </c:pt>
                <c:pt idx="8">
                  <c:v>-0.671923742463161</c:v>
                </c:pt>
                <c:pt idx="9">
                  <c:v>-0.4474730591177305</c:v>
                </c:pt>
                <c:pt idx="10">
                  <c:v>-0.59924150708436508</c:v>
                </c:pt>
                <c:pt idx="11">
                  <c:v>-0.45270828477232267</c:v>
                </c:pt>
                <c:pt idx="12">
                  <c:v>0.80751115217797964</c:v>
                </c:pt>
                <c:pt idx="13">
                  <c:v>-0.76033774820837285</c:v>
                </c:pt>
                <c:pt idx="14">
                  <c:v>-0.39731331777704759</c:v>
                </c:pt>
                <c:pt idx="15">
                  <c:v>-0.27191035510382711</c:v>
                </c:pt>
                <c:pt idx="16">
                  <c:v>-1.0346650984238648</c:v>
                </c:pt>
                <c:pt idx="17">
                  <c:v>-0.57804346165883791</c:v>
                </c:pt>
                <c:pt idx="18">
                  <c:v>-0.45017272184644241</c:v>
                </c:pt>
                <c:pt idx="19">
                  <c:v>-0.47678286669406295</c:v>
                </c:pt>
                <c:pt idx="20">
                  <c:v>-0.37045139116981263</c:v>
                </c:pt>
                <c:pt idx="21">
                  <c:v>-0.21875311929496905</c:v>
                </c:pt>
                <c:pt idx="22">
                  <c:v>-0.51778436006844553</c:v>
                </c:pt>
                <c:pt idx="23">
                  <c:v>-0.16104750967224357</c:v>
                </c:pt>
                <c:pt idx="24">
                  <c:v>-0.25215123202025347</c:v>
                </c:pt>
                <c:pt idx="25">
                  <c:v>1.2747104107012353E-2</c:v>
                </c:pt>
                <c:pt idx="26">
                  <c:v>-0.88423121235100122</c:v>
                </c:pt>
                <c:pt idx="27">
                  <c:v>0.39889578679089266</c:v>
                </c:pt>
              </c:numCache>
            </c:numRef>
          </c:val>
          <c:extLst>
            <c:ext xmlns:c16="http://schemas.microsoft.com/office/drawing/2014/chart" uri="{C3380CC4-5D6E-409C-BE32-E72D297353CC}">
              <c16:uniqueId val="{00000000-8745-4DE3-BC47-4763C45AD70F}"/>
            </c:ext>
          </c:extLst>
        </c:ser>
        <c:ser>
          <c:idx val="1"/>
          <c:order val="1"/>
          <c:tx>
            <c:strRef>
              <c:f>Sheet1!$C$1</c:f>
              <c:strCache>
                <c:ptCount val="1"/>
                <c:pt idx="0">
                  <c:v>Vidēja</c:v>
                </c:pt>
              </c:strCache>
            </c:strRef>
          </c:tx>
          <c:spPr>
            <a:solidFill>
              <a:srgbClr val="74B331"/>
            </a:solidFill>
            <a:ln>
              <a:noFill/>
            </a:ln>
            <a:effectLst/>
          </c:spPr>
          <c:invertIfNegative val="0"/>
          <c:cat>
            <c:strRef>
              <c:f>Sheet1!$A$2:$A$29</c:f>
              <c:strCache>
                <c:ptCount val="28"/>
                <c:pt idx="0">
                  <c:v>Portugāle</c:v>
                </c:pt>
                <c:pt idx="1">
                  <c:v>Slovēnija</c:v>
                </c:pt>
                <c:pt idx="2">
                  <c:v>Īrija</c:v>
                </c:pt>
                <c:pt idx="3">
                  <c:v>Ungārija</c:v>
                </c:pt>
                <c:pt idx="4">
                  <c:v>Nīderlande</c:v>
                </c:pt>
                <c:pt idx="5">
                  <c:v>Slovākija</c:v>
                </c:pt>
                <c:pt idx="6">
                  <c:v>Rumānija</c:v>
                </c:pt>
                <c:pt idx="7">
                  <c:v>Luksemburga</c:v>
                </c:pt>
                <c:pt idx="8">
                  <c:v>Malta</c:v>
                </c:pt>
                <c:pt idx="9">
                  <c:v>Čehija</c:v>
                </c:pt>
                <c:pt idx="10">
                  <c:v>Igaunija</c:v>
                </c:pt>
                <c:pt idx="11">
                  <c:v>Latvija</c:v>
                </c:pt>
                <c:pt idx="12">
                  <c:v>Lietuva</c:v>
                </c:pt>
                <c:pt idx="13">
                  <c:v>Kipra</c:v>
                </c:pt>
                <c:pt idx="14">
                  <c:v>Zviedrija</c:v>
                </c:pt>
                <c:pt idx="15">
                  <c:v>Bulgārija</c:v>
                </c:pt>
                <c:pt idx="16">
                  <c:v>Beļģija</c:v>
                </c:pt>
                <c:pt idx="17">
                  <c:v>Francija</c:v>
                </c:pt>
                <c:pt idx="18">
                  <c:v>Spānija</c:v>
                </c:pt>
                <c:pt idx="19">
                  <c:v>Grieķija</c:v>
                </c:pt>
                <c:pt idx="20">
                  <c:v>ES-27</c:v>
                </c:pt>
                <c:pt idx="21">
                  <c:v>Austrija</c:v>
                </c:pt>
                <c:pt idx="22">
                  <c:v>Polija</c:v>
                </c:pt>
                <c:pt idx="23">
                  <c:v>Dānija</c:v>
                </c:pt>
                <c:pt idx="24">
                  <c:v>Vācija</c:v>
                </c:pt>
                <c:pt idx="25">
                  <c:v>Itālija</c:v>
                </c:pt>
                <c:pt idx="26">
                  <c:v>Horvātija</c:v>
                </c:pt>
                <c:pt idx="27">
                  <c:v>Somija</c:v>
                </c:pt>
              </c:strCache>
            </c:strRef>
          </c:cat>
          <c:val>
            <c:numRef>
              <c:f>Sheet1!$C$2:$C$29</c:f>
              <c:numCache>
                <c:formatCode>0.00</c:formatCode>
                <c:ptCount val="28"/>
                <c:pt idx="0">
                  <c:v>-4.3772407061883563</c:v>
                </c:pt>
                <c:pt idx="1">
                  <c:v>-7.1754029696035726</c:v>
                </c:pt>
                <c:pt idx="2">
                  <c:v>-2.830556452547317</c:v>
                </c:pt>
                <c:pt idx="3">
                  <c:v>-3.2092120959329562</c:v>
                </c:pt>
                <c:pt idx="4">
                  <c:v>-3.0356586249511599</c:v>
                </c:pt>
                <c:pt idx="5">
                  <c:v>-2.4149661406032474</c:v>
                </c:pt>
                <c:pt idx="6">
                  <c:v>-3.9501194134297091</c:v>
                </c:pt>
                <c:pt idx="7">
                  <c:v>-1.9897469074084906</c:v>
                </c:pt>
                <c:pt idx="8">
                  <c:v>-2.1532006490512732</c:v>
                </c:pt>
                <c:pt idx="9">
                  <c:v>-2.3638681813037299</c:v>
                </c:pt>
                <c:pt idx="10">
                  <c:v>-2.2023160308297207</c:v>
                </c:pt>
                <c:pt idx="11">
                  <c:v>-2.2970811410067906</c:v>
                </c:pt>
                <c:pt idx="12">
                  <c:v>-3.3815647689918626</c:v>
                </c:pt>
                <c:pt idx="13">
                  <c:v>-1.7185851672999963</c:v>
                </c:pt>
                <c:pt idx="14">
                  <c:v>-1.9954405762123872</c:v>
                </c:pt>
                <c:pt idx="15">
                  <c:v>-2.0170044490005701</c:v>
                </c:pt>
                <c:pt idx="16">
                  <c:v>-1.0370694457124185</c:v>
                </c:pt>
                <c:pt idx="17">
                  <c:v>-1.274605382309113</c:v>
                </c:pt>
                <c:pt idx="18">
                  <c:v>-1.2779110097080437</c:v>
                </c:pt>
                <c:pt idx="19">
                  <c:v>-1.1551445802139959</c:v>
                </c:pt>
                <c:pt idx="20">
                  <c:v>-1.1395086707894242</c:v>
                </c:pt>
                <c:pt idx="21">
                  <c:v>-1.272384232278706</c:v>
                </c:pt>
                <c:pt idx="22">
                  <c:v>-0.89648427513776552</c:v>
                </c:pt>
                <c:pt idx="23">
                  <c:v>-0.39320846019721412</c:v>
                </c:pt>
                <c:pt idx="24">
                  <c:v>0.36710136215923339</c:v>
                </c:pt>
                <c:pt idx="25">
                  <c:v>0.67338346353391643</c:v>
                </c:pt>
                <c:pt idx="26">
                  <c:v>1.7412013829775974</c:v>
                </c:pt>
                <c:pt idx="27">
                  <c:v>0.78667256276094277</c:v>
                </c:pt>
              </c:numCache>
            </c:numRef>
          </c:val>
          <c:extLst>
            <c:ext xmlns:c16="http://schemas.microsoft.com/office/drawing/2014/chart" uri="{C3380CC4-5D6E-409C-BE32-E72D297353CC}">
              <c16:uniqueId val="{00000001-8745-4DE3-BC47-4763C45AD70F}"/>
            </c:ext>
          </c:extLst>
        </c:ser>
        <c:ser>
          <c:idx val="2"/>
          <c:order val="2"/>
          <c:tx>
            <c:strRef>
              <c:f>Sheet1!$D$1</c:f>
              <c:strCache>
                <c:ptCount val="1"/>
                <c:pt idx="0">
                  <c:v>Augsta</c:v>
                </c:pt>
              </c:strCache>
            </c:strRef>
          </c:tx>
          <c:spPr>
            <a:solidFill>
              <a:schemeClr val="accent6">
                <a:lumMod val="75000"/>
              </a:schemeClr>
            </a:solidFill>
            <a:ln>
              <a:noFill/>
            </a:ln>
            <a:effectLst/>
          </c:spPr>
          <c:invertIfNegative val="0"/>
          <c:cat>
            <c:strRef>
              <c:f>Sheet1!$A$2:$A$29</c:f>
              <c:strCache>
                <c:ptCount val="28"/>
                <c:pt idx="0">
                  <c:v>Portugāle</c:v>
                </c:pt>
                <c:pt idx="1">
                  <c:v>Slovēnija</c:v>
                </c:pt>
                <c:pt idx="2">
                  <c:v>Īrija</c:v>
                </c:pt>
                <c:pt idx="3">
                  <c:v>Ungārija</c:v>
                </c:pt>
                <c:pt idx="4">
                  <c:v>Nīderlande</c:v>
                </c:pt>
                <c:pt idx="5">
                  <c:v>Slovākija</c:v>
                </c:pt>
                <c:pt idx="6">
                  <c:v>Rumānija</c:v>
                </c:pt>
                <c:pt idx="7">
                  <c:v>Luksemburga</c:v>
                </c:pt>
                <c:pt idx="8">
                  <c:v>Malta</c:v>
                </c:pt>
                <c:pt idx="9">
                  <c:v>Čehija</c:v>
                </c:pt>
                <c:pt idx="10">
                  <c:v>Igaunija</c:v>
                </c:pt>
                <c:pt idx="11">
                  <c:v>Latvija</c:v>
                </c:pt>
                <c:pt idx="12">
                  <c:v>Lietuva</c:v>
                </c:pt>
                <c:pt idx="13">
                  <c:v>Kipra</c:v>
                </c:pt>
                <c:pt idx="14">
                  <c:v>Zviedrija</c:v>
                </c:pt>
                <c:pt idx="15">
                  <c:v>Bulgārija</c:v>
                </c:pt>
                <c:pt idx="16">
                  <c:v>Beļģija</c:v>
                </c:pt>
                <c:pt idx="17">
                  <c:v>Francija</c:v>
                </c:pt>
                <c:pt idx="18">
                  <c:v>Spānija</c:v>
                </c:pt>
                <c:pt idx="19">
                  <c:v>Grieķija</c:v>
                </c:pt>
                <c:pt idx="20">
                  <c:v>ES-27</c:v>
                </c:pt>
                <c:pt idx="21">
                  <c:v>Austrija</c:v>
                </c:pt>
                <c:pt idx="22">
                  <c:v>Polija</c:v>
                </c:pt>
                <c:pt idx="23">
                  <c:v>Dānija</c:v>
                </c:pt>
                <c:pt idx="24">
                  <c:v>Vācija</c:v>
                </c:pt>
                <c:pt idx="25">
                  <c:v>Itālija</c:v>
                </c:pt>
                <c:pt idx="26">
                  <c:v>Horvātija</c:v>
                </c:pt>
                <c:pt idx="27">
                  <c:v>Somija</c:v>
                </c:pt>
              </c:strCache>
            </c:strRef>
          </c:cat>
          <c:val>
            <c:numRef>
              <c:f>Sheet1!$D$2:$D$29</c:f>
              <c:numCache>
                <c:formatCode>0.00</c:formatCode>
                <c:ptCount val="28"/>
                <c:pt idx="0">
                  <c:v>6.1597845319448172</c:v>
                </c:pt>
                <c:pt idx="1">
                  <c:v>4.4282409401423974</c:v>
                </c:pt>
                <c:pt idx="2">
                  <c:v>3.780489927485192</c:v>
                </c:pt>
                <c:pt idx="3">
                  <c:v>3.7596005196899265</c:v>
                </c:pt>
                <c:pt idx="4">
                  <c:v>3.681104253572359</c:v>
                </c:pt>
                <c:pt idx="5">
                  <c:v>3.5394355500557859</c:v>
                </c:pt>
                <c:pt idx="6">
                  <c:v>3.1822248492094669</c:v>
                </c:pt>
                <c:pt idx="7">
                  <c:v>3.1141073143955089</c:v>
                </c:pt>
                <c:pt idx="8">
                  <c:v>2.8251243915144384</c:v>
                </c:pt>
                <c:pt idx="9">
                  <c:v>2.8113412404214611</c:v>
                </c:pt>
                <c:pt idx="10">
                  <c:v>2.80155753791409</c:v>
                </c:pt>
                <c:pt idx="11">
                  <c:v>2.7497894257791202</c:v>
                </c:pt>
                <c:pt idx="12">
                  <c:v>2.5740536168138983</c:v>
                </c:pt>
                <c:pt idx="13">
                  <c:v>2.4789229155083579</c:v>
                </c:pt>
                <c:pt idx="14">
                  <c:v>2.3927538939894299</c:v>
                </c:pt>
                <c:pt idx="15">
                  <c:v>2.2889148041043916</c:v>
                </c:pt>
                <c:pt idx="16">
                  <c:v>2.0717345441362833</c:v>
                </c:pt>
                <c:pt idx="17">
                  <c:v>1.8526488439679523</c:v>
                </c:pt>
                <c:pt idx="18">
                  <c:v>1.7280837315545083</c:v>
                </c:pt>
                <c:pt idx="19">
                  <c:v>1.6319274469080824</c:v>
                </c:pt>
                <c:pt idx="20">
                  <c:v>1.5099600619592368</c:v>
                </c:pt>
                <c:pt idx="21">
                  <c:v>1.4911373515736848</c:v>
                </c:pt>
                <c:pt idx="22">
                  <c:v>1.4142686352062173</c:v>
                </c:pt>
                <c:pt idx="23">
                  <c:v>0.55425596986944936</c:v>
                </c:pt>
                <c:pt idx="24">
                  <c:v>-0.11495013013896327</c:v>
                </c:pt>
                <c:pt idx="25">
                  <c:v>-0.68613056764093017</c:v>
                </c:pt>
                <c:pt idx="26">
                  <c:v>-0.85697017062659753</c:v>
                </c:pt>
                <c:pt idx="27">
                  <c:v>-1.1855683495518354</c:v>
                </c:pt>
              </c:numCache>
            </c:numRef>
          </c:val>
          <c:extLst>
            <c:ext xmlns:c16="http://schemas.microsoft.com/office/drawing/2014/chart" uri="{C3380CC4-5D6E-409C-BE32-E72D297353CC}">
              <c16:uniqueId val="{00000002-8745-4DE3-BC47-4763C45AD70F}"/>
            </c:ext>
          </c:extLst>
        </c:ser>
        <c:dLbls>
          <c:showLegendKey val="0"/>
          <c:showVal val="0"/>
          <c:showCatName val="0"/>
          <c:showSerName val="0"/>
          <c:showPercent val="0"/>
          <c:showBubbleSize val="0"/>
        </c:dLbls>
        <c:gapWidth val="80"/>
        <c:overlap val="100"/>
        <c:axId val="569731512"/>
        <c:axId val="569727576"/>
      </c:barChart>
      <c:catAx>
        <c:axId val="569731512"/>
        <c:scaling>
          <c:orientation val="minMax"/>
        </c:scaling>
        <c:delete val="0"/>
        <c:axPos val="b"/>
        <c:numFmt formatCode="General" sourceLinked="1"/>
        <c:majorTickMark val="out"/>
        <c:minorTickMark val="none"/>
        <c:tickLblPos val="low"/>
        <c:spPr>
          <a:noFill/>
          <a:ln w="9525" cap="flat" cmpd="sng" algn="ctr">
            <a:solidFill>
              <a:schemeClr val="bg1">
                <a:lumMod val="6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69727576"/>
        <c:crosses val="autoZero"/>
        <c:auto val="1"/>
        <c:lblAlgn val="ctr"/>
        <c:lblOffset val="100"/>
        <c:noMultiLvlLbl val="0"/>
      </c:catAx>
      <c:valAx>
        <c:axId val="569727576"/>
        <c:scaling>
          <c:orientation val="minMax"/>
          <c:max val="8"/>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69731512"/>
        <c:crosses val="autoZero"/>
        <c:crossBetween val="between"/>
        <c:majorUnit val="4"/>
      </c:valAx>
      <c:spPr>
        <a:noFill/>
        <a:ln>
          <a:noFill/>
        </a:ln>
        <a:effectLst/>
      </c:spPr>
    </c:plotArea>
    <c:legend>
      <c:legendPos val="b"/>
      <c:layout>
        <c:manualLayout>
          <c:xMode val="edge"/>
          <c:yMode val="edge"/>
          <c:x val="0.37682348284103545"/>
          <c:y val="7.4503719980738847E-2"/>
          <c:w val="0.24412345291082288"/>
          <c:h val="5.9863205083860643E-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146098762059338E-2"/>
          <c:y val="4.7032080353913347E-2"/>
          <c:w val="0.89808648220648402"/>
          <c:h val="0.85727773443197575"/>
        </c:manualLayout>
      </c:layout>
      <c:barChart>
        <c:barDir val="col"/>
        <c:grouping val="clustered"/>
        <c:varyColors val="0"/>
        <c:ser>
          <c:idx val="2"/>
          <c:order val="0"/>
          <c:tx>
            <c:strRef>
              <c:f>Sheet1!$A$2</c:f>
              <c:strCache>
                <c:ptCount val="1"/>
                <c:pt idx="0">
                  <c:v>2010</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Sheet1!$B$2:$C$2</c:f>
              <c:numCache>
                <c:formatCode>0</c:formatCode>
                <c:ptCount val="2"/>
                <c:pt idx="0">
                  <c:v>491.43200000000002</c:v>
                </c:pt>
                <c:pt idx="1">
                  <c:v>285.31099999999998</c:v>
                </c:pt>
              </c:numCache>
            </c:numRef>
          </c:val>
          <c:extLst>
            <c:ext xmlns:c16="http://schemas.microsoft.com/office/drawing/2014/chart" uri="{C3380CC4-5D6E-409C-BE32-E72D297353CC}">
              <c16:uniqueId val="{00000000-2324-4219-AC5A-D02DEDAA92F5}"/>
            </c:ext>
          </c:extLst>
        </c:ser>
        <c:ser>
          <c:idx val="3"/>
          <c:order val="1"/>
          <c:tx>
            <c:strRef>
              <c:f>Sheet1!$A$3</c:f>
              <c:strCache>
                <c:ptCount val="1"/>
                <c:pt idx="0">
                  <c:v>2021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Privātais sektors</c:v>
                </c:pt>
                <c:pt idx="1">
                  <c:v>Sabiedriskais sektors</c:v>
                </c:pt>
              </c:strCache>
            </c:strRef>
          </c:cat>
          <c:val>
            <c:numRef>
              <c:f>Sheet1!$B$3:$C$3</c:f>
              <c:numCache>
                <c:formatCode>0</c:formatCode>
                <c:ptCount val="2"/>
                <c:pt idx="0">
                  <c:v>605.35699999999997</c:v>
                </c:pt>
                <c:pt idx="1">
                  <c:v>287.28899999999999</c:v>
                </c:pt>
              </c:numCache>
            </c:numRef>
          </c:val>
          <c:extLst>
            <c:ext xmlns:c16="http://schemas.microsoft.com/office/drawing/2014/chart" uri="{C3380CC4-5D6E-409C-BE32-E72D297353CC}">
              <c16:uniqueId val="{00000001-2324-4219-AC5A-D02DEDAA92F5}"/>
            </c:ext>
          </c:extLst>
        </c:ser>
        <c:dLbls>
          <c:showLegendKey val="0"/>
          <c:showVal val="0"/>
          <c:showCatName val="0"/>
          <c:showSerName val="0"/>
          <c:showPercent val="0"/>
          <c:showBubbleSize val="0"/>
        </c:dLbls>
        <c:gapWidth val="40"/>
        <c:axId val="742049912"/>
        <c:axId val="742055008"/>
      </c:barChart>
      <c:catAx>
        <c:axId val="742049912"/>
        <c:scaling>
          <c:orientation val="minMax"/>
        </c:scaling>
        <c:delete val="0"/>
        <c:axPos val="b"/>
        <c:numFmt formatCode="General" sourceLinked="1"/>
        <c:majorTickMark val="out"/>
        <c:minorTickMark val="none"/>
        <c:tickLblPos val="low"/>
        <c:spPr>
          <a:ln w="6350"/>
        </c:spPr>
        <c:txPr>
          <a:bodyPr rot="0" vert="horz"/>
          <a:lstStyle/>
          <a:p>
            <a:pPr>
              <a:defRPr/>
            </a:pPr>
            <a:endParaRPr lang="lv-LV"/>
          </a:p>
        </c:txPr>
        <c:crossAx val="742055008"/>
        <c:crosses val="autoZero"/>
        <c:auto val="0"/>
        <c:lblAlgn val="ctr"/>
        <c:lblOffset val="0"/>
        <c:noMultiLvlLbl val="1"/>
      </c:catAx>
      <c:valAx>
        <c:axId val="742055008"/>
        <c:scaling>
          <c:orientation val="minMax"/>
          <c:max val="800"/>
          <c:min val="0"/>
        </c:scaling>
        <c:delete val="1"/>
        <c:axPos val="l"/>
        <c:numFmt formatCode="0" sourceLinked="0"/>
        <c:majorTickMark val="out"/>
        <c:minorTickMark val="none"/>
        <c:tickLblPos val="nextTo"/>
        <c:crossAx val="742049912"/>
        <c:crosses val="autoZero"/>
        <c:crossBetween val="between"/>
        <c:majorUnit val="100"/>
      </c:valAx>
      <c:spPr>
        <a:noFill/>
        <a:ln w="24631">
          <a:noFill/>
        </a:ln>
      </c:spPr>
    </c:plotArea>
    <c:legend>
      <c:legendPos val="l"/>
      <c:layout>
        <c:manualLayout>
          <c:xMode val="edge"/>
          <c:yMode val="edge"/>
          <c:x val="0.22643678160919542"/>
          <c:y val="7.1083771100209067E-2"/>
          <c:w val="0.52988531891065982"/>
          <c:h val="0.15094656938314965"/>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28795466396442E-2"/>
          <c:y val="3.5214820859630701E-2"/>
          <c:w val="0.54886161820953649"/>
          <c:h val="0.86456970717690063"/>
        </c:manualLayout>
      </c:layout>
      <c:lineChart>
        <c:grouping val="standard"/>
        <c:varyColors val="0"/>
        <c:ser>
          <c:idx val="1"/>
          <c:order val="0"/>
          <c:tx>
            <c:strRef>
              <c:f>Sheet1!$A$19</c:f>
              <c:strCache>
                <c:ptCount val="1"/>
                <c:pt idx="0">
                  <c:v>Sabiedriskie pakalpojumi</c:v>
                </c:pt>
              </c:strCache>
            </c:strRef>
          </c:tx>
          <c:spPr>
            <a:ln w="28575" cap="rnd" cmpd="sng" algn="ctr">
              <a:solidFill>
                <a:schemeClr val="accent2">
                  <a:shade val="95000"/>
                  <a:satMod val="105000"/>
                </a:schemeClr>
              </a:solidFill>
              <a:prstDash val="solid"/>
              <a:round/>
            </a:ln>
            <a:effectLst/>
          </c:spPr>
          <c:marker>
            <c:symbol val="none"/>
          </c:marker>
          <c:dPt>
            <c:idx val="0"/>
            <c:bubble3D val="0"/>
            <c:extLst>
              <c:ext xmlns:c16="http://schemas.microsoft.com/office/drawing/2014/chart" uri="{C3380CC4-5D6E-409C-BE32-E72D297353CC}">
                <c16:uniqueId val="{00000000-9861-4E56-95A7-1875B661C106}"/>
              </c:ext>
            </c:extLst>
          </c:dPt>
          <c:dPt>
            <c:idx val="1"/>
            <c:bubble3D val="0"/>
            <c:extLst>
              <c:ext xmlns:c16="http://schemas.microsoft.com/office/drawing/2014/chart" uri="{C3380CC4-5D6E-409C-BE32-E72D297353CC}">
                <c16:uniqueId val="{00000001-9861-4E56-95A7-1875B661C106}"/>
              </c:ext>
            </c:extLst>
          </c:dPt>
          <c:dPt>
            <c:idx val="2"/>
            <c:bubble3D val="0"/>
            <c:extLst>
              <c:ext xmlns:c16="http://schemas.microsoft.com/office/drawing/2014/chart" uri="{C3380CC4-5D6E-409C-BE32-E72D297353CC}">
                <c16:uniqueId val="{00000002-9861-4E56-95A7-1875B661C106}"/>
              </c:ext>
            </c:extLst>
          </c:dPt>
          <c:dPt>
            <c:idx val="23"/>
            <c:bubble3D val="0"/>
            <c:extLst>
              <c:ext xmlns:c16="http://schemas.microsoft.com/office/drawing/2014/chart" uri="{C3380CC4-5D6E-409C-BE32-E72D297353CC}">
                <c16:uniqueId val="{00000003-9861-4E56-95A7-1875B661C106}"/>
              </c:ext>
            </c:extLst>
          </c:dPt>
          <c:dPt>
            <c:idx val="25"/>
            <c:bubble3D val="0"/>
            <c:extLst>
              <c:ext xmlns:c16="http://schemas.microsoft.com/office/drawing/2014/chart" uri="{C3380CC4-5D6E-409C-BE32-E72D297353CC}">
                <c16:uniqueId val="{00000004-9861-4E56-95A7-1875B661C106}"/>
              </c:ext>
            </c:extLst>
          </c:dPt>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Sheet1!$B$19:$BQ$19</c:f>
              <c:numCache>
                <c:formatCode>General</c:formatCode>
                <c:ptCount val="68"/>
                <c:pt idx="0">
                  <c:v>234.328</c:v>
                </c:pt>
                <c:pt idx="1">
                  <c:v>231.88499999999999</c:v>
                </c:pt>
                <c:pt idx="2">
                  <c:v>233.79</c:v>
                </c:pt>
                <c:pt idx="3">
                  <c:v>234.542</c:v>
                </c:pt>
                <c:pt idx="4">
                  <c:v>235.71799999999999</c:v>
                </c:pt>
                <c:pt idx="5">
                  <c:v>233.482</c:v>
                </c:pt>
                <c:pt idx="6">
                  <c:v>235.846</c:v>
                </c:pt>
                <c:pt idx="7">
                  <c:v>237.24199999999999</c:v>
                </c:pt>
                <c:pt idx="8">
                  <c:v>244.215</c:v>
                </c:pt>
                <c:pt idx="9">
                  <c:v>241.84200000000001</c:v>
                </c:pt>
                <c:pt idx="10">
                  <c:v>242.23</c:v>
                </c:pt>
                <c:pt idx="11">
                  <c:v>246.76300000000001</c:v>
                </c:pt>
                <c:pt idx="12">
                  <c:v>244.59700000000001</c:v>
                </c:pt>
                <c:pt idx="13">
                  <c:v>246.065</c:v>
                </c:pt>
                <c:pt idx="14">
                  <c:v>244.95099999999999</c:v>
                </c:pt>
                <c:pt idx="15">
                  <c:v>244.768</c:v>
                </c:pt>
                <c:pt idx="16">
                  <c:v>240.27799999999999</c:v>
                </c:pt>
                <c:pt idx="17">
                  <c:v>230.96100000000001</c:v>
                </c:pt>
                <c:pt idx="18">
                  <c:v>209.78899999999999</c:v>
                </c:pt>
                <c:pt idx="19">
                  <c:v>207.36</c:v>
                </c:pt>
                <c:pt idx="20">
                  <c:v>210.81700000000001</c:v>
                </c:pt>
                <c:pt idx="21">
                  <c:v>211.209</c:v>
                </c:pt>
                <c:pt idx="22">
                  <c:v>219.947</c:v>
                </c:pt>
                <c:pt idx="23">
                  <c:v>214.709</c:v>
                </c:pt>
                <c:pt idx="24">
                  <c:v>213.441</c:v>
                </c:pt>
                <c:pt idx="25">
                  <c:v>214.715</c:v>
                </c:pt>
                <c:pt idx="26">
                  <c:v>214.87100000000001</c:v>
                </c:pt>
                <c:pt idx="27">
                  <c:v>217.15600000000001</c:v>
                </c:pt>
                <c:pt idx="28">
                  <c:v>214.685</c:v>
                </c:pt>
                <c:pt idx="29">
                  <c:v>212.32900000000001</c:v>
                </c:pt>
                <c:pt idx="30">
                  <c:v>210.42599999999999</c:v>
                </c:pt>
                <c:pt idx="31">
                  <c:v>213.85900000000001</c:v>
                </c:pt>
                <c:pt idx="32">
                  <c:v>214.75800000000001</c:v>
                </c:pt>
                <c:pt idx="33">
                  <c:v>219.285</c:v>
                </c:pt>
                <c:pt idx="34">
                  <c:v>214.827</c:v>
                </c:pt>
                <c:pt idx="35">
                  <c:v>217.029</c:v>
                </c:pt>
                <c:pt idx="36">
                  <c:v>218.57499999999999</c:v>
                </c:pt>
                <c:pt idx="37">
                  <c:v>218.31700000000001</c:v>
                </c:pt>
                <c:pt idx="38">
                  <c:v>229.27799999999999</c:v>
                </c:pt>
                <c:pt idx="39">
                  <c:v>222.37</c:v>
                </c:pt>
                <c:pt idx="40">
                  <c:v>224.05199999999999</c:v>
                </c:pt>
                <c:pt idx="41">
                  <c:v>224.14</c:v>
                </c:pt>
                <c:pt idx="42">
                  <c:v>223.47</c:v>
                </c:pt>
                <c:pt idx="43">
                  <c:v>225.721</c:v>
                </c:pt>
                <c:pt idx="44">
                  <c:v>225.44300000000001</c:v>
                </c:pt>
                <c:pt idx="45">
                  <c:v>225.18</c:v>
                </c:pt>
                <c:pt idx="46">
                  <c:v>224.465</c:v>
                </c:pt>
                <c:pt idx="47">
                  <c:v>226.57</c:v>
                </c:pt>
                <c:pt idx="48">
                  <c:v>227.77799999999999</c:v>
                </c:pt>
                <c:pt idx="49">
                  <c:v>229.197</c:v>
                </c:pt>
                <c:pt idx="50">
                  <c:v>226.68</c:v>
                </c:pt>
                <c:pt idx="51">
                  <c:v>229.41200000000001</c:v>
                </c:pt>
                <c:pt idx="52">
                  <c:v>230.46199999999999</c:v>
                </c:pt>
                <c:pt idx="53">
                  <c:v>228.80099999999999</c:v>
                </c:pt>
                <c:pt idx="54">
                  <c:v>230.04499999999999</c:v>
                </c:pt>
                <c:pt idx="55">
                  <c:v>231.65600000000001</c:v>
                </c:pt>
                <c:pt idx="56">
                  <c:v>231.614</c:v>
                </c:pt>
                <c:pt idx="57">
                  <c:v>231.69499999999999</c:v>
                </c:pt>
                <c:pt idx="58">
                  <c:v>230.619</c:v>
                </c:pt>
                <c:pt idx="59">
                  <c:v>232.84899999999999</c:v>
                </c:pt>
                <c:pt idx="60">
                  <c:v>234.68299999999999</c:v>
                </c:pt>
                <c:pt idx="61">
                  <c:v>232.06</c:v>
                </c:pt>
                <c:pt idx="62">
                  <c:v>235.51499999999999</c:v>
                </c:pt>
                <c:pt idx="63">
                  <c:v>237.40899999999999</c:v>
                </c:pt>
                <c:pt idx="64">
                  <c:v>240.697</c:v>
                </c:pt>
                <c:pt idx="65">
                  <c:v>240.071</c:v>
                </c:pt>
                <c:pt idx="66">
                  <c:v>236.89599999999999</c:v>
                </c:pt>
                <c:pt idx="67">
                  <c:v>236.63300000000001</c:v>
                </c:pt>
              </c:numCache>
            </c:numRef>
          </c:val>
          <c:smooth val="0"/>
          <c:extLst>
            <c:ext xmlns:c16="http://schemas.microsoft.com/office/drawing/2014/chart" uri="{C3380CC4-5D6E-409C-BE32-E72D297353CC}">
              <c16:uniqueId val="{00000005-9861-4E56-95A7-1875B661C106}"/>
            </c:ext>
          </c:extLst>
        </c:ser>
        <c:ser>
          <c:idx val="0"/>
          <c:order val="1"/>
          <c:tx>
            <c:strRef>
              <c:f>Sheet1!$A$20</c:f>
              <c:strCache>
                <c:ptCount val="1"/>
                <c:pt idx="0">
                  <c:v>Citi komercpakalpojumi</c:v>
                </c:pt>
              </c:strCache>
            </c:strRef>
          </c:tx>
          <c:spPr>
            <a:ln w="28575" cap="rnd" cmpd="sng" algn="ctr">
              <a:solidFill>
                <a:schemeClr val="accent1">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Sheet1!$B$20:$BQ$20</c:f>
              <c:numCache>
                <c:formatCode>General</c:formatCode>
                <c:ptCount val="68"/>
                <c:pt idx="0">
                  <c:v>150.17699999999999</c:v>
                </c:pt>
                <c:pt idx="1">
                  <c:v>153.476</c:v>
                </c:pt>
                <c:pt idx="2">
                  <c:v>152.542</c:v>
                </c:pt>
                <c:pt idx="3">
                  <c:v>152.28800000000001</c:v>
                </c:pt>
                <c:pt idx="4">
                  <c:v>159.107</c:v>
                </c:pt>
                <c:pt idx="5">
                  <c:v>162.65100000000001</c:v>
                </c:pt>
                <c:pt idx="6">
                  <c:v>168.48699999999999</c:v>
                </c:pt>
                <c:pt idx="7">
                  <c:v>169.02099999999999</c:v>
                </c:pt>
                <c:pt idx="8">
                  <c:v>192.946</c:v>
                </c:pt>
                <c:pt idx="9">
                  <c:v>197.423</c:v>
                </c:pt>
                <c:pt idx="10">
                  <c:v>197.75200000000001</c:v>
                </c:pt>
                <c:pt idx="11">
                  <c:v>195.339</c:v>
                </c:pt>
                <c:pt idx="12">
                  <c:v>194.79</c:v>
                </c:pt>
                <c:pt idx="13">
                  <c:v>198.851</c:v>
                </c:pt>
                <c:pt idx="14">
                  <c:v>198.25800000000001</c:v>
                </c:pt>
                <c:pt idx="15">
                  <c:v>193</c:v>
                </c:pt>
                <c:pt idx="16">
                  <c:v>175.923</c:v>
                </c:pt>
                <c:pt idx="17">
                  <c:v>168.32300000000001</c:v>
                </c:pt>
                <c:pt idx="18">
                  <c:v>155.46700000000001</c:v>
                </c:pt>
                <c:pt idx="19">
                  <c:v>151.61500000000001</c:v>
                </c:pt>
                <c:pt idx="20">
                  <c:v>146.804</c:v>
                </c:pt>
                <c:pt idx="21">
                  <c:v>148.17099999999999</c:v>
                </c:pt>
                <c:pt idx="22">
                  <c:v>149.33799999999999</c:v>
                </c:pt>
                <c:pt idx="23">
                  <c:v>149.232</c:v>
                </c:pt>
                <c:pt idx="24">
                  <c:v>152.59700000000001</c:v>
                </c:pt>
                <c:pt idx="25">
                  <c:v>158.44300000000001</c:v>
                </c:pt>
                <c:pt idx="26">
                  <c:v>158.03100000000001</c:v>
                </c:pt>
                <c:pt idx="27">
                  <c:v>159.08600000000001</c:v>
                </c:pt>
                <c:pt idx="28">
                  <c:v>165.06100000000001</c:v>
                </c:pt>
                <c:pt idx="29">
                  <c:v>167.60599999999999</c:v>
                </c:pt>
                <c:pt idx="30">
                  <c:v>169.923</c:v>
                </c:pt>
                <c:pt idx="31">
                  <c:v>171.333</c:v>
                </c:pt>
                <c:pt idx="32">
                  <c:v>173.87899999999999</c:v>
                </c:pt>
                <c:pt idx="33">
                  <c:v>175.51900000000001</c:v>
                </c:pt>
                <c:pt idx="34">
                  <c:v>177.75899999999999</c:v>
                </c:pt>
                <c:pt idx="35">
                  <c:v>177.59700000000001</c:v>
                </c:pt>
                <c:pt idx="36">
                  <c:v>178.86500000000001</c:v>
                </c:pt>
                <c:pt idx="37">
                  <c:v>179.31299999999999</c:v>
                </c:pt>
                <c:pt idx="38">
                  <c:v>181.66499999999999</c:v>
                </c:pt>
                <c:pt idx="39">
                  <c:v>181.19900000000001</c:v>
                </c:pt>
                <c:pt idx="40">
                  <c:v>182.023</c:v>
                </c:pt>
                <c:pt idx="41">
                  <c:v>190.46299999999999</c:v>
                </c:pt>
                <c:pt idx="42">
                  <c:v>190.74100000000001</c:v>
                </c:pt>
                <c:pt idx="43">
                  <c:v>189.964</c:v>
                </c:pt>
                <c:pt idx="44">
                  <c:v>191.39400000000001</c:v>
                </c:pt>
                <c:pt idx="45">
                  <c:v>194.65100000000001</c:v>
                </c:pt>
                <c:pt idx="46">
                  <c:v>196.74299999999999</c:v>
                </c:pt>
                <c:pt idx="47">
                  <c:v>196.01599999999999</c:v>
                </c:pt>
                <c:pt idx="48">
                  <c:v>193.68799999999999</c:v>
                </c:pt>
                <c:pt idx="49">
                  <c:v>196.60400000000001</c:v>
                </c:pt>
                <c:pt idx="50">
                  <c:v>196.846</c:v>
                </c:pt>
                <c:pt idx="51">
                  <c:v>197.965</c:v>
                </c:pt>
                <c:pt idx="52">
                  <c:v>197.34700000000001</c:v>
                </c:pt>
                <c:pt idx="53">
                  <c:v>200.13</c:v>
                </c:pt>
                <c:pt idx="54">
                  <c:v>199.779</c:v>
                </c:pt>
                <c:pt idx="55">
                  <c:v>202.97399999999999</c:v>
                </c:pt>
                <c:pt idx="56">
                  <c:v>198.14400000000001</c:v>
                </c:pt>
                <c:pt idx="57">
                  <c:v>203.39099999999999</c:v>
                </c:pt>
                <c:pt idx="58">
                  <c:v>203.31299999999999</c:v>
                </c:pt>
                <c:pt idx="59">
                  <c:v>204.80799999999999</c:v>
                </c:pt>
                <c:pt idx="60">
                  <c:v>200.76300000000001</c:v>
                </c:pt>
                <c:pt idx="61">
                  <c:v>193.69499999999999</c:v>
                </c:pt>
                <c:pt idx="62">
                  <c:v>195.636</c:v>
                </c:pt>
                <c:pt idx="63">
                  <c:v>195.001</c:v>
                </c:pt>
                <c:pt idx="64">
                  <c:v>201.596</c:v>
                </c:pt>
                <c:pt idx="65">
                  <c:v>202.28399999999999</c:v>
                </c:pt>
                <c:pt idx="66">
                  <c:v>187.267</c:v>
                </c:pt>
                <c:pt idx="67">
                  <c:v>190.55799999999999</c:v>
                </c:pt>
              </c:numCache>
            </c:numRef>
          </c:val>
          <c:smooth val="0"/>
          <c:extLst>
            <c:ext xmlns:c16="http://schemas.microsoft.com/office/drawing/2014/chart" uri="{C3380CC4-5D6E-409C-BE32-E72D297353CC}">
              <c16:uniqueId val="{00000006-9861-4E56-95A7-1875B661C106}"/>
            </c:ext>
          </c:extLst>
        </c:ser>
        <c:ser>
          <c:idx val="2"/>
          <c:order val="2"/>
          <c:tx>
            <c:strRef>
              <c:f>Sheet1!$A$21</c:f>
              <c:strCache>
                <c:ptCount val="1"/>
                <c:pt idx="0">
                  <c:v>Tirdzniecība un izmitināšana</c:v>
                </c:pt>
              </c:strCache>
            </c:strRef>
          </c:tx>
          <c:spPr>
            <a:ln w="28575" cap="rnd" cmpd="sng" algn="ctr">
              <a:solidFill>
                <a:schemeClr val="accent3">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Sheet1!$B$21:$BQ$21</c:f>
              <c:numCache>
                <c:formatCode>General</c:formatCode>
                <c:ptCount val="68"/>
                <c:pt idx="0">
                  <c:v>196.85599999999999</c:v>
                </c:pt>
                <c:pt idx="1">
                  <c:v>202.15899999999999</c:v>
                </c:pt>
                <c:pt idx="2">
                  <c:v>202.84200000000001</c:v>
                </c:pt>
                <c:pt idx="3">
                  <c:v>206.62</c:v>
                </c:pt>
                <c:pt idx="4">
                  <c:v>209.464</c:v>
                </c:pt>
                <c:pt idx="5">
                  <c:v>215.16300000000001</c:v>
                </c:pt>
                <c:pt idx="6">
                  <c:v>214.83</c:v>
                </c:pt>
                <c:pt idx="7">
                  <c:v>219.083</c:v>
                </c:pt>
                <c:pt idx="8">
                  <c:v>226.81800000000001</c:v>
                </c:pt>
                <c:pt idx="9">
                  <c:v>234.97900000000001</c:v>
                </c:pt>
                <c:pt idx="10">
                  <c:v>230.709</c:v>
                </c:pt>
                <c:pt idx="11">
                  <c:v>229.80600000000001</c:v>
                </c:pt>
                <c:pt idx="12">
                  <c:v>222.19</c:v>
                </c:pt>
                <c:pt idx="13">
                  <c:v>225.589</c:v>
                </c:pt>
                <c:pt idx="14">
                  <c:v>224.077</c:v>
                </c:pt>
                <c:pt idx="15">
                  <c:v>215.21600000000001</c:v>
                </c:pt>
                <c:pt idx="16">
                  <c:v>187.858</c:v>
                </c:pt>
                <c:pt idx="17">
                  <c:v>178.083</c:v>
                </c:pt>
                <c:pt idx="18">
                  <c:v>166.18600000000001</c:v>
                </c:pt>
                <c:pt idx="19">
                  <c:v>161.108</c:v>
                </c:pt>
                <c:pt idx="20">
                  <c:v>155.94800000000001</c:v>
                </c:pt>
                <c:pt idx="21">
                  <c:v>159.79300000000001</c:v>
                </c:pt>
                <c:pt idx="22">
                  <c:v>162.33099999999999</c:v>
                </c:pt>
                <c:pt idx="23">
                  <c:v>160.81</c:v>
                </c:pt>
                <c:pt idx="24">
                  <c:v>158.77500000000001</c:v>
                </c:pt>
                <c:pt idx="25">
                  <c:v>166.08500000000001</c:v>
                </c:pt>
                <c:pt idx="26">
                  <c:v>163.80600000000001</c:v>
                </c:pt>
                <c:pt idx="27">
                  <c:v>162.41800000000001</c:v>
                </c:pt>
                <c:pt idx="28">
                  <c:v>165.69</c:v>
                </c:pt>
                <c:pt idx="29">
                  <c:v>170.69200000000001</c:v>
                </c:pt>
                <c:pt idx="30">
                  <c:v>173.63800000000001</c:v>
                </c:pt>
                <c:pt idx="31">
                  <c:v>172.667</c:v>
                </c:pt>
                <c:pt idx="32">
                  <c:v>170.48500000000001</c:v>
                </c:pt>
                <c:pt idx="33">
                  <c:v>176.25200000000001</c:v>
                </c:pt>
                <c:pt idx="34">
                  <c:v>175.952</c:v>
                </c:pt>
                <c:pt idx="35">
                  <c:v>173.05199999999999</c:v>
                </c:pt>
                <c:pt idx="36">
                  <c:v>174.374</c:v>
                </c:pt>
                <c:pt idx="37">
                  <c:v>175.834</c:v>
                </c:pt>
                <c:pt idx="38">
                  <c:v>178.511</c:v>
                </c:pt>
                <c:pt idx="39">
                  <c:v>175.399</c:v>
                </c:pt>
                <c:pt idx="40">
                  <c:v>175.38200000000001</c:v>
                </c:pt>
                <c:pt idx="41">
                  <c:v>182.041</c:v>
                </c:pt>
                <c:pt idx="42">
                  <c:v>181.321</c:v>
                </c:pt>
                <c:pt idx="43">
                  <c:v>177.29</c:v>
                </c:pt>
                <c:pt idx="44">
                  <c:v>176.99199999999999</c:v>
                </c:pt>
                <c:pt idx="45">
                  <c:v>182.13499999999999</c:v>
                </c:pt>
                <c:pt idx="46">
                  <c:v>181.23500000000001</c:v>
                </c:pt>
                <c:pt idx="47">
                  <c:v>176.66300000000001</c:v>
                </c:pt>
                <c:pt idx="48">
                  <c:v>175.52099999999999</c:v>
                </c:pt>
                <c:pt idx="49">
                  <c:v>181.53299999999999</c:v>
                </c:pt>
                <c:pt idx="50">
                  <c:v>178.078</c:v>
                </c:pt>
                <c:pt idx="51">
                  <c:v>177.47300000000001</c:v>
                </c:pt>
                <c:pt idx="52">
                  <c:v>174.345</c:v>
                </c:pt>
                <c:pt idx="53">
                  <c:v>181.52099999999999</c:v>
                </c:pt>
                <c:pt idx="54">
                  <c:v>179.81</c:v>
                </c:pt>
                <c:pt idx="55">
                  <c:v>178.631</c:v>
                </c:pt>
                <c:pt idx="56">
                  <c:v>178.08600000000001</c:v>
                </c:pt>
                <c:pt idx="57">
                  <c:v>185.62700000000001</c:v>
                </c:pt>
                <c:pt idx="58">
                  <c:v>182.28299999999999</c:v>
                </c:pt>
                <c:pt idx="59">
                  <c:v>180.858</c:v>
                </c:pt>
                <c:pt idx="60">
                  <c:v>172.91399999999999</c:v>
                </c:pt>
                <c:pt idx="61">
                  <c:v>166.536</c:v>
                </c:pt>
                <c:pt idx="62">
                  <c:v>171.94300000000001</c:v>
                </c:pt>
                <c:pt idx="63">
                  <c:v>163.64599999999999</c:v>
                </c:pt>
                <c:pt idx="64">
                  <c:v>169.661</c:v>
                </c:pt>
                <c:pt idx="65">
                  <c:v>171.339</c:v>
                </c:pt>
                <c:pt idx="66">
                  <c:v>164.583</c:v>
                </c:pt>
                <c:pt idx="67">
                  <c:v>165.69399999999999</c:v>
                </c:pt>
              </c:numCache>
            </c:numRef>
          </c:val>
          <c:smooth val="0"/>
          <c:extLst>
            <c:ext xmlns:c16="http://schemas.microsoft.com/office/drawing/2014/chart" uri="{C3380CC4-5D6E-409C-BE32-E72D297353CC}">
              <c16:uniqueId val="{00000007-9861-4E56-95A7-1875B661C106}"/>
            </c:ext>
          </c:extLst>
        </c:ser>
        <c:ser>
          <c:idx val="3"/>
          <c:order val="3"/>
          <c:tx>
            <c:strRef>
              <c:f>Sheet1!$A$22</c:f>
              <c:strCache>
                <c:ptCount val="1"/>
                <c:pt idx="0">
                  <c:v>Rūpniecība</c:v>
                </c:pt>
              </c:strCache>
            </c:strRef>
          </c:tx>
          <c:spPr>
            <a:ln w="28575" cap="rnd" cmpd="sng" algn="ctr">
              <a:solidFill>
                <a:schemeClr val="accent4">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Sheet1!$B$22:$BQ$22</c:f>
              <c:numCache>
                <c:formatCode>General</c:formatCode>
                <c:ptCount val="68"/>
                <c:pt idx="0">
                  <c:v>177.565</c:v>
                </c:pt>
                <c:pt idx="1">
                  <c:v>180.25899999999999</c:v>
                </c:pt>
                <c:pt idx="2">
                  <c:v>178.554</c:v>
                </c:pt>
                <c:pt idx="3">
                  <c:v>176.29900000000001</c:v>
                </c:pt>
                <c:pt idx="4">
                  <c:v>181.48599999999999</c:v>
                </c:pt>
                <c:pt idx="5">
                  <c:v>183.24700000000001</c:v>
                </c:pt>
                <c:pt idx="6">
                  <c:v>178.80799999999999</c:v>
                </c:pt>
                <c:pt idx="7">
                  <c:v>176.06</c:v>
                </c:pt>
                <c:pt idx="8">
                  <c:v>178.39400000000001</c:v>
                </c:pt>
                <c:pt idx="9">
                  <c:v>179.65899999999999</c:v>
                </c:pt>
                <c:pt idx="10">
                  <c:v>176.03899999999999</c:v>
                </c:pt>
                <c:pt idx="11">
                  <c:v>170.00299999999999</c:v>
                </c:pt>
                <c:pt idx="12">
                  <c:v>172.04499999999999</c:v>
                </c:pt>
                <c:pt idx="13">
                  <c:v>169.571</c:v>
                </c:pt>
                <c:pt idx="14">
                  <c:v>165.524</c:v>
                </c:pt>
                <c:pt idx="15">
                  <c:v>155.08000000000001</c:v>
                </c:pt>
                <c:pt idx="16">
                  <c:v>137.35400000000001</c:v>
                </c:pt>
                <c:pt idx="17">
                  <c:v>129.46100000000001</c:v>
                </c:pt>
                <c:pt idx="18">
                  <c:v>123.721</c:v>
                </c:pt>
                <c:pt idx="19">
                  <c:v>120.562</c:v>
                </c:pt>
                <c:pt idx="20">
                  <c:v>120.249</c:v>
                </c:pt>
                <c:pt idx="21">
                  <c:v>125.11</c:v>
                </c:pt>
                <c:pt idx="22">
                  <c:v>126.06100000000001</c:v>
                </c:pt>
                <c:pt idx="23">
                  <c:v>125.523</c:v>
                </c:pt>
                <c:pt idx="24">
                  <c:v>129.024</c:v>
                </c:pt>
                <c:pt idx="25">
                  <c:v>134.37100000000001</c:v>
                </c:pt>
                <c:pt idx="26">
                  <c:v>132.29599999999999</c:v>
                </c:pt>
                <c:pt idx="27">
                  <c:v>132.33699999999999</c:v>
                </c:pt>
                <c:pt idx="28">
                  <c:v>135.63300000000001</c:v>
                </c:pt>
                <c:pt idx="29">
                  <c:v>139.197</c:v>
                </c:pt>
                <c:pt idx="30">
                  <c:v>138.923</c:v>
                </c:pt>
                <c:pt idx="31">
                  <c:v>139.03200000000001</c:v>
                </c:pt>
                <c:pt idx="32">
                  <c:v>140.964</c:v>
                </c:pt>
                <c:pt idx="33">
                  <c:v>143.029</c:v>
                </c:pt>
                <c:pt idx="34">
                  <c:v>142.83000000000001</c:v>
                </c:pt>
                <c:pt idx="35">
                  <c:v>139.13499999999999</c:v>
                </c:pt>
                <c:pt idx="36">
                  <c:v>139.63900000000001</c:v>
                </c:pt>
                <c:pt idx="37">
                  <c:v>139.27699999999999</c:v>
                </c:pt>
                <c:pt idx="38">
                  <c:v>138.92699999999999</c:v>
                </c:pt>
                <c:pt idx="39">
                  <c:v>136.03899999999999</c:v>
                </c:pt>
                <c:pt idx="40">
                  <c:v>135.85</c:v>
                </c:pt>
                <c:pt idx="41">
                  <c:v>136.12700000000001</c:v>
                </c:pt>
                <c:pt idx="42">
                  <c:v>135.09700000000001</c:v>
                </c:pt>
                <c:pt idx="43">
                  <c:v>133.13300000000001</c:v>
                </c:pt>
                <c:pt idx="44">
                  <c:v>134.78</c:v>
                </c:pt>
                <c:pt idx="45">
                  <c:v>136.42099999999999</c:v>
                </c:pt>
                <c:pt idx="46">
                  <c:v>136.577</c:v>
                </c:pt>
                <c:pt idx="47">
                  <c:v>134.68</c:v>
                </c:pt>
                <c:pt idx="48">
                  <c:v>134.999</c:v>
                </c:pt>
                <c:pt idx="49">
                  <c:v>137.57599999999999</c:v>
                </c:pt>
                <c:pt idx="50">
                  <c:v>136.083</c:v>
                </c:pt>
                <c:pt idx="51">
                  <c:v>136.005</c:v>
                </c:pt>
                <c:pt idx="52">
                  <c:v>135.029</c:v>
                </c:pt>
                <c:pt idx="53">
                  <c:v>137.04499999999999</c:v>
                </c:pt>
                <c:pt idx="54">
                  <c:v>136.351</c:v>
                </c:pt>
                <c:pt idx="55">
                  <c:v>135.96</c:v>
                </c:pt>
                <c:pt idx="56">
                  <c:v>135.505</c:v>
                </c:pt>
                <c:pt idx="57">
                  <c:v>136.952</c:v>
                </c:pt>
                <c:pt idx="58">
                  <c:v>136.14500000000001</c:v>
                </c:pt>
                <c:pt idx="59">
                  <c:v>134.977</c:v>
                </c:pt>
                <c:pt idx="60">
                  <c:v>134.934</c:v>
                </c:pt>
                <c:pt idx="61">
                  <c:v>132.352</c:v>
                </c:pt>
                <c:pt idx="62">
                  <c:v>133.678</c:v>
                </c:pt>
                <c:pt idx="63">
                  <c:v>134.024</c:v>
                </c:pt>
                <c:pt idx="64">
                  <c:v>138.69200000000001</c:v>
                </c:pt>
                <c:pt idx="65">
                  <c:v>140.489</c:v>
                </c:pt>
                <c:pt idx="66">
                  <c:v>137.08600000000001</c:v>
                </c:pt>
                <c:pt idx="67">
                  <c:v>136.15700000000001</c:v>
                </c:pt>
              </c:numCache>
            </c:numRef>
          </c:val>
          <c:smooth val="0"/>
          <c:extLst>
            <c:ext xmlns:c16="http://schemas.microsoft.com/office/drawing/2014/chart" uri="{C3380CC4-5D6E-409C-BE32-E72D297353CC}">
              <c16:uniqueId val="{00000008-9861-4E56-95A7-1875B661C106}"/>
            </c:ext>
          </c:extLst>
        </c:ser>
        <c:ser>
          <c:idx val="4"/>
          <c:order val="4"/>
          <c:tx>
            <c:strRef>
              <c:f>Sheet1!$A$23</c:f>
              <c:strCache>
                <c:ptCount val="1"/>
                <c:pt idx="0">
                  <c:v>Transports un uzglabāšana</c:v>
                </c:pt>
              </c:strCache>
            </c:strRef>
          </c:tx>
          <c:spPr>
            <a:ln w="28575" cap="rnd" cmpd="sng" algn="ctr">
              <a:solidFill>
                <a:schemeClr val="accent5">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Sheet1!$B$23:$BQ$23</c:f>
              <c:numCache>
                <c:formatCode>General</c:formatCode>
                <c:ptCount val="68"/>
                <c:pt idx="0">
                  <c:v>69.242000000000004</c:v>
                </c:pt>
                <c:pt idx="1">
                  <c:v>70.224000000000004</c:v>
                </c:pt>
                <c:pt idx="2">
                  <c:v>71.655000000000001</c:v>
                </c:pt>
                <c:pt idx="3">
                  <c:v>71.793999999999997</c:v>
                </c:pt>
                <c:pt idx="4">
                  <c:v>75.831999999999994</c:v>
                </c:pt>
                <c:pt idx="5">
                  <c:v>76.995999999999995</c:v>
                </c:pt>
                <c:pt idx="6">
                  <c:v>76.356999999999999</c:v>
                </c:pt>
                <c:pt idx="7">
                  <c:v>76.409000000000006</c:v>
                </c:pt>
                <c:pt idx="8">
                  <c:v>79.162999999999997</c:v>
                </c:pt>
                <c:pt idx="9">
                  <c:v>80.207999999999998</c:v>
                </c:pt>
                <c:pt idx="10">
                  <c:v>78.52</c:v>
                </c:pt>
                <c:pt idx="11">
                  <c:v>77.844999999999999</c:v>
                </c:pt>
                <c:pt idx="12">
                  <c:v>77.84</c:v>
                </c:pt>
                <c:pt idx="13">
                  <c:v>78.328999999999994</c:v>
                </c:pt>
                <c:pt idx="14">
                  <c:v>78.757999999999996</c:v>
                </c:pt>
                <c:pt idx="15">
                  <c:v>76.317999999999998</c:v>
                </c:pt>
                <c:pt idx="16">
                  <c:v>71.271000000000001</c:v>
                </c:pt>
                <c:pt idx="17">
                  <c:v>67.915000000000006</c:v>
                </c:pt>
                <c:pt idx="18">
                  <c:v>66.412999999999997</c:v>
                </c:pt>
                <c:pt idx="19">
                  <c:v>64.992000000000004</c:v>
                </c:pt>
                <c:pt idx="20">
                  <c:v>65.69</c:v>
                </c:pt>
                <c:pt idx="21">
                  <c:v>67.090999999999994</c:v>
                </c:pt>
                <c:pt idx="22">
                  <c:v>67.576999999999998</c:v>
                </c:pt>
                <c:pt idx="23">
                  <c:v>66.649000000000001</c:v>
                </c:pt>
                <c:pt idx="24">
                  <c:v>67.457999999999998</c:v>
                </c:pt>
                <c:pt idx="25">
                  <c:v>69.503</c:v>
                </c:pt>
                <c:pt idx="26">
                  <c:v>69.13</c:v>
                </c:pt>
                <c:pt idx="27">
                  <c:v>69.111999999999995</c:v>
                </c:pt>
                <c:pt idx="28">
                  <c:v>71.423000000000002</c:v>
                </c:pt>
                <c:pt idx="29">
                  <c:v>72.394000000000005</c:v>
                </c:pt>
                <c:pt idx="30">
                  <c:v>73.397999999999996</c:v>
                </c:pt>
                <c:pt idx="31">
                  <c:v>73.447000000000003</c:v>
                </c:pt>
                <c:pt idx="32">
                  <c:v>74.325999999999993</c:v>
                </c:pt>
                <c:pt idx="33">
                  <c:v>75.415000000000006</c:v>
                </c:pt>
                <c:pt idx="34">
                  <c:v>75.748999999999995</c:v>
                </c:pt>
                <c:pt idx="35">
                  <c:v>75.503</c:v>
                </c:pt>
                <c:pt idx="36">
                  <c:v>75.742999999999995</c:v>
                </c:pt>
                <c:pt idx="37">
                  <c:v>75.915000000000006</c:v>
                </c:pt>
                <c:pt idx="38">
                  <c:v>76.603999999999999</c:v>
                </c:pt>
                <c:pt idx="39">
                  <c:v>75.191999999999993</c:v>
                </c:pt>
                <c:pt idx="40">
                  <c:v>75.841999999999999</c:v>
                </c:pt>
                <c:pt idx="41">
                  <c:v>77.518000000000001</c:v>
                </c:pt>
                <c:pt idx="42">
                  <c:v>77.430999999999997</c:v>
                </c:pt>
                <c:pt idx="43">
                  <c:v>76.004999999999995</c:v>
                </c:pt>
                <c:pt idx="44">
                  <c:v>76.188999999999993</c:v>
                </c:pt>
                <c:pt idx="45">
                  <c:v>77.14</c:v>
                </c:pt>
                <c:pt idx="46">
                  <c:v>77.224000000000004</c:v>
                </c:pt>
                <c:pt idx="47">
                  <c:v>76.576999999999998</c:v>
                </c:pt>
                <c:pt idx="48">
                  <c:v>76.263999999999996</c:v>
                </c:pt>
                <c:pt idx="49">
                  <c:v>77.561999999999998</c:v>
                </c:pt>
                <c:pt idx="50">
                  <c:v>77.275000000000006</c:v>
                </c:pt>
                <c:pt idx="51">
                  <c:v>76.933999999999997</c:v>
                </c:pt>
                <c:pt idx="52">
                  <c:v>75.707999999999998</c:v>
                </c:pt>
                <c:pt idx="53">
                  <c:v>76.44</c:v>
                </c:pt>
                <c:pt idx="54">
                  <c:v>76.625</c:v>
                </c:pt>
                <c:pt idx="55">
                  <c:v>75.537999999999997</c:v>
                </c:pt>
                <c:pt idx="56">
                  <c:v>75.89</c:v>
                </c:pt>
                <c:pt idx="57">
                  <c:v>77.38</c:v>
                </c:pt>
                <c:pt idx="58">
                  <c:v>76.795000000000002</c:v>
                </c:pt>
                <c:pt idx="59">
                  <c:v>75.606999999999999</c:v>
                </c:pt>
                <c:pt idx="60">
                  <c:v>74.844999999999999</c:v>
                </c:pt>
                <c:pt idx="61">
                  <c:v>70.977000000000004</c:v>
                </c:pt>
                <c:pt idx="62">
                  <c:v>69.727000000000004</c:v>
                </c:pt>
                <c:pt idx="63">
                  <c:v>68.471000000000004</c:v>
                </c:pt>
                <c:pt idx="64">
                  <c:v>70.150999999999996</c:v>
                </c:pt>
                <c:pt idx="65">
                  <c:v>69.281999999999996</c:v>
                </c:pt>
                <c:pt idx="66">
                  <c:v>68.894000000000005</c:v>
                </c:pt>
                <c:pt idx="67">
                  <c:v>68.23</c:v>
                </c:pt>
              </c:numCache>
            </c:numRef>
          </c:val>
          <c:smooth val="0"/>
          <c:extLst>
            <c:ext xmlns:c16="http://schemas.microsoft.com/office/drawing/2014/chart" uri="{C3380CC4-5D6E-409C-BE32-E72D297353CC}">
              <c16:uniqueId val="{00000009-9861-4E56-95A7-1875B661C106}"/>
            </c:ext>
          </c:extLst>
        </c:ser>
        <c:ser>
          <c:idx val="5"/>
          <c:order val="5"/>
          <c:tx>
            <c:strRef>
              <c:f>Sheet1!$A$24</c:f>
              <c:strCache>
                <c:ptCount val="1"/>
                <c:pt idx="0">
                  <c:v>Būvniecība</c:v>
                </c:pt>
              </c:strCache>
            </c:strRef>
          </c:tx>
          <c:spPr>
            <a:ln w="28575" cap="rnd" cmpd="sng" algn="ctr">
              <a:solidFill>
                <a:schemeClr val="accent6">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Sheet1!$B$24:$BQ$24</c:f>
              <c:numCache>
                <c:formatCode>General</c:formatCode>
                <c:ptCount val="68"/>
                <c:pt idx="0">
                  <c:v>57.71</c:v>
                </c:pt>
                <c:pt idx="1">
                  <c:v>62.131</c:v>
                </c:pt>
                <c:pt idx="2">
                  <c:v>63.89</c:v>
                </c:pt>
                <c:pt idx="3">
                  <c:v>64.111000000000004</c:v>
                </c:pt>
                <c:pt idx="4">
                  <c:v>67.58</c:v>
                </c:pt>
                <c:pt idx="5">
                  <c:v>72.48</c:v>
                </c:pt>
                <c:pt idx="6">
                  <c:v>74.932000000000002</c:v>
                </c:pt>
                <c:pt idx="7">
                  <c:v>73.649000000000001</c:v>
                </c:pt>
                <c:pt idx="8">
                  <c:v>87.497</c:v>
                </c:pt>
                <c:pt idx="9">
                  <c:v>94.575999999999993</c:v>
                </c:pt>
                <c:pt idx="10">
                  <c:v>94.266000000000005</c:v>
                </c:pt>
                <c:pt idx="11">
                  <c:v>90.49</c:v>
                </c:pt>
                <c:pt idx="12">
                  <c:v>89.391000000000005</c:v>
                </c:pt>
                <c:pt idx="13">
                  <c:v>94.525000000000006</c:v>
                </c:pt>
                <c:pt idx="14">
                  <c:v>93.314999999999998</c:v>
                </c:pt>
                <c:pt idx="15">
                  <c:v>80.131</c:v>
                </c:pt>
                <c:pt idx="16">
                  <c:v>61.524000000000001</c:v>
                </c:pt>
                <c:pt idx="17">
                  <c:v>57.908999999999999</c:v>
                </c:pt>
                <c:pt idx="18">
                  <c:v>53.177999999999997</c:v>
                </c:pt>
                <c:pt idx="19">
                  <c:v>45.603999999999999</c:v>
                </c:pt>
                <c:pt idx="20">
                  <c:v>41.076000000000001</c:v>
                </c:pt>
                <c:pt idx="21">
                  <c:v>47.32</c:v>
                </c:pt>
                <c:pt idx="22">
                  <c:v>51.142000000000003</c:v>
                </c:pt>
                <c:pt idx="23">
                  <c:v>44.491999999999997</c:v>
                </c:pt>
                <c:pt idx="24">
                  <c:v>43.863</c:v>
                </c:pt>
                <c:pt idx="25">
                  <c:v>53.798999999999999</c:v>
                </c:pt>
                <c:pt idx="26">
                  <c:v>55.137</c:v>
                </c:pt>
                <c:pt idx="27">
                  <c:v>50.831000000000003</c:v>
                </c:pt>
                <c:pt idx="28">
                  <c:v>49.887999999999998</c:v>
                </c:pt>
                <c:pt idx="29">
                  <c:v>56.523000000000003</c:v>
                </c:pt>
                <c:pt idx="30">
                  <c:v>60.542000000000002</c:v>
                </c:pt>
                <c:pt idx="31">
                  <c:v>55.811999999999998</c:v>
                </c:pt>
                <c:pt idx="32">
                  <c:v>53.499000000000002</c:v>
                </c:pt>
                <c:pt idx="33">
                  <c:v>63.024999999999999</c:v>
                </c:pt>
                <c:pt idx="34">
                  <c:v>66.600999999999999</c:v>
                </c:pt>
                <c:pt idx="35">
                  <c:v>59.356000000000002</c:v>
                </c:pt>
                <c:pt idx="36">
                  <c:v>57.962000000000003</c:v>
                </c:pt>
                <c:pt idx="37">
                  <c:v>62.640999999999998</c:v>
                </c:pt>
                <c:pt idx="38">
                  <c:v>63.610999999999997</c:v>
                </c:pt>
                <c:pt idx="39">
                  <c:v>57.012999999999998</c:v>
                </c:pt>
                <c:pt idx="40">
                  <c:v>57.295000000000002</c:v>
                </c:pt>
                <c:pt idx="41">
                  <c:v>61.655000000000001</c:v>
                </c:pt>
                <c:pt idx="42">
                  <c:v>61.363</c:v>
                </c:pt>
                <c:pt idx="43">
                  <c:v>54.609000000000002</c:v>
                </c:pt>
                <c:pt idx="44">
                  <c:v>50.359000000000002</c:v>
                </c:pt>
                <c:pt idx="45">
                  <c:v>55.954999999999998</c:v>
                </c:pt>
                <c:pt idx="46">
                  <c:v>56.860999999999997</c:v>
                </c:pt>
                <c:pt idx="47">
                  <c:v>53.472999999999999</c:v>
                </c:pt>
                <c:pt idx="48">
                  <c:v>52.484999999999999</c:v>
                </c:pt>
                <c:pt idx="49">
                  <c:v>59.567</c:v>
                </c:pt>
                <c:pt idx="50">
                  <c:v>61.74</c:v>
                </c:pt>
                <c:pt idx="51">
                  <c:v>58.701000000000001</c:v>
                </c:pt>
                <c:pt idx="52">
                  <c:v>57.728999999999999</c:v>
                </c:pt>
                <c:pt idx="53">
                  <c:v>64.155000000000001</c:v>
                </c:pt>
                <c:pt idx="54">
                  <c:v>64.697999999999993</c:v>
                </c:pt>
                <c:pt idx="55">
                  <c:v>63.088999999999999</c:v>
                </c:pt>
                <c:pt idx="56">
                  <c:v>61.405000000000001</c:v>
                </c:pt>
                <c:pt idx="57">
                  <c:v>65.896000000000001</c:v>
                </c:pt>
                <c:pt idx="58">
                  <c:v>66.14</c:v>
                </c:pt>
                <c:pt idx="59">
                  <c:v>62.319000000000003</c:v>
                </c:pt>
                <c:pt idx="60">
                  <c:v>61.848999999999997</c:v>
                </c:pt>
                <c:pt idx="61">
                  <c:v>63.622999999999998</c:v>
                </c:pt>
                <c:pt idx="62">
                  <c:v>63.822000000000003</c:v>
                </c:pt>
                <c:pt idx="63">
                  <c:v>60.881</c:v>
                </c:pt>
                <c:pt idx="64">
                  <c:v>62.274000000000001</c:v>
                </c:pt>
                <c:pt idx="65">
                  <c:v>65.289000000000001</c:v>
                </c:pt>
                <c:pt idx="66">
                  <c:v>62.359000000000002</c:v>
                </c:pt>
                <c:pt idx="67">
                  <c:v>58.631999999999998</c:v>
                </c:pt>
              </c:numCache>
            </c:numRef>
          </c:val>
          <c:smooth val="0"/>
          <c:extLst>
            <c:ext xmlns:c16="http://schemas.microsoft.com/office/drawing/2014/chart" uri="{C3380CC4-5D6E-409C-BE32-E72D297353CC}">
              <c16:uniqueId val="{0000000A-9861-4E56-95A7-1875B661C106}"/>
            </c:ext>
          </c:extLst>
        </c:ser>
        <c:ser>
          <c:idx val="6"/>
          <c:order val="6"/>
          <c:tx>
            <c:strRef>
              <c:f>Sheet1!$A$25</c:f>
              <c:strCache>
                <c:ptCount val="1"/>
                <c:pt idx="0">
                  <c:v>Lauksaimniecība, mežsaimniecība</c:v>
                </c:pt>
              </c:strCache>
            </c:strRef>
          </c:tx>
          <c:spPr>
            <a:ln w="28575" cap="rnd" cmpd="sng" algn="ctr">
              <a:solidFill>
                <a:schemeClr val="accent1">
                  <a:lumMod val="60000"/>
                  <a:shade val="95000"/>
                  <a:satMod val="105000"/>
                </a:schemeClr>
              </a:solidFill>
              <a:prstDash val="solid"/>
              <a:round/>
            </a:ln>
            <a:effectLst/>
          </c:spPr>
          <c:marker>
            <c:symbol val="none"/>
          </c:marker>
          <c:cat>
            <c:numRef>
              <c:f>Sheet1!$B$17:$BQ$18</c:f>
              <c:numCache>
                <c:formatCode>General</c:formatCode>
                <c:ptCount val="68"/>
                <c:pt idx="0">
                  <c:v>2005</c:v>
                </c:pt>
                <c:pt idx="4">
                  <c:v>2006</c:v>
                </c:pt>
                <c:pt idx="8">
                  <c:v>2007</c:v>
                </c:pt>
                <c:pt idx="12">
                  <c:v>2008</c:v>
                </c:pt>
                <c:pt idx="16">
                  <c:v>2009</c:v>
                </c:pt>
                <c:pt idx="20">
                  <c:v>2010</c:v>
                </c:pt>
                <c:pt idx="24">
                  <c:v>2011</c:v>
                </c:pt>
                <c:pt idx="28">
                  <c:v>2012</c:v>
                </c:pt>
                <c:pt idx="32">
                  <c:v>2013</c:v>
                </c:pt>
                <c:pt idx="36">
                  <c:v>2014</c:v>
                </c:pt>
                <c:pt idx="40">
                  <c:v>2015</c:v>
                </c:pt>
                <c:pt idx="44">
                  <c:v>2016</c:v>
                </c:pt>
                <c:pt idx="48">
                  <c:v>2017</c:v>
                </c:pt>
                <c:pt idx="52">
                  <c:v>2018</c:v>
                </c:pt>
                <c:pt idx="56">
                  <c:v>2019</c:v>
                </c:pt>
                <c:pt idx="60">
                  <c:v>2020</c:v>
                </c:pt>
                <c:pt idx="64">
                  <c:v>2021</c:v>
                </c:pt>
              </c:numCache>
            </c:numRef>
          </c:cat>
          <c:val>
            <c:numRef>
              <c:f>Sheet1!$B$25:$BQ$25</c:f>
              <c:numCache>
                <c:formatCode>General</c:formatCode>
                <c:ptCount val="68"/>
                <c:pt idx="0">
                  <c:v>20.256</c:v>
                </c:pt>
                <c:pt idx="1">
                  <c:v>21.908999999999999</c:v>
                </c:pt>
                <c:pt idx="2">
                  <c:v>21.145</c:v>
                </c:pt>
                <c:pt idx="3">
                  <c:v>19.628</c:v>
                </c:pt>
                <c:pt idx="4">
                  <c:v>20.923999999999999</c:v>
                </c:pt>
                <c:pt idx="5">
                  <c:v>22.324000000000002</c:v>
                </c:pt>
                <c:pt idx="6">
                  <c:v>21.698</c:v>
                </c:pt>
                <c:pt idx="7">
                  <c:v>20.099</c:v>
                </c:pt>
                <c:pt idx="8">
                  <c:v>21.154</c:v>
                </c:pt>
                <c:pt idx="9">
                  <c:v>22.462</c:v>
                </c:pt>
                <c:pt idx="10">
                  <c:v>21.352</c:v>
                </c:pt>
                <c:pt idx="11">
                  <c:v>20.687999999999999</c:v>
                </c:pt>
                <c:pt idx="12">
                  <c:v>20.309000000000001</c:v>
                </c:pt>
                <c:pt idx="13">
                  <c:v>21.791</c:v>
                </c:pt>
                <c:pt idx="14">
                  <c:v>21.289000000000001</c:v>
                </c:pt>
                <c:pt idx="15">
                  <c:v>19.66</c:v>
                </c:pt>
                <c:pt idx="16">
                  <c:v>18.154</c:v>
                </c:pt>
                <c:pt idx="17">
                  <c:v>18.902000000000001</c:v>
                </c:pt>
                <c:pt idx="18">
                  <c:v>17.978000000000002</c:v>
                </c:pt>
                <c:pt idx="19">
                  <c:v>16.701000000000001</c:v>
                </c:pt>
                <c:pt idx="20">
                  <c:v>16.542000000000002</c:v>
                </c:pt>
                <c:pt idx="21">
                  <c:v>18.167000000000002</c:v>
                </c:pt>
                <c:pt idx="22">
                  <c:v>18.335000000000001</c:v>
                </c:pt>
                <c:pt idx="23">
                  <c:v>16.835999999999999</c:v>
                </c:pt>
                <c:pt idx="24">
                  <c:v>17.741</c:v>
                </c:pt>
                <c:pt idx="25">
                  <c:v>20.155000000000001</c:v>
                </c:pt>
                <c:pt idx="26">
                  <c:v>19.606999999999999</c:v>
                </c:pt>
                <c:pt idx="27">
                  <c:v>18.309000000000001</c:v>
                </c:pt>
                <c:pt idx="28">
                  <c:v>19.677</c:v>
                </c:pt>
                <c:pt idx="29">
                  <c:v>21.422999999999998</c:v>
                </c:pt>
                <c:pt idx="30">
                  <c:v>21.596</c:v>
                </c:pt>
                <c:pt idx="31">
                  <c:v>19.571000000000002</c:v>
                </c:pt>
                <c:pt idx="32">
                  <c:v>20.244</c:v>
                </c:pt>
                <c:pt idx="33">
                  <c:v>22.114000000000001</c:v>
                </c:pt>
                <c:pt idx="34">
                  <c:v>21.986000000000001</c:v>
                </c:pt>
                <c:pt idx="35">
                  <c:v>20.329999999999998</c:v>
                </c:pt>
                <c:pt idx="36">
                  <c:v>20.902000000000001</c:v>
                </c:pt>
                <c:pt idx="37">
                  <c:v>22.238</c:v>
                </c:pt>
                <c:pt idx="38">
                  <c:v>22.138000000000002</c:v>
                </c:pt>
                <c:pt idx="39">
                  <c:v>20.712</c:v>
                </c:pt>
                <c:pt idx="40">
                  <c:v>20.905999999999999</c:v>
                </c:pt>
                <c:pt idx="41">
                  <c:v>22.494</c:v>
                </c:pt>
                <c:pt idx="42">
                  <c:v>22.46</c:v>
                </c:pt>
                <c:pt idx="43">
                  <c:v>20.641999999999999</c:v>
                </c:pt>
                <c:pt idx="44">
                  <c:v>20.443999999999999</c:v>
                </c:pt>
                <c:pt idx="45">
                  <c:v>22.393999999999998</c:v>
                </c:pt>
                <c:pt idx="46">
                  <c:v>22.276</c:v>
                </c:pt>
                <c:pt idx="47">
                  <c:v>20.404</c:v>
                </c:pt>
                <c:pt idx="48">
                  <c:v>20.74</c:v>
                </c:pt>
                <c:pt idx="49">
                  <c:v>22.913</c:v>
                </c:pt>
                <c:pt idx="50">
                  <c:v>22.08</c:v>
                </c:pt>
                <c:pt idx="51">
                  <c:v>21.25</c:v>
                </c:pt>
                <c:pt idx="52">
                  <c:v>20.83</c:v>
                </c:pt>
                <c:pt idx="53">
                  <c:v>22.835999999999999</c:v>
                </c:pt>
                <c:pt idx="54">
                  <c:v>22.193000000000001</c:v>
                </c:pt>
                <c:pt idx="55">
                  <c:v>21.175999999999998</c:v>
                </c:pt>
                <c:pt idx="56">
                  <c:v>21.523</c:v>
                </c:pt>
                <c:pt idx="57">
                  <c:v>23.245000000000001</c:v>
                </c:pt>
                <c:pt idx="58">
                  <c:v>22.896000000000001</c:v>
                </c:pt>
                <c:pt idx="59">
                  <c:v>21.091000000000001</c:v>
                </c:pt>
                <c:pt idx="60">
                  <c:v>21.495000000000001</c:v>
                </c:pt>
                <c:pt idx="61">
                  <c:v>22.742999999999999</c:v>
                </c:pt>
                <c:pt idx="62">
                  <c:v>22.472999999999999</c:v>
                </c:pt>
                <c:pt idx="63">
                  <c:v>21.207999999999998</c:v>
                </c:pt>
                <c:pt idx="64">
                  <c:v>21.291</c:v>
                </c:pt>
                <c:pt idx="65">
                  <c:v>22.608000000000001</c:v>
                </c:pt>
                <c:pt idx="66">
                  <c:v>21.509</c:v>
                </c:pt>
                <c:pt idx="67">
                  <c:v>20.329000000000001</c:v>
                </c:pt>
              </c:numCache>
            </c:numRef>
          </c:val>
          <c:smooth val="0"/>
          <c:extLst>
            <c:ext xmlns:c16="http://schemas.microsoft.com/office/drawing/2014/chart" uri="{C3380CC4-5D6E-409C-BE32-E72D297353CC}">
              <c16:uniqueId val="{0000000B-9861-4E56-95A7-1875B661C106}"/>
            </c:ext>
          </c:extLst>
        </c:ser>
        <c:dLbls>
          <c:showLegendKey val="0"/>
          <c:showVal val="0"/>
          <c:showCatName val="0"/>
          <c:showSerName val="0"/>
          <c:showPercent val="0"/>
          <c:showBubbleSize val="0"/>
        </c:dLbls>
        <c:smooth val="0"/>
        <c:axId val="742053048"/>
        <c:axId val="742054616"/>
      </c:lineChart>
      <c:catAx>
        <c:axId val="742053048"/>
        <c:scaling>
          <c:orientation val="minMax"/>
        </c:scaling>
        <c:delete val="0"/>
        <c:axPos val="b"/>
        <c:numFmt formatCode="General" sourceLinked="1"/>
        <c:majorTickMark val="out"/>
        <c:minorTickMark val="none"/>
        <c:tickLblPos val="low"/>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742054616"/>
        <c:crosses val="autoZero"/>
        <c:auto val="0"/>
        <c:lblAlgn val="ctr"/>
        <c:lblOffset val="100"/>
        <c:tickLblSkip val="8"/>
        <c:tickMarkSkip val="4"/>
        <c:noMultiLvlLbl val="1"/>
      </c:catAx>
      <c:valAx>
        <c:axId val="742054616"/>
        <c:scaling>
          <c:orientation val="minMax"/>
          <c:max val="250"/>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lv-LV"/>
          </a:p>
        </c:txPr>
        <c:crossAx val="742053048"/>
        <c:crosses val="autoZero"/>
        <c:crossBetween val="between"/>
      </c:valAx>
      <c:spPr>
        <a:noFill/>
        <a:ln w="24220">
          <a:noFill/>
        </a:ln>
        <a:effectLst/>
      </c:spPr>
    </c:plotArea>
    <c:legend>
      <c:legendPos val="r"/>
      <c:layout>
        <c:manualLayout>
          <c:xMode val="edge"/>
          <c:yMode val="edge"/>
          <c:x val="0.64691935557799496"/>
          <c:y val="2.1806462666144971E-2"/>
          <c:w val="0.35203364617348393"/>
          <c:h val="0.94110115829758256"/>
        </c:manualLayout>
      </c:layout>
      <c:overlay val="0"/>
      <c:spPr>
        <a:noFill/>
        <a:ln>
          <a:noFill/>
        </a:ln>
        <a:effectLst/>
      </c:spPr>
      <c:txPr>
        <a:bodyPr rot="0" vert="horz"/>
        <a:lstStyle/>
        <a:p>
          <a:pPr>
            <a:defRPr/>
          </a:pPr>
          <a:endParaRPr lang="lv-LV"/>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Verdana" panose="020B0604030504040204" pitchFamily="34" charset="0"/>
          <a:cs typeface="Segoe UI Semilight" panose="020B0402040204020203" pitchFamily="34" charset="0"/>
        </a:defRPr>
      </a:pPr>
      <a:endParaRPr lang="lv-LV"/>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307998159546486"/>
          <c:y val="4.7032080353913347E-2"/>
          <c:w val="0.53935670940801639"/>
          <c:h val="0.89025346553523477"/>
        </c:manualLayout>
      </c:layout>
      <c:barChart>
        <c:barDir val="bar"/>
        <c:grouping val="clustered"/>
        <c:varyColors val="0"/>
        <c:ser>
          <c:idx val="2"/>
          <c:order val="0"/>
          <c:tx>
            <c:strRef>
              <c:f>Sheet1!$B$1</c:f>
              <c:strCache>
                <c:ptCount val="1"/>
                <c:pt idx="0">
                  <c:v>2021 pret 2010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Sheet1!$A$2:$A$19</c:f>
              <c:strCache>
                <c:ptCount val="18"/>
                <c:pt idx="0">
                  <c:v>Finanšu un apdrošināšanas darbības</c:v>
                </c:pt>
                <c:pt idx="1">
                  <c:v>Pārējā rūpniecība</c:v>
                </c:pt>
                <c:pt idx="2">
                  <c:v>Citi pakalpojumi</c:v>
                </c:pt>
                <c:pt idx="3">
                  <c:v>Valsts pārvalde un aizsardzība</c:v>
                </c:pt>
                <c:pt idx="4">
                  <c:v>Ieguves rūpniecība</c:v>
                </c:pt>
                <c:pt idx="5">
                  <c:v>Izglītība</c:v>
                </c:pt>
                <c:pt idx="6">
                  <c:v>Operācijas ar nekustamo īpašumu</c:v>
                </c:pt>
                <c:pt idx="7">
                  <c:v>Transports un uzglabāšana</c:v>
                </c:pt>
                <c:pt idx="8">
                  <c:v>Māksla, izklaide un atpūta</c:v>
                </c:pt>
                <c:pt idx="9">
                  <c:v>Tirdzniecība</c:v>
                </c:pt>
                <c:pt idx="10">
                  <c:v>Lauksaimniecība, mežsaimniecība</c:v>
                </c:pt>
                <c:pt idx="11">
                  <c:v>Izmitināšana un ēdināšana</c:v>
                </c:pt>
                <c:pt idx="12">
                  <c:v>Administratīvo un apkalpojošo dienestu darbība</c:v>
                </c:pt>
                <c:pt idx="13">
                  <c:v>Profesionālie, zinātniskie un tehniskie pakalpojumi</c:v>
                </c:pt>
                <c:pt idx="14">
                  <c:v>Apstrādes rūpniecība</c:v>
                </c:pt>
                <c:pt idx="15">
                  <c:v>Būvniecība</c:v>
                </c:pt>
                <c:pt idx="16">
                  <c:v>Informācijas un komunikācijas pakalpojumi</c:v>
                </c:pt>
                <c:pt idx="17">
                  <c:v>Veselība un sociālā aprūpe</c:v>
                </c:pt>
              </c:strCache>
            </c:strRef>
          </c:cat>
          <c:val>
            <c:numRef>
              <c:f>Sheet1!$B$2:$B$19</c:f>
              <c:numCache>
                <c:formatCode>0</c:formatCode>
                <c:ptCount val="18"/>
                <c:pt idx="0">
                  <c:v>-4.0570000000000004</c:v>
                </c:pt>
                <c:pt idx="1">
                  <c:v>-1.397000000000002</c:v>
                </c:pt>
                <c:pt idx="2">
                  <c:v>-0.18199999999999861</c:v>
                </c:pt>
                <c:pt idx="3">
                  <c:v>0.39699999999999847</c:v>
                </c:pt>
                <c:pt idx="4">
                  <c:v>0.84200000000000008</c:v>
                </c:pt>
                <c:pt idx="5">
                  <c:v>1.0240000000000009</c:v>
                </c:pt>
                <c:pt idx="6">
                  <c:v>2.1859999999999999</c:v>
                </c:pt>
                <c:pt idx="7">
                  <c:v>2.3870000000000005</c:v>
                </c:pt>
                <c:pt idx="8">
                  <c:v>2.7780000000000022</c:v>
                </c:pt>
                <c:pt idx="9">
                  <c:v>3.6870000000000118</c:v>
                </c:pt>
                <c:pt idx="10">
                  <c:v>3.9640000000000022</c:v>
                </c:pt>
                <c:pt idx="11">
                  <c:v>4.411999999999999</c:v>
                </c:pt>
                <c:pt idx="12">
                  <c:v>12.532</c:v>
                </c:pt>
                <c:pt idx="13">
                  <c:v>13.265000000000001</c:v>
                </c:pt>
                <c:pt idx="14">
                  <c:v>14.424999999999997</c:v>
                </c:pt>
                <c:pt idx="15">
                  <c:v>16.131</c:v>
                </c:pt>
                <c:pt idx="16">
                  <c:v>20.517999999999997</c:v>
                </c:pt>
                <c:pt idx="17">
                  <c:v>22.983000000000004</c:v>
                </c:pt>
              </c:numCache>
            </c:numRef>
          </c:val>
          <c:extLst>
            <c:ext xmlns:c16="http://schemas.microsoft.com/office/drawing/2014/chart" uri="{C3380CC4-5D6E-409C-BE32-E72D297353CC}">
              <c16:uniqueId val="{00000000-F9FE-42C8-BCE0-D7519CCDD920}"/>
            </c:ext>
          </c:extLst>
        </c:ser>
        <c:dLbls>
          <c:showLegendKey val="0"/>
          <c:showVal val="0"/>
          <c:showCatName val="0"/>
          <c:showSerName val="0"/>
          <c:showPercent val="0"/>
          <c:showBubbleSize val="0"/>
        </c:dLbls>
        <c:gapWidth val="40"/>
        <c:axId val="742055792"/>
        <c:axId val="742057360"/>
      </c:barChart>
      <c:catAx>
        <c:axId val="742055792"/>
        <c:scaling>
          <c:orientation val="minMax"/>
        </c:scaling>
        <c:delete val="0"/>
        <c:axPos val="l"/>
        <c:numFmt formatCode="General" sourceLinked="1"/>
        <c:majorTickMark val="out"/>
        <c:minorTickMark val="none"/>
        <c:tickLblPos val="low"/>
        <c:spPr>
          <a:ln w="3175">
            <a:noFill/>
            <a:prstDash val="solid"/>
          </a:ln>
        </c:spPr>
        <c:txPr>
          <a:bodyPr rot="0" vert="horz"/>
          <a:lstStyle/>
          <a:p>
            <a:pPr>
              <a:defRPr/>
            </a:pPr>
            <a:endParaRPr lang="lv-LV"/>
          </a:p>
        </c:txPr>
        <c:crossAx val="742057360"/>
        <c:crosses val="autoZero"/>
        <c:auto val="0"/>
        <c:lblAlgn val="ctr"/>
        <c:lblOffset val="0"/>
        <c:noMultiLvlLbl val="1"/>
      </c:catAx>
      <c:valAx>
        <c:axId val="742057360"/>
        <c:scaling>
          <c:orientation val="minMax"/>
          <c:max val="24"/>
        </c:scaling>
        <c:delete val="0"/>
        <c:axPos val="b"/>
        <c:numFmt formatCode="0" sourceLinked="0"/>
        <c:majorTickMark val="out"/>
        <c:minorTickMark val="none"/>
        <c:tickLblPos val="nextTo"/>
        <c:spPr>
          <a:ln w="3175">
            <a:noFill/>
          </a:ln>
        </c:spPr>
        <c:txPr>
          <a:bodyPr rot="0" vert="horz"/>
          <a:lstStyle/>
          <a:p>
            <a:pPr>
              <a:defRPr/>
            </a:pPr>
            <a:endParaRPr lang="lv-LV"/>
          </a:p>
        </c:txPr>
        <c:crossAx val="742055792"/>
        <c:crosses val="autoZero"/>
        <c:crossBetween val="between"/>
        <c:majorUnit val="8"/>
      </c:valAx>
      <c:spPr>
        <a:noFill/>
        <a:ln w="24631">
          <a:noFill/>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132188021951796E-2"/>
          <c:y val="4.2520726805510944E-2"/>
          <c:w val="0.69392883836540298"/>
          <c:h val="0.87181445012699077"/>
        </c:manualLayout>
      </c:layout>
      <c:barChart>
        <c:barDir val="col"/>
        <c:grouping val="stacked"/>
        <c:varyColors val="0"/>
        <c:ser>
          <c:idx val="4"/>
          <c:order val="0"/>
          <c:tx>
            <c:strRef>
              <c:f>Sheet1!$A$2</c:f>
              <c:strCache>
                <c:ptCount val="1"/>
                <c:pt idx="0">
                  <c:v>0-14</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2005</c:v>
                </c:pt>
                <c:pt idx="2">
                  <c:v>2010</c:v>
                </c:pt>
                <c:pt idx="3">
                  <c:v>2015</c:v>
                </c:pt>
                <c:pt idx="4">
                  <c:v>2020</c:v>
                </c:pt>
                <c:pt idx="5">
                  <c:v>2021</c:v>
                </c:pt>
                <c:pt idx="6">
                  <c:v>2022*</c:v>
                </c:pt>
              </c:strCache>
            </c:strRef>
          </c:cat>
          <c:val>
            <c:numRef>
              <c:f>Sheet1!$B$2:$H$2</c:f>
              <c:numCache>
                <c:formatCode>0.0</c:formatCode>
                <c:ptCount val="7"/>
                <c:pt idx="0">
                  <c:v>428.08199999999999</c:v>
                </c:pt>
                <c:pt idx="1">
                  <c:v>336.75700000000001</c:v>
                </c:pt>
                <c:pt idx="2">
                  <c:v>300.29399999999998</c:v>
                </c:pt>
                <c:pt idx="3">
                  <c:v>297.72000000000003</c:v>
                </c:pt>
                <c:pt idx="4">
                  <c:v>305.18799999999999</c:v>
                </c:pt>
                <c:pt idx="5">
                  <c:v>302.97800000000001</c:v>
                </c:pt>
                <c:pt idx="6">
                  <c:v>299.57499999999999</c:v>
                </c:pt>
              </c:numCache>
            </c:numRef>
          </c:val>
          <c:extLst>
            <c:ext xmlns:c16="http://schemas.microsoft.com/office/drawing/2014/chart" uri="{C3380CC4-5D6E-409C-BE32-E72D297353CC}">
              <c16:uniqueId val="{00000000-0F45-4DBC-B89D-1D0FD215EBAB}"/>
            </c:ext>
          </c:extLst>
        </c:ser>
        <c:ser>
          <c:idx val="2"/>
          <c:order val="1"/>
          <c:tx>
            <c:strRef>
              <c:f>Sheet1!$A$3</c:f>
              <c:strCache>
                <c:ptCount val="1"/>
                <c:pt idx="0">
                  <c:v>15-64</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2005</c:v>
                </c:pt>
                <c:pt idx="2">
                  <c:v>2010</c:v>
                </c:pt>
                <c:pt idx="3">
                  <c:v>2015</c:v>
                </c:pt>
                <c:pt idx="4">
                  <c:v>2020</c:v>
                </c:pt>
                <c:pt idx="5">
                  <c:v>2021</c:v>
                </c:pt>
                <c:pt idx="6">
                  <c:v>2022*</c:v>
                </c:pt>
              </c:strCache>
            </c:strRef>
          </c:cat>
          <c:val>
            <c:numRef>
              <c:f>Sheet1!$B$3:$H$3</c:f>
              <c:numCache>
                <c:formatCode>0.0</c:formatCode>
                <c:ptCount val="7"/>
                <c:pt idx="0">
                  <c:v>1600.317</c:v>
                </c:pt>
                <c:pt idx="1">
                  <c:v>1538.6279999999999</c:v>
                </c:pt>
                <c:pt idx="2">
                  <c:v>1436.0329999999999</c:v>
                </c:pt>
                <c:pt idx="3">
                  <c:v>1303.3</c:v>
                </c:pt>
                <c:pt idx="4">
                  <c:v>1211.0740000000001</c:v>
                </c:pt>
                <c:pt idx="5">
                  <c:v>1196.547</c:v>
                </c:pt>
                <c:pt idx="6">
                  <c:v>1182.347</c:v>
                </c:pt>
              </c:numCache>
            </c:numRef>
          </c:val>
          <c:extLst>
            <c:ext xmlns:c16="http://schemas.microsoft.com/office/drawing/2014/chart" uri="{C3380CC4-5D6E-409C-BE32-E72D297353CC}">
              <c16:uniqueId val="{00000001-0F45-4DBC-B89D-1D0FD215EBAB}"/>
            </c:ext>
          </c:extLst>
        </c:ser>
        <c:ser>
          <c:idx val="1"/>
          <c:order val="2"/>
          <c:tx>
            <c:strRef>
              <c:f>Sheet1!$A$4</c:f>
              <c:strCache>
                <c:ptCount val="1"/>
                <c:pt idx="0">
                  <c:v>65-74</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2005</c:v>
                </c:pt>
                <c:pt idx="2">
                  <c:v>2010</c:v>
                </c:pt>
                <c:pt idx="3">
                  <c:v>2015</c:v>
                </c:pt>
                <c:pt idx="4">
                  <c:v>2020</c:v>
                </c:pt>
                <c:pt idx="5">
                  <c:v>2021</c:v>
                </c:pt>
                <c:pt idx="6">
                  <c:v>2022*</c:v>
                </c:pt>
              </c:strCache>
            </c:strRef>
          </c:cat>
          <c:val>
            <c:numRef>
              <c:f>Sheet1!$B$4:$H$4</c:f>
              <c:numCache>
                <c:formatCode>0.0</c:formatCode>
                <c:ptCount val="7"/>
                <c:pt idx="0">
                  <c:v>226.73699999999999</c:v>
                </c:pt>
                <c:pt idx="1">
                  <c:v>226.697</c:v>
                </c:pt>
                <c:pt idx="2">
                  <c:v>221.40600000000001</c:v>
                </c:pt>
                <c:pt idx="3">
                  <c:v>201.52199999999999</c:v>
                </c:pt>
                <c:pt idx="4">
                  <c:v>200.17400000000001</c:v>
                </c:pt>
                <c:pt idx="5">
                  <c:v>205.25899999999999</c:v>
                </c:pt>
                <c:pt idx="6">
                  <c:v>208.36699999999999</c:v>
                </c:pt>
              </c:numCache>
            </c:numRef>
          </c:val>
          <c:extLst>
            <c:ext xmlns:c16="http://schemas.microsoft.com/office/drawing/2014/chart" uri="{C3380CC4-5D6E-409C-BE32-E72D297353CC}">
              <c16:uniqueId val="{00000002-0F45-4DBC-B89D-1D0FD215EBAB}"/>
            </c:ext>
          </c:extLst>
        </c:ser>
        <c:ser>
          <c:idx val="0"/>
          <c:order val="3"/>
          <c:tx>
            <c:strRef>
              <c:f>Sheet1!$A$5</c:f>
              <c:strCache>
                <c:ptCount val="1"/>
                <c:pt idx="0">
                  <c:v>75+</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Sheet1!$B$1:$H$1</c:f>
              <c:strCache>
                <c:ptCount val="7"/>
                <c:pt idx="0">
                  <c:v>2000</c:v>
                </c:pt>
                <c:pt idx="1">
                  <c:v>2005</c:v>
                </c:pt>
                <c:pt idx="2">
                  <c:v>2010</c:v>
                </c:pt>
                <c:pt idx="3">
                  <c:v>2015</c:v>
                </c:pt>
                <c:pt idx="4">
                  <c:v>2020</c:v>
                </c:pt>
                <c:pt idx="5">
                  <c:v>2021</c:v>
                </c:pt>
                <c:pt idx="6">
                  <c:v>2022*</c:v>
                </c:pt>
              </c:strCache>
            </c:strRef>
          </c:cat>
          <c:val>
            <c:numRef>
              <c:f>Sheet1!$B$5:$H$5</c:f>
              <c:numCache>
                <c:formatCode>0.0</c:formatCode>
                <c:ptCount val="7"/>
                <c:pt idx="0">
                  <c:v>126.57899999999999</c:v>
                </c:pt>
                <c:pt idx="1">
                  <c:v>147.642</c:v>
                </c:pt>
                <c:pt idx="2">
                  <c:v>162.77099999999999</c:v>
                </c:pt>
                <c:pt idx="3">
                  <c:v>183.554</c:v>
                </c:pt>
                <c:pt idx="4">
                  <c:v>191.239</c:v>
                </c:pt>
                <c:pt idx="5">
                  <c:v>188.43899999999999</c:v>
                </c:pt>
                <c:pt idx="6">
                  <c:v>182.40100000000001</c:v>
                </c:pt>
              </c:numCache>
            </c:numRef>
          </c:val>
          <c:extLst>
            <c:ext xmlns:c16="http://schemas.microsoft.com/office/drawing/2014/chart" uri="{C3380CC4-5D6E-409C-BE32-E72D297353CC}">
              <c16:uniqueId val="{00000003-0F45-4DBC-B89D-1D0FD215EBAB}"/>
            </c:ext>
          </c:extLst>
        </c:ser>
        <c:dLbls>
          <c:showLegendKey val="0"/>
          <c:showVal val="0"/>
          <c:showCatName val="0"/>
          <c:showSerName val="0"/>
          <c:showPercent val="0"/>
          <c:showBubbleSize val="0"/>
        </c:dLbls>
        <c:gapWidth val="50"/>
        <c:overlap val="100"/>
        <c:axId val="742058144"/>
        <c:axId val="742059320"/>
      </c:barChart>
      <c:catAx>
        <c:axId val="742058144"/>
        <c:scaling>
          <c:orientation val="minMax"/>
        </c:scaling>
        <c:delete val="0"/>
        <c:axPos val="b"/>
        <c:numFmt formatCode="General" sourceLinked="1"/>
        <c:majorTickMark val="out"/>
        <c:minorTickMark val="none"/>
        <c:tickLblPos val="nextTo"/>
        <c:spPr>
          <a:ln w="3175"/>
        </c:spPr>
        <c:crossAx val="742059320"/>
        <c:crosses val="autoZero"/>
        <c:auto val="1"/>
        <c:lblAlgn val="ctr"/>
        <c:lblOffset val="100"/>
        <c:noMultiLvlLbl val="0"/>
      </c:catAx>
      <c:valAx>
        <c:axId val="742059320"/>
        <c:scaling>
          <c:orientation val="minMax"/>
          <c:max val="2400"/>
          <c:min val="0"/>
        </c:scaling>
        <c:delete val="0"/>
        <c:axPos val="l"/>
        <c:numFmt formatCode="0" sourceLinked="0"/>
        <c:majorTickMark val="out"/>
        <c:minorTickMark val="none"/>
        <c:tickLblPos val="nextTo"/>
        <c:spPr>
          <a:ln w="3175">
            <a:noFill/>
          </a:ln>
        </c:spPr>
        <c:crossAx val="742058144"/>
        <c:crosses val="autoZero"/>
        <c:crossBetween val="between"/>
        <c:majorUnit val="600"/>
      </c:valAx>
    </c:plotArea>
    <c:legend>
      <c:legendPos val="r"/>
      <c:layout>
        <c:manualLayout>
          <c:xMode val="edge"/>
          <c:yMode val="edge"/>
          <c:x val="0.82279953416418972"/>
          <c:y val="5.739784180781151E-2"/>
          <c:w val="0.1726852390419224"/>
          <c:h val="0.90237713670576181"/>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871775695609286"/>
          <c:h val="0.85727773443197575"/>
        </c:manualLayout>
      </c:layout>
      <c:barChart>
        <c:barDir val="col"/>
        <c:grouping val="clustered"/>
        <c:varyColors val="0"/>
        <c:ser>
          <c:idx val="2"/>
          <c:order val="0"/>
          <c:tx>
            <c:strRef>
              <c:f>Sheet1!$A$2</c:f>
              <c:strCache>
                <c:ptCount val="1"/>
                <c:pt idx="0">
                  <c:v>Ekonomiski aktīvie iedzīvotāji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8"/>
                <c:pt idx="0">
                  <c:v>2010</c:v>
                </c:pt>
                <c:pt idx="1">
                  <c:v>2012</c:v>
                </c:pt>
                <c:pt idx="2">
                  <c:v>2014</c:v>
                </c:pt>
                <c:pt idx="3">
                  <c:v>2016</c:v>
                </c:pt>
                <c:pt idx="4">
                  <c:v>2018</c:v>
                </c:pt>
                <c:pt idx="5">
                  <c:v>2019</c:v>
                </c:pt>
                <c:pt idx="6">
                  <c:v>2020</c:v>
                </c:pt>
                <c:pt idx="7">
                  <c:v>2021</c:v>
                </c:pt>
              </c:strCache>
            </c:strRef>
          </c:cat>
          <c:val>
            <c:numRef>
              <c:f>Sheet1!$B$2:$M$2</c:f>
              <c:numCache>
                <c:formatCode>0</c:formatCode>
                <c:ptCount val="8"/>
                <c:pt idx="0">
                  <c:v>1056.5</c:v>
                </c:pt>
                <c:pt idx="1">
                  <c:v>1030.7</c:v>
                </c:pt>
                <c:pt idx="2">
                  <c:v>992.3</c:v>
                </c:pt>
                <c:pt idx="3">
                  <c:v>988.6</c:v>
                </c:pt>
                <c:pt idx="4">
                  <c:v>982.2</c:v>
                </c:pt>
                <c:pt idx="5">
                  <c:v>971.3</c:v>
                </c:pt>
                <c:pt idx="6">
                  <c:v>971.7</c:v>
                </c:pt>
                <c:pt idx="7">
                  <c:v>934.6</c:v>
                </c:pt>
              </c:numCache>
            </c:numRef>
          </c:val>
          <c:extLst>
            <c:ext xmlns:c16="http://schemas.microsoft.com/office/drawing/2014/chart" uri="{C3380CC4-5D6E-409C-BE32-E72D297353CC}">
              <c16:uniqueId val="{00000000-36E9-4AAE-9197-2A963FA771F2}"/>
            </c:ext>
          </c:extLst>
        </c:ser>
        <c:ser>
          <c:idx val="3"/>
          <c:order val="1"/>
          <c:tx>
            <c:strRef>
              <c:f>Sheet1!$A$3</c:f>
              <c:strCache>
                <c:ptCount val="1"/>
                <c:pt idx="0">
                  <c:v>Nodarbinātie iedzīvotāji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8"/>
                <c:pt idx="0">
                  <c:v>2010</c:v>
                </c:pt>
                <c:pt idx="1">
                  <c:v>2012</c:v>
                </c:pt>
                <c:pt idx="2">
                  <c:v>2014</c:v>
                </c:pt>
                <c:pt idx="3">
                  <c:v>2016</c:v>
                </c:pt>
                <c:pt idx="4">
                  <c:v>2018</c:v>
                </c:pt>
                <c:pt idx="5">
                  <c:v>2019</c:v>
                </c:pt>
                <c:pt idx="6">
                  <c:v>2020</c:v>
                </c:pt>
                <c:pt idx="7">
                  <c:v>2021</c:v>
                </c:pt>
              </c:strCache>
            </c:strRef>
          </c:cat>
          <c:val>
            <c:numRef>
              <c:f>Sheet1!$B$3:$M$3</c:f>
              <c:numCache>
                <c:formatCode>0</c:formatCode>
                <c:ptCount val="8"/>
                <c:pt idx="0">
                  <c:v>850.7</c:v>
                </c:pt>
                <c:pt idx="1">
                  <c:v>875.6</c:v>
                </c:pt>
                <c:pt idx="2">
                  <c:v>884.6</c:v>
                </c:pt>
                <c:pt idx="3">
                  <c:v>893.3</c:v>
                </c:pt>
                <c:pt idx="4">
                  <c:v>909.4</c:v>
                </c:pt>
                <c:pt idx="5">
                  <c:v>910</c:v>
                </c:pt>
                <c:pt idx="6">
                  <c:v>893</c:v>
                </c:pt>
                <c:pt idx="7">
                  <c:v>864</c:v>
                </c:pt>
              </c:numCache>
            </c:numRef>
          </c:val>
          <c:extLst>
            <c:ext xmlns:c16="http://schemas.microsoft.com/office/drawing/2014/chart" uri="{C3380CC4-5D6E-409C-BE32-E72D297353CC}">
              <c16:uniqueId val="{00000001-36E9-4AAE-9197-2A963FA771F2}"/>
            </c:ext>
          </c:extLst>
        </c:ser>
        <c:dLbls>
          <c:showLegendKey val="0"/>
          <c:showVal val="0"/>
          <c:showCatName val="0"/>
          <c:showSerName val="0"/>
          <c:showPercent val="0"/>
          <c:showBubbleSize val="0"/>
        </c:dLbls>
        <c:gapWidth val="40"/>
        <c:overlap val="80"/>
        <c:axId val="742143600"/>
        <c:axId val="742139288"/>
      </c:barChart>
      <c:catAx>
        <c:axId val="742143600"/>
        <c:scaling>
          <c:orientation val="minMax"/>
        </c:scaling>
        <c:delete val="0"/>
        <c:axPos val="b"/>
        <c:numFmt formatCode="General" sourceLinked="1"/>
        <c:majorTickMark val="out"/>
        <c:minorTickMark val="none"/>
        <c:tickLblPos val="low"/>
        <c:txPr>
          <a:bodyPr rot="0" vert="horz"/>
          <a:lstStyle/>
          <a:p>
            <a:pPr>
              <a:defRPr/>
            </a:pPr>
            <a:endParaRPr lang="lv-LV"/>
          </a:p>
        </c:txPr>
        <c:crossAx val="742139288"/>
        <c:crosses val="autoZero"/>
        <c:auto val="0"/>
        <c:lblAlgn val="ctr"/>
        <c:lblOffset val="0"/>
        <c:noMultiLvlLbl val="1"/>
      </c:catAx>
      <c:valAx>
        <c:axId val="742139288"/>
        <c:scaling>
          <c:orientation val="minMax"/>
          <c:min val="700"/>
        </c:scaling>
        <c:delete val="0"/>
        <c:axPos val="l"/>
        <c:numFmt formatCode="0" sourceLinked="0"/>
        <c:majorTickMark val="out"/>
        <c:minorTickMark val="none"/>
        <c:tickLblPos val="nextTo"/>
        <c:spPr>
          <a:ln w="3175">
            <a:noFill/>
          </a:ln>
        </c:spPr>
        <c:txPr>
          <a:bodyPr rot="0" vert="horz"/>
          <a:lstStyle/>
          <a:p>
            <a:pPr>
              <a:defRPr/>
            </a:pPr>
            <a:endParaRPr lang="lv-LV"/>
          </a:p>
        </c:txPr>
        <c:crossAx val="742143600"/>
        <c:crosses val="autoZero"/>
        <c:crossBetween val="between"/>
        <c:majorUnit val="100"/>
      </c:valAx>
      <c:spPr>
        <a:noFill/>
        <a:ln w="24631">
          <a:noFill/>
        </a:ln>
      </c:spPr>
    </c:plotArea>
    <c:legend>
      <c:legendPos val="l"/>
      <c:layout>
        <c:manualLayout>
          <c:xMode val="edge"/>
          <c:yMode val="edge"/>
          <c:x val="0.42183889086631537"/>
          <c:y val="2.9919407677686277E-2"/>
          <c:w val="0.52988531891065982"/>
          <c:h val="0.15094656938314965"/>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0828406577415116E-2"/>
          <c:y val="4.1032354227984354E-2"/>
          <c:w val="0.87565465636968753"/>
          <c:h val="0.8847855263957497"/>
        </c:manualLayout>
      </c:layout>
      <c:barChart>
        <c:barDir val="bar"/>
        <c:grouping val="stacked"/>
        <c:varyColors val="0"/>
        <c:ser>
          <c:idx val="0"/>
          <c:order val="0"/>
          <c:tx>
            <c:strRef>
              <c:f>Sheet1!$B$1</c:f>
              <c:strCache>
                <c:ptCount val="1"/>
                <c:pt idx="0">
                  <c:v>Vīrieši</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Sheet1!$B$2:$B$102</c:f>
              <c:numCache>
                <c:formatCode>0.0</c:formatCode>
                <c:ptCount val="101"/>
                <c:pt idx="0">
                  <c:v>-8.7940000000000005</c:v>
                </c:pt>
                <c:pt idx="1">
                  <c:v>-8.9310000000000009</c:v>
                </c:pt>
                <c:pt idx="2">
                  <c:v>-9.6780000000000008</c:v>
                </c:pt>
                <c:pt idx="3">
                  <c:v>-10.055999999999997</c:v>
                </c:pt>
                <c:pt idx="4">
                  <c:v>-10.853</c:v>
                </c:pt>
                <c:pt idx="5">
                  <c:v>-11.486000000000002</c:v>
                </c:pt>
                <c:pt idx="6">
                  <c:v>-11.484</c:v>
                </c:pt>
                <c:pt idx="7">
                  <c:v>-11.288</c:v>
                </c:pt>
                <c:pt idx="8">
                  <c:v>-10.486999999999998</c:v>
                </c:pt>
                <c:pt idx="9">
                  <c:v>-10.263000000000002</c:v>
                </c:pt>
                <c:pt idx="10">
                  <c:v>-9.484</c:v>
                </c:pt>
                <c:pt idx="11">
                  <c:v>-9.702</c:v>
                </c:pt>
                <c:pt idx="12">
                  <c:v>-10.215999999999999</c:v>
                </c:pt>
                <c:pt idx="13">
                  <c:v>-11.074</c:v>
                </c:pt>
                <c:pt idx="14">
                  <c:v>-10.696999999999997</c:v>
                </c:pt>
                <c:pt idx="15">
                  <c:v>-10.139000000000001</c:v>
                </c:pt>
                <c:pt idx="16">
                  <c:v>-9.8160000000000007</c:v>
                </c:pt>
                <c:pt idx="17">
                  <c:v>-9.2249999999999996</c:v>
                </c:pt>
                <c:pt idx="18">
                  <c:v>-9.4589999999999996</c:v>
                </c:pt>
                <c:pt idx="19">
                  <c:v>-9.0269999999999992</c:v>
                </c:pt>
                <c:pt idx="20">
                  <c:v>-8.7629999999999999</c:v>
                </c:pt>
                <c:pt idx="21">
                  <c:v>-9.1310000000000002</c:v>
                </c:pt>
                <c:pt idx="22">
                  <c:v>-8.73</c:v>
                </c:pt>
                <c:pt idx="23">
                  <c:v>-8.1819999999999986</c:v>
                </c:pt>
                <c:pt idx="24">
                  <c:v>-8.3780000000000001</c:v>
                </c:pt>
                <c:pt idx="25">
                  <c:v>-8.5359999999999996</c:v>
                </c:pt>
                <c:pt idx="26">
                  <c:v>-9.2440000000000015</c:v>
                </c:pt>
                <c:pt idx="27">
                  <c:v>-9.8359999999999985</c:v>
                </c:pt>
                <c:pt idx="28">
                  <c:v>-10.618</c:v>
                </c:pt>
                <c:pt idx="29">
                  <c:v>-12.359</c:v>
                </c:pt>
                <c:pt idx="30">
                  <c:v>-12.728999999999999</c:v>
                </c:pt>
                <c:pt idx="31">
                  <c:v>-13.339</c:v>
                </c:pt>
                <c:pt idx="32">
                  <c:v>-13.69</c:v>
                </c:pt>
                <c:pt idx="33">
                  <c:v>-14.238</c:v>
                </c:pt>
                <c:pt idx="34">
                  <c:v>-14.382000000000001</c:v>
                </c:pt>
                <c:pt idx="35">
                  <c:v>-14.270999999999999</c:v>
                </c:pt>
                <c:pt idx="36">
                  <c:v>-13.835000000000001</c:v>
                </c:pt>
                <c:pt idx="37">
                  <c:v>-13.774000000000003</c:v>
                </c:pt>
                <c:pt idx="38">
                  <c:v>-14.015999999999998</c:v>
                </c:pt>
                <c:pt idx="39">
                  <c:v>-13.04</c:v>
                </c:pt>
                <c:pt idx="40">
                  <c:v>-12.633999999999999</c:v>
                </c:pt>
                <c:pt idx="41">
                  <c:v>-12.348000000000003</c:v>
                </c:pt>
                <c:pt idx="42">
                  <c:v>-11.960999999999999</c:v>
                </c:pt>
                <c:pt idx="43">
                  <c:v>-11.770999999999999</c:v>
                </c:pt>
                <c:pt idx="44">
                  <c:v>-12.058999999999999</c:v>
                </c:pt>
                <c:pt idx="45">
                  <c:v>-12.366000000000001</c:v>
                </c:pt>
                <c:pt idx="46">
                  <c:v>-12.442</c:v>
                </c:pt>
                <c:pt idx="47">
                  <c:v>-12.503</c:v>
                </c:pt>
                <c:pt idx="48">
                  <c:v>-12.456</c:v>
                </c:pt>
                <c:pt idx="49">
                  <c:v>-12.838000000000001</c:v>
                </c:pt>
                <c:pt idx="50">
                  <c:v>-12.757999999999999</c:v>
                </c:pt>
                <c:pt idx="51">
                  <c:v>-12.411</c:v>
                </c:pt>
                <c:pt idx="52">
                  <c:v>-12.051</c:v>
                </c:pt>
                <c:pt idx="53">
                  <c:v>-12.065</c:v>
                </c:pt>
                <c:pt idx="54">
                  <c:v>-11.789</c:v>
                </c:pt>
                <c:pt idx="55">
                  <c:v>-11.661</c:v>
                </c:pt>
                <c:pt idx="56">
                  <c:v>-11.544000000000002</c:v>
                </c:pt>
                <c:pt idx="57">
                  <c:v>-11.837999999999997</c:v>
                </c:pt>
                <c:pt idx="58">
                  <c:v>-12.093</c:v>
                </c:pt>
                <c:pt idx="59">
                  <c:v>-12.295</c:v>
                </c:pt>
                <c:pt idx="60">
                  <c:v>-12.489000000000001</c:v>
                </c:pt>
                <c:pt idx="61">
                  <c:v>-12.19</c:v>
                </c:pt>
                <c:pt idx="62">
                  <c:v>-11.675999999999998</c:v>
                </c:pt>
                <c:pt idx="63">
                  <c:v>-11.791</c:v>
                </c:pt>
                <c:pt idx="64">
                  <c:v>-11.06</c:v>
                </c:pt>
                <c:pt idx="65">
                  <c:v>-10.068</c:v>
                </c:pt>
                <c:pt idx="66">
                  <c:v>-9.8020000000000014</c:v>
                </c:pt>
                <c:pt idx="67">
                  <c:v>-9.1050000000000004</c:v>
                </c:pt>
                <c:pt idx="68">
                  <c:v>-8.2650000000000006</c:v>
                </c:pt>
                <c:pt idx="69">
                  <c:v>-8.0190000000000001</c:v>
                </c:pt>
                <c:pt idx="70">
                  <c:v>-7.7519999999999989</c:v>
                </c:pt>
                <c:pt idx="71">
                  <c:v>-7.3590000000000009</c:v>
                </c:pt>
                <c:pt idx="72">
                  <c:v>-7.3220000000000001</c:v>
                </c:pt>
                <c:pt idx="73">
                  <c:v>-6.6939999999999991</c:v>
                </c:pt>
                <c:pt idx="74">
                  <c:v>-5.8990000000000009</c:v>
                </c:pt>
                <c:pt idx="75">
                  <c:v>-4.8140000000000001</c:v>
                </c:pt>
                <c:pt idx="76">
                  <c:v>-4.2770000000000001</c:v>
                </c:pt>
                <c:pt idx="77">
                  <c:v>-4.2380000000000004</c:v>
                </c:pt>
                <c:pt idx="78">
                  <c:v>-4.3019999999999996</c:v>
                </c:pt>
                <c:pt idx="79">
                  <c:v>-4.1829999999999998</c:v>
                </c:pt>
                <c:pt idx="80">
                  <c:v>-4.3869999999999996</c:v>
                </c:pt>
                <c:pt idx="81">
                  <c:v>-3.851</c:v>
                </c:pt>
                <c:pt idx="82">
                  <c:v>-3.6290000000000004</c:v>
                </c:pt>
                <c:pt idx="83">
                  <c:v>-3.1989999999999994</c:v>
                </c:pt>
                <c:pt idx="84">
                  <c:v>-2.7639999999999993</c:v>
                </c:pt>
                <c:pt idx="85">
                  <c:v>-2.2330000000000001</c:v>
                </c:pt>
                <c:pt idx="86">
                  <c:v>-1.7689999999999999</c:v>
                </c:pt>
                <c:pt idx="87">
                  <c:v>-1.2929999999999999</c:v>
                </c:pt>
                <c:pt idx="88">
                  <c:v>-1.1830000000000001</c:v>
                </c:pt>
                <c:pt idx="89">
                  <c:v>-0.95800000000000018</c:v>
                </c:pt>
                <c:pt idx="90">
                  <c:v>-0.79999999999999982</c:v>
                </c:pt>
                <c:pt idx="91">
                  <c:v>-0.6349999999999999</c:v>
                </c:pt>
                <c:pt idx="92">
                  <c:v>-0.46700000000000003</c:v>
                </c:pt>
                <c:pt idx="93">
                  <c:v>-0.33400000000000002</c:v>
                </c:pt>
                <c:pt idx="94">
                  <c:v>-0.23200000000000004</c:v>
                </c:pt>
                <c:pt idx="95">
                  <c:v>-0.129</c:v>
                </c:pt>
                <c:pt idx="96">
                  <c:v>-7.0000000000000007E-2</c:v>
                </c:pt>
                <c:pt idx="97">
                  <c:v>-4.9999999999999996E-2</c:v>
                </c:pt>
                <c:pt idx="98">
                  <c:v>-3.1E-2</c:v>
                </c:pt>
                <c:pt idx="99">
                  <c:v>-1.2999999999999999E-2</c:v>
                </c:pt>
                <c:pt idx="100">
                  <c:v>-2.5999999999999992E-2</c:v>
                </c:pt>
              </c:numCache>
            </c:numRef>
          </c:val>
          <c:extLst>
            <c:ext xmlns:c16="http://schemas.microsoft.com/office/drawing/2014/chart" uri="{C3380CC4-5D6E-409C-BE32-E72D297353CC}">
              <c16:uniqueId val="{00000000-5150-41D2-AE3C-ACD82CCBAC98}"/>
            </c:ext>
          </c:extLst>
        </c:ser>
        <c:ser>
          <c:idx val="1"/>
          <c:order val="1"/>
          <c:tx>
            <c:strRef>
              <c:f>Sheet1!$C$1</c:f>
              <c:strCache>
                <c:ptCount val="1"/>
                <c:pt idx="0">
                  <c:v>Sievietes</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Sheet1!$C$2:$C$102</c:f>
              <c:numCache>
                <c:formatCode>0.0</c:formatCode>
                <c:ptCount val="101"/>
                <c:pt idx="0">
                  <c:v>8.3209999999999997</c:v>
                </c:pt>
                <c:pt idx="1">
                  <c:v>8.3739999999999988</c:v>
                </c:pt>
                <c:pt idx="2">
                  <c:v>9.1620000000000008</c:v>
                </c:pt>
                <c:pt idx="3">
                  <c:v>9.3059999999999992</c:v>
                </c:pt>
                <c:pt idx="4">
                  <c:v>10.013</c:v>
                </c:pt>
                <c:pt idx="5">
                  <c:v>10.532000000000002</c:v>
                </c:pt>
                <c:pt idx="6">
                  <c:v>10.590999999999999</c:v>
                </c:pt>
                <c:pt idx="7">
                  <c:v>10.510000000000002</c:v>
                </c:pt>
                <c:pt idx="8">
                  <c:v>10.111999999999998</c:v>
                </c:pt>
                <c:pt idx="9">
                  <c:v>9.5109999999999992</c:v>
                </c:pt>
                <c:pt idx="10">
                  <c:v>8.9600000000000009</c:v>
                </c:pt>
                <c:pt idx="11">
                  <c:v>8.8840000000000003</c:v>
                </c:pt>
                <c:pt idx="12">
                  <c:v>9.891</c:v>
                </c:pt>
                <c:pt idx="13">
                  <c:v>10.621</c:v>
                </c:pt>
                <c:pt idx="14">
                  <c:v>10.294</c:v>
                </c:pt>
                <c:pt idx="15">
                  <c:v>9.7409999999999979</c:v>
                </c:pt>
                <c:pt idx="16">
                  <c:v>9.3149999999999995</c:v>
                </c:pt>
                <c:pt idx="17">
                  <c:v>8.6769999999999996</c:v>
                </c:pt>
                <c:pt idx="18">
                  <c:v>8.8439999999999994</c:v>
                </c:pt>
                <c:pt idx="19">
                  <c:v>8.6189999999999998</c:v>
                </c:pt>
                <c:pt idx="20">
                  <c:v>8.4380000000000024</c:v>
                </c:pt>
                <c:pt idx="21">
                  <c:v>8.677999999999999</c:v>
                </c:pt>
                <c:pt idx="22">
                  <c:v>8.0849999999999991</c:v>
                </c:pt>
                <c:pt idx="23">
                  <c:v>7.6029999999999989</c:v>
                </c:pt>
                <c:pt idx="24">
                  <c:v>7.6350000000000025</c:v>
                </c:pt>
                <c:pt idx="25">
                  <c:v>7.7429999999999986</c:v>
                </c:pt>
                <c:pt idx="26">
                  <c:v>8.3779999999999983</c:v>
                </c:pt>
                <c:pt idx="27">
                  <c:v>9.1999999999999993</c:v>
                </c:pt>
                <c:pt idx="28">
                  <c:v>10.011000000000001</c:v>
                </c:pt>
                <c:pt idx="29">
                  <c:v>11.425000000000001</c:v>
                </c:pt>
                <c:pt idx="30">
                  <c:v>11.791</c:v>
                </c:pt>
                <c:pt idx="31">
                  <c:v>12.695999999999998</c:v>
                </c:pt>
                <c:pt idx="32">
                  <c:v>12.682000000000002</c:v>
                </c:pt>
                <c:pt idx="33">
                  <c:v>13.134</c:v>
                </c:pt>
                <c:pt idx="34">
                  <c:v>13.582999999999998</c:v>
                </c:pt>
                <c:pt idx="35">
                  <c:v>13.534000000000002</c:v>
                </c:pt>
                <c:pt idx="36">
                  <c:v>12.958</c:v>
                </c:pt>
                <c:pt idx="37">
                  <c:v>13.265999999999998</c:v>
                </c:pt>
                <c:pt idx="38">
                  <c:v>13.319000000000001</c:v>
                </c:pt>
                <c:pt idx="39">
                  <c:v>12.510999999999999</c:v>
                </c:pt>
                <c:pt idx="40">
                  <c:v>12.215</c:v>
                </c:pt>
                <c:pt idx="41">
                  <c:v>12.016</c:v>
                </c:pt>
                <c:pt idx="42">
                  <c:v>12.156999999999998</c:v>
                </c:pt>
                <c:pt idx="43">
                  <c:v>12.086000000000004</c:v>
                </c:pt>
                <c:pt idx="44">
                  <c:v>12.311999999999999</c:v>
                </c:pt>
                <c:pt idx="45">
                  <c:v>12.638999999999998</c:v>
                </c:pt>
                <c:pt idx="46">
                  <c:v>12.956</c:v>
                </c:pt>
                <c:pt idx="47">
                  <c:v>13.128</c:v>
                </c:pt>
                <c:pt idx="48">
                  <c:v>13.127999999999998</c:v>
                </c:pt>
                <c:pt idx="49">
                  <c:v>13.379000000000001</c:v>
                </c:pt>
                <c:pt idx="50">
                  <c:v>13.909000000000001</c:v>
                </c:pt>
                <c:pt idx="51">
                  <c:v>13.620000000000001</c:v>
                </c:pt>
                <c:pt idx="52">
                  <c:v>13.311</c:v>
                </c:pt>
                <c:pt idx="53">
                  <c:v>13.255000000000001</c:v>
                </c:pt>
                <c:pt idx="54">
                  <c:v>13.314999999999998</c:v>
                </c:pt>
                <c:pt idx="55">
                  <c:v>13.457000000000003</c:v>
                </c:pt>
                <c:pt idx="56">
                  <c:v>12.986999999999998</c:v>
                </c:pt>
                <c:pt idx="57">
                  <c:v>13.914</c:v>
                </c:pt>
                <c:pt idx="58">
                  <c:v>14.34</c:v>
                </c:pt>
                <c:pt idx="59">
                  <c:v>14.931000000000004</c:v>
                </c:pt>
                <c:pt idx="60">
                  <c:v>15.373999999999999</c:v>
                </c:pt>
                <c:pt idx="61">
                  <c:v>15.465999999999999</c:v>
                </c:pt>
                <c:pt idx="62">
                  <c:v>15.278</c:v>
                </c:pt>
                <c:pt idx="63">
                  <c:v>14.933999999999999</c:v>
                </c:pt>
                <c:pt idx="64">
                  <c:v>14.528</c:v>
                </c:pt>
                <c:pt idx="65">
                  <c:v>14.074999999999999</c:v>
                </c:pt>
                <c:pt idx="66">
                  <c:v>13.993</c:v>
                </c:pt>
                <c:pt idx="67">
                  <c:v>13.590999999999998</c:v>
                </c:pt>
                <c:pt idx="68">
                  <c:v>12.47</c:v>
                </c:pt>
                <c:pt idx="69">
                  <c:v>12.804</c:v>
                </c:pt>
                <c:pt idx="70">
                  <c:v>12.749000000000002</c:v>
                </c:pt>
                <c:pt idx="71">
                  <c:v>12.249999999999998</c:v>
                </c:pt>
                <c:pt idx="72">
                  <c:v>13.209000000000003</c:v>
                </c:pt>
                <c:pt idx="73">
                  <c:v>11.967999999999998</c:v>
                </c:pt>
                <c:pt idx="74">
                  <c:v>10.973000000000003</c:v>
                </c:pt>
                <c:pt idx="75">
                  <c:v>9.7259999999999973</c:v>
                </c:pt>
                <c:pt idx="76">
                  <c:v>8.9960000000000004</c:v>
                </c:pt>
                <c:pt idx="77">
                  <c:v>9.3980000000000015</c:v>
                </c:pt>
                <c:pt idx="78">
                  <c:v>9.6649999999999974</c:v>
                </c:pt>
                <c:pt idx="79">
                  <c:v>10.416</c:v>
                </c:pt>
                <c:pt idx="80">
                  <c:v>10.651999999999997</c:v>
                </c:pt>
                <c:pt idx="81">
                  <c:v>10.089</c:v>
                </c:pt>
                <c:pt idx="82">
                  <c:v>9.7279999999999998</c:v>
                </c:pt>
                <c:pt idx="83">
                  <c:v>8.9869999999999983</c:v>
                </c:pt>
                <c:pt idx="84">
                  <c:v>8.1020000000000003</c:v>
                </c:pt>
                <c:pt idx="85">
                  <c:v>6.8780000000000001</c:v>
                </c:pt>
                <c:pt idx="86">
                  <c:v>5.6829999999999998</c:v>
                </c:pt>
                <c:pt idx="87">
                  <c:v>4.5380000000000003</c:v>
                </c:pt>
                <c:pt idx="88">
                  <c:v>4.1150000000000002</c:v>
                </c:pt>
                <c:pt idx="89">
                  <c:v>3.6749999999999998</c:v>
                </c:pt>
                <c:pt idx="90">
                  <c:v>2.9630000000000005</c:v>
                </c:pt>
                <c:pt idx="91">
                  <c:v>2.4759999999999995</c:v>
                </c:pt>
                <c:pt idx="92">
                  <c:v>1.8480000000000001</c:v>
                </c:pt>
                <c:pt idx="93">
                  <c:v>1.4959999999999998</c:v>
                </c:pt>
                <c:pt idx="94">
                  <c:v>1.075</c:v>
                </c:pt>
                <c:pt idx="95">
                  <c:v>0.74700000000000011</c:v>
                </c:pt>
                <c:pt idx="96">
                  <c:v>0.47299999999999998</c:v>
                </c:pt>
                <c:pt idx="97">
                  <c:v>0.36099999999999993</c:v>
                </c:pt>
                <c:pt idx="98">
                  <c:v>0.214</c:v>
                </c:pt>
                <c:pt idx="99">
                  <c:v>0.104</c:v>
                </c:pt>
                <c:pt idx="100">
                  <c:v>0.129</c:v>
                </c:pt>
              </c:numCache>
            </c:numRef>
          </c:val>
          <c:extLst>
            <c:ext xmlns:c16="http://schemas.microsoft.com/office/drawing/2014/chart" uri="{C3380CC4-5D6E-409C-BE32-E72D297353CC}">
              <c16:uniqueId val="{00000001-5150-41D2-AE3C-ACD82CCBAC98}"/>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ayout>
        <c:manualLayout>
          <c:xMode val="edge"/>
          <c:yMode val="edge"/>
          <c:x val="0.20421378845659724"/>
          <c:y val="0.5171799390566808"/>
          <c:w val="0.65209400149484631"/>
          <c:h val="7.8203060243446934E-2"/>
        </c:manualLayout>
      </c:layout>
      <c:overlay val="0"/>
      <c:txPr>
        <a:bodyPr/>
        <a:lstStyle/>
        <a:p>
          <a:pPr>
            <a:defRPr b="0"/>
          </a:pPr>
          <a:endParaRPr lang="lv-LV"/>
        </a:p>
      </c:tx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80063832113558"/>
          <c:y val="0.13370592715898752"/>
          <c:w val="0.823709169922197"/>
          <c:h val="0.83499433932122791"/>
        </c:manualLayout>
      </c:layout>
      <c:barChart>
        <c:barDir val="col"/>
        <c:grouping val="stacked"/>
        <c:varyColors val="0"/>
        <c:ser>
          <c:idx val="0"/>
          <c:order val="0"/>
          <c:tx>
            <c:strRef>
              <c:f>Sheet1!$B$1</c:f>
              <c:strCache>
                <c:ptCount val="1"/>
                <c:pt idx="0">
                  <c:v>Dabiskais pieaugums</c:v>
                </c:pt>
              </c:strCache>
            </c:strRef>
          </c:tx>
          <c:spPr>
            <a:solidFill>
              <a:schemeClr val="accent1"/>
            </a:solidFill>
            <a:ln>
              <a:noFill/>
            </a:ln>
            <a:effectLst/>
          </c:spPr>
          <c:invertIfNegative val="0"/>
          <c:cat>
            <c:strRef>
              <c:f>Sheet1!$A$2:$A$24</c:f>
              <c:strCache>
                <c:ptCount val="6"/>
                <c:pt idx="0">
                  <c:v>2000</c:v>
                </c:pt>
                <c:pt idx="1">
                  <c:v>2005</c:v>
                </c:pt>
                <c:pt idx="2">
                  <c:v>2010</c:v>
                </c:pt>
                <c:pt idx="3">
                  <c:v>2015</c:v>
                </c:pt>
                <c:pt idx="4">
                  <c:v>2020</c:v>
                </c:pt>
                <c:pt idx="5">
                  <c:v>2021*</c:v>
                </c:pt>
              </c:strCache>
              <c:extLst/>
            </c:strRef>
          </c:cat>
          <c:val>
            <c:numRef>
              <c:f>Sheet1!$B$2:$B$24</c:f>
              <c:numCache>
                <c:formatCode>General</c:formatCode>
                <c:ptCount val="6"/>
                <c:pt idx="0">
                  <c:v>-11903</c:v>
                </c:pt>
                <c:pt idx="1">
                  <c:v>-10898</c:v>
                </c:pt>
                <c:pt idx="2">
                  <c:v>-10259</c:v>
                </c:pt>
                <c:pt idx="3">
                  <c:v>-6499</c:v>
                </c:pt>
                <c:pt idx="4">
                  <c:v>-11302</c:v>
                </c:pt>
                <c:pt idx="5">
                  <c:v>-17027</c:v>
                </c:pt>
              </c:numCache>
              <c:extLst/>
            </c:numRef>
          </c:val>
          <c:extLst>
            <c:ext xmlns:c16="http://schemas.microsoft.com/office/drawing/2014/chart" uri="{C3380CC4-5D6E-409C-BE32-E72D297353CC}">
              <c16:uniqueId val="{00000000-70E8-4F0E-9578-02C4137C1381}"/>
            </c:ext>
          </c:extLst>
        </c:ser>
        <c:ser>
          <c:idx val="1"/>
          <c:order val="1"/>
          <c:tx>
            <c:strRef>
              <c:f>Sheet1!$C$1</c:f>
              <c:strCache>
                <c:ptCount val="1"/>
                <c:pt idx="0">
                  <c:v>Migrācijas saldo</c:v>
                </c:pt>
              </c:strCache>
            </c:strRef>
          </c:tx>
          <c:spPr>
            <a:solidFill>
              <a:schemeClr val="accent3"/>
            </a:solidFill>
            <a:ln>
              <a:noFill/>
            </a:ln>
            <a:effectLst/>
          </c:spPr>
          <c:invertIfNegative val="0"/>
          <c:cat>
            <c:strRef>
              <c:f>Sheet1!$A$2:$A$24</c:f>
              <c:strCache>
                <c:ptCount val="6"/>
                <c:pt idx="0">
                  <c:v>2000</c:v>
                </c:pt>
                <c:pt idx="1">
                  <c:v>2005</c:v>
                </c:pt>
                <c:pt idx="2">
                  <c:v>2010</c:v>
                </c:pt>
                <c:pt idx="3">
                  <c:v>2015</c:v>
                </c:pt>
                <c:pt idx="4">
                  <c:v>2020</c:v>
                </c:pt>
                <c:pt idx="5">
                  <c:v>2021*</c:v>
                </c:pt>
              </c:strCache>
              <c:extLst/>
            </c:strRef>
          </c:cat>
          <c:val>
            <c:numRef>
              <c:f>Sheet1!$C$2:$C$24</c:f>
              <c:numCache>
                <c:formatCode>General</c:formatCode>
                <c:ptCount val="6"/>
                <c:pt idx="0">
                  <c:v>-16428</c:v>
                </c:pt>
                <c:pt idx="1">
                  <c:v>-10952</c:v>
                </c:pt>
                <c:pt idx="2">
                  <c:v>-35640</c:v>
                </c:pt>
                <c:pt idx="3">
                  <c:v>-10640</c:v>
                </c:pt>
                <c:pt idx="4">
                  <c:v>-3150</c:v>
                </c:pt>
                <c:pt idx="5">
                  <c:v>-3506</c:v>
                </c:pt>
              </c:numCache>
              <c:extLst/>
            </c:numRef>
          </c:val>
          <c:extLst>
            <c:ext xmlns:c16="http://schemas.microsoft.com/office/drawing/2014/chart" uri="{C3380CC4-5D6E-409C-BE32-E72D297353CC}">
              <c16:uniqueId val="{00000001-70E8-4F0E-9578-02C4137C1381}"/>
            </c:ext>
          </c:extLst>
        </c:ser>
        <c:dLbls>
          <c:showLegendKey val="0"/>
          <c:showVal val="0"/>
          <c:showCatName val="0"/>
          <c:showSerName val="0"/>
          <c:showPercent val="0"/>
          <c:showBubbleSize val="0"/>
        </c:dLbls>
        <c:gapWidth val="40"/>
        <c:overlap val="100"/>
        <c:axId val="742061280"/>
        <c:axId val="742070688"/>
      </c:barChart>
      <c:catAx>
        <c:axId val="742061280"/>
        <c:scaling>
          <c:orientation val="minMax"/>
        </c:scaling>
        <c:delete val="0"/>
        <c:axPos val="b"/>
        <c:numFmt formatCode="General" sourceLinked="1"/>
        <c:majorTickMark val="in"/>
        <c:minorTickMark val="none"/>
        <c:tickLblPos val="high"/>
        <c:spPr>
          <a:noFill/>
          <a:ln w="3175" cap="flat" cmpd="sng" algn="ctr">
            <a:solidFill>
              <a:sysClr val="windowText" lastClr="000000">
                <a:tint val="75000"/>
                <a:shade val="95000"/>
                <a:satMod val="105000"/>
              </a:sysClr>
            </a:solidFill>
            <a:prstDash val="solid"/>
            <a:round/>
          </a:ln>
          <a:effectLst/>
        </c:spPr>
        <c:txPr>
          <a:bodyPr rot="-60000000" vert="horz"/>
          <a:lstStyle/>
          <a:p>
            <a:pPr>
              <a:defRPr/>
            </a:pPr>
            <a:endParaRPr lang="lv-LV"/>
          </a:p>
        </c:txPr>
        <c:crossAx val="742070688"/>
        <c:crosses val="autoZero"/>
        <c:auto val="1"/>
        <c:lblAlgn val="ctr"/>
        <c:lblOffset val="0"/>
        <c:noMultiLvlLbl val="0"/>
      </c:catAx>
      <c:valAx>
        <c:axId val="742070688"/>
        <c:scaling>
          <c:orientation val="minMax"/>
        </c:scaling>
        <c:delete val="0"/>
        <c:axPos val="l"/>
        <c:numFmt formatCode="General" sourceLinked="1"/>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61280"/>
        <c:crosses val="autoZero"/>
        <c:crossBetween val="between"/>
        <c:dispUnits>
          <c:builtInUnit val="thousands"/>
        </c:dispUnits>
      </c:valAx>
      <c:spPr>
        <a:noFill/>
        <a:ln w="25400">
          <a:noFill/>
        </a:ln>
        <a:effectLst/>
      </c:spPr>
    </c:plotArea>
    <c:legend>
      <c:legendPos val="b"/>
      <c:layout>
        <c:manualLayout>
          <c:xMode val="edge"/>
          <c:yMode val="edge"/>
          <c:x val="0.54579650433270455"/>
          <c:y val="0.77741701722744816"/>
          <c:w val="0.45061549915914467"/>
          <c:h val="0.17553799600395437"/>
        </c:manualLayout>
      </c:layout>
      <c:overlay val="0"/>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solidFill>
            <a:sysClr val="windowText" lastClr="000000"/>
          </a:solidFill>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842864327086398E-2"/>
          <c:y val="0.13462923132844209"/>
          <c:w val="0.86406684649010213"/>
          <c:h val="0.75067036790939201"/>
        </c:manualLayout>
      </c:layout>
      <c:barChart>
        <c:barDir val="col"/>
        <c:grouping val="stacked"/>
        <c:varyColors val="0"/>
        <c:ser>
          <c:idx val="0"/>
          <c:order val="0"/>
          <c:tx>
            <c:strRef>
              <c:f>Sheet1!$A$2</c:f>
              <c:strCache>
                <c:ptCount val="1"/>
                <c:pt idx="0">
                  <c:v>Latvijas pilsoņi</c:v>
                </c:pt>
              </c:strCache>
            </c:strRef>
          </c:tx>
          <c:invertIfNegative val="0"/>
          <c:cat>
            <c:strRef>
              <c:f>Sheet1!$B$1:$L$1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Sheet1!$B$2:$L$2</c:f>
              <c:numCache>
                <c:formatCode>0.0</c:formatCode>
                <c:ptCount val="11"/>
                <c:pt idx="0">
                  <c:v>7.3730000000000002</c:v>
                </c:pt>
                <c:pt idx="1">
                  <c:v>9.6370000000000005</c:v>
                </c:pt>
                <c:pt idx="2">
                  <c:v>4.774</c:v>
                </c:pt>
                <c:pt idx="3">
                  <c:v>5.8639999999999999</c:v>
                </c:pt>
                <c:pt idx="4">
                  <c:v>4.9740000000000002</c:v>
                </c:pt>
                <c:pt idx="5">
                  <c:v>4.8970000000000002</c:v>
                </c:pt>
                <c:pt idx="6">
                  <c:v>4.78</c:v>
                </c:pt>
                <c:pt idx="7">
                  <c:v>4.3460000000000001</c:v>
                </c:pt>
                <c:pt idx="8">
                  <c:v>4.5780000000000003</c:v>
                </c:pt>
                <c:pt idx="9">
                  <c:v>4.25</c:v>
                </c:pt>
                <c:pt idx="10">
                  <c:v>4.0357518742000362</c:v>
                </c:pt>
              </c:numCache>
            </c:numRef>
          </c:val>
          <c:extLst>
            <c:ext xmlns:c16="http://schemas.microsoft.com/office/drawing/2014/chart" uri="{C3380CC4-5D6E-409C-BE32-E72D297353CC}">
              <c16:uniqueId val="{00000000-AAF1-47BF-9DD2-7D28D7015AC8}"/>
            </c:ext>
          </c:extLst>
        </c:ser>
        <c:ser>
          <c:idx val="1"/>
          <c:order val="1"/>
          <c:tx>
            <c:strRef>
              <c:f>Sheet1!$A$3</c:f>
              <c:strCache>
                <c:ptCount val="1"/>
                <c:pt idx="0">
                  <c:v>Latvijas nepilsoņi</c:v>
                </c:pt>
              </c:strCache>
            </c:strRef>
          </c:tx>
          <c:invertIfNegative val="0"/>
          <c:cat>
            <c:strRef>
              <c:f>Sheet1!$B$1:$L$1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Sheet1!$B$3:$L$3</c:f>
              <c:numCache>
                <c:formatCode>0.0</c:formatCode>
                <c:ptCount val="11"/>
                <c:pt idx="0">
                  <c:v>1.054</c:v>
                </c:pt>
                <c:pt idx="1">
                  <c:v>1.506</c:v>
                </c:pt>
                <c:pt idx="2">
                  <c:v>0.61699999999999999</c:v>
                </c:pt>
                <c:pt idx="3">
                  <c:v>0.71899999999999997</c:v>
                </c:pt>
                <c:pt idx="4">
                  <c:v>0.48199999999999998</c:v>
                </c:pt>
                <c:pt idx="5">
                  <c:v>0.379</c:v>
                </c:pt>
                <c:pt idx="6">
                  <c:v>0.52500000000000002</c:v>
                </c:pt>
                <c:pt idx="7">
                  <c:v>0.36699999999999999</c:v>
                </c:pt>
                <c:pt idx="8">
                  <c:v>0.32700000000000001</c:v>
                </c:pt>
                <c:pt idx="9">
                  <c:v>0.36699999999999999</c:v>
                </c:pt>
                <c:pt idx="10">
                  <c:v>0.34704181142195412</c:v>
                </c:pt>
              </c:numCache>
            </c:numRef>
          </c:val>
          <c:extLst>
            <c:ext xmlns:c16="http://schemas.microsoft.com/office/drawing/2014/chart" uri="{C3380CC4-5D6E-409C-BE32-E72D297353CC}">
              <c16:uniqueId val="{00000001-AAF1-47BF-9DD2-7D28D7015AC8}"/>
            </c:ext>
          </c:extLst>
        </c:ser>
        <c:ser>
          <c:idx val="2"/>
          <c:order val="2"/>
          <c:tx>
            <c:strRef>
              <c:f>Sheet1!$A$4</c:f>
              <c:strCache>
                <c:ptCount val="1"/>
                <c:pt idx="0">
                  <c:v>Citu valstu pilsoņi</c:v>
                </c:pt>
              </c:strCache>
            </c:strRef>
          </c:tx>
          <c:invertIfNegative val="0"/>
          <c:cat>
            <c:strRef>
              <c:f>Sheet1!$B$1:$L$1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Sheet1!$B$4:$L$4</c:f>
              <c:numCache>
                <c:formatCode>0.0</c:formatCode>
                <c:ptCount val="11"/>
                <c:pt idx="0">
                  <c:v>1.8069999999999999</c:v>
                </c:pt>
                <c:pt idx="1">
                  <c:v>2.16</c:v>
                </c:pt>
                <c:pt idx="2">
                  <c:v>2.9079999999999999</c:v>
                </c:pt>
                <c:pt idx="3">
                  <c:v>3.782</c:v>
                </c:pt>
                <c:pt idx="4">
                  <c:v>4.0229999999999997</c:v>
                </c:pt>
                <c:pt idx="5">
                  <c:v>3.069</c:v>
                </c:pt>
                <c:pt idx="6">
                  <c:v>4.6109999999999998</c:v>
                </c:pt>
                <c:pt idx="7">
                  <c:v>6.1959999999999997</c:v>
                </c:pt>
                <c:pt idx="8">
                  <c:v>6.306</c:v>
                </c:pt>
                <c:pt idx="9">
                  <c:v>4.2229999999999999</c:v>
                </c:pt>
                <c:pt idx="10">
                  <c:v>4.3102063143780098</c:v>
                </c:pt>
              </c:numCache>
            </c:numRef>
          </c:val>
          <c:extLst>
            <c:ext xmlns:c16="http://schemas.microsoft.com/office/drawing/2014/chart" uri="{C3380CC4-5D6E-409C-BE32-E72D297353CC}">
              <c16:uniqueId val="{00000002-AAF1-47BF-9DD2-7D28D7015AC8}"/>
            </c:ext>
          </c:extLst>
        </c:ser>
        <c:dLbls>
          <c:showLegendKey val="0"/>
          <c:showVal val="0"/>
          <c:showCatName val="0"/>
          <c:showSerName val="0"/>
          <c:showPercent val="0"/>
          <c:showBubbleSize val="0"/>
        </c:dLbls>
        <c:gapWidth val="60"/>
        <c:overlap val="100"/>
        <c:axId val="1710881536"/>
        <c:axId val="1710869056"/>
      </c:barChart>
      <c:catAx>
        <c:axId val="1710881536"/>
        <c:scaling>
          <c:orientation val="minMax"/>
        </c:scaling>
        <c:delete val="0"/>
        <c:axPos val="b"/>
        <c:numFmt formatCode="General" sourceLinked="1"/>
        <c:majorTickMark val="out"/>
        <c:minorTickMark val="none"/>
        <c:tickLblPos val="nextTo"/>
        <c:txPr>
          <a:bodyPr rot="0" vert="horz"/>
          <a:lstStyle/>
          <a:p>
            <a:pPr>
              <a:defRPr/>
            </a:pPr>
            <a:endParaRPr lang="lv-LV"/>
          </a:p>
        </c:txPr>
        <c:crossAx val="1710869056"/>
        <c:crosses val="autoZero"/>
        <c:auto val="1"/>
        <c:lblAlgn val="ctr"/>
        <c:lblOffset val="100"/>
        <c:noMultiLvlLbl val="0"/>
      </c:catAx>
      <c:valAx>
        <c:axId val="1710869056"/>
        <c:scaling>
          <c:orientation val="minMax"/>
        </c:scaling>
        <c:delete val="0"/>
        <c:axPos val="l"/>
        <c:majorGridlines>
          <c:spPr>
            <a:ln>
              <a:noFill/>
            </a:ln>
          </c:spPr>
        </c:majorGridlines>
        <c:numFmt formatCode="0" sourceLinked="0"/>
        <c:majorTickMark val="out"/>
        <c:minorTickMark val="none"/>
        <c:tickLblPos val="nextTo"/>
        <c:spPr>
          <a:ln>
            <a:noFill/>
          </a:ln>
        </c:spPr>
        <c:crossAx val="1710881536"/>
        <c:crosses val="autoZero"/>
        <c:crossBetween val="between"/>
        <c:majorUnit val="3"/>
      </c:valAx>
      <c:spPr>
        <a:ln>
          <a:noFill/>
        </a:ln>
      </c:spPr>
    </c:plotArea>
    <c:legend>
      <c:legendPos val="r"/>
      <c:layout>
        <c:manualLayout>
          <c:xMode val="edge"/>
          <c:yMode val="edge"/>
          <c:x val="0.30967705633490772"/>
          <c:y val="6.0083764154590935E-2"/>
          <c:w val="0.3893196132975561"/>
          <c:h val="0.2270832802765281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48771209329231E-2"/>
          <c:y val="2.3924296477346139E-2"/>
          <c:w val="0.89329538870626268"/>
          <c:h val="0.87623170075119861"/>
        </c:manualLayout>
      </c:layout>
      <c:barChart>
        <c:barDir val="col"/>
        <c:grouping val="clustered"/>
        <c:varyColors val="0"/>
        <c:ser>
          <c:idx val="0"/>
          <c:order val="1"/>
          <c:tx>
            <c:strRef>
              <c:f>Sheet1!$A$3</c:f>
              <c:strCache>
                <c:ptCount val="1"/>
                <c:pt idx="0">
                  <c:v>Ekonomiskās aktivitātes līmenis, % (labā ass)</c:v>
                </c:pt>
              </c:strCache>
            </c:strRef>
          </c:tx>
          <c:spPr>
            <a:solidFill>
              <a:schemeClr val="accent6"/>
            </a:solidFill>
            <a:ln>
              <a:noFill/>
            </a:ln>
            <a:effectLst/>
          </c:spPr>
          <c:invertIfNegative val="0"/>
          <c:dPt>
            <c:idx val="8"/>
            <c:invertIfNegative val="0"/>
            <c:bubble3D val="0"/>
            <c:spPr>
              <a:solidFill>
                <a:schemeClr val="accent6"/>
              </a:solidFill>
              <a:ln>
                <a:noFill/>
              </a:ln>
              <a:effectLst/>
            </c:spPr>
            <c:extLst>
              <c:ext xmlns:c16="http://schemas.microsoft.com/office/drawing/2014/chart" uri="{C3380CC4-5D6E-409C-BE32-E72D297353CC}">
                <c16:uniqueId val="{00000001-7DF3-4B26-9ABC-AF138DF09577}"/>
              </c:ext>
            </c:extLst>
          </c:dPt>
          <c:dPt>
            <c:idx val="9"/>
            <c:invertIfNegative val="0"/>
            <c:bubble3D val="0"/>
            <c:spPr>
              <a:solidFill>
                <a:schemeClr val="accent6"/>
              </a:solidFill>
              <a:ln>
                <a:noFill/>
              </a:ln>
              <a:effectLst/>
            </c:spPr>
            <c:extLst>
              <c:ext xmlns:c16="http://schemas.microsoft.com/office/drawing/2014/chart" uri="{C3380CC4-5D6E-409C-BE32-E72D297353CC}">
                <c16:uniqueId val="{00000003-7DF3-4B26-9ABC-AF138DF09577}"/>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5-7DF3-4B26-9ABC-AF138DF09577}"/>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7-7DF3-4B26-9ABC-AF138DF09577}"/>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7DF3-4B26-9ABC-AF138DF09577}"/>
              </c:ext>
            </c:extLst>
          </c:dPt>
          <c:dPt>
            <c:idx val="13"/>
            <c:invertIfNegative val="0"/>
            <c:bubble3D val="0"/>
            <c:spPr>
              <a:solidFill>
                <a:schemeClr val="accent6"/>
              </a:solidFill>
              <a:ln>
                <a:noFill/>
              </a:ln>
              <a:effectLst/>
            </c:spPr>
            <c:extLst>
              <c:ext xmlns:c16="http://schemas.microsoft.com/office/drawing/2014/chart" uri="{C3380CC4-5D6E-409C-BE32-E72D297353CC}">
                <c16:uniqueId val="{0000000B-7DF3-4B26-9ABC-AF138DF09577}"/>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D-7DF3-4B26-9ABC-AF138DF09577}"/>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F-7DF3-4B26-9ABC-AF138DF09577}"/>
              </c:ext>
            </c:extLst>
          </c:dPt>
          <c:cat>
            <c:numRef>
              <c:f>Sheet1!$B$1:$P$1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Sheet1!$B$3:$R$3</c:f>
              <c:numCache>
                <c:formatCode>0.0</c:formatCode>
                <c:ptCount val="17"/>
                <c:pt idx="0">
                  <c:v>62.1</c:v>
                </c:pt>
                <c:pt idx="1">
                  <c:v>64.2</c:v>
                </c:pt>
                <c:pt idx="2">
                  <c:v>65.599999999999994</c:v>
                </c:pt>
                <c:pt idx="3">
                  <c:v>67.2</c:v>
                </c:pt>
                <c:pt idx="4">
                  <c:v>65.8</c:v>
                </c:pt>
                <c:pt idx="5">
                  <c:v>64.599999999999994</c:v>
                </c:pt>
                <c:pt idx="6">
                  <c:v>64.5</c:v>
                </c:pt>
                <c:pt idx="7">
                  <c:v>66.099999999999994</c:v>
                </c:pt>
                <c:pt idx="8">
                  <c:v>66</c:v>
                </c:pt>
                <c:pt idx="9">
                  <c:v>66.3</c:v>
                </c:pt>
                <c:pt idx="10">
                  <c:v>67.5</c:v>
                </c:pt>
                <c:pt idx="11">
                  <c:v>68.2</c:v>
                </c:pt>
                <c:pt idx="12">
                  <c:v>68.900000000000006</c:v>
                </c:pt>
                <c:pt idx="13">
                  <c:v>69.599999999999994</c:v>
                </c:pt>
                <c:pt idx="14">
                  <c:v>69.400000000000006</c:v>
                </c:pt>
                <c:pt idx="15">
                  <c:v>69.900000000000006</c:v>
                </c:pt>
                <c:pt idx="16">
                  <c:v>67.7</c:v>
                </c:pt>
              </c:numCache>
            </c:numRef>
          </c:val>
          <c:extLst>
            <c:ext xmlns:c16="http://schemas.microsoft.com/office/drawing/2014/chart" uri="{C3380CC4-5D6E-409C-BE32-E72D297353CC}">
              <c16:uniqueId val="{00000010-7DF3-4B26-9ABC-AF138DF09577}"/>
            </c:ext>
          </c:extLst>
        </c:ser>
        <c:dLbls>
          <c:showLegendKey val="0"/>
          <c:showVal val="0"/>
          <c:showCatName val="0"/>
          <c:showSerName val="0"/>
          <c:showPercent val="0"/>
          <c:showBubbleSize val="0"/>
        </c:dLbls>
        <c:gapWidth val="50"/>
        <c:axId val="742060888"/>
        <c:axId val="742073040"/>
      </c:barChart>
      <c:lineChart>
        <c:grouping val="standard"/>
        <c:varyColors val="0"/>
        <c:ser>
          <c:idx val="1"/>
          <c:order val="0"/>
          <c:tx>
            <c:strRef>
              <c:f>Sheet1!$A$2</c:f>
              <c:strCache>
                <c:ptCount val="1"/>
                <c:pt idx="0">
                  <c:v>Ekonomiski aktīvie iedzīvotāji, tūkstošos (kreisā ass)</c:v>
                </c:pt>
              </c:strCache>
            </c:strRef>
          </c:tx>
          <c:spPr>
            <a:ln w="28575" cap="rnd" cmpd="sng" algn="ctr">
              <a:solidFill>
                <a:schemeClr val="accent5">
                  <a:shade val="95000"/>
                  <a:satMod val="105000"/>
                </a:schemeClr>
              </a:solidFill>
              <a:prstDash val="solid"/>
              <a:round/>
            </a:ln>
            <a:effectLst/>
          </c:spPr>
          <c:marker>
            <c:symbol val="none"/>
          </c:marker>
          <c:dPt>
            <c:idx val="0"/>
            <c:bubble3D val="0"/>
            <c:extLst>
              <c:ext xmlns:c16="http://schemas.microsoft.com/office/drawing/2014/chart" uri="{C3380CC4-5D6E-409C-BE32-E72D297353CC}">
                <c16:uniqueId val="{00000011-7DF3-4B26-9ABC-AF138DF09577}"/>
              </c:ext>
            </c:extLst>
          </c:dPt>
          <c:dPt>
            <c:idx val="8"/>
            <c:bubble3D val="0"/>
            <c:extLst>
              <c:ext xmlns:c16="http://schemas.microsoft.com/office/drawing/2014/chart" uri="{C3380CC4-5D6E-409C-BE32-E72D297353CC}">
                <c16:uniqueId val="{00000012-7DF3-4B26-9ABC-AF138DF09577}"/>
              </c:ext>
            </c:extLst>
          </c:dPt>
          <c:dPt>
            <c:idx val="9"/>
            <c:bubble3D val="0"/>
            <c:extLst>
              <c:ext xmlns:c16="http://schemas.microsoft.com/office/drawing/2014/chart" uri="{C3380CC4-5D6E-409C-BE32-E72D297353CC}">
                <c16:uniqueId val="{00000013-7DF3-4B26-9ABC-AF138DF09577}"/>
              </c:ext>
            </c:extLst>
          </c:dPt>
          <c:dPt>
            <c:idx val="10"/>
            <c:bubble3D val="0"/>
            <c:extLst>
              <c:ext xmlns:c16="http://schemas.microsoft.com/office/drawing/2014/chart" uri="{C3380CC4-5D6E-409C-BE32-E72D297353CC}">
                <c16:uniqueId val="{00000014-7DF3-4B26-9ABC-AF138DF09577}"/>
              </c:ext>
            </c:extLst>
          </c:dPt>
          <c:dPt>
            <c:idx val="11"/>
            <c:bubble3D val="0"/>
            <c:extLst>
              <c:ext xmlns:c16="http://schemas.microsoft.com/office/drawing/2014/chart" uri="{C3380CC4-5D6E-409C-BE32-E72D297353CC}">
                <c16:uniqueId val="{00000015-7DF3-4B26-9ABC-AF138DF09577}"/>
              </c:ext>
            </c:extLst>
          </c:dPt>
          <c:dPt>
            <c:idx val="12"/>
            <c:bubble3D val="0"/>
            <c:extLst>
              <c:ext xmlns:c16="http://schemas.microsoft.com/office/drawing/2014/chart" uri="{C3380CC4-5D6E-409C-BE32-E72D297353CC}">
                <c16:uniqueId val="{00000016-7DF3-4B26-9ABC-AF138DF09577}"/>
              </c:ext>
            </c:extLst>
          </c:dPt>
          <c:dPt>
            <c:idx val="13"/>
            <c:bubble3D val="0"/>
            <c:extLst>
              <c:ext xmlns:c16="http://schemas.microsoft.com/office/drawing/2014/chart" uri="{C3380CC4-5D6E-409C-BE32-E72D297353CC}">
                <c16:uniqueId val="{00000017-7DF3-4B26-9ABC-AF138DF09577}"/>
              </c:ext>
            </c:extLst>
          </c:dPt>
          <c:dPt>
            <c:idx val="14"/>
            <c:bubble3D val="0"/>
            <c:extLst>
              <c:ext xmlns:c16="http://schemas.microsoft.com/office/drawing/2014/chart" uri="{C3380CC4-5D6E-409C-BE32-E72D297353CC}">
                <c16:uniqueId val="{00000018-7DF3-4B26-9ABC-AF138DF09577}"/>
              </c:ext>
            </c:extLst>
          </c:dPt>
          <c:dPt>
            <c:idx val="15"/>
            <c:bubble3D val="0"/>
            <c:extLst>
              <c:ext xmlns:c16="http://schemas.microsoft.com/office/drawing/2014/chart" uri="{C3380CC4-5D6E-409C-BE32-E72D297353CC}">
                <c16:uniqueId val="{00000019-7DF3-4B26-9ABC-AF138DF09577}"/>
              </c:ext>
            </c:extLst>
          </c:dPt>
          <c:dLbls>
            <c:delete val="1"/>
          </c:dLbls>
          <c:cat>
            <c:numRef>
              <c:f>Sheet1!$B$1:$R$1</c:f>
              <c:numCache>
                <c:formatCode>General</c:formatCode>
                <c:ptCount val="17"/>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numCache>
            </c:numRef>
          </c:cat>
          <c:val>
            <c:numRef>
              <c:f>Sheet1!$B$2:$R$2</c:f>
              <c:numCache>
                <c:formatCode>0.0</c:formatCode>
                <c:ptCount val="17"/>
                <c:pt idx="0">
                  <c:v>1080.8</c:v>
                </c:pt>
                <c:pt idx="1">
                  <c:v>1108.9000000000001</c:v>
                </c:pt>
                <c:pt idx="2">
                  <c:v>1125.5</c:v>
                </c:pt>
                <c:pt idx="3">
                  <c:v>1143.4000000000001</c:v>
                </c:pt>
                <c:pt idx="4">
                  <c:v>1101.4000000000001</c:v>
                </c:pt>
                <c:pt idx="5">
                  <c:v>1056.5</c:v>
                </c:pt>
                <c:pt idx="6">
                  <c:v>1028.2</c:v>
                </c:pt>
                <c:pt idx="7">
                  <c:v>1030.7</c:v>
                </c:pt>
                <c:pt idx="8">
                  <c:v>1014.3</c:v>
                </c:pt>
                <c:pt idx="9">
                  <c:v>992.3</c:v>
                </c:pt>
                <c:pt idx="10">
                  <c:v>994.2</c:v>
                </c:pt>
                <c:pt idx="11">
                  <c:v>988.6</c:v>
                </c:pt>
                <c:pt idx="12">
                  <c:v>980.3</c:v>
                </c:pt>
                <c:pt idx="13">
                  <c:v>982.2</c:v>
                </c:pt>
                <c:pt idx="14">
                  <c:v>971.3</c:v>
                </c:pt>
                <c:pt idx="15">
                  <c:v>971.7</c:v>
                </c:pt>
                <c:pt idx="16">
                  <c:v>934.6</c:v>
                </c:pt>
              </c:numCache>
            </c:numRef>
          </c:val>
          <c:smooth val="1"/>
          <c:extLst>
            <c:ext xmlns:c16="http://schemas.microsoft.com/office/drawing/2014/chart" uri="{C3380CC4-5D6E-409C-BE32-E72D297353CC}">
              <c16:uniqueId val="{0000001A-7DF3-4B26-9ABC-AF138DF09577}"/>
            </c:ext>
          </c:extLst>
        </c:ser>
        <c:dLbls>
          <c:showLegendKey val="0"/>
          <c:showVal val="1"/>
          <c:showCatName val="0"/>
          <c:showSerName val="0"/>
          <c:showPercent val="0"/>
          <c:showBubbleSize val="0"/>
        </c:dLbls>
        <c:marker val="1"/>
        <c:smooth val="0"/>
        <c:axId val="742071472"/>
        <c:axId val="742063240"/>
      </c:lineChart>
      <c:catAx>
        <c:axId val="74207147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a:lstStyle/>
          <a:p>
            <a:pPr>
              <a:defRPr/>
            </a:pPr>
            <a:endParaRPr lang="lv-LV"/>
          </a:p>
        </c:txPr>
        <c:crossAx val="742063240"/>
        <c:crosses val="autoZero"/>
        <c:auto val="0"/>
        <c:lblAlgn val="ctr"/>
        <c:lblOffset val="100"/>
        <c:tickLblSkip val="1"/>
        <c:tickMarkSkip val="1"/>
        <c:noMultiLvlLbl val="0"/>
      </c:catAx>
      <c:valAx>
        <c:axId val="742063240"/>
        <c:scaling>
          <c:orientation val="minMax"/>
          <c:max val="1200"/>
          <c:min val="900"/>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lv-LV"/>
          </a:p>
        </c:txPr>
        <c:crossAx val="742071472"/>
        <c:crosses val="autoZero"/>
        <c:crossBetween val="between"/>
        <c:majorUnit val="50"/>
      </c:valAx>
      <c:valAx>
        <c:axId val="742073040"/>
        <c:scaling>
          <c:orientation val="minMax"/>
          <c:max val="72"/>
          <c:min val="60"/>
        </c:scaling>
        <c:delete val="0"/>
        <c:axPos val="r"/>
        <c:numFmt formatCode="0" sourceLinked="0"/>
        <c:majorTickMark val="out"/>
        <c:minorTickMark val="none"/>
        <c:tickLblPos val="nextTo"/>
        <c:spPr>
          <a:noFill/>
          <a:ln w="3175" cap="flat" cmpd="sng" algn="ctr">
            <a:noFill/>
            <a:prstDash val="solid"/>
            <a:round/>
          </a:ln>
          <a:effectLst/>
        </c:spPr>
        <c:txPr>
          <a:bodyPr rot="-60000000" vert="horz"/>
          <a:lstStyle/>
          <a:p>
            <a:pPr>
              <a:defRPr/>
            </a:pPr>
            <a:endParaRPr lang="lv-LV"/>
          </a:p>
        </c:txPr>
        <c:crossAx val="742060888"/>
        <c:crosses val="max"/>
        <c:crossBetween val="between"/>
        <c:majorUnit val="3"/>
      </c:valAx>
      <c:catAx>
        <c:axId val="742060888"/>
        <c:scaling>
          <c:orientation val="minMax"/>
        </c:scaling>
        <c:delete val="1"/>
        <c:axPos val="b"/>
        <c:numFmt formatCode="General" sourceLinked="1"/>
        <c:majorTickMark val="out"/>
        <c:minorTickMark val="none"/>
        <c:tickLblPos val="nextTo"/>
        <c:crossAx val="742073040"/>
        <c:crosses val="autoZero"/>
        <c:auto val="1"/>
        <c:lblAlgn val="ctr"/>
        <c:lblOffset val="100"/>
        <c:noMultiLvlLbl val="0"/>
      </c:catAx>
      <c:spPr>
        <a:solidFill>
          <a:schemeClr val="bg1"/>
        </a:solidFill>
        <a:ln w="25799">
          <a:noFill/>
        </a:ln>
        <a:effectLst/>
      </c:spPr>
    </c:plotArea>
    <c:legend>
      <c:legendPos val="l"/>
      <c:layout>
        <c:manualLayout>
          <c:xMode val="edge"/>
          <c:yMode val="edge"/>
          <c:x val="8.1389889659602907E-2"/>
          <c:y val="3.2960199292936074E-2"/>
          <c:w val="0.88872930574968112"/>
          <c:h val="0.1153759778851519"/>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589170840965731E-2"/>
          <c:y val="2.9322738259412468E-2"/>
          <c:w val="0.74799086718349839"/>
          <c:h val="0.87181445012699077"/>
        </c:manualLayout>
      </c:layout>
      <c:barChart>
        <c:barDir val="col"/>
        <c:grouping val="percentStacked"/>
        <c:varyColors val="0"/>
        <c:ser>
          <c:idx val="0"/>
          <c:order val="0"/>
          <c:tx>
            <c:strRef>
              <c:f>Sheet1!$A$2</c:f>
              <c:strCache>
                <c:ptCount val="1"/>
                <c:pt idx="0">
                  <c:v>Pamata izglītība</c:v>
                </c:pt>
              </c:strCache>
            </c:strRef>
          </c:tx>
          <c:invertIfNegative val="0"/>
          <c:dLbls>
            <c:spPr>
              <a:noFill/>
              <a:ln>
                <a:noFill/>
              </a:ln>
              <a:effectLst/>
            </c:spPr>
            <c:txPr>
              <a:bodyPr wrap="square" lIns="38100" tIns="19050" rIns="38100" bIns="19050" anchor="ctr">
                <a:spAutoFit/>
              </a:bodyPr>
              <a:lstStyle/>
              <a:p>
                <a:pPr>
                  <a:defRPr sz="70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Sheet1!$B$1:$U$1</c:f>
              <c:numCache>
                <c:formatCode>0</c:formatCode>
                <c:ptCount val="20"/>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numCache>
            </c:numRef>
          </c:cat>
          <c:val>
            <c:numRef>
              <c:f>Sheet1!$B$2:$U$2</c:f>
              <c:numCache>
                <c:formatCode>0.0</c:formatCode>
                <c:ptCount val="20"/>
                <c:pt idx="0">
                  <c:v>15.91096455070074</c:v>
                </c:pt>
                <c:pt idx="1">
                  <c:v>15.319617927994123</c:v>
                </c:pt>
                <c:pt idx="2">
                  <c:v>14.440069590696822</c:v>
                </c:pt>
                <c:pt idx="3">
                  <c:v>14.498519615099925</c:v>
                </c:pt>
                <c:pt idx="4">
                  <c:v>15.204256470376047</c:v>
                </c:pt>
                <c:pt idx="5">
                  <c:v>14.80231008440693</c:v>
                </c:pt>
                <c:pt idx="6">
                  <c:v>13.41612733951373</c:v>
                </c:pt>
                <c:pt idx="7">
                  <c:v>12.520428545487562</c:v>
                </c:pt>
                <c:pt idx="8">
                  <c:v>11.140558447704686</c:v>
                </c:pt>
                <c:pt idx="9">
                  <c:v>11.184594436879983</c:v>
                </c:pt>
                <c:pt idx="10">
                  <c:v>10.20665567090327</c:v>
                </c:pt>
                <c:pt idx="11">
                  <c:v>9.5533865720201128</c:v>
                </c:pt>
                <c:pt idx="12">
                  <c:v>9.3419328832006467</c:v>
                </c:pt>
                <c:pt idx="13">
                  <c:v>9.112854556427278</c:v>
                </c:pt>
                <c:pt idx="14">
                  <c:v>8.6587092858587908</c:v>
                </c:pt>
                <c:pt idx="15">
                  <c:v>8.6300112210547795</c:v>
                </c:pt>
                <c:pt idx="16">
                  <c:v>8.2467929138668303</c:v>
                </c:pt>
                <c:pt idx="17">
                  <c:v>8.0613610624935657</c:v>
                </c:pt>
                <c:pt idx="18">
                  <c:v>8.0168776371308024</c:v>
                </c:pt>
                <c:pt idx="19">
                  <c:v>7.0083458163920396</c:v>
                </c:pt>
              </c:numCache>
            </c:numRef>
          </c:val>
          <c:extLst>
            <c:ext xmlns:c16="http://schemas.microsoft.com/office/drawing/2014/chart" uri="{C3380CC4-5D6E-409C-BE32-E72D297353CC}">
              <c16:uniqueId val="{00000000-4431-4405-8EDD-58C3D0D3C5D0}"/>
            </c:ext>
          </c:extLst>
        </c:ser>
        <c:ser>
          <c:idx val="1"/>
          <c:order val="1"/>
          <c:tx>
            <c:strRef>
              <c:f>Sheet1!$A$3</c:f>
              <c:strCache>
                <c:ptCount val="1"/>
                <c:pt idx="0">
                  <c:v>Vidējā vispārējā izglītība</c:v>
                </c:pt>
              </c:strCache>
            </c:strRef>
          </c:tx>
          <c:invertIfNegative val="0"/>
          <c:dLbls>
            <c:spPr>
              <a:noFill/>
              <a:ln>
                <a:noFill/>
              </a:ln>
              <a:effectLst/>
            </c:spPr>
            <c:txPr>
              <a:bodyPr wrap="square" lIns="38100" tIns="19050" rIns="38100" bIns="19050" anchor="ctr">
                <a:spAutoFit/>
              </a:bodyPr>
              <a:lstStyle/>
              <a:p>
                <a:pPr>
                  <a:defRPr sz="70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Sheet1!$B$1:$U$1</c:f>
              <c:numCache>
                <c:formatCode>0</c:formatCode>
                <c:ptCount val="20"/>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numCache>
            </c:numRef>
          </c:cat>
          <c:val>
            <c:numRef>
              <c:f>Sheet1!$B$3:$U$3</c:f>
              <c:numCache>
                <c:formatCode>0.0</c:formatCode>
                <c:ptCount val="20"/>
                <c:pt idx="0">
                  <c:v>24.777869378034257</c:v>
                </c:pt>
                <c:pt idx="1">
                  <c:v>25.551065393093314</c:v>
                </c:pt>
                <c:pt idx="2">
                  <c:v>26.069041296584562</c:v>
                </c:pt>
                <c:pt idx="3">
                  <c:v>26.054774241302741</c:v>
                </c:pt>
                <c:pt idx="4">
                  <c:v>25.547840202001982</c:v>
                </c:pt>
                <c:pt idx="5">
                  <c:v>26.352732119058196</c:v>
                </c:pt>
                <c:pt idx="6">
                  <c:v>25.651565506384465</c:v>
                </c:pt>
                <c:pt idx="7">
                  <c:v>25.685491193027055</c:v>
                </c:pt>
                <c:pt idx="8">
                  <c:v>25.177472787505916</c:v>
                </c:pt>
                <c:pt idx="9">
                  <c:v>24.265707060883095</c:v>
                </c:pt>
                <c:pt idx="10">
                  <c:v>24.381488308916271</c:v>
                </c:pt>
                <c:pt idx="11">
                  <c:v>24.312333629103815</c:v>
                </c:pt>
                <c:pt idx="12">
                  <c:v>24.538949914340421</c:v>
                </c:pt>
                <c:pt idx="13">
                  <c:v>23.305169985918326</c:v>
                </c:pt>
                <c:pt idx="14">
                  <c:v>23.477645154764311</c:v>
                </c:pt>
                <c:pt idx="15">
                  <c:v>25.237172294195659</c:v>
                </c:pt>
                <c:pt idx="16">
                  <c:v>25.066177967827326</c:v>
                </c:pt>
                <c:pt idx="17">
                  <c:v>24.637084319983529</c:v>
                </c:pt>
                <c:pt idx="18">
                  <c:v>23.381702171452094</c:v>
                </c:pt>
                <c:pt idx="19">
                  <c:v>21.132035095227906</c:v>
                </c:pt>
              </c:numCache>
            </c:numRef>
          </c:val>
          <c:extLst>
            <c:ext xmlns:c16="http://schemas.microsoft.com/office/drawing/2014/chart" uri="{C3380CC4-5D6E-409C-BE32-E72D297353CC}">
              <c16:uniqueId val="{00000001-4431-4405-8EDD-58C3D0D3C5D0}"/>
            </c:ext>
          </c:extLst>
        </c:ser>
        <c:ser>
          <c:idx val="2"/>
          <c:order val="2"/>
          <c:tx>
            <c:strRef>
              <c:f>Sheet1!$A$4</c:f>
              <c:strCache>
                <c:ptCount val="1"/>
                <c:pt idx="0">
                  <c:v>Vidējā profesionālā izglītība</c:v>
                </c:pt>
              </c:strCache>
            </c:strRef>
          </c:tx>
          <c:invertIfNegative val="0"/>
          <c:dLbls>
            <c:spPr>
              <a:noFill/>
              <a:ln>
                <a:noFill/>
              </a:ln>
              <a:effectLst/>
            </c:spPr>
            <c:txPr>
              <a:bodyPr wrap="square" lIns="38100" tIns="19050" rIns="38100" bIns="19050" anchor="ctr">
                <a:spAutoFit/>
              </a:bodyPr>
              <a:lstStyle/>
              <a:p>
                <a:pPr>
                  <a:defRPr sz="70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Sheet1!$B$1:$U$1</c:f>
              <c:numCache>
                <c:formatCode>0</c:formatCode>
                <c:ptCount val="20"/>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numCache>
            </c:numRef>
          </c:cat>
          <c:val>
            <c:numRef>
              <c:f>Sheet1!$B$4:$U$4</c:f>
              <c:numCache>
                <c:formatCode>0.0</c:formatCode>
                <c:ptCount val="20"/>
                <c:pt idx="0">
                  <c:v>39.241549876339647</c:v>
                </c:pt>
                <c:pt idx="1">
                  <c:v>40.236958119030128</c:v>
                </c:pt>
                <c:pt idx="2">
                  <c:v>38.430546653236888</c:v>
                </c:pt>
                <c:pt idx="3">
                  <c:v>37.629533678756474</c:v>
                </c:pt>
                <c:pt idx="4">
                  <c:v>36.793218504824601</c:v>
                </c:pt>
                <c:pt idx="5">
                  <c:v>35.450910706352737</c:v>
                </c:pt>
                <c:pt idx="6">
                  <c:v>35.175791499037949</c:v>
                </c:pt>
                <c:pt idx="7">
                  <c:v>35.364082077356088</c:v>
                </c:pt>
                <c:pt idx="8">
                  <c:v>35.65546616185518</c:v>
                </c:pt>
                <c:pt idx="9">
                  <c:v>35.158529468974905</c:v>
                </c:pt>
                <c:pt idx="10">
                  <c:v>34.306781798777529</c:v>
                </c:pt>
                <c:pt idx="11">
                  <c:v>33.106575963718825</c:v>
                </c:pt>
                <c:pt idx="12">
                  <c:v>33.890960395041823</c:v>
                </c:pt>
                <c:pt idx="13">
                  <c:v>34.148058740696037</c:v>
                </c:pt>
                <c:pt idx="14">
                  <c:v>32.652235484523565</c:v>
                </c:pt>
                <c:pt idx="15">
                  <c:v>30.653881464857697</c:v>
                </c:pt>
                <c:pt idx="16">
                  <c:v>30.737120749338214</c:v>
                </c:pt>
                <c:pt idx="17">
                  <c:v>29.620096777514672</c:v>
                </c:pt>
                <c:pt idx="18">
                  <c:v>29.649068642585164</c:v>
                </c:pt>
                <c:pt idx="19">
                  <c:v>31.35031029317355</c:v>
                </c:pt>
              </c:numCache>
            </c:numRef>
          </c:val>
          <c:extLst>
            <c:ext xmlns:c16="http://schemas.microsoft.com/office/drawing/2014/chart" uri="{C3380CC4-5D6E-409C-BE32-E72D297353CC}">
              <c16:uniqueId val="{00000002-4431-4405-8EDD-58C3D0D3C5D0}"/>
            </c:ext>
          </c:extLst>
        </c:ser>
        <c:ser>
          <c:idx val="3"/>
          <c:order val="3"/>
          <c:tx>
            <c:strRef>
              <c:f>Sheet1!$A$5</c:f>
              <c:strCache>
                <c:ptCount val="1"/>
                <c:pt idx="0">
                  <c:v>Augstākā izglītība</c:v>
                </c:pt>
              </c:strCache>
            </c:strRef>
          </c:tx>
          <c:invertIfNegative val="0"/>
          <c:dLbls>
            <c:spPr>
              <a:noFill/>
              <a:ln>
                <a:noFill/>
              </a:ln>
              <a:effectLst/>
            </c:spPr>
            <c:txPr>
              <a:bodyPr wrap="square" lIns="38100" tIns="19050" rIns="38100" bIns="19050" anchor="ctr">
                <a:spAutoFit/>
              </a:bodyPr>
              <a:lstStyle/>
              <a:p>
                <a:pPr>
                  <a:defRPr sz="700"/>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Sheet1!$B$1:$U$1</c:f>
              <c:numCache>
                <c:formatCode>0</c:formatCode>
                <c:ptCount val="20"/>
                <c:pt idx="0" formatCode="General">
                  <c:v>2002</c:v>
                </c:pt>
                <c:pt idx="1">
                  <c:v>2003</c:v>
                </c:pt>
                <c:pt idx="2" formatCode="General">
                  <c:v>2004</c:v>
                </c:pt>
                <c:pt idx="3" formatCode="General">
                  <c:v>2005</c:v>
                </c:pt>
                <c:pt idx="4" formatCode="General">
                  <c:v>2006</c:v>
                </c:pt>
                <c:pt idx="5" formatCode="General">
                  <c:v>2007</c:v>
                </c:pt>
                <c:pt idx="6" formatCode="General">
                  <c:v>2008</c:v>
                </c:pt>
                <c:pt idx="7" formatCode="General">
                  <c:v>2009</c:v>
                </c:pt>
                <c:pt idx="8" formatCode="General">
                  <c:v>2010</c:v>
                </c:pt>
                <c:pt idx="9" formatCode="General">
                  <c:v>2011</c:v>
                </c:pt>
                <c:pt idx="10" formatCode="General">
                  <c:v>2012</c:v>
                </c:pt>
                <c:pt idx="11" formatCode="General">
                  <c:v>2013</c:v>
                </c:pt>
                <c:pt idx="12" formatCode="General">
                  <c:v>2014</c:v>
                </c:pt>
                <c:pt idx="13" formatCode="General">
                  <c:v>2015</c:v>
                </c:pt>
                <c:pt idx="14" formatCode="General">
                  <c:v>2016</c:v>
                </c:pt>
                <c:pt idx="15" formatCode="General">
                  <c:v>2017</c:v>
                </c:pt>
                <c:pt idx="16" formatCode="General">
                  <c:v>2018</c:v>
                </c:pt>
                <c:pt idx="17" formatCode="General">
                  <c:v>2019</c:v>
                </c:pt>
                <c:pt idx="18" formatCode="General">
                  <c:v>2020</c:v>
                </c:pt>
                <c:pt idx="19" formatCode="General">
                  <c:v>2021</c:v>
                </c:pt>
              </c:numCache>
            </c:numRef>
          </c:cat>
          <c:val>
            <c:numRef>
              <c:f>Sheet1!$B$5:$U$5</c:f>
              <c:numCache>
                <c:formatCode>0.0</c:formatCode>
                <c:ptCount val="20"/>
                <c:pt idx="0">
                  <c:v>20.060456169277273</c:v>
                </c:pt>
                <c:pt idx="1">
                  <c:v>18.892358559882439</c:v>
                </c:pt>
                <c:pt idx="2">
                  <c:v>21.069499130116291</c:v>
                </c:pt>
                <c:pt idx="3">
                  <c:v>21.817172464840862</c:v>
                </c:pt>
                <c:pt idx="4">
                  <c:v>22.418613039949498</c:v>
                </c:pt>
                <c:pt idx="5">
                  <c:v>23.180808529542425</c:v>
                </c:pt>
                <c:pt idx="6">
                  <c:v>25.739023963617282</c:v>
                </c:pt>
                <c:pt idx="7">
                  <c:v>26.429998184129289</c:v>
                </c:pt>
                <c:pt idx="8">
                  <c:v>27.979176526265974</c:v>
                </c:pt>
                <c:pt idx="9">
                  <c:v>29.361991830383189</c:v>
                </c:pt>
                <c:pt idx="10">
                  <c:v>31.075967788881343</c:v>
                </c:pt>
                <c:pt idx="11">
                  <c:v>32.978408754806274</c:v>
                </c:pt>
                <c:pt idx="12">
                  <c:v>32.127380832409557</c:v>
                </c:pt>
                <c:pt idx="13">
                  <c:v>33.313216656608326</c:v>
                </c:pt>
                <c:pt idx="14">
                  <c:v>35.029334412300223</c:v>
                </c:pt>
                <c:pt idx="15">
                  <c:v>35.336121595429972</c:v>
                </c:pt>
                <c:pt idx="16">
                  <c:v>35.848096110771735</c:v>
                </c:pt>
                <c:pt idx="17">
                  <c:v>37.650571399155766</c:v>
                </c:pt>
                <c:pt idx="18">
                  <c:v>38.921477822373156</c:v>
                </c:pt>
                <c:pt idx="19">
                  <c:v>40.509308795206508</c:v>
                </c:pt>
              </c:numCache>
            </c:numRef>
          </c:val>
          <c:extLst>
            <c:ext xmlns:c16="http://schemas.microsoft.com/office/drawing/2014/chart" uri="{C3380CC4-5D6E-409C-BE32-E72D297353CC}">
              <c16:uniqueId val="{00000003-4431-4405-8EDD-58C3D0D3C5D0}"/>
            </c:ext>
          </c:extLst>
        </c:ser>
        <c:dLbls>
          <c:showLegendKey val="0"/>
          <c:showVal val="0"/>
          <c:showCatName val="0"/>
          <c:showSerName val="0"/>
          <c:showPercent val="0"/>
          <c:showBubbleSize val="0"/>
        </c:dLbls>
        <c:gapWidth val="40"/>
        <c:overlap val="100"/>
        <c:axId val="742061672"/>
        <c:axId val="742064416"/>
      </c:barChart>
      <c:catAx>
        <c:axId val="742061672"/>
        <c:scaling>
          <c:orientation val="minMax"/>
        </c:scaling>
        <c:delete val="0"/>
        <c:axPos val="b"/>
        <c:numFmt formatCode="General" sourceLinked="1"/>
        <c:majorTickMark val="out"/>
        <c:minorTickMark val="none"/>
        <c:tickLblPos val="nextTo"/>
        <c:spPr>
          <a:ln w="3175"/>
        </c:spPr>
        <c:txPr>
          <a:bodyPr rot="0" vert="horz"/>
          <a:lstStyle/>
          <a:p>
            <a:pPr>
              <a:defRPr sz="650"/>
            </a:pPr>
            <a:endParaRPr lang="lv-LV"/>
          </a:p>
        </c:txPr>
        <c:crossAx val="742064416"/>
        <c:crosses val="autoZero"/>
        <c:auto val="1"/>
        <c:lblAlgn val="ctr"/>
        <c:lblOffset val="100"/>
        <c:noMultiLvlLbl val="0"/>
      </c:catAx>
      <c:valAx>
        <c:axId val="742064416"/>
        <c:scaling>
          <c:orientation val="minMax"/>
        </c:scaling>
        <c:delete val="0"/>
        <c:axPos val="l"/>
        <c:numFmt formatCode="0%" sourceLinked="1"/>
        <c:majorTickMark val="out"/>
        <c:minorTickMark val="none"/>
        <c:tickLblPos val="nextTo"/>
        <c:spPr>
          <a:ln w="3175">
            <a:noFill/>
          </a:ln>
        </c:spPr>
        <c:txPr>
          <a:bodyPr rot="0" vert="horz"/>
          <a:lstStyle/>
          <a:p>
            <a:pPr>
              <a:defRPr/>
            </a:pPr>
            <a:endParaRPr lang="lv-LV"/>
          </a:p>
        </c:txPr>
        <c:crossAx val="742061672"/>
        <c:crosses val="autoZero"/>
        <c:crossBetween val="between"/>
        <c:majorUnit val="0.2"/>
      </c:valAx>
    </c:plotArea>
    <c:legend>
      <c:legendPos val="r"/>
      <c:layout>
        <c:manualLayout>
          <c:xMode val="edge"/>
          <c:yMode val="edge"/>
          <c:x val="0.81737527020809275"/>
          <c:y val="4.7480245504448688E-2"/>
          <c:w val="0.17804564671973885"/>
          <c:h val="0.9300441972833370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5202389117016375"/>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(Sheet1!$B$1,Sheet1!$I$1,Sheet1!$O$1)</c:f>
              <c:numCache>
                <c:formatCode>General</c:formatCode>
                <c:ptCount val="3"/>
                <c:pt idx="0">
                  <c:v>2008</c:v>
                </c:pt>
                <c:pt idx="1">
                  <c:v>2015</c:v>
                </c:pt>
                <c:pt idx="2">
                  <c:v>2021</c:v>
                </c:pt>
              </c:numCache>
            </c:numRef>
          </c:cat>
          <c:val>
            <c:numRef>
              <c:f>(Sheet1!$B$2,Sheet1!$I$2,Sheet1!$O$2)</c:f>
              <c:numCache>
                <c:formatCode>0</c:formatCode>
                <c:ptCount val="3"/>
                <c:pt idx="0">
                  <c:v>47608.893790000002</c:v>
                </c:pt>
                <c:pt idx="1">
                  <c:v>46715.290000000008</c:v>
                </c:pt>
                <c:pt idx="2">
                  <c:v>50087.602274905337</c:v>
                </c:pt>
              </c:numCache>
            </c:numRef>
          </c:val>
          <c:extLst>
            <c:ext xmlns:c16="http://schemas.microsoft.com/office/drawing/2014/chart" uri="{C3380CC4-5D6E-409C-BE32-E72D297353CC}">
              <c16:uniqueId val="{00000000-64B7-4A3B-B741-1043C6D66E2B}"/>
            </c:ext>
          </c:extLst>
        </c:ser>
        <c:ser>
          <c:idx val="1"/>
          <c:order val="1"/>
          <c:tx>
            <c:strRef>
              <c:f>Sheet1!$A$3</c:f>
              <c:strCache>
                <c:ptCount val="1"/>
                <c:pt idx="0">
                  <c:v>Humanitārās zinātnes</c:v>
                </c:pt>
              </c:strCache>
            </c:strRef>
          </c:tx>
          <c:invertIfNegative val="0"/>
          <c:cat>
            <c:numRef>
              <c:f>(Sheet1!$B$1,Sheet1!$I$1,Sheet1!$O$1)</c:f>
              <c:numCache>
                <c:formatCode>General</c:formatCode>
                <c:ptCount val="3"/>
                <c:pt idx="0">
                  <c:v>2008</c:v>
                </c:pt>
                <c:pt idx="1">
                  <c:v>2015</c:v>
                </c:pt>
                <c:pt idx="2">
                  <c:v>2021</c:v>
                </c:pt>
              </c:numCache>
            </c:numRef>
          </c:cat>
          <c:val>
            <c:numRef>
              <c:f>(Sheet1!$B$3,Sheet1!$I$3,Sheet1!$O$3)</c:f>
              <c:numCache>
                <c:formatCode>0</c:formatCode>
                <c:ptCount val="3"/>
                <c:pt idx="0">
                  <c:v>20491.25056</c:v>
                </c:pt>
                <c:pt idx="1">
                  <c:v>17122.060000000001</c:v>
                </c:pt>
                <c:pt idx="2">
                  <c:v>23652.20773182781</c:v>
                </c:pt>
              </c:numCache>
            </c:numRef>
          </c:val>
          <c:extLst>
            <c:ext xmlns:c16="http://schemas.microsoft.com/office/drawing/2014/chart" uri="{C3380CC4-5D6E-409C-BE32-E72D297353CC}">
              <c16:uniqueId val="{00000001-64B7-4A3B-B741-1043C6D66E2B}"/>
            </c:ext>
          </c:extLst>
        </c:ser>
        <c:ser>
          <c:idx val="2"/>
          <c:order val="2"/>
          <c:tx>
            <c:strRef>
              <c:f>Sheet1!$A$4</c:f>
              <c:strCache>
                <c:ptCount val="1"/>
                <c:pt idx="0">
                  <c:v>Sociālās zinātnes</c:v>
                </c:pt>
              </c:strCache>
            </c:strRef>
          </c:tx>
          <c:invertIfNegative val="0"/>
          <c:cat>
            <c:numRef>
              <c:f>(Sheet1!$B$1,Sheet1!$I$1,Sheet1!$O$1)</c:f>
              <c:numCache>
                <c:formatCode>General</c:formatCode>
                <c:ptCount val="3"/>
                <c:pt idx="0">
                  <c:v>2008</c:v>
                </c:pt>
                <c:pt idx="1">
                  <c:v>2015</c:v>
                </c:pt>
                <c:pt idx="2">
                  <c:v>2021</c:v>
                </c:pt>
              </c:numCache>
            </c:numRef>
          </c:cat>
          <c:val>
            <c:numRef>
              <c:f>(Sheet1!$B$4,Sheet1!$I$4,Sheet1!$O$4)</c:f>
              <c:numCache>
                <c:formatCode>0</c:formatCode>
                <c:ptCount val="3"/>
                <c:pt idx="0">
                  <c:v>104186.07766999998</c:v>
                </c:pt>
                <c:pt idx="1">
                  <c:v>148349.77000000002</c:v>
                </c:pt>
                <c:pt idx="2">
                  <c:v>159183.50605398737</c:v>
                </c:pt>
              </c:numCache>
            </c:numRef>
          </c:val>
          <c:extLst>
            <c:ext xmlns:c16="http://schemas.microsoft.com/office/drawing/2014/chart" uri="{C3380CC4-5D6E-409C-BE32-E72D297353CC}">
              <c16:uniqueId val="{00000002-64B7-4A3B-B741-1043C6D66E2B}"/>
            </c:ext>
          </c:extLst>
        </c:ser>
        <c:ser>
          <c:idx val="3"/>
          <c:order val="3"/>
          <c:tx>
            <c:strRef>
              <c:f>Sheet1!$A$5</c:f>
              <c:strCache>
                <c:ptCount val="1"/>
                <c:pt idx="0">
                  <c:v>Dabas zinātnes, matemātika</c:v>
                </c:pt>
              </c:strCache>
            </c:strRef>
          </c:tx>
          <c:invertIfNegative val="0"/>
          <c:cat>
            <c:numRef>
              <c:f>(Sheet1!$B$1,Sheet1!$I$1,Sheet1!$O$1)</c:f>
              <c:numCache>
                <c:formatCode>General</c:formatCode>
                <c:ptCount val="3"/>
                <c:pt idx="0">
                  <c:v>2008</c:v>
                </c:pt>
                <c:pt idx="1">
                  <c:v>2015</c:v>
                </c:pt>
                <c:pt idx="2">
                  <c:v>2021</c:v>
                </c:pt>
              </c:numCache>
            </c:numRef>
          </c:cat>
          <c:val>
            <c:numRef>
              <c:f>(Sheet1!$B$5,Sheet1!$I$5,Sheet1!$O$5)</c:f>
              <c:numCache>
                <c:formatCode>0</c:formatCode>
                <c:ptCount val="3"/>
                <c:pt idx="0">
                  <c:v>17229.941220000001</c:v>
                </c:pt>
                <c:pt idx="1">
                  <c:v>20618.010000000002</c:v>
                </c:pt>
                <c:pt idx="2">
                  <c:v>28254.83844588702</c:v>
                </c:pt>
              </c:numCache>
            </c:numRef>
          </c:val>
          <c:extLst>
            <c:ext xmlns:c16="http://schemas.microsoft.com/office/drawing/2014/chart" uri="{C3380CC4-5D6E-409C-BE32-E72D297353CC}">
              <c16:uniqueId val="{00000003-64B7-4A3B-B741-1043C6D66E2B}"/>
            </c:ext>
          </c:extLst>
        </c:ser>
        <c:ser>
          <c:idx val="4"/>
          <c:order val="4"/>
          <c:tx>
            <c:strRef>
              <c:f>Sheet1!$A$6</c:f>
              <c:strCache>
                <c:ptCount val="1"/>
                <c:pt idx="0">
                  <c:v>Inženierzinātnes</c:v>
                </c:pt>
              </c:strCache>
            </c:strRef>
          </c:tx>
          <c:invertIfNegative val="0"/>
          <c:cat>
            <c:numRef>
              <c:f>(Sheet1!$B$1,Sheet1!$I$1,Sheet1!$O$1)</c:f>
              <c:numCache>
                <c:formatCode>General</c:formatCode>
                <c:ptCount val="3"/>
                <c:pt idx="0">
                  <c:v>2008</c:v>
                </c:pt>
                <c:pt idx="1">
                  <c:v>2015</c:v>
                </c:pt>
                <c:pt idx="2">
                  <c:v>2021</c:v>
                </c:pt>
              </c:numCache>
            </c:numRef>
          </c:cat>
          <c:val>
            <c:numRef>
              <c:f>(Sheet1!$B$6,Sheet1!$I$6,Sheet1!$O$6)</c:f>
              <c:numCache>
                <c:formatCode>0</c:formatCode>
                <c:ptCount val="3"/>
                <c:pt idx="0">
                  <c:v>65941.271389999994</c:v>
                </c:pt>
                <c:pt idx="1">
                  <c:v>49021.02</c:v>
                </c:pt>
                <c:pt idx="2">
                  <c:v>52273.983673621333</c:v>
                </c:pt>
              </c:numCache>
            </c:numRef>
          </c:val>
          <c:extLst>
            <c:ext xmlns:c16="http://schemas.microsoft.com/office/drawing/2014/chart" uri="{C3380CC4-5D6E-409C-BE32-E72D297353CC}">
              <c16:uniqueId val="{00000004-64B7-4A3B-B741-1043C6D66E2B}"/>
            </c:ext>
          </c:extLst>
        </c:ser>
        <c:ser>
          <c:idx val="5"/>
          <c:order val="5"/>
          <c:tx>
            <c:strRef>
              <c:f>Sheet1!$A$7</c:f>
              <c:strCache>
                <c:ptCount val="1"/>
                <c:pt idx="0">
                  <c:v>Lauksaimniecība</c:v>
                </c:pt>
              </c:strCache>
            </c:strRef>
          </c:tx>
          <c:invertIfNegative val="0"/>
          <c:cat>
            <c:numRef>
              <c:f>(Sheet1!$B$1,Sheet1!$I$1,Sheet1!$O$1)</c:f>
              <c:numCache>
                <c:formatCode>General</c:formatCode>
                <c:ptCount val="3"/>
                <c:pt idx="0">
                  <c:v>2008</c:v>
                </c:pt>
                <c:pt idx="1">
                  <c:v>2015</c:v>
                </c:pt>
                <c:pt idx="2">
                  <c:v>2021</c:v>
                </c:pt>
              </c:numCache>
            </c:numRef>
          </c:cat>
          <c:val>
            <c:numRef>
              <c:f>(Sheet1!$B$7,Sheet1!$I$7,Sheet1!$O$7)</c:f>
              <c:numCache>
                <c:formatCode>0</c:formatCode>
                <c:ptCount val="3"/>
                <c:pt idx="0">
                  <c:v>11277.161829999997</c:v>
                </c:pt>
                <c:pt idx="1">
                  <c:v>8728.8600000000024</c:v>
                </c:pt>
                <c:pt idx="2">
                  <c:v>7652.2037449294148</c:v>
                </c:pt>
              </c:numCache>
            </c:numRef>
          </c:val>
          <c:extLst>
            <c:ext xmlns:c16="http://schemas.microsoft.com/office/drawing/2014/chart" uri="{C3380CC4-5D6E-409C-BE32-E72D297353CC}">
              <c16:uniqueId val="{00000005-64B7-4A3B-B741-1043C6D66E2B}"/>
            </c:ext>
          </c:extLst>
        </c:ser>
        <c:ser>
          <c:idx val="6"/>
          <c:order val="6"/>
          <c:tx>
            <c:strRef>
              <c:f>Sheet1!$A$8</c:f>
              <c:strCache>
                <c:ptCount val="1"/>
                <c:pt idx="0">
                  <c:v>Veselības aprūpe</c:v>
                </c:pt>
              </c:strCache>
            </c:strRef>
          </c:tx>
          <c:invertIfNegative val="0"/>
          <c:cat>
            <c:numRef>
              <c:f>(Sheet1!$B$1,Sheet1!$I$1,Sheet1!$O$1)</c:f>
              <c:numCache>
                <c:formatCode>General</c:formatCode>
                <c:ptCount val="3"/>
                <c:pt idx="0">
                  <c:v>2008</c:v>
                </c:pt>
                <c:pt idx="1">
                  <c:v>2015</c:v>
                </c:pt>
                <c:pt idx="2">
                  <c:v>2021</c:v>
                </c:pt>
              </c:numCache>
            </c:numRef>
          </c:cat>
          <c:val>
            <c:numRef>
              <c:f>(Sheet1!$B$8,Sheet1!$I$8,Sheet1!$O$8)</c:f>
              <c:numCache>
                <c:formatCode>0</c:formatCode>
                <c:ptCount val="3"/>
                <c:pt idx="0">
                  <c:v>17941.423999999995</c:v>
                </c:pt>
                <c:pt idx="1">
                  <c:v>25516.680000000004</c:v>
                </c:pt>
                <c:pt idx="2">
                  <c:v>30357.499476707628</c:v>
                </c:pt>
              </c:numCache>
            </c:numRef>
          </c:val>
          <c:extLst>
            <c:ext xmlns:c16="http://schemas.microsoft.com/office/drawing/2014/chart" uri="{C3380CC4-5D6E-409C-BE32-E72D297353CC}">
              <c16:uniqueId val="{00000006-64B7-4A3B-B741-1043C6D66E2B}"/>
            </c:ext>
          </c:extLst>
        </c:ser>
        <c:ser>
          <c:idx val="7"/>
          <c:order val="7"/>
          <c:tx>
            <c:strRef>
              <c:f>Sheet1!$A$9</c:f>
              <c:strCache>
                <c:ptCount val="1"/>
                <c:pt idx="0">
                  <c:v>Pakalpojumi</c:v>
                </c:pt>
              </c:strCache>
            </c:strRef>
          </c:tx>
          <c:invertIfNegative val="0"/>
          <c:cat>
            <c:numRef>
              <c:f>(Sheet1!$B$1,Sheet1!$I$1,Sheet1!$O$1)</c:f>
              <c:numCache>
                <c:formatCode>General</c:formatCode>
                <c:ptCount val="3"/>
                <c:pt idx="0">
                  <c:v>2008</c:v>
                </c:pt>
                <c:pt idx="1">
                  <c:v>2015</c:v>
                </c:pt>
                <c:pt idx="2">
                  <c:v>2021</c:v>
                </c:pt>
              </c:numCache>
            </c:numRef>
          </c:cat>
          <c:val>
            <c:numRef>
              <c:f>(Sheet1!$B$9,Sheet1!$I$9,Sheet1!$O$9)</c:f>
              <c:numCache>
                <c:formatCode>0</c:formatCode>
                <c:ptCount val="3"/>
                <c:pt idx="0">
                  <c:v>9360.6910500000013</c:v>
                </c:pt>
                <c:pt idx="1">
                  <c:v>13543.99</c:v>
                </c:pt>
                <c:pt idx="2">
                  <c:v>16152.23342766625</c:v>
                </c:pt>
              </c:numCache>
            </c:numRef>
          </c:val>
          <c:extLst>
            <c:ext xmlns:c16="http://schemas.microsoft.com/office/drawing/2014/chart" uri="{C3380CC4-5D6E-409C-BE32-E72D297353CC}">
              <c16:uniqueId val="{00000007-64B7-4A3B-B741-1043C6D66E2B}"/>
            </c:ext>
          </c:extLst>
        </c:ser>
        <c:dLbls>
          <c:showLegendKey val="0"/>
          <c:showVal val="0"/>
          <c:showCatName val="0"/>
          <c:showSerName val="0"/>
          <c:showPercent val="0"/>
          <c:showBubbleSize val="0"/>
        </c:dLbls>
        <c:gapWidth val="40"/>
        <c:overlap val="100"/>
        <c:axId val="742071080"/>
        <c:axId val="742063632"/>
      </c:barChart>
      <c:catAx>
        <c:axId val="742071080"/>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63632"/>
        <c:crosses val="autoZero"/>
        <c:auto val="1"/>
        <c:lblAlgn val="ctr"/>
        <c:lblOffset val="100"/>
        <c:noMultiLvlLbl val="0"/>
      </c:catAx>
      <c:valAx>
        <c:axId val="742063632"/>
        <c:scaling>
          <c:orientation val="minMax"/>
        </c:scaling>
        <c:delete val="0"/>
        <c:axPos val="l"/>
        <c:numFmt formatCode="0%" sourceLinked="1"/>
        <c:majorTickMark val="out"/>
        <c:minorTickMark val="none"/>
        <c:tickLblPos val="nextTo"/>
        <c:spPr>
          <a:noFill/>
          <a:ln w="3175">
            <a:noFill/>
          </a:ln>
        </c:spPr>
        <c:txPr>
          <a:bodyPr rot="0" vert="horz"/>
          <a:lstStyle/>
          <a:p>
            <a:pPr>
              <a:defRPr/>
            </a:pPr>
            <a:endParaRPr lang="lv-LV"/>
          </a:p>
        </c:txPr>
        <c:crossAx val="742071080"/>
        <c:crosses val="autoZero"/>
        <c:crossBetween val="between"/>
        <c:majorUnit val="0.2"/>
      </c:valAx>
    </c:plotArea>
    <c:legend>
      <c:legendPos val="r"/>
      <c:layout>
        <c:manualLayout>
          <c:xMode val="edge"/>
          <c:yMode val="edge"/>
          <c:x val="0.49033918169269636"/>
          <c:y val="2.4582394710217236E-2"/>
          <c:w val="0.50445372387988441"/>
          <c:h val="0.9460144885594093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37959874640807723"/>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Sheet1!$B$1:$O$1</c:f>
              <c:numCache>
                <c:formatCode>General</c:formatCode>
                <c:ptCount val="3"/>
                <c:pt idx="0">
                  <c:v>2008</c:v>
                </c:pt>
                <c:pt idx="1">
                  <c:v>2015</c:v>
                </c:pt>
                <c:pt idx="2">
                  <c:v>2021</c:v>
                </c:pt>
              </c:numCache>
              <c:extLst/>
            </c:numRef>
          </c:cat>
          <c:val>
            <c:numRef>
              <c:f>Sheet1!$B$2:$O$2</c:f>
              <c:numCache>
                <c:formatCode>0</c:formatCode>
                <c:ptCount val="3"/>
                <c:pt idx="0">
                  <c:v>7245.0423300000002</c:v>
                </c:pt>
                <c:pt idx="1">
                  <c:v>5028.9799999999996</c:v>
                </c:pt>
                <c:pt idx="2">
                  <c:v>3165.930983158044</c:v>
                </c:pt>
              </c:numCache>
              <c:extLst/>
            </c:numRef>
          </c:val>
          <c:extLst>
            <c:ext xmlns:c16="http://schemas.microsoft.com/office/drawing/2014/chart" uri="{C3380CC4-5D6E-409C-BE32-E72D297353CC}">
              <c16:uniqueId val="{00000000-0A11-44C2-A40D-50A2E0DF20AB}"/>
            </c:ext>
          </c:extLst>
        </c:ser>
        <c:ser>
          <c:idx val="1"/>
          <c:order val="1"/>
          <c:tx>
            <c:strRef>
              <c:f>Sheet1!$A$3</c:f>
              <c:strCache>
                <c:ptCount val="1"/>
                <c:pt idx="0">
                  <c:v>Humanitārās zinātnes</c:v>
                </c:pt>
              </c:strCache>
            </c:strRef>
          </c:tx>
          <c:invertIfNegative val="0"/>
          <c:cat>
            <c:numRef>
              <c:f>Sheet1!$B$1:$O$1</c:f>
              <c:numCache>
                <c:formatCode>General</c:formatCode>
                <c:ptCount val="3"/>
                <c:pt idx="0">
                  <c:v>2008</c:v>
                </c:pt>
                <c:pt idx="1">
                  <c:v>2015</c:v>
                </c:pt>
                <c:pt idx="2">
                  <c:v>2021</c:v>
                </c:pt>
              </c:numCache>
              <c:extLst/>
            </c:numRef>
          </c:cat>
          <c:val>
            <c:numRef>
              <c:f>Sheet1!$B$3:$O$3</c:f>
              <c:numCache>
                <c:formatCode>0</c:formatCode>
                <c:ptCount val="3"/>
                <c:pt idx="0">
                  <c:v>12828.938230000002</c:v>
                </c:pt>
                <c:pt idx="1">
                  <c:v>8779.3599999999988</c:v>
                </c:pt>
                <c:pt idx="2">
                  <c:v>11355.714311915812</c:v>
                </c:pt>
              </c:numCache>
              <c:extLst/>
            </c:numRef>
          </c:val>
          <c:extLst>
            <c:ext xmlns:c16="http://schemas.microsoft.com/office/drawing/2014/chart" uri="{C3380CC4-5D6E-409C-BE32-E72D297353CC}">
              <c16:uniqueId val="{00000001-0A11-44C2-A40D-50A2E0DF20AB}"/>
            </c:ext>
          </c:extLst>
        </c:ser>
        <c:ser>
          <c:idx val="2"/>
          <c:order val="2"/>
          <c:tx>
            <c:strRef>
              <c:f>Sheet1!$A$4</c:f>
              <c:strCache>
                <c:ptCount val="1"/>
                <c:pt idx="0">
                  <c:v>Sociālās zinātnes</c:v>
                </c:pt>
              </c:strCache>
            </c:strRef>
          </c:tx>
          <c:invertIfNegative val="0"/>
          <c:cat>
            <c:numRef>
              <c:f>Sheet1!$B$1:$O$1</c:f>
              <c:numCache>
                <c:formatCode>General</c:formatCode>
                <c:ptCount val="3"/>
                <c:pt idx="0">
                  <c:v>2008</c:v>
                </c:pt>
                <c:pt idx="1">
                  <c:v>2015</c:v>
                </c:pt>
                <c:pt idx="2">
                  <c:v>2021</c:v>
                </c:pt>
              </c:numCache>
              <c:extLst/>
            </c:numRef>
          </c:cat>
          <c:val>
            <c:numRef>
              <c:f>Sheet1!$B$4:$O$4</c:f>
              <c:numCache>
                <c:formatCode>0</c:formatCode>
                <c:ptCount val="3"/>
                <c:pt idx="0">
                  <c:v>46421.810759999993</c:v>
                </c:pt>
                <c:pt idx="1">
                  <c:v>36526.840000000004</c:v>
                </c:pt>
                <c:pt idx="2">
                  <c:v>32425.932057113227</c:v>
                </c:pt>
              </c:numCache>
              <c:extLst/>
            </c:numRef>
          </c:val>
          <c:extLst>
            <c:ext xmlns:c16="http://schemas.microsoft.com/office/drawing/2014/chart" uri="{C3380CC4-5D6E-409C-BE32-E72D297353CC}">
              <c16:uniqueId val="{00000002-0A11-44C2-A40D-50A2E0DF20AB}"/>
            </c:ext>
          </c:extLst>
        </c:ser>
        <c:ser>
          <c:idx val="3"/>
          <c:order val="3"/>
          <c:tx>
            <c:strRef>
              <c:f>Sheet1!$A$5</c:f>
              <c:strCache>
                <c:ptCount val="1"/>
                <c:pt idx="0">
                  <c:v>Dabas zinātnes, matemātika</c:v>
                </c:pt>
              </c:strCache>
            </c:strRef>
          </c:tx>
          <c:invertIfNegative val="0"/>
          <c:cat>
            <c:numRef>
              <c:f>Sheet1!$B$1:$O$1</c:f>
              <c:numCache>
                <c:formatCode>General</c:formatCode>
                <c:ptCount val="3"/>
                <c:pt idx="0">
                  <c:v>2008</c:v>
                </c:pt>
                <c:pt idx="1">
                  <c:v>2015</c:v>
                </c:pt>
                <c:pt idx="2">
                  <c:v>2021</c:v>
                </c:pt>
              </c:numCache>
              <c:extLst/>
            </c:numRef>
          </c:cat>
          <c:val>
            <c:numRef>
              <c:f>Sheet1!$B$5:$O$5</c:f>
              <c:numCache>
                <c:formatCode>0</c:formatCode>
                <c:ptCount val="3"/>
                <c:pt idx="0">
                  <c:v>6955.4266200000002</c:v>
                </c:pt>
                <c:pt idx="1">
                  <c:v>6539.1</c:v>
                </c:pt>
                <c:pt idx="2">
                  <c:v>5998.8452768268662</c:v>
                </c:pt>
              </c:numCache>
              <c:extLst/>
            </c:numRef>
          </c:val>
          <c:extLst>
            <c:ext xmlns:c16="http://schemas.microsoft.com/office/drawing/2014/chart" uri="{C3380CC4-5D6E-409C-BE32-E72D297353CC}">
              <c16:uniqueId val="{00000003-0A11-44C2-A40D-50A2E0DF20AB}"/>
            </c:ext>
          </c:extLst>
        </c:ser>
        <c:ser>
          <c:idx val="4"/>
          <c:order val="4"/>
          <c:tx>
            <c:strRef>
              <c:f>Sheet1!$A$6</c:f>
              <c:strCache>
                <c:ptCount val="1"/>
                <c:pt idx="0">
                  <c:v>Inženierzinātnes</c:v>
                </c:pt>
              </c:strCache>
            </c:strRef>
          </c:tx>
          <c:invertIfNegative val="0"/>
          <c:cat>
            <c:numRef>
              <c:f>Sheet1!$B$1:$O$1</c:f>
              <c:numCache>
                <c:formatCode>General</c:formatCode>
                <c:ptCount val="3"/>
                <c:pt idx="0">
                  <c:v>2008</c:v>
                </c:pt>
                <c:pt idx="1">
                  <c:v>2015</c:v>
                </c:pt>
                <c:pt idx="2">
                  <c:v>2021</c:v>
                </c:pt>
              </c:numCache>
              <c:extLst/>
            </c:numRef>
          </c:cat>
          <c:val>
            <c:numRef>
              <c:f>Sheet1!$B$6:$O$6</c:f>
              <c:numCache>
                <c:formatCode>0</c:formatCode>
                <c:ptCount val="3"/>
                <c:pt idx="0">
                  <c:v>226025.69081000003</c:v>
                </c:pt>
                <c:pt idx="1">
                  <c:v>199753.64999999991</c:v>
                </c:pt>
                <c:pt idx="2">
                  <c:v>146477.3566887934</c:v>
                </c:pt>
              </c:numCache>
              <c:extLst/>
            </c:numRef>
          </c:val>
          <c:extLst>
            <c:ext xmlns:c16="http://schemas.microsoft.com/office/drawing/2014/chart" uri="{C3380CC4-5D6E-409C-BE32-E72D297353CC}">
              <c16:uniqueId val="{00000004-0A11-44C2-A40D-50A2E0DF20AB}"/>
            </c:ext>
          </c:extLst>
        </c:ser>
        <c:ser>
          <c:idx val="5"/>
          <c:order val="5"/>
          <c:tx>
            <c:strRef>
              <c:f>Sheet1!$A$7</c:f>
              <c:strCache>
                <c:ptCount val="1"/>
                <c:pt idx="0">
                  <c:v>Lauksaimniecība</c:v>
                </c:pt>
              </c:strCache>
            </c:strRef>
          </c:tx>
          <c:invertIfNegative val="0"/>
          <c:cat>
            <c:numRef>
              <c:f>Sheet1!$B$1:$O$1</c:f>
              <c:numCache>
                <c:formatCode>General</c:formatCode>
                <c:ptCount val="3"/>
                <c:pt idx="0">
                  <c:v>2008</c:v>
                </c:pt>
                <c:pt idx="1">
                  <c:v>2015</c:v>
                </c:pt>
                <c:pt idx="2">
                  <c:v>2021</c:v>
                </c:pt>
              </c:numCache>
              <c:extLst/>
            </c:numRef>
          </c:cat>
          <c:val>
            <c:numRef>
              <c:f>Sheet1!$B$7:$O$7</c:f>
              <c:numCache>
                <c:formatCode>0</c:formatCode>
                <c:ptCount val="3"/>
                <c:pt idx="0">
                  <c:v>24593.317440000006</c:v>
                </c:pt>
                <c:pt idx="1">
                  <c:v>21043.949999999997</c:v>
                </c:pt>
                <c:pt idx="2">
                  <c:v>13691.908874670549</c:v>
                </c:pt>
              </c:numCache>
              <c:extLst/>
            </c:numRef>
          </c:val>
          <c:extLst>
            <c:ext xmlns:c16="http://schemas.microsoft.com/office/drawing/2014/chart" uri="{C3380CC4-5D6E-409C-BE32-E72D297353CC}">
              <c16:uniqueId val="{00000005-0A11-44C2-A40D-50A2E0DF20AB}"/>
            </c:ext>
          </c:extLst>
        </c:ser>
        <c:ser>
          <c:idx val="6"/>
          <c:order val="6"/>
          <c:tx>
            <c:strRef>
              <c:f>Sheet1!$A$8</c:f>
              <c:strCache>
                <c:ptCount val="1"/>
                <c:pt idx="0">
                  <c:v>Veselības aprūpe</c:v>
                </c:pt>
              </c:strCache>
            </c:strRef>
          </c:tx>
          <c:invertIfNegative val="0"/>
          <c:cat>
            <c:numRef>
              <c:f>Sheet1!$B$1:$O$1</c:f>
              <c:numCache>
                <c:formatCode>General</c:formatCode>
                <c:ptCount val="3"/>
                <c:pt idx="0">
                  <c:v>2008</c:v>
                </c:pt>
                <c:pt idx="1">
                  <c:v>2015</c:v>
                </c:pt>
                <c:pt idx="2">
                  <c:v>2021</c:v>
                </c:pt>
              </c:numCache>
              <c:extLst/>
            </c:numRef>
          </c:cat>
          <c:val>
            <c:numRef>
              <c:f>Sheet1!$B$8:$O$8</c:f>
              <c:numCache>
                <c:formatCode>0</c:formatCode>
                <c:ptCount val="3"/>
                <c:pt idx="0">
                  <c:v>28034.067350000005</c:v>
                </c:pt>
                <c:pt idx="1">
                  <c:v>15660.489999999987</c:v>
                </c:pt>
                <c:pt idx="2">
                  <c:v>12728.538177407387</c:v>
                </c:pt>
              </c:numCache>
              <c:extLst/>
            </c:numRef>
          </c:val>
          <c:extLst>
            <c:ext xmlns:c16="http://schemas.microsoft.com/office/drawing/2014/chart" uri="{C3380CC4-5D6E-409C-BE32-E72D297353CC}">
              <c16:uniqueId val="{00000006-0A11-44C2-A40D-50A2E0DF20AB}"/>
            </c:ext>
          </c:extLst>
        </c:ser>
        <c:ser>
          <c:idx val="7"/>
          <c:order val="7"/>
          <c:tx>
            <c:strRef>
              <c:f>Sheet1!$A$9</c:f>
              <c:strCache>
                <c:ptCount val="1"/>
                <c:pt idx="0">
                  <c:v>Pakalpojumi</c:v>
                </c:pt>
              </c:strCache>
            </c:strRef>
          </c:tx>
          <c:invertIfNegative val="0"/>
          <c:cat>
            <c:numRef>
              <c:f>Sheet1!$B$1:$O$1</c:f>
              <c:numCache>
                <c:formatCode>General</c:formatCode>
                <c:ptCount val="3"/>
                <c:pt idx="0">
                  <c:v>2008</c:v>
                </c:pt>
                <c:pt idx="1">
                  <c:v>2015</c:v>
                </c:pt>
                <c:pt idx="2">
                  <c:v>2021</c:v>
                </c:pt>
              </c:numCache>
              <c:extLst/>
            </c:numRef>
          </c:cat>
          <c:val>
            <c:numRef>
              <c:f>Sheet1!$B$9:$O$9</c:f>
              <c:numCache>
                <c:formatCode>0</c:formatCode>
                <c:ptCount val="3"/>
                <c:pt idx="0">
                  <c:v>34825.01427</c:v>
                </c:pt>
                <c:pt idx="1">
                  <c:v>40277.269999999997</c:v>
                </c:pt>
                <c:pt idx="2">
                  <c:v>57085.925450680472</c:v>
                </c:pt>
              </c:numCache>
              <c:extLst/>
            </c:numRef>
          </c:val>
          <c:extLst>
            <c:ext xmlns:c16="http://schemas.microsoft.com/office/drawing/2014/chart" uri="{C3380CC4-5D6E-409C-BE32-E72D297353CC}">
              <c16:uniqueId val="{00000007-0A11-44C2-A40D-50A2E0DF20AB}"/>
            </c:ext>
          </c:extLst>
        </c:ser>
        <c:ser>
          <c:idx val="9"/>
          <c:order val="8"/>
          <c:tx>
            <c:strRef>
              <c:f>Sheet1!$A$11</c:f>
              <c:strCache>
                <c:ptCount val="1"/>
                <c:pt idx="0">
                  <c:v>Vispārējā izglītība</c:v>
                </c:pt>
              </c:strCache>
            </c:strRef>
          </c:tx>
          <c:invertIfNegative val="0"/>
          <c:cat>
            <c:numRef>
              <c:f>Sheet1!$B$1:$O$1</c:f>
              <c:numCache>
                <c:formatCode>General</c:formatCode>
                <c:ptCount val="3"/>
                <c:pt idx="0">
                  <c:v>2008</c:v>
                </c:pt>
                <c:pt idx="1">
                  <c:v>2015</c:v>
                </c:pt>
                <c:pt idx="2">
                  <c:v>2021</c:v>
                </c:pt>
              </c:numCache>
              <c:extLst/>
            </c:numRef>
          </c:cat>
          <c:val>
            <c:numRef>
              <c:f>Sheet1!$B$11:$O$11</c:f>
              <c:numCache>
                <c:formatCode>0</c:formatCode>
                <c:ptCount val="3"/>
                <c:pt idx="0">
                  <c:v>293300</c:v>
                </c:pt>
                <c:pt idx="1">
                  <c:v>231700</c:v>
                </c:pt>
                <c:pt idx="2" formatCode="0.0">
                  <c:v>197500</c:v>
                </c:pt>
              </c:numCache>
              <c:extLst/>
            </c:numRef>
          </c:val>
          <c:extLst>
            <c:ext xmlns:c16="http://schemas.microsoft.com/office/drawing/2014/chart" uri="{C3380CC4-5D6E-409C-BE32-E72D297353CC}">
              <c16:uniqueId val="{00000008-0A11-44C2-A40D-50A2E0DF20AB}"/>
            </c:ext>
          </c:extLst>
        </c:ser>
        <c:dLbls>
          <c:showLegendKey val="0"/>
          <c:showVal val="0"/>
          <c:showCatName val="0"/>
          <c:showSerName val="0"/>
          <c:showPercent val="0"/>
          <c:showBubbleSize val="0"/>
        </c:dLbls>
        <c:gapWidth val="40"/>
        <c:overlap val="100"/>
        <c:axId val="742069120"/>
        <c:axId val="742066768"/>
      </c:barChart>
      <c:catAx>
        <c:axId val="742069120"/>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66768"/>
        <c:crosses val="autoZero"/>
        <c:auto val="1"/>
        <c:lblAlgn val="ctr"/>
        <c:lblOffset val="100"/>
        <c:noMultiLvlLbl val="0"/>
      </c:catAx>
      <c:valAx>
        <c:axId val="742066768"/>
        <c:scaling>
          <c:orientation val="minMax"/>
        </c:scaling>
        <c:delete val="0"/>
        <c:axPos val="l"/>
        <c:numFmt formatCode="0%" sourceLinked="1"/>
        <c:majorTickMark val="out"/>
        <c:minorTickMark val="none"/>
        <c:tickLblPos val="nextTo"/>
        <c:spPr>
          <a:ln w="3175">
            <a:noFill/>
          </a:ln>
        </c:spPr>
        <c:txPr>
          <a:bodyPr rot="0" vert="horz"/>
          <a:lstStyle/>
          <a:p>
            <a:pPr>
              <a:defRPr/>
            </a:pPr>
            <a:endParaRPr lang="lv-LV"/>
          </a:p>
        </c:txPr>
        <c:crossAx val="742069120"/>
        <c:crosses val="autoZero"/>
        <c:crossBetween val="between"/>
        <c:majorUnit val="0.2"/>
      </c:valAx>
    </c:plotArea>
    <c:legend>
      <c:legendPos val="r"/>
      <c:layout>
        <c:manualLayout>
          <c:xMode val="edge"/>
          <c:yMode val="edge"/>
          <c:x val="0.50514094227747441"/>
          <c:y val="5.7574543846529609E-3"/>
          <c:w val="0.46578023943258462"/>
          <c:h val="0.96985323908901289"/>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4.8895494665989331E-2"/>
          <c:y val="1.1883542334985902E-2"/>
          <c:w val="0.90009644081788165"/>
          <c:h val="0.93620444662870328"/>
        </c:manualLayout>
      </c:layout>
      <c:barChart>
        <c:barDir val="bar"/>
        <c:grouping val="clustered"/>
        <c:varyColors val="0"/>
        <c:ser>
          <c:idx val="2"/>
          <c:order val="0"/>
          <c:tx>
            <c:strRef>
              <c:f>Sheet1!$B$1</c:f>
              <c:strCache>
                <c:ptCount val="1"/>
                <c:pt idx="0">
                  <c:v>2021</c:v>
                </c:pt>
              </c:strCache>
            </c:strRef>
          </c:tx>
          <c:spPr>
            <a:solidFill>
              <a:schemeClr val="accent2"/>
            </a:solidFill>
          </c:spPr>
          <c:invertIfNegative val="0"/>
          <c:dLbls>
            <c:dLbl>
              <c:idx val="9"/>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42-4392-8B84-F1D442A87B6A}"/>
                </c:ext>
              </c:extLst>
            </c:dLbl>
            <c:dLbl>
              <c:idx val="10"/>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42-4392-8B84-F1D442A87B6A}"/>
                </c:ext>
              </c:extLst>
            </c:dLbl>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Sheet1!$A$2:$A$16</c:f>
              <c:numCache>
                <c:formatCode>General</c:formatCode>
                <c:ptCount val="15"/>
              </c:numCache>
            </c:numRef>
          </c:cat>
          <c:val>
            <c:numRef>
              <c:f>Sheet1!$B$2:$B$16</c:f>
              <c:numCache>
                <c:formatCode>0.0</c:formatCode>
                <c:ptCount val="15"/>
                <c:pt idx="0">
                  <c:v>9.7954452597719843</c:v>
                </c:pt>
                <c:pt idx="1">
                  <c:v>12.891698799410674</c:v>
                </c:pt>
                <c:pt idx="2">
                  <c:v>22.194758260193847</c:v>
                </c:pt>
                <c:pt idx="3">
                  <c:v>25.675455120002262</c:v>
                </c:pt>
                <c:pt idx="4">
                  <c:v>27.11871563628835</c:v>
                </c:pt>
                <c:pt idx="5">
                  <c:v>28.650581103225175</c:v>
                </c:pt>
                <c:pt idx="6">
                  <c:v>29.330659786045281</c:v>
                </c:pt>
                <c:pt idx="7">
                  <c:v>30.387217192108334</c:v>
                </c:pt>
                <c:pt idx="8">
                  <c:v>34.108219693306694</c:v>
                </c:pt>
                <c:pt idx="9">
                  <c:v>35.040602371744946</c:v>
                </c:pt>
                <c:pt idx="10">
                  <c:v>35.237105562059178</c:v>
                </c:pt>
                <c:pt idx="11">
                  <c:v>41.218335275208659</c:v>
                </c:pt>
                <c:pt idx="12">
                  <c:v>42.223475930145298</c:v>
                </c:pt>
                <c:pt idx="13">
                  <c:v>42.398250566734816</c:v>
                </c:pt>
                <c:pt idx="14">
                  <c:v>48.84910991776492</c:v>
                </c:pt>
              </c:numCache>
            </c:numRef>
          </c:val>
          <c:extLst>
            <c:ext xmlns:c16="http://schemas.microsoft.com/office/drawing/2014/chart" uri="{C3380CC4-5D6E-409C-BE32-E72D297353CC}">
              <c16:uniqueId val="{00000003-0542-4392-8B84-F1D442A87B6A}"/>
            </c:ext>
          </c:extLst>
        </c:ser>
        <c:dLbls>
          <c:showLegendKey val="0"/>
          <c:showVal val="0"/>
          <c:showCatName val="0"/>
          <c:showSerName val="0"/>
          <c:showPercent val="0"/>
          <c:showBubbleSize val="0"/>
        </c:dLbls>
        <c:gapWidth val="40"/>
        <c:axId val="742064024"/>
        <c:axId val="742068728"/>
      </c:barChart>
      <c:catAx>
        <c:axId val="742064024"/>
        <c:scaling>
          <c:orientation val="minMax"/>
        </c:scaling>
        <c:delete val="0"/>
        <c:axPos val="l"/>
        <c:numFmt formatCode="General" sourceLinked="1"/>
        <c:majorTickMark val="out"/>
        <c:minorTickMark val="none"/>
        <c:tickLblPos val="nextTo"/>
        <c:txPr>
          <a:bodyPr rot="0" vert="horz"/>
          <a:lstStyle/>
          <a:p>
            <a:pPr>
              <a:defRPr/>
            </a:pPr>
            <a:endParaRPr lang="lv-LV"/>
          </a:p>
        </c:txPr>
        <c:crossAx val="742068728"/>
        <c:crosses val="autoZero"/>
        <c:auto val="1"/>
        <c:lblAlgn val="ctr"/>
        <c:lblOffset val="100"/>
        <c:noMultiLvlLbl val="0"/>
      </c:catAx>
      <c:valAx>
        <c:axId val="742068728"/>
        <c:scaling>
          <c:orientation val="minMax"/>
          <c:max val="50"/>
          <c:min val="0"/>
        </c:scaling>
        <c:delete val="0"/>
        <c:axPos val="b"/>
        <c:numFmt formatCode="0" sourceLinked="0"/>
        <c:majorTickMark val="out"/>
        <c:minorTickMark val="none"/>
        <c:tickLblPos val="nextTo"/>
        <c:spPr>
          <a:ln>
            <a:noFill/>
          </a:ln>
        </c:spPr>
        <c:crossAx val="742064024"/>
        <c:crosses val="autoZero"/>
        <c:crossBetween val="between"/>
        <c:majorUnit val="1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5663901221944996E-2"/>
          <c:y val="8.8196383948258121E-3"/>
          <c:w val="0.84854216793825266"/>
          <c:h val="0.93540598693721277"/>
        </c:manualLayout>
      </c:layout>
      <c:barChart>
        <c:barDir val="bar"/>
        <c:grouping val="clustered"/>
        <c:varyColors val="0"/>
        <c:ser>
          <c:idx val="2"/>
          <c:order val="0"/>
          <c:tx>
            <c:strRef>
              <c:f>Sheet1!$B$1</c:f>
              <c:strCache>
                <c:ptCount val="1"/>
                <c:pt idx="0">
                  <c:v>2019</c:v>
                </c:pt>
              </c:strCache>
            </c:strRef>
          </c:tx>
          <c:spPr>
            <a:solidFill>
              <a:schemeClr val="accent2"/>
            </a:solidFill>
          </c:spPr>
          <c:invertIfNegative val="0"/>
          <c:dLbls>
            <c:dLbl>
              <c:idx val="10"/>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A0-4956-9F42-9AF380A405CC}"/>
                </c:ext>
              </c:extLst>
            </c:dLbl>
            <c:dLbl>
              <c:idx val="11"/>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A0-4956-9F42-9AF380A405CC}"/>
                </c:ext>
              </c:extLst>
            </c:dLbl>
            <c:dLbl>
              <c:idx val="12"/>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A0-4956-9F42-9AF380A405CC}"/>
                </c:ext>
              </c:extLst>
            </c:dLbl>
            <c:dLbl>
              <c:idx val="13"/>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A0-4956-9F42-9AF380A405CC}"/>
                </c:ext>
              </c:extLst>
            </c:dLbl>
            <c:dLbl>
              <c:idx val="14"/>
              <c:numFmt formatCode="#,##0" sourceLinked="0"/>
              <c:spPr>
                <a:noFill/>
                <a:ln>
                  <a:noFill/>
                </a:ln>
                <a:effectLst/>
              </c:spPr>
              <c:txPr>
                <a:bodyPr/>
                <a:lstStyle/>
                <a:p>
                  <a:pPr>
                    <a:defRPr>
                      <a:solidFill>
                        <a:schemeClr val="tx1"/>
                      </a:solidFill>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A0-4956-9F42-9AF380A405CC}"/>
                </c:ext>
              </c:extLst>
            </c:dLbl>
            <c:numFmt formatCode="#,##0" sourceLinked="0"/>
            <c:spPr>
              <a:noFill/>
              <a:ln>
                <a:noFill/>
              </a:ln>
              <a:effectLst/>
            </c:spPr>
            <c:txPr>
              <a:bodyPr/>
              <a:lstStyle/>
              <a:p>
                <a:pPr>
                  <a:defRPr>
                    <a:solidFill>
                      <a:schemeClr val="bg1"/>
                    </a:solidFill>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Sheet1!$A$2:$A$20</c:f>
              <c:numCache>
                <c:formatCode>General</c:formatCode>
                <c:ptCount val="19"/>
              </c:numCache>
            </c:numRef>
          </c:cat>
          <c:val>
            <c:numRef>
              <c:f>Sheet1!$B$2:$B$20</c:f>
              <c:numCache>
                <c:formatCode>0.0</c:formatCode>
                <c:ptCount val="19"/>
                <c:pt idx="0">
                  <c:v>15.506242208131605</c:v>
                </c:pt>
                <c:pt idx="1">
                  <c:v>21.726342347909302</c:v>
                </c:pt>
                <c:pt idx="2">
                  <c:v>22.088013499353419</c:v>
                </c:pt>
                <c:pt idx="3">
                  <c:v>26.85832162258512</c:v>
                </c:pt>
                <c:pt idx="4">
                  <c:v>27.336802413057644</c:v>
                </c:pt>
                <c:pt idx="5">
                  <c:v>33.630545820756133</c:v>
                </c:pt>
                <c:pt idx="6">
                  <c:v>36.165910882608884</c:v>
                </c:pt>
                <c:pt idx="7">
                  <c:v>36.568623854950893</c:v>
                </c:pt>
                <c:pt idx="8">
                  <c:v>37.660764169249539</c:v>
                </c:pt>
                <c:pt idx="9">
                  <c:v>37.892476357304858</c:v>
                </c:pt>
                <c:pt idx="10">
                  <c:v>39.16824564467337</c:v>
                </c:pt>
                <c:pt idx="11">
                  <c:v>45.828530753324479</c:v>
                </c:pt>
                <c:pt idx="12">
                  <c:v>46.047674370658683</c:v>
                </c:pt>
                <c:pt idx="13">
                  <c:v>50.445895666957426</c:v>
                </c:pt>
                <c:pt idx="14">
                  <c:v>51.697991563613677</c:v>
                </c:pt>
                <c:pt idx="15">
                  <c:v>51.76411258652297</c:v>
                </c:pt>
                <c:pt idx="16">
                  <c:v>51.838949962633244</c:v>
                </c:pt>
                <c:pt idx="17">
                  <c:v>55.253762020461259</c:v>
                </c:pt>
                <c:pt idx="18">
                  <c:v>70.665889253159037</c:v>
                </c:pt>
              </c:numCache>
            </c:numRef>
          </c:val>
          <c:extLst>
            <c:ext xmlns:c16="http://schemas.microsoft.com/office/drawing/2014/chart" uri="{C3380CC4-5D6E-409C-BE32-E72D297353CC}">
              <c16:uniqueId val="{00000005-8DA0-4956-9F42-9AF380A405CC}"/>
            </c:ext>
          </c:extLst>
        </c:ser>
        <c:dLbls>
          <c:showLegendKey val="0"/>
          <c:showVal val="0"/>
          <c:showCatName val="0"/>
          <c:showSerName val="0"/>
          <c:showPercent val="0"/>
          <c:showBubbleSize val="0"/>
        </c:dLbls>
        <c:gapWidth val="40"/>
        <c:axId val="742069512"/>
        <c:axId val="742069904"/>
      </c:barChart>
      <c:catAx>
        <c:axId val="742069512"/>
        <c:scaling>
          <c:orientation val="minMax"/>
        </c:scaling>
        <c:delete val="0"/>
        <c:axPos val="l"/>
        <c:numFmt formatCode="General" sourceLinked="1"/>
        <c:majorTickMark val="out"/>
        <c:minorTickMark val="none"/>
        <c:tickLblPos val="nextTo"/>
        <c:txPr>
          <a:bodyPr rot="0" vert="horz"/>
          <a:lstStyle/>
          <a:p>
            <a:pPr>
              <a:defRPr/>
            </a:pPr>
            <a:endParaRPr lang="lv-LV"/>
          </a:p>
        </c:txPr>
        <c:crossAx val="742069904"/>
        <c:crosses val="autoZero"/>
        <c:auto val="1"/>
        <c:lblAlgn val="ctr"/>
        <c:lblOffset val="100"/>
        <c:noMultiLvlLbl val="0"/>
      </c:catAx>
      <c:valAx>
        <c:axId val="742069904"/>
        <c:scaling>
          <c:orientation val="minMax"/>
          <c:max val="80"/>
          <c:min val="0"/>
        </c:scaling>
        <c:delete val="0"/>
        <c:axPos val="b"/>
        <c:numFmt formatCode="0" sourceLinked="0"/>
        <c:majorTickMark val="out"/>
        <c:minorTickMark val="none"/>
        <c:tickLblPos val="nextTo"/>
        <c:spPr>
          <a:ln>
            <a:noFill/>
          </a:ln>
        </c:spPr>
        <c:crossAx val="742069512"/>
        <c:crosses val="autoZero"/>
        <c:crossBetween val="between"/>
        <c:majorUnit val="20"/>
        <c:minorUnit val="3"/>
      </c:valAx>
    </c:plotArea>
    <c:plotVisOnly val="1"/>
    <c:dispBlanksAs val="zero"/>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userShapes r:id="rId2"/>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68202015817482564"/>
          <c:h val="0.84650971113174212"/>
        </c:manualLayout>
      </c:layout>
      <c:lineChart>
        <c:grouping val="standard"/>
        <c:varyColors val="0"/>
        <c:ser>
          <c:idx val="0"/>
          <c:order val="0"/>
          <c:tx>
            <c:strRef>
              <c:f>Sheet1!$E$1</c:f>
              <c:strCache>
                <c:ptCount val="1"/>
                <c:pt idx="0">
                  <c:v>Ar pamata izglītību </c:v>
                </c:pt>
              </c:strCache>
            </c:strRef>
          </c:tx>
          <c:marker>
            <c:symbol val="none"/>
          </c:marker>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Sheet1!$E$2:$E$15</c:f>
              <c:numCache>
                <c:formatCode>0.0</c:formatCode>
                <c:ptCount val="14"/>
                <c:pt idx="0">
                  <c:v>15.448275862068964</c:v>
                </c:pt>
                <c:pt idx="1">
                  <c:v>31.036983321247273</c:v>
                </c:pt>
                <c:pt idx="2">
                  <c:v>32.880203908241299</c:v>
                </c:pt>
                <c:pt idx="3">
                  <c:v>29.217391304347828</c:v>
                </c:pt>
                <c:pt idx="4">
                  <c:v>26.615969581749049</c:v>
                </c:pt>
                <c:pt idx="5">
                  <c:v>25.077399380804955</c:v>
                </c:pt>
                <c:pt idx="6">
                  <c:v>23.948220064724918</c:v>
                </c:pt>
                <c:pt idx="7">
                  <c:v>21.964679911699779</c:v>
                </c:pt>
                <c:pt idx="8">
                  <c:v>20.677570093457945</c:v>
                </c:pt>
                <c:pt idx="9">
                  <c:v>18.794326241134755</c:v>
                </c:pt>
                <c:pt idx="10">
                  <c:v>16.419753086419753</c:v>
                </c:pt>
                <c:pt idx="11">
                  <c:v>13.665389527458494</c:v>
                </c:pt>
                <c:pt idx="12">
                  <c:v>18.356867779204109</c:v>
                </c:pt>
                <c:pt idx="13">
                  <c:v>14.503816793893129</c:v>
                </c:pt>
              </c:numCache>
            </c:numRef>
          </c:val>
          <c:smooth val="0"/>
          <c:extLst>
            <c:ext xmlns:c16="http://schemas.microsoft.com/office/drawing/2014/chart" uri="{C3380CC4-5D6E-409C-BE32-E72D297353CC}">
              <c16:uniqueId val="{00000000-5954-46A3-8D77-77D0DDE2284C}"/>
            </c:ext>
          </c:extLst>
        </c:ser>
        <c:ser>
          <c:idx val="2"/>
          <c:order val="1"/>
          <c:tx>
            <c:strRef>
              <c:f>Sheet1!$D$1</c:f>
              <c:strCache>
                <c:ptCount val="1"/>
                <c:pt idx="0">
                  <c:v>Ar vidējo vispārējo izglītību</c:v>
                </c:pt>
              </c:strCache>
            </c:strRef>
          </c:tx>
          <c:spPr>
            <a:ln w="28575" cap="rnd" cmpd="sng" algn="ctr">
              <a:solidFill>
                <a:schemeClr val="accent3">
                  <a:shade val="95000"/>
                  <a:satMod val="105000"/>
                </a:schemeClr>
              </a:solidFill>
              <a:prstDash val="solid"/>
              <a:round/>
            </a:ln>
            <a:effectLst/>
          </c:spPr>
          <c:marker>
            <c:symbol val="none"/>
          </c:marker>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Sheet1!$D$2:$D$15</c:f>
              <c:numCache>
                <c:formatCode>0.0</c:formatCode>
                <c:ptCount val="14"/>
                <c:pt idx="0">
                  <c:v>8.3391730903994397</c:v>
                </c:pt>
                <c:pt idx="1">
                  <c:v>21.562389536938849</c:v>
                </c:pt>
                <c:pt idx="2">
                  <c:v>23.796992481203006</c:v>
                </c:pt>
                <c:pt idx="3">
                  <c:v>21.563126252505008</c:v>
                </c:pt>
                <c:pt idx="4">
                  <c:v>20.135296458416235</c:v>
                </c:pt>
                <c:pt idx="5">
                  <c:v>15.004055150040552</c:v>
                </c:pt>
                <c:pt idx="6">
                  <c:v>13.305954825462013</c:v>
                </c:pt>
                <c:pt idx="7">
                  <c:v>12.084592145015106</c:v>
                </c:pt>
                <c:pt idx="8">
                  <c:v>13.270142180094787</c:v>
                </c:pt>
                <c:pt idx="9">
                  <c:v>12.085691188358933</c:v>
                </c:pt>
                <c:pt idx="10">
                  <c:v>9.626320064987814</c:v>
                </c:pt>
                <c:pt idx="11">
                  <c:v>7.0622649394066013</c:v>
                </c:pt>
                <c:pt idx="12">
                  <c:v>9.330985915492958</c:v>
                </c:pt>
                <c:pt idx="13">
                  <c:v>10.379746835443038</c:v>
                </c:pt>
              </c:numCache>
            </c:numRef>
          </c:val>
          <c:smooth val="0"/>
          <c:extLst>
            <c:ext xmlns:c16="http://schemas.microsoft.com/office/drawing/2014/chart" uri="{C3380CC4-5D6E-409C-BE32-E72D297353CC}">
              <c16:uniqueId val="{00000001-5954-46A3-8D77-77D0DDE2284C}"/>
            </c:ext>
          </c:extLst>
        </c:ser>
        <c:ser>
          <c:idx val="4"/>
          <c:order val="2"/>
          <c:tx>
            <c:strRef>
              <c:f>Sheet1!$C$1</c:f>
              <c:strCache>
                <c:ptCount val="1"/>
                <c:pt idx="0">
                  <c:v>Ar vidējo profesionālo izglītību</c:v>
                </c:pt>
              </c:strCache>
            </c:strRef>
          </c:tx>
          <c:spPr>
            <a:ln w="28575" cap="rnd" cmpd="sng" algn="ctr">
              <a:solidFill>
                <a:schemeClr val="accent5">
                  <a:shade val="95000"/>
                  <a:satMod val="105000"/>
                </a:schemeClr>
              </a:solidFill>
              <a:prstDash val="solid"/>
              <a:round/>
            </a:ln>
            <a:effectLst/>
          </c:spPr>
          <c:marker>
            <c:symbol val="none"/>
          </c:marker>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Sheet1!$C$2:$C$15</c:f>
              <c:numCache>
                <c:formatCode>0.0</c:formatCode>
                <c:ptCount val="14"/>
                <c:pt idx="0">
                  <c:v>7.708172209332302</c:v>
                </c:pt>
                <c:pt idx="1">
                  <c:v>16.974833076527993</c:v>
                </c:pt>
                <c:pt idx="2">
                  <c:v>19.166445447305549</c:v>
                </c:pt>
                <c:pt idx="3">
                  <c:v>15.961272475795299</c:v>
                </c:pt>
                <c:pt idx="4">
                  <c:v>15.780542986425338</c:v>
                </c:pt>
                <c:pt idx="5">
                  <c:v>11.673615247170936</c:v>
                </c:pt>
                <c:pt idx="6">
                  <c:v>10.496580434136186</c:v>
                </c:pt>
                <c:pt idx="7">
                  <c:v>9.9852724594992637</c:v>
                </c:pt>
                <c:pt idx="8">
                  <c:v>9.8822800495662939</c:v>
                </c:pt>
                <c:pt idx="9">
                  <c:v>8.6522462562396019</c:v>
                </c:pt>
                <c:pt idx="10">
                  <c:v>7.5852931434249742</c:v>
                </c:pt>
                <c:pt idx="11">
                  <c:v>7.0907194994786229</c:v>
                </c:pt>
                <c:pt idx="12">
                  <c:v>8.2957306490801805</c:v>
                </c:pt>
                <c:pt idx="13">
                  <c:v>7.8498293515358366</c:v>
                </c:pt>
              </c:numCache>
            </c:numRef>
          </c:val>
          <c:smooth val="0"/>
          <c:extLst>
            <c:ext xmlns:c16="http://schemas.microsoft.com/office/drawing/2014/chart" uri="{C3380CC4-5D6E-409C-BE32-E72D297353CC}">
              <c16:uniqueId val="{00000002-5954-46A3-8D77-77D0DDE2284C}"/>
            </c:ext>
          </c:extLst>
        </c:ser>
        <c:ser>
          <c:idx val="5"/>
          <c:order val="3"/>
          <c:tx>
            <c:strRef>
              <c:f>Sheet1!$B$1</c:f>
              <c:strCache>
                <c:ptCount val="1"/>
                <c:pt idx="0">
                  <c:v>Ar augstāko izglītību</c:v>
                </c:pt>
              </c:strCache>
            </c:strRef>
          </c:tx>
          <c:spPr>
            <a:ln w="28575" cap="rnd" cmpd="sng" algn="ctr">
              <a:solidFill>
                <a:schemeClr val="accent6">
                  <a:shade val="95000"/>
                  <a:satMod val="105000"/>
                </a:schemeClr>
              </a:solidFill>
              <a:prstDash val="solid"/>
              <a:round/>
            </a:ln>
            <a:effectLst/>
          </c:spPr>
          <c:marker>
            <c:symbol val="none"/>
          </c:marker>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Sheet1!$B$2:$B$15</c:f>
              <c:numCache>
                <c:formatCode>0.0</c:formatCode>
                <c:ptCount val="14"/>
                <c:pt idx="0">
                  <c:v>4.3072505384063167</c:v>
                </c:pt>
                <c:pt idx="1">
                  <c:v>7.869415807560137</c:v>
                </c:pt>
                <c:pt idx="2">
                  <c:v>10.656292286874153</c:v>
                </c:pt>
                <c:pt idx="3">
                  <c:v>7.1215634315998688</c:v>
                </c:pt>
                <c:pt idx="4">
                  <c:v>6.4314704964096165</c:v>
                </c:pt>
                <c:pt idx="5">
                  <c:v>5.9192825112107625</c:v>
                </c:pt>
                <c:pt idx="6">
                  <c:v>5.5520702634880799</c:v>
                </c:pt>
                <c:pt idx="7">
                  <c:v>4.9516908212560384</c:v>
                </c:pt>
                <c:pt idx="8">
                  <c:v>4.2737510828761192</c:v>
                </c:pt>
                <c:pt idx="9">
                  <c:v>3.8972286374133955</c:v>
                </c:pt>
                <c:pt idx="10">
                  <c:v>3.6637318943481962</c:v>
                </c:pt>
                <c:pt idx="11">
                  <c:v>3.6095159967186214</c:v>
                </c:pt>
                <c:pt idx="12">
                  <c:v>5.0766790058170281</c:v>
                </c:pt>
                <c:pt idx="13">
                  <c:v>4.6487057580559963</c:v>
                </c:pt>
              </c:numCache>
            </c:numRef>
          </c:val>
          <c:smooth val="0"/>
          <c:extLst>
            <c:ext xmlns:c16="http://schemas.microsoft.com/office/drawing/2014/chart" uri="{C3380CC4-5D6E-409C-BE32-E72D297353CC}">
              <c16:uniqueId val="{00000003-5954-46A3-8D77-77D0DDE2284C}"/>
            </c:ext>
          </c:extLst>
        </c:ser>
        <c:dLbls>
          <c:showLegendKey val="0"/>
          <c:showVal val="0"/>
          <c:showCatName val="0"/>
          <c:showSerName val="0"/>
          <c:showPercent val="0"/>
          <c:showBubbleSize val="0"/>
        </c:dLbls>
        <c:smooth val="0"/>
        <c:axId val="742065592"/>
        <c:axId val="742062848"/>
      </c:lineChart>
      <c:catAx>
        <c:axId val="742065592"/>
        <c:scaling>
          <c:orientation val="minMax"/>
        </c:scaling>
        <c:delete val="0"/>
        <c:axPos val="b"/>
        <c:numFmt formatCode="General" sourceLinked="1"/>
        <c:majorTickMark val="out"/>
        <c:minorTickMark val="none"/>
        <c:tickLblPos val="nextTo"/>
        <c:spPr>
          <a:noFill/>
          <a:ln w="6350" cap="flat" cmpd="sng" algn="ctr">
            <a:solidFill>
              <a:schemeClr val="tx1">
                <a:tint val="75000"/>
                <a:shade val="95000"/>
                <a:satMod val="105000"/>
              </a:schemeClr>
            </a:solidFill>
            <a:prstDash val="solid"/>
            <a:round/>
          </a:ln>
          <a:effectLst/>
        </c:spPr>
        <c:txPr>
          <a:bodyPr rot="-60000000" vert="horz"/>
          <a:lstStyle/>
          <a:p>
            <a:pPr>
              <a:defRPr/>
            </a:pPr>
            <a:endParaRPr lang="lv-LV"/>
          </a:p>
        </c:txPr>
        <c:crossAx val="742062848"/>
        <c:crosses val="autoZero"/>
        <c:auto val="1"/>
        <c:lblAlgn val="ctr"/>
        <c:lblOffset val="100"/>
        <c:noMultiLvlLbl val="0"/>
      </c:catAx>
      <c:valAx>
        <c:axId val="742062848"/>
        <c:scaling>
          <c:orientation val="minMax"/>
          <c:max val="35"/>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65592"/>
        <c:crosses val="autoZero"/>
        <c:crossBetween val="between"/>
        <c:majorUnit val="7"/>
      </c:valAx>
      <c:spPr>
        <a:solidFill>
          <a:schemeClr val="bg1"/>
        </a:solidFill>
        <a:ln>
          <a:noFill/>
        </a:ln>
        <a:effectLst/>
      </c:spPr>
    </c:plotArea>
    <c:legend>
      <c:legendPos val="l"/>
      <c:layout>
        <c:manualLayout>
          <c:xMode val="edge"/>
          <c:yMode val="edge"/>
          <c:x val="0.7346218822977888"/>
          <c:y val="4.5838301379631283E-2"/>
          <c:w val="0.25162038041826912"/>
          <c:h val="0.86916724353883879"/>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21445624148115E-2"/>
          <c:y val="4.7032080353913347E-2"/>
          <c:w val="0.84871775695609286"/>
          <c:h val="0.85388271629233659"/>
        </c:manualLayout>
      </c:layout>
      <c:lineChart>
        <c:grouping val="standard"/>
        <c:varyColors val="0"/>
        <c:ser>
          <c:idx val="2"/>
          <c:order val="0"/>
          <c:tx>
            <c:strRef>
              <c:f>Sheet1!$A$2</c:f>
              <c:strCache>
                <c:ptCount val="1"/>
                <c:pt idx="0">
                  <c:v>Ekonomiskās aktivitātes līmenis</c:v>
                </c:pt>
              </c:strCache>
            </c:strRef>
          </c:tx>
          <c:marker>
            <c:symbol val="square"/>
            <c:size val="5"/>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8"/>
                <c:pt idx="0">
                  <c:v>2010</c:v>
                </c:pt>
                <c:pt idx="1">
                  <c:v>2012</c:v>
                </c:pt>
                <c:pt idx="2">
                  <c:v>2014</c:v>
                </c:pt>
                <c:pt idx="3">
                  <c:v>2016</c:v>
                </c:pt>
                <c:pt idx="4">
                  <c:v>2018</c:v>
                </c:pt>
                <c:pt idx="5">
                  <c:v>2019</c:v>
                </c:pt>
                <c:pt idx="6">
                  <c:v>2020</c:v>
                </c:pt>
                <c:pt idx="7">
                  <c:v>2021</c:v>
                </c:pt>
              </c:strCache>
            </c:strRef>
          </c:cat>
          <c:val>
            <c:numRef>
              <c:f>Sheet1!$B$2:$M$2</c:f>
              <c:numCache>
                <c:formatCode>0</c:formatCode>
                <c:ptCount val="8"/>
                <c:pt idx="0">
                  <c:v>64.599999999999994</c:v>
                </c:pt>
                <c:pt idx="1">
                  <c:v>66.099999999999994</c:v>
                </c:pt>
                <c:pt idx="2">
                  <c:v>66.3</c:v>
                </c:pt>
                <c:pt idx="3">
                  <c:v>68.2</c:v>
                </c:pt>
                <c:pt idx="4">
                  <c:v>69.599999999999994</c:v>
                </c:pt>
                <c:pt idx="5">
                  <c:v>69.40416349599333</c:v>
                </c:pt>
                <c:pt idx="6">
                  <c:v>69.900000000000006</c:v>
                </c:pt>
                <c:pt idx="7">
                  <c:v>67.7</c:v>
                </c:pt>
              </c:numCache>
            </c:numRef>
          </c:val>
          <c:smooth val="0"/>
          <c:extLst>
            <c:ext xmlns:c16="http://schemas.microsoft.com/office/drawing/2014/chart" uri="{C3380CC4-5D6E-409C-BE32-E72D297353CC}">
              <c16:uniqueId val="{00000000-0257-4334-8567-04CFA3EB83C1}"/>
            </c:ext>
          </c:extLst>
        </c:ser>
        <c:ser>
          <c:idx val="3"/>
          <c:order val="1"/>
          <c:tx>
            <c:strRef>
              <c:f>Sheet1!$A$3</c:f>
              <c:strCache>
                <c:ptCount val="1"/>
                <c:pt idx="0">
                  <c:v>Nodarbinātības līmenis</c:v>
                </c:pt>
              </c:strCache>
            </c:strRef>
          </c:tx>
          <c:marker>
            <c:symbol val="triangle"/>
            <c:size val="5"/>
          </c:marker>
          <c:dLbls>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8"/>
                <c:pt idx="0">
                  <c:v>2010</c:v>
                </c:pt>
                <c:pt idx="1">
                  <c:v>2012</c:v>
                </c:pt>
                <c:pt idx="2">
                  <c:v>2014</c:v>
                </c:pt>
                <c:pt idx="3">
                  <c:v>2016</c:v>
                </c:pt>
                <c:pt idx="4">
                  <c:v>2018</c:v>
                </c:pt>
                <c:pt idx="5">
                  <c:v>2019</c:v>
                </c:pt>
                <c:pt idx="6">
                  <c:v>2020</c:v>
                </c:pt>
                <c:pt idx="7">
                  <c:v>2021</c:v>
                </c:pt>
              </c:strCache>
            </c:strRef>
          </c:cat>
          <c:val>
            <c:numRef>
              <c:f>Sheet1!$B$3:$M$3</c:f>
              <c:numCache>
                <c:formatCode>0</c:formatCode>
                <c:ptCount val="8"/>
                <c:pt idx="0">
                  <c:v>52</c:v>
                </c:pt>
                <c:pt idx="1">
                  <c:v>56.1</c:v>
                </c:pt>
                <c:pt idx="2">
                  <c:v>59.1</c:v>
                </c:pt>
                <c:pt idx="3">
                  <c:v>61.6</c:v>
                </c:pt>
                <c:pt idx="4">
                  <c:v>64.5</c:v>
                </c:pt>
                <c:pt idx="5">
                  <c:v>65.02256090372228</c:v>
                </c:pt>
                <c:pt idx="6">
                  <c:v>64.2</c:v>
                </c:pt>
                <c:pt idx="7">
                  <c:v>62.5</c:v>
                </c:pt>
              </c:numCache>
            </c:numRef>
          </c:val>
          <c:smooth val="0"/>
          <c:extLst>
            <c:ext xmlns:c16="http://schemas.microsoft.com/office/drawing/2014/chart" uri="{C3380CC4-5D6E-409C-BE32-E72D297353CC}">
              <c16:uniqueId val="{00000001-0257-4334-8567-04CFA3EB83C1}"/>
            </c:ext>
          </c:extLst>
        </c:ser>
        <c:dLbls>
          <c:showLegendKey val="0"/>
          <c:showVal val="0"/>
          <c:showCatName val="0"/>
          <c:showSerName val="0"/>
          <c:showPercent val="0"/>
          <c:showBubbleSize val="0"/>
        </c:dLbls>
        <c:marker val="1"/>
        <c:smooth val="0"/>
        <c:axId val="742141248"/>
        <c:axId val="742147912"/>
      </c:lineChart>
      <c:catAx>
        <c:axId val="742141248"/>
        <c:scaling>
          <c:orientation val="minMax"/>
        </c:scaling>
        <c:delete val="0"/>
        <c:axPos val="b"/>
        <c:numFmt formatCode="General" sourceLinked="1"/>
        <c:majorTickMark val="out"/>
        <c:minorTickMark val="none"/>
        <c:tickLblPos val="low"/>
        <c:txPr>
          <a:bodyPr rot="0" vert="horz"/>
          <a:lstStyle/>
          <a:p>
            <a:pPr>
              <a:defRPr/>
            </a:pPr>
            <a:endParaRPr lang="lv-LV"/>
          </a:p>
        </c:txPr>
        <c:crossAx val="742147912"/>
        <c:crosses val="autoZero"/>
        <c:auto val="0"/>
        <c:lblAlgn val="ctr"/>
        <c:lblOffset val="0"/>
        <c:noMultiLvlLbl val="1"/>
      </c:catAx>
      <c:valAx>
        <c:axId val="742147912"/>
        <c:scaling>
          <c:orientation val="minMax"/>
          <c:min val="50"/>
        </c:scaling>
        <c:delete val="0"/>
        <c:axPos val="l"/>
        <c:numFmt formatCode="0" sourceLinked="0"/>
        <c:majorTickMark val="out"/>
        <c:minorTickMark val="none"/>
        <c:tickLblPos val="nextTo"/>
        <c:spPr>
          <a:ln w="3175">
            <a:noFill/>
          </a:ln>
        </c:spPr>
        <c:txPr>
          <a:bodyPr rot="0" vert="horz"/>
          <a:lstStyle/>
          <a:p>
            <a:pPr>
              <a:defRPr/>
            </a:pPr>
            <a:endParaRPr lang="lv-LV"/>
          </a:p>
        </c:txPr>
        <c:crossAx val="742141248"/>
        <c:crosses val="autoZero"/>
        <c:crossBetween val="between"/>
        <c:majorUnit val="5"/>
      </c:valAx>
      <c:spPr>
        <a:noFill/>
        <a:ln w="24631">
          <a:noFill/>
        </a:ln>
      </c:spPr>
    </c:plotArea>
    <c:legend>
      <c:legendPos val="l"/>
      <c:layout>
        <c:manualLayout>
          <c:xMode val="edge"/>
          <c:yMode val="edge"/>
          <c:x val="0.26000989677833819"/>
          <c:y val="0.68302467778119913"/>
          <c:w val="0.68671904435319342"/>
          <c:h val="0.15878516508576682"/>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27712743131443E-2"/>
          <c:y val="3.3478893740902474E-2"/>
          <c:w val="0.9026045711653381"/>
          <c:h val="0.72218407277155627"/>
        </c:manualLayout>
      </c:layout>
      <c:barChart>
        <c:barDir val="col"/>
        <c:grouping val="clustered"/>
        <c:varyColors val="0"/>
        <c:ser>
          <c:idx val="0"/>
          <c:order val="0"/>
          <c:tx>
            <c:strRef>
              <c:f>Sheet1!$B$1</c:f>
              <c:strCache>
                <c:ptCount val="1"/>
                <c:pt idx="0">
                  <c:v>Profesiju kvalifikācijas pakāpe</c:v>
                </c:pt>
              </c:strCache>
            </c:strRef>
          </c:tx>
          <c:spPr>
            <a:solidFill>
              <a:schemeClr val="accent2"/>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Sheet1!$B$2:$B$4</c:f>
              <c:numCache>
                <c:formatCode>0.0</c:formatCode>
                <c:ptCount val="3"/>
                <c:pt idx="0">
                  <c:v>383.99759172500012</c:v>
                </c:pt>
                <c:pt idx="1">
                  <c:v>364.21477655000007</c:v>
                </c:pt>
                <c:pt idx="2">
                  <c:v>108.82332607499995</c:v>
                </c:pt>
              </c:numCache>
            </c:numRef>
          </c:val>
          <c:extLst>
            <c:ext xmlns:c16="http://schemas.microsoft.com/office/drawing/2014/chart" uri="{C3380CC4-5D6E-409C-BE32-E72D297353CC}">
              <c16:uniqueId val="{00000000-5FE0-4421-83E9-072090A28155}"/>
            </c:ext>
          </c:extLst>
        </c:ser>
        <c:ser>
          <c:idx val="1"/>
          <c:order val="1"/>
          <c:tx>
            <c:strRef>
              <c:f>Sheet1!$C$1</c:f>
              <c:strCache>
                <c:ptCount val="1"/>
                <c:pt idx="0">
                  <c:v>Izglītības līmenis</c:v>
                </c:pt>
              </c:strCache>
            </c:strRef>
          </c:tx>
          <c:spPr>
            <a:solidFill>
              <a:schemeClr val="accent4">
                <a:lumMod val="60000"/>
                <a:lumOff val="40000"/>
              </a:schemeClr>
            </a:solidFill>
          </c:spPr>
          <c:invertIfNegative val="0"/>
          <c:cat>
            <c:strRef>
              <c:f>Sheet1!$A$2:$A$4</c:f>
              <c:strCache>
                <c:ptCount val="3"/>
                <c:pt idx="0">
                  <c:v>Augstas kvalifikācijas profesijas / augstākā izglītība</c:v>
                </c:pt>
                <c:pt idx="1">
                  <c:v>Vidējas kvalifikācijas profesijas / vidējā izglītība</c:v>
                </c:pt>
                <c:pt idx="2">
                  <c:v>Zemas kvalifikācijas profesijas / pamatizglītība un zemāka izglītība</c:v>
                </c:pt>
              </c:strCache>
            </c:strRef>
          </c:cat>
          <c:val>
            <c:numRef>
              <c:f>Sheet1!$C$2:$C$4</c:f>
              <c:numCache>
                <c:formatCode>0.0</c:formatCode>
                <c:ptCount val="3"/>
                <c:pt idx="0">
                  <c:v>360.99119155000022</c:v>
                </c:pt>
                <c:pt idx="1">
                  <c:v>440.75267120000001</c:v>
                </c:pt>
                <c:pt idx="2">
                  <c:v>62.164044825000005</c:v>
                </c:pt>
              </c:numCache>
            </c:numRef>
          </c:val>
          <c:extLst>
            <c:ext xmlns:c16="http://schemas.microsoft.com/office/drawing/2014/chart" uri="{C3380CC4-5D6E-409C-BE32-E72D297353CC}">
              <c16:uniqueId val="{00000001-5FE0-4421-83E9-072090A28155}"/>
            </c:ext>
          </c:extLst>
        </c:ser>
        <c:dLbls>
          <c:showLegendKey val="0"/>
          <c:showVal val="0"/>
          <c:showCatName val="0"/>
          <c:showSerName val="0"/>
          <c:showPercent val="0"/>
          <c:showBubbleSize val="0"/>
        </c:dLbls>
        <c:gapWidth val="180"/>
        <c:axId val="742066376"/>
        <c:axId val="742085192"/>
      </c:barChart>
      <c:catAx>
        <c:axId val="742066376"/>
        <c:scaling>
          <c:orientation val="minMax"/>
        </c:scaling>
        <c:delete val="0"/>
        <c:axPos val="b"/>
        <c:numFmt formatCode="General" sourceLinked="1"/>
        <c:majorTickMark val="out"/>
        <c:minorTickMark val="none"/>
        <c:tickLblPos val="nextTo"/>
        <c:spPr>
          <a:ln w="3175"/>
        </c:spPr>
        <c:txPr>
          <a:bodyPr/>
          <a:lstStyle/>
          <a:p>
            <a:pPr algn="just">
              <a:defRPr/>
            </a:pPr>
            <a:endParaRPr lang="lv-LV"/>
          </a:p>
        </c:txPr>
        <c:crossAx val="742085192"/>
        <c:crosses val="autoZero"/>
        <c:auto val="1"/>
        <c:lblAlgn val="ctr"/>
        <c:lblOffset val="100"/>
        <c:tickLblSkip val="1"/>
        <c:noMultiLvlLbl val="0"/>
      </c:catAx>
      <c:valAx>
        <c:axId val="742085192"/>
        <c:scaling>
          <c:orientation val="minMax"/>
        </c:scaling>
        <c:delete val="0"/>
        <c:axPos val="l"/>
        <c:numFmt formatCode="0" sourceLinked="0"/>
        <c:majorTickMark val="out"/>
        <c:minorTickMark val="none"/>
        <c:tickLblPos val="nextTo"/>
        <c:spPr>
          <a:ln w="3175">
            <a:noFill/>
          </a:ln>
        </c:spPr>
        <c:crossAx val="742066376"/>
        <c:crosses val="autoZero"/>
        <c:crossBetween val="between"/>
        <c:majorUnit val="150"/>
      </c:valAx>
    </c:plotArea>
    <c:legend>
      <c:legendPos val="r"/>
      <c:layout>
        <c:manualLayout>
          <c:xMode val="edge"/>
          <c:yMode val="edge"/>
          <c:x val="0.13397025757667835"/>
          <c:y val="3.5538412741041886E-2"/>
          <c:w val="0.73039057548897901"/>
          <c:h val="0.12102091325617524"/>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a:t>Augstākā izglītība</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47297757617254366"/>
          <c:y val="0.112109103428362"/>
          <c:w val="0.44738879254320296"/>
          <c:h val="0.70382728252057347"/>
        </c:manualLayout>
      </c:layout>
      <c:barChart>
        <c:barDir val="bar"/>
        <c:grouping val="stacked"/>
        <c:varyColors val="0"/>
        <c:ser>
          <c:idx val="0"/>
          <c:order val="0"/>
          <c:tx>
            <c:strRef>
              <c:f>Sheet1!$B$19</c:f>
              <c:strCache>
                <c:ptCount val="1"/>
                <c:pt idx="0">
                  <c:v>1. līmeņa profesionālā augstākā izglītība</c:v>
                </c:pt>
              </c:strCache>
            </c:strRef>
          </c:tx>
          <c:spPr>
            <a:solidFill>
              <a:schemeClr val="accent1"/>
            </a:solidFill>
            <a:ln>
              <a:noFill/>
            </a:ln>
            <a:effectLst/>
          </c:spPr>
          <c:invertIfNegative val="0"/>
          <c:cat>
            <c:strRef>
              <c:f>Sheet1!$A$20:$A$27</c:f>
              <c:strCache>
                <c:ptCount val="8"/>
                <c:pt idx="0">
                  <c:v>Veselības aprūpe un sociālā labklājība</c:v>
                </c:pt>
                <c:pt idx="1">
                  <c:v>Izglītība</c:v>
                </c:pt>
                <c:pt idx="2">
                  <c:v>Dabaszinātnes, matemātika un informācijas tehnoloģijas</c:v>
                </c:pt>
                <c:pt idx="3">
                  <c:v>Inženierzinātnes, ražošana un būvniecība</c:v>
                </c:pt>
                <c:pt idx="4">
                  <c:v>Pakalpojumi</c:v>
                </c:pt>
                <c:pt idx="5">
                  <c:v>Lauksaimniecība</c:v>
                </c:pt>
                <c:pt idx="6">
                  <c:v>Sociālās zinātnes, komerczinības un tiesības</c:v>
                </c:pt>
                <c:pt idx="7">
                  <c:v>Humanitārās zinātnes un māksla</c:v>
                </c:pt>
              </c:strCache>
            </c:strRef>
          </c:cat>
          <c:val>
            <c:numRef>
              <c:f>Sheet1!$B$20:$B$27</c:f>
              <c:numCache>
                <c:formatCode>0.00%</c:formatCode>
                <c:ptCount val="8"/>
                <c:pt idx="0">
                  <c:v>1.0999999999999999E-2</c:v>
                </c:pt>
                <c:pt idx="1">
                  <c:v>8.0000000000000002E-3</c:v>
                </c:pt>
                <c:pt idx="2">
                  <c:v>8.9999999999999993E-3</c:v>
                </c:pt>
                <c:pt idx="3">
                  <c:v>0.01</c:v>
                </c:pt>
                <c:pt idx="4">
                  <c:v>8.9999999999999993E-3</c:v>
                </c:pt>
                <c:pt idx="5">
                  <c:v>0.01</c:v>
                </c:pt>
                <c:pt idx="6">
                  <c:v>1.7000000000000001E-2</c:v>
                </c:pt>
                <c:pt idx="7">
                  <c:v>1E-3</c:v>
                </c:pt>
              </c:numCache>
            </c:numRef>
          </c:val>
          <c:extLst>
            <c:ext xmlns:c16="http://schemas.microsoft.com/office/drawing/2014/chart" uri="{C3380CC4-5D6E-409C-BE32-E72D297353CC}">
              <c16:uniqueId val="{00000000-2F67-4A35-954E-7267BB2BC788}"/>
            </c:ext>
          </c:extLst>
        </c:ser>
        <c:ser>
          <c:idx val="1"/>
          <c:order val="1"/>
          <c:tx>
            <c:strRef>
              <c:f>Sheet1!$C$19</c:f>
              <c:strCache>
                <c:ptCount val="1"/>
                <c:pt idx="0">
                  <c:v>Akadēmiskā un profesionālā bakalaura grāds</c:v>
                </c:pt>
              </c:strCache>
            </c:strRef>
          </c:tx>
          <c:spPr>
            <a:solidFill>
              <a:schemeClr val="accent2"/>
            </a:solidFill>
            <a:ln>
              <a:noFill/>
            </a:ln>
            <a:effectLst/>
          </c:spPr>
          <c:invertIfNegative val="0"/>
          <c:cat>
            <c:strRef>
              <c:f>Sheet1!$A$20:$A$27</c:f>
              <c:strCache>
                <c:ptCount val="8"/>
                <c:pt idx="0">
                  <c:v>Veselības aprūpe un sociālā labklājība</c:v>
                </c:pt>
                <c:pt idx="1">
                  <c:v>Izglītība</c:v>
                </c:pt>
                <c:pt idx="2">
                  <c:v>Dabaszinātnes, matemātika un informācijas tehnoloģijas</c:v>
                </c:pt>
                <c:pt idx="3">
                  <c:v>Inženierzinātnes, ražošana un būvniecība</c:v>
                </c:pt>
                <c:pt idx="4">
                  <c:v>Pakalpojumi</c:v>
                </c:pt>
                <c:pt idx="5">
                  <c:v>Lauksaimniecība</c:v>
                </c:pt>
                <c:pt idx="6">
                  <c:v>Sociālās zinātnes, komerczinības un tiesības</c:v>
                </c:pt>
                <c:pt idx="7">
                  <c:v>Humanitārās zinātnes un māksla</c:v>
                </c:pt>
              </c:strCache>
            </c:strRef>
          </c:cat>
          <c:val>
            <c:numRef>
              <c:f>Sheet1!$C$20:$C$27</c:f>
              <c:numCache>
                <c:formatCode>0.00%</c:formatCode>
                <c:ptCount val="8"/>
                <c:pt idx="0">
                  <c:v>8.0000000000000002E-3</c:v>
                </c:pt>
                <c:pt idx="1">
                  <c:v>1.6E-2</c:v>
                </c:pt>
                <c:pt idx="2">
                  <c:v>0.02</c:v>
                </c:pt>
                <c:pt idx="3">
                  <c:v>2.5000000000000001E-2</c:v>
                </c:pt>
                <c:pt idx="4">
                  <c:v>3.7999999999999999E-2</c:v>
                </c:pt>
                <c:pt idx="5">
                  <c:v>0.04</c:v>
                </c:pt>
                <c:pt idx="6">
                  <c:v>3.6999999999999998E-2</c:v>
                </c:pt>
                <c:pt idx="7">
                  <c:v>5.2999999999999999E-2</c:v>
                </c:pt>
              </c:numCache>
            </c:numRef>
          </c:val>
          <c:extLst>
            <c:ext xmlns:c16="http://schemas.microsoft.com/office/drawing/2014/chart" uri="{C3380CC4-5D6E-409C-BE32-E72D297353CC}">
              <c16:uniqueId val="{00000001-2F67-4A35-954E-7267BB2BC788}"/>
            </c:ext>
          </c:extLst>
        </c:ser>
        <c:ser>
          <c:idx val="2"/>
          <c:order val="2"/>
          <c:tx>
            <c:strRef>
              <c:f>Sheet1!$D$19</c:f>
              <c:strCache>
                <c:ptCount val="1"/>
                <c:pt idx="0">
                  <c:v>Akadēmiskā un profesionālā maģistra grāds</c:v>
                </c:pt>
              </c:strCache>
            </c:strRef>
          </c:tx>
          <c:spPr>
            <a:solidFill>
              <a:schemeClr val="accent3"/>
            </a:solidFill>
            <a:ln>
              <a:noFill/>
            </a:ln>
            <a:effectLst/>
          </c:spPr>
          <c:invertIfNegative val="0"/>
          <c:cat>
            <c:strRef>
              <c:f>Sheet1!$A$20:$A$27</c:f>
              <c:strCache>
                <c:ptCount val="8"/>
                <c:pt idx="0">
                  <c:v>Veselības aprūpe un sociālā labklājība</c:v>
                </c:pt>
                <c:pt idx="1">
                  <c:v>Izglītība</c:v>
                </c:pt>
                <c:pt idx="2">
                  <c:v>Dabaszinātnes, matemātika un informācijas tehnoloģijas</c:v>
                </c:pt>
                <c:pt idx="3">
                  <c:v>Inženierzinātnes, ražošana un būvniecība</c:v>
                </c:pt>
                <c:pt idx="4">
                  <c:v>Pakalpojumi</c:v>
                </c:pt>
                <c:pt idx="5">
                  <c:v>Lauksaimniecība</c:v>
                </c:pt>
                <c:pt idx="6">
                  <c:v>Sociālās zinātnes, komerczinības un tiesības</c:v>
                </c:pt>
                <c:pt idx="7">
                  <c:v>Humanitārās zinātnes un māksla</c:v>
                </c:pt>
              </c:strCache>
            </c:strRef>
          </c:cat>
          <c:val>
            <c:numRef>
              <c:f>Sheet1!$D$20:$D$27</c:f>
              <c:numCache>
                <c:formatCode>0.00%</c:formatCode>
                <c:ptCount val="8"/>
                <c:pt idx="0">
                  <c:v>5.0000000000000001E-3</c:v>
                </c:pt>
                <c:pt idx="1">
                  <c:v>7.0000000000000001E-3</c:v>
                </c:pt>
                <c:pt idx="2">
                  <c:v>5.0000000000000001E-3</c:v>
                </c:pt>
                <c:pt idx="3">
                  <c:v>8.0000000000000002E-3</c:v>
                </c:pt>
                <c:pt idx="4">
                  <c:v>7.0000000000000001E-3</c:v>
                </c:pt>
                <c:pt idx="5">
                  <c:v>0.01</c:v>
                </c:pt>
                <c:pt idx="6">
                  <c:v>8.9999999999999993E-3</c:v>
                </c:pt>
                <c:pt idx="7">
                  <c:v>1.4E-2</c:v>
                </c:pt>
              </c:numCache>
            </c:numRef>
          </c:val>
          <c:extLst>
            <c:ext xmlns:c16="http://schemas.microsoft.com/office/drawing/2014/chart" uri="{C3380CC4-5D6E-409C-BE32-E72D297353CC}">
              <c16:uniqueId val="{00000002-2F67-4A35-954E-7267BB2BC788}"/>
            </c:ext>
          </c:extLst>
        </c:ser>
        <c:ser>
          <c:idx val="3"/>
          <c:order val="3"/>
          <c:tx>
            <c:strRef>
              <c:f>Sheet1!$E$19</c:f>
              <c:strCache>
                <c:ptCount val="1"/>
                <c:pt idx="0">
                  <c:v>Doktora grāds</c:v>
                </c:pt>
              </c:strCache>
            </c:strRef>
          </c:tx>
          <c:spPr>
            <a:solidFill>
              <a:schemeClr val="accent4"/>
            </a:solidFill>
            <a:ln>
              <a:noFill/>
            </a:ln>
            <a:effectLst/>
          </c:spPr>
          <c:invertIfNegative val="0"/>
          <c:cat>
            <c:strRef>
              <c:f>Sheet1!$A$20:$A$27</c:f>
              <c:strCache>
                <c:ptCount val="8"/>
                <c:pt idx="0">
                  <c:v>Veselības aprūpe un sociālā labklājība</c:v>
                </c:pt>
                <c:pt idx="1">
                  <c:v>Izglītība</c:v>
                </c:pt>
                <c:pt idx="2">
                  <c:v>Dabaszinātnes, matemātika un informācijas tehnoloģijas</c:v>
                </c:pt>
                <c:pt idx="3">
                  <c:v>Inženierzinātnes, ražošana un būvniecība</c:v>
                </c:pt>
                <c:pt idx="4">
                  <c:v>Pakalpojumi</c:v>
                </c:pt>
                <c:pt idx="5">
                  <c:v>Lauksaimniecība</c:v>
                </c:pt>
                <c:pt idx="6">
                  <c:v>Sociālās zinātnes, komerczinības un tiesības</c:v>
                </c:pt>
                <c:pt idx="7">
                  <c:v>Humanitārās zinātnes un māksla</c:v>
                </c:pt>
              </c:strCache>
            </c:strRef>
          </c:cat>
          <c:val>
            <c:numRef>
              <c:f>Sheet1!$E$20:$E$27</c:f>
              <c:numCache>
                <c:formatCode>0.00%</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3-2F67-4A35-954E-7267BB2BC788}"/>
            </c:ext>
          </c:extLst>
        </c:ser>
        <c:dLbls>
          <c:showLegendKey val="0"/>
          <c:showVal val="0"/>
          <c:showCatName val="0"/>
          <c:showSerName val="0"/>
          <c:showPercent val="0"/>
          <c:showBubbleSize val="0"/>
        </c:dLbls>
        <c:gapWidth val="50"/>
        <c:overlap val="100"/>
        <c:axId val="652776248"/>
        <c:axId val="652775072"/>
      </c:barChart>
      <c:barChart>
        <c:barDir val="bar"/>
        <c:grouping val="stacked"/>
        <c:varyColors val="0"/>
        <c:ser>
          <c:idx val="4"/>
          <c:order val="4"/>
          <c:tx>
            <c:strRef>
              <c:f>Sheet1!$F$19</c:f>
              <c:strCache>
                <c:ptCount val="1"/>
                <c:pt idx="0">
                  <c:v>Kopā</c:v>
                </c:pt>
              </c:strCache>
            </c:strRef>
          </c:tx>
          <c:spPr>
            <a:noFill/>
            <a:ln>
              <a:noFill/>
            </a:ln>
            <a:effectLst/>
          </c:spPr>
          <c:invertIfNegative val="0"/>
          <c:dLbls>
            <c:dLbl>
              <c:idx val="0"/>
              <c:layout>
                <c:manualLayout>
                  <c:x val="0.1124600096629712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67-4A35-954E-7267BB2BC788}"/>
                </c:ext>
              </c:extLst>
            </c:dLbl>
            <c:dLbl>
              <c:idx val="1"/>
              <c:layout>
                <c:manualLayout>
                  <c:x val="0.13677184941434567"/>
                  <c:y val="-9.203374270857826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67-4A35-954E-7267BB2BC788}"/>
                </c:ext>
              </c:extLst>
            </c:dLbl>
            <c:dLbl>
              <c:idx val="2"/>
              <c:layout>
                <c:manualLayout>
                  <c:x val="0.1448365129731916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67-4A35-954E-7267BB2BC788}"/>
                </c:ext>
              </c:extLst>
            </c:dLbl>
            <c:dLbl>
              <c:idx val="3"/>
              <c:layout>
                <c:manualLayout>
                  <c:x val="0.16941506378866822"/>
                  <c:y val="-2.5100401606425737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8.4224873010276702E-2"/>
                      <c:h val="5.0100401606425697E-2"/>
                    </c:manualLayout>
                  </c15:layout>
                </c:ext>
                <c:ext xmlns:c16="http://schemas.microsoft.com/office/drawing/2014/chart" uri="{C3380CC4-5D6E-409C-BE32-E72D297353CC}">
                  <c16:uniqueId val="{00000007-2F67-4A35-954E-7267BB2BC788}"/>
                </c:ext>
              </c:extLst>
            </c:dLbl>
            <c:dLbl>
              <c:idx val="4"/>
              <c:layout>
                <c:manualLayout>
                  <c:x val="0.20129764563011712"/>
                  <c:y val="-9.203374270857826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67-4A35-954E-7267BB2BC788}"/>
                </c:ext>
              </c:extLst>
            </c:dLbl>
            <c:dLbl>
              <c:idx val="5"/>
              <c:layout>
                <c:manualLayout>
                  <c:x val="0.21932431020749257"/>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F67-4A35-954E-7267BB2BC788}"/>
                </c:ext>
              </c:extLst>
            </c:dLbl>
            <c:dLbl>
              <c:idx val="6"/>
              <c:layout>
                <c:manualLayout>
                  <c:x val="0.23442694663167105"/>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67-4A35-954E-7267BB2BC788}"/>
                </c:ext>
              </c:extLst>
            </c:dLbl>
            <c:dLbl>
              <c:idx val="7"/>
              <c:layout>
                <c:manualLayout>
                  <c:x val="0.26059956124887373"/>
                  <c:y val="-5.02008032128516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67-4A35-954E-7267BB2BC788}"/>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Sheet1!$A$20:$A$27</c:f>
              <c:strCache>
                <c:ptCount val="8"/>
                <c:pt idx="0">
                  <c:v>Veselības aprūpe un sociālā labklājība</c:v>
                </c:pt>
                <c:pt idx="1">
                  <c:v>Izglītība</c:v>
                </c:pt>
                <c:pt idx="2">
                  <c:v>Dabaszinātnes, matemātika un informācijas tehnoloģijas</c:v>
                </c:pt>
                <c:pt idx="3">
                  <c:v>Inženierzinātnes, ražošana un būvniecība</c:v>
                </c:pt>
                <c:pt idx="4">
                  <c:v>Pakalpojumi</c:v>
                </c:pt>
                <c:pt idx="5">
                  <c:v>Lauksaimniecība</c:v>
                </c:pt>
                <c:pt idx="6">
                  <c:v>Sociālās zinātnes, komerczinības un tiesības</c:v>
                </c:pt>
                <c:pt idx="7">
                  <c:v>Humanitārās zinātnes un māksla</c:v>
                </c:pt>
              </c:strCache>
            </c:strRef>
          </c:cat>
          <c:val>
            <c:numRef>
              <c:f>Sheet1!$F$20:$F$27</c:f>
              <c:numCache>
                <c:formatCode>0.00%</c:formatCode>
                <c:ptCount val="8"/>
                <c:pt idx="0">
                  <c:v>2.4E-2</c:v>
                </c:pt>
                <c:pt idx="1">
                  <c:v>3.1E-2</c:v>
                </c:pt>
                <c:pt idx="2">
                  <c:v>3.3999999999999996E-2</c:v>
                </c:pt>
                <c:pt idx="3">
                  <c:v>4.3000000000000003E-2</c:v>
                </c:pt>
                <c:pt idx="4">
                  <c:v>5.3999999999999999E-2</c:v>
                </c:pt>
                <c:pt idx="5">
                  <c:v>6.0000000000000005E-2</c:v>
                </c:pt>
                <c:pt idx="6">
                  <c:v>6.3E-2</c:v>
                </c:pt>
                <c:pt idx="7">
                  <c:v>6.8000000000000005E-2</c:v>
                </c:pt>
              </c:numCache>
            </c:numRef>
          </c:val>
          <c:extLst>
            <c:ext xmlns:c16="http://schemas.microsoft.com/office/drawing/2014/chart" uri="{C3380CC4-5D6E-409C-BE32-E72D297353CC}">
              <c16:uniqueId val="{0000000C-2F67-4A35-954E-7267BB2BC788}"/>
            </c:ext>
          </c:extLst>
        </c:ser>
        <c:dLbls>
          <c:showLegendKey val="0"/>
          <c:showVal val="0"/>
          <c:showCatName val="0"/>
          <c:showSerName val="0"/>
          <c:showPercent val="0"/>
          <c:showBubbleSize val="0"/>
        </c:dLbls>
        <c:gapWidth val="50"/>
        <c:overlap val="100"/>
        <c:axId val="652774288"/>
        <c:axId val="652773896"/>
      </c:barChart>
      <c:catAx>
        <c:axId val="652776248"/>
        <c:scaling>
          <c:orientation val="minMax"/>
        </c:scaling>
        <c:delete val="0"/>
        <c:axPos val="l"/>
        <c:numFmt formatCode="General" sourceLinked="1"/>
        <c:majorTickMark val="none"/>
        <c:minorTickMark val="none"/>
        <c:tickLblPos val="nextTo"/>
        <c:spPr>
          <a:noFill/>
          <a:ln w="3175" cap="flat" cmpd="sng" algn="ctr">
            <a:solidFill>
              <a:sysClr val="windowText" lastClr="000000">
                <a:tint val="75000"/>
                <a:shade val="95000"/>
                <a:satMod val="105000"/>
              </a:sys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75072"/>
        <c:crosses val="autoZero"/>
        <c:auto val="1"/>
        <c:lblAlgn val="ctr"/>
        <c:lblOffset val="100"/>
        <c:noMultiLvlLbl val="0"/>
      </c:catAx>
      <c:valAx>
        <c:axId val="652775072"/>
        <c:scaling>
          <c:orientation val="minMax"/>
          <c:max val="7.0000000000000007E-2"/>
          <c:min val="0"/>
        </c:scaling>
        <c:delete val="1"/>
        <c:axPos val="b"/>
        <c:numFmt formatCode="0%" sourceLinked="0"/>
        <c:majorTickMark val="out"/>
        <c:minorTickMark val="none"/>
        <c:tickLblPos val="nextTo"/>
        <c:crossAx val="652776248"/>
        <c:crosses val="autoZero"/>
        <c:crossBetween val="between"/>
      </c:valAx>
      <c:valAx>
        <c:axId val="652773896"/>
        <c:scaling>
          <c:orientation val="minMax"/>
        </c:scaling>
        <c:delete val="1"/>
        <c:axPos val="t"/>
        <c:numFmt formatCode="0.00%" sourceLinked="1"/>
        <c:majorTickMark val="out"/>
        <c:minorTickMark val="none"/>
        <c:tickLblPos val="nextTo"/>
        <c:crossAx val="652774288"/>
        <c:crosses val="max"/>
        <c:crossBetween val="between"/>
      </c:valAx>
      <c:catAx>
        <c:axId val="652774288"/>
        <c:scaling>
          <c:orientation val="minMax"/>
        </c:scaling>
        <c:delete val="1"/>
        <c:axPos val="l"/>
        <c:numFmt formatCode="General" sourceLinked="1"/>
        <c:majorTickMark val="out"/>
        <c:minorTickMark val="none"/>
        <c:tickLblPos val="nextTo"/>
        <c:crossAx val="652773896"/>
        <c:crosses val="autoZero"/>
        <c:auto val="1"/>
        <c:lblAlgn val="ctr"/>
        <c:lblOffset val="100"/>
        <c:noMultiLvlLbl val="0"/>
      </c:catAx>
      <c:spPr>
        <a:noFill/>
        <a:ln>
          <a:noFill/>
        </a:ln>
        <a:effectLst/>
      </c:spPr>
    </c:plotArea>
    <c:legend>
      <c:legendPos val="b"/>
      <c:legendEntry>
        <c:idx val="3"/>
        <c:delete val="1"/>
      </c:legendEntry>
      <c:legendEntry>
        <c:idx val="4"/>
        <c:delete val="1"/>
      </c:legendEntry>
      <c:layout>
        <c:manualLayout>
          <c:xMode val="edge"/>
          <c:yMode val="edge"/>
          <c:x val="0"/>
          <c:y val="0.82762635629643599"/>
          <c:w val="1"/>
          <c:h val="0.1623335517474984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a:t>Vidējā profesionālā izglītība</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50575499817979219"/>
          <c:y val="0.12992478881316305"/>
          <c:w val="0.46541549708304769"/>
          <c:h val="0.81307615959769719"/>
        </c:manualLayout>
      </c:layout>
      <c:barChart>
        <c:barDir val="bar"/>
        <c:grouping val="stacked"/>
        <c:varyColors val="0"/>
        <c:ser>
          <c:idx val="0"/>
          <c:order val="0"/>
          <c:tx>
            <c:strRef>
              <c:f>Sheet1!$B$19</c:f>
              <c:strCache>
                <c:ptCount val="1"/>
                <c:pt idx="0">
                  <c:v>Kopā</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Segoe UI Light" panose="020B0502040204020203" pitchFamily="34" charset="0"/>
                    <a:ea typeface="+mn-ea"/>
                    <a:cs typeface="Segoe UI Light" panose="020B0502040204020203"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Sheet1!$A$21:$A$27</c:f>
              <c:strCache>
                <c:ptCount val="7"/>
                <c:pt idx="0">
                  <c:v>Veselības aprūpe un sociālā labklājība</c:v>
                </c:pt>
                <c:pt idx="1">
                  <c:v>Humanitārās zinātnes un māksla</c:v>
                </c:pt>
                <c:pt idx="2">
                  <c:v>Dabaszinātnes, matemātika un informācijas tehnoloģijas</c:v>
                </c:pt>
                <c:pt idx="3">
                  <c:v>Inženierzinātnes, ražošana un būvniecība</c:v>
                </c:pt>
                <c:pt idx="4">
                  <c:v>Lauksaimniecība</c:v>
                </c:pt>
                <c:pt idx="5">
                  <c:v>Sociālās zinātnes, komerczinības un tiesības</c:v>
                </c:pt>
                <c:pt idx="6">
                  <c:v>Pakalpojumi</c:v>
                </c:pt>
              </c:strCache>
            </c:strRef>
          </c:cat>
          <c:val>
            <c:numRef>
              <c:f>Sheet1!$B$21:$B$27</c:f>
              <c:numCache>
                <c:formatCode>0.00%</c:formatCode>
                <c:ptCount val="7"/>
                <c:pt idx="0">
                  <c:v>4.2999999999999997E-2</c:v>
                </c:pt>
                <c:pt idx="1">
                  <c:v>6.5000000000000002E-2</c:v>
                </c:pt>
                <c:pt idx="2">
                  <c:v>6.6000000000000003E-2</c:v>
                </c:pt>
                <c:pt idx="3">
                  <c:v>7.6999999999999999E-2</c:v>
                </c:pt>
                <c:pt idx="4">
                  <c:v>8.1000000000000003E-2</c:v>
                </c:pt>
                <c:pt idx="5">
                  <c:v>8.5000000000000006E-2</c:v>
                </c:pt>
                <c:pt idx="6">
                  <c:v>9.2999999999999999E-2</c:v>
                </c:pt>
              </c:numCache>
            </c:numRef>
          </c:val>
          <c:extLst>
            <c:ext xmlns:c16="http://schemas.microsoft.com/office/drawing/2014/chart" uri="{C3380CC4-5D6E-409C-BE32-E72D297353CC}">
              <c16:uniqueId val="{00000000-E9C8-41FC-AD44-EE3B3237A0B3}"/>
            </c:ext>
          </c:extLst>
        </c:ser>
        <c:dLbls>
          <c:showLegendKey val="0"/>
          <c:showVal val="0"/>
          <c:showCatName val="0"/>
          <c:showSerName val="0"/>
          <c:showPercent val="0"/>
          <c:showBubbleSize val="0"/>
        </c:dLbls>
        <c:gapWidth val="50"/>
        <c:overlap val="100"/>
        <c:axId val="652776248"/>
        <c:axId val="652775072"/>
      </c:barChart>
      <c:catAx>
        <c:axId val="652776248"/>
        <c:scaling>
          <c:orientation val="minMax"/>
        </c:scaling>
        <c:delete val="0"/>
        <c:axPos val="l"/>
        <c:numFmt formatCode="General" sourceLinked="1"/>
        <c:majorTickMark val="out"/>
        <c:minorTickMark val="none"/>
        <c:tickLblPos val="nextTo"/>
        <c:spPr>
          <a:noFill/>
          <a:ln w="3175" cap="flat" cmpd="sng" algn="ctr">
            <a:solidFill>
              <a:sysClr val="windowText" lastClr="000000">
                <a:tint val="75000"/>
                <a:shade val="95000"/>
                <a:satMod val="105000"/>
              </a:sys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75072"/>
        <c:crosses val="autoZero"/>
        <c:auto val="1"/>
        <c:lblAlgn val="ctr"/>
        <c:lblOffset val="100"/>
        <c:noMultiLvlLbl val="0"/>
      </c:catAx>
      <c:valAx>
        <c:axId val="652775072"/>
        <c:scaling>
          <c:orientation val="minMax"/>
          <c:max val="0.1"/>
          <c:min val="2.0000000000000004E-2"/>
        </c:scaling>
        <c:delete val="1"/>
        <c:axPos val="b"/>
        <c:numFmt formatCode="0%" sourceLinked="0"/>
        <c:majorTickMark val="out"/>
        <c:minorTickMark val="none"/>
        <c:tickLblPos val="nextTo"/>
        <c:crossAx val="652776248"/>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800" b="1">
                <a:solidFill>
                  <a:sysClr val="windowText" lastClr="000000"/>
                </a:solidFill>
                <a:latin typeface="Segoe UI Light" panose="020B0502040204020203" pitchFamily="34" charset="0"/>
                <a:cs typeface="Segoe UI Light" panose="020B0502040204020203" pitchFamily="34" charset="0"/>
              </a:rPr>
              <a:t>Izglītības iestāžu absolventu profesijas atbilstība izglītības tematiskajai jomai</a:t>
            </a:r>
          </a:p>
          <a:p>
            <a:pPr>
              <a:defRPr>
                <a:solidFill>
                  <a:sysClr val="windowText" lastClr="000000"/>
                </a:solidFill>
              </a:defRPr>
            </a:pPr>
            <a:r>
              <a:rPr lang="lv-LV" sz="700" b="0" i="0">
                <a:solidFill>
                  <a:sysClr val="windowText" lastClr="000000"/>
                </a:solidFill>
                <a:latin typeface="Segoe UI Light" panose="020B0502040204020203" pitchFamily="34" charset="0"/>
                <a:cs typeface="Segoe UI Light" panose="020B0502040204020203" pitchFamily="34" charset="0"/>
              </a:rPr>
              <a:t>2017.</a:t>
            </a:r>
            <a:r>
              <a:rPr lang="lv-LV" sz="700" b="0" i="0" baseline="0">
                <a:solidFill>
                  <a:sysClr val="windowText" lastClr="000000"/>
                </a:solidFill>
                <a:latin typeface="Segoe UI Light" panose="020B0502040204020203" pitchFamily="34" charset="0"/>
                <a:cs typeface="Segoe UI Light" panose="020B0502040204020203" pitchFamily="34" charset="0"/>
              </a:rPr>
              <a:t>-2018. gada absolventi, īpatsvars procentos</a:t>
            </a:r>
            <a:endParaRPr lang="lv-LV" sz="700" b="1" i="0">
              <a:solidFill>
                <a:sysClr val="windowText" lastClr="000000"/>
              </a:solidFill>
              <a:latin typeface="Segoe UI Light" panose="020B0502040204020203" pitchFamily="34" charset="0"/>
              <a:cs typeface="Segoe UI Light" panose="020B0502040204020203"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3.0344033918837075E-2"/>
          <c:y val="0.19789680895151263"/>
          <c:w val="0.94978444122268624"/>
          <c:h val="0.48692066717466775"/>
        </c:manualLayout>
      </c:layout>
      <c:barChart>
        <c:barDir val="col"/>
        <c:grouping val="clustered"/>
        <c:varyColors val="0"/>
        <c:ser>
          <c:idx val="0"/>
          <c:order val="0"/>
          <c:tx>
            <c:strRef>
              <c:f>Sheet1!$B$1</c:f>
              <c:strCache>
                <c:ptCount val="1"/>
                <c:pt idx="0">
                  <c:v>Augstākā izglītība</c:v>
                </c:pt>
              </c:strCache>
            </c:strRef>
          </c:tx>
          <c:spPr>
            <a:solidFill>
              <a:srgbClr val="F79646">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Izglītība</c:v>
                </c:pt>
                <c:pt idx="1">
                  <c:v>Veselības aprūpe un sociālā labklājība</c:v>
                </c:pt>
                <c:pt idx="2">
                  <c:v>Inženierzinātnes, ražošana un būvniecība</c:v>
                </c:pt>
                <c:pt idx="3">
                  <c:v>Dabaszinātnes, matemātika un informācijas tehnoloģijas</c:v>
                </c:pt>
                <c:pt idx="4">
                  <c:v>Lauksaimniecība</c:v>
                </c:pt>
                <c:pt idx="5">
                  <c:v>Sociālās zinātnes, komerczinības un tiesības</c:v>
                </c:pt>
                <c:pt idx="6">
                  <c:v>Pakalpojumi</c:v>
                </c:pt>
                <c:pt idx="7">
                  <c:v>Humanitārās zinātnes un māksla</c:v>
                </c:pt>
              </c:strCache>
            </c:strRef>
          </c:cat>
          <c:val>
            <c:numRef>
              <c:f>Sheet1!$B$2:$B$9</c:f>
              <c:numCache>
                <c:formatCode>0%</c:formatCode>
                <c:ptCount val="8"/>
                <c:pt idx="0">
                  <c:v>0.85299999999999998</c:v>
                </c:pt>
                <c:pt idx="1">
                  <c:v>0.84799999999999998</c:v>
                </c:pt>
                <c:pt idx="2">
                  <c:v>0.77700000000000002</c:v>
                </c:pt>
                <c:pt idx="3">
                  <c:v>0.76500000000000001</c:v>
                </c:pt>
                <c:pt idx="4">
                  <c:v>0.69299999999999995</c:v>
                </c:pt>
                <c:pt idx="5">
                  <c:v>0.68200000000000005</c:v>
                </c:pt>
                <c:pt idx="6">
                  <c:v>0.65900000000000003</c:v>
                </c:pt>
                <c:pt idx="7">
                  <c:v>0.50900000000000001</c:v>
                </c:pt>
              </c:numCache>
            </c:numRef>
          </c:val>
          <c:extLst>
            <c:ext xmlns:c16="http://schemas.microsoft.com/office/drawing/2014/chart" uri="{C3380CC4-5D6E-409C-BE32-E72D297353CC}">
              <c16:uniqueId val="{00000000-36AB-49AA-BF57-CE85E97296B8}"/>
            </c:ext>
          </c:extLst>
        </c:ser>
        <c:ser>
          <c:idx val="1"/>
          <c:order val="1"/>
          <c:tx>
            <c:strRef>
              <c:f>Sheet1!$C$1</c:f>
              <c:strCache>
                <c:ptCount val="1"/>
                <c:pt idx="0">
                  <c:v>Vidējā profesionālā izglītība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Izglītība</c:v>
                </c:pt>
                <c:pt idx="1">
                  <c:v>Veselības aprūpe un sociālā labklājība</c:v>
                </c:pt>
                <c:pt idx="2">
                  <c:v>Inženierzinātnes, ražošana un būvniecība</c:v>
                </c:pt>
                <c:pt idx="3">
                  <c:v>Dabaszinātnes, matemātika un informācijas tehnoloģijas</c:v>
                </c:pt>
                <c:pt idx="4">
                  <c:v>Lauksaimniecība</c:v>
                </c:pt>
                <c:pt idx="5">
                  <c:v>Sociālās zinātnes, komerczinības un tiesības</c:v>
                </c:pt>
                <c:pt idx="6">
                  <c:v>Pakalpojumi</c:v>
                </c:pt>
                <c:pt idx="7">
                  <c:v>Humanitārās zinātnes un māksla</c:v>
                </c:pt>
              </c:strCache>
            </c:strRef>
          </c:cat>
          <c:val>
            <c:numRef>
              <c:f>Sheet1!$C$2:$C$9</c:f>
              <c:numCache>
                <c:formatCode>0%</c:formatCode>
                <c:ptCount val="8"/>
                <c:pt idx="0">
                  <c:v>0.90700000000000003</c:v>
                </c:pt>
                <c:pt idx="1">
                  <c:v>0.82599999999999996</c:v>
                </c:pt>
                <c:pt idx="2">
                  <c:v>0.74299999999999999</c:v>
                </c:pt>
                <c:pt idx="3">
                  <c:v>0.753</c:v>
                </c:pt>
                <c:pt idx="4">
                  <c:v>0.52200000000000002</c:v>
                </c:pt>
                <c:pt idx="5">
                  <c:v>0.61399999999999999</c:v>
                </c:pt>
                <c:pt idx="6">
                  <c:v>0.745</c:v>
                </c:pt>
                <c:pt idx="7">
                  <c:v>0.52</c:v>
                </c:pt>
              </c:numCache>
            </c:numRef>
          </c:val>
          <c:extLst>
            <c:ext xmlns:c16="http://schemas.microsoft.com/office/drawing/2014/chart" uri="{C3380CC4-5D6E-409C-BE32-E72D297353CC}">
              <c16:uniqueId val="{00000001-36AB-49AA-BF57-CE85E97296B8}"/>
            </c:ext>
          </c:extLst>
        </c:ser>
        <c:dLbls>
          <c:showLegendKey val="0"/>
          <c:showVal val="0"/>
          <c:showCatName val="0"/>
          <c:showSerName val="0"/>
          <c:showPercent val="0"/>
          <c:showBubbleSize val="0"/>
        </c:dLbls>
        <c:gapWidth val="70"/>
        <c:overlap val="-27"/>
        <c:axId val="433549720"/>
        <c:axId val="616371920"/>
      </c:barChart>
      <c:catAx>
        <c:axId val="433549720"/>
        <c:scaling>
          <c:orientation val="minMax"/>
        </c:scaling>
        <c:delete val="0"/>
        <c:axPos val="b"/>
        <c:numFmt formatCode="General" sourceLinked="1"/>
        <c:majorTickMark val="out"/>
        <c:minorTickMark val="none"/>
        <c:tickLblPos val="nextTo"/>
        <c:spPr>
          <a:noFill/>
          <a:ln w="3175" cap="flat" cmpd="sng" algn="ctr">
            <a:solidFill>
              <a:sysClr val="windowText" lastClr="000000">
                <a:tint val="75000"/>
                <a:shade val="95000"/>
                <a:satMod val="105000"/>
              </a:sys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16371920"/>
        <c:crosses val="autoZero"/>
        <c:auto val="1"/>
        <c:lblAlgn val="ctr"/>
        <c:lblOffset val="100"/>
        <c:noMultiLvlLbl val="0"/>
      </c:catAx>
      <c:valAx>
        <c:axId val="616371920"/>
        <c:scaling>
          <c:orientation val="minMax"/>
        </c:scaling>
        <c:delete val="1"/>
        <c:axPos val="l"/>
        <c:numFmt formatCode="0%" sourceLinked="0"/>
        <c:majorTickMark val="none"/>
        <c:minorTickMark val="none"/>
        <c:tickLblPos val="nextTo"/>
        <c:crossAx val="433549720"/>
        <c:crosses val="autoZero"/>
        <c:crossBetween val="between"/>
        <c:majorUnit val="0.2"/>
      </c:valAx>
      <c:spPr>
        <a:noFill/>
        <a:ln>
          <a:noFill/>
        </a:ln>
        <a:effectLst/>
      </c:spPr>
    </c:plotArea>
    <c:legend>
      <c:legendPos val="r"/>
      <c:layout>
        <c:manualLayout>
          <c:xMode val="edge"/>
          <c:yMode val="edge"/>
          <c:x val="0.4602763981425399"/>
          <c:y val="0.88458037664134626"/>
          <c:w val="0.53972360185746016"/>
          <c:h val="0.11030290232775244"/>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89406942976753E-2"/>
          <c:y val="5.1607794835701402E-2"/>
          <c:w val="0.69481157571752161"/>
          <c:h val="0.64894067747559192"/>
        </c:manualLayout>
      </c:layout>
      <c:barChart>
        <c:barDir val="col"/>
        <c:grouping val="stacked"/>
        <c:varyColors val="0"/>
        <c:ser>
          <c:idx val="2"/>
          <c:order val="0"/>
          <c:tx>
            <c:strRef>
              <c:f>Sheet1!$A$4</c:f>
              <c:strCache>
                <c:ptCount val="1"/>
                <c:pt idx="0">
                  <c:v>Pamatizglītība un zemāks izglītības līmenis</c:v>
                </c:pt>
              </c:strCache>
            </c:strRef>
          </c:tx>
          <c:spPr>
            <a:solidFill>
              <a:schemeClr val="accent3"/>
            </a:solidFill>
          </c:spPr>
          <c:invertIfNegative val="0"/>
          <c:dLbls>
            <c:dLbl>
              <c:idx val="1"/>
              <c:layout>
                <c:manualLayout>
                  <c:x val="-2.2031865363444244E-3"/>
                  <c:y val="-1.94522208654170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FF-4863-B60A-3ADF6513E77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Sheet1!$B$4:$E$4</c:f>
              <c:numCache>
                <c:formatCode>0</c:formatCode>
                <c:ptCount val="4"/>
                <c:pt idx="0">
                  <c:v>7.194990363422173</c:v>
                </c:pt>
                <c:pt idx="1">
                  <c:v>0.68563315414891712</c:v>
                </c:pt>
                <c:pt idx="2">
                  <c:v>11.066875541626073</c:v>
                </c:pt>
                <c:pt idx="3">
                  <c:v>17.628303776323449</c:v>
                </c:pt>
              </c:numCache>
            </c:numRef>
          </c:val>
          <c:extLst>
            <c:ext xmlns:c16="http://schemas.microsoft.com/office/drawing/2014/chart" uri="{C3380CC4-5D6E-409C-BE32-E72D297353CC}">
              <c16:uniqueId val="{00000001-73FF-4863-B60A-3ADF6513E779}"/>
            </c:ext>
          </c:extLst>
        </c:ser>
        <c:ser>
          <c:idx val="1"/>
          <c:order val="1"/>
          <c:tx>
            <c:strRef>
              <c:f>Sheet1!$A$3</c:f>
              <c:strCache>
                <c:ptCount val="1"/>
                <c:pt idx="0">
                  <c:v>Vidējā izglītība</c:v>
                </c:pt>
              </c:strCache>
            </c:strRef>
          </c:tx>
          <c:spPr>
            <a:solidFill>
              <a:schemeClr val="accent4">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Sheet1!$B$3:$E$3</c:f>
              <c:numCache>
                <c:formatCode>0</c:formatCode>
                <c:ptCount val="4"/>
                <c:pt idx="0">
                  <c:v>51.013592034816256</c:v>
                </c:pt>
                <c:pt idx="1">
                  <c:v>23.961631038273399</c:v>
                </c:pt>
                <c:pt idx="2">
                  <c:v>72.839359529274986</c:v>
                </c:pt>
                <c:pt idx="3">
                  <c:v>73.075668418913452</c:v>
                </c:pt>
              </c:numCache>
            </c:numRef>
          </c:val>
          <c:extLst>
            <c:ext xmlns:c16="http://schemas.microsoft.com/office/drawing/2014/chart" uri="{C3380CC4-5D6E-409C-BE32-E72D297353CC}">
              <c16:uniqueId val="{00000002-73FF-4863-B60A-3ADF6513E779}"/>
            </c:ext>
          </c:extLst>
        </c:ser>
        <c:ser>
          <c:idx val="0"/>
          <c:order val="2"/>
          <c:tx>
            <c:strRef>
              <c:f>Sheet1!$A$2</c:f>
              <c:strCache>
                <c:ptCount val="1"/>
                <c:pt idx="0">
                  <c:v>Augstākā izglītība</c:v>
                </c:pt>
              </c:strCache>
            </c:strRef>
          </c:tx>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Kopā</c:v>
                </c:pt>
                <c:pt idx="1">
                  <c:v>Augstas kvalifikācijas profesijas</c:v>
                </c:pt>
                <c:pt idx="2">
                  <c:v>Vidējas kvalifikācijas profesijas</c:v>
                </c:pt>
                <c:pt idx="3">
                  <c:v>Zemas kvalifikācijas profesijas</c:v>
                </c:pt>
              </c:strCache>
            </c:strRef>
          </c:cat>
          <c:val>
            <c:numRef>
              <c:f>Sheet1!$B$2:$E$2</c:f>
              <c:numCache>
                <c:formatCode>0</c:formatCode>
                <c:ptCount val="4"/>
                <c:pt idx="0">
                  <c:v>41.781839515018049</c:v>
                </c:pt>
                <c:pt idx="1">
                  <c:v>75.352735807577687</c:v>
                </c:pt>
                <c:pt idx="2">
                  <c:v>16.071043782037346</c:v>
                </c:pt>
                <c:pt idx="3">
                  <c:v>9.2960278047630887</c:v>
                </c:pt>
              </c:numCache>
            </c:numRef>
          </c:val>
          <c:extLst>
            <c:ext xmlns:c16="http://schemas.microsoft.com/office/drawing/2014/chart" uri="{C3380CC4-5D6E-409C-BE32-E72D297353CC}">
              <c16:uniqueId val="{00000003-73FF-4863-B60A-3ADF6513E779}"/>
            </c:ext>
          </c:extLst>
        </c:ser>
        <c:dLbls>
          <c:showLegendKey val="0"/>
          <c:showVal val="0"/>
          <c:showCatName val="0"/>
          <c:showSerName val="0"/>
          <c:showPercent val="0"/>
          <c:showBubbleSize val="0"/>
        </c:dLbls>
        <c:gapWidth val="50"/>
        <c:overlap val="100"/>
        <c:axId val="742082840"/>
        <c:axId val="742082056"/>
      </c:barChart>
      <c:catAx>
        <c:axId val="742082840"/>
        <c:scaling>
          <c:orientation val="minMax"/>
        </c:scaling>
        <c:delete val="0"/>
        <c:axPos val="b"/>
        <c:numFmt formatCode="General" sourceLinked="1"/>
        <c:majorTickMark val="out"/>
        <c:minorTickMark val="none"/>
        <c:tickLblPos val="nextTo"/>
        <c:spPr>
          <a:ln>
            <a:solidFill>
              <a:schemeClr val="bg1">
                <a:lumMod val="65000"/>
              </a:schemeClr>
            </a:solidFill>
          </a:ln>
        </c:spPr>
        <c:crossAx val="742082056"/>
        <c:crosses val="autoZero"/>
        <c:auto val="1"/>
        <c:lblAlgn val="ctr"/>
        <c:lblOffset val="100"/>
        <c:tickLblSkip val="1"/>
        <c:noMultiLvlLbl val="0"/>
      </c:catAx>
      <c:valAx>
        <c:axId val="742082056"/>
        <c:scaling>
          <c:orientation val="minMax"/>
          <c:max val="100"/>
        </c:scaling>
        <c:delete val="0"/>
        <c:axPos val="l"/>
        <c:numFmt formatCode="0" sourceLinked="1"/>
        <c:majorTickMark val="out"/>
        <c:minorTickMark val="none"/>
        <c:tickLblPos val="nextTo"/>
        <c:spPr>
          <a:ln>
            <a:noFill/>
          </a:ln>
        </c:spPr>
        <c:crossAx val="742082840"/>
        <c:crosses val="autoZero"/>
        <c:crossBetween val="between"/>
        <c:majorUnit val="20"/>
      </c:valAx>
    </c:plotArea>
    <c:legend>
      <c:legendPos val="r"/>
      <c:layout>
        <c:manualLayout>
          <c:xMode val="edge"/>
          <c:yMode val="edge"/>
          <c:x val="0.75339087317892406"/>
          <c:y val="3.5539801864666945E-2"/>
          <c:w val="0.24481001318316029"/>
          <c:h val="0.79478291470549423"/>
        </c:manualLayout>
      </c:layout>
      <c:overlay val="0"/>
    </c:legend>
    <c:plotVisOnly val="1"/>
    <c:dispBlanksAs val="gap"/>
    <c:showDLblsOverMax val="0"/>
  </c:chart>
  <c:spPr>
    <a:ln>
      <a:noFill/>
    </a:ln>
  </c:spPr>
  <c:txPr>
    <a:bodyPr/>
    <a:lstStyle/>
    <a:p>
      <a:pPr>
        <a:defRPr sz="800">
          <a:latin typeface="Segoe UI Light" panose="020B0502040204020203" pitchFamily="34" charset="0"/>
          <a:ea typeface="Segoe UI" panose="020B0502040204020203" pitchFamily="34" charset="0"/>
          <a:cs typeface="Segoe UI" panose="020B0502040204020203" pitchFamily="34" charset="0"/>
        </a:defRPr>
      </a:pPr>
      <a:endParaRPr lang="lv-LV"/>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r>
              <a:rPr lang="lv-LV" b="1"/>
              <a:t>Eiropas prasmju indekss 2021. gads – prasmju atbilstība*</a:t>
            </a:r>
          </a:p>
          <a:p>
            <a:pPr>
              <a:defRPr/>
            </a:pPr>
            <a:r>
              <a:rPr lang="lv-LV"/>
              <a:t>2021. gads, ideālais indikatora vērtējums -100, augstāks vērtējums norāda uz labāku sniegumu</a:t>
            </a:r>
          </a:p>
        </c:rich>
      </c:tx>
      <c:overlay val="0"/>
      <c:spPr>
        <a:noFill/>
        <a:ln>
          <a:noFill/>
        </a:ln>
        <a:effectLst/>
      </c:spPr>
      <c:txPr>
        <a:bodyPr rot="0" spcFirstLastPara="1" vertOverflow="ellipsis" vert="horz" wrap="square" anchor="ctr" anchorCtr="1"/>
        <a:lstStyle/>
        <a:p>
          <a:pPr>
            <a:defRPr sz="720" b="0" i="0" u="none" strike="noStrike" kern="1200" spc="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7.2984106153397496E-2"/>
          <c:y val="0.11539612856720947"/>
          <c:w val="0.90849737532808394"/>
          <c:h val="0.58090135717959879"/>
        </c:manualLayout>
      </c:layout>
      <c:barChart>
        <c:barDir val="col"/>
        <c:grouping val="clustered"/>
        <c:varyColors val="0"/>
        <c:ser>
          <c:idx val="0"/>
          <c:order val="0"/>
          <c:tx>
            <c:strRef>
              <c:f>Sheet1!$B$1</c:f>
              <c:strCache>
                <c:ptCount val="1"/>
                <c:pt idx="0">
                  <c:v>Avots: Cedefop</c:v>
                </c:pt>
              </c:strCache>
            </c:strRef>
          </c:tx>
          <c:spPr>
            <a:solidFill>
              <a:schemeClr val="accent2">
                <a:lumMod val="75000"/>
              </a:schemeClr>
            </a:solidFill>
            <a:ln>
              <a:noFill/>
            </a:ln>
            <a:effectLst/>
          </c:spPr>
          <c:invertIfNegative val="0"/>
          <c:dPt>
            <c:idx val="13"/>
            <c:invertIfNegative val="0"/>
            <c:bubble3D val="0"/>
            <c:spPr>
              <a:solidFill>
                <a:srgbClr val="CD6209"/>
              </a:solidFill>
              <a:ln>
                <a:noFill/>
              </a:ln>
              <a:effectLst/>
            </c:spPr>
            <c:extLst>
              <c:ext xmlns:c16="http://schemas.microsoft.com/office/drawing/2014/chart" uri="{C3380CC4-5D6E-409C-BE32-E72D297353CC}">
                <c16:uniqueId val="{00000001-E055-4F8D-A01F-9E0ED6DC4702}"/>
              </c:ext>
            </c:extLst>
          </c:dPt>
          <c:dPt>
            <c:idx val="18"/>
            <c:invertIfNegative val="0"/>
            <c:bubble3D val="0"/>
            <c:spPr>
              <a:solidFill>
                <a:srgbClr val="C00000"/>
              </a:solidFill>
              <a:ln>
                <a:noFill/>
              </a:ln>
              <a:effectLst/>
            </c:spPr>
            <c:extLst>
              <c:ext xmlns:c16="http://schemas.microsoft.com/office/drawing/2014/chart" uri="{C3380CC4-5D6E-409C-BE32-E72D297353CC}">
                <c16:uniqueId val="{00000003-6DC9-4F1D-8110-B1AAC36A9048}"/>
              </c:ext>
            </c:extLst>
          </c:dPt>
          <c:dLbls>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C9-4F1D-8110-B1AAC36A9048}"/>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Sheet1!$A$2:$A$28</c:f>
              <c:strCache>
                <c:ptCount val="27"/>
                <c:pt idx="0">
                  <c:v>Čehija</c:v>
                </c:pt>
                <c:pt idx="1">
                  <c:v>Malta</c:v>
                </c:pt>
                <c:pt idx="2">
                  <c:v>Luksemburga</c:v>
                </c:pt>
                <c:pt idx="3">
                  <c:v>Ungārija</c:v>
                </c:pt>
                <c:pt idx="4">
                  <c:v>Horvātija</c:v>
                </c:pt>
                <c:pt idx="5">
                  <c:v>Polija</c:v>
                </c:pt>
                <c:pt idx="6">
                  <c:v>Slovēnija</c:v>
                </c:pt>
                <c:pt idx="7">
                  <c:v>Rumānija</c:v>
                </c:pt>
                <c:pt idx="8">
                  <c:v>Bulgārija</c:v>
                </c:pt>
                <c:pt idx="9">
                  <c:v>Dānija</c:v>
                </c:pt>
                <c:pt idx="10">
                  <c:v>Somija</c:v>
                </c:pt>
                <c:pt idx="11">
                  <c:v>Slovākija</c:v>
                </c:pt>
                <c:pt idx="12">
                  <c:v>Igaunija</c:v>
                </c:pt>
                <c:pt idx="13">
                  <c:v>Vācija</c:v>
                </c:pt>
                <c:pt idx="14">
                  <c:v>Zviedrija</c:v>
                </c:pt>
                <c:pt idx="15">
                  <c:v>Nīderlande</c:v>
                </c:pt>
                <c:pt idx="16">
                  <c:v>Beļģija</c:v>
                </c:pt>
                <c:pt idx="17">
                  <c:v>Lietuva</c:v>
                </c:pt>
                <c:pt idx="18">
                  <c:v>Latvija</c:v>
                </c:pt>
                <c:pt idx="19">
                  <c:v>Austrija</c:v>
                </c:pt>
                <c:pt idx="20">
                  <c:v>Francija</c:v>
                </c:pt>
                <c:pt idx="21">
                  <c:v>Portugāle</c:v>
                </c:pt>
                <c:pt idx="22">
                  <c:v>Itālija</c:v>
                </c:pt>
                <c:pt idx="23">
                  <c:v>Kipra</c:v>
                </c:pt>
                <c:pt idx="24">
                  <c:v>Īrija</c:v>
                </c:pt>
                <c:pt idx="25">
                  <c:v>Grieķija</c:v>
                </c:pt>
                <c:pt idx="26">
                  <c:v>Spānija</c:v>
                </c:pt>
              </c:strCache>
            </c:strRef>
          </c:cat>
          <c:val>
            <c:numRef>
              <c:f>Sheet1!$B$2:$B$28</c:f>
              <c:numCache>
                <c:formatCode>General</c:formatCode>
                <c:ptCount val="27"/>
                <c:pt idx="0">
                  <c:v>93.3</c:v>
                </c:pt>
                <c:pt idx="1">
                  <c:v>75.2</c:v>
                </c:pt>
                <c:pt idx="2">
                  <c:v>73.7</c:v>
                </c:pt>
                <c:pt idx="3">
                  <c:v>73.099999999999994</c:v>
                </c:pt>
                <c:pt idx="4">
                  <c:v>72.900000000000006</c:v>
                </c:pt>
                <c:pt idx="5">
                  <c:v>72.3</c:v>
                </c:pt>
                <c:pt idx="6">
                  <c:v>66.5</c:v>
                </c:pt>
                <c:pt idx="7">
                  <c:v>65.099999999999994</c:v>
                </c:pt>
                <c:pt idx="8">
                  <c:v>64.599999999999994</c:v>
                </c:pt>
                <c:pt idx="9">
                  <c:v>64.599999999999994</c:v>
                </c:pt>
                <c:pt idx="10">
                  <c:v>64.3</c:v>
                </c:pt>
                <c:pt idx="11">
                  <c:v>63.2</c:v>
                </c:pt>
                <c:pt idx="12">
                  <c:v>62.5</c:v>
                </c:pt>
                <c:pt idx="13">
                  <c:v>56.4</c:v>
                </c:pt>
                <c:pt idx="14">
                  <c:v>55.5</c:v>
                </c:pt>
                <c:pt idx="15">
                  <c:v>54.2</c:v>
                </c:pt>
                <c:pt idx="16">
                  <c:v>53.4</c:v>
                </c:pt>
                <c:pt idx="17">
                  <c:v>52.1</c:v>
                </c:pt>
                <c:pt idx="18">
                  <c:v>50.4</c:v>
                </c:pt>
                <c:pt idx="19">
                  <c:v>47.7</c:v>
                </c:pt>
                <c:pt idx="20">
                  <c:v>43.4</c:v>
                </c:pt>
                <c:pt idx="21">
                  <c:v>41.7</c:v>
                </c:pt>
                <c:pt idx="22">
                  <c:v>33</c:v>
                </c:pt>
                <c:pt idx="23">
                  <c:v>31.2</c:v>
                </c:pt>
                <c:pt idx="24">
                  <c:v>25.6</c:v>
                </c:pt>
                <c:pt idx="25">
                  <c:v>11.7</c:v>
                </c:pt>
                <c:pt idx="26">
                  <c:v>10.3</c:v>
                </c:pt>
              </c:numCache>
            </c:numRef>
          </c:val>
          <c:extLst>
            <c:ext xmlns:c16="http://schemas.microsoft.com/office/drawing/2014/chart" uri="{C3380CC4-5D6E-409C-BE32-E72D297353CC}">
              <c16:uniqueId val="{00000002-E055-4F8D-A01F-9E0ED6DC4702}"/>
            </c:ext>
          </c:extLst>
        </c:ser>
        <c:dLbls>
          <c:showLegendKey val="0"/>
          <c:showVal val="0"/>
          <c:showCatName val="0"/>
          <c:showSerName val="0"/>
          <c:showPercent val="0"/>
          <c:showBubbleSize val="0"/>
        </c:dLbls>
        <c:gapWidth val="81"/>
        <c:overlap val="-27"/>
        <c:axId val="742073432"/>
        <c:axId val="742075392"/>
      </c:barChart>
      <c:catAx>
        <c:axId val="742073432"/>
        <c:scaling>
          <c:orientation val="minMax"/>
        </c:scaling>
        <c:delete val="0"/>
        <c:axPos val="b"/>
        <c:numFmt formatCode="General" sourceLinked="1"/>
        <c:majorTickMark val="out"/>
        <c:minorTickMark val="none"/>
        <c:tickLblPos val="nextTo"/>
        <c:spPr>
          <a:noFill/>
          <a:ln w="3175" cap="flat" cmpd="sng" algn="ctr">
            <a:solidFill>
              <a:sysClr val="windowText" lastClr="000000">
                <a:lumMod val="50000"/>
                <a:lumOff val="50000"/>
              </a:sys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75392"/>
        <c:crosses val="autoZero"/>
        <c:auto val="1"/>
        <c:lblAlgn val="ctr"/>
        <c:lblOffset val="100"/>
        <c:noMultiLvlLbl val="0"/>
      </c:catAx>
      <c:valAx>
        <c:axId val="742075392"/>
        <c:scaling>
          <c:orientation val="minMax"/>
          <c:max val="10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742073432"/>
        <c:crosses val="autoZero"/>
        <c:crossBetween val="between"/>
        <c:majorUnit val="20"/>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24631507926125E-2"/>
          <c:y val="3.2382323864912382E-2"/>
          <c:w val="0.93200945882823971"/>
          <c:h val="0.86415144875958516"/>
        </c:manualLayout>
      </c:layout>
      <c:barChart>
        <c:barDir val="col"/>
        <c:grouping val="clustered"/>
        <c:varyColors val="0"/>
        <c:ser>
          <c:idx val="1"/>
          <c:order val="0"/>
          <c:tx>
            <c:strRef>
              <c:f>Sheet1!$B$1</c:f>
              <c:strCache>
                <c:ptCount val="1"/>
                <c:pt idx="0">
                  <c:v>Profesionālās izglītības iestādēs</c:v>
                </c:pt>
              </c:strCache>
            </c:strRef>
          </c:tx>
          <c:spPr>
            <a:solidFill>
              <a:schemeClr val="accent2"/>
            </a:solidFill>
            <a:ln>
              <a:noFill/>
            </a:ln>
            <a:effectLst/>
          </c:spPr>
          <c:invertIfNegative val="0"/>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Sheet1!$B$2:$B$15</c:f>
              <c:numCache>
                <c:formatCode>0.0</c:formatCode>
                <c:ptCount val="14"/>
                <c:pt idx="0">
                  <c:v>13.882999999999999</c:v>
                </c:pt>
                <c:pt idx="1">
                  <c:v>11.367000000000001</c:v>
                </c:pt>
                <c:pt idx="2">
                  <c:v>11.914</c:v>
                </c:pt>
                <c:pt idx="3">
                  <c:v>11.923999999999999</c:v>
                </c:pt>
                <c:pt idx="4">
                  <c:v>11.366</c:v>
                </c:pt>
                <c:pt idx="5">
                  <c:v>11.506</c:v>
                </c:pt>
                <c:pt idx="6">
                  <c:v>11.702999999999999</c:v>
                </c:pt>
                <c:pt idx="7">
                  <c:v>11.048</c:v>
                </c:pt>
                <c:pt idx="8">
                  <c:v>12.484999999999999</c:v>
                </c:pt>
                <c:pt idx="9">
                  <c:v>11.625</c:v>
                </c:pt>
                <c:pt idx="10">
                  <c:v>11.68</c:v>
                </c:pt>
                <c:pt idx="11">
                  <c:v>11.138999999999999</c:v>
                </c:pt>
                <c:pt idx="12">
                  <c:v>10.923999999999999</c:v>
                </c:pt>
                <c:pt idx="13">
                  <c:v>10.606999999999999</c:v>
                </c:pt>
              </c:numCache>
            </c:numRef>
          </c:val>
          <c:extLst>
            <c:ext xmlns:c16="http://schemas.microsoft.com/office/drawing/2014/chart" uri="{C3380CC4-5D6E-409C-BE32-E72D297353CC}">
              <c16:uniqueId val="{00000000-60DB-4321-B65E-0C3E72D61D60}"/>
            </c:ext>
          </c:extLst>
        </c:ser>
        <c:ser>
          <c:idx val="2"/>
          <c:order val="1"/>
          <c:tx>
            <c:strRef>
              <c:f>Sheet1!$C$1</c:f>
              <c:strCache>
                <c:ptCount val="1"/>
                <c:pt idx="0">
                  <c:v>Augstskolās un koledžās</c:v>
                </c:pt>
              </c:strCache>
            </c:strRef>
          </c:tx>
          <c:spPr>
            <a:solidFill>
              <a:schemeClr val="accent3"/>
            </a:solidFill>
            <a:ln>
              <a:noFill/>
            </a:ln>
            <a:effectLst/>
          </c:spPr>
          <c:invertIfNegative val="0"/>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Sheet1!$C$2:$C$15</c:f>
              <c:numCache>
                <c:formatCode>0.0</c:formatCode>
                <c:ptCount val="14"/>
                <c:pt idx="0">
                  <c:v>41.576999999999998</c:v>
                </c:pt>
                <c:pt idx="1">
                  <c:v>31.529</c:v>
                </c:pt>
                <c:pt idx="2">
                  <c:v>31.012</c:v>
                </c:pt>
                <c:pt idx="3">
                  <c:v>31.945</c:v>
                </c:pt>
                <c:pt idx="4">
                  <c:v>33.319000000000003</c:v>
                </c:pt>
                <c:pt idx="5">
                  <c:v>31.219000000000001</c:v>
                </c:pt>
                <c:pt idx="6">
                  <c:v>29.137</c:v>
                </c:pt>
                <c:pt idx="7">
                  <c:v>29.082999999999998</c:v>
                </c:pt>
                <c:pt idx="8">
                  <c:v>28.588000000000001</c:v>
                </c:pt>
                <c:pt idx="9">
                  <c:v>27.128</c:v>
                </c:pt>
                <c:pt idx="10">
                  <c:v>27.652000000000001</c:v>
                </c:pt>
                <c:pt idx="11">
                  <c:v>29.399000000000001</c:v>
                </c:pt>
                <c:pt idx="12">
                  <c:v>28.704999999999998</c:v>
                </c:pt>
                <c:pt idx="13">
                  <c:v>29.036999999999999</c:v>
                </c:pt>
              </c:numCache>
            </c:numRef>
          </c:val>
          <c:extLst>
            <c:ext xmlns:c16="http://schemas.microsoft.com/office/drawing/2014/chart" uri="{C3380CC4-5D6E-409C-BE32-E72D297353CC}">
              <c16:uniqueId val="{00000001-60DB-4321-B65E-0C3E72D61D60}"/>
            </c:ext>
          </c:extLst>
        </c:ser>
        <c:ser>
          <c:idx val="3"/>
          <c:order val="2"/>
          <c:tx>
            <c:strRef>
              <c:f>Sheet1!$D$1</c:f>
              <c:strCache>
                <c:ptCount val="1"/>
                <c:pt idx="0">
                  <c:v>Vidusskolās</c:v>
                </c:pt>
              </c:strCache>
            </c:strRef>
          </c:tx>
          <c:spPr>
            <a:solidFill>
              <a:schemeClr val="accent4"/>
            </a:solidFill>
            <a:ln>
              <a:noFill/>
            </a:ln>
            <a:effectLst/>
          </c:spPr>
          <c:invertIfNegative val="0"/>
          <c:cat>
            <c:numRef>
              <c:f>Sheet1!$A$2:$A$15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Sheet1!$D$2:$D$15</c:f>
              <c:numCache>
                <c:formatCode>0.0</c:formatCode>
                <c:ptCount val="14"/>
                <c:pt idx="0">
                  <c:v>20.856000000000002</c:v>
                </c:pt>
                <c:pt idx="1">
                  <c:v>20.152000000000001</c:v>
                </c:pt>
                <c:pt idx="2">
                  <c:v>16.702999999999999</c:v>
                </c:pt>
                <c:pt idx="3">
                  <c:v>15.205</c:v>
                </c:pt>
                <c:pt idx="4">
                  <c:v>13.773999999999999</c:v>
                </c:pt>
                <c:pt idx="5">
                  <c:v>13.298</c:v>
                </c:pt>
                <c:pt idx="6">
                  <c:v>12.42</c:v>
                </c:pt>
                <c:pt idx="7">
                  <c:v>12.917</c:v>
                </c:pt>
                <c:pt idx="8">
                  <c:v>13.188000000000001</c:v>
                </c:pt>
                <c:pt idx="9">
                  <c:v>12.507</c:v>
                </c:pt>
                <c:pt idx="10">
                  <c:v>12.464</c:v>
                </c:pt>
                <c:pt idx="11">
                  <c:v>12.336</c:v>
                </c:pt>
                <c:pt idx="12">
                  <c:v>11.872999999999999</c:v>
                </c:pt>
              </c:numCache>
            </c:numRef>
          </c:val>
          <c:extLst>
            <c:ext xmlns:c16="http://schemas.microsoft.com/office/drawing/2014/chart" uri="{C3380CC4-5D6E-409C-BE32-E72D297353CC}">
              <c16:uniqueId val="{00000002-60DB-4321-B65E-0C3E72D61D60}"/>
            </c:ext>
          </c:extLst>
        </c:ser>
        <c:dLbls>
          <c:showLegendKey val="0"/>
          <c:showVal val="0"/>
          <c:showCatName val="0"/>
          <c:showSerName val="0"/>
          <c:showPercent val="0"/>
          <c:showBubbleSize val="0"/>
        </c:dLbls>
        <c:gapWidth val="40"/>
        <c:axId val="742078920"/>
        <c:axId val="742075784"/>
      </c:barChart>
      <c:catAx>
        <c:axId val="74207892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lv-LV"/>
          </a:p>
        </c:txPr>
        <c:crossAx val="742075784"/>
        <c:crosses val="autoZero"/>
        <c:auto val="1"/>
        <c:lblAlgn val="ctr"/>
        <c:lblOffset val="100"/>
        <c:noMultiLvlLbl val="0"/>
      </c:catAx>
      <c:valAx>
        <c:axId val="742075784"/>
        <c:scaling>
          <c:orientation val="minMax"/>
          <c:max val="50"/>
          <c:min val="0"/>
        </c:scaling>
        <c:delete val="0"/>
        <c:axPos val="l"/>
        <c:numFmt formatCode="0" sourceLinked="0"/>
        <c:majorTickMark val="out"/>
        <c:minorTickMark val="none"/>
        <c:tickLblPos val="nextTo"/>
        <c:spPr>
          <a:noFill/>
          <a:ln w="9525" cap="flat" cmpd="sng" algn="ctr">
            <a:noFill/>
            <a:prstDash val="solid"/>
            <a:round/>
          </a:ln>
          <a:effectLst/>
        </c:spPr>
        <c:txPr>
          <a:bodyPr rot="-60000000" vert="horz"/>
          <a:lstStyle/>
          <a:p>
            <a:pPr>
              <a:defRPr/>
            </a:pPr>
            <a:endParaRPr lang="lv-LV"/>
          </a:p>
        </c:txPr>
        <c:crossAx val="742078920"/>
        <c:crosses val="autoZero"/>
        <c:crossBetween val="between"/>
        <c:majorUnit val="10"/>
      </c:valAx>
      <c:spPr>
        <a:solidFill>
          <a:schemeClr val="bg1"/>
        </a:solidFill>
        <a:ln>
          <a:noFill/>
        </a:ln>
        <a:effectLst/>
      </c:spPr>
    </c:plotArea>
    <c:legend>
      <c:legendPos val="l"/>
      <c:layout>
        <c:manualLayout>
          <c:xMode val="edge"/>
          <c:yMode val="edge"/>
          <c:x val="0.28175957080254838"/>
          <c:y val="3.8143482579232141E-2"/>
          <c:w val="0.47724591165777946"/>
          <c:h val="0.2536950061859008"/>
        </c:manualLayout>
      </c:layout>
      <c:overlay val="1"/>
      <c:spPr>
        <a:noFill/>
        <a:ln>
          <a:noFill/>
        </a:ln>
        <a:effectLst/>
      </c:spPr>
      <c:txPr>
        <a:bodyPr rot="0" vert="horz"/>
        <a:lstStyle/>
        <a:p>
          <a:pPr>
            <a:defRPr/>
          </a:pPr>
          <a:endParaRPr lang="lv-LV"/>
        </a:p>
      </c:txPr>
    </c:legend>
    <c:plotVisOnly val="1"/>
    <c:dispBlanksAs val="gap"/>
    <c:showDLblsOverMax val="0"/>
  </c:chart>
  <c:spPr>
    <a:solidFill>
      <a:schemeClr val="bg1"/>
    </a:solidFill>
    <a:ln w="9525" cap="flat" cmpd="sng" algn="ctr">
      <a:noFill/>
      <a:prstDash val="solid"/>
      <a:round/>
    </a:ln>
    <a:effectLst/>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375237947106399"/>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ln>
              <a:noFill/>
            </a:ln>
          </c:spPr>
          <c:invertIfNegative val="0"/>
          <c:dLbls>
            <c:numFmt formatCode="#,##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Sheet1!$B$1:$W$1</c:f>
              <c:strCache>
                <c:ptCount val="15"/>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strCache>
            </c:strRef>
          </c:cat>
          <c:val>
            <c:numRef>
              <c:f>Sheet1!$B$2:$W$2</c:f>
              <c:numCache>
                <c:formatCode>0.0</c:formatCode>
                <c:ptCount val="15"/>
                <c:pt idx="0">
                  <c:v>34.799999999999997</c:v>
                </c:pt>
                <c:pt idx="1">
                  <c:v>31.4</c:v>
                </c:pt>
                <c:pt idx="2">
                  <c:v>29.6</c:v>
                </c:pt>
                <c:pt idx="3">
                  <c:v>30.4</c:v>
                </c:pt>
                <c:pt idx="4">
                  <c:v>32.700000000000003</c:v>
                </c:pt>
                <c:pt idx="5">
                  <c:v>33.799999999999997</c:v>
                </c:pt>
                <c:pt idx="6">
                  <c:v>33.799999999999997</c:v>
                </c:pt>
                <c:pt idx="7">
                  <c:v>33.4</c:v>
                </c:pt>
                <c:pt idx="8">
                  <c:v>33.799999999999997</c:v>
                </c:pt>
                <c:pt idx="9">
                  <c:v>32.299999999999997</c:v>
                </c:pt>
                <c:pt idx="10">
                  <c:v>34.6</c:v>
                </c:pt>
                <c:pt idx="11">
                  <c:v>35.700000000000003</c:v>
                </c:pt>
                <c:pt idx="12">
                  <c:v>34.5</c:v>
                </c:pt>
                <c:pt idx="13">
                  <c:v>34.6</c:v>
                </c:pt>
                <c:pt idx="14">
                  <c:v>37.4</c:v>
                </c:pt>
              </c:numCache>
            </c:numRef>
          </c:val>
          <c:extLst>
            <c:ext xmlns:c16="http://schemas.microsoft.com/office/drawing/2014/chart" uri="{C3380CC4-5D6E-409C-BE32-E72D297353CC}">
              <c16:uniqueId val="{00000000-6292-4719-8B86-AC612144651C}"/>
            </c:ext>
          </c:extLst>
        </c:ser>
        <c:dLbls>
          <c:showLegendKey val="0"/>
          <c:showVal val="0"/>
          <c:showCatName val="0"/>
          <c:showSerName val="0"/>
          <c:showPercent val="0"/>
          <c:showBubbleSize val="0"/>
        </c:dLbls>
        <c:gapWidth val="40"/>
        <c:axId val="742080096"/>
        <c:axId val="742076176"/>
      </c:barChart>
      <c:catAx>
        <c:axId val="742080096"/>
        <c:scaling>
          <c:orientation val="minMax"/>
        </c:scaling>
        <c:delete val="0"/>
        <c:axPos val="b"/>
        <c:numFmt formatCode="General" sourceLinked="0"/>
        <c:majorTickMark val="out"/>
        <c:minorTickMark val="none"/>
        <c:tickLblPos val="low"/>
        <c:crossAx val="742076176"/>
        <c:crosses val="autoZero"/>
        <c:auto val="1"/>
        <c:lblAlgn val="ctr"/>
        <c:lblOffset val="100"/>
        <c:noMultiLvlLbl val="0"/>
      </c:catAx>
      <c:valAx>
        <c:axId val="742076176"/>
        <c:scaling>
          <c:orientation val="minMax"/>
          <c:max val="38"/>
          <c:min val="23"/>
        </c:scaling>
        <c:delete val="0"/>
        <c:axPos val="l"/>
        <c:numFmt formatCode="0" sourceLinked="0"/>
        <c:majorTickMark val="out"/>
        <c:minorTickMark val="none"/>
        <c:tickLblPos val="low"/>
        <c:spPr>
          <a:ln>
            <a:noFill/>
          </a:ln>
        </c:spPr>
        <c:crossAx val="742080096"/>
        <c:crosses val="autoZero"/>
        <c:crossBetween val="between"/>
        <c:majorUnit val="3"/>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885739968286"/>
          <c:y val="8.6450848134884004E-2"/>
          <c:w val="0.87375237947106399"/>
          <c:h val="0.77313984619677201"/>
        </c:manualLayout>
      </c:layout>
      <c:barChart>
        <c:barDir val="col"/>
        <c:grouping val="clustered"/>
        <c:varyColors val="0"/>
        <c:ser>
          <c:idx val="0"/>
          <c:order val="0"/>
          <c:tx>
            <c:strRef>
              <c:f>Sheet1!$A$2</c:f>
              <c:strCache>
                <c:ptCount val="1"/>
                <c:pt idx="0">
                  <c:v>..mācības turpina profesionālās izglītības iestādēs</c:v>
                </c:pt>
              </c:strCache>
            </c:strRef>
          </c:tx>
          <c:spPr>
            <a:solidFill>
              <a:schemeClr val="accent5">
                <a:lumMod val="75000"/>
              </a:schemeClr>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Sheet1!$B$1:$W$1</c:f>
              <c:strCache>
                <c:ptCount val="15"/>
                <c:pt idx="0">
                  <c:v>2000</c:v>
                </c:pt>
                <c:pt idx="1">
                  <c:v>2002</c:v>
                </c:pt>
                <c:pt idx="2">
                  <c:v>2004</c:v>
                </c:pt>
                <c:pt idx="3">
                  <c:v>2006</c:v>
                </c:pt>
                <c:pt idx="4">
                  <c:v>2008</c:v>
                </c:pt>
                <c:pt idx="5">
                  <c:v>2010</c:v>
                </c:pt>
                <c:pt idx="6">
                  <c:v>2012</c:v>
                </c:pt>
                <c:pt idx="7">
                  <c:v>2013</c:v>
                </c:pt>
                <c:pt idx="8">
                  <c:v>2014</c:v>
                </c:pt>
                <c:pt idx="9">
                  <c:v>2015</c:v>
                </c:pt>
                <c:pt idx="10">
                  <c:v>2016</c:v>
                </c:pt>
                <c:pt idx="11">
                  <c:v>2017</c:v>
                </c:pt>
                <c:pt idx="12">
                  <c:v>2018</c:v>
                </c:pt>
                <c:pt idx="13">
                  <c:v>2019</c:v>
                </c:pt>
                <c:pt idx="14">
                  <c:v>2020</c:v>
                </c:pt>
              </c:strCache>
            </c:strRef>
          </c:cat>
          <c:val>
            <c:numRef>
              <c:f>Sheet1!$B$2:$W$2</c:f>
              <c:numCache>
                <c:formatCode>0.0</c:formatCode>
                <c:ptCount val="15"/>
                <c:pt idx="0">
                  <c:v>12</c:v>
                </c:pt>
                <c:pt idx="1">
                  <c:v>10</c:v>
                </c:pt>
                <c:pt idx="2">
                  <c:v>7.5</c:v>
                </c:pt>
                <c:pt idx="3">
                  <c:v>3.2</c:v>
                </c:pt>
                <c:pt idx="4">
                  <c:v>2.8</c:v>
                </c:pt>
                <c:pt idx="5">
                  <c:v>4.2</c:v>
                </c:pt>
                <c:pt idx="6">
                  <c:v>6.4</c:v>
                </c:pt>
                <c:pt idx="7">
                  <c:v>7.6</c:v>
                </c:pt>
                <c:pt idx="8">
                  <c:v>7.3</c:v>
                </c:pt>
                <c:pt idx="9">
                  <c:v>7.6</c:v>
                </c:pt>
                <c:pt idx="10">
                  <c:v>8.3000000000000007</c:v>
                </c:pt>
                <c:pt idx="11">
                  <c:v>6.3</c:v>
                </c:pt>
                <c:pt idx="12">
                  <c:v>5.7</c:v>
                </c:pt>
                <c:pt idx="13">
                  <c:v>5.2</c:v>
                </c:pt>
                <c:pt idx="14">
                  <c:v>6.7</c:v>
                </c:pt>
              </c:numCache>
            </c:numRef>
          </c:val>
          <c:extLst>
            <c:ext xmlns:c16="http://schemas.microsoft.com/office/drawing/2014/chart" uri="{C3380CC4-5D6E-409C-BE32-E72D297353CC}">
              <c16:uniqueId val="{00000000-9FC6-4C8E-9D0B-2856B39BC2F3}"/>
            </c:ext>
          </c:extLst>
        </c:ser>
        <c:dLbls>
          <c:showLegendKey val="0"/>
          <c:showVal val="0"/>
          <c:showCatName val="0"/>
          <c:showSerName val="0"/>
          <c:showPercent val="0"/>
          <c:showBubbleSize val="0"/>
        </c:dLbls>
        <c:gapWidth val="40"/>
        <c:axId val="742084800"/>
        <c:axId val="742080880"/>
      </c:barChart>
      <c:catAx>
        <c:axId val="742084800"/>
        <c:scaling>
          <c:orientation val="minMax"/>
        </c:scaling>
        <c:delete val="0"/>
        <c:axPos val="b"/>
        <c:numFmt formatCode="General" sourceLinked="0"/>
        <c:majorTickMark val="out"/>
        <c:minorTickMark val="none"/>
        <c:tickLblPos val="low"/>
        <c:crossAx val="742080880"/>
        <c:crosses val="autoZero"/>
        <c:auto val="1"/>
        <c:lblAlgn val="ctr"/>
        <c:lblOffset val="100"/>
        <c:noMultiLvlLbl val="0"/>
      </c:catAx>
      <c:valAx>
        <c:axId val="742080880"/>
        <c:scaling>
          <c:orientation val="minMax"/>
          <c:max val="12"/>
          <c:min val="0"/>
        </c:scaling>
        <c:delete val="0"/>
        <c:axPos val="l"/>
        <c:numFmt formatCode="0" sourceLinked="0"/>
        <c:majorTickMark val="out"/>
        <c:minorTickMark val="none"/>
        <c:tickLblPos val="low"/>
        <c:spPr>
          <a:ln>
            <a:noFill/>
          </a:ln>
        </c:spPr>
        <c:crossAx val="742084800"/>
        <c:crosses val="autoZero"/>
        <c:crossBetween val="between"/>
        <c:majorUnit val="3"/>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98261118683205"/>
          <c:y val="3.2516032383797001E-2"/>
          <c:w val="0.79547560965022701"/>
          <c:h val="0.86466716991630921"/>
        </c:manualLayout>
      </c:layout>
      <c:barChart>
        <c:barDir val="col"/>
        <c:grouping val="percentStacked"/>
        <c:varyColors val="0"/>
        <c:ser>
          <c:idx val="0"/>
          <c:order val="0"/>
          <c:tx>
            <c:strRef>
              <c:f>Sheet1!$A$2</c:f>
              <c:strCache>
                <c:ptCount val="1"/>
                <c:pt idx="0">
                  <c:v>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(Sheet1!$B$2,Sheet1!$F$2,Sheet1!$I$2,Sheet1!$L$2,Sheet1!$O$2)</c:f>
              <c:numCache>
                <c:formatCode>0</c:formatCode>
                <c:ptCount val="5"/>
                <c:pt idx="0">
                  <c:v>8.1391153762897748</c:v>
                </c:pt>
                <c:pt idx="1">
                  <c:v>6.3717398481346983</c:v>
                </c:pt>
                <c:pt idx="2">
                  <c:v>6.4780112092975282</c:v>
                </c:pt>
                <c:pt idx="3">
                  <c:v>6.0067987848980184</c:v>
                </c:pt>
                <c:pt idx="4">
                  <c:v>5.5756448668939624</c:v>
                </c:pt>
              </c:numCache>
            </c:numRef>
          </c:val>
          <c:extLst>
            <c:ext xmlns:c16="http://schemas.microsoft.com/office/drawing/2014/chart" uri="{C3380CC4-5D6E-409C-BE32-E72D297353CC}">
              <c16:uniqueId val="{00000000-BB23-4902-A256-7099E976AA94}"/>
            </c:ext>
          </c:extLst>
        </c:ser>
        <c:ser>
          <c:idx val="1"/>
          <c:order val="1"/>
          <c:tx>
            <c:strRef>
              <c:f>Sheet1!$A$3</c:f>
              <c:strCache>
                <c:ptCount val="1"/>
                <c:pt idx="0">
                  <c:v>Humanitārās zinātnes un māksla</c:v>
                </c:pt>
              </c:strCache>
            </c:strRef>
          </c:tx>
          <c:invertIfNegative val="0"/>
          <c:dLbls>
            <c:dLbl>
              <c:idx val="2"/>
              <c:tx>
                <c:rich>
                  <a:bodyPr/>
                  <a:lstStyle/>
                  <a:p>
                    <a:r>
                      <a:rPr lang="en-US" strike="noStrike"/>
                      <a:t>9</a:t>
                    </a:r>
                    <a:endParaRPr lang="en-US" strike="sngStrike"/>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B23-4902-A256-7099E976AA9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(Sheet1!$B$3,Sheet1!$F$3,Sheet1!$I$3,Sheet1!$L$3,Sheet1!$O$3)</c:f>
              <c:numCache>
                <c:formatCode>0</c:formatCode>
                <c:ptCount val="5"/>
                <c:pt idx="0">
                  <c:v>8.2593741732207704</c:v>
                </c:pt>
                <c:pt idx="1">
                  <c:v>8.6497193793331135</c:v>
                </c:pt>
                <c:pt idx="2">
                  <c:v>8.4138500154729563</c:v>
                </c:pt>
                <c:pt idx="3">
                  <c:v>7.9090120063648195</c:v>
                </c:pt>
                <c:pt idx="4">
                  <c:v>7.7935048386541306</c:v>
                </c:pt>
              </c:numCache>
            </c:numRef>
          </c:val>
          <c:extLst>
            <c:ext xmlns:c16="http://schemas.microsoft.com/office/drawing/2014/chart" uri="{C3380CC4-5D6E-409C-BE32-E72D297353CC}">
              <c16:uniqueId val="{00000002-BB23-4902-A256-7099E976AA94}"/>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(Sheet1!$B$4,Sheet1!$F$4,Sheet1!$I$4,Sheet1!$L$4,Sheet1!$O$4)</c:f>
              <c:numCache>
                <c:formatCode>0</c:formatCode>
                <c:ptCount val="5"/>
                <c:pt idx="0">
                  <c:v>50.386030738148492</c:v>
                </c:pt>
                <c:pt idx="1">
                  <c:v>39.986194063447286</c:v>
                </c:pt>
                <c:pt idx="2">
                  <c:v>34.876044424577934</c:v>
                </c:pt>
                <c:pt idx="3">
                  <c:v>34.814841602777378</c:v>
                </c:pt>
                <c:pt idx="4">
                  <c:v>36.14354099941454</c:v>
                </c:pt>
              </c:numCache>
            </c:numRef>
          </c:val>
          <c:extLst>
            <c:ext xmlns:c16="http://schemas.microsoft.com/office/drawing/2014/chart" uri="{C3380CC4-5D6E-409C-BE32-E72D297353CC}">
              <c16:uniqueId val="{00000003-BB23-4902-A256-7099E976AA94}"/>
            </c:ext>
          </c:extLst>
        </c:ser>
        <c:ser>
          <c:idx val="3"/>
          <c:order val="3"/>
          <c:tx>
            <c:strRef>
              <c:f>Sheet1!$A$5</c:f>
              <c:strCache>
                <c:ptCount val="1"/>
                <c:pt idx="0">
                  <c:v>Dabas zinātnes, matemātika un informācijas tehnoloģijas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(Sheet1!$B$5,Sheet1!$F$5,Sheet1!$I$5,Sheet1!$L$5,Sheet1!$O$5)</c:f>
              <c:numCache>
                <c:formatCode>0</c:formatCode>
                <c:ptCount val="5"/>
                <c:pt idx="0">
                  <c:v>5.668999687327128</c:v>
                </c:pt>
                <c:pt idx="1">
                  <c:v>8.1725141810978723</c:v>
                </c:pt>
                <c:pt idx="2">
                  <c:v>9.6173022040367222</c:v>
                </c:pt>
                <c:pt idx="3">
                  <c:v>10.234341096484883</c:v>
                </c:pt>
                <c:pt idx="4">
                  <c:v>11.023866101870027</c:v>
                </c:pt>
              </c:numCache>
            </c:numRef>
          </c:val>
          <c:extLst>
            <c:ext xmlns:c16="http://schemas.microsoft.com/office/drawing/2014/chart" uri="{C3380CC4-5D6E-409C-BE32-E72D297353CC}">
              <c16:uniqueId val="{00000004-BB23-4902-A256-7099E976AA94}"/>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(Sheet1!$B$6,Sheet1!$F$6,Sheet1!$I$6,Sheet1!$L$6,Sheet1!$O$6)</c:f>
              <c:numCache>
                <c:formatCode>0</c:formatCode>
                <c:ptCount val="5"/>
                <c:pt idx="0">
                  <c:v>13.050484642951632</c:v>
                </c:pt>
                <c:pt idx="1">
                  <c:v>15.927848975059275</c:v>
                </c:pt>
                <c:pt idx="2">
                  <c:v>17.302204036722486</c:v>
                </c:pt>
                <c:pt idx="3">
                  <c:v>16.020541009691886</c:v>
                </c:pt>
                <c:pt idx="4">
                  <c:v>14.495299101146813</c:v>
                </c:pt>
              </c:numCache>
            </c:numRef>
          </c:val>
          <c:extLst>
            <c:ext xmlns:c16="http://schemas.microsoft.com/office/drawing/2014/chart" uri="{C3380CC4-5D6E-409C-BE32-E72D297353CC}">
              <c16:uniqueId val="{00000005-BB23-4902-A256-7099E976AA94}"/>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(Sheet1!$B$7,Sheet1!$F$7,Sheet1!$I$7,Sheet1!$L$7,Sheet1!$O$7)</c:f>
              <c:numCache>
                <c:formatCode>0</c:formatCode>
                <c:ptCount val="5"/>
                <c:pt idx="0">
                  <c:v>0.84662193039420841</c:v>
                </c:pt>
                <c:pt idx="1">
                  <c:v>1.5516672169032684</c:v>
                </c:pt>
                <c:pt idx="2">
                  <c:v>1.6470102809201252</c:v>
                </c:pt>
                <c:pt idx="3">
                  <c:v>1.4537827281932592</c:v>
                </c:pt>
                <c:pt idx="4">
                  <c:v>1.5497468746771361</c:v>
                </c:pt>
              </c:numCache>
            </c:numRef>
          </c:val>
          <c:extLst>
            <c:ext xmlns:c16="http://schemas.microsoft.com/office/drawing/2014/chart" uri="{C3380CC4-5D6E-409C-BE32-E72D297353CC}">
              <c16:uniqueId val="{00000006-BB23-4902-A256-7099E976AA94}"/>
            </c:ext>
          </c:extLst>
        </c:ser>
        <c:ser>
          <c:idx val="6"/>
          <c:order val="6"/>
          <c:tx>
            <c:strRef>
              <c:f>Sheet1!$A$8</c:f>
              <c:strCache>
                <c:ptCount val="1"/>
                <c:pt idx="0">
                  <c:v>Veselības aprūpe un sociālā labklājība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(Sheet1!$B$8,Sheet1!$F$8,Sheet1!$I$8,Sheet1!$L$8,Sheet1!$O$8)</c:f>
              <c:numCache>
                <c:formatCode>0</c:formatCode>
                <c:ptCount val="5"/>
                <c:pt idx="0">
                  <c:v>7.0832431392356359</c:v>
                </c:pt>
                <c:pt idx="1">
                  <c:v>11.816080914793362</c:v>
                </c:pt>
                <c:pt idx="2">
                  <c:v>12.887253722105699</c:v>
                </c:pt>
                <c:pt idx="3">
                  <c:v>15.253869521191957</c:v>
                </c:pt>
                <c:pt idx="4">
                  <c:v>16.368770878534285</c:v>
                </c:pt>
              </c:numCache>
            </c:numRef>
          </c:val>
          <c:extLst>
            <c:ext xmlns:c16="http://schemas.microsoft.com/office/drawing/2014/chart" uri="{C3380CC4-5D6E-409C-BE32-E72D297353CC}">
              <c16:uniqueId val="{00000007-BB23-4902-A256-7099E976AA94}"/>
            </c:ext>
          </c:extLst>
        </c:ser>
        <c:ser>
          <c:idx val="7"/>
          <c:order val="7"/>
          <c:tx>
            <c:strRef>
              <c:f>Sheet1!$A$9</c:f>
              <c:strCache>
                <c:ptCount val="1"/>
                <c:pt idx="0">
                  <c:v>Pakalpojumi</c:v>
                </c:pt>
              </c:strCache>
            </c:strRef>
          </c:tx>
          <c:invertIfNegative val="0"/>
          <c:dPt>
            <c:idx val="0"/>
            <c:invertIfNegative val="0"/>
            <c:bubble3D val="0"/>
            <c:extLst>
              <c:ext xmlns:c16="http://schemas.microsoft.com/office/drawing/2014/chart" uri="{C3380CC4-5D6E-409C-BE32-E72D297353CC}">
                <c16:uniqueId val="{00000008-BB23-4902-A256-7099E976AA9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(Sheet1!$B$9,Sheet1!$F$9,Sheet1!$I$9,Sheet1!$L$9,Sheet1!$O$9)</c:f>
              <c:numCache>
                <c:formatCode>0</c:formatCode>
                <c:ptCount val="5"/>
                <c:pt idx="0">
                  <c:v>6.501190562089616</c:v>
                </c:pt>
                <c:pt idx="1">
                  <c:v>7.4912212251268038</c:v>
                </c:pt>
                <c:pt idx="2">
                  <c:v>8.7783241068665543</c:v>
                </c:pt>
                <c:pt idx="3">
                  <c:v>8.3068132503978021</c:v>
                </c:pt>
                <c:pt idx="4">
                  <c:v>7.0496263388091061</c:v>
                </c:pt>
              </c:numCache>
            </c:numRef>
          </c:val>
          <c:extLst>
            <c:ext xmlns:c16="http://schemas.microsoft.com/office/drawing/2014/chart" uri="{C3380CC4-5D6E-409C-BE32-E72D297353CC}">
              <c16:uniqueId val="{00000009-BB23-4902-A256-7099E976AA94}"/>
            </c:ext>
          </c:extLst>
        </c:ser>
        <c:dLbls>
          <c:showLegendKey val="0"/>
          <c:showVal val="0"/>
          <c:showCatName val="0"/>
          <c:showSerName val="0"/>
          <c:showPercent val="0"/>
          <c:showBubbleSize val="0"/>
        </c:dLbls>
        <c:gapWidth val="50"/>
        <c:overlap val="100"/>
        <c:axId val="742078136"/>
        <c:axId val="742077352"/>
      </c:barChart>
      <c:catAx>
        <c:axId val="742078136"/>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77352"/>
        <c:crosses val="autoZero"/>
        <c:auto val="1"/>
        <c:lblAlgn val="ctr"/>
        <c:lblOffset val="100"/>
        <c:noMultiLvlLbl val="0"/>
      </c:catAx>
      <c:valAx>
        <c:axId val="742077352"/>
        <c:scaling>
          <c:orientation val="minMax"/>
        </c:scaling>
        <c:delete val="0"/>
        <c:axPos val="l"/>
        <c:numFmt formatCode="0%" sourceLinked="1"/>
        <c:majorTickMark val="out"/>
        <c:minorTickMark val="none"/>
        <c:tickLblPos val="nextTo"/>
        <c:spPr>
          <a:ln w="3175"/>
        </c:spPr>
        <c:txPr>
          <a:bodyPr rot="0" vert="horz"/>
          <a:lstStyle/>
          <a:p>
            <a:pPr>
              <a:defRPr/>
            </a:pPr>
            <a:endParaRPr lang="lv-LV"/>
          </a:p>
        </c:txPr>
        <c:crossAx val="742078136"/>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0"/>
          <c:tx>
            <c:strRef>
              <c:f>Sheet1!$C$1</c:f>
              <c:strCache>
                <c:ptCount val="1"/>
                <c:pt idx="0">
                  <c:v>2021</c:v>
                </c:pt>
              </c:strCache>
            </c:strRef>
          </c:tx>
          <c:spPr>
            <a:solidFill>
              <a:srgbClr val="4BACC6">
                <a:lumMod val="75000"/>
              </a:srgbClr>
            </a:solidFill>
            <a:ln w="6350">
              <a:noFill/>
            </a:ln>
          </c:spPr>
          <c:invertIfNegative val="0"/>
          <c:dPt>
            <c:idx val="4"/>
            <c:invertIfNegative val="0"/>
            <c:bubble3D val="0"/>
            <c:extLst>
              <c:ext xmlns:c16="http://schemas.microsoft.com/office/drawing/2014/chart" uri="{C3380CC4-5D6E-409C-BE32-E72D297353CC}">
                <c16:uniqueId val="{00000001-EC61-4963-AF84-FC541865C4B7}"/>
              </c:ext>
            </c:extLst>
          </c:dPt>
          <c:dPt>
            <c:idx val="5"/>
            <c:invertIfNegative val="0"/>
            <c:bubble3D val="0"/>
            <c:extLst>
              <c:ext xmlns:c16="http://schemas.microsoft.com/office/drawing/2014/chart" uri="{C3380CC4-5D6E-409C-BE32-E72D297353CC}">
                <c16:uniqueId val="{00000002-EC61-4963-AF84-FC541865C4B7}"/>
              </c:ext>
            </c:extLst>
          </c:dPt>
          <c:dPt>
            <c:idx val="7"/>
            <c:invertIfNegative val="0"/>
            <c:bubble3D val="0"/>
            <c:extLst>
              <c:ext xmlns:c16="http://schemas.microsoft.com/office/drawing/2014/chart" uri="{C3380CC4-5D6E-409C-BE32-E72D297353CC}">
                <c16:uniqueId val="{00000003-EC61-4963-AF84-FC541865C4B7}"/>
              </c:ext>
            </c:extLst>
          </c:dPt>
          <c:dPt>
            <c:idx val="10"/>
            <c:invertIfNegative val="0"/>
            <c:bubble3D val="0"/>
            <c:spPr>
              <a:solidFill>
                <a:srgbClr val="C0504D">
                  <a:lumMod val="75000"/>
                </a:srgbClr>
              </a:solidFill>
              <a:ln w="6350">
                <a:noFill/>
              </a:ln>
            </c:spPr>
            <c:extLst>
              <c:ext xmlns:c16="http://schemas.microsoft.com/office/drawing/2014/chart" uri="{C3380CC4-5D6E-409C-BE32-E72D297353CC}">
                <c16:uniqueId val="{00000009-F900-4F3E-A693-C42AD6BDECA0}"/>
              </c:ext>
            </c:extLst>
          </c:dPt>
          <c:dPt>
            <c:idx val="15"/>
            <c:invertIfNegative val="0"/>
            <c:bubble3D val="0"/>
            <c:extLst>
              <c:ext xmlns:c16="http://schemas.microsoft.com/office/drawing/2014/chart" uri="{C3380CC4-5D6E-409C-BE32-E72D297353CC}">
                <c16:uniqueId val="{00000004-EC61-4963-AF84-FC541865C4B7}"/>
              </c:ext>
            </c:extLst>
          </c:dPt>
          <c:dPt>
            <c:idx val="16"/>
            <c:invertIfNegative val="0"/>
            <c:bubble3D val="0"/>
            <c:extLst>
              <c:ext xmlns:c16="http://schemas.microsoft.com/office/drawing/2014/chart" uri="{C3380CC4-5D6E-409C-BE32-E72D297353CC}">
                <c16:uniqueId val="{00000005-EC61-4963-AF84-FC541865C4B7}"/>
              </c:ext>
            </c:extLst>
          </c:dPt>
          <c:dPt>
            <c:idx val="17"/>
            <c:invertIfNegative val="0"/>
            <c:bubble3D val="0"/>
            <c:extLst>
              <c:ext xmlns:c16="http://schemas.microsoft.com/office/drawing/2014/chart" uri="{C3380CC4-5D6E-409C-BE32-E72D297353CC}">
                <c16:uniqueId val="{00000007-EC61-4963-AF84-FC541865C4B7}"/>
              </c:ext>
            </c:extLst>
          </c:dPt>
          <c:dPt>
            <c:idx val="19"/>
            <c:invertIfNegative val="0"/>
            <c:bubble3D val="0"/>
            <c:spPr>
              <a:solidFill>
                <a:srgbClr val="4F81BD">
                  <a:lumMod val="75000"/>
                </a:srgbClr>
              </a:solidFill>
              <a:ln w="6350">
                <a:noFill/>
              </a:ln>
            </c:spPr>
            <c:extLst>
              <c:ext xmlns:c16="http://schemas.microsoft.com/office/drawing/2014/chart" uri="{C3380CC4-5D6E-409C-BE32-E72D297353CC}">
                <c16:uniqueId val="{0000000A-F900-4F3E-A693-C42AD6BDECA0}"/>
              </c:ext>
            </c:extLst>
          </c:dPt>
          <c:dLbls>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Zviedrija</c:v>
                </c:pt>
                <c:pt idx="1">
                  <c:v>Nīderlande</c:v>
                </c:pt>
                <c:pt idx="2">
                  <c:v>Igaunija</c:v>
                </c:pt>
                <c:pt idx="3">
                  <c:v>Dānija</c:v>
                </c:pt>
                <c:pt idx="4">
                  <c:v>Lietuva</c:v>
                </c:pt>
                <c:pt idx="5">
                  <c:v>Kipra</c:v>
                </c:pt>
                <c:pt idx="6">
                  <c:v>Vācija</c:v>
                </c:pt>
                <c:pt idx="7">
                  <c:v>Malta</c:v>
                </c:pt>
                <c:pt idx="8">
                  <c:v>Īrija</c:v>
                </c:pt>
                <c:pt idx="9">
                  <c:v>Austrija</c:v>
                </c:pt>
                <c:pt idx="10">
                  <c:v>Latvija</c:v>
                </c:pt>
                <c:pt idx="11">
                  <c:v>Somija</c:v>
                </c:pt>
                <c:pt idx="12">
                  <c:v>Luksemburga</c:v>
                </c:pt>
                <c:pt idx="13">
                  <c:v>Čehija</c:v>
                </c:pt>
                <c:pt idx="14">
                  <c:v>Portugāle</c:v>
                </c:pt>
                <c:pt idx="15">
                  <c:v>Ungārija</c:v>
                </c:pt>
                <c:pt idx="16">
                  <c:v>Slovākija</c:v>
                </c:pt>
                <c:pt idx="17">
                  <c:v>Spānija</c:v>
                </c:pt>
                <c:pt idx="18">
                  <c:v>Slovēnija</c:v>
                </c:pt>
                <c:pt idx="19">
                  <c:v>ES27</c:v>
                </c:pt>
                <c:pt idx="20">
                  <c:v>Francija</c:v>
                </c:pt>
                <c:pt idx="21">
                  <c:v>Polija</c:v>
                </c:pt>
                <c:pt idx="22">
                  <c:v>Bulgārija</c:v>
                </c:pt>
                <c:pt idx="23">
                  <c:v>Beļģija</c:v>
                </c:pt>
                <c:pt idx="24">
                  <c:v>Grieķija</c:v>
                </c:pt>
                <c:pt idx="25">
                  <c:v>Horvātija</c:v>
                </c:pt>
                <c:pt idx="26">
                  <c:v>Rumānija</c:v>
                </c:pt>
                <c:pt idx="27">
                  <c:v>Itālija</c:v>
                </c:pt>
              </c:strCache>
            </c:strRef>
          </c:cat>
          <c:val>
            <c:numRef>
              <c:f>Sheet1!$C$2:$C$29</c:f>
              <c:numCache>
                <c:formatCode>#\ ##0.0</c:formatCode>
                <c:ptCount val="28"/>
                <c:pt idx="0">
                  <c:v>73.8</c:v>
                </c:pt>
                <c:pt idx="1">
                  <c:v>73.5</c:v>
                </c:pt>
                <c:pt idx="2">
                  <c:v>71.099999999999994</c:v>
                </c:pt>
                <c:pt idx="3">
                  <c:v>70.2</c:v>
                </c:pt>
                <c:pt idx="4">
                  <c:v>70.099999999999994</c:v>
                </c:pt>
                <c:pt idx="5">
                  <c:v>69.2</c:v>
                </c:pt>
                <c:pt idx="6">
                  <c:v>69.099999999999994</c:v>
                </c:pt>
                <c:pt idx="7">
                  <c:v>68.5</c:v>
                </c:pt>
                <c:pt idx="8">
                  <c:v>68.400000000000006</c:v>
                </c:pt>
                <c:pt idx="9">
                  <c:v>68.2</c:v>
                </c:pt>
                <c:pt idx="10">
                  <c:v>67.7</c:v>
                </c:pt>
                <c:pt idx="11">
                  <c:v>67.400000000000006</c:v>
                </c:pt>
                <c:pt idx="12">
                  <c:v>66.7</c:v>
                </c:pt>
                <c:pt idx="13">
                  <c:v>66</c:v>
                </c:pt>
                <c:pt idx="14">
                  <c:v>65.8</c:v>
                </c:pt>
                <c:pt idx="15">
                  <c:v>65.599999999999994</c:v>
                </c:pt>
                <c:pt idx="16">
                  <c:v>65.3</c:v>
                </c:pt>
                <c:pt idx="17">
                  <c:v>64.7</c:v>
                </c:pt>
                <c:pt idx="18">
                  <c:v>64.599999999999994</c:v>
                </c:pt>
                <c:pt idx="19">
                  <c:v>64.099999999999994</c:v>
                </c:pt>
                <c:pt idx="20">
                  <c:v>62.6</c:v>
                </c:pt>
                <c:pt idx="21">
                  <c:v>62.3</c:v>
                </c:pt>
                <c:pt idx="22">
                  <c:v>61.8</c:v>
                </c:pt>
                <c:pt idx="23">
                  <c:v>60.6</c:v>
                </c:pt>
                <c:pt idx="24">
                  <c:v>58.5</c:v>
                </c:pt>
                <c:pt idx="25">
                  <c:v>58.4</c:v>
                </c:pt>
                <c:pt idx="26">
                  <c:v>56.4</c:v>
                </c:pt>
                <c:pt idx="27">
                  <c:v>55.9</c:v>
                </c:pt>
              </c:numCache>
            </c:numRef>
          </c:val>
          <c:extLst>
            <c:ext xmlns:c16="http://schemas.microsoft.com/office/drawing/2014/chart" uri="{C3380CC4-5D6E-409C-BE32-E72D297353CC}">
              <c16:uniqueId val="{00000008-EC61-4963-AF84-FC541865C4B7}"/>
            </c:ext>
          </c:extLst>
        </c:ser>
        <c:dLbls>
          <c:showLegendKey val="0"/>
          <c:showVal val="0"/>
          <c:showCatName val="0"/>
          <c:showSerName val="0"/>
          <c:showPercent val="0"/>
          <c:showBubbleSize val="0"/>
        </c:dLbls>
        <c:gapWidth val="40"/>
        <c:axId val="742147520"/>
        <c:axId val="742148304"/>
      </c:barChart>
      <c:lineChart>
        <c:grouping val="stacked"/>
        <c:varyColors val="0"/>
        <c:ser>
          <c:idx val="1"/>
          <c:order val="1"/>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Zviedrija</c:v>
                </c:pt>
                <c:pt idx="1">
                  <c:v>Nīderlande</c:v>
                </c:pt>
                <c:pt idx="2">
                  <c:v>Igaunija</c:v>
                </c:pt>
                <c:pt idx="3">
                  <c:v>Dānija</c:v>
                </c:pt>
                <c:pt idx="4">
                  <c:v>Lietuva</c:v>
                </c:pt>
                <c:pt idx="5">
                  <c:v>Kipra</c:v>
                </c:pt>
                <c:pt idx="6">
                  <c:v>Vācija</c:v>
                </c:pt>
                <c:pt idx="7">
                  <c:v>Malta</c:v>
                </c:pt>
                <c:pt idx="8">
                  <c:v>Īrija</c:v>
                </c:pt>
                <c:pt idx="9">
                  <c:v>Austrija</c:v>
                </c:pt>
                <c:pt idx="10">
                  <c:v>Latvija</c:v>
                </c:pt>
                <c:pt idx="11">
                  <c:v>Somija</c:v>
                </c:pt>
                <c:pt idx="12">
                  <c:v>Luksemburga</c:v>
                </c:pt>
                <c:pt idx="13">
                  <c:v>Čehija</c:v>
                </c:pt>
                <c:pt idx="14">
                  <c:v>Portugāle</c:v>
                </c:pt>
                <c:pt idx="15">
                  <c:v>Ungārija</c:v>
                </c:pt>
                <c:pt idx="16">
                  <c:v>Slovākija</c:v>
                </c:pt>
                <c:pt idx="17">
                  <c:v>Spānija</c:v>
                </c:pt>
                <c:pt idx="18">
                  <c:v>Slovēnija</c:v>
                </c:pt>
                <c:pt idx="19">
                  <c:v>ES27</c:v>
                </c:pt>
                <c:pt idx="20">
                  <c:v>Francija</c:v>
                </c:pt>
                <c:pt idx="21">
                  <c:v>Polija</c:v>
                </c:pt>
                <c:pt idx="22">
                  <c:v>Bulgārija</c:v>
                </c:pt>
                <c:pt idx="23">
                  <c:v>Beļģija</c:v>
                </c:pt>
                <c:pt idx="24">
                  <c:v>Grieķija</c:v>
                </c:pt>
                <c:pt idx="25">
                  <c:v>Horvātija</c:v>
                </c:pt>
                <c:pt idx="26">
                  <c:v>Rumānija</c:v>
                </c:pt>
                <c:pt idx="27">
                  <c:v>Itālija</c:v>
                </c:pt>
              </c:strCache>
            </c:strRef>
          </c:cat>
          <c:val>
            <c:numRef>
              <c:f>Sheet1!$B$2:$B$29</c:f>
              <c:numCache>
                <c:formatCode>0.0</c:formatCode>
                <c:ptCount val="28"/>
                <c:pt idx="0">
                  <c:v>70.5</c:v>
                </c:pt>
                <c:pt idx="1">
                  <c:v>70.2</c:v>
                </c:pt>
                <c:pt idx="2">
                  <c:v>66.599999999999994</c:v>
                </c:pt>
                <c:pt idx="3">
                  <c:v>69.5</c:v>
                </c:pt>
                <c:pt idx="4">
                  <c:v>62.5</c:v>
                </c:pt>
                <c:pt idx="5">
                  <c:v>68</c:v>
                </c:pt>
                <c:pt idx="6">
                  <c:v>65.8</c:v>
                </c:pt>
                <c:pt idx="7">
                  <c:v>54.3</c:v>
                </c:pt>
                <c:pt idx="8">
                  <c:v>66.5</c:v>
                </c:pt>
                <c:pt idx="9">
                  <c:v>66.099999999999994</c:v>
                </c:pt>
                <c:pt idx="10">
                  <c:v>64.599999999999994</c:v>
                </c:pt>
                <c:pt idx="11">
                  <c:v>66.400000000000006</c:v>
                </c:pt>
                <c:pt idx="12">
                  <c:v>61</c:v>
                </c:pt>
                <c:pt idx="13">
                  <c:v>63.1</c:v>
                </c:pt>
                <c:pt idx="14">
                  <c:v>67.099999999999994</c:v>
                </c:pt>
                <c:pt idx="15">
                  <c:v>54.8</c:v>
                </c:pt>
                <c:pt idx="16">
                  <c:v>62.8</c:v>
                </c:pt>
                <c:pt idx="17">
                  <c:v>66.099999999999994</c:v>
                </c:pt>
                <c:pt idx="18">
                  <c:v>64.3</c:v>
                </c:pt>
                <c:pt idx="19">
                  <c:v>62.5</c:v>
                </c:pt>
                <c:pt idx="20">
                  <c:v>62.9</c:v>
                </c:pt>
                <c:pt idx="21">
                  <c:v>59.7</c:v>
                </c:pt>
                <c:pt idx="22">
                  <c:v>58.8</c:v>
                </c:pt>
                <c:pt idx="23">
                  <c:v>60.3</c:v>
                </c:pt>
                <c:pt idx="24">
                  <c:v>60</c:v>
                </c:pt>
                <c:pt idx="25">
                  <c:v>57.8</c:v>
                </c:pt>
                <c:pt idx="26">
                  <c:v>60</c:v>
                </c:pt>
                <c:pt idx="27">
                  <c:v>54.3</c:v>
                </c:pt>
              </c:numCache>
            </c:numRef>
          </c:val>
          <c:smooth val="0"/>
          <c:extLst>
            <c:ext xmlns:c16="http://schemas.microsoft.com/office/drawing/2014/chart" uri="{C3380CC4-5D6E-409C-BE32-E72D297353CC}">
              <c16:uniqueId val="{00000009-EC61-4963-AF84-FC541865C4B7}"/>
            </c:ext>
          </c:extLst>
        </c:ser>
        <c:dLbls>
          <c:showLegendKey val="0"/>
          <c:showVal val="0"/>
          <c:showCatName val="0"/>
          <c:showSerName val="0"/>
          <c:showPercent val="0"/>
          <c:showBubbleSize val="0"/>
        </c:dLbls>
        <c:marker val="1"/>
        <c:smooth val="0"/>
        <c:axId val="742147520"/>
        <c:axId val="742148304"/>
      </c:lineChart>
      <c:catAx>
        <c:axId val="742147520"/>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lv-LV"/>
          </a:p>
        </c:txPr>
        <c:crossAx val="742148304"/>
        <c:crosses val="autoZero"/>
        <c:auto val="0"/>
        <c:lblAlgn val="ctr"/>
        <c:lblOffset val="0"/>
        <c:tickLblSkip val="1"/>
        <c:noMultiLvlLbl val="0"/>
      </c:catAx>
      <c:valAx>
        <c:axId val="742148304"/>
        <c:scaling>
          <c:orientation val="minMax"/>
          <c:min val="50"/>
        </c:scaling>
        <c:delete val="0"/>
        <c:axPos val="l"/>
        <c:numFmt formatCode="#,##0" sourceLinked="0"/>
        <c:majorTickMark val="out"/>
        <c:minorTickMark val="none"/>
        <c:tickLblPos val="nextTo"/>
        <c:spPr>
          <a:ln w="6350">
            <a:noFill/>
          </a:ln>
        </c:spPr>
        <c:txPr>
          <a:bodyPr rot="0" vert="horz"/>
          <a:lstStyle/>
          <a:p>
            <a:pPr>
              <a:defRPr/>
            </a:pPr>
            <a:endParaRPr lang="lv-LV"/>
          </a:p>
        </c:txPr>
        <c:crossAx val="742147520"/>
        <c:crosses val="autoZero"/>
        <c:crossBetween val="between"/>
      </c:valAx>
      <c:spPr>
        <a:noFill/>
        <a:ln w="6350">
          <a:noFill/>
        </a:ln>
      </c:spPr>
    </c:plotArea>
    <c:legend>
      <c:legendPos val="t"/>
      <c:layout>
        <c:manualLayout>
          <c:xMode val="edge"/>
          <c:yMode val="edge"/>
          <c:x val="0.72095035179426104"/>
          <c:y val="7.4607977736978706E-2"/>
          <c:w val="9.9371225655616555E-2"/>
          <c:h val="0.17486797537546853"/>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3329554037277864"/>
          <c:h val="0.87181445012699077"/>
        </c:manualLayout>
      </c:layout>
      <c:barChart>
        <c:barDir val="col"/>
        <c:grouping val="percentStacked"/>
        <c:varyColors val="0"/>
        <c:ser>
          <c:idx val="0"/>
          <c:order val="0"/>
          <c:tx>
            <c:strRef>
              <c:f>Sheet1!$A$2</c:f>
              <c:strCache>
                <c:ptCount val="1"/>
                <c:pt idx="0">
                  <c:v>Izglītība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(Sheet1!$B$2,Sheet1!$F$2,Sheet1!$I$2,Sheet1!$L$2,Sheet1!$O$2)</c:f>
              <c:numCache>
                <c:formatCode>0</c:formatCode>
                <c:ptCount val="5"/>
                <c:pt idx="0">
                  <c:v>10.314439387670667</c:v>
                </c:pt>
                <c:pt idx="1">
                  <c:v>7.581967213114754</c:v>
                </c:pt>
                <c:pt idx="2">
                  <c:v>6.7504846953762989</c:v>
                </c:pt>
                <c:pt idx="3">
                  <c:v>7.7198463841697578</c:v>
                </c:pt>
                <c:pt idx="4">
                  <c:v>8.8053307948595911</c:v>
                </c:pt>
              </c:numCache>
            </c:numRef>
          </c:val>
          <c:extLst>
            <c:ext xmlns:c16="http://schemas.microsoft.com/office/drawing/2014/chart" uri="{C3380CC4-5D6E-409C-BE32-E72D297353CC}">
              <c16:uniqueId val="{00000000-FD2C-4154-80EE-A615616ACEBB}"/>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(Sheet1!$B$3,Sheet1!$F$3,Sheet1!$I$3,Sheet1!$L$3,Sheet1!$O$3)</c:f>
              <c:numCache>
                <c:formatCode>0</c:formatCode>
                <c:ptCount val="5"/>
                <c:pt idx="0">
                  <c:v>7.1452213487794793</c:v>
                </c:pt>
                <c:pt idx="1">
                  <c:v>8.0383755588673633</c:v>
                </c:pt>
                <c:pt idx="2">
                  <c:v>9.1181481699077604</c:v>
                </c:pt>
                <c:pt idx="3">
                  <c:v>7.9867213434876003</c:v>
                </c:pt>
                <c:pt idx="4">
                  <c:v>7.6902155436186854</c:v>
                </c:pt>
              </c:numCache>
            </c:numRef>
          </c:val>
          <c:extLst>
            <c:ext xmlns:c16="http://schemas.microsoft.com/office/drawing/2014/chart" uri="{C3380CC4-5D6E-409C-BE32-E72D297353CC}">
              <c16:uniqueId val="{00000001-FD2C-4154-80EE-A615616ACEBB}"/>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(Sheet1!$B$4,Sheet1!$F$4,Sheet1!$I$4,Sheet1!$L$4,Sheet1!$O$4)</c:f>
              <c:numCache>
                <c:formatCode>0</c:formatCode>
                <c:ptCount val="5"/>
                <c:pt idx="0">
                  <c:v>55.035167563094745</c:v>
                </c:pt>
                <c:pt idx="1">
                  <c:v>47.038002980625933</c:v>
                </c:pt>
                <c:pt idx="2">
                  <c:v>40.079901298396095</c:v>
                </c:pt>
                <c:pt idx="3">
                  <c:v>36.418668228861549</c:v>
                </c:pt>
                <c:pt idx="4">
                  <c:v>35.928469436322843</c:v>
                </c:pt>
              </c:numCache>
            </c:numRef>
          </c:val>
          <c:extLst>
            <c:ext xmlns:c16="http://schemas.microsoft.com/office/drawing/2014/chart" uri="{C3380CC4-5D6E-409C-BE32-E72D297353CC}">
              <c16:uniqueId val="{00000002-FD2C-4154-80EE-A615616ACEBB}"/>
            </c:ext>
          </c:extLst>
        </c:ser>
        <c:ser>
          <c:idx val="3"/>
          <c:order val="3"/>
          <c:tx>
            <c:strRef>
              <c:f>Sheet1!$A$5</c:f>
              <c:strCache>
                <c:ptCount val="1"/>
                <c:pt idx="0">
                  <c:v>Dabas zinātnes, matemātika un informācijas tehnoloģijas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(Sheet1!$B$5,Sheet1!$F$5,Sheet1!$I$5,Sheet1!$L$5,Sheet1!$O$5)</c:f>
              <c:numCache>
                <c:formatCode>0</c:formatCode>
                <c:ptCount val="5"/>
                <c:pt idx="0">
                  <c:v>5.0682664460074474</c:v>
                </c:pt>
                <c:pt idx="1">
                  <c:v>6.3198584202682566</c:v>
                </c:pt>
                <c:pt idx="2">
                  <c:v>7.138240996416191</c:v>
                </c:pt>
                <c:pt idx="3">
                  <c:v>6.8150751806287841</c:v>
                </c:pt>
                <c:pt idx="4">
                  <c:v>7.2550486163051611</c:v>
                </c:pt>
              </c:numCache>
            </c:numRef>
          </c:val>
          <c:extLst>
            <c:ext xmlns:c16="http://schemas.microsoft.com/office/drawing/2014/chart" uri="{C3380CC4-5D6E-409C-BE32-E72D297353CC}">
              <c16:uniqueId val="{00000003-FD2C-4154-80EE-A615616ACEBB}"/>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(Sheet1!$B$6,Sheet1!$F$6,Sheet1!$I$6,Sheet1!$L$6,Sheet1!$O$6)</c:f>
              <c:numCache>
                <c:formatCode>0</c:formatCode>
                <c:ptCount val="5"/>
                <c:pt idx="0">
                  <c:v>7.5879189077368636</c:v>
                </c:pt>
                <c:pt idx="1">
                  <c:v>12.439456035767511</c:v>
                </c:pt>
                <c:pt idx="2">
                  <c:v>12.48457787439046</c:v>
                </c:pt>
                <c:pt idx="3">
                  <c:v>12.770943175161101</c:v>
                </c:pt>
                <c:pt idx="4">
                  <c:v>11.341538043108724</c:v>
                </c:pt>
              </c:numCache>
            </c:numRef>
          </c:val>
          <c:extLst>
            <c:ext xmlns:c16="http://schemas.microsoft.com/office/drawing/2014/chart" uri="{C3380CC4-5D6E-409C-BE32-E72D297353CC}">
              <c16:uniqueId val="{00000004-FD2C-4154-80EE-A615616ACEBB}"/>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(Sheet1!$B$7,Sheet1!$F$7,Sheet1!$I$7,Sheet1!$L$7,Sheet1!$O$7)</c:f>
              <c:numCache>
                <c:formatCode>0</c:formatCode>
                <c:ptCount val="5"/>
                <c:pt idx="0">
                  <c:v>0.74472486553578821</c:v>
                </c:pt>
                <c:pt idx="1">
                  <c:v>1.0758196721311475</c:v>
                </c:pt>
                <c:pt idx="2">
                  <c:v>1.6861523999764996</c:v>
                </c:pt>
                <c:pt idx="3">
                  <c:v>2.2000911280348889</c:v>
                </c:pt>
                <c:pt idx="4">
                  <c:v>1.2579043992656558</c:v>
                </c:pt>
              </c:numCache>
            </c:numRef>
          </c:val>
          <c:extLst>
            <c:ext xmlns:c16="http://schemas.microsoft.com/office/drawing/2014/chart" uri="{C3380CC4-5D6E-409C-BE32-E72D297353CC}">
              <c16:uniqueId val="{00000005-FD2C-4154-80EE-A615616ACEBB}"/>
            </c:ext>
          </c:extLst>
        </c:ser>
        <c:ser>
          <c:idx val="6"/>
          <c:order val="6"/>
          <c:tx>
            <c:strRef>
              <c:f>Sheet1!$A$8</c:f>
              <c:strCache>
                <c:ptCount val="1"/>
                <c:pt idx="0">
                  <c:v>Veselības aprūpe un sociālā labklājība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(Sheet1!$B$8,Sheet1!$F$8,Sheet1!$I$8,Sheet1!$L$8,Sheet1!$O$8)</c:f>
              <c:numCache>
                <c:formatCode>0</c:formatCode>
                <c:ptCount val="5"/>
                <c:pt idx="0">
                  <c:v>7.9313198179561439</c:v>
                </c:pt>
                <c:pt idx="1">
                  <c:v>10.716281669150522</c:v>
                </c:pt>
                <c:pt idx="2">
                  <c:v>13.994477410257916</c:v>
                </c:pt>
                <c:pt idx="3">
                  <c:v>17.483564407993228</c:v>
                </c:pt>
                <c:pt idx="4">
                  <c:v>18.487794927585504</c:v>
                </c:pt>
              </c:numCache>
            </c:numRef>
          </c:val>
          <c:extLst>
            <c:ext xmlns:c16="http://schemas.microsoft.com/office/drawing/2014/chart" uri="{C3380CC4-5D6E-409C-BE32-E72D297353CC}">
              <c16:uniqueId val="{00000006-FD2C-4154-80EE-A615616ACEBB}"/>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(Sheet1!$B$9,Sheet1!$F$9,Sheet1!$I$9,Sheet1!$L$9,Sheet1!$O$9)</c:f>
              <c:numCache>
                <c:formatCode>0</c:formatCode>
                <c:ptCount val="5"/>
                <c:pt idx="0">
                  <c:v>6.0322714108398845</c:v>
                </c:pt>
                <c:pt idx="1">
                  <c:v>6.790238450074515</c:v>
                </c:pt>
                <c:pt idx="2">
                  <c:v>8.748017155278772</c:v>
                </c:pt>
                <c:pt idx="3">
                  <c:v>8.6050901516630862</c:v>
                </c:pt>
                <c:pt idx="4">
                  <c:v>9.2336982389338402</c:v>
                </c:pt>
              </c:numCache>
            </c:numRef>
          </c:val>
          <c:extLst>
            <c:ext xmlns:c16="http://schemas.microsoft.com/office/drawing/2014/chart" uri="{C3380CC4-5D6E-409C-BE32-E72D297353CC}">
              <c16:uniqueId val="{00000007-FD2C-4154-80EE-A615616ACEBB}"/>
            </c:ext>
          </c:extLst>
        </c:ser>
        <c:dLbls>
          <c:showLegendKey val="0"/>
          <c:showVal val="0"/>
          <c:showCatName val="0"/>
          <c:showSerName val="0"/>
          <c:showPercent val="0"/>
          <c:showBubbleSize val="0"/>
        </c:dLbls>
        <c:gapWidth val="50"/>
        <c:overlap val="100"/>
        <c:axId val="742080488"/>
        <c:axId val="742081272"/>
      </c:barChart>
      <c:catAx>
        <c:axId val="742080488"/>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742081272"/>
        <c:crosses val="autoZero"/>
        <c:auto val="1"/>
        <c:lblAlgn val="ctr"/>
        <c:lblOffset val="100"/>
        <c:noMultiLvlLbl val="0"/>
      </c:catAx>
      <c:valAx>
        <c:axId val="742081272"/>
        <c:scaling>
          <c:orientation val="minMax"/>
        </c:scaling>
        <c:delete val="0"/>
        <c:axPos val="l"/>
        <c:numFmt formatCode="0%" sourceLinked="1"/>
        <c:majorTickMark val="out"/>
        <c:minorTickMark val="none"/>
        <c:tickLblPos val="nextTo"/>
        <c:spPr>
          <a:ln w="3175"/>
        </c:spPr>
        <c:txPr>
          <a:bodyPr rot="0" vert="horz"/>
          <a:lstStyle/>
          <a:p>
            <a:pPr>
              <a:defRPr/>
            </a:pPr>
            <a:endParaRPr lang="lv-LV"/>
          </a:p>
        </c:txPr>
        <c:crossAx val="742080488"/>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3790778137209829"/>
          <c:y val="2.9322738259412468E-2"/>
          <c:w val="3.6856226305045203E-2"/>
          <c:h val="6.1313601603974706E-2"/>
        </c:manualLayout>
      </c:layout>
      <c:barChart>
        <c:barDir val="col"/>
        <c:grouping val="percentStacked"/>
        <c:varyColors val="0"/>
        <c:ser>
          <c:idx val="0"/>
          <c:order val="0"/>
          <c:tx>
            <c:strRef>
              <c:f>Sheet1!$A$2</c:f>
              <c:strCache>
                <c:ptCount val="1"/>
                <c:pt idx="0">
                  <c:v>Izglītība</c:v>
                </c:pt>
              </c:strCache>
            </c:strRef>
          </c:tx>
          <c:invertIfNegative val="0"/>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10.314439387670667</c:v>
                </c:pt>
                <c:pt idx="1">
                  <c:v>8.3104162742512706</c:v>
                </c:pt>
                <c:pt idx="2">
                  <c:v>7.487274409995373</c:v>
                </c:pt>
              </c:numCache>
            </c:numRef>
          </c:val>
          <c:extLst>
            <c:ext xmlns:c16="http://schemas.microsoft.com/office/drawing/2014/chart" uri="{C3380CC4-5D6E-409C-BE32-E72D297353CC}">
              <c16:uniqueId val="{00000000-C756-4AC5-9E83-91F9C5F69FC4}"/>
            </c:ext>
          </c:extLst>
        </c:ser>
        <c:ser>
          <c:idx val="1"/>
          <c:order val="1"/>
          <c:tx>
            <c:strRef>
              <c:f>Sheet1!$A$3</c:f>
              <c:strCache>
                <c:ptCount val="1"/>
                <c:pt idx="0">
                  <c:v>Humanitārās zinātnes un māksla</c:v>
                </c:pt>
              </c:strCache>
            </c:strRef>
          </c:tx>
          <c:invertIfNegative val="0"/>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7.1452213487794793</c:v>
                </c:pt>
                <c:pt idx="1">
                  <c:v>7.2216990016952352</c:v>
                </c:pt>
                <c:pt idx="2">
                  <c:v>8.2415548357242017</c:v>
                </c:pt>
              </c:numCache>
            </c:numRef>
          </c:val>
          <c:extLst>
            <c:ext xmlns:c16="http://schemas.microsoft.com/office/drawing/2014/chart" uri="{C3380CC4-5D6E-409C-BE32-E72D297353CC}">
              <c16:uniqueId val="{00000001-C756-4AC5-9E83-91F9C5F69FC4}"/>
            </c:ext>
          </c:extLst>
        </c:ser>
        <c:ser>
          <c:idx val="2"/>
          <c:order val="2"/>
          <c:tx>
            <c:strRef>
              <c:f>Sheet1!$A$4</c:f>
              <c:strCache>
                <c:ptCount val="1"/>
                <c:pt idx="0">
                  <c:v>Sociālās zinātnes, komerczinības un tiesības</c:v>
                </c:pt>
              </c:strCache>
            </c:strRef>
          </c:tx>
          <c:invertIfNegative val="0"/>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54.311546430589566</c:v>
                </c:pt>
                <c:pt idx="2">
                  <c:v>39.861175381767701</c:v>
                </c:pt>
              </c:numCache>
            </c:numRef>
          </c:val>
          <c:extLst>
            <c:ext xmlns:c16="http://schemas.microsoft.com/office/drawing/2014/chart" uri="{C3380CC4-5D6E-409C-BE32-E72D297353CC}">
              <c16:uniqueId val="{00000002-C756-4AC5-9E83-91F9C5F69FC4}"/>
            </c:ext>
          </c:extLst>
        </c:ser>
        <c:ser>
          <c:idx val="3"/>
          <c:order val="3"/>
          <c:tx>
            <c:strRef>
              <c:f>Sheet1!$A$5</c:f>
              <c:strCache>
                <c:ptCount val="1"/>
                <c:pt idx="0">
                  <c:v>Dabas zinātnes, matemātika un informācijas tehnoloģijas</c:v>
                </c:pt>
              </c:strCache>
            </c:strRef>
          </c:tx>
          <c:invertIfNegative val="0"/>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5.0682664460074474</c:v>
                </c:pt>
                <c:pt idx="1">
                  <c:v>5.0329628932002262</c:v>
                </c:pt>
                <c:pt idx="2">
                  <c:v>5.9602036094400743</c:v>
                </c:pt>
              </c:numCache>
            </c:numRef>
          </c:val>
          <c:extLst>
            <c:ext xmlns:c16="http://schemas.microsoft.com/office/drawing/2014/chart" uri="{C3380CC4-5D6E-409C-BE32-E72D297353CC}">
              <c16:uniqueId val="{00000003-C756-4AC5-9E83-91F9C5F69FC4}"/>
            </c:ext>
          </c:extLst>
        </c:ser>
        <c:ser>
          <c:idx val="4"/>
          <c:order val="4"/>
          <c:tx>
            <c:strRef>
              <c:f>Sheet1!$A$6</c:f>
              <c:strCache>
                <c:ptCount val="1"/>
                <c:pt idx="0">
                  <c:v>Inženierzinātnes, ražošana  un būvniecība</c:v>
                </c:pt>
              </c:strCache>
            </c:strRef>
          </c:tx>
          <c:invertIfNegative val="0"/>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7.5879189077368636</c:v>
                </c:pt>
                <c:pt idx="1">
                  <c:v>9.2861179129779625</c:v>
                </c:pt>
                <c:pt idx="2">
                  <c:v>11.943544655252198</c:v>
                </c:pt>
              </c:numCache>
            </c:numRef>
          </c:val>
          <c:extLst>
            <c:ext xmlns:c16="http://schemas.microsoft.com/office/drawing/2014/chart" uri="{C3380CC4-5D6E-409C-BE32-E72D297353CC}">
              <c16:uniqueId val="{00000004-C756-4AC5-9E83-91F9C5F69FC4}"/>
            </c:ext>
          </c:extLst>
        </c:ser>
        <c:ser>
          <c:idx val="5"/>
          <c:order val="5"/>
          <c:tx>
            <c:strRef>
              <c:f>Sheet1!$A$7</c:f>
              <c:strCache>
                <c:ptCount val="1"/>
                <c:pt idx="0">
                  <c:v>Lauksaimniecība</c:v>
                </c:pt>
              </c:strCache>
            </c:strRef>
          </c:tx>
          <c:invertIfNegative val="0"/>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0.74472486553578821</c:v>
                </c:pt>
                <c:pt idx="1">
                  <c:v>0.86268600489734415</c:v>
                </c:pt>
                <c:pt idx="2">
                  <c:v>1.073577047663119</c:v>
                </c:pt>
              </c:numCache>
            </c:numRef>
          </c:val>
          <c:extLst>
            <c:ext xmlns:c16="http://schemas.microsoft.com/office/drawing/2014/chart" uri="{C3380CC4-5D6E-409C-BE32-E72D297353CC}">
              <c16:uniqueId val="{00000005-C756-4AC5-9E83-91F9C5F69FC4}"/>
            </c:ext>
          </c:extLst>
        </c:ser>
        <c:ser>
          <c:idx val="6"/>
          <c:order val="6"/>
          <c:tx>
            <c:strRef>
              <c:f>Sheet1!$A$8</c:f>
              <c:strCache>
                <c:ptCount val="1"/>
                <c:pt idx="0">
                  <c:v>Veselības aprūpe un sociālā labklājība</c:v>
                </c:pt>
              </c:strCache>
            </c:strRef>
          </c:tx>
          <c:invertIfNegative val="0"/>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9.2522132228291589</c:v>
                </c:pt>
                <c:pt idx="2">
                  <c:v>18.232299861175385</c:v>
                </c:pt>
              </c:numCache>
            </c:numRef>
          </c:val>
          <c:extLst>
            <c:ext xmlns:c16="http://schemas.microsoft.com/office/drawing/2014/chart" uri="{C3380CC4-5D6E-409C-BE32-E72D297353CC}">
              <c16:uniqueId val="{00000006-C756-4AC5-9E83-91F9C5F69FC4}"/>
            </c:ext>
          </c:extLst>
        </c:ser>
        <c:ser>
          <c:idx val="7"/>
          <c:order val="7"/>
          <c:tx>
            <c:strRef>
              <c:f>Sheet1!$A$9</c:f>
              <c:strCache>
                <c:ptCount val="1"/>
                <c:pt idx="0">
                  <c:v>Pakalpojumi</c:v>
                </c:pt>
              </c:strCache>
            </c:strRef>
          </c:tx>
          <c:invertIfNegative val="0"/>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6.0322714108398845</c:v>
                </c:pt>
                <c:pt idx="1">
                  <c:v>5.6507816914673192</c:v>
                </c:pt>
                <c:pt idx="2">
                  <c:v>7.2003701989819522</c:v>
                </c:pt>
              </c:numCache>
            </c:numRef>
          </c:val>
          <c:extLst>
            <c:ext xmlns:c16="http://schemas.microsoft.com/office/drawing/2014/chart" uri="{C3380CC4-5D6E-409C-BE32-E72D297353CC}">
              <c16:uniqueId val="{00000007-C756-4AC5-9E83-91F9C5F69FC4}"/>
            </c:ext>
          </c:extLst>
        </c:ser>
        <c:dLbls>
          <c:showLegendKey val="0"/>
          <c:showVal val="0"/>
          <c:showCatName val="0"/>
          <c:showSerName val="0"/>
          <c:showPercent val="0"/>
          <c:showBubbleSize val="0"/>
        </c:dLbls>
        <c:gapWidth val="40"/>
        <c:overlap val="100"/>
        <c:axId val="742095384"/>
        <c:axId val="742089896"/>
      </c:barChart>
      <c:catAx>
        <c:axId val="742095384"/>
        <c:scaling>
          <c:orientation val="minMax"/>
        </c:scaling>
        <c:delete val="1"/>
        <c:axPos val="b"/>
        <c:numFmt formatCode="General" sourceLinked="1"/>
        <c:majorTickMark val="out"/>
        <c:minorTickMark val="none"/>
        <c:tickLblPos val="nextTo"/>
        <c:crossAx val="742089896"/>
        <c:crosses val="autoZero"/>
        <c:auto val="1"/>
        <c:lblAlgn val="ctr"/>
        <c:lblOffset val="100"/>
        <c:noMultiLvlLbl val="0"/>
      </c:catAx>
      <c:valAx>
        <c:axId val="742089896"/>
        <c:scaling>
          <c:orientation val="minMax"/>
        </c:scaling>
        <c:delete val="1"/>
        <c:axPos val="l"/>
        <c:numFmt formatCode="0%" sourceLinked="1"/>
        <c:majorTickMark val="out"/>
        <c:minorTickMark val="none"/>
        <c:tickLblPos val="nextTo"/>
        <c:crossAx val="742095384"/>
        <c:crosses val="autoZero"/>
        <c:crossBetween val="between"/>
        <c:majorUnit val="0.2"/>
      </c:valAx>
    </c:plotArea>
    <c:legend>
      <c:legendPos val="r"/>
      <c:layout>
        <c:manualLayout>
          <c:xMode val="edge"/>
          <c:yMode val="edge"/>
          <c:x val="2.8714373768328569E-2"/>
          <c:y val="1.533660896094961E-2"/>
          <c:w val="0.96908055456684228"/>
          <c:h val="0.98466298095716753"/>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973504732363"/>
          <c:y val="4.5743840973127406E-2"/>
          <c:w val="0.46799838940586974"/>
          <c:h val="0.84898281422555189"/>
        </c:manualLayout>
      </c:layout>
      <c:barChart>
        <c:barDir val="bar"/>
        <c:grouping val="stacked"/>
        <c:varyColors val="0"/>
        <c:ser>
          <c:idx val="0"/>
          <c:order val="0"/>
          <c:tx>
            <c:strRef>
              <c:f>Sheet1!$C$1</c:f>
              <c:strCache>
                <c:ptCount val="1"/>
                <c:pt idx="0">
                  <c:v>Par budžeta līdzekļiem</c:v>
                </c:pt>
              </c:strCache>
            </c:strRef>
          </c:tx>
          <c:spPr>
            <a:solidFill>
              <a:srgbClr val="70AD47"/>
            </a:solidFill>
            <a:ln>
              <a:noFill/>
            </a:ln>
          </c:spPr>
          <c:invertIfNegative val="0"/>
          <c:cat>
            <c:strRef>
              <c:f>Sheet1!$B$2:$B$9</c:f>
              <c:strCache>
                <c:ptCount val="8"/>
                <c:pt idx="0">
                  <c:v>Pakalpojumi</c:v>
                </c:pt>
                <c:pt idx="1">
                  <c:v>Veselības aprūpe un sociālā labklājība</c:v>
                </c:pt>
                <c:pt idx="2">
                  <c:v>Lauksaimniecība</c:v>
                </c:pt>
                <c:pt idx="3">
                  <c:v>Inženierzinātnes, ražošana un būvniecība</c:v>
                </c:pt>
                <c:pt idx="4">
                  <c:v>Dabaszinātnes, matemātika un informācijas tehnoloģijas</c:v>
                </c:pt>
                <c:pt idx="5">
                  <c:v>Sociālās zinātnes, komerczinības un tiesības</c:v>
                </c:pt>
                <c:pt idx="6">
                  <c:v>Humanitārās zinātnes un mākslas</c:v>
                </c:pt>
                <c:pt idx="7">
                  <c:v>Izglītība</c:v>
                </c:pt>
              </c:strCache>
            </c:strRef>
          </c:cat>
          <c:val>
            <c:numRef>
              <c:f>Sheet1!$C$2:$C$9</c:f>
              <c:numCache>
                <c:formatCode>General</c:formatCode>
                <c:ptCount val="8"/>
                <c:pt idx="0">
                  <c:v>1.024</c:v>
                </c:pt>
                <c:pt idx="1">
                  <c:v>2.472</c:v>
                </c:pt>
                <c:pt idx="2">
                  <c:v>0.246</c:v>
                </c:pt>
                <c:pt idx="3">
                  <c:v>3.1469999999999998</c:v>
                </c:pt>
                <c:pt idx="4">
                  <c:v>1.974</c:v>
                </c:pt>
                <c:pt idx="5">
                  <c:v>1.663</c:v>
                </c:pt>
                <c:pt idx="6">
                  <c:v>1.339</c:v>
                </c:pt>
                <c:pt idx="7">
                  <c:v>0.61199999999999999</c:v>
                </c:pt>
              </c:numCache>
            </c:numRef>
          </c:val>
          <c:extLst>
            <c:ext xmlns:c16="http://schemas.microsoft.com/office/drawing/2014/chart" uri="{C3380CC4-5D6E-409C-BE32-E72D297353CC}">
              <c16:uniqueId val="{00000000-1DCD-49A9-BF49-47C310B0F48B}"/>
            </c:ext>
          </c:extLst>
        </c:ser>
        <c:ser>
          <c:idx val="1"/>
          <c:order val="1"/>
          <c:tx>
            <c:strRef>
              <c:f>Sheet1!$D$1</c:f>
              <c:strCache>
                <c:ptCount val="1"/>
                <c:pt idx="0">
                  <c:v>Par maksu</c:v>
                </c:pt>
              </c:strCache>
            </c:strRef>
          </c:tx>
          <c:spPr>
            <a:solidFill>
              <a:srgbClr val="4472C4"/>
            </a:solidFill>
          </c:spPr>
          <c:invertIfNegative val="0"/>
          <c:val>
            <c:numRef>
              <c:f>Sheet1!$D$2:$D$9</c:f>
              <c:numCache>
                <c:formatCode>General</c:formatCode>
                <c:ptCount val="8"/>
                <c:pt idx="0">
                  <c:v>1.0229999999999999</c:v>
                </c:pt>
                <c:pt idx="1">
                  <c:v>2.2810000000000001</c:v>
                </c:pt>
                <c:pt idx="2">
                  <c:v>0.20399999999999999</c:v>
                </c:pt>
                <c:pt idx="3">
                  <c:v>1.0620000000000001</c:v>
                </c:pt>
                <c:pt idx="4">
                  <c:v>1.2270000000000001</c:v>
                </c:pt>
                <c:pt idx="5">
                  <c:v>8.8320000000000007</c:v>
                </c:pt>
                <c:pt idx="6">
                  <c:v>0.92400000000000004</c:v>
                </c:pt>
                <c:pt idx="7">
                  <c:v>1.0069999999999999</c:v>
                </c:pt>
              </c:numCache>
            </c:numRef>
          </c:val>
          <c:extLst>
            <c:ext xmlns:c16="http://schemas.microsoft.com/office/drawing/2014/chart" uri="{C3380CC4-5D6E-409C-BE32-E72D297353CC}">
              <c16:uniqueId val="{00000001-1DCD-49A9-BF49-47C310B0F48B}"/>
            </c:ext>
          </c:extLst>
        </c:ser>
        <c:dLbls>
          <c:showLegendKey val="0"/>
          <c:showVal val="0"/>
          <c:showCatName val="0"/>
          <c:showSerName val="0"/>
          <c:showPercent val="0"/>
          <c:showBubbleSize val="0"/>
        </c:dLbls>
        <c:gapWidth val="40"/>
        <c:overlap val="100"/>
        <c:axId val="742090288"/>
        <c:axId val="742087152"/>
      </c:barChart>
      <c:catAx>
        <c:axId val="742090288"/>
        <c:scaling>
          <c:orientation val="minMax"/>
        </c:scaling>
        <c:delete val="0"/>
        <c:axPos val="l"/>
        <c:numFmt formatCode="General" sourceLinked="1"/>
        <c:majorTickMark val="out"/>
        <c:minorTickMark val="none"/>
        <c:tickLblPos val="nextTo"/>
        <c:spPr>
          <a:ln w="3175"/>
        </c:spPr>
        <c:txPr>
          <a:bodyPr rot="0" vert="horz"/>
          <a:lstStyle/>
          <a:p>
            <a:pPr>
              <a:defRPr/>
            </a:pPr>
            <a:endParaRPr lang="lv-LV"/>
          </a:p>
        </c:txPr>
        <c:crossAx val="742087152"/>
        <c:crosses val="autoZero"/>
        <c:auto val="1"/>
        <c:lblAlgn val="ctr"/>
        <c:lblOffset val="100"/>
        <c:noMultiLvlLbl val="0"/>
      </c:catAx>
      <c:valAx>
        <c:axId val="742087152"/>
        <c:scaling>
          <c:orientation val="minMax"/>
          <c:max val="10"/>
          <c:min val="0"/>
        </c:scaling>
        <c:delete val="0"/>
        <c:axPos val="b"/>
        <c:numFmt formatCode="#,##0" sourceLinked="0"/>
        <c:majorTickMark val="out"/>
        <c:minorTickMark val="none"/>
        <c:tickLblPos val="nextTo"/>
        <c:spPr>
          <a:ln>
            <a:noFill/>
          </a:ln>
        </c:spPr>
        <c:crossAx val="742090288"/>
        <c:crosses val="autoZero"/>
        <c:crossBetween val="between"/>
        <c:majorUnit val="2"/>
      </c:valAx>
      <c:spPr>
        <a:ln w="25400">
          <a:noFill/>
        </a:ln>
      </c:spPr>
    </c:plotArea>
    <c:legend>
      <c:legendPos val="r"/>
      <c:layout>
        <c:manualLayout>
          <c:xMode val="edge"/>
          <c:yMode val="edge"/>
          <c:x val="0.6857705996977651"/>
          <c:y val="5.1391091550192509E-2"/>
          <c:w val="0.31084193311063391"/>
          <c:h val="0.16525385076644897"/>
        </c:manualLayout>
      </c:layout>
      <c:overlay val="0"/>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8368160154181E-2"/>
          <c:y val="4.2275661488259911E-2"/>
          <c:w val="0.90836138867426575"/>
          <c:h val="0.8600463585932685"/>
        </c:manualLayout>
      </c:layout>
      <c:barChart>
        <c:barDir val="bar"/>
        <c:grouping val="clustered"/>
        <c:varyColors val="0"/>
        <c:ser>
          <c:idx val="0"/>
          <c:order val="0"/>
          <c:tx>
            <c:strRef>
              <c:f>Sheet1!$B$1</c:f>
              <c:strCache>
                <c:ptCount val="1"/>
                <c:pt idx="0">
                  <c:v>Kopā </c:v>
                </c:pt>
              </c:strCache>
            </c:strRef>
          </c:tx>
          <c:spPr>
            <a:solidFill>
              <a:srgbClr val="4F81BD">
                <a:lumMod val="40000"/>
                <a:lumOff val="60000"/>
              </a:srgbClr>
            </a:solidFill>
            <a:ln>
              <a:noFill/>
            </a:ln>
          </c:spPr>
          <c:invertIfNegative val="0"/>
          <c:dPt>
            <c:idx val="3"/>
            <c:invertIfNegative val="0"/>
            <c:bubble3D val="0"/>
            <c:spPr>
              <a:solidFill>
                <a:srgbClr val="C0504D"/>
              </a:solidFill>
              <a:ln>
                <a:noFill/>
              </a:ln>
            </c:spPr>
            <c:extLst>
              <c:ext xmlns:c16="http://schemas.microsoft.com/office/drawing/2014/chart" uri="{C3380CC4-5D6E-409C-BE32-E72D297353CC}">
                <c16:uniqueId val="{00000001-FE76-4D8E-8E2F-2AA6C9269FF4}"/>
              </c:ext>
            </c:extLst>
          </c:dPt>
          <c:dPt>
            <c:idx val="4"/>
            <c:invertIfNegative val="0"/>
            <c:bubble3D val="0"/>
            <c:spPr>
              <a:solidFill>
                <a:srgbClr val="C0504D"/>
              </a:solidFill>
              <a:ln>
                <a:noFill/>
              </a:ln>
            </c:spPr>
            <c:extLst>
              <c:ext xmlns:c16="http://schemas.microsoft.com/office/drawing/2014/chart" uri="{C3380CC4-5D6E-409C-BE32-E72D297353CC}">
                <c16:uniqueId val="{00000003-FE76-4D8E-8E2F-2AA6C9269FF4}"/>
              </c:ext>
            </c:extLst>
          </c:dPt>
          <c:dLbls>
            <c:numFmt formatCode="#,##0" sourceLinked="0"/>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8"/>
              </c:numCache>
            </c:numRef>
          </c:cat>
          <c:val>
            <c:numRef>
              <c:f>Sheet1!$B$2:$B$9</c:f>
              <c:numCache>
                <c:formatCode>0.0</c:formatCode>
                <c:ptCount val="8"/>
                <c:pt idx="0">
                  <c:v>13.472411776174692</c:v>
                </c:pt>
                <c:pt idx="1">
                  <c:v>19.402741514360315</c:v>
                </c:pt>
                <c:pt idx="2">
                  <c:v>25.798666973109629</c:v>
                </c:pt>
                <c:pt idx="3">
                  <c:v>28.635204081632654</c:v>
                </c:pt>
                <c:pt idx="4">
                  <c:v>34.764218862491006</c:v>
                </c:pt>
                <c:pt idx="5">
                  <c:v>20.089619118745333</c:v>
                </c:pt>
                <c:pt idx="6">
                  <c:v>13.740458015267176</c:v>
                </c:pt>
                <c:pt idx="7">
                  <c:v>22.507625622090224</c:v>
                </c:pt>
              </c:numCache>
            </c:numRef>
          </c:val>
          <c:extLst>
            <c:ext xmlns:c16="http://schemas.microsoft.com/office/drawing/2014/chart" uri="{C3380CC4-5D6E-409C-BE32-E72D297353CC}">
              <c16:uniqueId val="{00000004-FE76-4D8E-8E2F-2AA6C9269FF4}"/>
            </c:ext>
          </c:extLst>
        </c:ser>
        <c:dLbls>
          <c:showLegendKey val="0"/>
          <c:showVal val="0"/>
          <c:showCatName val="0"/>
          <c:showSerName val="0"/>
          <c:showPercent val="0"/>
          <c:showBubbleSize val="0"/>
        </c:dLbls>
        <c:gapWidth val="40"/>
        <c:overlap val="100"/>
        <c:axId val="742092248"/>
        <c:axId val="742096168"/>
      </c:barChart>
      <c:catAx>
        <c:axId val="742092248"/>
        <c:scaling>
          <c:orientation val="minMax"/>
        </c:scaling>
        <c:delete val="0"/>
        <c:axPos val="l"/>
        <c:numFmt formatCode="General" sourceLinked="1"/>
        <c:majorTickMark val="out"/>
        <c:minorTickMark val="none"/>
        <c:tickLblPos val="nextTo"/>
        <c:spPr>
          <a:ln w="3175"/>
        </c:spPr>
        <c:txPr>
          <a:bodyPr rot="0" vert="horz"/>
          <a:lstStyle/>
          <a:p>
            <a:pPr>
              <a:defRPr/>
            </a:pPr>
            <a:endParaRPr lang="lv-LV"/>
          </a:p>
        </c:txPr>
        <c:crossAx val="742096168"/>
        <c:crosses val="autoZero"/>
        <c:auto val="1"/>
        <c:lblAlgn val="ctr"/>
        <c:lblOffset val="100"/>
        <c:tickLblSkip val="1"/>
        <c:noMultiLvlLbl val="0"/>
      </c:catAx>
      <c:valAx>
        <c:axId val="742096168"/>
        <c:scaling>
          <c:orientation val="minMax"/>
          <c:max val="40"/>
          <c:min val="0"/>
        </c:scaling>
        <c:delete val="0"/>
        <c:axPos val="b"/>
        <c:numFmt formatCode="#,##0" sourceLinked="0"/>
        <c:majorTickMark val="out"/>
        <c:minorTickMark val="none"/>
        <c:tickLblPos val="nextTo"/>
        <c:spPr>
          <a:ln>
            <a:noFill/>
          </a:ln>
        </c:spPr>
        <c:crossAx val="742092248"/>
        <c:crosses val="autoZero"/>
        <c:crossBetween val="between"/>
        <c:majorUnit val="10"/>
      </c:valAx>
      <c:spPr>
        <a:ln w="25400">
          <a:noFill/>
        </a:ln>
      </c:spPr>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060454363734338"/>
          <c:h val="0.87181445012699077"/>
        </c:manualLayout>
      </c:layout>
      <c:barChart>
        <c:barDir val="col"/>
        <c:grouping val="percentStacked"/>
        <c:varyColors val="0"/>
        <c:ser>
          <c:idx val="0"/>
          <c:order val="0"/>
          <c:tx>
            <c:strRef>
              <c:f>Sheet1!$A$2</c:f>
              <c:strCache>
                <c:ptCount val="1"/>
                <c:pt idx="0">
                  <c:v>Vispārējā izglītība</c:v>
                </c:pt>
              </c:strCache>
            </c:strRef>
          </c:tx>
          <c:invertIfNegative val="0"/>
          <c:cat>
            <c:numRef>
              <c:f>(Sheet1!$B$1,Sheet1!$F$1,Sheet1!$I$1,Sheet1!$L$1,Sheet1!$O$1)</c:f>
              <c:numCache>
                <c:formatCode>General</c:formatCode>
                <c:ptCount val="5"/>
                <c:pt idx="0">
                  <c:v>2008</c:v>
                </c:pt>
                <c:pt idx="1">
                  <c:v>2012</c:v>
                </c:pt>
                <c:pt idx="2">
                  <c:v>2015</c:v>
                </c:pt>
                <c:pt idx="3">
                  <c:v>2018</c:v>
                </c:pt>
                <c:pt idx="4">
                  <c:v>2021</c:v>
                </c:pt>
              </c:numCache>
            </c:numRef>
          </c:cat>
          <c:val>
            <c:numRef>
              <c:f>(Sheet1!$B$2,Sheet1!$F$2,Sheet1!$I$2,Sheet1!$L$2,Sheet1!$O$2)</c:f>
              <c:numCache>
                <c:formatCode>0</c:formatCode>
                <c:ptCount val="5"/>
                <c:pt idx="0">
                  <c:v>2.4850536627530073</c:v>
                </c:pt>
                <c:pt idx="1">
                  <c:v>1.3813126869611121</c:v>
                </c:pt>
                <c:pt idx="2">
                  <c:v>0.91793647879566731</c:v>
                </c:pt>
                <c:pt idx="3">
                  <c:v>0</c:v>
                </c:pt>
                <c:pt idx="4">
                  <c:v>0</c:v>
                </c:pt>
              </c:numCache>
            </c:numRef>
          </c:val>
          <c:extLst>
            <c:ext xmlns:c16="http://schemas.microsoft.com/office/drawing/2014/chart" uri="{C3380CC4-5D6E-409C-BE32-E72D297353CC}">
              <c16:uniqueId val="{00000000-65BC-4A04-AB1E-95E7B3DCB0E0}"/>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(Sheet1!$B$3,Sheet1!$F$3,Sheet1!$I$3,Sheet1!$L$3,Sheet1!$O$3)</c:f>
              <c:numCache>
                <c:formatCode>0</c:formatCode>
                <c:ptCount val="5"/>
                <c:pt idx="0">
                  <c:v>7.2462724195058712</c:v>
                </c:pt>
                <c:pt idx="1">
                  <c:v>8.5254267112440605</c:v>
                </c:pt>
                <c:pt idx="2">
                  <c:v>9.4455663668074177</c:v>
                </c:pt>
                <c:pt idx="3">
                  <c:v>12.799657534246576</c:v>
                </c:pt>
                <c:pt idx="4">
                  <c:v>12.449652142072502</c:v>
                </c:pt>
              </c:numCache>
            </c:numRef>
          </c:val>
          <c:extLst>
            <c:ext xmlns:c16="http://schemas.microsoft.com/office/drawing/2014/chart" uri="{C3380CC4-5D6E-409C-BE32-E72D297353CC}">
              <c16:uniqueId val="{00000001-65BC-4A04-AB1E-95E7B3DCB0E0}"/>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(Sheet1!$B$4,Sheet1!$F$4,Sheet1!$I$4,Sheet1!$L$4,Sheet1!$O$4)</c:f>
              <c:numCache>
                <c:formatCode>0</c:formatCode>
                <c:ptCount val="5"/>
                <c:pt idx="0">
                  <c:v>14.852697543758552</c:v>
                </c:pt>
                <c:pt idx="1">
                  <c:v>12.757346471933836</c:v>
                </c:pt>
                <c:pt idx="2">
                  <c:v>11.465026620157886</c:v>
                </c:pt>
                <c:pt idx="3">
                  <c:v>10.736301369863014</c:v>
                </c:pt>
                <c:pt idx="4">
                  <c:v>9.9414134016843647</c:v>
                </c:pt>
              </c:numCache>
            </c:numRef>
          </c:val>
          <c:extLst>
            <c:ext xmlns:c16="http://schemas.microsoft.com/office/drawing/2014/chart" uri="{C3380CC4-5D6E-409C-BE32-E72D297353CC}">
              <c16:uniqueId val="{00000002-65BC-4A04-AB1E-95E7B3DCB0E0}"/>
            </c:ext>
          </c:extLst>
        </c:ser>
        <c:ser>
          <c:idx val="3"/>
          <c:order val="3"/>
          <c:tx>
            <c:strRef>
              <c:f>Sheet1!$A$5</c:f>
              <c:strCache>
                <c:ptCount val="1"/>
                <c:pt idx="0">
                  <c:v>Dabas zinātnes, matemātika un informācijas tehnoloģijas</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65BC-4A04-AB1E-95E7B3DCB0E0}"/>
                </c:ext>
              </c:extLst>
            </c:dLbl>
            <c:dLbl>
              <c:idx val="1"/>
              <c:delete val="1"/>
              <c:extLst>
                <c:ext xmlns:c15="http://schemas.microsoft.com/office/drawing/2012/chart" uri="{CE6537A1-D6FC-4f65-9D91-7224C49458BB}"/>
                <c:ext xmlns:c16="http://schemas.microsoft.com/office/drawing/2014/chart" uri="{C3380CC4-5D6E-409C-BE32-E72D297353CC}">
                  <c16:uniqueId val="{00000004-65BC-4A04-AB1E-95E7B3DCB0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(Sheet1!$B$5,Sheet1!$F$5,Sheet1!$I$5,Sheet1!$L$5,Sheet1!$O$5)</c:f>
              <c:numCache>
                <c:formatCode>0</c:formatCode>
                <c:ptCount val="5"/>
                <c:pt idx="0">
                  <c:v>5.3662753007275086</c:v>
                </c:pt>
                <c:pt idx="1">
                  <c:v>5.1469294386767555</c:v>
                </c:pt>
                <c:pt idx="2">
                  <c:v>6.3429410684780612</c:v>
                </c:pt>
                <c:pt idx="3">
                  <c:v>6.9606164383561637</c:v>
                </c:pt>
                <c:pt idx="4">
                  <c:v>9.3921640424752848</c:v>
                </c:pt>
              </c:numCache>
            </c:numRef>
          </c:val>
          <c:extLst>
            <c:ext xmlns:c16="http://schemas.microsoft.com/office/drawing/2014/chart" uri="{C3380CC4-5D6E-409C-BE32-E72D297353CC}">
              <c16:uniqueId val="{00000005-65BC-4A04-AB1E-95E7B3DCB0E0}"/>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(Sheet1!$B$6,Sheet1!$F$6,Sheet1!$I$6,Sheet1!$L$6,Sheet1!$O$6)</c:f>
              <c:numCache>
                <c:formatCode>0</c:formatCode>
                <c:ptCount val="5"/>
                <c:pt idx="0">
                  <c:v>41.813729021104947</c:v>
                </c:pt>
                <c:pt idx="1">
                  <c:v>37.594580327291922</c:v>
                </c:pt>
                <c:pt idx="2">
                  <c:v>33.853497337984209</c:v>
                </c:pt>
                <c:pt idx="3">
                  <c:v>32.859589041095887</c:v>
                </c:pt>
                <c:pt idx="4">
                  <c:v>33.147198828268031</c:v>
                </c:pt>
              </c:numCache>
            </c:numRef>
          </c:val>
          <c:extLst>
            <c:ext xmlns:c16="http://schemas.microsoft.com/office/drawing/2014/chart" uri="{C3380CC4-5D6E-409C-BE32-E72D297353CC}">
              <c16:uniqueId val="{00000006-65BC-4A04-AB1E-95E7B3DCB0E0}"/>
            </c:ext>
          </c:extLst>
        </c:ser>
        <c:ser>
          <c:idx val="5"/>
          <c:order val="5"/>
          <c:tx>
            <c:strRef>
              <c:f>Sheet1!$A$7</c:f>
              <c:strCache>
                <c:ptCount val="1"/>
                <c:pt idx="0">
                  <c:v>Lauksaimniecība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(Sheet1!$B$7,Sheet1!$F$7,Sheet1!$I$7,Sheet1!$L$7,Sheet1!$O$7)</c:f>
              <c:numCache>
                <c:formatCode>0</c:formatCode>
                <c:ptCount val="5"/>
                <c:pt idx="0">
                  <c:v>2.593099474177051</c:v>
                </c:pt>
                <c:pt idx="1">
                  <c:v>2.5338729544254797</c:v>
                </c:pt>
                <c:pt idx="2">
                  <c:v>3.8369744813658895</c:v>
                </c:pt>
                <c:pt idx="3">
                  <c:v>3.4160958904109591</c:v>
                </c:pt>
                <c:pt idx="4">
                  <c:v>6.6184547784694248</c:v>
                </c:pt>
              </c:numCache>
            </c:numRef>
          </c:val>
          <c:extLst>
            <c:ext xmlns:c16="http://schemas.microsoft.com/office/drawing/2014/chart" uri="{C3380CC4-5D6E-409C-BE32-E72D297353CC}">
              <c16:uniqueId val="{00000007-65BC-4A04-AB1E-95E7B3DCB0E0}"/>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65BC-4A04-AB1E-95E7B3DCB0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(Sheet1!$B$8,Sheet1!$F$8,Sheet1!$I$8,Sheet1!$L$8,Sheet1!$O$8)</c:f>
              <c:numCache>
                <c:formatCode>0</c:formatCode>
                <c:ptCount val="5"/>
                <c:pt idx="0">
                  <c:v>3.6015270474681262</c:v>
                </c:pt>
                <c:pt idx="1">
                  <c:v>5.8595812071089215</c:v>
                </c:pt>
                <c:pt idx="2">
                  <c:v>6.8386267670277228</c:v>
                </c:pt>
                <c:pt idx="3">
                  <c:v>6.6523972602739718</c:v>
                </c:pt>
                <c:pt idx="4">
                  <c:v>5.6938850238008056</c:v>
                </c:pt>
              </c:numCache>
            </c:numRef>
          </c:val>
          <c:extLst>
            <c:ext xmlns:c16="http://schemas.microsoft.com/office/drawing/2014/chart" uri="{C3380CC4-5D6E-409C-BE32-E72D297353CC}">
              <c16:uniqueId val="{00000009-65BC-4A04-AB1E-95E7B3DCB0E0}"/>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(Sheet1!$B$9,Sheet1!$F$9,Sheet1!$I$9,Sheet1!$L$9,Sheet1!$O$9)</c:f>
              <c:numCache>
                <c:formatCode>0</c:formatCode>
                <c:ptCount val="5"/>
                <c:pt idx="0">
                  <c:v>22.041345530504934</c:v>
                </c:pt>
                <c:pt idx="1">
                  <c:v>26.200950202357909</c:v>
                </c:pt>
                <c:pt idx="2">
                  <c:v>27.299430879383145</c:v>
                </c:pt>
                <c:pt idx="3">
                  <c:v>26.575342465753426</c:v>
                </c:pt>
                <c:pt idx="4">
                  <c:v>19.855364335408275</c:v>
                </c:pt>
              </c:numCache>
            </c:numRef>
          </c:val>
          <c:extLst>
            <c:ext xmlns:c16="http://schemas.microsoft.com/office/drawing/2014/chart" uri="{C3380CC4-5D6E-409C-BE32-E72D297353CC}">
              <c16:uniqueId val="{0000000A-65BC-4A04-AB1E-95E7B3DCB0E0}"/>
            </c:ext>
          </c:extLst>
        </c:ser>
        <c:dLbls>
          <c:showLegendKey val="0"/>
          <c:showVal val="0"/>
          <c:showCatName val="0"/>
          <c:showSerName val="0"/>
          <c:showPercent val="0"/>
          <c:showBubbleSize val="0"/>
        </c:dLbls>
        <c:gapWidth val="50"/>
        <c:overlap val="100"/>
        <c:axId val="742094992"/>
        <c:axId val="742085976"/>
      </c:barChart>
      <c:catAx>
        <c:axId val="742094992"/>
        <c:scaling>
          <c:orientation val="minMax"/>
        </c:scaling>
        <c:delete val="0"/>
        <c:axPos val="b"/>
        <c:numFmt formatCode="General" sourceLinked="1"/>
        <c:majorTickMark val="out"/>
        <c:minorTickMark val="none"/>
        <c:tickLblPos val="nextTo"/>
        <c:txPr>
          <a:bodyPr rot="0" vert="horz"/>
          <a:lstStyle/>
          <a:p>
            <a:pPr>
              <a:defRPr/>
            </a:pPr>
            <a:endParaRPr lang="lv-LV"/>
          </a:p>
        </c:txPr>
        <c:crossAx val="742085976"/>
        <c:crosses val="autoZero"/>
        <c:auto val="1"/>
        <c:lblAlgn val="ctr"/>
        <c:lblOffset val="100"/>
        <c:noMultiLvlLbl val="0"/>
      </c:catAx>
      <c:valAx>
        <c:axId val="742085976"/>
        <c:scaling>
          <c:orientation val="minMax"/>
        </c:scaling>
        <c:delete val="0"/>
        <c:axPos val="l"/>
        <c:numFmt formatCode="0%" sourceLinked="1"/>
        <c:majorTickMark val="out"/>
        <c:minorTickMark val="none"/>
        <c:tickLblPos val="nextTo"/>
        <c:spPr>
          <a:ln>
            <a:noFill/>
          </a:ln>
        </c:spPr>
        <c:txPr>
          <a:bodyPr rot="0" vert="horz"/>
          <a:lstStyle/>
          <a:p>
            <a:pPr>
              <a:defRPr/>
            </a:pPr>
            <a:endParaRPr lang="lv-LV"/>
          </a:p>
        </c:txPr>
        <c:crossAx val="742094992"/>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639912220292411E-2"/>
          <c:y val="2.9322738259412468E-2"/>
          <c:w val="0.84376040743251468"/>
          <c:h val="0.87181445012699077"/>
        </c:manualLayout>
      </c:layout>
      <c:barChart>
        <c:barDir val="col"/>
        <c:grouping val="percentStacked"/>
        <c:varyColors val="0"/>
        <c:ser>
          <c:idx val="0"/>
          <c:order val="0"/>
          <c:tx>
            <c:strRef>
              <c:f>Sheet1!$A$2</c:f>
              <c:strCache>
                <c:ptCount val="1"/>
                <c:pt idx="0">
                  <c:v>Izglītība</c:v>
                </c:pt>
              </c:strCache>
            </c:strRef>
          </c:tx>
          <c:invertIfNegative val="0"/>
          <c:cat>
            <c:numRef>
              <c:f>(Sheet1!$B$1,Sheet1!$F$1,Sheet1!$I$1,Sheet1!$L$1,Sheet1!$O$1)</c:f>
              <c:numCache>
                <c:formatCode>General</c:formatCode>
                <c:ptCount val="5"/>
                <c:pt idx="0">
                  <c:v>2008</c:v>
                </c:pt>
                <c:pt idx="1">
                  <c:v>2012</c:v>
                </c:pt>
                <c:pt idx="2">
                  <c:v>2015</c:v>
                </c:pt>
                <c:pt idx="3">
                  <c:v>2018</c:v>
                </c:pt>
                <c:pt idx="4">
                  <c:v>2021</c:v>
                </c:pt>
              </c:numCache>
            </c:numRef>
          </c:cat>
          <c:val>
            <c:numRef>
              <c:f>(Sheet1!$B$2,Sheet1!$F$2,Sheet1!$I$2,Sheet1!$L$2,Sheet1!$O$2)</c:f>
              <c:numCache>
                <c:formatCode>0</c:formatCode>
                <c:ptCount val="5"/>
                <c:pt idx="0">
                  <c:v>2.9065200314218385</c:v>
                </c:pt>
                <c:pt idx="1">
                  <c:v>1.3300960624934024</c:v>
                </c:pt>
                <c:pt idx="2">
                  <c:v>1.4632361907084501</c:v>
                </c:pt>
                <c:pt idx="3">
                  <c:v>0</c:v>
                </c:pt>
                <c:pt idx="4">
                  <c:v>0</c:v>
                </c:pt>
              </c:numCache>
            </c:numRef>
          </c:val>
          <c:extLst>
            <c:ext xmlns:c16="http://schemas.microsoft.com/office/drawing/2014/chart" uri="{C3380CC4-5D6E-409C-BE32-E72D297353CC}">
              <c16:uniqueId val="{00000000-7DFE-4012-BE5F-4D58A5E0888B}"/>
            </c:ext>
          </c:extLst>
        </c:ser>
        <c:ser>
          <c:idx val="1"/>
          <c:order val="1"/>
          <c:tx>
            <c:strRef>
              <c:f>Sheet1!$A$3</c:f>
              <c:strCache>
                <c:ptCount val="1"/>
                <c:pt idx="0">
                  <c:v>Humanitārās zinātnes un māksla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(Sheet1!$B$3,Sheet1!$F$3,Sheet1!$I$3,Sheet1!$L$3,Sheet1!$O$3)</c:f>
              <c:numCache>
                <c:formatCode>0</c:formatCode>
                <c:ptCount val="5"/>
                <c:pt idx="0">
                  <c:v>6.1945909549994393</c:v>
                </c:pt>
                <c:pt idx="1">
                  <c:v>7.0516203948062923</c:v>
                </c:pt>
                <c:pt idx="2">
                  <c:v>8.1819290330447512</c:v>
                </c:pt>
                <c:pt idx="3">
                  <c:v>8.6048020765736535</c:v>
                </c:pt>
                <c:pt idx="4">
                  <c:v>13.4</c:v>
                </c:pt>
              </c:numCache>
            </c:numRef>
          </c:val>
          <c:extLst>
            <c:ext xmlns:c16="http://schemas.microsoft.com/office/drawing/2014/chart" uri="{C3380CC4-5D6E-409C-BE32-E72D297353CC}">
              <c16:uniqueId val="{00000001-7DFE-4012-BE5F-4D58A5E0888B}"/>
            </c:ext>
          </c:extLst>
        </c:ser>
        <c:ser>
          <c:idx val="2"/>
          <c:order val="2"/>
          <c:tx>
            <c:strRef>
              <c:f>Sheet1!$A$4</c:f>
              <c:strCache>
                <c:ptCount val="1"/>
                <c:pt idx="0">
                  <c:v>Sociālās zinātnes, komerczinības un tiesības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(Sheet1!$B$4,Sheet1!$F$4,Sheet1!$I$4,Sheet1!$L$4,Sheet1!$O$4)</c:f>
              <c:numCache>
                <c:formatCode>0</c:formatCode>
                <c:ptCount val="5"/>
                <c:pt idx="0">
                  <c:v>15.318146111547525</c:v>
                </c:pt>
                <c:pt idx="1">
                  <c:v>15.581125303494142</c:v>
                </c:pt>
                <c:pt idx="2">
                  <c:v>13.034995732227777</c:v>
                </c:pt>
                <c:pt idx="3">
                  <c:v>12.134977287475666</c:v>
                </c:pt>
                <c:pt idx="4">
                  <c:v>11.716666666666667</c:v>
                </c:pt>
              </c:numCache>
            </c:numRef>
          </c:val>
          <c:extLst>
            <c:ext xmlns:c16="http://schemas.microsoft.com/office/drawing/2014/chart" uri="{C3380CC4-5D6E-409C-BE32-E72D297353CC}">
              <c16:uniqueId val="{00000002-7DFE-4012-BE5F-4D58A5E0888B}"/>
            </c:ext>
          </c:extLst>
        </c:ser>
        <c:ser>
          <c:idx val="3"/>
          <c:order val="3"/>
          <c:tx>
            <c:strRef>
              <c:f>Sheet1!$A$5</c:f>
              <c:strCache>
                <c:ptCount val="1"/>
                <c:pt idx="0">
                  <c:v>Dabas zinātnes, matemātika un informācijas tehnoloģijas</c:v>
                </c:pt>
              </c:strCache>
            </c:strRef>
          </c:tx>
          <c:invertIfNegative val="0"/>
          <c:cat>
            <c:numRef>
              <c:f>(Sheet1!$B$1,Sheet1!$F$1,Sheet1!$I$1,Sheet1!$L$1,Sheet1!$O$1)</c:f>
              <c:numCache>
                <c:formatCode>General</c:formatCode>
                <c:ptCount val="5"/>
                <c:pt idx="0">
                  <c:v>2008</c:v>
                </c:pt>
                <c:pt idx="1">
                  <c:v>2012</c:v>
                </c:pt>
                <c:pt idx="2">
                  <c:v>2015</c:v>
                </c:pt>
                <c:pt idx="3">
                  <c:v>2018</c:v>
                </c:pt>
                <c:pt idx="4">
                  <c:v>2021</c:v>
                </c:pt>
              </c:numCache>
            </c:numRef>
          </c:cat>
          <c:val>
            <c:numRef>
              <c:f>(Sheet1!$B$5,Sheet1!$F$5,Sheet1!$I$5,Sheet1!$L$5,Sheet1!$O$5)</c:f>
              <c:numCache>
                <c:formatCode>0</c:formatCode>
                <c:ptCount val="5"/>
                <c:pt idx="0">
                  <c:v>5.7344854673998427</c:v>
                </c:pt>
                <c:pt idx="1">
                  <c:v>5.6265174707062178</c:v>
                </c:pt>
                <c:pt idx="2">
                  <c:v>4.523838556273625</c:v>
                </c:pt>
                <c:pt idx="3">
                  <c:v>4.4776119402985071</c:v>
                </c:pt>
                <c:pt idx="4">
                  <c:v>6.7833333333333332</c:v>
                </c:pt>
              </c:numCache>
            </c:numRef>
          </c:val>
          <c:extLst>
            <c:ext xmlns:c16="http://schemas.microsoft.com/office/drawing/2014/chart" uri="{C3380CC4-5D6E-409C-BE32-E72D297353CC}">
              <c16:uniqueId val="{00000003-7DFE-4012-BE5F-4D58A5E0888B}"/>
            </c:ext>
          </c:extLst>
        </c:ser>
        <c:ser>
          <c:idx val="4"/>
          <c:order val="4"/>
          <c:tx>
            <c:strRef>
              <c:f>Sheet1!$A$6</c:f>
              <c:strCache>
                <c:ptCount val="1"/>
                <c:pt idx="0">
                  <c:v>Inženierzinātnes, ražošana  un būvniecība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(Sheet1!$B$6,Sheet1!$F$6,Sheet1!$I$6,Sheet1!$L$6,Sheet1!$O$6)</c:f>
              <c:numCache>
                <c:formatCode>0</c:formatCode>
                <c:ptCount val="5"/>
                <c:pt idx="0">
                  <c:v>41.263606778139376</c:v>
                </c:pt>
                <c:pt idx="1">
                  <c:v>39.322284387205741</c:v>
                </c:pt>
                <c:pt idx="2">
                  <c:v>33.288623338617242</c:v>
                </c:pt>
                <c:pt idx="3">
                  <c:v>33.510707332900715</c:v>
                </c:pt>
                <c:pt idx="4">
                  <c:v>36.06666666666667</c:v>
                </c:pt>
              </c:numCache>
            </c:numRef>
          </c:val>
          <c:extLst>
            <c:ext xmlns:c16="http://schemas.microsoft.com/office/drawing/2014/chart" uri="{C3380CC4-5D6E-409C-BE32-E72D297353CC}">
              <c16:uniqueId val="{00000004-7DFE-4012-BE5F-4D58A5E0888B}"/>
            </c:ext>
          </c:extLst>
        </c:ser>
        <c:ser>
          <c:idx val="5"/>
          <c:order val="5"/>
          <c:tx>
            <c:strRef>
              <c:f>Sheet1!$A$7</c:f>
              <c:strCache>
                <c:ptCount val="1"/>
                <c:pt idx="0">
                  <c:v>Lauksaimniecība</c:v>
                </c:pt>
              </c:strCache>
            </c:strRef>
          </c:tx>
          <c:invertIfNegative val="0"/>
          <c:cat>
            <c:numRef>
              <c:f>(Sheet1!$B$1,Sheet1!$F$1,Sheet1!$I$1,Sheet1!$L$1,Sheet1!$O$1)</c:f>
              <c:numCache>
                <c:formatCode>General</c:formatCode>
                <c:ptCount val="5"/>
                <c:pt idx="0">
                  <c:v>2008</c:v>
                </c:pt>
                <c:pt idx="1">
                  <c:v>2012</c:v>
                </c:pt>
                <c:pt idx="2">
                  <c:v>2015</c:v>
                </c:pt>
                <c:pt idx="3">
                  <c:v>2018</c:v>
                </c:pt>
                <c:pt idx="4">
                  <c:v>2021</c:v>
                </c:pt>
              </c:numCache>
            </c:numRef>
          </c:cat>
          <c:val>
            <c:numRef>
              <c:f>(Sheet1!$B$7,Sheet1!$F$7,Sheet1!$I$7,Sheet1!$L$7,Sheet1!$O$7)</c:f>
              <c:numCache>
                <c:formatCode>0</c:formatCode>
                <c:ptCount val="5"/>
                <c:pt idx="0">
                  <c:v>1.7843115250813602</c:v>
                </c:pt>
                <c:pt idx="1">
                  <c:v>1.8473556423519475</c:v>
                </c:pt>
                <c:pt idx="2">
                  <c:v>4.2677722228996462</c:v>
                </c:pt>
                <c:pt idx="3">
                  <c:v>5.2693056456846206</c:v>
                </c:pt>
                <c:pt idx="4">
                  <c:v>4.55</c:v>
                </c:pt>
              </c:numCache>
            </c:numRef>
          </c:val>
          <c:extLst>
            <c:ext xmlns:c16="http://schemas.microsoft.com/office/drawing/2014/chart" uri="{C3380CC4-5D6E-409C-BE32-E72D297353CC}">
              <c16:uniqueId val="{00000005-7DFE-4012-BE5F-4D58A5E0888B}"/>
            </c:ext>
          </c:extLst>
        </c:ser>
        <c:ser>
          <c:idx val="6"/>
          <c:order val="6"/>
          <c:tx>
            <c:strRef>
              <c:f>Sheet1!$A$8</c:f>
              <c:strCache>
                <c:ptCount val="1"/>
                <c:pt idx="0">
                  <c:v>Veselības aprūpe un sociālā labklājība</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7DFE-4012-BE5F-4D58A5E0888B}"/>
                </c:ext>
              </c:extLst>
            </c:dLbl>
            <c:dLbl>
              <c:idx val="1"/>
              <c:delete val="1"/>
              <c:extLst>
                <c:ext xmlns:c15="http://schemas.microsoft.com/office/drawing/2012/chart" uri="{CE6537A1-D6FC-4f65-9D91-7224C49458BB}"/>
                <c:ext xmlns:c16="http://schemas.microsoft.com/office/drawing/2014/chart" uri="{C3380CC4-5D6E-409C-BE32-E72D297353CC}">
                  <c16:uniqueId val="{00000007-7DFE-4012-BE5F-4D58A5E0888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(Sheet1!$B$8,Sheet1!$F$8,Sheet1!$I$8,Sheet1!$L$8,Sheet1!$O$8)</c:f>
              <c:numCache>
                <c:formatCode>0</c:formatCode>
                <c:ptCount val="5"/>
                <c:pt idx="0">
                  <c:v>4.1858377286499833</c:v>
                </c:pt>
                <c:pt idx="1">
                  <c:v>5.1303705267602657</c:v>
                </c:pt>
                <c:pt idx="2">
                  <c:v>7.7429581758322152</c:v>
                </c:pt>
                <c:pt idx="3">
                  <c:v>8.9811810512654127</c:v>
                </c:pt>
                <c:pt idx="4">
                  <c:v>8.35</c:v>
                </c:pt>
              </c:numCache>
            </c:numRef>
          </c:val>
          <c:extLst>
            <c:ext xmlns:c16="http://schemas.microsoft.com/office/drawing/2014/chart" uri="{C3380CC4-5D6E-409C-BE32-E72D297353CC}">
              <c16:uniqueId val="{00000008-7DFE-4012-BE5F-4D58A5E0888B}"/>
            </c:ext>
          </c:extLst>
        </c:ser>
        <c:ser>
          <c:idx val="7"/>
          <c:order val="7"/>
          <c:tx>
            <c:strRef>
              <c:f>Sheet1!$A$9</c:f>
              <c:strCache>
                <c:ptCount val="1"/>
                <c:pt idx="0">
                  <c:v>Pakalpojumi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(Sheet1!$B$1,Sheet1!$F$1,Sheet1!$I$1,Sheet1!$L$1,Sheet1!$O$1)</c:f>
              <c:numCache>
                <c:formatCode>General</c:formatCode>
                <c:ptCount val="5"/>
                <c:pt idx="0">
                  <c:v>2008</c:v>
                </c:pt>
                <c:pt idx="1">
                  <c:v>2012</c:v>
                </c:pt>
                <c:pt idx="2">
                  <c:v>2015</c:v>
                </c:pt>
                <c:pt idx="3">
                  <c:v>2018</c:v>
                </c:pt>
                <c:pt idx="4">
                  <c:v>2021</c:v>
                </c:pt>
              </c:numCache>
            </c:numRef>
          </c:cat>
          <c:val>
            <c:numRef>
              <c:f>(Sheet1!$B$9,Sheet1!$F$9,Sheet1!$I$9,Sheet1!$L$9,Sheet1!$O$9)</c:f>
              <c:numCache>
                <c:formatCode>0</c:formatCode>
                <c:ptCount val="5"/>
                <c:pt idx="0">
                  <c:v>22.612501402760632</c:v>
                </c:pt>
                <c:pt idx="1">
                  <c:v>24.110630212181992</c:v>
                </c:pt>
                <c:pt idx="2">
                  <c:v>27.496646750396291</c:v>
                </c:pt>
                <c:pt idx="3">
                  <c:v>27.02141466580143</c:v>
                </c:pt>
                <c:pt idx="4">
                  <c:v>24.416666666666668</c:v>
                </c:pt>
              </c:numCache>
            </c:numRef>
          </c:val>
          <c:extLst>
            <c:ext xmlns:c16="http://schemas.microsoft.com/office/drawing/2014/chart" uri="{C3380CC4-5D6E-409C-BE32-E72D297353CC}">
              <c16:uniqueId val="{00000009-7DFE-4012-BE5F-4D58A5E0888B}"/>
            </c:ext>
          </c:extLst>
        </c:ser>
        <c:dLbls>
          <c:showLegendKey val="0"/>
          <c:showVal val="0"/>
          <c:showCatName val="0"/>
          <c:showSerName val="0"/>
          <c:showPercent val="0"/>
          <c:showBubbleSize val="0"/>
        </c:dLbls>
        <c:gapWidth val="50"/>
        <c:overlap val="100"/>
        <c:axId val="742091856"/>
        <c:axId val="742087936"/>
      </c:barChart>
      <c:catAx>
        <c:axId val="742091856"/>
        <c:scaling>
          <c:orientation val="minMax"/>
        </c:scaling>
        <c:delete val="0"/>
        <c:axPos val="b"/>
        <c:numFmt formatCode="General" sourceLinked="1"/>
        <c:majorTickMark val="out"/>
        <c:minorTickMark val="none"/>
        <c:tickLblPos val="nextTo"/>
        <c:txPr>
          <a:bodyPr rot="0" vert="horz"/>
          <a:lstStyle/>
          <a:p>
            <a:pPr>
              <a:defRPr/>
            </a:pPr>
            <a:endParaRPr lang="lv-LV"/>
          </a:p>
        </c:txPr>
        <c:crossAx val="742087936"/>
        <c:crosses val="autoZero"/>
        <c:auto val="1"/>
        <c:lblAlgn val="ctr"/>
        <c:lblOffset val="100"/>
        <c:noMultiLvlLbl val="0"/>
      </c:catAx>
      <c:valAx>
        <c:axId val="742087936"/>
        <c:scaling>
          <c:orientation val="minMax"/>
        </c:scaling>
        <c:delete val="0"/>
        <c:axPos val="l"/>
        <c:numFmt formatCode="0%" sourceLinked="1"/>
        <c:majorTickMark val="out"/>
        <c:minorTickMark val="none"/>
        <c:tickLblPos val="nextTo"/>
        <c:spPr>
          <a:ln>
            <a:noFill/>
          </a:ln>
        </c:spPr>
        <c:txPr>
          <a:bodyPr rot="0" vert="horz"/>
          <a:lstStyle/>
          <a:p>
            <a:pPr>
              <a:defRPr/>
            </a:pPr>
            <a:endParaRPr lang="lv-LV"/>
          </a:p>
        </c:txPr>
        <c:crossAx val="742091856"/>
        <c:crosses val="autoZero"/>
        <c:crossBetween val="between"/>
        <c:majorUnit val="0.2"/>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2408868202444777"/>
          <c:y val="2.9322738259412468E-2"/>
          <c:w val="2.4619779670398335E-2"/>
          <c:h val="6.2573160428212302E-2"/>
        </c:manualLayout>
      </c:layout>
      <c:barChart>
        <c:barDir val="col"/>
        <c:grouping val="percentStacked"/>
        <c:varyColors val="0"/>
        <c:ser>
          <c:idx val="0"/>
          <c:order val="0"/>
          <c:tx>
            <c:strRef>
              <c:f>Sheet1!$A$2</c:f>
              <c:strCache>
                <c:ptCount val="1"/>
                <c:pt idx="0">
                  <c:v>Izglītība</c:v>
                </c:pt>
              </c:strCache>
            </c:strRef>
          </c:tx>
          <c:invertIfNegative val="0"/>
          <c:cat>
            <c:numRef>
              <c:f>(Sheet1!$B$1;Sheet1!$D$1;Sheet1!$G$1)</c:f>
              <c:numCache>
                <c:formatCode>General</c:formatCode>
                <c:ptCount val="3"/>
                <c:pt idx="0">
                  <c:v>2008</c:v>
                </c:pt>
                <c:pt idx="1">
                  <c:v>2010</c:v>
                </c:pt>
                <c:pt idx="2">
                  <c:v>2013</c:v>
                </c:pt>
              </c:numCache>
            </c:numRef>
          </c:cat>
          <c:val>
            <c:numRef>
              <c:f>(Sheet1!$B$2;Sheet1!$D$2;Sheet1!$G$2)</c:f>
              <c:numCache>
                <c:formatCode>0.0</c:formatCode>
                <c:ptCount val="3"/>
                <c:pt idx="0">
                  <c:v>10.314439387670667</c:v>
                </c:pt>
                <c:pt idx="1">
                  <c:v>8.3104162742512706</c:v>
                </c:pt>
                <c:pt idx="2">
                  <c:v>7.487274409995373</c:v>
                </c:pt>
              </c:numCache>
            </c:numRef>
          </c:val>
          <c:extLst>
            <c:ext xmlns:c16="http://schemas.microsoft.com/office/drawing/2014/chart" uri="{C3380CC4-5D6E-409C-BE32-E72D297353CC}">
              <c16:uniqueId val="{00000000-5ED8-4955-9115-2ADF61C08397}"/>
            </c:ext>
          </c:extLst>
        </c:ser>
        <c:ser>
          <c:idx val="1"/>
          <c:order val="1"/>
          <c:tx>
            <c:strRef>
              <c:f>Sheet1!$A$3</c:f>
              <c:strCache>
                <c:ptCount val="1"/>
                <c:pt idx="0">
                  <c:v>Humanitārās zinātnes un māksla</c:v>
                </c:pt>
              </c:strCache>
            </c:strRef>
          </c:tx>
          <c:invertIfNegative val="0"/>
          <c:cat>
            <c:numRef>
              <c:f>(Sheet1!$B$1;Sheet1!$D$1;Sheet1!$G$1)</c:f>
              <c:numCache>
                <c:formatCode>General</c:formatCode>
                <c:ptCount val="3"/>
                <c:pt idx="0">
                  <c:v>2008</c:v>
                </c:pt>
                <c:pt idx="1">
                  <c:v>2010</c:v>
                </c:pt>
                <c:pt idx="2">
                  <c:v>2013</c:v>
                </c:pt>
              </c:numCache>
            </c:numRef>
          </c:cat>
          <c:val>
            <c:numRef>
              <c:f>(Sheet1!$B$3;Sheet1!$D$3;Sheet1!$G$3)</c:f>
              <c:numCache>
                <c:formatCode>0.0</c:formatCode>
                <c:ptCount val="3"/>
                <c:pt idx="0">
                  <c:v>7.1452213487794793</c:v>
                </c:pt>
                <c:pt idx="1">
                  <c:v>7.2216990016952352</c:v>
                </c:pt>
                <c:pt idx="2">
                  <c:v>8.2415548357242017</c:v>
                </c:pt>
              </c:numCache>
            </c:numRef>
          </c:val>
          <c:extLst>
            <c:ext xmlns:c16="http://schemas.microsoft.com/office/drawing/2014/chart" uri="{C3380CC4-5D6E-409C-BE32-E72D297353CC}">
              <c16:uniqueId val="{00000001-5ED8-4955-9115-2ADF61C08397}"/>
            </c:ext>
          </c:extLst>
        </c:ser>
        <c:ser>
          <c:idx val="2"/>
          <c:order val="2"/>
          <c:tx>
            <c:strRef>
              <c:f>Sheet1!$A$4</c:f>
              <c:strCache>
                <c:ptCount val="1"/>
                <c:pt idx="0">
                  <c:v>Sociālās zinātnes, komerczinības un tiesības</c:v>
                </c:pt>
              </c:strCache>
            </c:strRef>
          </c:tx>
          <c:invertIfNegative val="0"/>
          <c:cat>
            <c:numRef>
              <c:f>(Sheet1!$B$1;Sheet1!$D$1;Sheet1!$G$1)</c:f>
              <c:numCache>
                <c:formatCode>General</c:formatCode>
                <c:ptCount val="3"/>
                <c:pt idx="0">
                  <c:v>2008</c:v>
                </c:pt>
                <c:pt idx="1">
                  <c:v>2010</c:v>
                </c:pt>
                <c:pt idx="2">
                  <c:v>2013</c:v>
                </c:pt>
              </c:numCache>
            </c:numRef>
          </c:cat>
          <c:val>
            <c:numRef>
              <c:f>(Sheet1!$B$4;Sheet1!$D$4;Sheet1!$G$4)</c:f>
              <c:numCache>
                <c:formatCode>0.0</c:formatCode>
                <c:ptCount val="3"/>
                <c:pt idx="0">
                  <c:v>55.035167563094745</c:v>
                </c:pt>
                <c:pt idx="1">
                  <c:v>54.311546430589566</c:v>
                </c:pt>
                <c:pt idx="2">
                  <c:v>39.861175381767701</c:v>
                </c:pt>
              </c:numCache>
            </c:numRef>
          </c:val>
          <c:extLst>
            <c:ext xmlns:c16="http://schemas.microsoft.com/office/drawing/2014/chart" uri="{C3380CC4-5D6E-409C-BE32-E72D297353CC}">
              <c16:uniqueId val="{00000002-5ED8-4955-9115-2ADF61C08397}"/>
            </c:ext>
          </c:extLst>
        </c:ser>
        <c:ser>
          <c:idx val="3"/>
          <c:order val="3"/>
          <c:tx>
            <c:strRef>
              <c:f>Sheet1!$A$5</c:f>
              <c:strCache>
                <c:ptCount val="1"/>
                <c:pt idx="0">
                  <c:v>Dabas zinātnes, matemātika un informācijas tehnoloģijas</c:v>
                </c:pt>
              </c:strCache>
            </c:strRef>
          </c:tx>
          <c:invertIfNegative val="0"/>
          <c:cat>
            <c:numRef>
              <c:f>(Sheet1!$B$1;Sheet1!$D$1;Sheet1!$G$1)</c:f>
              <c:numCache>
                <c:formatCode>General</c:formatCode>
                <c:ptCount val="3"/>
                <c:pt idx="0">
                  <c:v>2008</c:v>
                </c:pt>
                <c:pt idx="1">
                  <c:v>2010</c:v>
                </c:pt>
                <c:pt idx="2">
                  <c:v>2013</c:v>
                </c:pt>
              </c:numCache>
            </c:numRef>
          </c:cat>
          <c:val>
            <c:numRef>
              <c:f>(Sheet1!$B$5;Sheet1!$D$5;Sheet1!$G$5)</c:f>
              <c:numCache>
                <c:formatCode>0.0</c:formatCode>
                <c:ptCount val="3"/>
                <c:pt idx="0">
                  <c:v>5.0682664460074474</c:v>
                </c:pt>
                <c:pt idx="1">
                  <c:v>5.0329628932002262</c:v>
                </c:pt>
                <c:pt idx="2">
                  <c:v>5.9602036094400743</c:v>
                </c:pt>
              </c:numCache>
            </c:numRef>
          </c:val>
          <c:extLst>
            <c:ext xmlns:c16="http://schemas.microsoft.com/office/drawing/2014/chart" uri="{C3380CC4-5D6E-409C-BE32-E72D297353CC}">
              <c16:uniqueId val="{00000003-5ED8-4955-9115-2ADF61C08397}"/>
            </c:ext>
          </c:extLst>
        </c:ser>
        <c:ser>
          <c:idx val="4"/>
          <c:order val="4"/>
          <c:tx>
            <c:strRef>
              <c:f>Sheet1!$A$6</c:f>
              <c:strCache>
                <c:ptCount val="1"/>
                <c:pt idx="0">
                  <c:v>Inženierzinātnes, ražošana  un būvniecība</c:v>
                </c:pt>
              </c:strCache>
            </c:strRef>
          </c:tx>
          <c:invertIfNegative val="0"/>
          <c:cat>
            <c:numRef>
              <c:f>(Sheet1!$B$1;Sheet1!$D$1;Sheet1!$G$1)</c:f>
              <c:numCache>
                <c:formatCode>General</c:formatCode>
                <c:ptCount val="3"/>
                <c:pt idx="0">
                  <c:v>2008</c:v>
                </c:pt>
                <c:pt idx="1">
                  <c:v>2010</c:v>
                </c:pt>
                <c:pt idx="2">
                  <c:v>2013</c:v>
                </c:pt>
              </c:numCache>
            </c:numRef>
          </c:cat>
          <c:val>
            <c:numRef>
              <c:f>(Sheet1!$B$6;Sheet1!$D$6;Sheet1!$G$6)</c:f>
              <c:numCache>
                <c:formatCode>0.0</c:formatCode>
                <c:ptCount val="3"/>
                <c:pt idx="0">
                  <c:v>7.5879189077368636</c:v>
                </c:pt>
                <c:pt idx="1">
                  <c:v>9.2861179129779625</c:v>
                </c:pt>
                <c:pt idx="2">
                  <c:v>11.943544655252198</c:v>
                </c:pt>
              </c:numCache>
            </c:numRef>
          </c:val>
          <c:extLst>
            <c:ext xmlns:c16="http://schemas.microsoft.com/office/drawing/2014/chart" uri="{C3380CC4-5D6E-409C-BE32-E72D297353CC}">
              <c16:uniqueId val="{00000004-5ED8-4955-9115-2ADF61C08397}"/>
            </c:ext>
          </c:extLst>
        </c:ser>
        <c:ser>
          <c:idx val="5"/>
          <c:order val="5"/>
          <c:tx>
            <c:strRef>
              <c:f>Sheet1!$A$7</c:f>
              <c:strCache>
                <c:ptCount val="1"/>
                <c:pt idx="0">
                  <c:v>Lauksaimniecība</c:v>
                </c:pt>
              </c:strCache>
            </c:strRef>
          </c:tx>
          <c:invertIfNegative val="0"/>
          <c:cat>
            <c:numRef>
              <c:f>(Sheet1!$B$1;Sheet1!$D$1;Sheet1!$G$1)</c:f>
              <c:numCache>
                <c:formatCode>General</c:formatCode>
                <c:ptCount val="3"/>
                <c:pt idx="0">
                  <c:v>2008</c:v>
                </c:pt>
                <c:pt idx="1">
                  <c:v>2010</c:v>
                </c:pt>
                <c:pt idx="2">
                  <c:v>2013</c:v>
                </c:pt>
              </c:numCache>
            </c:numRef>
          </c:cat>
          <c:val>
            <c:numRef>
              <c:f>(Sheet1!$B$7;Sheet1!$D$7;Sheet1!$G$7)</c:f>
              <c:numCache>
                <c:formatCode>0.0</c:formatCode>
                <c:ptCount val="3"/>
                <c:pt idx="0">
                  <c:v>0.74472486553578821</c:v>
                </c:pt>
                <c:pt idx="1">
                  <c:v>0.86268600489734415</c:v>
                </c:pt>
                <c:pt idx="2">
                  <c:v>1.073577047663119</c:v>
                </c:pt>
              </c:numCache>
            </c:numRef>
          </c:val>
          <c:extLst>
            <c:ext xmlns:c16="http://schemas.microsoft.com/office/drawing/2014/chart" uri="{C3380CC4-5D6E-409C-BE32-E72D297353CC}">
              <c16:uniqueId val="{00000005-5ED8-4955-9115-2ADF61C08397}"/>
            </c:ext>
          </c:extLst>
        </c:ser>
        <c:ser>
          <c:idx val="6"/>
          <c:order val="6"/>
          <c:tx>
            <c:strRef>
              <c:f>Sheet1!$A$8</c:f>
              <c:strCache>
                <c:ptCount val="1"/>
                <c:pt idx="0">
                  <c:v>Veselības aprūpe un sociālā labklājība</c:v>
                </c:pt>
              </c:strCache>
            </c:strRef>
          </c:tx>
          <c:invertIfNegative val="0"/>
          <c:cat>
            <c:numRef>
              <c:f>(Sheet1!$B$1;Sheet1!$D$1;Sheet1!$G$1)</c:f>
              <c:numCache>
                <c:formatCode>General</c:formatCode>
                <c:ptCount val="3"/>
                <c:pt idx="0">
                  <c:v>2008</c:v>
                </c:pt>
                <c:pt idx="1">
                  <c:v>2010</c:v>
                </c:pt>
                <c:pt idx="2">
                  <c:v>2013</c:v>
                </c:pt>
              </c:numCache>
            </c:numRef>
          </c:cat>
          <c:val>
            <c:numRef>
              <c:f>(Sheet1!$B$8;Sheet1!$D$8;Sheet1!$G$8)</c:f>
              <c:numCache>
                <c:formatCode>0.0</c:formatCode>
                <c:ptCount val="3"/>
                <c:pt idx="0">
                  <c:v>7.9313198179561439</c:v>
                </c:pt>
                <c:pt idx="1">
                  <c:v>9.2522132228291589</c:v>
                </c:pt>
                <c:pt idx="2">
                  <c:v>18.232299861175385</c:v>
                </c:pt>
              </c:numCache>
            </c:numRef>
          </c:val>
          <c:extLst>
            <c:ext xmlns:c16="http://schemas.microsoft.com/office/drawing/2014/chart" uri="{C3380CC4-5D6E-409C-BE32-E72D297353CC}">
              <c16:uniqueId val="{00000006-5ED8-4955-9115-2ADF61C08397}"/>
            </c:ext>
          </c:extLst>
        </c:ser>
        <c:ser>
          <c:idx val="7"/>
          <c:order val="7"/>
          <c:tx>
            <c:strRef>
              <c:f>Sheet1!$A$9</c:f>
              <c:strCache>
                <c:ptCount val="1"/>
                <c:pt idx="0">
                  <c:v>Pakalpojumi</c:v>
                </c:pt>
              </c:strCache>
            </c:strRef>
          </c:tx>
          <c:invertIfNegative val="0"/>
          <c:cat>
            <c:numRef>
              <c:f>(Sheet1!$B$1;Sheet1!$D$1;Sheet1!$G$1)</c:f>
              <c:numCache>
                <c:formatCode>General</c:formatCode>
                <c:ptCount val="3"/>
                <c:pt idx="0">
                  <c:v>2008</c:v>
                </c:pt>
                <c:pt idx="1">
                  <c:v>2010</c:v>
                </c:pt>
                <c:pt idx="2">
                  <c:v>2013</c:v>
                </c:pt>
              </c:numCache>
            </c:numRef>
          </c:cat>
          <c:val>
            <c:numRef>
              <c:f>(Sheet1!$B$9;Sheet1!$D$9;Sheet1!$G$9)</c:f>
              <c:numCache>
                <c:formatCode>0.0</c:formatCode>
                <c:ptCount val="3"/>
                <c:pt idx="0">
                  <c:v>6.0322714108398845</c:v>
                </c:pt>
                <c:pt idx="1">
                  <c:v>5.6507816914673192</c:v>
                </c:pt>
                <c:pt idx="2">
                  <c:v>7.2003701989819522</c:v>
                </c:pt>
              </c:numCache>
            </c:numRef>
          </c:val>
          <c:extLst>
            <c:ext xmlns:c16="http://schemas.microsoft.com/office/drawing/2014/chart" uri="{C3380CC4-5D6E-409C-BE32-E72D297353CC}">
              <c16:uniqueId val="{00000007-5ED8-4955-9115-2ADF61C08397}"/>
            </c:ext>
          </c:extLst>
        </c:ser>
        <c:dLbls>
          <c:showLegendKey val="0"/>
          <c:showVal val="0"/>
          <c:showCatName val="0"/>
          <c:showSerName val="0"/>
          <c:showPercent val="0"/>
          <c:showBubbleSize val="0"/>
        </c:dLbls>
        <c:gapWidth val="40"/>
        <c:overlap val="100"/>
        <c:axId val="742087544"/>
        <c:axId val="742088328"/>
      </c:barChart>
      <c:catAx>
        <c:axId val="742087544"/>
        <c:scaling>
          <c:orientation val="minMax"/>
        </c:scaling>
        <c:delete val="1"/>
        <c:axPos val="b"/>
        <c:numFmt formatCode="General" sourceLinked="1"/>
        <c:majorTickMark val="out"/>
        <c:minorTickMark val="none"/>
        <c:tickLblPos val="nextTo"/>
        <c:crossAx val="742088328"/>
        <c:crosses val="autoZero"/>
        <c:auto val="1"/>
        <c:lblAlgn val="ctr"/>
        <c:lblOffset val="100"/>
        <c:noMultiLvlLbl val="0"/>
      </c:catAx>
      <c:valAx>
        <c:axId val="742088328"/>
        <c:scaling>
          <c:orientation val="minMax"/>
        </c:scaling>
        <c:delete val="1"/>
        <c:axPos val="l"/>
        <c:numFmt formatCode="0%" sourceLinked="1"/>
        <c:majorTickMark val="out"/>
        <c:minorTickMark val="none"/>
        <c:tickLblPos val="nextTo"/>
        <c:crossAx val="742087544"/>
        <c:crosses val="autoZero"/>
        <c:crossBetween val="between"/>
        <c:majorUnit val="0.2"/>
      </c:valAx>
    </c:plotArea>
    <c:legend>
      <c:legendPos val="r"/>
      <c:layout>
        <c:manualLayout>
          <c:xMode val="edge"/>
          <c:yMode val="edge"/>
          <c:x val="7.5237739714729718E-2"/>
          <c:y val="4.535377473226263E-3"/>
          <c:w val="0.92368993567094082"/>
          <c:h val="0.97590163097317117"/>
        </c:manualLayout>
      </c:layout>
      <c:overlay val="0"/>
      <c:spPr>
        <a:solidFill>
          <a:schemeClr val="bg1"/>
        </a:solidFill>
      </c:spPr>
    </c:legend>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2021</c:v>
                </c:pt>
              </c:strCache>
            </c:strRef>
          </c:tx>
          <c:spPr>
            <a:solidFill>
              <a:srgbClr val="4BACC6">
                <a:lumMod val="75000"/>
              </a:srgbClr>
            </a:solidFill>
            <a:ln w="6350">
              <a:noFill/>
            </a:ln>
          </c:spPr>
          <c:invertIfNegative val="0"/>
          <c:dPt>
            <c:idx val="2"/>
            <c:invertIfNegative val="0"/>
            <c:bubble3D val="0"/>
            <c:extLst>
              <c:ext xmlns:c16="http://schemas.microsoft.com/office/drawing/2014/chart" uri="{C3380CC4-5D6E-409C-BE32-E72D297353CC}">
                <c16:uniqueId val="{00000000-5EC9-4805-BD1A-693A516C99D9}"/>
              </c:ext>
            </c:extLst>
          </c:dPt>
          <c:dPt>
            <c:idx val="7"/>
            <c:invertIfNegative val="0"/>
            <c:bubble3D val="0"/>
            <c:extLst>
              <c:ext xmlns:c16="http://schemas.microsoft.com/office/drawing/2014/chart" uri="{C3380CC4-5D6E-409C-BE32-E72D297353CC}">
                <c16:uniqueId val="{00000001-5EC9-4805-BD1A-693A516C99D9}"/>
              </c:ext>
            </c:extLst>
          </c:dPt>
          <c:dPt>
            <c:idx val="10"/>
            <c:invertIfNegative val="0"/>
            <c:bubble3D val="0"/>
            <c:extLst>
              <c:ext xmlns:c16="http://schemas.microsoft.com/office/drawing/2014/chart" uri="{C3380CC4-5D6E-409C-BE32-E72D297353CC}">
                <c16:uniqueId val="{00000002-5EC9-4805-BD1A-693A516C99D9}"/>
              </c:ext>
            </c:extLst>
          </c:dPt>
          <c:dPt>
            <c:idx val="11"/>
            <c:invertIfNegative val="0"/>
            <c:bubble3D val="0"/>
            <c:extLst>
              <c:ext xmlns:c16="http://schemas.microsoft.com/office/drawing/2014/chart" uri="{C3380CC4-5D6E-409C-BE32-E72D297353CC}">
                <c16:uniqueId val="{00000003-5EC9-4805-BD1A-693A516C99D9}"/>
              </c:ext>
            </c:extLst>
          </c:dPt>
          <c:dPt>
            <c:idx val="13"/>
            <c:invertIfNegative val="0"/>
            <c:bubble3D val="0"/>
            <c:spPr>
              <a:solidFill>
                <a:srgbClr val="0070C0"/>
              </a:solidFill>
              <a:ln w="6350">
                <a:noFill/>
              </a:ln>
            </c:spPr>
            <c:extLst>
              <c:ext xmlns:c16="http://schemas.microsoft.com/office/drawing/2014/chart" uri="{C3380CC4-5D6E-409C-BE32-E72D297353CC}">
                <c16:uniqueId val="{0000000B-095A-4141-976D-12AA0D27E265}"/>
              </c:ext>
            </c:extLst>
          </c:dPt>
          <c:dPt>
            <c:idx val="14"/>
            <c:invertIfNegative val="0"/>
            <c:bubble3D val="0"/>
            <c:spPr>
              <a:solidFill>
                <a:srgbClr val="31859C"/>
              </a:solidFill>
              <a:ln w="6350">
                <a:noFill/>
              </a:ln>
            </c:spPr>
            <c:extLst>
              <c:ext xmlns:c16="http://schemas.microsoft.com/office/drawing/2014/chart" uri="{C3380CC4-5D6E-409C-BE32-E72D297353CC}">
                <c16:uniqueId val="{00000005-5EC9-4805-BD1A-693A516C99D9}"/>
              </c:ext>
            </c:extLst>
          </c:dPt>
          <c:dPt>
            <c:idx val="15"/>
            <c:invertIfNegative val="0"/>
            <c:bubble3D val="0"/>
            <c:extLst>
              <c:ext xmlns:c16="http://schemas.microsoft.com/office/drawing/2014/chart" uri="{C3380CC4-5D6E-409C-BE32-E72D297353CC}">
                <c16:uniqueId val="{00000006-5EC9-4805-BD1A-693A516C99D9}"/>
              </c:ext>
            </c:extLst>
          </c:dPt>
          <c:dPt>
            <c:idx val="17"/>
            <c:invertIfNegative val="0"/>
            <c:bubble3D val="0"/>
            <c:spPr>
              <a:solidFill>
                <a:srgbClr val="C00000"/>
              </a:solidFill>
              <a:ln w="6350">
                <a:noFill/>
              </a:ln>
            </c:spPr>
            <c:extLst>
              <c:ext xmlns:c16="http://schemas.microsoft.com/office/drawing/2014/chart" uri="{C3380CC4-5D6E-409C-BE32-E72D297353CC}">
                <c16:uniqueId val="{0000000A-095A-4141-976D-12AA0D27E265}"/>
              </c:ext>
            </c:extLst>
          </c:dPt>
          <c:dPt>
            <c:idx val="18"/>
            <c:invertIfNegative val="0"/>
            <c:bubble3D val="0"/>
            <c:spPr>
              <a:solidFill>
                <a:srgbClr val="31859C"/>
              </a:solidFill>
              <a:ln w="6350">
                <a:noFill/>
              </a:ln>
            </c:spPr>
            <c:extLst>
              <c:ext xmlns:c16="http://schemas.microsoft.com/office/drawing/2014/chart" uri="{C3380CC4-5D6E-409C-BE32-E72D297353CC}">
                <c16:uniqueId val="{00000008-5EC9-4805-BD1A-693A516C99D9}"/>
              </c:ext>
            </c:extLst>
          </c:dPt>
          <c:dPt>
            <c:idx val="20"/>
            <c:invertIfNegative val="0"/>
            <c:bubble3D val="0"/>
            <c:extLst>
              <c:ext xmlns:c16="http://schemas.microsoft.com/office/drawing/2014/chart" uri="{C3380CC4-5D6E-409C-BE32-E72D297353CC}">
                <c16:uniqueId val="{00000009-5EC9-4805-BD1A-693A516C99D9}"/>
              </c:ext>
            </c:extLst>
          </c:dPt>
          <c:dLbls>
            <c:dLbl>
              <c:idx val="25"/>
              <c:layout>
                <c:manualLayout>
                  <c:x val="0"/>
                  <c:y val="7.59239408511160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EC9-4805-BD1A-693A516C99D9}"/>
                </c:ext>
              </c:extLst>
            </c:dLbl>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Zviedrija</c:v>
                </c:pt>
                <c:pt idx="1">
                  <c:v>Somija</c:v>
                </c:pt>
                <c:pt idx="2">
                  <c:v>Nīderlande</c:v>
                </c:pt>
                <c:pt idx="3">
                  <c:v>Dānija</c:v>
                </c:pt>
                <c:pt idx="4">
                  <c:v>Slovēnija</c:v>
                </c:pt>
                <c:pt idx="5">
                  <c:v>Igaunija</c:v>
                </c:pt>
                <c:pt idx="6">
                  <c:v>Luksemburga</c:v>
                </c:pt>
                <c:pt idx="7">
                  <c:v>Austrijā</c:v>
                </c:pt>
                <c:pt idx="8">
                  <c:v>Spānija</c:v>
                </c:pt>
                <c:pt idx="9">
                  <c:v>Maltā</c:v>
                </c:pt>
                <c:pt idx="10">
                  <c:v>Īrija</c:v>
                </c:pt>
                <c:pt idx="11">
                  <c:v>Portugāle</c:v>
                </c:pt>
                <c:pt idx="12">
                  <c:v>Francija</c:v>
                </c:pt>
                <c:pt idx="13">
                  <c:v>ES27</c:v>
                </c:pt>
                <c:pt idx="14">
                  <c:v>Beļģija</c:v>
                </c:pt>
                <c:pt idx="15">
                  <c:v>Itālijā</c:v>
                </c:pt>
                <c:pt idx="16">
                  <c:v>Kipra</c:v>
                </c:pt>
                <c:pt idx="17">
                  <c:v>Latvija</c:v>
                </c:pt>
                <c:pt idx="18">
                  <c:v>Lietuva</c:v>
                </c:pt>
                <c:pt idx="19">
                  <c:v>Vācija</c:v>
                </c:pt>
                <c:pt idx="20">
                  <c:v>Ungārija</c:v>
                </c:pt>
                <c:pt idx="21">
                  <c:v>Čehija</c:v>
                </c:pt>
                <c:pt idx="22">
                  <c:v>Polija</c:v>
                </c:pt>
                <c:pt idx="23">
                  <c:v>Horvātija</c:v>
                </c:pt>
                <c:pt idx="24">
                  <c:v>Rumānija</c:v>
                </c:pt>
                <c:pt idx="25">
                  <c:v>Slovākija</c:v>
                </c:pt>
                <c:pt idx="26">
                  <c:v>Grieķija</c:v>
                </c:pt>
                <c:pt idx="27">
                  <c:v>Bulgārija</c:v>
                </c:pt>
              </c:strCache>
            </c:strRef>
          </c:cat>
          <c:val>
            <c:numRef>
              <c:f>Sheet1!$C$2:$C$29</c:f>
              <c:numCache>
                <c:formatCode>0.0</c:formatCode>
                <c:ptCount val="28"/>
                <c:pt idx="0">
                  <c:v>34.700000000000003</c:v>
                </c:pt>
                <c:pt idx="1">
                  <c:v>30.5</c:v>
                </c:pt>
                <c:pt idx="2">
                  <c:v>26.6</c:v>
                </c:pt>
                <c:pt idx="3">
                  <c:v>22.4</c:v>
                </c:pt>
                <c:pt idx="4">
                  <c:v>18.899999999999999</c:v>
                </c:pt>
                <c:pt idx="5">
                  <c:v>18.399999999999999</c:v>
                </c:pt>
                <c:pt idx="6">
                  <c:v>17.899999999999999</c:v>
                </c:pt>
                <c:pt idx="7">
                  <c:v>14.6</c:v>
                </c:pt>
                <c:pt idx="8">
                  <c:v>14.4</c:v>
                </c:pt>
                <c:pt idx="9">
                  <c:v>13.8</c:v>
                </c:pt>
                <c:pt idx="10">
                  <c:v>13.6</c:v>
                </c:pt>
                <c:pt idx="11">
                  <c:v>12.9</c:v>
                </c:pt>
                <c:pt idx="12">
                  <c:v>11</c:v>
                </c:pt>
                <c:pt idx="13">
                  <c:v>10.8</c:v>
                </c:pt>
                <c:pt idx="14">
                  <c:v>10.199999999999999</c:v>
                </c:pt>
                <c:pt idx="15">
                  <c:v>9.9</c:v>
                </c:pt>
                <c:pt idx="16">
                  <c:v>9.6999999999999993</c:v>
                </c:pt>
                <c:pt idx="17">
                  <c:v>8.6</c:v>
                </c:pt>
                <c:pt idx="18">
                  <c:v>8.5</c:v>
                </c:pt>
                <c:pt idx="19">
                  <c:v>7.7</c:v>
                </c:pt>
                <c:pt idx="20">
                  <c:v>5.9</c:v>
                </c:pt>
                <c:pt idx="21">
                  <c:v>5.8</c:v>
                </c:pt>
                <c:pt idx="22">
                  <c:v>5.4</c:v>
                </c:pt>
                <c:pt idx="23">
                  <c:v>5.0999999999999996</c:v>
                </c:pt>
                <c:pt idx="24">
                  <c:v>4.9000000000000004</c:v>
                </c:pt>
                <c:pt idx="25">
                  <c:v>4.8</c:v>
                </c:pt>
                <c:pt idx="26">
                  <c:v>3.5</c:v>
                </c:pt>
                <c:pt idx="27">
                  <c:v>1.8</c:v>
                </c:pt>
              </c:numCache>
            </c:numRef>
          </c:val>
          <c:extLst>
            <c:ext xmlns:c16="http://schemas.microsoft.com/office/drawing/2014/chart" uri="{C3380CC4-5D6E-409C-BE32-E72D297353CC}">
              <c16:uniqueId val="{0000000B-5EC9-4805-BD1A-693A516C99D9}"/>
            </c:ext>
          </c:extLst>
        </c:ser>
        <c:dLbls>
          <c:showLegendKey val="0"/>
          <c:showVal val="0"/>
          <c:showCatName val="0"/>
          <c:showSerName val="0"/>
          <c:showPercent val="0"/>
          <c:showBubbleSize val="0"/>
        </c:dLbls>
        <c:gapWidth val="40"/>
        <c:axId val="742093816"/>
        <c:axId val="742098912"/>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Zviedrija</c:v>
                </c:pt>
                <c:pt idx="1">
                  <c:v>Somija</c:v>
                </c:pt>
                <c:pt idx="2">
                  <c:v>Nīderlande</c:v>
                </c:pt>
                <c:pt idx="3">
                  <c:v>Dānija</c:v>
                </c:pt>
                <c:pt idx="4">
                  <c:v>Slovēnija</c:v>
                </c:pt>
                <c:pt idx="5">
                  <c:v>Igaunija</c:v>
                </c:pt>
                <c:pt idx="6">
                  <c:v>Luksemburga</c:v>
                </c:pt>
                <c:pt idx="7">
                  <c:v>Austrijā</c:v>
                </c:pt>
                <c:pt idx="8">
                  <c:v>Spānija</c:v>
                </c:pt>
                <c:pt idx="9">
                  <c:v>Maltā</c:v>
                </c:pt>
                <c:pt idx="10">
                  <c:v>Īrija</c:v>
                </c:pt>
                <c:pt idx="11">
                  <c:v>Portugāle</c:v>
                </c:pt>
                <c:pt idx="12">
                  <c:v>Francija</c:v>
                </c:pt>
                <c:pt idx="13">
                  <c:v>ES27</c:v>
                </c:pt>
                <c:pt idx="14">
                  <c:v>Beļģija</c:v>
                </c:pt>
                <c:pt idx="15">
                  <c:v>Itālijā</c:v>
                </c:pt>
                <c:pt idx="16">
                  <c:v>Kipra</c:v>
                </c:pt>
                <c:pt idx="17">
                  <c:v>Latvija</c:v>
                </c:pt>
                <c:pt idx="18">
                  <c:v>Lietuva</c:v>
                </c:pt>
                <c:pt idx="19">
                  <c:v>Vācija</c:v>
                </c:pt>
                <c:pt idx="20">
                  <c:v>Ungārija</c:v>
                </c:pt>
                <c:pt idx="21">
                  <c:v>Čehija</c:v>
                </c:pt>
                <c:pt idx="22">
                  <c:v>Polija</c:v>
                </c:pt>
                <c:pt idx="23">
                  <c:v>Horvātija</c:v>
                </c:pt>
                <c:pt idx="24">
                  <c:v>Rumānija</c:v>
                </c:pt>
                <c:pt idx="25">
                  <c:v>Slovākija</c:v>
                </c:pt>
                <c:pt idx="26">
                  <c:v>Grieķija</c:v>
                </c:pt>
                <c:pt idx="27">
                  <c:v>Bulgārija</c:v>
                </c:pt>
              </c:strCache>
            </c:strRef>
          </c:cat>
          <c:val>
            <c:numRef>
              <c:f>Sheet1!$B$2:$B$29</c:f>
              <c:numCache>
                <c:formatCode>0.0</c:formatCode>
                <c:ptCount val="28"/>
                <c:pt idx="0">
                  <c:v>24.7</c:v>
                </c:pt>
                <c:pt idx="1">
                  <c:v>23</c:v>
                </c:pt>
                <c:pt idx="2">
                  <c:v>17</c:v>
                </c:pt>
                <c:pt idx="3">
                  <c:v>32.700000000000003</c:v>
                </c:pt>
                <c:pt idx="4">
                  <c:v>16.399999999999999</c:v>
                </c:pt>
                <c:pt idx="5">
                  <c:v>11</c:v>
                </c:pt>
                <c:pt idx="6">
                  <c:v>13.5</c:v>
                </c:pt>
                <c:pt idx="7">
                  <c:v>13.8</c:v>
                </c:pt>
                <c:pt idx="8">
                  <c:v>11.2</c:v>
                </c:pt>
                <c:pt idx="9">
                  <c:v>6.2</c:v>
                </c:pt>
                <c:pt idx="10">
                  <c:v>7.1</c:v>
                </c:pt>
                <c:pt idx="11">
                  <c:v>5.7</c:v>
                </c:pt>
                <c:pt idx="12">
                  <c:v>5</c:v>
                </c:pt>
                <c:pt idx="13">
                  <c:v>7.8</c:v>
                </c:pt>
                <c:pt idx="14">
                  <c:v>7.4</c:v>
                </c:pt>
                <c:pt idx="15">
                  <c:v>6.2</c:v>
                </c:pt>
                <c:pt idx="16">
                  <c:v>8.1</c:v>
                </c:pt>
                <c:pt idx="17">
                  <c:v>5.4</c:v>
                </c:pt>
                <c:pt idx="18">
                  <c:v>4.4000000000000004</c:v>
                </c:pt>
                <c:pt idx="19">
                  <c:v>7.8</c:v>
                </c:pt>
                <c:pt idx="20">
                  <c:v>3</c:v>
                </c:pt>
                <c:pt idx="21">
                  <c:v>7.8</c:v>
                </c:pt>
                <c:pt idx="22">
                  <c:v>5.2</c:v>
                </c:pt>
                <c:pt idx="23">
                  <c:v>3</c:v>
                </c:pt>
                <c:pt idx="24">
                  <c:v>1.4</c:v>
                </c:pt>
                <c:pt idx="25">
                  <c:v>3.1</c:v>
                </c:pt>
                <c:pt idx="26">
                  <c:v>3.3</c:v>
                </c:pt>
                <c:pt idx="27">
                  <c:v>1.6</c:v>
                </c:pt>
              </c:numCache>
            </c:numRef>
          </c:val>
          <c:smooth val="0"/>
          <c:extLst>
            <c:ext xmlns:c16="http://schemas.microsoft.com/office/drawing/2014/chart" uri="{C3380CC4-5D6E-409C-BE32-E72D297353CC}">
              <c16:uniqueId val="{0000000C-5EC9-4805-BD1A-693A516C99D9}"/>
            </c:ext>
          </c:extLst>
        </c:ser>
        <c:dLbls>
          <c:showLegendKey val="0"/>
          <c:showVal val="0"/>
          <c:showCatName val="0"/>
          <c:showSerName val="0"/>
          <c:showPercent val="0"/>
          <c:showBubbleSize val="0"/>
        </c:dLbls>
        <c:marker val="1"/>
        <c:smooth val="0"/>
        <c:axId val="742093816"/>
        <c:axId val="742098912"/>
      </c:lineChart>
      <c:catAx>
        <c:axId val="742093816"/>
        <c:scaling>
          <c:orientation val="minMax"/>
        </c:scaling>
        <c:delete val="0"/>
        <c:axPos val="b"/>
        <c:numFmt formatCode="General" sourceLinked="1"/>
        <c:majorTickMark val="out"/>
        <c:minorTickMark val="none"/>
        <c:tickLblPos val="low"/>
        <c:spPr>
          <a:ln/>
        </c:spPr>
        <c:txPr>
          <a:bodyPr rot="-5400000" vert="horz"/>
          <a:lstStyle/>
          <a:p>
            <a:pPr>
              <a:defRPr/>
            </a:pPr>
            <a:endParaRPr lang="lv-LV"/>
          </a:p>
        </c:txPr>
        <c:crossAx val="742098912"/>
        <c:crosses val="autoZero"/>
        <c:auto val="0"/>
        <c:lblAlgn val="ctr"/>
        <c:lblOffset val="100"/>
        <c:tickLblSkip val="1"/>
        <c:noMultiLvlLbl val="0"/>
      </c:catAx>
      <c:valAx>
        <c:axId val="742098912"/>
        <c:scaling>
          <c:orientation val="minMax"/>
        </c:scaling>
        <c:delete val="0"/>
        <c:axPos val="l"/>
        <c:numFmt formatCode="#,##0" sourceLinked="0"/>
        <c:majorTickMark val="out"/>
        <c:minorTickMark val="none"/>
        <c:tickLblPos val="nextTo"/>
        <c:spPr>
          <a:ln w="6350">
            <a:noFill/>
          </a:ln>
        </c:spPr>
        <c:txPr>
          <a:bodyPr rot="0" vert="horz"/>
          <a:lstStyle/>
          <a:p>
            <a:pPr>
              <a:defRPr/>
            </a:pPr>
            <a:endParaRPr lang="lv-LV"/>
          </a:p>
        </c:txPr>
        <c:crossAx val="742093816"/>
        <c:crosses val="autoZero"/>
        <c:crossBetween val="between"/>
      </c:valAx>
      <c:spPr>
        <a:noFill/>
        <a:ln w="6350">
          <a:noFill/>
        </a:ln>
      </c:spPr>
    </c:plotArea>
    <c:legend>
      <c:legendPos val="t"/>
      <c:layout>
        <c:manualLayout>
          <c:xMode val="edge"/>
          <c:yMode val="edge"/>
          <c:x val="0.71870945543571763"/>
          <c:y val="6.8432397141183571E-2"/>
          <c:w val="9.6429867435258595E-2"/>
          <c:h val="0.19250984541369259"/>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303009259259235E-2"/>
          <c:y val="6.5185185185185165E-2"/>
          <c:w val="0.91869699074074052"/>
          <c:h val="0.83369534260345124"/>
        </c:manualLayout>
      </c:layout>
      <c:barChart>
        <c:barDir val="col"/>
        <c:grouping val="clustered"/>
        <c:varyColors val="0"/>
        <c:ser>
          <c:idx val="1"/>
          <c:order val="0"/>
          <c:tx>
            <c:strRef>
              <c:f>Sheet1!$A$2</c:f>
              <c:strCache>
                <c:ptCount val="1"/>
                <c:pt idx="0">
                  <c:v>IEDZĪVOTĀJI MŪŽIZGLĪTĪBĀ </c:v>
                </c:pt>
              </c:strCache>
            </c:strRef>
          </c:tx>
          <c:spPr>
            <a:solidFill>
              <a:schemeClr val="accent2"/>
            </a:solidFill>
            <a:ln>
              <a:noFill/>
            </a:ln>
            <a:effectLst/>
          </c:spPr>
          <c:invertIfNegative val="0"/>
          <c:dPt>
            <c:idx val="8"/>
            <c:invertIfNegative val="0"/>
            <c:bubble3D val="0"/>
            <c:extLst>
              <c:ext xmlns:c16="http://schemas.microsoft.com/office/drawing/2014/chart" uri="{C3380CC4-5D6E-409C-BE32-E72D297353CC}">
                <c16:uniqueId val="{00000000-30B9-47A3-9230-A886B83F4434}"/>
              </c:ext>
            </c:extLst>
          </c:dPt>
          <c:dLbls>
            <c:dLbl>
              <c:idx val="14"/>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fld id="{26283ABE-212C-47FD-BAEB-D01EBA05145D}" type="VALUE">
                      <a:rPr lang="en-US" sz="900">
                        <a:solidFill>
                          <a:sysClr val="windowText" lastClr="000000"/>
                        </a:solidFill>
                      </a:rPr>
                      <a:pPr>
                        <a:defRPr sz="900" b="1">
                          <a:solidFill>
                            <a:sysClr val="windowText" lastClr="000000"/>
                          </a:solidFill>
                        </a:defRPr>
                      </a:pPr>
                      <a:t>[VALUE]</a:t>
                    </a:fld>
                    <a:endParaRPr lang="lv-LV"/>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B9-47A3-9230-A886B83F443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Sheet1!$B$1:$P$1</c:f>
              <c:strCach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2027</c:v>
                </c:pt>
              </c:strCache>
            </c:strRef>
          </c:cat>
          <c:val>
            <c:numRef>
              <c:f>Sheet1!$B$2:$P$2</c:f>
              <c:numCache>
                <c:formatCode>0.0</c:formatCode>
                <c:ptCount val="15"/>
                <c:pt idx="0">
                  <c:v>6.9</c:v>
                </c:pt>
                <c:pt idx="1">
                  <c:v>5.6</c:v>
                </c:pt>
                <c:pt idx="2">
                  <c:v>5.4</c:v>
                </c:pt>
                <c:pt idx="3">
                  <c:v>5.4</c:v>
                </c:pt>
                <c:pt idx="4">
                  <c:v>7.2</c:v>
                </c:pt>
                <c:pt idx="5">
                  <c:v>6.8</c:v>
                </c:pt>
                <c:pt idx="6">
                  <c:v>5.6</c:v>
                </c:pt>
                <c:pt idx="7">
                  <c:v>5.7</c:v>
                </c:pt>
                <c:pt idx="8">
                  <c:v>7.3</c:v>
                </c:pt>
                <c:pt idx="9">
                  <c:v>7.5</c:v>
                </c:pt>
                <c:pt idx="10">
                  <c:v>6.7</c:v>
                </c:pt>
                <c:pt idx="11">
                  <c:v>7.4</c:v>
                </c:pt>
                <c:pt idx="12">
                  <c:v>6.6</c:v>
                </c:pt>
                <c:pt idx="13">
                  <c:v>8.6</c:v>
                </c:pt>
                <c:pt idx="14" formatCode="General">
                  <c:v>12</c:v>
                </c:pt>
              </c:numCache>
            </c:numRef>
          </c:val>
          <c:extLst>
            <c:ext xmlns:c16="http://schemas.microsoft.com/office/drawing/2014/chart" uri="{C3380CC4-5D6E-409C-BE32-E72D297353CC}">
              <c16:uniqueId val="{00000002-30B9-47A3-9230-A886B83F4434}"/>
            </c:ext>
          </c:extLst>
        </c:ser>
        <c:dLbls>
          <c:showLegendKey val="0"/>
          <c:showVal val="0"/>
          <c:showCatName val="0"/>
          <c:showSerName val="0"/>
          <c:showPercent val="0"/>
          <c:showBubbleSize val="0"/>
        </c:dLbls>
        <c:gapWidth val="60"/>
        <c:axId val="742089112"/>
        <c:axId val="742090680"/>
      </c:barChart>
      <c:catAx>
        <c:axId val="74208911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ax val="16"/>
          <c:min val="0"/>
        </c:scaling>
        <c:delete val="0"/>
        <c:axPos val="l"/>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majorUnit val="4"/>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8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024177655852556E-2"/>
          <c:y val="9.2637876307802028E-2"/>
          <c:w val="0.9037050412799833"/>
          <c:h val="0.49181597816297662"/>
        </c:manualLayout>
      </c:layout>
      <c:barChart>
        <c:barDir val="col"/>
        <c:grouping val="clustered"/>
        <c:varyColors val="0"/>
        <c:ser>
          <c:idx val="1"/>
          <c:order val="0"/>
          <c:tx>
            <c:strRef>
              <c:f>Sheet1!$B$1</c:f>
              <c:strCache>
                <c:ptCount val="1"/>
                <c:pt idx="0">
                  <c:v>Latvija</c:v>
                </c:pt>
              </c:strCache>
            </c:strRef>
          </c:tx>
          <c:spPr>
            <a:solidFill>
              <a:schemeClr val="accent1"/>
            </a:solidFill>
            <a:ln>
              <a:noFill/>
            </a:ln>
            <a:effectLst/>
          </c:spPr>
          <c:invertIfNegative val="0"/>
          <c:dPt>
            <c:idx val="8"/>
            <c:invertIfNegative val="0"/>
            <c:bubble3D val="0"/>
            <c:extLst>
              <c:ext xmlns:c16="http://schemas.microsoft.com/office/drawing/2014/chart" uri="{C3380CC4-5D6E-409C-BE32-E72D297353CC}">
                <c16:uniqueId val="{00000000-5725-4338-8ABD-AF8DB3535422}"/>
              </c:ext>
            </c:extLst>
          </c:dPt>
          <c:dLbls>
            <c:dLbl>
              <c:idx val="14"/>
              <c:tx>
                <c:rich>
                  <a:bodyPr/>
                  <a:lstStyle/>
                  <a:p>
                    <a:fld id="{26283ABE-212C-47FD-BAEB-D01EBA05145D}" type="VALUE">
                      <a:rPr lang="en-US"/>
                      <a:pPr/>
                      <a:t>[VALUE]</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725-4338-8ABD-AF8DB3535422}"/>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Pieņemot darbā jaunus darbiniekus nodrošina specifiskas apmācības</c:v>
                </c:pt>
                <c:pt idx="1">
                  <c:v>Iekšēja reorganizācija, lai labāk izmantotu strādājošo prasmes</c:v>
                </c:pt>
                <c:pt idx="2">
                  <c:v>Esošo darbinieku profesionālo apmācību turpināšana</c:v>
                </c:pt>
                <c:pt idx="3">
                  <c:v>Mācību organizēšanas atbildīgā persona vai struktūrvienība, mācību plāns</c:v>
                </c:pt>
              </c:strCache>
            </c:strRef>
          </c:cat>
          <c:val>
            <c:numRef>
              <c:f>Sheet1!$B$2:$B$5</c:f>
              <c:numCache>
                <c:formatCode>General</c:formatCode>
                <c:ptCount val="4"/>
                <c:pt idx="0" formatCode="0">
                  <c:v>41</c:v>
                </c:pt>
                <c:pt idx="1">
                  <c:v>34</c:v>
                </c:pt>
                <c:pt idx="2">
                  <c:v>27</c:v>
                </c:pt>
                <c:pt idx="3">
                  <c:v>16</c:v>
                </c:pt>
              </c:numCache>
            </c:numRef>
          </c:val>
          <c:extLst>
            <c:ext xmlns:c16="http://schemas.microsoft.com/office/drawing/2014/chart" uri="{C3380CC4-5D6E-409C-BE32-E72D297353CC}">
              <c16:uniqueId val="{00000002-5725-4338-8ABD-AF8DB3535422}"/>
            </c:ext>
          </c:extLst>
        </c:ser>
        <c:ser>
          <c:idx val="0"/>
          <c:order val="1"/>
          <c:tx>
            <c:strRef>
              <c:f>Sheet1!$C$1</c:f>
              <c:strCache>
                <c:ptCount val="1"/>
                <c:pt idx="0">
                  <c:v>ES vidēji</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Sheet1!$A$2:$A$5</c:f>
              <c:strCache>
                <c:ptCount val="4"/>
                <c:pt idx="0">
                  <c:v>Pieņemot darbā jaunus darbiniekus nodrošina specifiskas apmācības</c:v>
                </c:pt>
                <c:pt idx="1">
                  <c:v>Iekšēja reorganizācija, lai labāk izmantotu strādājošo prasmes</c:v>
                </c:pt>
                <c:pt idx="2">
                  <c:v>Esošo darbinieku profesionālo apmācību turpināšana</c:v>
                </c:pt>
                <c:pt idx="3">
                  <c:v>Mācību organizēšanas atbildīgā persona vai struktūrvienība, mācību plāns</c:v>
                </c:pt>
              </c:strCache>
            </c:strRef>
          </c:cat>
          <c:val>
            <c:numRef>
              <c:f>Sheet1!$C$2:$C$5</c:f>
              <c:numCache>
                <c:formatCode>General</c:formatCode>
                <c:ptCount val="4"/>
                <c:pt idx="0" formatCode="0">
                  <c:v>43</c:v>
                </c:pt>
                <c:pt idx="1">
                  <c:v>59</c:v>
                </c:pt>
                <c:pt idx="2">
                  <c:v>67</c:v>
                </c:pt>
                <c:pt idx="3">
                  <c:v>52</c:v>
                </c:pt>
              </c:numCache>
            </c:numRef>
          </c:val>
          <c:extLst>
            <c:ext xmlns:c16="http://schemas.microsoft.com/office/drawing/2014/chart" uri="{C3380CC4-5D6E-409C-BE32-E72D297353CC}">
              <c16:uniqueId val="{00000004-5725-4338-8ABD-AF8DB3535422}"/>
            </c:ext>
          </c:extLst>
        </c:ser>
        <c:dLbls>
          <c:showLegendKey val="0"/>
          <c:showVal val="0"/>
          <c:showCatName val="0"/>
          <c:showSerName val="0"/>
          <c:showPercent val="0"/>
          <c:showBubbleSize val="0"/>
        </c:dLbls>
        <c:gapWidth val="80"/>
        <c:axId val="742089112"/>
        <c:axId val="742090680"/>
      </c:barChart>
      <c:catAx>
        <c:axId val="74208911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in val="0"/>
        </c:scaling>
        <c:delete val="0"/>
        <c:axPos val="l"/>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majorUnit val="20"/>
      </c:valAx>
      <c:spPr>
        <a:noFill/>
        <a:ln>
          <a:noFill/>
        </a:ln>
        <a:effectLst/>
      </c:spPr>
    </c:plotArea>
    <c:legend>
      <c:legendPos val="r"/>
      <c:layout>
        <c:manualLayout>
          <c:xMode val="edge"/>
          <c:yMode val="edge"/>
          <c:x val="0.18322270355676323"/>
          <c:y val="1.6512975572261054E-2"/>
          <c:w val="0.41104411011468112"/>
          <c:h val="0.102521953941290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legend>
    <c:plotVisOnly val="1"/>
    <c:dispBlanksAs val="gap"/>
    <c:showDLblsOverMax val="0"/>
  </c:chart>
  <c:spPr>
    <a:noFill/>
    <a:ln w="9525" cap="flat" cmpd="sng" algn="ctr">
      <a:noFill/>
      <a:prstDash val="solid"/>
      <a:round/>
    </a:ln>
    <a:effectLst/>
  </c:spPr>
  <c:txPr>
    <a:bodyPr/>
    <a:lstStyle/>
    <a:p>
      <a:pPr>
        <a:defRPr sz="7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660379823855053E-2"/>
          <c:y val="1.7110621835777641E-2"/>
          <c:w val="0.93456747216942715"/>
          <c:h val="0.88956798646614432"/>
        </c:manualLayout>
      </c:layout>
      <c:barChart>
        <c:barDir val="col"/>
        <c:grouping val="clustered"/>
        <c:varyColors val="0"/>
        <c:ser>
          <c:idx val="0"/>
          <c:order val="1"/>
          <c:tx>
            <c:strRef>
              <c:f>Sheet1!$C$1</c:f>
              <c:strCache>
                <c:ptCount val="1"/>
                <c:pt idx="0">
                  <c:v>2021</c:v>
                </c:pt>
              </c:strCache>
            </c:strRef>
          </c:tx>
          <c:spPr>
            <a:solidFill>
              <a:srgbClr val="4BACC6">
                <a:lumMod val="75000"/>
              </a:srgbClr>
            </a:solidFill>
            <a:ln w="6350">
              <a:noFill/>
            </a:ln>
          </c:spPr>
          <c:invertIfNegative val="0"/>
          <c:dPt>
            <c:idx val="5"/>
            <c:invertIfNegative val="0"/>
            <c:bubble3D val="0"/>
            <c:extLst>
              <c:ext xmlns:c16="http://schemas.microsoft.com/office/drawing/2014/chart" uri="{C3380CC4-5D6E-409C-BE32-E72D297353CC}">
                <c16:uniqueId val="{00000000-4FCE-49CA-8A23-2EAA828BFB3F}"/>
              </c:ext>
            </c:extLst>
          </c:dPt>
          <c:dPt>
            <c:idx val="8"/>
            <c:invertIfNegative val="0"/>
            <c:bubble3D val="0"/>
            <c:extLst>
              <c:ext xmlns:c16="http://schemas.microsoft.com/office/drawing/2014/chart" uri="{C3380CC4-5D6E-409C-BE32-E72D297353CC}">
                <c16:uniqueId val="{00000002-4FCE-49CA-8A23-2EAA828BFB3F}"/>
              </c:ext>
            </c:extLst>
          </c:dPt>
          <c:dPt>
            <c:idx val="9"/>
            <c:invertIfNegative val="0"/>
            <c:bubble3D val="0"/>
            <c:extLst>
              <c:ext xmlns:c16="http://schemas.microsoft.com/office/drawing/2014/chart" uri="{C3380CC4-5D6E-409C-BE32-E72D297353CC}">
                <c16:uniqueId val="{00000003-4FCE-49CA-8A23-2EAA828BFB3F}"/>
              </c:ext>
            </c:extLst>
          </c:dPt>
          <c:dPt>
            <c:idx val="13"/>
            <c:invertIfNegative val="0"/>
            <c:bubble3D val="0"/>
            <c:spPr>
              <a:solidFill>
                <a:srgbClr val="C0504D">
                  <a:lumMod val="75000"/>
                </a:srgbClr>
              </a:solidFill>
              <a:ln w="6350">
                <a:noFill/>
              </a:ln>
            </c:spPr>
            <c:extLst>
              <c:ext xmlns:c16="http://schemas.microsoft.com/office/drawing/2014/chart" uri="{C3380CC4-5D6E-409C-BE32-E72D297353CC}">
                <c16:uniqueId val="{0000000A-B956-4E8A-95C9-25B285C19F53}"/>
              </c:ext>
            </c:extLst>
          </c:dPt>
          <c:dPt>
            <c:idx val="15"/>
            <c:invertIfNegative val="0"/>
            <c:bubble3D val="0"/>
            <c:extLst>
              <c:ext xmlns:c16="http://schemas.microsoft.com/office/drawing/2014/chart" uri="{C3380CC4-5D6E-409C-BE32-E72D297353CC}">
                <c16:uniqueId val="{00000004-4FCE-49CA-8A23-2EAA828BFB3F}"/>
              </c:ext>
            </c:extLst>
          </c:dPt>
          <c:dPt>
            <c:idx val="16"/>
            <c:invertIfNegative val="0"/>
            <c:bubble3D val="0"/>
            <c:extLst>
              <c:ext xmlns:c16="http://schemas.microsoft.com/office/drawing/2014/chart" uri="{C3380CC4-5D6E-409C-BE32-E72D297353CC}">
                <c16:uniqueId val="{00000005-4FCE-49CA-8A23-2EAA828BFB3F}"/>
              </c:ext>
            </c:extLst>
          </c:dPt>
          <c:dPt>
            <c:idx val="17"/>
            <c:invertIfNegative val="0"/>
            <c:bubble3D val="0"/>
            <c:extLst>
              <c:ext xmlns:c16="http://schemas.microsoft.com/office/drawing/2014/chart" uri="{C3380CC4-5D6E-409C-BE32-E72D297353CC}">
                <c16:uniqueId val="{00000006-4FCE-49CA-8A23-2EAA828BFB3F}"/>
              </c:ext>
            </c:extLst>
          </c:dPt>
          <c:dPt>
            <c:idx val="19"/>
            <c:invertIfNegative val="0"/>
            <c:bubble3D val="0"/>
            <c:spPr>
              <a:solidFill>
                <a:srgbClr val="4F81BD">
                  <a:lumMod val="75000"/>
                </a:srgbClr>
              </a:solidFill>
              <a:ln w="6350">
                <a:noFill/>
              </a:ln>
            </c:spPr>
            <c:extLst>
              <c:ext xmlns:c16="http://schemas.microsoft.com/office/drawing/2014/chart" uri="{C3380CC4-5D6E-409C-BE32-E72D297353CC}">
                <c16:uniqueId val="{00000008-4FCE-49CA-8A23-2EAA828BFB3F}"/>
              </c:ext>
            </c:extLst>
          </c:dPt>
          <c:dLbls>
            <c:numFmt formatCode="#,##0" sourceLinked="0"/>
            <c:spPr>
              <a:noFill/>
              <a:ln>
                <a:noFill/>
              </a:ln>
              <a:effectLst/>
            </c:spPr>
            <c:txPr>
              <a:bodyPr/>
              <a:lstStyle/>
              <a:p>
                <a:pPr>
                  <a:defRPr>
                    <a:solidFill>
                      <a:schemeClr val="bg1"/>
                    </a:solidFill>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Sheet1!$A$2:$A$29</c:f>
              <c:strCache>
                <c:ptCount val="28"/>
                <c:pt idx="0">
                  <c:v>Nīderlande</c:v>
                </c:pt>
                <c:pt idx="1">
                  <c:v>Zviedrija</c:v>
                </c:pt>
                <c:pt idx="2">
                  <c:v>Igaunija</c:v>
                </c:pt>
                <c:pt idx="3">
                  <c:v>Dānija</c:v>
                </c:pt>
                <c:pt idx="4">
                  <c:v>Vācija</c:v>
                </c:pt>
                <c:pt idx="5">
                  <c:v>Malta</c:v>
                </c:pt>
                <c:pt idx="6">
                  <c:v>Lietuva</c:v>
                </c:pt>
                <c:pt idx="7">
                  <c:v>Čehija</c:v>
                </c:pt>
                <c:pt idx="8">
                  <c:v>Īrija</c:v>
                </c:pt>
                <c:pt idx="9">
                  <c:v>Kipra</c:v>
                </c:pt>
                <c:pt idx="10">
                  <c:v>Austrija</c:v>
                </c:pt>
                <c:pt idx="11">
                  <c:v>Luksemburga</c:v>
                </c:pt>
                <c:pt idx="12">
                  <c:v>Ungārija</c:v>
                </c:pt>
                <c:pt idx="13">
                  <c:v>Latvija</c:v>
                </c:pt>
                <c:pt idx="14">
                  <c:v>Somija</c:v>
                </c:pt>
                <c:pt idx="15">
                  <c:v>Portugāle</c:v>
                </c:pt>
                <c:pt idx="16">
                  <c:v>Slovēnija</c:v>
                </c:pt>
                <c:pt idx="17">
                  <c:v>Slovākija</c:v>
                </c:pt>
                <c:pt idx="18">
                  <c:v>Polija</c:v>
                </c:pt>
                <c:pt idx="19">
                  <c:v>ES27</c:v>
                </c:pt>
                <c:pt idx="20">
                  <c:v>Bulgārija</c:v>
                </c:pt>
                <c:pt idx="21">
                  <c:v>Francija</c:v>
                </c:pt>
                <c:pt idx="22">
                  <c:v>Beļģija</c:v>
                </c:pt>
                <c:pt idx="23">
                  <c:v>Spānija</c:v>
                </c:pt>
                <c:pt idx="24">
                  <c:v>Horvātija</c:v>
                </c:pt>
                <c:pt idx="25">
                  <c:v>Rumānija</c:v>
                </c:pt>
                <c:pt idx="26">
                  <c:v>Itālija</c:v>
                </c:pt>
                <c:pt idx="27">
                  <c:v>Grieķija</c:v>
                </c:pt>
              </c:strCache>
            </c:strRef>
          </c:cat>
          <c:val>
            <c:numRef>
              <c:f>Sheet1!$C$2:$C$29</c:f>
              <c:numCache>
                <c:formatCode>0.0</c:formatCode>
                <c:ptCount val="28"/>
                <c:pt idx="0">
                  <c:v>70.400000000000006</c:v>
                </c:pt>
                <c:pt idx="1">
                  <c:v>67.3</c:v>
                </c:pt>
                <c:pt idx="2">
                  <c:v>66.7</c:v>
                </c:pt>
                <c:pt idx="3">
                  <c:v>66.599999999999994</c:v>
                </c:pt>
                <c:pt idx="4">
                  <c:v>66.599999999999994</c:v>
                </c:pt>
                <c:pt idx="5">
                  <c:v>66</c:v>
                </c:pt>
                <c:pt idx="6">
                  <c:v>65.099999999999994</c:v>
                </c:pt>
                <c:pt idx="7">
                  <c:v>64.2</c:v>
                </c:pt>
                <c:pt idx="8">
                  <c:v>64.2</c:v>
                </c:pt>
                <c:pt idx="9">
                  <c:v>64</c:v>
                </c:pt>
                <c:pt idx="10">
                  <c:v>63.9</c:v>
                </c:pt>
                <c:pt idx="11">
                  <c:v>63.2</c:v>
                </c:pt>
                <c:pt idx="12">
                  <c:v>63</c:v>
                </c:pt>
                <c:pt idx="13">
                  <c:v>62.5</c:v>
                </c:pt>
                <c:pt idx="14">
                  <c:v>62.2</c:v>
                </c:pt>
                <c:pt idx="15">
                  <c:v>61.5</c:v>
                </c:pt>
                <c:pt idx="16">
                  <c:v>61.5</c:v>
                </c:pt>
                <c:pt idx="17">
                  <c:v>60.8</c:v>
                </c:pt>
                <c:pt idx="18">
                  <c:v>60.2</c:v>
                </c:pt>
                <c:pt idx="19">
                  <c:v>59.6</c:v>
                </c:pt>
                <c:pt idx="20">
                  <c:v>58.5</c:v>
                </c:pt>
                <c:pt idx="21">
                  <c:v>57.7</c:v>
                </c:pt>
                <c:pt idx="22">
                  <c:v>56.8</c:v>
                </c:pt>
                <c:pt idx="23">
                  <c:v>55.1</c:v>
                </c:pt>
                <c:pt idx="24">
                  <c:v>54</c:v>
                </c:pt>
                <c:pt idx="25">
                  <c:v>53.2</c:v>
                </c:pt>
                <c:pt idx="26">
                  <c:v>50.6</c:v>
                </c:pt>
                <c:pt idx="27">
                  <c:v>49.9</c:v>
                </c:pt>
              </c:numCache>
            </c:numRef>
          </c:val>
          <c:extLst>
            <c:ext xmlns:c16="http://schemas.microsoft.com/office/drawing/2014/chart" uri="{C3380CC4-5D6E-409C-BE32-E72D297353CC}">
              <c16:uniqueId val="{00000009-4FCE-49CA-8A23-2EAA828BFB3F}"/>
            </c:ext>
          </c:extLst>
        </c:ser>
        <c:dLbls>
          <c:showLegendKey val="0"/>
          <c:showVal val="0"/>
          <c:showCatName val="0"/>
          <c:showSerName val="0"/>
          <c:showPercent val="0"/>
          <c:showBubbleSize val="0"/>
        </c:dLbls>
        <c:gapWidth val="40"/>
        <c:axId val="742136936"/>
        <c:axId val="742137720"/>
      </c:barChart>
      <c:lineChart>
        <c:grouping val="stacked"/>
        <c:varyColors val="0"/>
        <c:ser>
          <c:idx val="1"/>
          <c:order val="0"/>
          <c:tx>
            <c:strRef>
              <c:f>Sheet1!$B$1</c:f>
              <c:strCache>
                <c:ptCount val="1"/>
                <c:pt idx="0">
                  <c:v>2010</c:v>
                </c:pt>
              </c:strCache>
            </c:strRef>
          </c:tx>
          <c:spPr>
            <a:ln>
              <a:noFill/>
            </a:ln>
          </c:spPr>
          <c:marker>
            <c:symbol val="diamond"/>
            <c:size val="8"/>
            <c:spPr>
              <a:solidFill>
                <a:srgbClr val="F79646"/>
              </a:solidFill>
              <a:ln w="3175">
                <a:solidFill>
                  <a:sysClr val="windowText" lastClr="000000">
                    <a:lumMod val="65000"/>
                    <a:lumOff val="35000"/>
                  </a:sysClr>
                </a:solidFill>
              </a:ln>
            </c:spPr>
          </c:marker>
          <c:cat>
            <c:strRef>
              <c:f>Sheet1!$A$2:$A$29</c:f>
              <c:strCache>
                <c:ptCount val="28"/>
                <c:pt idx="0">
                  <c:v>Nīderlande</c:v>
                </c:pt>
                <c:pt idx="1">
                  <c:v>Zviedrija</c:v>
                </c:pt>
                <c:pt idx="2">
                  <c:v>Igaunija</c:v>
                </c:pt>
                <c:pt idx="3">
                  <c:v>Dānija</c:v>
                </c:pt>
                <c:pt idx="4">
                  <c:v>Vācija</c:v>
                </c:pt>
                <c:pt idx="5">
                  <c:v>Malta</c:v>
                </c:pt>
                <c:pt idx="6">
                  <c:v>Lietuva</c:v>
                </c:pt>
                <c:pt idx="7">
                  <c:v>Čehija</c:v>
                </c:pt>
                <c:pt idx="8">
                  <c:v>Īrija</c:v>
                </c:pt>
                <c:pt idx="9">
                  <c:v>Kipra</c:v>
                </c:pt>
                <c:pt idx="10">
                  <c:v>Austrija</c:v>
                </c:pt>
                <c:pt idx="11">
                  <c:v>Luksemburga</c:v>
                </c:pt>
                <c:pt idx="12">
                  <c:v>Ungārija</c:v>
                </c:pt>
                <c:pt idx="13">
                  <c:v>Latvija</c:v>
                </c:pt>
                <c:pt idx="14">
                  <c:v>Somija</c:v>
                </c:pt>
                <c:pt idx="15">
                  <c:v>Portugāle</c:v>
                </c:pt>
                <c:pt idx="16">
                  <c:v>Slovēnija</c:v>
                </c:pt>
                <c:pt idx="17">
                  <c:v>Slovākija</c:v>
                </c:pt>
                <c:pt idx="18">
                  <c:v>Polija</c:v>
                </c:pt>
                <c:pt idx="19">
                  <c:v>ES27</c:v>
                </c:pt>
                <c:pt idx="20">
                  <c:v>Bulgārija</c:v>
                </c:pt>
                <c:pt idx="21">
                  <c:v>Francija</c:v>
                </c:pt>
                <c:pt idx="22">
                  <c:v>Beļģija</c:v>
                </c:pt>
                <c:pt idx="23">
                  <c:v>Spānija</c:v>
                </c:pt>
                <c:pt idx="24">
                  <c:v>Horvātija</c:v>
                </c:pt>
                <c:pt idx="25">
                  <c:v>Rumānija</c:v>
                </c:pt>
                <c:pt idx="26">
                  <c:v>Itālija</c:v>
                </c:pt>
                <c:pt idx="27">
                  <c:v>Grieķija</c:v>
                </c:pt>
              </c:strCache>
            </c:strRef>
          </c:cat>
          <c:val>
            <c:numRef>
              <c:f>Sheet1!$B$2:$B$29</c:f>
              <c:numCache>
                <c:formatCode>0.0</c:formatCode>
                <c:ptCount val="28"/>
                <c:pt idx="0">
                  <c:v>66.7</c:v>
                </c:pt>
                <c:pt idx="1">
                  <c:v>64.5</c:v>
                </c:pt>
                <c:pt idx="2">
                  <c:v>55.5</c:v>
                </c:pt>
                <c:pt idx="3">
                  <c:v>64.099999999999994</c:v>
                </c:pt>
                <c:pt idx="4">
                  <c:v>61.2</c:v>
                </c:pt>
                <c:pt idx="5">
                  <c:v>50.6</c:v>
                </c:pt>
                <c:pt idx="6">
                  <c:v>51.4</c:v>
                </c:pt>
                <c:pt idx="7">
                  <c:v>58.5</c:v>
                </c:pt>
                <c:pt idx="8">
                  <c:v>56.8</c:v>
                </c:pt>
                <c:pt idx="9">
                  <c:v>63.7</c:v>
                </c:pt>
                <c:pt idx="10">
                  <c:v>62.9</c:v>
                </c:pt>
                <c:pt idx="11">
                  <c:v>58.3</c:v>
                </c:pt>
                <c:pt idx="12">
                  <c:v>48.7</c:v>
                </c:pt>
                <c:pt idx="13">
                  <c:v>52</c:v>
                </c:pt>
                <c:pt idx="14">
                  <c:v>60.8</c:v>
                </c:pt>
                <c:pt idx="15">
                  <c:v>59.7</c:v>
                </c:pt>
                <c:pt idx="16">
                  <c:v>59.6</c:v>
                </c:pt>
                <c:pt idx="17">
                  <c:v>53.8</c:v>
                </c:pt>
                <c:pt idx="18">
                  <c:v>53.9</c:v>
                </c:pt>
                <c:pt idx="19">
                  <c:v>56.4</c:v>
                </c:pt>
                <c:pt idx="20">
                  <c:v>52.7</c:v>
                </c:pt>
                <c:pt idx="21">
                  <c:v>57.3</c:v>
                </c:pt>
                <c:pt idx="22">
                  <c:v>55.3</c:v>
                </c:pt>
                <c:pt idx="23">
                  <c:v>52.9</c:v>
                </c:pt>
                <c:pt idx="24">
                  <c:v>51</c:v>
                </c:pt>
                <c:pt idx="25">
                  <c:v>55.8</c:v>
                </c:pt>
                <c:pt idx="26">
                  <c:v>49.7</c:v>
                </c:pt>
                <c:pt idx="27">
                  <c:v>52.3</c:v>
                </c:pt>
              </c:numCache>
            </c:numRef>
          </c:val>
          <c:smooth val="0"/>
          <c:extLst>
            <c:ext xmlns:c16="http://schemas.microsoft.com/office/drawing/2014/chart" uri="{C3380CC4-5D6E-409C-BE32-E72D297353CC}">
              <c16:uniqueId val="{0000000A-4FCE-49CA-8A23-2EAA828BFB3F}"/>
            </c:ext>
          </c:extLst>
        </c:ser>
        <c:dLbls>
          <c:showLegendKey val="0"/>
          <c:showVal val="0"/>
          <c:showCatName val="0"/>
          <c:showSerName val="0"/>
          <c:showPercent val="0"/>
          <c:showBubbleSize val="0"/>
        </c:dLbls>
        <c:marker val="1"/>
        <c:smooth val="0"/>
        <c:axId val="742136936"/>
        <c:axId val="742137720"/>
      </c:lineChart>
      <c:catAx>
        <c:axId val="742136936"/>
        <c:scaling>
          <c:orientation val="minMax"/>
        </c:scaling>
        <c:delete val="0"/>
        <c:axPos val="b"/>
        <c:numFmt formatCode="General" sourceLinked="1"/>
        <c:majorTickMark val="out"/>
        <c:minorTickMark val="none"/>
        <c:tickLblPos val="low"/>
        <c:spPr>
          <a:ln/>
        </c:spPr>
        <c:txPr>
          <a:bodyPr rot="-5400000" vert="horz"/>
          <a:lstStyle/>
          <a:p>
            <a:pPr>
              <a:defRPr>
                <a:solidFill>
                  <a:sysClr val="windowText" lastClr="000000"/>
                </a:solidFill>
              </a:defRPr>
            </a:pPr>
            <a:endParaRPr lang="lv-LV"/>
          </a:p>
        </c:txPr>
        <c:crossAx val="742137720"/>
        <c:crosses val="autoZero"/>
        <c:auto val="0"/>
        <c:lblAlgn val="ctr"/>
        <c:lblOffset val="0"/>
        <c:tickLblSkip val="1"/>
        <c:noMultiLvlLbl val="0"/>
      </c:catAx>
      <c:valAx>
        <c:axId val="742137720"/>
        <c:scaling>
          <c:orientation val="minMax"/>
          <c:min val="42"/>
        </c:scaling>
        <c:delete val="0"/>
        <c:axPos val="l"/>
        <c:numFmt formatCode="#,##0" sourceLinked="0"/>
        <c:majorTickMark val="out"/>
        <c:minorTickMark val="none"/>
        <c:tickLblPos val="nextTo"/>
        <c:spPr>
          <a:ln w="6350">
            <a:noFill/>
          </a:ln>
        </c:spPr>
        <c:txPr>
          <a:bodyPr rot="0" vert="horz"/>
          <a:lstStyle/>
          <a:p>
            <a:pPr>
              <a:defRPr/>
            </a:pPr>
            <a:endParaRPr lang="lv-LV"/>
          </a:p>
        </c:txPr>
        <c:crossAx val="742136936"/>
        <c:crosses val="autoZero"/>
        <c:crossBetween val="between"/>
        <c:majorUnit val="7"/>
      </c:valAx>
      <c:spPr>
        <a:noFill/>
        <a:ln w="6350">
          <a:noFill/>
        </a:ln>
      </c:spPr>
    </c:plotArea>
    <c:legend>
      <c:legendPos val="t"/>
      <c:layout>
        <c:manualLayout>
          <c:xMode val="edge"/>
          <c:yMode val="edge"/>
          <c:x val="0.77163114533505806"/>
          <c:y val="3.9029280410810163E-2"/>
          <c:w val="0.10304508242974592"/>
          <c:h val="0.20427109210584196"/>
        </c:manualLayout>
      </c:layout>
      <c:overlay val="0"/>
    </c:legend>
    <c:plotVisOnly val="1"/>
    <c:dispBlanksAs val="zero"/>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Arial"/>
        </a:defRPr>
      </a:pPr>
      <a:endParaRPr lang="lv-LV"/>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98407834081375E-2"/>
          <c:y val="9.2637876307802028E-2"/>
          <c:w val="0.88785213865907331"/>
          <c:h val="0.48005473147082717"/>
        </c:manualLayout>
      </c:layout>
      <c:barChart>
        <c:barDir val="col"/>
        <c:grouping val="clustered"/>
        <c:varyColors val="0"/>
        <c:ser>
          <c:idx val="1"/>
          <c:order val="0"/>
          <c:tx>
            <c:strRef>
              <c:f>Sheet1!$B$1</c:f>
              <c:strCache>
                <c:ptCount val="1"/>
                <c:pt idx="0">
                  <c:v>Latvija</c:v>
                </c:pt>
              </c:strCache>
            </c:strRef>
          </c:tx>
          <c:spPr>
            <a:solidFill>
              <a:schemeClr val="accent1"/>
            </a:solidFill>
            <a:ln>
              <a:noFill/>
            </a:ln>
            <a:effectLst/>
          </c:spPr>
          <c:invertIfNegative val="0"/>
          <c:dPt>
            <c:idx val="8"/>
            <c:invertIfNegative val="0"/>
            <c:bubble3D val="0"/>
            <c:extLst>
              <c:ext xmlns:c16="http://schemas.microsoft.com/office/drawing/2014/chart" uri="{C3380CC4-5D6E-409C-BE32-E72D297353CC}">
                <c16:uniqueId val="{00000000-CC1D-4816-8DC3-B8415D48A10A}"/>
              </c:ext>
            </c:extLst>
          </c:dPt>
          <c:cat>
            <c:strRef>
              <c:f>Sheet1!$A$2:$A$9</c:f>
              <c:strCache>
                <c:ptCount val="8"/>
                <c:pt idx="0">
                  <c:v>10-49 nodarbinātie</c:v>
                </c:pt>
                <c:pt idx="1">
                  <c:v>50-249 nodarbinātie</c:v>
                </c:pt>
                <c:pt idx="2">
                  <c:v>&gt;250 nodarbinātie</c:v>
                </c:pt>
                <c:pt idx="3">
                  <c:v>IKT, finanses un apdrošināšana</c:v>
                </c:pt>
                <c:pt idx="4">
                  <c:v>Komerc- pakalpojumi</c:v>
                </c:pt>
                <c:pt idx="5">
                  <c:v>Būvniecība</c:v>
                </c:pt>
                <c:pt idx="6">
                  <c:v>Tirdzniecība, transports, ēdināšana, izmitināšana</c:v>
                </c:pt>
                <c:pt idx="7">
                  <c:v>Rūpniecība</c:v>
                </c:pt>
              </c:strCache>
            </c:strRef>
          </c:cat>
          <c:val>
            <c:numRef>
              <c:f>Sheet1!$B$2:$B$9</c:f>
              <c:numCache>
                <c:formatCode>0.0</c:formatCode>
                <c:ptCount val="8"/>
                <c:pt idx="0">
                  <c:v>0.6</c:v>
                </c:pt>
                <c:pt idx="1">
                  <c:v>0.75</c:v>
                </c:pt>
                <c:pt idx="2">
                  <c:v>0.9</c:v>
                </c:pt>
                <c:pt idx="3">
                  <c:v>1.2</c:v>
                </c:pt>
                <c:pt idx="4">
                  <c:v>0.7</c:v>
                </c:pt>
                <c:pt idx="5">
                  <c:v>0.65</c:v>
                </c:pt>
                <c:pt idx="6">
                  <c:v>0.6</c:v>
                </c:pt>
                <c:pt idx="7">
                  <c:v>0.55000000000000004</c:v>
                </c:pt>
              </c:numCache>
            </c:numRef>
          </c:val>
          <c:extLst>
            <c:ext xmlns:c16="http://schemas.microsoft.com/office/drawing/2014/chart" uri="{C3380CC4-5D6E-409C-BE32-E72D297353CC}">
              <c16:uniqueId val="{00000002-CC1D-4816-8DC3-B8415D48A10A}"/>
            </c:ext>
          </c:extLst>
        </c:ser>
        <c:ser>
          <c:idx val="0"/>
          <c:order val="1"/>
          <c:tx>
            <c:strRef>
              <c:f>Sheet1!$C$1</c:f>
              <c:strCache>
                <c:ptCount val="1"/>
                <c:pt idx="0">
                  <c:v>ES vidēji</c:v>
                </c:pt>
              </c:strCache>
            </c:strRef>
          </c:tx>
          <c:spPr>
            <a:solidFill>
              <a:schemeClr val="bg1">
                <a:lumMod val="75000"/>
              </a:schemeClr>
            </a:solidFill>
            <a:ln>
              <a:noFill/>
            </a:ln>
            <a:effectLst/>
          </c:spPr>
          <c:invertIfNegative val="0"/>
          <c:cat>
            <c:strRef>
              <c:f>Sheet1!$A$2:$A$9</c:f>
              <c:strCache>
                <c:ptCount val="8"/>
                <c:pt idx="0">
                  <c:v>10-49 nodarbinātie</c:v>
                </c:pt>
                <c:pt idx="1">
                  <c:v>50-249 nodarbinātie</c:v>
                </c:pt>
                <c:pt idx="2">
                  <c:v>&gt;250 nodarbinātie</c:v>
                </c:pt>
                <c:pt idx="3">
                  <c:v>IKT, finanses un apdrošināšana</c:v>
                </c:pt>
                <c:pt idx="4">
                  <c:v>Komerc- pakalpojumi</c:v>
                </c:pt>
                <c:pt idx="5">
                  <c:v>Būvniecība</c:v>
                </c:pt>
                <c:pt idx="6">
                  <c:v>Tirdzniecība, transports, ēdināšana, izmitināšana</c:v>
                </c:pt>
                <c:pt idx="7">
                  <c:v>Rūpniecība</c:v>
                </c:pt>
              </c:strCache>
            </c:strRef>
          </c:cat>
          <c:val>
            <c:numRef>
              <c:f>Sheet1!$C$2:$C$9</c:f>
              <c:numCache>
                <c:formatCode>0.0</c:formatCode>
                <c:ptCount val="8"/>
                <c:pt idx="0">
                  <c:v>1.3</c:v>
                </c:pt>
                <c:pt idx="1">
                  <c:v>1.55</c:v>
                </c:pt>
                <c:pt idx="2">
                  <c:v>2</c:v>
                </c:pt>
                <c:pt idx="3">
                  <c:v>2.5</c:v>
                </c:pt>
                <c:pt idx="4">
                  <c:v>1.5</c:v>
                </c:pt>
                <c:pt idx="5">
                  <c:v>1.4</c:v>
                </c:pt>
                <c:pt idx="6">
                  <c:v>1.4</c:v>
                </c:pt>
                <c:pt idx="7">
                  <c:v>1.55</c:v>
                </c:pt>
              </c:numCache>
            </c:numRef>
          </c:val>
          <c:extLst>
            <c:ext xmlns:c16="http://schemas.microsoft.com/office/drawing/2014/chart" uri="{C3380CC4-5D6E-409C-BE32-E72D297353CC}">
              <c16:uniqueId val="{00000003-CC1D-4816-8DC3-B8415D48A10A}"/>
            </c:ext>
          </c:extLst>
        </c:ser>
        <c:dLbls>
          <c:showLegendKey val="0"/>
          <c:showVal val="0"/>
          <c:showCatName val="0"/>
          <c:showSerName val="0"/>
          <c:showPercent val="0"/>
          <c:showBubbleSize val="0"/>
        </c:dLbls>
        <c:gapWidth val="80"/>
        <c:axId val="742089112"/>
        <c:axId val="742090680"/>
      </c:barChart>
      <c:catAx>
        <c:axId val="742089112"/>
        <c:scaling>
          <c:orientation val="minMax"/>
        </c:scaling>
        <c:delete val="0"/>
        <c:axPos val="b"/>
        <c:numFmt formatCode="General" sourceLinked="1"/>
        <c:majorTickMark val="out"/>
        <c:minorTickMark val="none"/>
        <c:tickLblPos val="nextTo"/>
        <c:spPr>
          <a:noFill/>
          <a:ln w="317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90680"/>
        <c:crosses val="autoZero"/>
        <c:auto val="1"/>
        <c:lblAlgn val="ctr"/>
        <c:lblOffset val="100"/>
        <c:tickLblSkip val="1"/>
        <c:noMultiLvlLbl val="1"/>
      </c:catAx>
      <c:valAx>
        <c:axId val="742090680"/>
        <c:scaling>
          <c:orientation val="minMax"/>
          <c:min val="0"/>
        </c:scaling>
        <c:delete val="0"/>
        <c:axPos val="l"/>
        <c:numFmt formatCode="0.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crossAx val="742089112"/>
        <c:crosses val="autoZero"/>
        <c:crossBetween val="between"/>
      </c:valAx>
      <c:spPr>
        <a:noFill/>
        <a:ln>
          <a:noFill/>
        </a:ln>
        <a:effectLst/>
      </c:spPr>
    </c:plotArea>
    <c:legend>
      <c:legendPos val="r"/>
      <c:layout>
        <c:manualLayout>
          <c:xMode val="edge"/>
          <c:yMode val="edge"/>
          <c:x val="0.18322270355676323"/>
          <c:y val="1.6512975572261054E-2"/>
          <c:w val="0.41104411011468112"/>
          <c:h val="0.102521953941290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Segoe UI Light" panose="020B0502040204020203" pitchFamily="34" charset="0"/>
              <a:ea typeface="+mn-ea"/>
              <a:cs typeface="Segoe UI Semilight" panose="020B0402040204020203" pitchFamily="34" charset="0"/>
            </a:defRPr>
          </a:pPr>
          <a:endParaRPr lang="lv-LV"/>
        </a:p>
      </c:txPr>
    </c:legend>
    <c:plotVisOnly val="1"/>
    <c:dispBlanksAs val="gap"/>
    <c:showDLblsOverMax val="0"/>
  </c:chart>
  <c:spPr>
    <a:noFill/>
    <a:ln w="9525" cap="flat" cmpd="sng" algn="ctr">
      <a:noFill/>
      <a:prstDash val="solid"/>
      <a:round/>
    </a:ln>
    <a:effectLst/>
  </c:spPr>
  <c:txPr>
    <a:bodyPr/>
    <a:lstStyle/>
    <a:p>
      <a:pPr>
        <a:defRPr sz="700" baseline="0">
          <a:latin typeface="Segoe UI Light" panose="020B0502040204020203" pitchFamily="34" charset="0"/>
          <a:cs typeface="Segoe UI Semilight" panose="020B0402040204020203" pitchFamily="34" charset="0"/>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04E-2"/>
          <c:y val="3.2239949725269064E-2"/>
          <c:w val="0.96057613465509262"/>
          <c:h val="0.90696682381086358"/>
        </c:manualLayout>
      </c:layout>
      <c:lineChart>
        <c:grouping val="standard"/>
        <c:varyColors val="0"/>
        <c:ser>
          <c:idx val="2"/>
          <c:order val="1"/>
          <c:tx>
            <c:strRef>
              <c:f>Sheet1!$A$3</c:f>
              <c:strCache>
                <c:ptCount val="1"/>
                <c:pt idx="0">
                  <c:v>Mērķa scenārijs</c:v>
                </c:pt>
              </c:strCache>
            </c:strRef>
          </c:tx>
          <c:spPr>
            <a:ln w="25400">
              <a:solidFill>
                <a:srgbClr val="FF0000"/>
              </a:solidFill>
            </a:ln>
          </c:spPr>
          <c:marker>
            <c:symbol val="none"/>
          </c:marker>
          <c:dPt>
            <c:idx val="1"/>
            <c:bubble3D val="0"/>
            <c:spPr>
              <a:ln w="25400">
                <a:solidFill>
                  <a:schemeClr val="tx1"/>
                </a:solidFill>
              </a:ln>
            </c:spPr>
            <c:extLst>
              <c:ext xmlns:c16="http://schemas.microsoft.com/office/drawing/2014/chart" uri="{C3380CC4-5D6E-409C-BE32-E72D297353CC}">
                <c16:uniqueId val="{00000001-ED73-4406-A24A-BEC08F440A2E}"/>
              </c:ext>
            </c:extLst>
          </c:dPt>
          <c:dPt>
            <c:idx val="2"/>
            <c:bubble3D val="0"/>
            <c:spPr>
              <a:ln w="25400">
                <a:solidFill>
                  <a:schemeClr val="tx1"/>
                </a:solidFill>
              </a:ln>
            </c:spPr>
            <c:extLst>
              <c:ext xmlns:c16="http://schemas.microsoft.com/office/drawing/2014/chart" uri="{C3380CC4-5D6E-409C-BE32-E72D297353CC}">
                <c16:uniqueId val="{00000003-ED73-4406-A24A-BEC08F440A2E}"/>
              </c:ext>
            </c:extLst>
          </c:dPt>
          <c:dPt>
            <c:idx val="3"/>
            <c:bubble3D val="0"/>
            <c:spPr>
              <a:ln w="25400">
                <a:solidFill>
                  <a:schemeClr val="tx1"/>
                </a:solidFill>
              </a:ln>
            </c:spPr>
            <c:extLst>
              <c:ext xmlns:c16="http://schemas.microsoft.com/office/drawing/2014/chart" uri="{C3380CC4-5D6E-409C-BE32-E72D297353CC}">
                <c16:uniqueId val="{00000005-ED73-4406-A24A-BEC08F440A2E}"/>
              </c:ext>
            </c:extLst>
          </c:dPt>
          <c:dPt>
            <c:idx val="4"/>
            <c:bubble3D val="0"/>
            <c:spPr>
              <a:ln w="25400">
                <a:solidFill>
                  <a:schemeClr val="tx1"/>
                </a:solidFill>
              </a:ln>
            </c:spPr>
            <c:extLst>
              <c:ext xmlns:c16="http://schemas.microsoft.com/office/drawing/2014/chart" uri="{C3380CC4-5D6E-409C-BE32-E72D297353CC}">
                <c16:uniqueId val="{00000007-ED73-4406-A24A-BEC08F440A2E}"/>
              </c:ext>
            </c:extLst>
          </c:dPt>
          <c:dPt>
            <c:idx val="5"/>
            <c:bubble3D val="0"/>
            <c:spPr>
              <a:ln w="25400">
                <a:solidFill>
                  <a:schemeClr val="tx1"/>
                </a:solidFill>
              </a:ln>
            </c:spPr>
            <c:extLst>
              <c:ext xmlns:c16="http://schemas.microsoft.com/office/drawing/2014/chart" uri="{C3380CC4-5D6E-409C-BE32-E72D297353CC}">
                <c16:uniqueId val="{00000009-ED73-4406-A24A-BEC08F440A2E}"/>
              </c:ext>
            </c:extLst>
          </c:dPt>
          <c:dPt>
            <c:idx val="6"/>
            <c:bubble3D val="0"/>
            <c:spPr>
              <a:ln w="25400">
                <a:solidFill>
                  <a:schemeClr val="tx1"/>
                </a:solidFill>
              </a:ln>
            </c:spPr>
            <c:extLst>
              <c:ext xmlns:c16="http://schemas.microsoft.com/office/drawing/2014/chart" uri="{C3380CC4-5D6E-409C-BE32-E72D297353CC}">
                <c16:uniqueId val="{0000000B-ED73-4406-A24A-BEC08F440A2E}"/>
              </c:ext>
            </c:extLst>
          </c:dPt>
          <c:dPt>
            <c:idx val="7"/>
            <c:bubble3D val="0"/>
            <c:spPr>
              <a:ln w="25400">
                <a:solidFill>
                  <a:schemeClr val="tx1"/>
                </a:solidFill>
              </a:ln>
            </c:spPr>
            <c:extLst>
              <c:ext xmlns:c16="http://schemas.microsoft.com/office/drawing/2014/chart" uri="{C3380CC4-5D6E-409C-BE32-E72D297353CC}">
                <c16:uniqueId val="{0000000D-ED73-4406-A24A-BEC08F440A2E}"/>
              </c:ext>
            </c:extLst>
          </c:dPt>
          <c:dPt>
            <c:idx val="8"/>
            <c:bubble3D val="0"/>
            <c:spPr>
              <a:ln w="25400">
                <a:solidFill>
                  <a:schemeClr val="tx1"/>
                </a:solidFill>
              </a:ln>
            </c:spPr>
            <c:extLst>
              <c:ext xmlns:c16="http://schemas.microsoft.com/office/drawing/2014/chart" uri="{C3380CC4-5D6E-409C-BE32-E72D297353CC}">
                <c16:uniqueId val="{0000000F-ED73-4406-A24A-BEC08F440A2E}"/>
              </c:ext>
            </c:extLst>
          </c:dPt>
          <c:dPt>
            <c:idx val="9"/>
            <c:bubble3D val="0"/>
            <c:spPr>
              <a:ln w="25400">
                <a:solidFill>
                  <a:schemeClr val="tx1"/>
                </a:solidFill>
              </a:ln>
            </c:spPr>
            <c:extLst>
              <c:ext xmlns:c16="http://schemas.microsoft.com/office/drawing/2014/chart" uri="{C3380CC4-5D6E-409C-BE32-E72D297353CC}">
                <c16:uniqueId val="{00000011-ED73-4406-A24A-BEC08F440A2E}"/>
              </c:ext>
            </c:extLst>
          </c:dPt>
          <c:dPt>
            <c:idx val="10"/>
            <c:bubble3D val="0"/>
            <c:spPr>
              <a:ln w="25400">
                <a:solidFill>
                  <a:schemeClr val="tx1"/>
                </a:solidFill>
              </a:ln>
            </c:spPr>
            <c:extLst>
              <c:ext xmlns:c16="http://schemas.microsoft.com/office/drawing/2014/chart" uri="{C3380CC4-5D6E-409C-BE32-E72D297353CC}">
                <c16:uniqueId val="{00000013-ED73-4406-A24A-BEC08F440A2E}"/>
              </c:ext>
            </c:extLst>
          </c:dPt>
          <c:dPt>
            <c:idx val="11"/>
            <c:bubble3D val="0"/>
            <c:spPr>
              <a:ln w="25400">
                <a:solidFill>
                  <a:schemeClr val="tx1"/>
                </a:solidFill>
              </a:ln>
            </c:spPr>
            <c:extLst>
              <c:ext xmlns:c16="http://schemas.microsoft.com/office/drawing/2014/chart" uri="{C3380CC4-5D6E-409C-BE32-E72D297353CC}">
                <c16:uniqueId val="{00000015-ED73-4406-A24A-BEC08F440A2E}"/>
              </c:ext>
            </c:extLst>
          </c:dPt>
          <c:dPt>
            <c:idx val="12"/>
            <c:bubble3D val="0"/>
            <c:spPr>
              <a:ln w="25400">
                <a:solidFill>
                  <a:schemeClr val="tx1"/>
                </a:solidFill>
              </a:ln>
            </c:spPr>
            <c:extLst>
              <c:ext xmlns:c16="http://schemas.microsoft.com/office/drawing/2014/chart" uri="{C3380CC4-5D6E-409C-BE32-E72D297353CC}">
                <c16:uniqueId val="{00000017-ED73-4406-A24A-BEC08F440A2E}"/>
              </c:ext>
            </c:extLst>
          </c:dPt>
          <c:dPt>
            <c:idx val="13"/>
            <c:bubble3D val="0"/>
            <c:spPr>
              <a:ln w="25400">
                <a:solidFill>
                  <a:schemeClr val="tx1"/>
                </a:solidFill>
              </a:ln>
            </c:spPr>
            <c:extLst>
              <c:ext xmlns:c16="http://schemas.microsoft.com/office/drawing/2014/chart" uri="{C3380CC4-5D6E-409C-BE32-E72D297353CC}">
                <c16:uniqueId val="{00000019-ED73-4406-A24A-BEC08F440A2E}"/>
              </c:ext>
            </c:extLst>
          </c:dPt>
          <c:dPt>
            <c:idx val="14"/>
            <c:bubble3D val="0"/>
            <c:spPr>
              <a:ln w="25400">
                <a:solidFill>
                  <a:schemeClr val="tx1"/>
                </a:solidFill>
              </a:ln>
            </c:spPr>
            <c:extLst>
              <c:ext xmlns:c16="http://schemas.microsoft.com/office/drawing/2014/chart" uri="{C3380CC4-5D6E-409C-BE32-E72D297353CC}">
                <c16:uniqueId val="{0000001B-ED73-4406-A24A-BEC08F440A2E}"/>
              </c:ext>
            </c:extLst>
          </c:dPt>
          <c:dPt>
            <c:idx val="15"/>
            <c:bubble3D val="0"/>
            <c:spPr>
              <a:ln w="25400">
                <a:solidFill>
                  <a:schemeClr val="tx1"/>
                </a:solidFill>
              </a:ln>
            </c:spPr>
            <c:extLst>
              <c:ext xmlns:c16="http://schemas.microsoft.com/office/drawing/2014/chart" uri="{C3380CC4-5D6E-409C-BE32-E72D297353CC}">
                <c16:uniqueId val="{0000001D-ED73-4406-A24A-BEC08F440A2E}"/>
              </c:ext>
            </c:extLst>
          </c:dPt>
          <c:dPt>
            <c:idx val="16"/>
            <c:bubble3D val="0"/>
            <c:spPr>
              <a:ln w="25400">
                <a:solidFill>
                  <a:srgbClr val="C00000"/>
                </a:solidFill>
              </a:ln>
            </c:spPr>
            <c:extLst>
              <c:ext xmlns:c16="http://schemas.microsoft.com/office/drawing/2014/chart" uri="{C3380CC4-5D6E-409C-BE32-E72D297353CC}">
                <c16:uniqueId val="{0000001F-ED73-4406-A24A-BEC08F440A2E}"/>
              </c:ext>
            </c:extLst>
          </c:dPt>
          <c:dPt>
            <c:idx val="17"/>
            <c:bubble3D val="0"/>
            <c:spPr>
              <a:ln w="25400">
                <a:solidFill>
                  <a:srgbClr val="C00000"/>
                </a:solidFill>
              </a:ln>
            </c:spPr>
            <c:extLst>
              <c:ext xmlns:c16="http://schemas.microsoft.com/office/drawing/2014/chart" uri="{C3380CC4-5D6E-409C-BE32-E72D297353CC}">
                <c16:uniqueId val="{00000021-ED73-4406-A24A-BEC08F440A2E}"/>
              </c:ext>
            </c:extLst>
          </c:dPt>
          <c:dPt>
            <c:idx val="18"/>
            <c:bubble3D val="0"/>
            <c:spPr>
              <a:ln w="25400">
                <a:solidFill>
                  <a:srgbClr val="C00000"/>
                </a:solidFill>
              </a:ln>
            </c:spPr>
            <c:extLst>
              <c:ext xmlns:c16="http://schemas.microsoft.com/office/drawing/2014/chart" uri="{C3380CC4-5D6E-409C-BE32-E72D297353CC}">
                <c16:uniqueId val="{00000023-ED73-4406-A24A-BEC08F440A2E}"/>
              </c:ext>
            </c:extLst>
          </c:dPt>
          <c:dPt>
            <c:idx val="19"/>
            <c:bubble3D val="0"/>
            <c:spPr>
              <a:ln w="25400">
                <a:solidFill>
                  <a:srgbClr val="C00000"/>
                </a:solidFill>
              </a:ln>
            </c:spPr>
            <c:extLst>
              <c:ext xmlns:c16="http://schemas.microsoft.com/office/drawing/2014/chart" uri="{C3380CC4-5D6E-409C-BE32-E72D297353CC}">
                <c16:uniqueId val="{00000025-ED73-4406-A24A-BEC08F440A2E}"/>
              </c:ext>
            </c:extLst>
          </c:dPt>
          <c:dPt>
            <c:idx val="20"/>
            <c:bubble3D val="0"/>
            <c:spPr>
              <a:ln w="25400">
                <a:solidFill>
                  <a:srgbClr val="C00000"/>
                </a:solidFill>
              </a:ln>
            </c:spPr>
            <c:extLst>
              <c:ext xmlns:c16="http://schemas.microsoft.com/office/drawing/2014/chart" uri="{C3380CC4-5D6E-409C-BE32-E72D297353CC}">
                <c16:uniqueId val="{00000027-ED73-4406-A24A-BEC08F440A2E}"/>
              </c:ext>
            </c:extLst>
          </c:dPt>
          <c:dPt>
            <c:idx val="21"/>
            <c:bubble3D val="0"/>
            <c:spPr>
              <a:ln w="25400">
                <a:solidFill>
                  <a:srgbClr val="C00000"/>
                </a:solidFill>
              </a:ln>
            </c:spPr>
            <c:extLst>
              <c:ext xmlns:c16="http://schemas.microsoft.com/office/drawing/2014/chart" uri="{C3380CC4-5D6E-409C-BE32-E72D297353CC}">
                <c16:uniqueId val="{00000029-ED73-4406-A24A-BEC08F440A2E}"/>
              </c:ext>
            </c:extLst>
          </c:dPt>
          <c:dPt>
            <c:idx val="22"/>
            <c:bubble3D val="0"/>
            <c:spPr>
              <a:ln w="25400">
                <a:solidFill>
                  <a:srgbClr val="C00000"/>
                </a:solidFill>
              </a:ln>
            </c:spPr>
            <c:extLst>
              <c:ext xmlns:c16="http://schemas.microsoft.com/office/drawing/2014/chart" uri="{C3380CC4-5D6E-409C-BE32-E72D297353CC}">
                <c16:uniqueId val="{0000002B-ED73-4406-A24A-BEC08F440A2E}"/>
              </c:ext>
            </c:extLst>
          </c:dPt>
          <c:dPt>
            <c:idx val="23"/>
            <c:bubble3D val="0"/>
            <c:spPr>
              <a:ln w="25400">
                <a:solidFill>
                  <a:srgbClr val="C00000"/>
                </a:solidFill>
              </a:ln>
            </c:spPr>
            <c:extLst>
              <c:ext xmlns:c16="http://schemas.microsoft.com/office/drawing/2014/chart" uri="{C3380CC4-5D6E-409C-BE32-E72D297353CC}">
                <c16:uniqueId val="{0000002D-ED73-4406-A24A-BEC08F440A2E}"/>
              </c:ext>
            </c:extLst>
          </c:dPt>
          <c:dPt>
            <c:idx val="24"/>
            <c:bubble3D val="0"/>
            <c:spPr>
              <a:ln w="25400">
                <a:solidFill>
                  <a:srgbClr val="C00000"/>
                </a:solidFill>
              </a:ln>
            </c:spPr>
            <c:extLst>
              <c:ext xmlns:c16="http://schemas.microsoft.com/office/drawing/2014/chart" uri="{C3380CC4-5D6E-409C-BE32-E72D297353CC}">
                <c16:uniqueId val="{0000002F-ED73-4406-A24A-BEC08F440A2E}"/>
              </c:ext>
            </c:extLst>
          </c:dPt>
          <c:dPt>
            <c:idx val="25"/>
            <c:bubble3D val="0"/>
            <c:spPr>
              <a:ln w="25400">
                <a:solidFill>
                  <a:srgbClr val="C00000"/>
                </a:solidFill>
              </a:ln>
            </c:spPr>
            <c:extLst>
              <c:ext xmlns:c16="http://schemas.microsoft.com/office/drawing/2014/chart" uri="{C3380CC4-5D6E-409C-BE32-E72D297353CC}">
                <c16:uniqueId val="{00000031-ED73-4406-A24A-BEC08F440A2E}"/>
              </c:ext>
            </c:extLst>
          </c:dPt>
          <c:dPt>
            <c:idx val="26"/>
            <c:bubble3D val="0"/>
            <c:spPr>
              <a:ln w="25400">
                <a:solidFill>
                  <a:srgbClr val="C00000"/>
                </a:solidFill>
              </a:ln>
            </c:spPr>
            <c:extLst>
              <c:ext xmlns:c16="http://schemas.microsoft.com/office/drawing/2014/chart" uri="{C3380CC4-5D6E-409C-BE32-E72D297353CC}">
                <c16:uniqueId val="{00000033-ED73-4406-A24A-BEC08F440A2E}"/>
              </c:ext>
            </c:extLst>
          </c:dPt>
          <c:dPt>
            <c:idx val="27"/>
            <c:bubble3D val="0"/>
            <c:spPr>
              <a:ln w="25400">
                <a:solidFill>
                  <a:srgbClr val="C00000"/>
                </a:solidFill>
              </a:ln>
            </c:spPr>
            <c:extLst>
              <c:ext xmlns:c16="http://schemas.microsoft.com/office/drawing/2014/chart" uri="{C3380CC4-5D6E-409C-BE32-E72D297353CC}">
                <c16:uniqueId val="{00000035-ED73-4406-A24A-BEC08F440A2E}"/>
              </c:ext>
            </c:extLst>
          </c:dPt>
          <c:dPt>
            <c:idx val="28"/>
            <c:bubble3D val="0"/>
            <c:spPr>
              <a:ln w="25400">
                <a:solidFill>
                  <a:srgbClr val="C00000"/>
                </a:solidFill>
              </a:ln>
            </c:spPr>
            <c:extLst>
              <c:ext xmlns:c16="http://schemas.microsoft.com/office/drawing/2014/chart" uri="{C3380CC4-5D6E-409C-BE32-E72D297353CC}">
                <c16:uniqueId val="{00000037-ED73-4406-A24A-BEC08F440A2E}"/>
              </c:ext>
            </c:extLst>
          </c:dPt>
          <c:dPt>
            <c:idx val="29"/>
            <c:bubble3D val="0"/>
            <c:spPr>
              <a:ln w="25400">
                <a:solidFill>
                  <a:srgbClr val="C00000"/>
                </a:solidFill>
              </a:ln>
            </c:spPr>
            <c:extLst>
              <c:ext xmlns:c16="http://schemas.microsoft.com/office/drawing/2014/chart" uri="{C3380CC4-5D6E-409C-BE32-E72D297353CC}">
                <c16:uniqueId val="{00000039-ED73-4406-A24A-BEC08F440A2E}"/>
              </c:ext>
            </c:extLst>
          </c:dPt>
          <c:dPt>
            <c:idx val="30"/>
            <c:bubble3D val="0"/>
            <c:spPr>
              <a:ln w="25400">
                <a:solidFill>
                  <a:srgbClr val="C00000"/>
                </a:solidFill>
              </a:ln>
            </c:spPr>
            <c:extLst>
              <c:ext xmlns:c16="http://schemas.microsoft.com/office/drawing/2014/chart" uri="{C3380CC4-5D6E-409C-BE32-E72D297353CC}">
                <c16:uniqueId val="{0000003B-ED73-4406-A24A-BEC08F440A2E}"/>
              </c:ext>
            </c:extLst>
          </c:dPt>
          <c:dPt>
            <c:idx val="31"/>
            <c:bubble3D val="0"/>
            <c:spPr>
              <a:ln w="25400">
                <a:solidFill>
                  <a:srgbClr val="C00000"/>
                </a:solidFill>
              </a:ln>
            </c:spPr>
            <c:extLst>
              <c:ext xmlns:c16="http://schemas.microsoft.com/office/drawing/2014/chart" uri="{C3380CC4-5D6E-409C-BE32-E72D297353CC}">
                <c16:uniqueId val="{0000003D-ED73-4406-A24A-BEC08F440A2E}"/>
              </c:ext>
            </c:extLst>
          </c:dPt>
          <c:dPt>
            <c:idx val="32"/>
            <c:bubble3D val="0"/>
            <c:spPr>
              <a:ln w="25400">
                <a:solidFill>
                  <a:srgbClr val="C00000"/>
                </a:solidFill>
              </a:ln>
            </c:spPr>
            <c:extLst>
              <c:ext xmlns:c16="http://schemas.microsoft.com/office/drawing/2014/chart" uri="{C3380CC4-5D6E-409C-BE32-E72D297353CC}">
                <c16:uniqueId val="{0000003F-ED73-4406-A24A-BEC08F440A2E}"/>
              </c:ext>
            </c:extLst>
          </c:dPt>
          <c:dPt>
            <c:idx val="33"/>
            <c:bubble3D val="0"/>
            <c:spPr>
              <a:ln w="25400">
                <a:solidFill>
                  <a:srgbClr val="C00000"/>
                </a:solidFill>
              </a:ln>
            </c:spPr>
            <c:extLst>
              <c:ext xmlns:c16="http://schemas.microsoft.com/office/drawing/2014/chart" uri="{C3380CC4-5D6E-409C-BE32-E72D297353CC}">
                <c16:uniqueId val="{00000041-ED73-4406-A24A-BEC08F440A2E}"/>
              </c:ext>
            </c:extLst>
          </c:dPt>
          <c:dPt>
            <c:idx val="34"/>
            <c:bubble3D val="0"/>
            <c:spPr>
              <a:ln w="25400">
                <a:solidFill>
                  <a:srgbClr val="C00000"/>
                </a:solidFill>
              </a:ln>
            </c:spPr>
            <c:extLst>
              <c:ext xmlns:c16="http://schemas.microsoft.com/office/drawing/2014/chart" uri="{C3380CC4-5D6E-409C-BE32-E72D297353CC}">
                <c16:uniqueId val="{00000043-ED73-4406-A24A-BEC08F440A2E}"/>
              </c:ext>
            </c:extLst>
          </c:dPt>
          <c:dPt>
            <c:idx val="35"/>
            <c:bubble3D val="0"/>
            <c:spPr>
              <a:ln w="25400">
                <a:solidFill>
                  <a:srgbClr val="C00000"/>
                </a:solidFill>
              </a:ln>
            </c:spPr>
            <c:extLst>
              <c:ext xmlns:c16="http://schemas.microsoft.com/office/drawing/2014/chart" uri="{C3380CC4-5D6E-409C-BE32-E72D297353CC}">
                <c16:uniqueId val="{00000045-ED73-4406-A24A-BEC08F440A2E}"/>
              </c:ext>
            </c:extLst>
          </c:dPt>
          <c:dPt>
            <c:idx val="36"/>
            <c:bubble3D val="0"/>
            <c:spPr>
              <a:ln w="25400">
                <a:solidFill>
                  <a:srgbClr val="C00000"/>
                </a:solidFill>
              </a:ln>
            </c:spPr>
            <c:extLst>
              <c:ext xmlns:c16="http://schemas.microsoft.com/office/drawing/2014/chart" uri="{C3380CC4-5D6E-409C-BE32-E72D297353CC}">
                <c16:uniqueId val="{00000047-ED73-4406-A24A-BEC08F440A2E}"/>
              </c:ext>
            </c:extLst>
          </c:dPt>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Sheet1!$B$3:$AL$3</c:f>
              <c:numCache>
                <c:formatCode>General</c:formatCode>
                <c:ptCount val="37"/>
                <c:pt idx="17" formatCode="0">
                  <c:v>145.12636867322101</c:v>
                </c:pt>
                <c:pt idx="18" formatCode="0">
                  <c:v>148.58960833778195</c:v>
                </c:pt>
                <c:pt idx="19" formatCode="0">
                  <c:v>153.2225420959266</c:v>
                </c:pt>
                <c:pt idx="20" formatCode="0">
                  <c:v>160.27077937775832</c:v>
                </c:pt>
                <c:pt idx="21" formatCode="0">
                  <c:v>168.28431889543873</c:v>
                </c:pt>
                <c:pt idx="22" formatCode="0">
                  <c:v>176.69853422366813</c:v>
                </c:pt>
                <c:pt idx="23" formatCode="0">
                  <c:v>185.18006395200621</c:v>
                </c:pt>
                <c:pt idx="24" formatCode="0">
                  <c:v>193.51316707911096</c:v>
                </c:pt>
                <c:pt idx="25" formatCode="0">
                  <c:v>201.64072009643365</c:v>
                </c:pt>
                <c:pt idx="26" formatCode="0">
                  <c:v>209.30306746009805</c:v>
                </c:pt>
                <c:pt idx="27" formatCode="0">
                  <c:v>216.83797788866153</c:v>
                </c:pt>
                <c:pt idx="28" formatCode="0">
                  <c:v>224.21046913687601</c:v>
                </c:pt>
                <c:pt idx="29" formatCode="0">
                  <c:v>231.385204149256</c:v>
                </c:pt>
                <c:pt idx="30" formatCode="0">
                  <c:v>238.3267602737337</c:v>
                </c:pt>
                <c:pt idx="31" formatCode="0">
                  <c:v>245.47656308194567</c:v>
                </c:pt>
                <c:pt idx="32" formatCode="0">
                  <c:v>252.5790183071166</c:v>
                </c:pt>
                <c:pt idx="33" formatCode="0">
                  <c:v>259.61755361727495</c:v>
                </c:pt>
                <c:pt idx="34" formatCode="0">
                  <c:v>266.57530405421778</c:v>
                </c:pt>
                <c:pt idx="35" formatCode="0">
                  <c:v>273.4351752118796</c:v>
                </c:pt>
                <c:pt idx="36" formatCode="0">
                  <c:v>280.17990953377262</c:v>
                </c:pt>
              </c:numCache>
            </c:numRef>
          </c:val>
          <c:smooth val="0"/>
          <c:extLst>
            <c:ext xmlns:c16="http://schemas.microsoft.com/office/drawing/2014/chart" uri="{C3380CC4-5D6E-409C-BE32-E72D297353CC}">
              <c16:uniqueId val="{00000048-ED73-4406-A24A-BEC08F440A2E}"/>
            </c:ext>
          </c:extLst>
        </c:ser>
        <c:ser>
          <c:idx val="0"/>
          <c:order val="0"/>
          <c:tx>
            <c:strRef>
              <c:f>Sheet1!$A$2</c:f>
              <c:strCache>
                <c:ptCount val="1"/>
                <c:pt idx="0">
                  <c:v>Fakts</c:v>
                </c:pt>
              </c:strCache>
            </c:strRef>
          </c:tx>
          <c:spPr>
            <a:ln w="25400">
              <a:solidFill>
                <a:schemeClr val="tx1"/>
              </a:solidFill>
            </a:ln>
          </c:spPr>
          <c:marker>
            <c:symbol val="none"/>
          </c:marker>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Sheet1!$B$2:$AL$2</c:f>
              <c:numCache>
                <c:formatCode>General</c:formatCode>
                <c:ptCount val="37"/>
                <c:pt idx="0">
                  <c:v>100</c:v>
                </c:pt>
                <c:pt idx="1">
                  <c:v>110.71522252361686</c:v>
                </c:pt>
                <c:pt idx="2">
                  <c:v>123.96252991991805</c:v>
                </c:pt>
                <c:pt idx="3">
                  <c:v>136.28812116908176</c:v>
                </c:pt>
                <c:pt idx="4">
                  <c:v>131.86856484302331</c:v>
                </c:pt>
                <c:pt idx="5">
                  <c:v>113.07956249987947</c:v>
                </c:pt>
                <c:pt idx="6">
                  <c:v>108.02384097662905</c:v>
                </c:pt>
                <c:pt idx="7">
                  <c:v>110.79402916559759</c:v>
                </c:pt>
                <c:pt idx="8">
                  <c:v>118.59095642056801</c:v>
                </c:pt>
                <c:pt idx="9">
                  <c:v>120.97551792787259</c:v>
                </c:pt>
                <c:pt idx="10">
                  <c:v>123.2741691986577</c:v>
                </c:pt>
                <c:pt idx="11">
                  <c:v>128.06340429787792</c:v>
                </c:pt>
                <c:pt idx="12">
                  <c:v>131.09545089037016</c:v>
                </c:pt>
                <c:pt idx="13">
                  <c:v>135.43874911276728</c:v>
                </c:pt>
                <c:pt idx="14">
                  <c:v>140.84205165360785</c:v>
                </c:pt>
                <c:pt idx="15">
                  <c:v>144.34102799071619</c:v>
                </c:pt>
                <c:pt idx="16">
                  <c:v>138.90070649755833</c:v>
                </c:pt>
                <c:pt idx="17">
                  <c:v>145.12636867322101</c:v>
                </c:pt>
              </c:numCache>
            </c:numRef>
          </c:val>
          <c:smooth val="0"/>
          <c:extLst>
            <c:ext xmlns:c16="http://schemas.microsoft.com/office/drawing/2014/chart" uri="{C3380CC4-5D6E-409C-BE32-E72D297353CC}">
              <c16:uniqueId val="{00000049-ED73-4406-A24A-BEC08F440A2E}"/>
            </c:ext>
          </c:extLst>
        </c:ser>
        <c:ser>
          <c:idx val="1"/>
          <c:order val="2"/>
          <c:tx>
            <c:strRef>
              <c:f>Sheet1!$A$4</c:f>
              <c:strCache>
                <c:ptCount val="1"/>
                <c:pt idx="0">
                  <c:v>Trenda scenārijs</c:v>
                </c:pt>
              </c:strCache>
            </c:strRef>
          </c:tx>
          <c:spPr>
            <a:ln w="19050">
              <a:solidFill>
                <a:schemeClr val="accent1"/>
              </a:solidFill>
              <a:prstDash val="sysDash"/>
            </a:ln>
          </c:spPr>
          <c:marker>
            <c:symbol val="none"/>
          </c:marker>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Sheet1!$B$4:$AL$4</c:f>
              <c:numCache>
                <c:formatCode>General</c:formatCode>
                <c:ptCount val="37"/>
                <c:pt idx="17" formatCode="0">
                  <c:v>145.12636867322101</c:v>
                </c:pt>
                <c:pt idx="18" formatCode="0">
                  <c:v>148.02889604668542</c:v>
                </c:pt>
                <c:pt idx="19" formatCode="0">
                  <c:v>152.17348724132572</c:v>
                </c:pt>
                <c:pt idx="20" formatCode="0">
                  <c:v>157.04261394164243</c:v>
                </c:pt>
                <c:pt idx="21" formatCode="0">
                  <c:v>161.75352885067463</c:v>
                </c:pt>
                <c:pt idx="22" formatCode="0">
                  <c:v>165.79718122244009</c:v>
                </c:pt>
                <c:pt idx="23" formatCode="0">
                  <c:v>169.77615658301085</c:v>
                </c:pt>
                <c:pt idx="24" formatCode="0">
                  <c:v>173.6808900200827</c:v>
                </c:pt>
                <c:pt idx="25" formatCode="0">
                  <c:v>177.67555049054471</c:v>
                </c:pt>
                <c:pt idx="26" formatCode="0">
                  <c:v>181.76208815182719</c:v>
                </c:pt>
                <c:pt idx="27" formatCode="0">
                  <c:v>185.94261617931923</c:v>
                </c:pt>
                <c:pt idx="28" formatCode="0">
                  <c:v>190.21929635144355</c:v>
                </c:pt>
                <c:pt idx="29" formatCode="0">
                  <c:v>194.59434016752678</c:v>
                </c:pt>
                <c:pt idx="30" formatCode="0">
                  <c:v>199.07000999137998</c:v>
                </c:pt>
                <c:pt idx="31" formatCode="0">
                  <c:v>203.64862022118169</c:v>
                </c:pt>
                <c:pt idx="32" formatCode="0">
                  <c:v>208.18319616477334</c:v>
                </c:pt>
                <c:pt idx="33" formatCode="0">
                  <c:v>212.66607432218819</c:v>
                </c:pt>
                <c:pt idx="34" formatCode="0">
                  <c:v>217.08952866808968</c:v>
                </c:pt>
                <c:pt idx="35" formatCode="0">
                  <c:v>221.44579187669601</c:v>
                </c:pt>
                <c:pt idx="36" formatCode="0">
                  <c:v>225.72707718631216</c:v>
                </c:pt>
              </c:numCache>
            </c:numRef>
          </c:val>
          <c:smooth val="0"/>
          <c:extLst>
            <c:ext xmlns:c16="http://schemas.microsoft.com/office/drawing/2014/chart" uri="{C3380CC4-5D6E-409C-BE32-E72D297353CC}">
              <c16:uniqueId val="{0000004A-ED73-4406-A24A-BEC08F440A2E}"/>
            </c:ext>
          </c:extLst>
        </c:ser>
        <c:dLbls>
          <c:showLegendKey val="0"/>
          <c:showVal val="0"/>
          <c:showCatName val="0"/>
          <c:showSerName val="0"/>
          <c:showPercent val="0"/>
          <c:showBubbleSize val="0"/>
        </c:dLbls>
        <c:smooth val="0"/>
        <c:axId val="742109496"/>
        <c:axId val="742101656"/>
      </c:lineChart>
      <c:catAx>
        <c:axId val="742109496"/>
        <c:scaling>
          <c:orientation val="minMax"/>
        </c:scaling>
        <c:delete val="0"/>
        <c:axPos val="b"/>
        <c:numFmt formatCode="General" sourceLinked="1"/>
        <c:majorTickMark val="out"/>
        <c:minorTickMark val="none"/>
        <c:tickLblPos val="low"/>
        <c:txPr>
          <a:bodyPr rot="0" vert="horz"/>
          <a:lstStyle/>
          <a:p>
            <a:pPr>
              <a:defRPr/>
            </a:pPr>
            <a:endParaRPr lang="lv-LV"/>
          </a:p>
        </c:txPr>
        <c:crossAx val="742101656"/>
        <c:crosses val="autoZero"/>
        <c:auto val="1"/>
        <c:lblAlgn val="ctr"/>
        <c:lblOffset val="100"/>
        <c:noMultiLvlLbl val="0"/>
      </c:catAx>
      <c:valAx>
        <c:axId val="742101656"/>
        <c:scaling>
          <c:orientation val="minMax"/>
          <c:min val="90"/>
        </c:scaling>
        <c:delete val="0"/>
        <c:axPos val="l"/>
        <c:numFmt formatCode="0" sourceLinked="0"/>
        <c:majorTickMark val="out"/>
        <c:minorTickMark val="none"/>
        <c:tickLblPos val="nextTo"/>
        <c:spPr>
          <a:ln w="3175">
            <a:noFill/>
          </a:ln>
        </c:spPr>
        <c:txPr>
          <a:bodyPr rot="0" vert="horz"/>
          <a:lstStyle/>
          <a:p>
            <a:pPr>
              <a:defRPr/>
            </a:pPr>
            <a:endParaRPr lang="lv-LV"/>
          </a:p>
        </c:txPr>
        <c:crossAx val="742109496"/>
        <c:crosses val="autoZero"/>
        <c:crossBetween val="between"/>
        <c:majorUnit val="40"/>
      </c:valAx>
      <c:spPr>
        <a:solidFill>
          <a:schemeClr val="bg1"/>
        </a:solidFill>
        <a:ln w="25398">
          <a:noFill/>
        </a:ln>
      </c:spPr>
    </c:plotArea>
    <c:plotVisOnly val="1"/>
    <c:dispBlanksAs val="gap"/>
    <c:showDLblsOverMax val="0"/>
  </c:chart>
  <c:spPr>
    <a:noFill/>
    <a:ln w="6350">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1">
    <c:autoUpdate val="0"/>
  </c:externalData>
  <c:userShapes r:id="rId2"/>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618326193710171E-2"/>
          <c:y val="2.1372768895361129E-2"/>
          <c:w val="0.92596150924856147"/>
          <c:h val="0.87967114915486722"/>
        </c:manualLayout>
      </c:layout>
      <c:areaChart>
        <c:grouping val="stacked"/>
        <c:varyColors val="0"/>
        <c:ser>
          <c:idx val="0"/>
          <c:order val="0"/>
          <c:tx>
            <c:strRef>
              <c:f>Sheet1!$A$2</c:f>
              <c:strCache>
                <c:ptCount val="1"/>
                <c:pt idx="0">
                  <c:v>0-14</c:v>
                </c:pt>
              </c:strCache>
            </c:strRef>
          </c:tx>
          <c:spPr>
            <a:solidFill>
              <a:srgbClr val="0192FF"/>
            </a:solidFill>
            <a:ln>
              <a:noFill/>
            </a:ln>
            <a:effectLst/>
          </c:spPr>
          <c:dLbls>
            <c:dLbl>
              <c:idx val="0"/>
              <c:layout>
                <c:manualLayout>
                  <c:x val="2.2050716648291075E-2"/>
                  <c:y val="-1.7062002370915579E-16"/>
                </c:manualLayout>
              </c:layout>
              <c:tx>
                <c:rich>
                  <a:bodyPr/>
                  <a:lstStyle/>
                  <a:p>
                    <a:fld id="{456FFC7F-A93E-403E-9871-6DE7D852364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7806-442E-B7F9-9CFF7039ACCC}"/>
                </c:ext>
              </c:extLst>
            </c:dLbl>
            <c:dLbl>
              <c:idx val="1"/>
              <c:tx>
                <c:rich>
                  <a:bodyPr/>
                  <a:lstStyle/>
                  <a:p>
                    <a:fld id="{81B47B14-28F6-45ED-BBE6-9B6C9EE5938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7806-442E-B7F9-9CFF7039ACCC}"/>
                </c:ext>
              </c:extLst>
            </c:dLbl>
            <c:dLbl>
              <c:idx val="2"/>
              <c:tx>
                <c:rich>
                  <a:bodyPr/>
                  <a:lstStyle/>
                  <a:p>
                    <a:fld id="{226802C6-1D8B-4937-8D08-33B048AE48B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7806-442E-B7F9-9CFF7039ACCC}"/>
                </c:ext>
              </c:extLst>
            </c:dLbl>
            <c:dLbl>
              <c:idx val="3"/>
              <c:tx>
                <c:rich>
                  <a:bodyPr/>
                  <a:lstStyle/>
                  <a:p>
                    <a:fld id="{BEDADADD-B4E9-4364-9583-77557D88DAC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7806-442E-B7F9-9CFF7039ACCC}"/>
                </c:ext>
              </c:extLst>
            </c:dLbl>
            <c:dLbl>
              <c:idx val="4"/>
              <c:tx>
                <c:rich>
                  <a:bodyPr/>
                  <a:lstStyle/>
                  <a:p>
                    <a:fld id="{D35E8E7C-C67B-4C3E-A98D-452780C9CD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7806-442E-B7F9-9CFF7039ACCC}"/>
                </c:ext>
              </c:extLst>
            </c:dLbl>
            <c:dLbl>
              <c:idx val="5"/>
              <c:tx>
                <c:rich>
                  <a:bodyPr/>
                  <a:lstStyle/>
                  <a:p>
                    <a:fld id="{4C75BC93-9330-4EB8-89B7-D10F9962B1A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7806-442E-B7F9-9CFF7039ACCC}"/>
                </c:ext>
              </c:extLst>
            </c:dLbl>
            <c:dLbl>
              <c:idx val="6"/>
              <c:tx>
                <c:rich>
                  <a:bodyPr/>
                  <a:lstStyle/>
                  <a:p>
                    <a:fld id="{7FD3B260-68E7-427F-9C42-677F568E601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7806-442E-B7F9-9CFF7039ACCC}"/>
                </c:ext>
              </c:extLst>
            </c:dLbl>
            <c:dLbl>
              <c:idx val="7"/>
              <c:tx>
                <c:rich>
                  <a:bodyPr/>
                  <a:lstStyle/>
                  <a:p>
                    <a:fld id="{617B126C-8594-4771-B8E9-54ADEB640A2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7806-442E-B7F9-9CFF7039ACCC}"/>
                </c:ext>
              </c:extLst>
            </c:dLbl>
            <c:dLbl>
              <c:idx val="8"/>
              <c:tx>
                <c:rich>
                  <a:bodyPr/>
                  <a:lstStyle/>
                  <a:p>
                    <a:fld id="{452F51C3-B681-48D5-A926-435D1E8EF7E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7806-442E-B7F9-9CFF7039ACCC}"/>
                </c:ext>
              </c:extLst>
            </c:dLbl>
            <c:dLbl>
              <c:idx val="9"/>
              <c:tx>
                <c:rich>
                  <a:bodyPr/>
                  <a:lstStyle/>
                  <a:p>
                    <a:fld id="{4F1878B4-30CE-4018-AFC5-DC63AB9336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7806-442E-B7F9-9CFF7039ACCC}"/>
                </c:ext>
              </c:extLst>
            </c:dLbl>
            <c:dLbl>
              <c:idx val="10"/>
              <c:tx>
                <c:rich>
                  <a:bodyPr/>
                  <a:lstStyle/>
                  <a:p>
                    <a:fld id="{6384AB75-32B4-484E-8625-D30941E2A1E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7806-442E-B7F9-9CFF7039ACCC}"/>
                </c:ext>
              </c:extLst>
            </c:dLbl>
            <c:dLbl>
              <c:idx val="11"/>
              <c:tx>
                <c:rich>
                  <a:bodyPr/>
                  <a:lstStyle/>
                  <a:p>
                    <a:fld id="{A7E11E74-1481-41BC-9445-2D2FB10DFEE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7806-442E-B7F9-9CFF7039ACCC}"/>
                </c:ext>
              </c:extLst>
            </c:dLbl>
            <c:dLbl>
              <c:idx val="12"/>
              <c:tx>
                <c:rich>
                  <a:bodyPr/>
                  <a:lstStyle/>
                  <a:p>
                    <a:fld id="{8223A37F-F772-4C5C-B344-86A0995D2A7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7806-442E-B7F9-9CFF7039ACCC}"/>
                </c:ext>
              </c:extLst>
            </c:dLbl>
            <c:dLbl>
              <c:idx val="13"/>
              <c:tx>
                <c:rich>
                  <a:bodyPr/>
                  <a:lstStyle/>
                  <a:p>
                    <a:fld id="{4FAE4141-2A6F-430B-B003-642863B1483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7806-442E-B7F9-9CFF7039ACCC}"/>
                </c:ext>
              </c:extLst>
            </c:dLbl>
            <c:dLbl>
              <c:idx val="14"/>
              <c:tx>
                <c:rich>
                  <a:bodyPr/>
                  <a:lstStyle/>
                  <a:p>
                    <a:fld id="{2CF5A8A1-FD02-4106-9B07-7B84B59D9D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7806-442E-B7F9-9CFF7039ACCC}"/>
                </c:ext>
              </c:extLst>
            </c:dLbl>
            <c:dLbl>
              <c:idx val="15"/>
              <c:tx>
                <c:rich>
                  <a:bodyPr/>
                  <a:lstStyle/>
                  <a:p>
                    <a:fld id="{76448E82-76C6-4996-A4FD-F34F44599EE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7806-442E-B7F9-9CFF7039ACCC}"/>
                </c:ext>
              </c:extLst>
            </c:dLbl>
            <c:dLbl>
              <c:idx val="16"/>
              <c:tx>
                <c:rich>
                  <a:bodyPr/>
                  <a:lstStyle/>
                  <a:p>
                    <a:fld id="{EA8769FF-178E-4D4F-B152-8C0922D38E7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7806-442E-B7F9-9CFF7039ACCC}"/>
                </c:ext>
              </c:extLst>
            </c:dLbl>
            <c:dLbl>
              <c:idx val="17"/>
              <c:tx>
                <c:rich>
                  <a:bodyPr/>
                  <a:lstStyle/>
                  <a:p>
                    <a:fld id="{CFE7690C-1861-40FC-AC96-32860C0552B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7806-442E-B7F9-9CFF7039ACCC}"/>
                </c:ext>
              </c:extLst>
            </c:dLbl>
            <c:dLbl>
              <c:idx val="18"/>
              <c:tx>
                <c:rich>
                  <a:bodyPr/>
                  <a:lstStyle/>
                  <a:p>
                    <a:fld id="{8E4E0E59-76E5-4E42-8344-836DACAC637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7806-442E-B7F9-9CFF7039ACCC}"/>
                </c:ext>
              </c:extLst>
            </c:dLbl>
            <c:dLbl>
              <c:idx val="19"/>
              <c:tx>
                <c:rich>
                  <a:bodyPr/>
                  <a:lstStyle/>
                  <a:p>
                    <a:fld id="{FF94333D-5055-437B-9AE6-DFC642B933B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7806-442E-B7F9-9CFF7039ACCC}"/>
                </c:ext>
              </c:extLst>
            </c:dLbl>
            <c:dLbl>
              <c:idx val="20"/>
              <c:tx>
                <c:rich>
                  <a:bodyPr/>
                  <a:lstStyle/>
                  <a:p>
                    <a:fld id="{59712115-FAE4-4238-B82C-A9A37D040C4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7806-442E-B7F9-9CFF7039ACCC}"/>
                </c:ext>
              </c:extLst>
            </c:dLbl>
            <c:dLbl>
              <c:idx val="21"/>
              <c:tx>
                <c:rich>
                  <a:bodyPr/>
                  <a:lstStyle/>
                  <a:p>
                    <a:fld id="{B3DE51F7-EADC-41DF-9129-0E4B02777A1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7806-442E-B7F9-9CFF7039ACCC}"/>
                </c:ext>
              </c:extLst>
            </c:dLbl>
            <c:dLbl>
              <c:idx val="22"/>
              <c:tx>
                <c:rich>
                  <a:bodyPr/>
                  <a:lstStyle/>
                  <a:p>
                    <a:fld id="{3995C77C-5662-4961-A561-FBCF139F37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7806-442E-B7F9-9CFF7039ACCC}"/>
                </c:ext>
              </c:extLst>
            </c:dLbl>
            <c:dLbl>
              <c:idx val="23"/>
              <c:tx>
                <c:rich>
                  <a:bodyPr/>
                  <a:lstStyle/>
                  <a:p>
                    <a:fld id="{0D73BA01-1A9F-4782-9C10-124BA3606D7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7806-442E-B7F9-9CFF7039ACCC}"/>
                </c:ext>
              </c:extLst>
            </c:dLbl>
            <c:dLbl>
              <c:idx val="24"/>
              <c:tx>
                <c:rich>
                  <a:bodyPr/>
                  <a:lstStyle/>
                  <a:p>
                    <a:fld id="{07270A97-9234-4483-9218-488FF8938B0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7806-442E-B7F9-9CFF7039ACCC}"/>
                </c:ext>
              </c:extLst>
            </c:dLbl>
            <c:dLbl>
              <c:idx val="25"/>
              <c:tx>
                <c:rich>
                  <a:bodyPr/>
                  <a:lstStyle/>
                  <a:p>
                    <a:fld id="{309AA456-2339-48E9-8ED5-C0E7181AB78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7806-442E-B7F9-9CFF7039ACCC}"/>
                </c:ext>
              </c:extLst>
            </c:dLbl>
            <c:dLbl>
              <c:idx val="26"/>
              <c:tx>
                <c:rich>
                  <a:bodyPr/>
                  <a:lstStyle/>
                  <a:p>
                    <a:fld id="{9A9AB0B3-C035-4F7F-8E48-D12BB24D098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7806-442E-B7F9-9CFF7039ACCC}"/>
                </c:ext>
              </c:extLst>
            </c:dLbl>
            <c:dLbl>
              <c:idx val="27"/>
              <c:tx>
                <c:rich>
                  <a:bodyPr/>
                  <a:lstStyle/>
                  <a:p>
                    <a:fld id="{921B1FB6-00CE-4482-95DB-1A26C081351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7806-442E-B7F9-9CFF7039ACCC}"/>
                </c:ext>
              </c:extLst>
            </c:dLbl>
            <c:dLbl>
              <c:idx val="28"/>
              <c:tx>
                <c:rich>
                  <a:bodyPr/>
                  <a:lstStyle/>
                  <a:p>
                    <a:fld id="{1F47258B-9C82-450D-9A9C-760DF897D36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7806-442E-B7F9-9CFF7039ACCC}"/>
                </c:ext>
              </c:extLst>
            </c:dLbl>
            <c:dLbl>
              <c:idx val="29"/>
              <c:tx>
                <c:rich>
                  <a:bodyPr/>
                  <a:lstStyle/>
                  <a:p>
                    <a:fld id="{FDCB55A4-C245-416A-A5BD-C7E39DFFDF3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7806-442E-B7F9-9CFF7039ACCC}"/>
                </c:ext>
              </c:extLst>
            </c:dLbl>
            <c:dLbl>
              <c:idx val="30"/>
              <c:tx>
                <c:rich>
                  <a:bodyPr/>
                  <a:lstStyle/>
                  <a:p>
                    <a:fld id="{612316F3-E37E-42A6-927E-4FD79B0EF18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7806-442E-B7F9-9CFF7039ACCC}"/>
                </c:ext>
              </c:extLst>
            </c:dLbl>
            <c:dLbl>
              <c:idx val="31"/>
              <c:tx>
                <c:rich>
                  <a:bodyPr/>
                  <a:lstStyle/>
                  <a:p>
                    <a:fld id="{13C57AC6-F94A-4BC0-87AF-2BB773E624A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7806-442E-B7F9-9CFF7039ACCC}"/>
                </c:ext>
              </c:extLst>
            </c:dLbl>
            <c:dLbl>
              <c:idx val="32"/>
              <c:tx>
                <c:rich>
                  <a:bodyPr/>
                  <a:lstStyle/>
                  <a:p>
                    <a:fld id="{1CA12A23-555B-4A70-BFCC-8BF6B5DB207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7806-442E-B7F9-9CFF7039ACCC}"/>
                </c:ext>
              </c:extLst>
            </c:dLbl>
            <c:dLbl>
              <c:idx val="33"/>
              <c:tx>
                <c:rich>
                  <a:bodyPr/>
                  <a:lstStyle/>
                  <a:p>
                    <a:fld id="{30796805-600E-4C3F-BF72-989CFADB313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7806-442E-B7F9-9CFF7039ACCC}"/>
                </c:ext>
              </c:extLst>
            </c:dLbl>
            <c:dLbl>
              <c:idx val="34"/>
              <c:tx>
                <c:rich>
                  <a:bodyPr/>
                  <a:lstStyle/>
                  <a:p>
                    <a:fld id="{14DEF23A-6B7C-4D93-BBE1-4D9D35EDD57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7806-442E-B7F9-9CFF7039ACCC}"/>
                </c:ext>
              </c:extLst>
            </c:dLbl>
            <c:dLbl>
              <c:idx val="35"/>
              <c:tx>
                <c:rich>
                  <a:bodyPr/>
                  <a:lstStyle/>
                  <a:p>
                    <a:fld id="{538C495C-FFE7-4341-9EE9-266C94B578A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7806-442E-B7F9-9CFF7039ACCC}"/>
                </c:ext>
              </c:extLst>
            </c:dLbl>
            <c:dLbl>
              <c:idx val="36"/>
              <c:layout>
                <c:manualLayout>
                  <c:x val="-2.2050716648291068E-2"/>
                  <c:y val="0"/>
                </c:manualLayout>
              </c:layout>
              <c:tx>
                <c:rich>
                  <a:bodyPr/>
                  <a:lstStyle/>
                  <a:p>
                    <a:fld id="{E344E706-6693-4350-923C-180DBBF6782B}"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7806-442E-B7F9-9CFF7039ACC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Sheet1!$B$2:$BU$2</c:f>
              <c:numCache>
                <c:formatCode>General</c:formatCode>
                <c:ptCount val="37"/>
                <c:pt idx="0">
                  <c:v>0.35264200000000001</c:v>
                </c:pt>
                <c:pt idx="1">
                  <c:v>0.33675699999999997</c:v>
                </c:pt>
                <c:pt idx="2">
                  <c:v>0.32358199999999998</c:v>
                </c:pt>
                <c:pt idx="3">
                  <c:v>0.31381199999999998</c:v>
                </c:pt>
                <c:pt idx="4">
                  <c:v>0.30707400000000001</c:v>
                </c:pt>
                <c:pt idx="5">
                  <c:v>0.30458299999999999</c:v>
                </c:pt>
                <c:pt idx="6">
                  <c:v>0.30029400000000001</c:v>
                </c:pt>
                <c:pt idx="7">
                  <c:v>0.294543</c:v>
                </c:pt>
                <c:pt idx="8">
                  <c:v>0.29216199999999998</c:v>
                </c:pt>
                <c:pt idx="9">
                  <c:v>0.29231600000000002</c:v>
                </c:pt>
                <c:pt idx="10">
                  <c:v>0.29438399999999998</c:v>
                </c:pt>
                <c:pt idx="11">
                  <c:v>0.29771999999999998</c:v>
                </c:pt>
                <c:pt idx="12">
                  <c:v>0.30026000000000003</c:v>
                </c:pt>
                <c:pt idx="13">
                  <c:v>0.303587</c:v>
                </c:pt>
                <c:pt idx="14">
                  <c:v>0.30529099999999998</c:v>
                </c:pt>
                <c:pt idx="15">
                  <c:v>0.30508000000000002</c:v>
                </c:pt>
                <c:pt idx="16">
                  <c:v>0.30518800000000001</c:v>
                </c:pt>
                <c:pt idx="17">
                  <c:v>0.30297800000000003</c:v>
                </c:pt>
                <c:pt idx="18">
                  <c:v>0.29957800000000001</c:v>
                </c:pt>
                <c:pt idx="19">
                  <c:v>0.29524600000000001</c:v>
                </c:pt>
                <c:pt idx="20">
                  <c:v>0.29014600000000002</c:v>
                </c:pt>
                <c:pt idx="21">
                  <c:v>0.28602499999999997</c:v>
                </c:pt>
                <c:pt idx="22">
                  <c:v>0.28286299999999998</c:v>
                </c:pt>
                <c:pt idx="23">
                  <c:v>0.27948400000000001</c:v>
                </c:pt>
                <c:pt idx="24">
                  <c:v>0.27465899999999999</c:v>
                </c:pt>
                <c:pt idx="25">
                  <c:v>0.26892300000000002</c:v>
                </c:pt>
                <c:pt idx="26">
                  <c:v>0.26197599999999999</c:v>
                </c:pt>
                <c:pt idx="27">
                  <c:v>0.25470500000000001</c:v>
                </c:pt>
                <c:pt idx="28">
                  <c:v>0.247499</c:v>
                </c:pt>
                <c:pt idx="29">
                  <c:v>0.24143200000000001</c:v>
                </c:pt>
                <c:pt idx="30">
                  <c:v>0.23696999999999999</c:v>
                </c:pt>
                <c:pt idx="31">
                  <c:v>0.23311699999999999</c:v>
                </c:pt>
                <c:pt idx="32">
                  <c:v>0.23067699999999999</c:v>
                </c:pt>
                <c:pt idx="33">
                  <c:v>0.229628</c:v>
                </c:pt>
                <c:pt idx="34">
                  <c:v>0.22920499999999999</c:v>
                </c:pt>
                <c:pt idx="35">
                  <c:v>0.22956699999999999</c:v>
                </c:pt>
                <c:pt idx="36">
                  <c:v>0.23053000000000001</c:v>
                </c:pt>
              </c:numCache>
            </c:numRef>
          </c:val>
          <c:extLst>
            <c:ext xmlns:c15="http://schemas.microsoft.com/office/drawing/2012/chart" uri="{02D57815-91ED-43cb-92C2-25804820EDAC}">
              <c15:datalabelsRange>
                <c15:f>Sheet1!$P$7:$AZ$7</c15:f>
                <c15:dlblRangeCache>
                  <c:ptCount val="37"/>
                  <c:pt idx="0">
                    <c:v>15%</c:v>
                  </c:pt>
                  <c:pt idx="16">
                    <c:v>16%</c:v>
                  </c:pt>
                  <c:pt idx="36">
                    <c:v>13%</c:v>
                  </c:pt>
                </c15:dlblRangeCache>
              </c15:datalabelsRange>
            </c:ext>
            <c:ext xmlns:c16="http://schemas.microsoft.com/office/drawing/2014/chart" uri="{C3380CC4-5D6E-409C-BE32-E72D297353CC}">
              <c16:uniqueId val="{00000000-1385-493C-8F54-B8ACAB415B38}"/>
            </c:ext>
          </c:extLst>
        </c:ser>
        <c:ser>
          <c:idx val="1"/>
          <c:order val="1"/>
          <c:tx>
            <c:strRef>
              <c:f>Sheet1!$A$3</c:f>
              <c:strCache>
                <c:ptCount val="1"/>
                <c:pt idx="0">
                  <c:v>15-64</c:v>
                </c:pt>
              </c:strCache>
            </c:strRef>
          </c:tx>
          <c:spPr>
            <a:solidFill>
              <a:srgbClr val="F6882E"/>
            </a:solidFill>
            <a:ln>
              <a:noFill/>
            </a:ln>
            <a:effectLst/>
          </c:spPr>
          <c:dLbls>
            <c:dLbl>
              <c:idx val="0"/>
              <c:layout>
                <c:manualLayout>
                  <c:x val="2.2050716648291068E-2"/>
                  <c:y val="0"/>
                </c:manualLayout>
              </c:layout>
              <c:tx>
                <c:rich>
                  <a:bodyPr/>
                  <a:lstStyle/>
                  <a:p>
                    <a:fld id="{6D3CE629-C568-4FC5-A415-67A34863D02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7806-442E-B7F9-9CFF7039ACCC}"/>
                </c:ext>
              </c:extLst>
            </c:dLbl>
            <c:dLbl>
              <c:idx val="1"/>
              <c:tx>
                <c:rich>
                  <a:bodyPr/>
                  <a:lstStyle/>
                  <a:p>
                    <a:fld id="{7FA7842C-9FBA-48E3-9C01-C49DCDB925A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7806-442E-B7F9-9CFF7039ACCC}"/>
                </c:ext>
              </c:extLst>
            </c:dLbl>
            <c:dLbl>
              <c:idx val="2"/>
              <c:tx>
                <c:rich>
                  <a:bodyPr/>
                  <a:lstStyle/>
                  <a:p>
                    <a:fld id="{CA1C73A4-6AFA-4038-A06B-08D3EBB6C4A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7806-442E-B7F9-9CFF7039ACCC}"/>
                </c:ext>
              </c:extLst>
            </c:dLbl>
            <c:dLbl>
              <c:idx val="3"/>
              <c:tx>
                <c:rich>
                  <a:bodyPr/>
                  <a:lstStyle/>
                  <a:p>
                    <a:fld id="{D21636FF-F764-4A4E-888E-8B816F6BBD8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7806-442E-B7F9-9CFF7039ACCC}"/>
                </c:ext>
              </c:extLst>
            </c:dLbl>
            <c:dLbl>
              <c:idx val="4"/>
              <c:tx>
                <c:rich>
                  <a:bodyPr/>
                  <a:lstStyle/>
                  <a:p>
                    <a:fld id="{6B9F7BF5-C80E-4471-812E-B9E06E78CBA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7806-442E-B7F9-9CFF7039ACCC}"/>
                </c:ext>
              </c:extLst>
            </c:dLbl>
            <c:dLbl>
              <c:idx val="5"/>
              <c:tx>
                <c:rich>
                  <a:bodyPr/>
                  <a:lstStyle/>
                  <a:p>
                    <a:fld id="{8321B179-9202-4512-A498-0FF4EB814B3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7806-442E-B7F9-9CFF7039ACCC}"/>
                </c:ext>
              </c:extLst>
            </c:dLbl>
            <c:dLbl>
              <c:idx val="6"/>
              <c:tx>
                <c:rich>
                  <a:bodyPr/>
                  <a:lstStyle/>
                  <a:p>
                    <a:fld id="{6AADB62A-60FF-4CD0-BA4C-D5491A184B8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7806-442E-B7F9-9CFF7039ACCC}"/>
                </c:ext>
              </c:extLst>
            </c:dLbl>
            <c:dLbl>
              <c:idx val="7"/>
              <c:tx>
                <c:rich>
                  <a:bodyPr/>
                  <a:lstStyle/>
                  <a:p>
                    <a:fld id="{B26C9BF7-2DDA-4BDD-A969-AC6F642FEA1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7806-442E-B7F9-9CFF7039ACCC}"/>
                </c:ext>
              </c:extLst>
            </c:dLbl>
            <c:dLbl>
              <c:idx val="8"/>
              <c:tx>
                <c:rich>
                  <a:bodyPr/>
                  <a:lstStyle/>
                  <a:p>
                    <a:fld id="{303DD9E5-740D-47C0-A4CC-819E82A722B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7806-442E-B7F9-9CFF7039ACCC}"/>
                </c:ext>
              </c:extLst>
            </c:dLbl>
            <c:dLbl>
              <c:idx val="9"/>
              <c:tx>
                <c:rich>
                  <a:bodyPr/>
                  <a:lstStyle/>
                  <a:p>
                    <a:fld id="{C0B26650-5F29-4CBA-86A3-4FD161AB396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7806-442E-B7F9-9CFF7039ACCC}"/>
                </c:ext>
              </c:extLst>
            </c:dLbl>
            <c:dLbl>
              <c:idx val="10"/>
              <c:tx>
                <c:rich>
                  <a:bodyPr/>
                  <a:lstStyle/>
                  <a:p>
                    <a:fld id="{3481F2F6-BAA8-4968-912D-33F04CE42BF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7806-442E-B7F9-9CFF7039ACCC}"/>
                </c:ext>
              </c:extLst>
            </c:dLbl>
            <c:dLbl>
              <c:idx val="11"/>
              <c:tx>
                <c:rich>
                  <a:bodyPr/>
                  <a:lstStyle/>
                  <a:p>
                    <a:fld id="{D296F9DF-8191-4BCF-B8EE-F3E39D66F65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7806-442E-B7F9-9CFF7039ACCC}"/>
                </c:ext>
              </c:extLst>
            </c:dLbl>
            <c:dLbl>
              <c:idx val="12"/>
              <c:tx>
                <c:rich>
                  <a:bodyPr/>
                  <a:lstStyle/>
                  <a:p>
                    <a:fld id="{045DFF1F-D641-4507-A0C6-0010EA751FD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7806-442E-B7F9-9CFF7039ACCC}"/>
                </c:ext>
              </c:extLst>
            </c:dLbl>
            <c:dLbl>
              <c:idx val="13"/>
              <c:tx>
                <c:rich>
                  <a:bodyPr/>
                  <a:lstStyle/>
                  <a:p>
                    <a:fld id="{0BC05D7A-CF59-4776-BBD2-000A9920D17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7806-442E-B7F9-9CFF7039ACCC}"/>
                </c:ext>
              </c:extLst>
            </c:dLbl>
            <c:dLbl>
              <c:idx val="14"/>
              <c:tx>
                <c:rich>
                  <a:bodyPr/>
                  <a:lstStyle/>
                  <a:p>
                    <a:fld id="{20444E9B-D9DB-4DCF-BCEB-C7E5FB00E08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7806-442E-B7F9-9CFF7039ACCC}"/>
                </c:ext>
              </c:extLst>
            </c:dLbl>
            <c:dLbl>
              <c:idx val="15"/>
              <c:tx>
                <c:rich>
                  <a:bodyPr/>
                  <a:lstStyle/>
                  <a:p>
                    <a:fld id="{4AF8E4AF-FD68-4EEA-8932-C4CA5881352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7806-442E-B7F9-9CFF7039ACCC}"/>
                </c:ext>
              </c:extLst>
            </c:dLbl>
            <c:dLbl>
              <c:idx val="16"/>
              <c:tx>
                <c:rich>
                  <a:bodyPr/>
                  <a:lstStyle/>
                  <a:p>
                    <a:fld id="{1E7A5F0C-0632-4B5F-BA34-98DC2FBA538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7806-442E-B7F9-9CFF7039ACCC}"/>
                </c:ext>
              </c:extLst>
            </c:dLbl>
            <c:dLbl>
              <c:idx val="17"/>
              <c:tx>
                <c:rich>
                  <a:bodyPr/>
                  <a:lstStyle/>
                  <a:p>
                    <a:fld id="{DC395F48-3A18-4CC0-A919-D07CDA55BFC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7806-442E-B7F9-9CFF7039ACCC}"/>
                </c:ext>
              </c:extLst>
            </c:dLbl>
            <c:dLbl>
              <c:idx val="18"/>
              <c:tx>
                <c:rich>
                  <a:bodyPr/>
                  <a:lstStyle/>
                  <a:p>
                    <a:fld id="{DE7AAD47-6436-4673-8C3F-82FC279EA38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7806-442E-B7F9-9CFF7039ACCC}"/>
                </c:ext>
              </c:extLst>
            </c:dLbl>
            <c:dLbl>
              <c:idx val="19"/>
              <c:tx>
                <c:rich>
                  <a:bodyPr/>
                  <a:lstStyle/>
                  <a:p>
                    <a:fld id="{799D0D8E-77D0-4846-A6EF-D08BEBA14CF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7806-442E-B7F9-9CFF7039ACCC}"/>
                </c:ext>
              </c:extLst>
            </c:dLbl>
            <c:dLbl>
              <c:idx val="20"/>
              <c:tx>
                <c:rich>
                  <a:bodyPr/>
                  <a:lstStyle/>
                  <a:p>
                    <a:fld id="{93937EE8-F22C-4E1F-932F-74F646636A4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7806-442E-B7F9-9CFF7039ACCC}"/>
                </c:ext>
              </c:extLst>
            </c:dLbl>
            <c:dLbl>
              <c:idx val="21"/>
              <c:tx>
                <c:rich>
                  <a:bodyPr/>
                  <a:lstStyle/>
                  <a:p>
                    <a:fld id="{E42A9F16-046F-4BFE-92A1-7BA7D5A83FF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7806-442E-B7F9-9CFF7039ACCC}"/>
                </c:ext>
              </c:extLst>
            </c:dLbl>
            <c:dLbl>
              <c:idx val="22"/>
              <c:tx>
                <c:rich>
                  <a:bodyPr/>
                  <a:lstStyle/>
                  <a:p>
                    <a:fld id="{C05BFC49-918F-47BD-B88F-CE34860B005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7806-442E-B7F9-9CFF7039ACCC}"/>
                </c:ext>
              </c:extLst>
            </c:dLbl>
            <c:dLbl>
              <c:idx val="23"/>
              <c:tx>
                <c:rich>
                  <a:bodyPr/>
                  <a:lstStyle/>
                  <a:p>
                    <a:fld id="{5F8027D9-A0CA-4649-94B5-92D0DEB886D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7806-442E-B7F9-9CFF7039ACCC}"/>
                </c:ext>
              </c:extLst>
            </c:dLbl>
            <c:dLbl>
              <c:idx val="24"/>
              <c:tx>
                <c:rich>
                  <a:bodyPr/>
                  <a:lstStyle/>
                  <a:p>
                    <a:fld id="{524DADD9-E421-47E1-B705-299B38FD816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7806-442E-B7F9-9CFF7039ACCC}"/>
                </c:ext>
              </c:extLst>
            </c:dLbl>
            <c:dLbl>
              <c:idx val="25"/>
              <c:tx>
                <c:rich>
                  <a:bodyPr/>
                  <a:lstStyle/>
                  <a:p>
                    <a:fld id="{6D7352BE-8126-4840-A9B2-88BBC5AE456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5-7806-442E-B7F9-9CFF7039ACCC}"/>
                </c:ext>
              </c:extLst>
            </c:dLbl>
            <c:dLbl>
              <c:idx val="26"/>
              <c:tx>
                <c:rich>
                  <a:bodyPr/>
                  <a:lstStyle/>
                  <a:p>
                    <a:fld id="{8BA88383-B2B8-4DF0-9C54-D510FA240A1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7806-442E-B7F9-9CFF7039ACCC}"/>
                </c:ext>
              </c:extLst>
            </c:dLbl>
            <c:dLbl>
              <c:idx val="27"/>
              <c:tx>
                <c:rich>
                  <a:bodyPr/>
                  <a:lstStyle/>
                  <a:p>
                    <a:fld id="{0054C26D-CB40-4E30-8070-4C7BA2324CD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7806-442E-B7F9-9CFF7039ACCC}"/>
                </c:ext>
              </c:extLst>
            </c:dLbl>
            <c:dLbl>
              <c:idx val="28"/>
              <c:tx>
                <c:rich>
                  <a:bodyPr/>
                  <a:lstStyle/>
                  <a:p>
                    <a:fld id="{E864C4FF-FD7A-473A-A6FD-EA7471985E2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7806-442E-B7F9-9CFF7039ACCC}"/>
                </c:ext>
              </c:extLst>
            </c:dLbl>
            <c:dLbl>
              <c:idx val="29"/>
              <c:tx>
                <c:rich>
                  <a:bodyPr/>
                  <a:lstStyle/>
                  <a:p>
                    <a:fld id="{39D0D15B-558E-4ED0-B8E0-1F7EC8BAF21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7806-442E-B7F9-9CFF7039ACCC}"/>
                </c:ext>
              </c:extLst>
            </c:dLbl>
            <c:dLbl>
              <c:idx val="30"/>
              <c:tx>
                <c:rich>
                  <a:bodyPr/>
                  <a:lstStyle/>
                  <a:p>
                    <a:fld id="{FEFB4491-5F0B-4BA6-B3CB-E548BA605DF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A-7806-442E-B7F9-9CFF7039ACCC}"/>
                </c:ext>
              </c:extLst>
            </c:dLbl>
            <c:dLbl>
              <c:idx val="31"/>
              <c:tx>
                <c:rich>
                  <a:bodyPr/>
                  <a:lstStyle/>
                  <a:p>
                    <a:fld id="{B5608A95-E753-45FA-96D7-C33BF4FD0B6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B-7806-442E-B7F9-9CFF7039ACCC}"/>
                </c:ext>
              </c:extLst>
            </c:dLbl>
            <c:dLbl>
              <c:idx val="32"/>
              <c:tx>
                <c:rich>
                  <a:bodyPr/>
                  <a:lstStyle/>
                  <a:p>
                    <a:fld id="{32ADC0FB-B70A-4F8B-9188-AC48E0F070E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C-7806-442E-B7F9-9CFF7039ACCC}"/>
                </c:ext>
              </c:extLst>
            </c:dLbl>
            <c:dLbl>
              <c:idx val="33"/>
              <c:tx>
                <c:rich>
                  <a:bodyPr/>
                  <a:lstStyle/>
                  <a:p>
                    <a:fld id="{7BE95499-5986-4176-96B4-FF599D1CDCE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D-7806-442E-B7F9-9CFF7039ACCC}"/>
                </c:ext>
              </c:extLst>
            </c:dLbl>
            <c:dLbl>
              <c:idx val="34"/>
              <c:tx>
                <c:rich>
                  <a:bodyPr/>
                  <a:lstStyle/>
                  <a:p>
                    <a:fld id="{005B188A-2CF3-4461-A7C5-EAD5F455354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E-7806-442E-B7F9-9CFF7039ACCC}"/>
                </c:ext>
              </c:extLst>
            </c:dLbl>
            <c:dLbl>
              <c:idx val="35"/>
              <c:tx>
                <c:rich>
                  <a:bodyPr/>
                  <a:lstStyle/>
                  <a:p>
                    <a:fld id="{FF195835-5589-4A99-8ADE-AFEA744DB07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F-7806-442E-B7F9-9CFF7039ACCC}"/>
                </c:ext>
              </c:extLst>
            </c:dLbl>
            <c:dLbl>
              <c:idx val="36"/>
              <c:layout>
                <c:manualLayout>
                  <c:x val="-1.9845644983462123E-2"/>
                  <c:y val="-8.5310011854577893E-17"/>
                </c:manualLayout>
              </c:layout>
              <c:tx>
                <c:rich>
                  <a:bodyPr/>
                  <a:lstStyle/>
                  <a:p>
                    <a:fld id="{8083C8D0-77C5-4A1B-B50D-5835AB9EB2D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7806-442E-B7F9-9CFF7039ACC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Sheet1!$B$3:$BU$3</c:f>
              <c:numCache>
                <c:formatCode>General</c:formatCode>
                <c:ptCount val="37"/>
                <c:pt idx="0">
                  <c:v>1.554128</c:v>
                </c:pt>
                <c:pt idx="1">
                  <c:v>1.5386280000000001</c:v>
                </c:pt>
                <c:pt idx="2">
                  <c:v>1.525552</c:v>
                </c:pt>
                <c:pt idx="3">
                  <c:v>1.51081</c:v>
                </c:pt>
                <c:pt idx="4">
                  <c:v>1.499061</c:v>
                </c:pt>
                <c:pt idx="5">
                  <c:v>1.47278</c:v>
                </c:pt>
                <c:pt idx="6">
                  <c:v>1.4360329999999999</c:v>
                </c:pt>
                <c:pt idx="7">
                  <c:v>1.398922</c:v>
                </c:pt>
                <c:pt idx="8">
                  <c:v>1.373105</c:v>
                </c:pt>
                <c:pt idx="9">
                  <c:v>1.3517250000000001</c:v>
                </c:pt>
                <c:pt idx="10">
                  <c:v>1.325469</c:v>
                </c:pt>
                <c:pt idx="11">
                  <c:v>1.3032999999999999</c:v>
                </c:pt>
                <c:pt idx="12">
                  <c:v>1.2821119999999999</c:v>
                </c:pt>
                <c:pt idx="13">
                  <c:v>1.2586200000000001</c:v>
                </c:pt>
                <c:pt idx="14">
                  <c:v>1.240232</c:v>
                </c:pt>
                <c:pt idx="15">
                  <c:v>1.2259089999999999</c:v>
                </c:pt>
                <c:pt idx="16">
                  <c:v>1.211074</c:v>
                </c:pt>
                <c:pt idx="17">
                  <c:v>1.196547</c:v>
                </c:pt>
                <c:pt idx="18">
                  <c:v>1.1822239999999999</c:v>
                </c:pt>
                <c:pt idx="19">
                  <c:v>1.1700440000000001</c:v>
                </c:pt>
                <c:pt idx="20">
                  <c:v>1.159599</c:v>
                </c:pt>
                <c:pt idx="21">
                  <c:v>1.147964</c:v>
                </c:pt>
                <c:pt idx="22">
                  <c:v>1.1344160000000001</c:v>
                </c:pt>
                <c:pt idx="23">
                  <c:v>1.121416</c:v>
                </c:pt>
                <c:pt idx="24">
                  <c:v>1.1114820000000001</c:v>
                </c:pt>
                <c:pt idx="25">
                  <c:v>1.1037859999999999</c:v>
                </c:pt>
                <c:pt idx="26">
                  <c:v>1.0986720000000001</c:v>
                </c:pt>
                <c:pt idx="27">
                  <c:v>1.0957539999999999</c:v>
                </c:pt>
                <c:pt idx="28">
                  <c:v>1.0929519999999999</c:v>
                </c:pt>
                <c:pt idx="29">
                  <c:v>1.089769</c:v>
                </c:pt>
                <c:pt idx="30">
                  <c:v>1.085501</c:v>
                </c:pt>
                <c:pt idx="31">
                  <c:v>1.0814189999999999</c:v>
                </c:pt>
                <c:pt idx="32">
                  <c:v>1.076063</c:v>
                </c:pt>
                <c:pt idx="33">
                  <c:v>1.069447</c:v>
                </c:pt>
                <c:pt idx="34">
                  <c:v>1.0632429999999999</c:v>
                </c:pt>
                <c:pt idx="35">
                  <c:v>1.0575140000000001</c:v>
                </c:pt>
                <c:pt idx="36">
                  <c:v>1.0517669999999999</c:v>
                </c:pt>
              </c:numCache>
            </c:numRef>
          </c:val>
          <c:extLst>
            <c:ext xmlns:c15="http://schemas.microsoft.com/office/drawing/2012/chart" uri="{02D57815-91ED-43cb-92C2-25804820EDAC}">
              <c15:datalabelsRange>
                <c15:f>Sheet1!$P$8:$AZ$8</c15:f>
                <c15:dlblRangeCache>
                  <c:ptCount val="37"/>
                  <c:pt idx="0">
                    <c:v>68%</c:v>
                  </c:pt>
                  <c:pt idx="16">
                    <c:v>63%</c:v>
                  </c:pt>
                  <c:pt idx="36">
                    <c:v>61%</c:v>
                  </c:pt>
                </c15:dlblRangeCache>
              </c15:datalabelsRange>
            </c:ext>
            <c:ext xmlns:c16="http://schemas.microsoft.com/office/drawing/2014/chart" uri="{C3380CC4-5D6E-409C-BE32-E72D297353CC}">
              <c16:uniqueId val="{00000001-1385-493C-8F54-B8ACAB415B38}"/>
            </c:ext>
          </c:extLst>
        </c:ser>
        <c:ser>
          <c:idx val="2"/>
          <c:order val="2"/>
          <c:tx>
            <c:strRef>
              <c:f>Sheet1!$A$4</c:f>
              <c:strCache>
                <c:ptCount val="1"/>
                <c:pt idx="0">
                  <c:v>65+</c:v>
                </c:pt>
              </c:strCache>
            </c:strRef>
          </c:tx>
          <c:spPr>
            <a:solidFill>
              <a:srgbClr val="DBDBDB"/>
            </a:solidFill>
            <a:ln w="25400">
              <a:noFill/>
            </a:ln>
            <a:effectLst/>
          </c:spPr>
          <c:dLbls>
            <c:dLbl>
              <c:idx val="0"/>
              <c:layout>
                <c:manualLayout>
                  <c:x val="2.2050716648291075E-2"/>
                  <c:y val="0"/>
                </c:manualLayout>
              </c:layout>
              <c:tx>
                <c:rich>
                  <a:bodyPr/>
                  <a:lstStyle/>
                  <a:p>
                    <a:fld id="{92D620E8-6364-476F-86B0-ED1BB38A1906}"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7806-442E-B7F9-9CFF7039ACCC}"/>
                </c:ext>
              </c:extLst>
            </c:dLbl>
            <c:dLbl>
              <c:idx val="1"/>
              <c:tx>
                <c:rich>
                  <a:bodyPr/>
                  <a:lstStyle/>
                  <a:p>
                    <a:fld id="{64588FF1-BEE7-449E-ADF7-471FCE1B9AF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806-442E-B7F9-9CFF7039ACCC}"/>
                </c:ext>
              </c:extLst>
            </c:dLbl>
            <c:dLbl>
              <c:idx val="2"/>
              <c:tx>
                <c:rich>
                  <a:bodyPr/>
                  <a:lstStyle/>
                  <a:p>
                    <a:fld id="{AD5E1294-0A6A-4FBB-8E7C-5311F4062751}"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806-442E-B7F9-9CFF7039ACCC}"/>
                </c:ext>
              </c:extLst>
            </c:dLbl>
            <c:dLbl>
              <c:idx val="3"/>
              <c:tx>
                <c:rich>
                  <a:bodyPr/>
                  <a:lstStyle/>
                  <a:p>
                    <a:fld id="{A36C98B5-263C-4453-888F-D49843852EF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806-442E-B7F9-9CFF7039ACCC}"/>
                </c:ext>
              </c:extLst>
            </c:dLbl>
            <c:dLbl>
              <c:idx val="4"/>
              <c:tx>
                <c:rich>
                  <a:bodyPr/>
                  <a:lstStyle/>
                  <a:p>
                    <a:fld id="{82F196C3-898A-4B85-9221-D2F77124BAC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806-442E-B7F9-9CFF7039ACCC}"/>
                </c:ext>
              </c:extLst>
            </c:dLbl>
            <c:dLbl>
              <c:idx val="5"/>
              <c:tx>
                <c:rich>
                  <a:bodyPr/>
                  <a:lstStyle/>
                  <a:p>
                    <a:fld id="{CC202317-97CC-440B-A0AB-7B33A778858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806-442E-B7F9-9CFF7039ACCC}"/>
                </c:ext>
              </c:extLst>
            </c:dLbl>
            <c:dLbl>
              <c:idx val="6"/>
              <c:tx>
                <c:rich>
                  <a:bodyPr/>
                  <a:lstStyle/>
                  <a:p>
                    <a:fld id="{1521151D-8030-46B3-9EBE-AA50121B4DA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806-442E-B7F9-9CFF7039ACCC}"/>
                </c:ext>
              </c:extLst>
            </c:dLbl>
            <c:dLbl>
              <c:idx val="7"/>
              <c:tx>
                <c:rich>
                  <a:bodyPr/>
                  <a:lstStyle/>
                  <a:p>
                    <a:fld id="{C800CBB5-0EC2-4AF8-8CB2-DECAEA555249}"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7806-442E-B7F9-9CFF7039ACCC}"/>
                </c:ext>
              </c:extLst>
            </c:dLbl>
            <c:dLbl>
              <c:idx val="8"/>
              <c:tx>
                <c:rich>
                  <a:bodyPr/>
                  <a:lstStyle/>
                  <a:p>
                    <a:fld id="{89246791-2C60-49CE-A74B-3CA1E3B6658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7806-442E-B7F9-9CFF7039ACCC}"/>
                </c:ext>
              </c:extLst>
            </c:dLbl>
            <c:dLbl>
              <c:idx val="9"/>
              <c:tx>
                <c:rich>
                  <a:bodyPr/>
                  <a:lstStyle/>
                  <a:p>
                    <a:fld id="{486CD9E8-CD11-47D0-8313-CB991F78DB7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7806-442E-B7F9-9CFF7039ACCC}"/>
                </c:ext>
              </c:extLst>
            </c:dLbl>
            <c:dLbl>
              <c:idx val="10"/>
              <c:tx>
                <c:rich>
                  <a:bodyPr/>
                  <a:lstStyle/>
                  <a:p>
                    <a:fld id="{734CFC1C-C50B-46E9-8B8C-CF4B32A2C0B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806-442E-B7F9-9CFF7039ACCC}"/>
                </c:ext>
              </c:extLst>
            </c:dLbl>
            <c:dLbl>
              <c:idx val="11"/>
              <c:tx>
                <c:rich>
                  <a:bodyPr/>
                  <a:lstStyle/>
                  <a:p>
                    <a:fld id="{32A6BB23-79FF-442B-8B52-6402FD1F214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7806-442E-B7F9-9CFF7039ACCC}"/>
                </c:ext>
              </c:extLst>
            </c:dLbl>
            <c:dLbl>
              <c:idx val="12"/>
              <c:tx>
                <c:rich>
                  <a:bodyPr/>
                  <a:lstStyle/>
                  <a:p>
                    <a:fld id="{AF37787F-1051-4829-8B83-B16E6DF1EC5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7806-442E-B7F9-9CFF7039ACCC}"/>
                </c:ext>
              </c:extLst>
            </c:dLbl>
            <c:dLbl>
              <c:idx val="13"/>
              <c:tx>
                <c:rich>
                  <a:bodyPr/>
                  <a:lstStyle/>
                  <a:p>
                    <a:fld id="{3EDAC496-C4A6-48E6-88E4-B323DA5B49F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806-442E-B7F9-9CFF7039ACCC}"/>
                </c:ext>
              </c:extLst>
            </c:dLbl>
            <c:dLbl>
              <c:idx val="14"/>
              <c:tx>
                <c:rich>
                  <a:bodyPr/>
                  <a:lstStyle/>
                  <a:p>
                    <a:fld id="{80A76ECC-0D5A-427B-9C5D-D1B4BA55406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7806-442E-B7F9-9CFF7039ACCC}"/>
                </c:ext>
              </c:extLst>
            </c:dLbl>
            <c:dLbl>
              <c:idx val="15"/>
              <c:tx>
                <c:rich>
                  <a:bodyPr/>
                  <a:lstStyle/>
                  <a:p>
                    <a:fld id="{53CA13EE-34F4-4578-B6E9-A1E79FA2079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7806-442E-B7F9-9CFF7039ACCC}"/>
                </c:ext>
              </c:extLst>
            </c:dLbl>
            <c:dLbl>
              <c:idx val="16"/>
              <c:tx>
                <c:rich>
                  <a:bodyPr/>
                  <a:lstStyle/>
                  <a:p>
                    <a:fld id="{68A2508D-B83A-496D-85DC-DACEF20F45E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806-442E-B7F9-9CFF7039ACCC}"/>
                </c:ext>
              </c:extLst>
            </c:dLbl>
            <c:dLbl>
              <c:idx val="17"/>
              <c:tx>
                <c:rich>
                  <a:bodyPr/>
                  <a:lstStyle/>
                  <a:p>
                    <a:fld id="{D4808F2C-A8E6-4BDA-A689-4FB47F80384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7806-442E-B7F9-9CFF7039ACCC}"/>
                </c:ext>
              </c:extLst>
            </c:dLbl>
            <c:dLbl>
              <c:idx val="18"/>
              <c:tx>
                <c:rich>
                  <a:bodyPr/>
                  <a:lstStyle/>
                  <a:p>
                    <a:fld id="{B72FE07D-02D6-4963-A865-73AF8515903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7806-442E-B7F9-9CFF7039ACCC}"/>
                </c:ext>
              </c:extLst>
            </c:dLbl>
            <c:dLbl>
              <c:idx val="19"/>
              <c:tx>
                <c:rich>
                  <a:bodyPr/>
                  <a:lstStyle/>
                  <a:p>
                    <a:fld id="{E478D745-DE5B-4DF3-A135-A006BB67A61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806-442E-B7F9-9CFF7039ACCC}"/>
                </c:ext>
              </c:extLst>
            </c:dLbl>
            <c:dLbl>
              <c:idx val="20"/>
              <c:tx>
                <c:rich>
                  <a:bodyPr/>
                  <a:lstStyle/>
                  <a:p>
                    <a:fld id="{BCBE1945-62AC-431D-B7DD-8F97C165730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7806-442E-B7F9-9CFF7039ACCC}"/>
                </c:ext>
              </c:extLst>
            </c:dLbl>
            <c:dLbl>
              <c:idx val="21"/>
              <c:tx>
                <c:rich>
                  <a:bodyPr/>
                  <a:lstStyle/>
                  <a:p>
                    <a:fld id="{56984BE2-2FD2-4824-A0B0-6E47DC99854B}"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7806-442E-B7F9-9CFF7039ACCC}"/>
                </c:ext>
              </c:extLst>
            </c:dLbl>
            <c:dLbl>
              <c:idx val="22"/>
              <c:tx>
                <c:rich>
                  <a:bodyPr/>
                  <a:lstStyle/>
                  <a:p>
                    <a:fld id="{3B01250D-9D2C-4552-B239-4479C13A34F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806-442E-B7F9-9CFF7039ACCC}"/>
                </c:ext>
              </c:extLst>
            </c:dLbl>
            <c:dLbl>
              <c:idx val="23"/>
              <c:tx>
                <c:rich>
                  <a:bodyPr/>
                  <a:lstStyle/>
                  <a:p>
                    <a:fld id="{98347D95-2C81-4B64-ACC0-353D98896E3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7806-442E-B7F9-9CFF7039ACCC}"/>
                </c:ext>
              </c:extLst>
            </c:dLbl>
            <c:dLbl>
              <c:idx val="24"/>
              <c:tx>
                <c:rich>
                  <a:bodyPr/>
                  <a:lstStyle/>
                  <a:p>
                    <a:fld id="{E49F4866-81B5-47A9-A6D7-65AE39FFC37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7806-442E-B7F9-9CFF7039ACCC}"/>
                </c:ext>
              </c:extLst>
            </c:dLbl>
            <c:dLbl>
              <c:idx val="25"/>
              <c:tx>
                <c:rich>
                  <a:bodyPr/>
                  <a:lstStyle/>
                  <a:p>
                    <a:fld id="{9F8E4D4F-4A0B-4BE1-9D77-7F1C3C4062C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7806-442E-B7F9-9CFF7039ACCC}"/>
                </c:ext>
              </c:extLst>
            </c:dLbl>
            <c:dLbl>
              <c:idx val="26"/>
              <c:tx>
                <c:rich>
                  <a:bodyPr/>
                  <a:lstStyle/>
                  <a:p>
                    <a:fld id="{F42CC4EA-A0FE-4152-A2C1-C709F7A37D5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7806-442E-B7F9-9CFF7039ACCC}"/>
                </c:ext>
              </c:extLst>
            </c:dLbl>
            <c:dLbl>
              <c:idx val="27"/>
              <c:tx>
                <c:rich>
                  <a:bodyPr/>
                  <a:lstStyle/>
                  <a:p>
                    <a:fld id="{081888A0-DAC0-4E39-9A24-139C2B2EE27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7806-442E-B7F9-9CFF7039ACCC}"/>
                </c:ext>
              </c:extLst>
            </c:dLbl>
            <c:dLbl>
              <c:idx val="28"/>
              <c:tx>
                <c:rich>
                  <a:bodyPr/>
                  <a:lstStyle/>
                  <a:p>
                    <a:fld id="{D995336E-C9E6-4630-AEAD-211CE19A4E7E}"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7806-442E-B7F9-9CFF7039ACCC}"/>
                </c:ext>
              </c:extLst>
            </c:dLbl>
            <c:dLbl>
              <c:idx val="29"/>
              <c:tx>
                <c:rich>
                  <a:bodyPr/>
                  <a:lstStyle/>
                  <a:p>
                    <a:fld id="{A97CE330-9D09-495E-93E0-12FD0AF791F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7806-442E-B7F9-9CFF7039ACCC}"/>
                </c:ext>
              </c:extLst>
            </c:dLbl>
            <c:dLbl>
              <c:idx val="30"/>
              <c:tx>
                <c:rich>
                  <a:bodyPr/>
                  <a:lstStyle/>
                  <a:p>
                    <a:fld id="{2DA1B0F7-FD69-440C-912A-082206EDA49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7806-442E-B7F9-9CFF7039ACCC}"/>
                </c:ext>
              </c:extLst>
            </c:dLbl>
            <c:dLbl>
              <c:idx val="31"/>
              <c:tx>
                <c:rich>
                  <a:bodyPr/>
                  <a:lstStyle/>
                  <a:p>
                    <a:fld id="{D2281FAF-31A5-49BA-B19D-E10D7B310B0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7806-442E-B7F9-9CFF7039ACCC}"/>
                </c:ext>
              </c:extLst>
            </c:dLbl>
            <c:dLbl>
              <c:idx val="32"/>
              <c:tx>
                <c:rich>
                  <a:bodyPr/>
                  <a:lstStyle/>
                  <a:p>
                    <a:fld id="{4F98CA85-10DD-4D35-9580-C124802B43C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7806-442E-B7F9-9CFF7039ACCC}"/>
                </c:ext>
              </c:extLst>
            </c:dLbl>
            <c:dLbl>
              <c:idx val="33"/>
              <c:tx>
                <c:rich>
                  <a:bodyPr/>
                  <a:lstStyle/>
                  <a:p>
                    <a:fld id="{0A6E4730-0402-4E7C-B624-DF91C323BD4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7806-442E-B7F9-9CFF7039ACCC}"/>
                </c:ext>
              </c:extLst>
            </c:dLbl>
            <c:dLbl>
              <c:idx val="34"/>
              <c:tx>
                <c:rich>
                  <a:bodyPr/>
                  <a:lstStyle/>
                  <a:p>
                    <a:fld id="{71FA94CF-11A2-4485-8C6C-17292E5B2F6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7806-442E-B7F9-9CFF7039ACCC}"/>
                </c:ext>
              </c:extLst>
            </c:dLbl>
            <c:dLbl>
              <c:idx val="35"/>
              <c:tx>
                <c:rich>
                  <a:bodyPr/>
                  <a:lstStyle/>
                  <a:p>
                    <a:fld id="{519EFE7A-9A5D-471C-B1C6-0CB22EF0157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7806-442E-B7F9-9CFF7039ACCC}"/>
                </c:ext>
              </c:extLst>
            </c:dLbl>
            <c:dLbl>
              <c:idx val="36"/>
              <c:layout>
                <c:manualLayout>
                  <c:x val="-2.4255788313120339E-2"/>
                  <c:y val="-4.2655005927288946E-17"/>
                </c:manualLayout>
              </c:layout>
              <c:tx>
                <c:rich>
                  <a:bodyPr/>
                  <a:lstStyle/>
                  <a:p>
                    <a:fld id="{97CBC35C-4505-497B-9ADD-5FA565A9EF6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7806-442E-B7F9-9CFF7039ACC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Sheet1!$B$1:$BU$1</c:f>
              <c:strCach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strCache>
            </c:strRef>
          </c:cat>
          <c:val>
            <c:numRef>
              <c:f>Sheet1!$B$4:$BU$4</c:f>
              <c:numCache>
                <c:formatCode>General</c:formatCode>
                <c:ptCount val="37"/>
                <c:pt idx="0">
                  <c:v>0.36975000000000002</c:v>
                </c:pt>
                <c:pt idx="1">
                  <c:v>0.37433899999999998</c:v>
                </c:pt>
                <c:pt idx="2">
                  <c:v>0.37874000000000002</c:v>
                </c:pt>
                <c:pt idx="3">
                  <c:v>0.384218</c:v>
                </c:pt>
                <c:pt idx="4">
                  <c:v>0.38567499999999999</c:v>
                </c:pt>
                <c:pt idx="5">
                  <c:v>0.38547100000000001</c:v>
                </c:pt>
                <c:pt idx="6">
                  <c:v>0.38417699999999999</c:v>
                </c:pt>
                <c:pt idx="7">
                  <c:v>0.38113999999999998</c:v>
                </c:pt>
                <c:pt idx="8">
                  <c:v>0.37954599999999999</c:v>
                </c:pt>
                <c:pt idx="9">
                  <c:v>0.37978400000000001</c:v>
                </c:pt>
                <c:pt idx="10">
                  <c:v>0.38161499999999998</c:v>
                </c:pt>
                <c:pt idx="11">
                  <c:v>0.38507599999999997</c:v>
                </c:pt>
                <c:pt idx="12">
                  <c:v>0.38658500000000001</c:v>
                </c:pt>
                <c:pt idx="13">
                  <c:v>0.387909</c:v>
                </c:pt>
                <c:pt idx="14">
                  <c:v>0.38885599999999998</c:v>
                </c:pt>
                <c:pt idx="15">
                  <c:v>0.38897900000000002</c:v>
                </c:pt>
                <c:pt idx="16">
                  <c:v>0.39141300000000001</c:v>
                </c:pt>
                <c:pt idx="17">
                  <c:v>0.39369799999999999</c:v>
                </c:pt>
                <c:pt idx="18">
                  <c:v>0.39088800000000001</c:v>
                </c:pt>
                <c:pt idx="19">
                  <c:v>0.39111099999999999</c:v>
                </c:pt>
                <c:pt idx="20">
                  <c:v>0.394071</c:v>
                </c:pt>
                <c:pt idx="21">
                  <c:v>0.39780799999999999</c:v>
                </c:pt>
                <c:pt idx="22">
                  <c:v>0.40207700000000002</c:v>
                </c:pt>
                <c:pt idx="23">
                  <c:v>0.406503</c:v>
                </c:pt>
                <c:pt idx="24">
                  <c:v>0.41034999999999999</c:v>
                </c:pt>
                <c:pt idx="25">
                  <c:v>0.41353499999999999</c:v>
                </c:pt>
                <c:pt idx="26">
                  <c:v>0.41621200000000003</c:v>
                </c:pt>
                <c:pt idx="27">
                  <c:v>0.41783399999999998</c:v>
                </c:pt>
                <c:pt idx="28">
                  <c:v>0.42015400000000003</c:v>
                </c:pt>
                <c:pt idx="29">
                  <c:v>0.422599</c:v>
                </c:pt>
                <c:pt idx="30">
                  <c:v>0.42541000000000001</c:v>
                </c:pt>
                <c:pt idx="31">
                  <c:v>0.428365</c:v>
                </c:pt>
                <c:pt idx="32">
                  <c:v>0.432037</c:v>
                </c:pt>
                <c:pt idx="33">
                  <c:v>0.43640499999999999</c:v>
                </c:pt>
                <c:pt idx="34">
                  <c:v>0.44043300000000002</c:v>
                </c:pt>
                <c:pt idx="35">
                  <c:v>0.44392100000000001</c:v>
                </c:pt>
                <c:pt idx="36">
                  <c:v>0.44739699999999999</c:v>
                </c:pt>
              </c:numCache>
            </c:numRef>
          </c:val>
          <c:extLst>
            <c:ext xmlns:c15="http://schemas.microsoft.com/office/drawing/2012/chart" uri="{02D57815-91ED-43cb-92C2-25804820EDAC}">
              <c15:datalabelsRange>
                <c15:f>Sheet1!$P$9:$AZ$9</c15:f>
                <c15:dlblRangeCache>
                  <c:ptCount val="37"/>
                  <c:pt idx="0">
                    <c:v>16%</c:v>
                  </c:pt>
                  <c:pt idx="16">
                    <c:v>21%</c:v>
                  </c:pt>
                  <c:pt idx="36">
                    <c:v>26%</c:v>
                  </c:pt>
                </c15:dlblRangeCache>
              </c15:datalabelsRange>
            </c:ext>
            <c:ext xmlns:c16="http://schemas.microsoft.com/office/drawing/2014/chart" uri="{C3380CC4-5D6E-409C-BE32-E72D297353CC}">
              <c16:uniqueId val="{00000002-1385-493C-8F54-B8ACAB415B38}"/>
            </c:ext>
          </c:extLst>
        </c:ser>
        <c:dLbls>
          <c:showLegendKey val="0"/>
          <c:showVal val="0"/>
          <c:showCatName val="0"/>
          <c:showSerName val="0"/>
          <c:showPercent val="0"/>
          <c:showBubbleSize val="0"/>
        </c:dLbls>
        <c:axId val="742105968"/>
        <c:axId val="742107144"/>
      </c:areaChart>
      <c:catAx>
        <c:axId val="74210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crossAx val="742107144"/>
        <c:crosses val="autoZero"/>
        <c:auto val="1"/>
        <c:lblAlgn val="ctr"/>
        <c:lblOffset val="100"/>
        <c:tickLblSkip val="2"/>
        <c:tickMarkSkip val="2"/>
        <c:noMultiLvlLbl val="0"/>
      </c:catAx>
      <c:valAx>
        <c:axId val="742107144"/>
        <c:scaling>
          <c:orientation val="minMax"/>
          <c:max val="2.4"/>
          <c:min val="0"/>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crossAx val="742105968"/>
        <c:crosses val="autoZero"/>
        <c:crossBetween val="midCat"/>
        <c:majorUnit val="0.60000000000000009"/>
      </c:valAx>
      <c:spPr>
        <a:noFill/>
        <a:ln>
          <a:noFill/>
        </a:ln>
        <a:effectLst/>
      </c:spPr>
    </c:plotArea>
    <c:legend>
      <c:legendPos val="b"/>
      <c:layout>
        <c:manualLayout>
          <c:xMode val="edge"/>
          <c:yMode val="edge"/>
          <c:x val="0.60557952582277819"/>
          <c:y val="6.9282657198169964E-2"/>
          <c:w val="0.22037382041688008"/>
          <c:h val="0.1174986426900614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Segoe UI Symbol" panose="020B0502040204020203" pitchFamily="34" charset="0"/>
              <a:cs typeface="+mn-cs"/>
            </a:defRPr>
          </a:pPr>
          <a:endParaRPr lang="lv-LV"/>
        </a:p>
      </c:txPr>
    </c:legend>
    <c:plotVisOnly val="1"/>
    <c:dispBlanksAs val="zero"/>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ea typeface="Segoe UI Symbol" panose="020B0502040204020203" pitchFamily="34"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Sheet1!$B$1</c:f>
              <c:strCache>
                <c:ptCount val="1"/>
                <c:pt idx="0">
                  <c:v>Vīrieši</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Sheet1!$B$2:$B$102</c:f>
              <c:numCache>
                <c:formatCode>0.0</c:formatCode>
                <c:ptCount val="101"/>
                <c:pt idx="0">
                  <c:v>-8.9619999999999997</c:v>
                </c:pt>
                <c:pt idx="1">
                  <c:v>-9.6199999999999992</c:v>
                </c:pt>
                <c:pt idx="2">
                  <c:v>-10.054</c:v>
                </c:pt>
                <c:pt idx="3">
                  <c:v>-10.856</c:v>
                </c:pt>
                <c:pt idx="4">
                  <c:v>-11.505000000000001</c:v>
                </c:pt>
                <c:pt idx="5">
                  <c:v>-11.510999999999999</c:v>
                </c:pt>
                <c:pt idx="6">
                  <c:v>-11.321</c:v>
                </c:pt>
                <c:pt idx="7">
                  <c:v>-10.518000000000001</c:v>
                </c:pt>
                <c:pt idx="8">
                  <c:v>-10.295</c:v>
                </c:pt>
                <c:pt idx="9">
                  <c:v>-9.5150000000000006</c:v>
                </c:pt>
                <c:pt idx="10">
                  <c:v>-9.7370000000000001</c:v>
                </c:pt>
                <c:pt idx="11">
                  <c:v>-10.254</c:v>
                </c:pt>
                <c:pt idx="12">
                  <c:v>-11.119</c:v>
                </c:pt>
                <c:pt idx="13">
                  <c:v>-10.741</c:v>
                </c:pt>
                <c:pt idx="14">
                  <c:v>-10.18</c:v>
                </c:pt>
                <c:pt idx="15">
                  <c:v>-9.8559999999999999</c:v>
                </c:pt>
                <c:pt idx="16">
                  <c:v>-9.2650000000000006</c:v>
                </c:pt>
                <c:pt idx="17">
                  <c:v>-9.5</c:v>
                </c:pt>
                <c:pt idx="18">
                  <c:v>-9.0670000000000002</c:v>
                </c:pt>
                <c:pt idx="19">
                  <c:v>-8.7949999999999999</c:v>
                </c:pt>
                <c:pt idx="20">
                  <c:v>-9.1720000000000006</c:v>
                </c:pt>
                <c:pt idx="21">
                  <c:v>-8.7639999999999993</c:v>
                </c:pt>
                <c:pt idx="22">
                  <c:v>-8.2080000000000002</c:v>
                </c:pt>
                <c:pt idx="23">
                  <c:v>-8.4049999999999994</c:v>
                </c:pt>
                <c:pt idx="24">
                  <c:v>-8.5619999999999994</c:v>
                </c:pt>
                <c:pt idx="25">
                  <c:v>-9.2789999999999999</c:v>
                </c:pt>
                <c:pt idx="26">
                  <c:v>-9.8729999999999993</c:v>
                </c:pt>
                <c:pt idx="27">
                  <c:v>-10.663</c:v>
                </c:pt>
                <c:pt idx="28">
                  <c:v>-12.425000000000001</c:v>
                </c:pt>
                <c:pt idx="29">
                  <c:v>-12.795999999999999</c:v>
                </c:pt>
                <c:pt idx="30">
                  <c:v>-13.414</c:v>
                </c:pt>
                <c:pt idx="31">
                  <c:v>-13.77</c:v>
                </c:pt>
                <c:pt idx="32">
                  <c:v>-14.324999999999999</c:v>
                </c:pt>
                <c:pt idx="33">
                  <c:v>-14.477</c:v>
                </c:pt>
                <c:pt idx="34">
                  <c:v>-14.37</c:v>
                </c:pt>
                <c:pt idx="35">
                  <c:v>-13.933</c:v>
                </c:pt>
                <c:pt idx="36">
                  <c:v>-13.877000000000001</c:v>
                </c:pt>
                <c:pt idx="37">
                  <c:v>-14.124000000000001</c:v>
                </c:pt>
                <c:pt idx="38">
                  <c:v>-13.135</c:v>
                </c:pt>
                <c:pt idx="39">
                  <c:v>-12.723000000000001</c:v>
                </c:pt>
                <c:pt idx="40">
                  <c:v>-12.430999999999999</c:v>
                </c:pt>
                <c:pt idx="41">
                  <c:v>-12.044</c:v>
                </c:pt>
                <c:pt idx="42">
                  <c:v>-11.86</c:v>
                </c:pt>
                <c:pt idx="43">
                  <c:v>-12.157999999999999</c:v>
                </c:pt>
                <c:pt idx="44">
                  <c:v>-12.473000000000001</c:v>
                </c:pt>
                <c:pt idx="45">
                  <c:v>-12.555</c:v>
                </c:pt>
                <c:pt idx="46">
                  <c:v>-12.622</c:v>
                </c:pt>
                <c:pt idx="47">
                  <c:v>-12.576000000000001</c:v>
                </c:pt>
                <c:pt idx="48">
                  <c:v>-12.971</c:v>
                </c:pt>
                <c:pt idx="49">
                  <c:v>-12.898</c:v>
                </c:pt>
                <c:pt idx="50">
                  <c:v>-12.555</c:v>
                </c:pt>
                <c:pt idx="51">
                  <c:v>-12.2</c:v>
                </c:pt>
                <c:pt idx="52">
                  <c:v>-12.223000000000001</c:v>
                </c:pt>
                <c:pt idx="53">
                  <c:v>-11.952999999999999</c:v>
                </c:pt>
                <c:pt idx="54">
                  <c:v>-11.834</c:v>
                </c:pt>
                <c:pt idx="55">
                  <c:v>-11.728</c:v>
                </c:pt>
                <c:pt idx="56">
                  <c:v>-12.044</c:v>
                </c:pt>
                <c:pt idx="57">
                  <c:v>-12.32</c:v>
                </c:pt>
                <c:pt idx="58">
                  <c:v>-12.548999999999999</c:v>
                </c:pt>
                <c:pt idx="59">
                  <c:v>-12.768000000000001</c:v>
                </c:pt>
                <c:pt idx="60">
                  <c:v>-12.484999999999999</c:v>
                </c:pt>
                <c:pt idx="61">
                  <c:v>-11.983000000000001</c:v>
                </c:pt>
                <c:pt idx="62">
                  <c:v>-12.122999999999999</c:v>
                </c:pt>
                <c:pt idx="63">
                  <c:v>-11.4</c:v>
                </c:pt>
                <c:pt idx="64">
                  <c:v>-10.401</c:v>
                </c:pt>
                <c:pt idx="65">
                  <c:v>-10.153</c:v>
                </c:pt>
                <c:pt idx="66">
                  <c:v>-9.4580000000000002</c:v>
                </c:pt>
                <c:pt idx="67">
                  <c:v>-8.6129999999999995</c:v>
                </c:pt>
                <c:pt idx="68">
                  <c:v>-8.3859999999999992</c:v>
                </c:pt>
                <c:pt idx="69">
                  <c:v>-8.14</c:v>
                </c:pt>
                <c:pt idx="70">
                  <c:v>-7.7590000000000003</c:v>
                </c:pt>
                <c:pt idx="71">
                  <c:v>-7.7549999999999999</c:v>
                </c:pt>
                <c:pt idx="72">
                  <c:v>-7.1280000000000001</c:v>
                </c:pt>
                <c:pt idx="73">
                  <c:v>-6.3150000000000004</c:v>
                </c:pt>
                <c:pt idx="74">
                  <c:v>-5.1859999999999999</c:v>
                </c:pt>
                <c:pt idx="75">
                  <c:v>-4.6379999999999999</c:v>
                </c:pt>
                <c:pt idx="76">
                  <c:v>-4.6310000000000002</c:v>
                </c:pt>
                <c:pt idx="77">
                  <c:v>-4.7389999999999999</c:v>
                </c:pt>
                <c:pt idx="78">
                  <c:v>-4.649</c:v>
                </c:pt>
                <c:pt idx="79">
                  <c:v>-4.9210000000000003</c:v>
                </c:pt>
                <c:pt idx="80">
                  <c:v>-4.3680000000000003</c:v>
                </c:pt>
                <c:pt idx="81">
                  <c:v>-4.1609999999999996</c:v>
                </c:pt>
                <c:pt idx="82">
                  <c:v>-3.714</c:v>
                </c:pt>
                <c:pt idx="83">
                  <c:v>-3.254</c:v>
                </c:pt>
                <c:pt idx="84">
                  <c:v>-2.669</c:v>
                </c:pt>
                <c:pt idx="85">
                  <c:v>-2.149</c:v>
                </c:pt>
                <c:pt idx="86">
                  <c:v>-1.6</c:v>
                </c:pt>
                <c:pt idx="87">
                  <c:v>-1.4950000000000001</c:v>
                </c:pt>
                <c:pt idx="88">
                  <c:v>-1.238</c:v>
                </c:pt>
                <c:pt idx="89">
                  <c:v>-1.0620000000000001</c:v>
                </c:pt>
                <c:pt idx="90">
                  <c:v>-0.86699999999999999</c:v>
                </c:pt>
                <c:pt idx="91">
                  <c:v>-0.65800000000000003</c:v>
                </c:pt>
                <c:pt idx="92">
                  <c:v>-0.48799999999999999</c:v>
                </c:pt>
                <c:pt idx="93">
                  <c:v>-0.35299999999999998</c:v>
                </c:pt>
                <c:pt idx="94">
                  <c:v>-0.20599999999999999</c:v>
                </c:pt>
                <c:pt idx="95">
                  <c:v>-0.11799999999999999</c:v>
                </c:pt>
                <c:pt idx="96">
                  <c:v>-0.09</c:v>
                </c:pt>
                <c:pt idx="97">
                  <c:v>-5.8999999999999997E-2</c:v>
                </c:pt>
                <c:pt idx="98">
                  <c:v>-2.9000000000000001E-2</c:v>
                </c:pt>
                <c:pt idx="99">
                  <c:v>-2.1000000000000001E-2</c:v>
                </c:pt>
                <c:pt idx="100">
                  <c:v>-3.5000000000000003E-2</c:v>
                </c:pt>
              </c:numCache>
            </c:numRef>
          </c:val>
          <c:extLst>
            <c:ext xmlns:c16="http://schemas.microsoft.com/office/drawing/2014/chart" uri="{C3380CC4-5D6E-409C-BE32-E72D297353CC}">
              <c16:uniqueId val="{00000000-6F74-4C75-A461-A53190A70643}"/>
            </c:ext>
          </c:extLst>
        </c:ser>
        <c:ser>
          <c:idx val="1"/>
          <c:order val="1"/>
          <c:tx>
            <c:strRef>
              <c:f>Sheet1!$C$1</c:f>
              <c:strCache>
                <c:ptCount val="1"/>
                <c:pt idx="0">
                  <c:v>Sievietes</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Sheet1!$C$2:$C$102</c:f>
              <c:numCache>
                <c:formatCode>0.0</c:formatCode>
                <c:ptCount val="101"/>
                <c:pt idx="0">
                  <c:v>8.4209999999999994</c:v>
                </c:pt>
                <c:pt idx="1">
                  <c:v>9.1180000000000003</c:v>
                </c:pt>
                <c:pt idx="2">
                  <c:v>9.2989999999999995</c:v>
                </c:pt>
                <c:pt idx="3">
                  <c:v>10.015000000000001</c:v>
                </c:pt>
                <c:pt idx="4">
                  <c:v>10.545</c:v>
                </c:pt>
                <c:pt idx="5">
                  <c:v>10.61</c:v>
                </c:pt>
                <c:pt idx="6">
                  <c:v>10.532</c:v>
                </c:pt>
                <c:pt idx="7">
                  <c:v>10.135</c:v>
                </c:pt>
                <c:pt idx="8">
                  <c:v>9.5329999999999995</c:v>
                </c:pt>
                <c:pt idx="9">
                  <c:v>8.9819999999999993</c:v>
                </c:pt>
                <c:pt idx="10">
                  <c:v>8.91</c:v>
                </c:pt>
                <c:pt idx="11">
                  <c:v>9.9260000000000002</c:v>
                </c:pt>
                <c:pt idx="12">
                  <c:v>10.66</c:v>
                </c:pt>
                <c:pt idx="13">
                  <c:v>10.33</c:v>
                </c:pt>
                <c:pt idx="14">
                  <c:v>9.7739999999999991</c:v>
                </c:pt>
                <c:pt idx="15">
                  <c:v>9.3480000000000008</c:v>
                </c:pt>
                <c:pt idx="16">
                  <c:v>8.7070000000000007</c:v>
                </c:pt>
                <c:pt idx="17">
                  <c:v>8.8800000000000008</c:v>
                </c:pt>
                <c:pt idx="18">
                  <c:v>8.6620000000000008</c:v>
                </c:pt>
                <c:pt idx="19">
                  <c:v>8.4849999999999994</c:v>
                </c:pt>
                <c:pt idx="20">
                  <c:v>8.7309999999999999</c:v>
                </c:pt>
                <c:pt idx="21">
                  <c:v>8.1329999999999991</c:v>
                </c:pt>
                <c:pt idx="22">
                  <c:v>7.6470000000000002</c:v>
                </c:pt>
                <c:pt idx="23">
                  <c:v>7.6829999999999998</c:v>
                </c:pt>
                <c:pt idx="24">
                  <c:v>7.7889999999999997</c:v>
                </c:pt>
                <c:pt idx="25">
                  <c:v>8.423</c:v>
                </c:pt>
                <c:pt idx="26">
                  <c:v>9.2560000000000002</c:v>
                </c:pt>
                <c:pt idx="27">
                  <c:v>10.068</c:v>
                </c:pt>
                <c:pt idx="28">
                  <c:v>11.489000000000001</c:v>
                </c:pt>
                <c:pt idx="29">
                  <c:v>11.86</c:v>
                </c:pt>
                <c:pt idx="30">
                  <c:v>12.773999999999999</c:v>
                </c:pt>
                <c:pt idx="31">
                  <c:v>12.756</c:v>
                </c:pt>
                <c:pt idx="32">
                  <c:v>13.212</c:v>
                </c:pt>
                <c:pt idx="33">
                  <c:v>13.662000000000001</c:v>
                </c:pt>
                <c:pt idx="34">
                  <c:v>13.615</c:v>
                </c:pt>
                <c:pt idx="35">
                  <c:v>13.026</c:v>
                </c:pt>
                <c:pt idx="36">
                  <c:v>13.334</c:v>
                </c:pt>
                <c:pt idx="37">
                  <c:v>13.388999999999999</c:v>
                </c:pt>
                <c:pt idx="38">
                  <c:v>12.569000000000001</c:v>
                </c:pt>
                <c:pt idx="39">
                  <c:v>12.266</c:v>
                </c:pt>
                <c:pt idx="40">
                  <c:v>12.063000000000001</c:v>
                </c:pt>
                <c:pt idx="41">
                  <c:v>12.2</c:v>
                </c:pt>
                <c:pt idx="42">
                  <c:v>12.134</c:v>
                </c:pt>
                <c:pt idx="43">
                  <c:v>12.365</c:v>
                </c:pt>
                <c:pt idx="44">
                  <c:v>12.693</c:v>
                </c:pt>
                <c:pt idx="45">
                  <c:v>13.016999999999999</c:v>
                </c:pt>
                <c:pt idx="46">
                  <c:v>13.196</c:v>
                </c:pt>
                <c:pt idx="47">
                  <c:v>13.194000000000001</c:v>
                </c:pt>
                <c:pt idx="48">
                  <c:v>13.44</c:v>
                </c:pt>
                <c:pt idx="49">
                  <c:v>13.978</c:v>
                </c:pt>
                <c:pt idx="50">
                  <c:v>13.691000000000001</c:v>
                </c:pt>
                <c:pt idx="51">
                  <c:v>13.378</c:v>
                </c:pt>
                <c:pt idx="52">
                  <c:v>13.323</c:v>
                </c:pt>
                <c:pt idx="53">
                  <c:v>13.393000000000001</c:v>
                </c:pt>
                <c:pt idx="54">
                  <c:v>13.548</c:v>
                </c:pt>
                <c:pt idx="55">
                  <c:v>13.069000000000001</c:v>
                </c:pt>
                <c:pt idx="56">
                  <c:v>14.02</c:v>
                </c:pt>
                <c:pt idx="57">
                  <c:v>14.452</c:v>
                </c:pt>
                <c:pt idx="58">
                  <c:v>15.048999999999999</c:v>
                </c:pt>
                <c:pt idx="59">
                  <c:v>15.518000000000001</c:v>
                </c:pt>
                <c:pt idx="60">
                  <c:v>15.621</c:v>
                </c:pt>
                <c:pt idx="61">
                  <c:v>15.446999999999999</c:v>
                </c:pt>
                <c:pt idx="62">
                  <c:v>15.103</c:v>
                </c:pt>
                <c:pt idx="63">
                  <c:v>14.693</c:v>
                </c:pt>
                <c:pt idx="64">
                  <c:v>14.266</c:v>
                </c:pt>
                <c:pt idx="65">
                  <c:v>14.192</c:v>
                </c:pt>
                <c:pt idx="66">
                  <c:v>13.794</c:v>
                </c:pt>
                <c:pt idx="67">
                  <c:v>12.682</c:v>
                </c:pt>
                <c:pt idx="68">
                  <c:v>13.038</c:v>
                </c:pt>
                <c:pt idx="69">
                  <c:v>13.007999999999999</c:v>
                </c:pt>
                <c:pt idx="70">
                  <c:v>12.537000000000001</c:v>
                </c:pt>
                <c:pt idx="71">
                  <c:v>13.529</c:v>
                </c:pt>
                <c:pt idx="72">
                  <c:v>12.278</c:v>
                </c:pt>
                <c:pt idx="73">
                  <c:v>11.279</c:v>
                </c:pt>
                <c:pt idx="74">
                  <c:v>10.029</c:v>
                </c:pt>
                <c:pt idx="75">
                  <c:v>9.32</c:v>
                </c:pt>
                <c:pt idx="76">
                  <c:v>9.7810000000000006</c:v>
                </c:pt>
                <c:pt idx="77">
                  <c:v>10.081</c:v>
                </c:pt>
                <c:pt idx="78">
                  <c:v>10.939</c:v>
                </c:pt>
                <c:pt idx="79">
                  <c:v>11.259</c:v>
                </c:pt>
                <c:pt idx="80">
                  <c:v>10.749000000000001</c:v>
                </c:pt>
                <c:pt idx="81">
                  <c:v>10.435</c:v>
                </c:pt>
                <c:pt idx="82">
                  <c:v>9.7509999999999994</c:v>
                </c:pt>
                <c:pt idx="83">
                  <c:v>8.9169999999999998</c:v>
                </c:pt>
                <c:pt idx="84">
                  <c:v>7.6719999999999997</c:v>
                </c:pt>
                <c:pt idx="85">
                  <c:v>6.4269999999999996</c:v>
                </c:pt>
                <c:pt idx="86">
                  <c:v>5.258</c:v>
                </c:pt>
                <c:pt idx="87">
                  <c:v>4.8579999999999997</c:v>
                </c:pt>
                <c:pt idx="88">
                  <c:v>4.4539999999999997</c:v>
                </c:pt>
                <c:pt idx="89">
                  <c:v>3.7090000000000001</c:v>
                </c:pt>
                <c:pt idx="90">
                  <c:v>3.194</c:v>
                </c:pt>
                <c:pt idx="91">
                  <c:v>2.4350000000000001</c:v>
                </c:pt>
                <c:pt idx="92">
                  <c:v>2.0840000000000001</c:v>
                </c:pt>
                <c:pt idx="93">
                  <c:v>1.5669999999999999</c:v>
                </c:pt>
                <c:pt idx="94">
                  <c:v>1.1319999999999999</c:v>
                </c:pt>
                <c:pt idx="95">
                  <c:v>0.75600000000000001</c:v>
                </c:pt>
                <c:pt idx="96">
                  <c:v>0.57699999999999996</c:v>
                </c:pt>
                <c:pt idx="97">
                  <c:v>0.373</c:v>
                </c:pt>
                <c:pt idx="98">
                  <c:v>0.21099999999999999</c:v>
                </c:pt>
                <c:pt idx="99">
                  <c:v>0.13300000000000001</c:v>
                </c:pt>
                <c:pt idx="100">
                  <c:v>0.155</c:v>
                </c:pt>
              </c:numCache>
            </c:numRef>
          </c:val>
          <c:extLst>
            <c:ext xmlns:c16="http://schemas.microsoft.com/office/drawing/2014/chart" uri="{C3380CC4-5D6E-409C-BE32-E72D297353CC}">
              <c16:uniqueId val="{00000001-6F74-4C75-A461-A53190A70643}"/>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ayout>
        <c:manualLayout>
          <c:xMode val="edge"/>
          <c:yMode val="edge"/>
          <c:x val="0.22619982405246439"/>
          <c:y val="0.36222712314133598"/>
          <c:w val="0.65209400149484631"/>
          <c:h val="7.8203060243446934E-2"/>
        </c:manualLayout>
      </c:layout>
      <c:overlay val="0"/>
      <c:txPr>
        <a:bodyPr/>
        <a:lstStyle/>
        <a:p>
          <a:pPr>
            <a:defRPr>
              <a:solidFill>
                <a:schemeClr val="bg1"/>
              </a:solidFill>
            </a:defRPr>
          </a:pPr>
          <a:endParaRPr lang="lv-LV"/>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lv-LV"/>
    </a:p>
  </c:txPr>
  <c:externalData r:id="rId2">
    <c:autoUpdate val="0"/>
  </c:externalData>
  <c:userShapes r:id="rId3"/>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371237032803596"/>
          <c:y val="4.1032354227984354E-2"/>
          <c:w val="0.79234712826522347"/>
          <c:h val="0.8847855263957497"/>
        </c:manualLayout>
      </c:layout>
      <c:barChart>
        <c:barDir val="bar"/>
        <c:grouping val="stacked"/>
        <c:varyColors val="0"/>
        <c:ser>
          <c:idx val="0"/>
          <c:order val="0"/>
          <c:tx>
            <c:strRef>
              <c:f>Sheet1!$B$1</c:f>
              <c:strCache>
                <c:ptCount val="1"/>
                <c:pt idx="0">
                  <c:v>Vīrieši</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Sheet1!$B$2:$B$102</c:f>
              <c:numCache>
                <c:formatCode>0.0</c:formatCode>
                <c:ptCount val="101"/>
                <c:pt idx="0">
                  <c:v>-8.359</c:v>
                </c:pt>
                <c:pt idx="1">
                  <c:v>-8.2080000000000037</c:v>
                </c:pt>
                <c:pt idx="2">
                  <c:v>-8.2179999999999982</c:v>
                </c:pt>
                <c:pt idx="3">
                  <c:v>-8.1289999999999996</c:v>
                </c:pt>
                <c:pt idx="4">
                  <c:v>-8.0420000000000051</c:v>
                </c:pt>
                <c:pt idx="5">
                  <c:v>-7.9479999999999968</c:v>
                </c:pt>
                <c:pt idx="6">
                  <c:v>-7.8319999999999981</c:v>
                </c:pt>
                <c:pt idx="7">
                  <c:v>-7.7400000000000064</c:v>
                </c:pt>
                <c:pt idx="8">
                  <c:v>-7.6769999999999952</c:v>
                </c:pt>
                <c:pt idx="9">
                  <c:v>-7.6449999999999996</c:v>
                </c:pt>
                <c:pt idx="10">
                  <c:v>-7.6459999999999972</c:v>
                </c:pt>
                <c:pt idx="11">
                  <c:v>-7.6650000000000063</c:v>
                </c:pt>
                <c:pt idx="12">
                  <c:v>-7.7219999999999969</c:v>
                </c:pt>
                <c:pt idx="13">
                  <c:v>-7.8099999999999987</c:v>
                </c:pt>
                <c:pt idx="14">
                  <c:v>-7.9270000000000014</c:v>
                </c:pt>
                <c:pt idx="15">
                  <c:v>-8.0519999999999978</c:v>
                </c:pt>
                <c:pt idx="16">
                  <c:v>-8.1959999999999962</c:v>
                </c:pt>
                <c:pt idx="17">
                  <c:v>-8.4429999999999978</c:v>
                </c:pt>
                <c:pt idx="18">
                  <c:v>-8.5429999999999993</c:v>
                </c:pt>
                <c:pt idx="19">
                  <c:v>-9.2810000000000077</c:v>
                </c:pt>
                <c:pt idx="20">
                  <c:v>-9.8240000000000016</c:v>
                </c:pt>
                <c:pt idx="21">
                  <c:v>-10.115999999999996</c:v>
                </c:pt>
                <c:pt idx="22">
                  <c:v>-10.880000000000003</c:v>
                </c:pt>
                <c:pt idx="23">
                  <c:v>-11.412000000000004</c:v>
                </c:pt>
                <c:pt idx="24">
                  <c:v>-11.390000000000002</c:v>
                </c:pt>
                <c:pt idx="25">
                  <c:v>-11.144000000000002</c:v>
                </c:pt>
                <c:pt idx="26">
                  <c:v>-10.475</c:v>
                </c:pt>
                <c:pt idx="27">
                  <c:v>-10.305999999999994</c:v>
                </c:pt>
                <c:pt idx="28">
                  <c:v>-9.7119999999999997</c:v>
                </c:pt>
                <c:pt idx="29">
                  <c:v>-9.9470000000000063</c:v>
                </c:pt>
                <c:pt idx="30">
                  <c:v>-10.461999999999996</c:v>
                </c:pt>
                <c:pt idx="31">
                  <c:v>-11.161</c:v>
                </c:pt>
                <c:pt idx="32">
                  <c:v>-10.871000000000008</c:v>
                </c:pt>
                <c:pt idx="33">
                  <c:v>-10.477999999999996</c:v>
                </c:pt>
                <c:pt idx="34">
                  <c:v>-10.270000000000001</c:v>
                </c:pt>
                <c:pt idx="35">
                  <c:v>-9.892000000000003</c:v>
                </c:pt>
                <c:pt idx="36">
                  <c:v>-10.093999999999992</c:v>
                </c:pt>
                <c:pt idx="37">
                  <c:v>-9.6980000000000111</c:v>
                </c:pt>
                <c:pt idx="38">
                  <c:v>-9.7500000000000018</c:v>
                </c:pt>
                <c:pt idx="39">
                  <c:v>-9.9859999999999971</c:v>
                </c:pt>
                <c:pt idx="40">
                  <c:v>-9.76799999999999</c:v>
                </c:pt>
                <c:pt idx="41">
                  <c:v>-9.5070000000000032</c:v>
                </c:pt>
                <c:pt idx="42">
                  <c:v>-9.7110000000000003</c:v>
                </c:pt>
                <c:pt idx="43">
                  <c:v>-9.9319999999999968</c:v>
                </c:pt>
                <c:pt idx="44">
                  <c:v>-10.442000000000013</c:v>
                </c:pt>
                <c:pt idx="45">
                  <c:v>-10.907999999999991</c:v>
                </c:pt>
                <c:pt idx="46">
                  <c:v>-11.537000000000013</c:v>
                </c:pt>
                <c:pt idx="47">
                  <c:v>-12.799999999999999</c:v>
                </c:pt>
                <c:pt idx="48">
                  <c:v>-12.995000000000006</c:v>
                </c:pt>
                <c:pt idx="49">
                  <c:v>-13.380999999999984</c:v>
                </c:pt>
                <c:pt idx="50">
                  <c:v>-13.534000000000002</c:v>
                </c:pt>
                <c:pt idx="51">
                  <c:v>-13.917000000000018</c:v>
                </c:pt>
                <c:pt idx="52">
                  <c:v>-13.837</c:v>
                </c:pt>
                <c:pt idx="53">
                  <c:v>-13.554999999999986</c:v>
                </c:pt>
                <c:pt idx="54">
                  <c:v>-13.137000000000002</c:v>
                </c:pt>
                <c:pt idx="55">
                  <c:v>-12.993000000000002</c:v>
                </c:pt>
                <c:pt idx="56">
                  <c:v>-13.068999999999996</c:v>
                </c:pt>
                <c:pt idx="57">
                  <c:v>-12.087</c:v>
                </c:pt>
                <c:pt idx="58">
                  <c:v>-11.644999999999996</c:v>
                </c:pt>
                <c:pt idx="59">
                  <c:v>-11.360000000000017</c:v>
                </c:pt>
                <c:pt idx="60">
                  <c:v>-10.918999999999992</c:v>
                </c:pt>
                <c:pt idx="61">
                  <c:v>-10.605999999999993</c:v>
                </c:pt>
                <c:pt idx="62">
                  <c:v>-10.698999999999996</c:v>
                </c:pt>
                <c:pt idx="63">
                  <c:v>-10.792000000000007</c:v>
                </c:pt>
                <c:pt idx="64">
                  <c:v>-10.640999999999993</c:v>
                </c:pt>
                <c:pt idx="65">
                  <c:v>-10.479000000000006</c:v>
                </c:pt>
                <c:pt idx="66">
                  <c:v>-10.281000000000004</c:v>
                </c:pt>
                <c:pt idx="67">
                  <c:v>-10.396000000000001</c:v>
                </c:pt>
                <c:pt idx="68">
                  <c:v>-10.075999999999988</c:v>
                </c:pt>
                <c:pt idx="69">
                  <c:v>-9.5670000000000019</c:v>
                </c:pt>
                <c:pt idx="70">
                  <c:v>-9.044000000000004</c:v>
                </c:pt>
                <c:pt idx="71">
                  <c:v>-8.8589999999999876</c:v>
                </c:pt>
                <c:pt idx="72">
                  <c:v>-8.35500000000002</c:v>
                </c:pt>
                <c:pt idx="73">
                  <c:v>-8.0039999999999978</c:v>
                </c:pt>
                <c:pt idx="74">
                  <c:v>-7.6959999999999988</c:v>
                </c:pt>
                <c:pt idx="75">
                  <c:v>-7.6429999999999971</c:v>
                </c:pt>
                <c:pt idx="76">
                  <c:v>-7.5499999999999972</c:v>
                </c:pt>
                <c:pt idx="77">
                  <c:v>-7.2910000000000021</c:v>
                </c:pt>
                <c:pt idx="78">
                  <c:v>-7.0789999999999988</c:v>
                </c:pt>
                <c:pt idx="79">
                  <c:v>-6.5010000000000092</c:v>
                </c:pt>
                <c:pt idx="80">
                  <c:v>-5.8119999999999967</c:v>
                </c:pt>
                <c:pt idx="81">
                  <c:v>-5.7039999999999962</c:v>
                </c:pt>
                <c:pt idx="82">
                  <c:v>-4.7320000000000082</c:v>
                </c:pt>
                <c:pt idx="83">
                  <c:v>-3.9680000000000009</c:v>
                </c:pt>
                <c:pt idx="84">
                  <c:v>-3.7200000000000029</c:v>
                </c:pt>
                <c:pt idx="85">
                  <c:v>-3.0249999999999964</c:v>
                </c:pt>
                <c:pt idx="86">
                  <c:v>-2.4630000000000027</c:v>
                </c:pt>
                <c:pt idx="87">
                  <c:v>-2.2909999999999986</c:v>
                </c:pt>
                <c:pt idx="88">
                  <c:v>-1.868000000000001</c:v>
                </c:pt>
                <c:pt idx="89">
                  <c:v>-1.5090000000000026</c:v>
                </c:pt>
                <c:pt idx="90">
                  <c:v>-1.3419999999999999</c:v>
                </c:pt>
                <c:pt idx="91">
                  <c:v>-0.79499999999999804</c:v>
                </c:pt>
                <c:pt idx="92">
                  <c:v>-0.55699999999999938</c:v>
                </c:pt>
                <c:pt idx="93">
                  <c:v>-0.23900000000000024</c:v>
                </c:pt>
                <c:pt idx="94">
                  <c:v>-0.255</c:v>
                </c:pt>
                <c:pt idx="95">
                  <c:v>-0.17799999999999763</c:v>
                </c:pt>
                <c:pt idx="96">
                  <c:v>-0.10200000000000102</c:v>
                </c:pt>
                <c:pt idx="97">
                  <c:v>-3.299999999999885E-2</c:v>
                </c:pt>
                <c:pt idx="98">
                  <c:v>-6.4999999999999003E-2</c:v>
                </c:pt>
                <c:pt idx="99">
                  <c:v>-4.9999999999981882E-3</c:v>
                </c:pt>
                <c:pt idx="100">
                  <c:v>-5.1000000000000018E-2</c:v>
                </c:pt>
              </c:numCache>
            </c:numRef>
          </c:val>
          <c:extLst>
            <c:ext xmlns:c16="http://schemas.microsoft.com/office/drawing/2014/chart" uri="{C3380CC4-5D6E-409C-BE32-E72D297353CC}">
              <c16:uniqueId val="{00000000-221C-4BCA-B72A-03C8C3873A34}"/>
            </c:ext>
          </c:extLst>
        </c:ser>
        <c:ser>
          <c:idx val="1"/>
          <c:order val="1"/>
          <c:tx>
            <c:strRef>
              <c:f>Sheet1!$C$1</c:f>
              <c:strCache>
                <c:ptCount val="1"/>
                <c:pt idx="0">
                  <c:v>Sievietes</c:v>
                </c:pt>
              </c:strCache>
            </c:strRef>
          </c:tx>
          <c:invertIfNegative val="0"/>
          <c:cat>
            <c:strRef>
              <c:f>Sheet1!$A$2:$A$102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39</c:v>
                </c:pt>
                <c:pt idx="39">
                  <c:v>38</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Sheet1!$C$2:$C$102</c:f>
              <c:numCache>
                <c:formatCode>0.0</c:formatCode>
                <c:ptCount val="101"/>
                <c:pt idx="0">
                  <c:v>7.9099999999999993</c:v>
                </c:pt>
                <c:pt idx="1">
                  <c:v>7.761000000000001</c:v>
                </c:pt>
                <c:pt idx="2">
                  <c:v>7.7349999999999994</c:v>
                </c:pt>
                <c:pt idx="3">
                  <c:v>7.6440000000000001</c:v>
                </c:pt>
                <c:pt idx="4">
                  <c:v>7.5589999999999993</c:v>
                </c:pt>
                <c:pt idx="5">
                  <c:v>7.4710000000000019</c:v>
                </c:pt>
                <c:pt idx="6">
                  <c:v>7.3729999999999984</c:v>
                </c:pt>
                <c:pt idx="7">
                  <c:v>7.2950000000000026</c:v>
                </c:pt>
                <c:pt idx="8">
                  <c:v>7.2429999999999986</c:v>
                </c:pt>
                <c:pt idx="9">
                  <c:v>7.2229999999999999</c:v>
                </c:pt>
                <c:pt idx="10">
                  <c:v>7.234</c:v>
                </c:pt>
                <c:pt idx="11">
                  <c:v>7.2589999999999995</c:v>
                </c:pt>
                <c:pt idx="12">
                  <c:v>7.3170000000000028</c:v>
                </c:pt>
                <c:pt idx="13">
                  <c:v>7.4139999999999988</c:v>
                </c:pt>
                <c:pt idx="14">
                  <c:v>7.5239999999999991</c:v>
                </c:pt>
                <c:pt idx="15">
                  <c:v>7.6460000000000017</c:v>
                </c:pt>
                <c:pt idx="16">
                  <c:v>7.7830000000000004</c:v>
                </c:pt>
                <c:pt idx="17">
                  <c:v>8.0149999999999952</c:v>
                </c:pt>
                <c:pt idx="18">
                  <c:v>8.0870000000000051</c:v>
                </c:pt>
                <c:pt idx="19">
                  <c:v>8.6899999999999977</c:v>
                </c:pt>
                <c:pt idx="20">
                  <c:v>9.2719999999999985</c:v>
                </c:pt>
                <c:pt idx="21">
                  <c:v>9.296999999999997</c:v>
                </c:pt>
                <c:pt idx="22">
                  <c:v>9.9090000000000025</c:v>
                </c:pt>
                <c:pt idx="23">
                  <c:v>10.233999999999995</c:v>
                </c:pt>
                <c:pt idx="24">
                  <c:v>10.194000000000006</c:v>
                </c:pt>
                <c:pt idx="25">
                  <c:v>9.996000000000004</c:v>
                </c:pt>
                <c:pt idx="26">
                  <c:v>9.5179999999999954</c:v>
                </c:pt>
                <c:pt idx="27">
                  <c:v>8.9649999999999928</c:v>
                </c:pt>
                <c:pt idx="28">
                  <c:v>8.4589999999999996</c:v>
                </c:pt>
                <c:pt idx="29">
                  <c:v>8.418000000000001</c:v>
                </c:pt>
                <c:pt idx="30">
                  <c:v>9.2239999999999984</c:v>
                </c:pt>
                <c:pt idx="31">
                  <c:v>9.8099999999999934</c:v>
                </c:pt>
                <c:pt idx="32">
                  <c:v>9.4940000000000015</c:v>
                </c:pt>
                <c:pt idx="33">
                  <c:v>9.0659999999999918</c:v>
                </c:pt>
                <c:pt idx="34">
                  <c:v>8.6790000000000038</c:v>
                </c:pt>
                <c:pt idx="35">
                  <c:v>8.2540000000000031</c:v>
                </c:pt>
                <c:pt idx="36">
                  <c:v>8.4009999999999945</c:v>
                </c:pt>
                <c:pt idx="37">
                  <c:v>8.2419999999999956</c:v>
                </c:pt>
                <c:pt idx="38">
                  <c:v>8.2670000000000101</c:v>
                </c:pt>
                <c:pt idx="39">
                  <c:v>8.5790000000000077</c:v>
                </c:pt>
                <c:pt idx="40">
                  <c:v>8.2930000000000046</c:v>
                </c:pt>
                <c:pt idx="41">
                  <c:v>8.0629999999999917</c:v>
                </c:pt>
                <c:pt idx="42">
                  <c:v>8.1440000000000037</c:v>
                </c:pt>
                <c:pt idx="43">
                  <c:v>8.3759999999999977</c:v>
                </c:pt>
                <c:pt idx="44">
                  <c:v>9.1430000000000042</c:v>
                </c:pt>
                <c:pt idx="45">
                  <c:v>9.7619999999999951</c:v>
                </c:pt>
                <c:pt idx="46">
                  <c:v>10.520000000000005</c:v>
                </c:pt>
                <c:pt idx="47">
                  <c:v>11.816999999999998</c:v>
                </c:pt>
                <c:pt idx="48">
                  <c:v>12.035000000000014</c:v>
                </c:pt>
                <c:pt idx="49">
                  <c:v>12.726999999999993</c:v>
                </c:pt>
                <c:pt idx="50">
                  <c:v>12.746999999999993</c:v>
                </c:pt>
                <c:pt idx="51">
                  <c:v>13.022000000000004</c:v>
                </c:pt>
                <c:pt idx="52">
                  <c:v>13.427000000000001</c:v>
                </c:pt>
                <c:pt idx="53">
                  <c:v>13.249000000000004</c:v>
                </c:pt>
                <c:pt idx="54">
                  <c:v>12.715999999999989</c:v>
                </c:pt>
                <c:pt idx="55">
                  <c:v>13.014000000000005</c:v>
                </c:pt>
                <c:pt idx="56">
                  <c:v>12.903000000000004</c:v>
                </c:pt>
                <c:pt idx="57">
                  <c:v>12.126999999999999</c:v>
                </c:pt>
                <c:pt idx="58">
                  <c:v>11.851000000000006</c:v>
                </c:pt>
                <c:pt idx="59">
                  <c:v>11.699000000000002</c:v>
                </c:pt>
                <c:pt idx="60">
                  <c:v>11.773999999999994</c:v>
                </c:pt>
                <c:pt idx="61">
                  <c:v>11.618999999999996</c:v>
                </c:pt>
                <c:pt idx="62">
                  <c:v>11.777000000000005</c:v>
                </c:pt>
                <c:pt idx="63">
                  <c:v>12.032999999999999</c:v>
                </c:pt>
                <c:pt idx="64">
                  <c:v>12.274999999999995</c:v>
                </c:pt>
                <c:pt idx="65">
                  <c:v>12.355000000000006</c:v>
                </c:pt>
                <c:pt idx="66">
                  <c:v>12.29699999999999</c:v>
                </c:pt>
                <c:pt idx="67">
                  <c:v>12.505000000000006</c:v>
                </c:pt>
                <c:pt idx="68">
                  <c:v>12.890000000000004</c:v>
                </c:pt>
                <c:pt idx="69">
                  <c:v>12.494999999999997</c:v>
                </c:pt>
                <c:pt idx="70">
                  <c:v>12.114000000000001</c:v>
                </c:pt>
                <c:pt idx="71">
                  <c:v>11.970000000000002</c:v>
                </c:pt>
                <c:pt idx="72">
                  <c:v>11.838000000000005</c:v>
                </c:pt>
                <c:pt idx="73">
                  <c:v>11.799000000000001</c:v>
                </c:pt>
                <c:pt idx="74">
                  <c:v>11.238</c:v>
                </c:pt>
                <c:pt idx="75">
                  <c:v>11.914000000000005</c:v>
                </c:pt>
                <c:pt idx="76">
                  <c:v>12.03</c:v>
                </c:pt>
                <c:pt idx="77">
                  <c:v>12.211999999999998</c:v>
                </c:pt>
                <c:pt idx="78">
                  <c:v>12.27300000000001</c:v>
                </c:pt>
                <c:pt idx="79">
                  <c:v>12.005999999999988</c:v>
                </c:pt>
                <c:pt idx="80">
                  <c:v>11.408000000000005</c:v>
                </c:pt>
                <c:pt idx="81">
                  <c:v>10.798999999999991</c:v>
                </c:pt>
                <c:pt idx="82">
                  <c:v>10.028000000000008</c:v>
                </c:pt>
                <c:pt idx="83">
                  <c:v>9.2520000000000042</c:v>
                </c:pt>
                <c:pt idx="84">
                  <c:v>8.727999999999998</c:v>
                </c:pt>
                <c:pt idx="85">
                  <c:v>7.8940000000000028</c:v>
                </c:pt>
                <c:pt idx="86">
                  <c:v>6.6259999999999897</c:v>
                </c:pt>
                <c:pt idx="87">
                  <c:v>6.5239999999999991</c:v>
                </c:pt>
                <c:pt idx="88">
                  <c:v>5.715000000000015</c:v>
                </c:pt>
                <c:pt idx="89">
                  <c:v>4.8239999999999839</c:v>
                </c:pt>
                <c:pt idx="90">
                  <c:v>4.8120000000000118</c:v>
                </c:pt>
                <c:pt idx="91">
                  <c:v>3.128999999999992</c:v>
                </c:pt>
                <c:pt idx="92">
                  <c:v>2.4889999999999981</c:v>
                </c:pt>
                <c:pt idx="93">
                  <c:v>1.5939999999999972</c:v>
                </c:pt>
                <c:pt idx="94">
                  <c:v>1.233000000000003</c:v>
                </c:pt>
                <c:pt idx="95">
                  <c:v>1.1119999999999963</c:v>
                </c:pt>
                <c:pt idx="96">
                  <c:v>0.67899999999999416</c:v>
                </c:pt>
                <c:pt idx="97">
                  <c:v>0.59899999999999864</c:v>
                </c:pt>
                <c:pt idx="98">
                  <c:v>0.23199999999999962</c:v>
                </c:pt>
                <c:pt idx="99">
                  <c:v>9.0000000000000427E-2</c:v>
                </c:pt>
                <c:pt idx="100">
                  <c:v>0.15899999999999859</c:v>
                </c:pt>
              </c:numCache>
            </c:numRef>
          </c:val>
          <c:extLst>
            <c:ext xmlns:c16="http://schemas.microsoft.com/office/drawing/2014/chart" uri="{C3380CC4-5D6E-409C-BE32-E72D297353CC}">
              <c16:uniqueId val="{00000001-221C-4BCA-B72A-03C8C3873A34}"/>
            </c:ext>
          </c:extLst>
        </c:ser>
        <c:dLbls>
          <c:showLegendKey val="0"/>
          <c:showVal val="0"/>
          <c:showCatName val="0"/>
          <c:showSerName val="0"/>
          <c:showPercent val="0"/>
          <c:showBubbleSize val="0"/>
        </c:dLbls>
        <c:gapWidth val="0"/>
        <c:overlap val="100"/>
        <c:axId val="742072256"/>
        <c:axId val="742067552"/>
      </c:barChart>
      <c:catAx>
        <c:axId val="742072256"/>
        <c:scaling>
          <c:orientation val="minMax"/>
        </c:scaling>
        <c:delete val="0"/>
        <c:axPos val="l"/>
        <c:title>
          <c:tx>
            <c:rich>
              <a:bodyPr/>
              <a:lstStyle/>
              <a:p>
                <a:pPr>
                  <a:defRPr sz="900"/>
                </a:pPr>
                <a:r>
                  <a:rPr lang="lv-LV" sz="900" dirty="0"/>
                  <a:t>Vecums</a:t>
                </a:r>
                <a:endParaRPr lang="en-GB" sz="900" dirty="0"/>
              </a:p>
            </c:rich>
          </c:tx>
          <c:overlay val="0"/>
        </c:title>
        <c:numFmt formatCode="General" sourceLinked="0"/>
        <c:majorTickMark val="out"/>
        <c:minorTickMark val="none"/>
        <c:tickLblPos val="nextTo"/>
        <c:spPr>
          <a:ln w="3175">
            <a:noFill/>
          </a:ln>
        </c:spPr>
        <c:crossAx val="742067552"/>
        <c:crossesAt val="-120"/>
        <c:auto val="1"/>
        <c:lblAlgn val="ctr"/>
        <c:lblOffset val="100"/>
        <c:tickLblSkip val="20"/>
        <c:tickMarkSkip val="10"/>
        <c:noMultiLvlLbl val="0"/>
      </c:catAx>
      <c:valAx>
        <c:axId val="742067552"/>
        <c:scaling>
          <c:orientation val="minMax"/>
          <c:max val="18"/>
          <c:min val="-18"/>
        </c:scaling>
        <c:delete val="0"/>
        <c:axPos val="b"/>
        <c:numFmt formatCode="#,##0_ ;#,##0\ " sourceLinked="0"/>
        <c:majorTickMark val="out"/>
        <c:minorTickMark val="none"/>
        <c:tickLblPos val="nextTo"/>
        <c:spPr>
          <a:ln w="3175"/>
        </c:spPr>
        <c:crossAx val="742072256"/>
        <c:crosses val="autoZero"/>
        <c:crossBetween val="between"/>
        <c:majorUnit val="6"/>
      </c:valAx>
    </c:plotArea>
    <c:legend>
      <c:legendPos val="r"/>
      <c:layout>
        <c:manualLayout>
          <c:xMode val="edge"/>
          <c:yMode val="edge"/>
          <c:x val="0.21741500134265399"/>
          <c:y val="0.33524416318189237"/>
          <c:w val="0.65209400149484631"/>
          <c:h val="7.8203060243446934E-2"/>
        </c:manualLayout>
      </c:layout>
      <c:overlay val="0"/>
      <c:txPr>
        <a:bodyPr/>
        <a:lstStyle/>
        <a:p>
          <a:pPr>
            <a:defRPr>
              <a:solidFill>
                <a:schemeClr val="bg1"/>
              </a:solidFill>
            </a:defRPr>
          </a:pPr>
          <a:endParaRPr lang="lv-LV"/>
        </a:p>
      </c:txPr>
    </c:legend>
    <c:plotVisOnly val="1"/>
    <c:dispBlanksAs val="gap"/>
    <c:showDLblsOverMax val="0"/>
  </c:chart>
  <c:spPr>
    <a:ln>
      <a:noFill/>
    </a:ln>
  </c:spPr>
  <c:txPr>
    <a:bodyPr/>
    <a:lstStyle/>
    <a:p>
      <a:pPr>
        <a:defRPr sz="900">
          <a:latin typeface="Segoe UI Light" panose="020B0502040204020203" pitchFamily="34" charset="0"/>
          <a:cs typeface="Segoe UI Semilight" panose="020B0402040204020203" pitchFamily="34" charset="0"/>
        </a:defRPr>
      </a:pPr>
      <a:endParaRPr lang="lv-LV"/>
    </a:p>
  </c:txPr>
  <c:externalData r:id="rId2">
    <c:autoUpdate val="0"/>
  </c:externalData>
  <c:userShapes r:id="rId3"/>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2376786235064E-2"/>
          <c:y val="2.9580162264000516E-2"/>
          <c:w val="0.92090603202251642"/>
          <c:h val="0.89184795439395625"/>
        </c:manualLayout>
      </c:layout>
      <c:areaChart>
        <c:grouping val="standard"/>
        <c:varyColors val="0"/>
        <c:ser>
          <c:idx val="0"/>
          <c:order val="0"/>
          <c:tx>
            <c:strRef>
              <c:f>Sheet1!$A$2</c:f>
              <c:strCache>
                <c:ptCount val="1"/>
                <c:pt idx="0">
                  <c:v>Mērķa scenārijs</c:v>
                </c:pt>
              </c:strCache>
            </c:strRef>
          </c:tx>
          <c:spPr>
            <a:solidFill>
              <a:srgbClr val="0070C0"/>
            </a:solidFill>
          </c:spPr>
          <c:dLbls>
            <c:dLbl>
              <c:idx val="0"/>
              <c:layout>
                <c:manualLayout>
                  <c:x val="6.4474532559638939E-3"/>
                  <c:y val="-8.11145762932685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80-41D7-BD85-776886B36CFD}"/>
                </c:ext>
              </c:extLst>
            </c:dLbl>
            <c:dLbl>
              <c:idx val="1"/>
              <c:delete val="1"/>
              <c:extLst>
                <c:ext xmlns:c15="http://schemas.microsoft.com/office/drawing/2012/chart" uri="{CE6537A1-D6FC-4f65-9D91-7224C49458BB}"/>
                <c:ext xmlns:c16="http://schemas.microsoft.com/office/drawing/2014/chart" uri="{C3380CC4-5D6E-409C-BE32-E72D297353CC}">
                  <c16:uniqueId val="{00000001-1780-41D7-BD85-776886B36CFD}"/>
                </c:ext>
              </c:extLst>
            </c:dLbl>
            <c:dLbl>
              <c:idx val="2"/>
              <c:delete val="1"/>
              <c:extLst>
                <c:ext xmlns:c15="http://schemas.microsoft.com/office/drawing/2012/chart" uri="{CE6537A1-D6FC-4f65-9D91-7224C49458BB}"/>
                <c:ext xmlns:c16="http://schemas.microsoft.com/office/drawing/2014/chart" uri="{C3380CC4-5D6E-409C-BE32-E72D297353CC}">
                  <c16:uniqueId val="{00000002-1780-41D7-BD85-776886B36CFD}"/>
                </c:ext>
              </c:extLst>
            </c:dLbl>
            <c:dLbl>
              <c:idx val="3"/>
              <c:delete val="1"/>
              <c:extLst>
                <c:ext xmlns:c15="http://schemas.microsoft.com/office/drawing/2012/chart" uri="{CE6537A1-D6FC-4f65-9D91-7224C49458BB}"/>
                <c:ext xmlns:c16="http://schemas.microsoft.com/office/drawing/2014/chart" uri="{C3380CC4-5D6E-409C-BE32-E72D297353CC}">
                  <c16:uniqueId val="{00000003-1780-41D7-BD85-776886B36CFD}"/>
                </c:ext>
              </c:extLst>
            </c:dLbl>
            <c:dLbl>
              <c:idx val="4"/>
              <c:delete val="1"/>
              <c:extLst>
                <c:ext xmlns:c15="http://schemas.microsoft.com/office/drawing/2012/chart" uri="{CE6537A1-D6FC-4f65-9D91-7224C49458BB}"/>
                <c:ext xmlns:c16="http://schemas.microsoft.com/office/drawing/2014/chart" uri="{C3380CC4-5D6E-409C-BE32-E72D297353CC}">
                  <c16:uniqueId val="{00000004-1780-41D7-BD85-776886B36CFD}"/>
                </c:ext>
              </c:extLst>
            </c:dLbl>
            <c:dLbl>
              <c:idx val="5"/>
              <c:delete val="1"/>
              <c:extLst>
                <c:ext xmlns:c15="http://schemas.microsoft.com/office/drawing/2012/chart" uri="{CE6537A1-D6FC-4f65-9D91-7224C49458BB}"/>
                <c:ext xmlns:c16="http://schemas.microsoft.com/office/drawing/2014/chart" uri="{C3380CC4-5D6E-409C-BE32-E72D297353CC}">
                  <c16:uniqueId val="{00000005-1780-41D7-BD85-776886B36CFD}"/>
                </c:ext>
              </c:extLst>
            </c:dLbl>
            <c:dLbl>
              <c:idx val="6"/>
              <c:delete val="1"/>
              <c:extLst>
                <c:ext xmlns:c15="http://schemas.microsoft.com/office/drawing/2012/chart" uri="{CE6537A1-D6FC-4f65-9D91-7224C49458BB}"/>
                <c:ext xmlns:c16="http://schemas.microsoft.com/office/drawing/2014/chart" uri="{C3380CC4-5D6E-409C-BE32-E72D297353CC}">
                  <c16:uniqueId val="{00000006-1780-41D7-BD85-776886B36CFD}"/>
                </c:ext>
              </c:extLst>
            </c:dLbl>
            <c:dLbl>
              <c:idx val="7"/>
              <c:delete val="1"/>
              <c:extLst>
                <c:ext xmlns:c15="http://schemas.microsoft.com/office/drawing/2012/chart" uri="{CE6537A1-D6FC-4f65-9D91-7224C49458BB}"/>
                <c:ext xmlns:c16="http://schemas.microsoft.com/office/drawing/2014/chart" uri="{C3380CC4-5D6E-409C-BE32-E72D297353CC}">
                  <c16:uniqueId val="{00000007-1780-41D7-BD85-776886B36CFD}"/>
                </c:ext>
              </c:extLst>
            </c:dLbl>
            <c:dLbl>
              <c:idx val="8"/>
              <c:delete val="1"/>
              <c:extLst>
                <c:ext xmlns:c15="http://schemas.microsoft.com/office/drawing/2012/chart" uri="{CE6537A1-D6FC-4f65-9D91-7224C49458BB}"/>
                <c:ext xmlns:c16="http://schemas.microsoft.com/office/drawing/2014/chart" uri="{C3380CC4-5D6E-409C-BE32-E72D297353CC}">
                  <c16:uniqueId val="{00000008-1780-41D7-BD85-776886B36CFD}"/>
                </c:ext>
              </c:extLst>
            </c:dLbl>
            <c:dLbl>
              <c:idx val="9"/>
              <c:delete val="1"/>
              <c:extLst>
                <c:ext xmlns:c15="http://schemas.microsoft.com/office/drawing/2012/chart" uri="{CE6537A1-D6FC-4f65-9D91-7224C49458BB}"/>
                <c:ext xmlns:c16="http://schemas.microsoft.com/office/drawing/2014/chart" uri="{C3380CC4-5D6E-409C-BE32-E72D297353CC}">
                  <c16:uniqueId val="{00000009-1780-41D7-BD85-776886B36CFD}"/>
                </c:ext>
              </c:extLst>
            </c:dLbl>
            <c:dLbl>
              <c:idx val="10"/>
              <c:delete val="1"/>
              <c:extLst>
                <c:ext xmlns:c15="http://schemas.microsoft.com/office/drawing/2012/chart" uri="{CE6537A1-D6FC-4f65-9D91-7224C49458BB}"/>
                <c:ext xmlns:c16="http://schemas.microsoft.com/office/drawing/2014/chart" uri="{C3380CC4-5D6E-409C-BE32-E72D297353CC}">
                  <c16:uniqueId val="{0000000A-1780-41D7-BD85-776886B36CFD}"/>
                </c:ext>
              </c:extLst>
            </c:dLbl>
            <c:dLbl>
              <c:idx val="11"/>
              <c:delete val="1"/>
              <c:extLst>
                <c:ext xmlns:c15="http://schemas.microsoft.com/office/drawing/2012/chart" uri="{CE6537A1-D6FC-4f65-9D91-7224C49458BB}"/>
                <c:ext xmlns:c16="http://schemas.microsoft.com/office/drawing/2014/chart" uri="{C3380CC4-5D6E-409C-BE32-E72D297353CC}">
                  <c16:uniqueId val="{0000000B-1780-41D7-BD85-776886B36CFD}"/>
                </c:ext>
              </c:extLst>
            </c:dLbl>
            <c:dLbl>
              <c:idx val="12"/>
              <c:delete val="1"/>
              <c:extLst>
                <c:ext xmlns:c15="http://schemas.microsoft.com/office/drawing/2012/chart" uri="{CE6537A1-D6FC-4f65-9D91-7224C49458BB}"/>
                <c:ext xmlns:c16="http://schemas.microsoft.com/office/drawing/2014/chart" uri="{C3380CC4-5D6E-409C-BE32-E72D297353CC}">
                  <c16:uniqueId val="{0000000C-1780-41D7-BD85-776886B36CFD}"/>
                </c:ext>
              </c:extLst>
            </c:dLbl>
            <c:dLbl>
              <c:idx val="13"/>
              <c:delete val="1"/>
              <c:extLst>
                <c:ext xmlns:c15="http://schemas.microsoft.com/office/drawing/2012/chart" uri="{CE6537A1-D6FC-4f65-9D91-7224C49458BB}"/>
                <c:ext xmlns:c16="http://schemas.microsoft.com/office/drawing/2014/chart" uri="{C3380CC4-5D6E-409C-BE32-E72D297353CC}">
                  <c16:uniqueId val="{0000000D-1780-41D7-BD85-776886B36CFD}"/>
                </c:ext>
              </c:extLst>
            </c:dLbl>
            <c:dLbl>
              <c:idx val="14"/>
              <c:delete val="1"/>
              <c:extLst>
                <c:ext xmlns:c15="http://schemas.microsoft.com/office/drawing/2012/chart" uri="{CE6537A1-D6FC-4f65-9D91-7224C49458BB}"/>
                <c:ext xmlns:c16="http://schemas.microsoft.com/office/drawing/2014/chart" uri="{C3380CC4-5D6E-409C-BE32-E72D297353CC}">
                  <c16:uniqueId val="{0000000E-1780-41D7-BD85-776886B36CFD}"/>
                </c:ext>
              </c:extLst>
            </c:dLbl>
            <c:dLbl>
              <c:idx val="15"/>
              <c:delete val="1"/>
              <c:extLst>
                <c:ext xmlns:c15="http://schemas.microsoft.com/office/drawing/2012/chart" uri="{CE6537A1-D6FC-4f65-9D91-7224C49458BB}"/>
                <c:ext xmlns:c16="http://schemas.microsoft.com/office/drawing/2014/chart" uri="{C3380CC4-5D6E-409C-BE32-E72D297353CC}">
                  <c16:uniqueId val="{0000000F-1780-41D7-BD85-776886B36CFD}"/>
                </c:ext>
              </c:extLst>
            </c:dLbl>
            <c:dLbl>
              <c:idx val="16"/>
              <c:delete val="1"/>
              <c:extLst>
                <c:ext xmlns:c15="http://schemas.microsoft.com/office/drawing/2012/chart" uri="{CE6537A1-D6FC-4f65-9D91-7224C49458BB}"/>
                <c:ext xmlns:c16="http://schemas.microsoft.com/office/drawing/2014/chart" uri="{C3380CC4-5D6E-409C-BE32-E72D297353CC}">
                  <c16:uniqueId val="{00000010-1780-41D7-BD85-776886B36CFD}"/>
                </c:ext>
              </c:extLst>
            </c:dLbl>
            <c:dLbl>
              <c:idx val="17"/>
              <c:layout>
                <c:manualLayout>
                  <c:x val="-2.1491510853213769E-3"/>
                  <c:y val="-0.275766976904515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780-41D7-BD85-776886B36CFD}"/>
                </c:ext>
              </c:extLst>
            </c:dLbl>
            <c:dLbl>
              <c:idx val="18"/>
              <c:delete val="1"/>
              <c:extLst>
                <c:ext xmlns:c15="http://schemas.microsoft.com/office/drawing/2012/chart" uri="{CE6537A1-D6FC-4f65-9D91-7224C49458BB}"/>
                <c:ext xmlns:c16="http://schemas.microsoft.com/office/drawing/2014/chart" uri="{C3380CC4-5D6E-409C-BE32-E72D297353CC}">
                  <c16:uniqueId val="{00000012-1780-41D7-BD85-776886B36CFD}"/>
                </c:ext>
              </c:extLst>
            </c:dLbl>
            <c:dLbl>
              <c:idx val="19"/>
              <c:delete val="1"/>
              <c:extLst>
                <c:ext xmlns:c15="http://schemas.microsoft.com/office/drawing/2012/chart" uri="{CE6537A1-D6FC-4f65-9D91-7224C49458BB}"/>
                <c:ext xmlns:c16="http://schemas.microsoft.com/office/drawing/2014/chart" uri="{C3380CC4-5D6E-409C-BE32-E72D297353CC}">
                  <c16:uniqueId val="{00000013-1780-41D7-BD85-776886B36CFD}"/>
                </c:ext>
              </c:extLst>
            </c:dLbl>
            <c:dLbl>
              <c:idx val="20"/>
              <c:delete val="1"/>
              <c:extLst>
                <c:ext xmlns:c15="http://schemas.microsoft.com/office/drawing/2012/chart" uri="{CE6537A1-D6FC-4f65-9D91-7224C49458BB}"/>
                <c:ext xmlns:c16="http://schemas.microsoft.com/office/drawing/2014/chart" uri="{C3380CC4-5D6E-409C-BE32-E72D297353CC}">
                  <c16:uniqueId val="{00000014-1780-41D7-BD85-776886B36CFD}"/>
                </c:ext>
              </c:extLst>
            </c:dLbl>
            <c:dLbl>
              <c:idx val="21"/>
              <c:delete val="1"/>
              <c:extLst>
                <c:ext xmlns:c15="http://schemas.microsoft.com/office/drawing/2012/chart" uri="{CE6537A1-D6FC-4f65-9D91-7224C49458BB}"/>
                <c:ext xmlns:c16="http://schemas.microsoft.com/office/drawing/2014/chart" uri="{C3380CC4-5D6E-409C-BE32-E72D297353CC}">
                  <c16:uniqueId val="{00000015-1780-41D7-BD85-776886B36CFD}"/>
                </c:ext>
              </c:extLst>
            </c:dLbl>
            <c:dLbl>
              <c:idx val="22"/>
              <c:delete val="1"/>
              <c:extLst>
                <c:ext xmlns:c15="http://schemas.microsoft.com/office/drawing/2012/chart" uri="{CE6537A1-D6FC-4f65-9D91-7224C49458BB}"/>
                <c:ext xmlns:c16="http://schemas.microsoft.com/office/drawing/2014/chart" uri="{C3380CC4-5D6E-409C-BE32-E72D297353CC}">
                  <c16:uniqueId val="{00000016-1780-41D7-BD85-776886B36CFD}"/>
                </c:ext>
              </c:extLst>
            </c:dLbl>
            <c:dLbl>
              <c:idx val="23"/>
              <c:delete val="1"/>
              <c:extLst>
                <c:ext xmlns:c15="http://schemas.microsoft.com/office/drawing/2012/chart" uri="{CE6537A1-D6FC-4f65-9D91-7224C49458BB}"/>
                <c:ext xmlns:c16="http://schemas.microsoft.com/office/drawing/2014/chart" uri="{C3380CC4-5D6E-409C-BE32-E72D297353CC}">
                  <c16:uniqueId val="{00000017-1780-41D7-BD85-776886B36CFD}"/>
                </c:ext>
              </c:extLst>
            </c:dLbl>
            <c:dLbl>
              <c:idx val="24"/>
              <c:delete val="1"/>
              <c:extLst>
                <c:ext xmlns:c15="http://schemas.microsoft.com/office/drawing/2012/chart" uri="{CE6537A1-D6FC-4f65-9D91-7224C49458BB}"/>
                <c:ext xmlns:c16="http://schemas.microsoft.com/office/drawing/2014/chart" uri="{C3380CC4-5D6E-409C-BE32-E72D297353CC}">
                  <c16:uniqueId val="{00000018-1780-41D7-BD85-776886B36CFD}"/>
                </c:ext>
              </c:extLst>
            </c:dLbl>
            <c:dLbl>
              <c:idx val="25"/>
              <c:delete val="1"/>
              <c:extLst>
                <c:ext xmlns:c15="http://schemas.microsoft.com/office/drawing/2012/chart" uri="{CE6537A1-D6FC-4f65-9D91-7224C49458BB}"/>
                <c:ext xmlns:c16="http://schemas.microsoft.com/office/drawing/2014/chart" uri="{C3380CC4-5D6E-409C-BE32-E72D297353CC}">
                  <c16:uniqueId val="{00000019-1780-41D7-BD85-776886B36CFD}"/>
                </c:ext>
              </c:extLst>
            </c:dLbl>
            <c:dLbl>
              <c:idx val="26"/>
              <c:layout>
                <c:manualLayout>
                  <c:x val="2.149151085321298E-3"/>
                  <c:y val="-0.33092037228541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780-41D7-BD85-776886B36CFD}"/>
                </c:ext>
              </c:extLst>
            </c:dLbl>
            <c:dLbl>
              <c:idx val="27"/>
              <c:delete val="1"/>
              <c:extLst>
                <c:ext xmlns:c15="http://schemas.microsoft.com/office/drawing/2012/chart" uri="{CE6537A1-D6FC-4f65-9D91-7224C49458BB}"/>
                <c:ext xmlns:c16="http://schemas.microsoft.com/office/drawing/2014/chart" uri="{C3380CC4-5D6E-409C-BE32-E72D297353CC}">
                  <c16:uniqueId val="{0000001B-1780-41D7-BD85-776886B36CFD}"/>
                </c:ext>
              </c:extLst>
            </c:dLbl>
            <c:dLbl>
              <c:idx val="28"/>
              <c:delete val="1"/>
              <c:extLst>
                <c:ext xmlns:c15="http://schemas.microsoft.com/office/drawing/2012/chart" uri="{CE6537A1-D6FC-4f65-9D91-7224C49458BB}"/>
                <c:ext xmlns:c16="http://schemas.microsoft.com/office/drawing/2014/chart" uri="{C3380CC4-5D6E-409C-BE32-E72D297353CC}">
                  <c16:uniqueId val="{0000001C-1780-41D7-BD85-776886B36CFD}"/>
                </c:ext>
              </c:extLst>
            </c:dLbl>
            <c:dLbl>
              <c:idx val="29"/>
              <c:delete val="1"/>
              <c:extLst>
                <c:ext xmlns:c15="http://schemas.microsoft.com/office/drawing/2012/chart" uri="{CE6537A1-D6FC-4f65-9D91-7224C49458BB}"/>
                <c:ext xmlns:c16="http://schemas.microsoft.com/office/drawing/2014/chart" uri="{C3380CC4-5D6E-409C-BE32-E72D297353CC}">
                  <c16:uniqueId val="{0000001D-1780-41D7-BD85-776886B36CFD}"/>
                </c:ext>
              </c:extLst>
            </c:dLbl>
            <c:dLbl>
              <c:idx val="30"/>
              <c:delete val="1"/>
              <c:extLst>
                <c:ext xmlns:c15="http://schemas.microsoft.com/office/drawing/2012/chart" uri="{CE6537A1-D6FC-4f65-9D91-7224C49458BB}"/>
                <c:ext xmlns:c16="http://schemas.microsoft.com/office/drawing/2014/chart" uri="{C3380CC4-5D6E-409C-BE32-E72D297353CC}">
                  <c16:uniqueId val="{0000001E-1780-41D7-BD85-776886B36CFD}"/>
                </c:ext>
              </c:extLst>
            </c:dLbl>
            <c:dLbl>
              <c:idx val="31"/>
              <c:delete val="1"/>
              <c:extLst>
                <c:ext xmlns:c15="http://schemas.microsoft.com/office/drawing/2012/chart" uri="{CE6537A1-D6FC-4f65-9D91-7224C49458BB}"/>
                <c:ext xmlns:c16="http://schemas.microsoft.com/office/drawing/2014/chart" uri="{C3380CC4-5D6E-409C-BE32-E72D297353CC}">
                  <c16:uniqueId val="{0000001F-1780-41D7-BD85-776886B36CFD}"/>
                </c:ext>
              </c:extLst>
            </c:dLbl>
            <c:dLbl>
              <c:idx val="32"/>
              <c:delete val="1"/>
              <c:extLst>
                <c:ext xmlns:c15="http://schemas.microsoft.com/office/drawing/2012/chart" uri="{CE6537A1-D6FC-4f65-9D91-7224C49458BB}"/>
                <c:ext xmlns:c16="http://schemas.microsoft.com/office/drawing/2014/chart" uri="{C3380CC4-5D6E-409C-BE32-E72D297353CC}">
                  <c16:uniqueId val="{00000020-1780-41D7-BD85-776886B36CFD}"/>
                </c:ext>
              </c:extLst>
            </c:dLbl>
            <c:dLbl>
              <c:idx val="33"/>
              <c:delete val="1"/>
              <c:extLst>
                <c:ext xmlns:c15="http://schemas.microsoft.com/office/drawing/2012/chart" uri="{CE6537A1-D6FC-4f65-9D91-7224C49458BB}"/>
                <c:ext xmlns:c16="http://schemas.microsoft.com/office/drawing/2014/chart" uri="{C3380CC4-5D6E-409C-BE32-E72D297353CC}">
                  <c16:uniqueId val="{00000021-1780-41D7-BD85-776886B36CFD}"/>
                </c:ext>
              </c:extLst>
            </c:dLbl>
            <c:dLbl>
              <c:idx val="34"/>
              <c:delete val="1"/>
              <c:extLst>
                <c:ext xmlns:c15="http://schemas.microsoft.com/office/drawing/2012/chart" uri="{CE6537A1-D6FC-4f65-9D91-7224C49458BB}"/>
                <c:ext xmlns:c16="http://schemas.microsoft.com/office/drawing/2014/chart" uri="{C3380CC4-5D6E-409C-BE32-E72D297353CC}">
                  <c16:uniqueId val="{00000022-1780-41D7-BD85-776886B36CFD}"/>
                </c:ext>
              </c:extLst>
            </c:dLbl>
            <c:dLbl>
              <c:idx val="35"/>
              <c:delete val="1"/>
              <c:extLst>
                <c:ext xmlns:c15="http://schemas.microsoft.com/office/drawing/2012/chart" uri="{CE6537A1-D6FC-4f65-9D91-7224C49458BB}"/>
                <c:ext xmlns:c16="http://schemas.microsoft.com/office/drawing/2014/chart" uri="{C3380CC4-5D6E-409C-BE32-E72D297353CC}">
                  <c16:uniqueId val="{00000023-1780-41D7-BD85-776886B36CFD}"/>
                </c:ext>
              </c:extLst>
            </c:dLbl>
            <c:dLbl>
              <c:idx val="36"/>
              <c:layout>
                <c:manualLayout>
                  <c:x val="-1.074575542660649E-3"/>
                  <c:y val="-0.39085517619501292"/>
                </c:manualLayout>
              </c:layout>
              <c:numFmt formatCode="#,##0" sourceLinked="0"/>
              <c:spPr>
                <a:noFill/>
                <a:ln>
                  <a:noFill/>
                </a:ln>
                <a:effectLst/>
              </c:spPr>
              <c:txPr>
                <a:bodyPr wrap="square" lIns="38100" tIns="19050" rIns="38100" bIns="19050" anchor="ctr">
                  <a:noAutofit/>
                </a:bodyPr>
                <a:lstStyle/>
                <a:p>
                  <a:pPr>
                    <a:defRPr b="1"/>
                  </a:pPr>
                  <a:endParaRPr lang="lv-LV"/>
                </a:p>
              </c:txPr>
              <c:showLegendKey val="0"/>
              <c:showVal val="1"/>
              <c:showCatName val="0"/>
              <c:showSerName val="0"/>
              <c:showPercent val="0"/>
              <c:showBubbleSize val="0"/>
              <c:extLst>
                <c:ext xmlns:c15="http://schemas.microsoft.com/office/drawing/2012/chart" uri="{CE6537A1-D6FC-4f65-9D91-7224C49458BB}">
                  <c15:layout>
                    <c:manualLayout>
                      <c:w val="6.9643156307589216E-2"/>
                      <c:h val="0.12164797911119436"/>
                    </c:manualLayout>
                  </c15:layout>
                </c:ext>
                <c:ext xmlns:c16="http://schemas.microsoft.com/office/drawing/2014/chart" uri="{C3380CC4-5D6E-409C-BE32-E72D297353CC}">
                  <c16:uniqueId val="{00000024-1780-41D7-BD85-776886B36CFD}"/>
                </c:ext>
              </c:extLst>
            </c:dLbl>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Sheet1!$B$2:$AL$2</c:f>
              <c:numCache>
                <c:formatCode>0</c:formatCode>
                <c:ptCount val="37"/>
                <c:pt idx="0">
                  <c:v>464.82143040985039</c:v>
                </c:pt>
                <c:pt idx="1">
                  <c:v>462.16239402896605</c:v>
                </c:pt>
                <c:pt idx="2">
                  <c:v>460.37237668725811</c:v>
                </c:pt>
                <c:pt idx="3">
                  <c:v>462.02368266029481</c:v>
                </c:pt>
                <c:pt idx="4">
                  <c:v>462.12195501050326</c:v>
                </c:pt>
                <c:pt idx="5">
                  <c:v>468.5384103532096</c:v>
                </c:pt>
                <c:pt idx="6">
                  <c:v>476.64016077624956</c:v>
                </c:pt>
                <c:pt idx="7">
                  <c:v>483.00262630797141</c:v>
                </c:pt>
                <c:pt idx="8">
                  <c:v>489.18910061502942</c:v>
                </c:pt>
                <c:pt idx="9">
                  <c:v>497.21651963232165</c:v>
                </c:pt>
                <c:pt idx="10">
                  <c:v>510.00740115385571</c:v>
                </c:pt>
                <c:pt idx="11">
                  <c:v>523.89779789764441</c:v>
                </c:pt>
                <c:pt idx="12">
                  <c:v>535.71372859781366</c:v>
                </c:pt>
                <c:pt idx="13">
                  <c:v>549.40808186744209</c:v>
                </c:pt>
                <c:pt idx="14">
                  <c:v>559.69125131427029</c:v>
                </c:pt>
                <c:pt idx="15">
                  <c:v>566.15866267398314</c:v>
                </c:pt>
                <c:pt idx="16">
                  <c:v>575.19276278741017</c:v>
                </c:pt>
                <c:pt idx="17">
                  <c:v>582.23872526528419</c:v>
                </c:pt>
                <c:pt idx="18">
                  <c:v>584.03991121817864</c:v>
                </c:pt>
                <c:pt idx="19">
                  <c:v>586.60785406360787</c:v>
                </c:pt>
                <c:pt idx="20">
                  <c:v>590.04621425165078</c:v>
                </c:pt>
                <c:pt idx="21">
                  <c:v>595.69202518545876</c:v>
                </c:pt>
                <c:pt idx="22">
                  <c:v>603.78203410389131</c:v>
                </c:pt>
                <c:pt idx="23">
                  <c:v>611.71501030839579</c:v>
                </c:pt>
                <c:pt idx="24">
                  <c:v>616.30237826613472</c:v>
                </c:pt>
                <c:pt idx="25">
                  <c:v>618.28832762872514</c:v>
                </c:pt>
                <c:pt idx="26">
                  <c:v>617.279770486551</c:v>
                </c:pt>
                <c:pt idx="27">
                  <c:v>613.76823630121362</c:v>
                </c:pt>
                <c:pt idx="28">
                  <c:v>610.87129169442028</c:v>
                </c:pt>
                <c:pt idx="29">
                  <c:v>609.3318859317892</c:v>
                </c:pt>
                <c:pt idx="30">
                  <c:v>610.20671560873734</c:v>
                </c:pt>
                <c:pt idx="31">
                  <c:v>611.67965423207841</c:v>
                </c:pt>
                <c:pt idx="32">
                  <c:v>615.86914520804078</c:v>
                </c:pt>
                <c:pt idx="33">
                  <c:v>622.78261568829498</c:v>
                </c:pt>
                <c:pt idx="34" formatCode="General">
                  <c:v>629.80710900518511</c:v>
                </c:pt>
                <c:pt idx="35" formatCode="General">
                  <c:v>636.85965386746648</c:v>
                </c:pt>
                <c:pt idx="36" formatCode="General">
                  <c:v>644.56005940479213</c:v>
                </c:pt>
              </c:numCache>
            </c:numRef>
          </c:val>
          <c:extLst>
            <c:ext xmlns:c16="http://schemas.microsoft.com/office/drawing/2014/chart" uri="{C3380CC4-5D6E-409C-BE32-E72D297353CC}">
              <c16:uniqueId val="{00000025-1780-41D7-BD85-776886B36CFD}"/>
            </c:ext>
          </c:extLst>
        </c:ser>
        <c:dLbls>
          <c:showLegendKey val="0"/>
          <c:showVal val="0"/>
          <c:showCatName val="0"/>
          <c:showSerName val="0"/>
          <c:showPercent val="0"/>
          <c:showBubbleSize val="0"/>
        </c:dLbls>
        <c:axId val="742107536"/>
        <c:axId val="742121648"/>
      </c:areaChart>
      <c:catAx>
        <c:axId val="742107536"/>
        <c:scaling>
          <c:orientation val="minMax"/>
        </c:scaling>
        <c:delete val="0"/>
        <c:axPos val="b"/>
        <c:numFmt formatCode="General" sourceLinked="1"/>
        <c:majorTickMark val="out"/>
        <c:minorTickMark val="none"/>
        <c:tickLblPos val="nextTo"/>
        <c:txPr>
          <a:bodyPr rot="0" vert="horz"/>
          <a:lstStyle/>
          <a:p>
            <a:pPr>
              <a:defRPr/>
            </a:pPr>
            <a:endParaRPr lang="lv-LV"/>
          </a:p>
        </c:txPr>
        <c:crossAx val="742121648"/>
        <c:crosses val="autoZero"/>
        <c:auto val="1"/>
        <c:lblAlgn val="ctr"/>
        <c:lblOffset val="100"/>
        <c:noMultiLvlLbl val="0"/>
      </c:catAx>
      <c:valAx>
        <c:axId val="742121648"/>
        <c:scaling>
          <c:orientation val="minMax"/>
          <c:min val="450"/>
        </c:scaling>
        <c:delete val="0"/>
        <c:axPos val="l"/>
        <c:numFmt formatCode="0" sourceLinked="0"/>
        <c:majorTickMark val="out"/>
        <c:minorTickMark val="none"/>
        <c:tickLblPos val="nextTo"/>
        <c:spPr>
          <a:ln>
            <a:noFill/>
          </a:ln>
        </c:spPr>
        <c:txPr>
          <a:bodyPr rot="0" vert="horz"/>
          <a:lstStyle/>
          <a:p>
            <a:pPr>
              <a:defRPr/>
            </a:pPr>
            <a:endParaRPr lang="lv-LV"/>
          </a:p>
        </c:txPr>
        <c:crossAx val="742107536"/>
        <c:crosses val="autoZero"/>
        <c:crossBetween val="midCat"/>
        <c:majorUnit val="50"/>
      </c:valAx>
    </c:plotArea>
    <c:plotVisOnly val="1"/>
    <c:dispBlanksAs val="gap"/>
    <c:showDLblsOverMax val="0"/>
  </c:chart>
  <c:spPr>
    <a:ln>
      <a:noFill/>
    </a:ln>
  </c:spPr>
  <c:txPr>
    <a:bodyPr/>
    <a:lstStyle/>
    <a:p>
      <a:pPr>
        <a:defRPr sz="800">
          <a:latin typeface="Segoe UI Light" panose="020B0502040204020203" pitchFamily="34" charset="0"/>
          <a:cs typeface="Segoe UI Semilight" panose="020B0402040204020203" pitchFamily="34" charset="0"/>
        </a:defRPr>
      </a:pPr>
      <a:endParaRPr lang="lv-LV"/>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38946093276803E-2"/>
          <c:y val="3.0412499999999988E-2"/>
          <c:w val="0.94926105390672322"/>
          <c:h val="0.91188476440444943"/>
        </c:manualLayout>
      </c:layout>
      <c:barChart>
        <c:barDir val="col"/>
        <c:grouping val="clustered"/>
        <c:varyColors val="0"/>
        <c:ser>
          <c:idx val="0"/>
          <c:order val="0"/>
          <c:tx>
            <c:strRef>
              <c:f>Sheet1!$B$1</c:f>
              <c:strCache>
                <c:ptCount val="1"/>
                <c:pt idx="0">
                  <c:v>Series 1</c:v>
                </c:pt>
              </c:strCache>
            </c:strRef>
          </c:tx>
          <c:spPr>
            <a:solidFill>
              <a:srgbClr val="F79646">
                <a:lumMod val="75000"/>
              </a:srgbClr>
            </a:solidFill>
          </c:spPr>
          <c:invertIfNegative val="0"/>
          <c:dLbls>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1C-405A-BFB5-FC8203BE64B6}"/>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1C-405A-BFB5-FC8203BE64B6}"/>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1C-405A-BFB5-FC8203BE64B6}"/>
                </c:ext>
              </c:extLst>
            </c:dLbl>
            <c:dLbl>
              <c:idx val="3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1C-405A-BFB5-FC8203BE64B6}"/>
                </c:ext>
              </c:extLst>
            </c:dLbl>
            <c:numFmt formatCode="#,##0.0" sourceLinked="0"/>
            <c:spPr>
              <a:noFill/>
              <a:ln>
                <a:noFill/>
              </a:ln>
              <a:effectLst/>
            </c:spPr>
            <c:txPr>
              <a:bodyPr wrap="square" lIns="38100" tIns="19050" rIns="38100" bIns="19050" anchor="ctr">
                <a:spAutoFit/>
              </a:bodyPr>
              <a:lstStyle/>
              <a:p>
                <a:pPr>
                  <a:defRPr sz="800" b="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Sheet1!$A$2:$A$38</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Sheet1!$B$2:$B$38</c:f>
              <c:numCache>
                <c:formatCode>General</c:formatCode>
                <c:ptCount val="37"/>
                <c:pt idx="0">
                  <c:v>-15.323</c:v>
                </c:pt>
                <c:pt idx="1">
                  <c:v>-10.952</c:v>
                </c:pt>
                <c:pt idx="2">
                  <c:v>-8.8070000000000004</c:v>
                </c:pt>
                <c:pt idx="3">
                  <c:v>-7.9459999999999997</c:v>
                </c:pt>
                <c:pt idx="4">
                  <c:v>-22.367000000000001</c:v>
                </c:pt>
                <c:pt idx="5">
                  <c:v>-34.476999999999997</c:v>
                </c:pt>
                <c:pt idx="6">
                  <c:v>-35.64</c:v>
                </c:pt>
                <c:pt idx="7">
                  <c:v>-20.077000000000002</c:v>
                </c:pt>
                <c:pt idx="8">
                  <c:v>-11.86</c:v>
                </c:pt>
                <c:pt idx="9">
                  <c:v>-14.262</c:v>
                </c:pt>
                <c:pt idx="10">
                  <c:v>-8.6519999999999992</c:v>
                </c:pt>
                <c:pt idx="11">
                  <c:v>-10.64</c:v>
                </c:pt>
                <c:pt idx="12">
                  <c:v>-12.228999999999999</c:v>
                </c:pt>
                <c:pt idx="13">
                  <c:v>-7.8079999999999998</c:v>
                </c:pt>
                <c:pt idx="14">
                  <c:v>-4.9050000000000002</c:v>
                </c:pt>
                <c:pt idx="15">
                  <c:v>-3.36</c:v>
                </c:pt>
                <c:pt idx="16">
                  <c:v>-3.15</c:v>
                </c:pt>
                <c:pt idx="17">
                  <c:v>-3.5059999999999998</c:v>
                </c:pt>
                <c:pt idx="18">
                  <c:v>-0.96399999999999997</c:v>
                </c:pt>
                <c:pt idx="19">
                  <c:v>0.746</c:v>
                </c:pt>
                <c:pt idx="20">
                  <c:v>0.21199999999999999</c:v>
                </c:pt>
                <c:pt idx="21">
                  <c:v>-0.42899999999999999</c:v>
                </c:pt>
                <c:pt idx="22">
                  <c:v>-0.108</c:v>
                </c:pt>
                <c:pt idx="23">
                  <c:v>0.75900000000000178</c:v>
                </c:pt>
                <c:pt idx="24">
                  <c:v>1.2330000000000001</c:v>
                </c:pt>
                <c:pt idx="25">
                  <c:v>1.804</c:v>
                </c:pt>
                <c:pt idx="26">
                  <c:v>2.3559999999999999</c:v>
                </c:pt>
                <c:pt idx="27">
                  <c:v>2.8849999999999998</c:v>
                </c:pt>
                <c:pt idx="28">
                  <c:v>3.375</c:v>
                </c:pt>
                <c:pt idx="29">
                  <c:v>3.843</c:v>
                </c:pt>
                <c:pt idx="30">
                  <c:v>4.2990000000000004</c:v>
                </c:pt>
                <c:pt idx="31">
                  <c:v>4.718</c:v>
                </c:pt>
                <c:pt idx="32">
                  <c:v>5.1159999999999997</c:v>
                </c:pt>
                <c:pt idx="33">
                  <c:v>5.4619999999999997</c:v>
                </c:pt>
                <c:pt idx="34">
                  <c:v>5.806</c:v>
                </c:pt>
                <c:pt idx="35">
                  <c:v>6.0890000000000004</c:v>
                </c:pt>
                <c:pt idx="36">
                  <c:v>6.3879999999999999</c:v>
                </c:pt>
              </c:numCache>
            </c:numRef>
          </c:val>
          <c:extLst>
            <c:ext xmlns:c16="http://schemas.microsoft.com/office/drawing/2014/chart" uri="{C3380CC4-5D6E-409C-BE32-E72D297353CC}">
              <c16:uniqueId val="{00000004-CB1C-405A-BFB5-FC8203BE64B6}"/>
            </c:ext>
          </c:extLst>
        </c:ser>
        <c:dLbls>
          <c:showLegendKey val="0"/>
          <c:showVal val="0"/>
          <c:showCatName val="0"/>
          <c:showSerName val="0"/>
          <c:showPercent val="0"/>
          <c:showBubbleSize val="0"/>
        </c:dLbls>
        <c:gapWidth val="50"/>
        <c:axId val="742118904"/>
        <c:axId val="742118512"/>
      </c:barChart>
      <c:catAx>
        <c:axId val="742118904"/>
        <c:scaling>
          <c:orientation val="minMax"/>
        </c:scaling>
        <c:delete val="0"/>
        <c:axPos val="b"/>
        <c:numFmt formatCode="General" sourceLinked="0"/>
        <c:majorTickMark val="out"/>
        <c:minorTickMark val="none"/>
        <c:tickLblPos val="low"/>
        <c:txPr>
          <a:bodyPr rot="0" vert="horz"/>
          <a:lstStyle/>
          <a:p>
            <a:pPr>
              <a:defRPr sz="800"/>
            </a:pPr>
            <a:endParaRPr lang="lv-LV"/>
          </a:p>
        </c:txPr>
        <c:crossAx val="742118512"/>
        <c:crosses val="autoZero"/>
        <c:auto val="1"/>
        <c:lblAlgn val="ctr"/>
        <c:lblOffset val="100"/>
        <c:noMultiLvlLbl val="0"/>
      </c:catAx>
      <c:valAx>
        <c:axId val="742118512"/>
        <c:scaling>
          <c:orientation val="minMax"/>
          <c:max val="10"/>
        </c:scaling>
        <c:delete val="0"/>
        <c:axPos val="l"/>
        <c:numFmt formatCode="General" sourceLinked="1"/>
        <c:majorTickMark val="out"/>
        <c:minorTickMark val="none"/>
        <c:tickLblPos val="nextTo"/>
        <c:spPr>
          <a:ln>
            <a:noFill/>
          </a:ln>
        </c:spPr>
        <c:txPr>
          <a:bodyPr/>
          <a:lstStyle/>
          <a:p>
            <a:pPr>
              <a:defRPr sz="800"/>
            </a:pPr>
            <a:endParaRPr lang="lv-LV"/>
          </a:p>
        </c:txPr>
        <c:crossAx val="742118904"/>
        <c:crosses val="autoZero"/>
        <c:crossBetween val="between"/>
        <c:majorUnit val="10"/>
      </c:valAx>
    </c:plotArea>
    <c:plotVisOnly val="1"/>
    <c:dispBlanksAs val="gap"/>
    <c:showDLblsOverMax val="0"/>
  </c:chart>
  <c:spPr>
    <a:ln>
      <a:noFill/>
    </a:ln>
  </c:spPr>
  <c:txPr>
    <a:bodyPr/>
    <a:lstStyle/>
    <a:p>
      <a:pPr>
        <a:defRPr sz="900">
          <a:latin typeface="Segoe UI Semilight" panose="020B0402040204020203" pitchFamily="34" charset="0"/>
          <a:cs typeface="Segoe UI Semilight" panose="020B0402040204020203" pitchFamily="34" charset="0"/>
        </a:defRPr>
      </a:pPr>
      <a:endParaRPr lang="lv-LV"/>
    </a:p>
  </c:txPr>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18873324557412"/>
          <c:y val="3.6866359447004601E-2"/>
          <c:w val="0.76932780843947224"/>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extLst>
              <c:ext xmlns:c16="http://schemas.microsoft.com/office/drawing/2014/chart" uri="{C3380CC4-5D6E-409C-BE32-E72D297353CC}">
                <c16:uniqueId val="{00000000-FBD9-4979-BC9F-2C2320F72C7A}"/>
              </c:ext>
            </c:extLst>
          </c:dPt>
          <c:dLbls>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D9-4979-BC9F-2C2320F72C7A}"/>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D9-4979-BC9F-2C2320F72C7A}"/>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D9-4979-BC9F-2C2320F72C7A}"/>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D9-4979-BC9F-2C2320F72C7A}"/>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D9-4979-BC9F-2C2320F72C7A}"/>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D9-4979-BC9F-2C2320F72C7A}"/>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D9-4979-BC9F-2C2320F72C7A}"/>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BD9-4979-BC9F-2C2320F72C7A}"/>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-0.51828454078390962</c:v>
                </c:pt>
                <c:pt idx="1">
                  <c:v>1.865825120458581</c:v>
                </c:pt>
                <c:pt idx="2">
                  <c:v>3.3795597590270177E-2</c:v>
                </c:pt>
                <c:pt idx="3">
                  <c:v>-0.58567988203718357</c:v>
                </c:pt>
                <c:pt idx="4">
                  <c:v>1.4953961850803239</c:v>
                </c:pt>
                <c:pt idx="5">
                  <c:v>0.32121067198022502</c:v>
                </c:pt>
                <c:pt idx="6">
                  <c:v>0.12058135597841613</c:v>
                </c:pt>
                <c:pt idx="7">
                  <c:v>5.7056214165527308E-3</c:v>
                </c:pt>
                <c:pt idx="9">
                  <c:v>0.33183375726066799</c:v>
                </c:pt>
              </c:numCache>
            </c:numRef>
          </c:val>
          <c:extLst>
            <c:ext xmlns:c16="http://schemas.microsoft.com/office/drawing/2014/chart" uri="{C3380CC4-5D6E-409C-BE32-E72D297353CC}">
              <c16:uniqueId val="{00000009-FBD9-4979-BC9F-2C2320F72C7A}"/>
            </c:ext>
          </c:extLst>
        </c:ser>
        <c:dLbls>
          <c:showLegendKey val="0"/>
          <c:showVal val="0"/>
          <c:showCatName val="0"/>
          <c:showSerName val="0"/>
          <c:showPercent val="0"/>
          <c:showBubbleSize val="0"/>
        </c:dLbls>
        <c:gapWidth val="40"/>
        <c:axId val="742119296"/>
        <c:axId val="742120472"/>
      </c:barChart>
      <c:catAx>
        <c:axId val="742119296"/>
        <c:scaling>
          <c:orientation val="minMax"/>
        </c:scaling>
        <c:delete val="0"/>
        <c:axPos val="l"/>
        <c:numFmt formatCode="General" sourceLinked="1"/>
        <c:majorTickMark val="out"/>
        <c:minorTickMark val="none"/>
        <c:tickLblPos val="nextTo"/>
        <c:spPr>
          <a:solidFill>
            <a:srgbClr val="00B050"/>
          </a:solidFill>
          <a:ln w="3175"/>
        </c:spPr>
        <c:crossAx val="742120472"/>
        <c:crosses val="autoZero"/>
        <c:auto val="0"/>
        <c:lblAlgn val="ctr"/>
        <c:lblOffset val="100"/>
        <c:noMultiLvlLbl val="0"/>
      </c:catAx>
      <c:valAx>
        <c:axId val="742120472"/>
        <c:scaling>
          <c:orientation val="minMax"/>
          <c:max val="8"/>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19296"/>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52650505683311"/>
          <c:y val="4.8664233114939408E-3"/>
          <c:w val="0.76932780843947224"/>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spPr>
              <a:solidFill>
                <a:srgbClr val="00B050"/>
              </a:solidFill>
              <a:ln w="3175">
                <a:noFill/>
                <a:prstDash val="solid"/>
              </a:ln>
            </c:spPr>
            <c:extLst>
              <c:ext xmlns:c16="http://schemas.microsoft.com/office/drawing/2014/chart" uri="{C3380CC4-5D6E-409C-BE32-E72D297353CC}">
                <c16:uniqueId val="{00000001-D3DF-4E70-A490-666463E8E2DF}"/>
              </c:ext>
            </c:extLst>
          </c:dPt>
          <c:dLbls>
            <c:dLbl>
              <c:idx val="0"/>
              <c:layout>
                <c:manualLayout>
                  <c:x val="-2.352018816150529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DF-4E70-A490-666463E8E2DF}"/>
                </c:ext>
              </c:extLst>
            </c:dLbl>
            <c:dLbl>
              <c:idx val="4"/>
              <c:layout>
                <c:manualLayout>
                  <c:x val="-2.1788990225044481E-2"/>
                  <c:y val="5.18242122719734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DF-4E70-A490-666463E8E2DF}"/>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DF-4E70-A490-666463E8E2DF}"/>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DF-4E70-A490-666463E8E2DF}"/>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DF-4E70-A490-666463E8E2DF}"/>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DF-4E70-A490-666463E8E2DF}"/>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DF-4E70-A490-666463E8E2DF}"/>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DF-4E70-A490-666463E8E2DF}"/>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DF-4E70-A490-666463E8E2DF}"/>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3.4728849041221252</c:v>
                </c:pt>
                <c:pt idx="1">
                  <c:v>2.7122360955937097</c:v>
                </c:pt>
                <c:pt idx="2">
                  <c:v>3.9746799503741954</c:v>
                </c:pt>
                <c:pt idx="3">
                  <c:v>4.9953828950479391</c:v>
                </c:pt>
                <c:pt idx="4">
                  <c:v>3.938981400805261</c:v>
                </c:pt>
                <c:pt idx="5">
                  <c:v>3.093921576529155</c:v>
                </c:pt>
                <c:pt idx="6">
                  <c:v>4.2207235022995064</c:v>
                </c:pt>
                <c:pt idx="7">
                  <c:v>2.8212848161424375</c:v>
                </c:pt>
                <c:pt idx="9">
                  <c:v>3.8129183839121339</c:v>
                </c:pt>
              </c:numCache>
            </c:numRef>
          </c:val>
          <c:extLst>
            <c:ext xmlns:c16="http://schemas.microsoft.com/office/drawing/2014/chart" uri="{C3380CC4-5D6E-409C-BE32-E72D297353CC}">
              <c16:uniqueId val="{0000000B-D3DF-4E70-A490-666463E8E2DF}"/>
            </c:ext>
          </c:extLst>
        </c:ser>
        <c:dLbls>
          <c:showLegendKey val="0"/>
          <c:showVal val="0"/>
          <c:showCatName val="0"/>
          <c:showSerName val="0"/>
          <c:showPercent val="0"/>
          <c:showBubbleSize val="0"/>
        </c:dLbls>
        <c:gapWidth val="40"/>
        <c:axId val="742122824"/>
        <c:axId val="742111064"/>
      </c:barChart>
      <c:catAx>
        <c:axId val="742122824"/>
        <c:scaling>
          <c:orientation val="minMax"/>
        </c:scaling>
        <c:delete val="0"/>
        <c:axPos val="l"/>
        <c:numFmt formatCode="General" sourceLinked="1"/>
        <c:majorTickMark val="out"/>
        <c:minorTickMark val="none"/>
        <c:tickLblPos val="nextTo"/>
        <c:spPr>
          <a:ln w="3175"/>
        </c:spPr>
        <c:crossAx val="742111064"/>
        <c:crosses val="autoZero"/>
        <c:auto val="0"/>
        <c:lblAlgn val="ctr"/>
        <c:lblOffset val="100"/>
        <c:noMultiLvlLbl val="0"/>
      </c:catAx>
      <c:valAx>
        <c:axId val="742111064"/>
        <c:scaling>
          <c:orientation val="minMax"/>
          <c:max val="8"/>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22824"/>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998015421389375E-2"/>
          <c:y val="3.6866359447004601E-2"/>
          <c:w val="0.71574700033992023"/>
          <c:h val="0.90177944103140961"/>
        </c:manualLayout>
      </c:layout>
      <c:barChart>
        <c:barDir val="bar"/>
        <c:grouping val="clustered"/>
        <c:varyColors val="0"/>
        <c:ser>
          <c:idx val="1"/>
          <c:order val="0"/>
          <c:tx>
            <c:strRef>
              <c:f>Sheet1!$B$1</c:f>
              <c:strCache>
                <c:ptCount val="1"/>
              </c:strCache>
            </c:strRef>
          </c:tx>
          <c:spPr>
            <a:solidFill>
              <a:srgbClr val="92D050"/>
            </a:solidFill>
            <a:ln w="3175">
              <a:noFill/>
              <a:prstDash val="solid"/>
            </a:ln>
          </c:spPr>
          <c:invertIfNegative val="0"/>
          <c:dPt>
            <c:idx val="9"/>
            <c:invertIfNegative val="0"/>
            <c:bubble3D val="0"/>
            <c:spPr>
              <a:solidFill>
                <a:srgbClr val="00B050"/>
              </a:solidFill>
              <a:ln w="3175">
                <a:noFill/>
                <a:prstDash val="solid"/>
              </a:ln>
            </c:spPr>
            <c:extLst>
              <c:ext xmlns:c16="http://schemas.microsoft.com/office/drawing/2014/chart" uri="{C3380CC4-5D6E-409C-BE32-E72D297353CC}">
                <c16:uniqueId val="{00000001-2E19-45C2-B3FC-3BD847558503}"/>
              </c:ext>
            </c:extLst>
          </c:dPt>
          <c:dLbls>
            <c:dLbl>
              <c:idx val="0"/>
              <c:layout>
                <c:manualLayout>
                  <c:x val="-1.5335654612077372E-2"/>
                  <c:y val="-9.503671724577947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19-45C2-B3FC-3BD847558503}"/>
                </c:ext>
              </c:extLst>
            </c:dLbl>
            <c:dLbl>
              <c:idx val="3"/>
              <c:layout>
                <c:manualLayout>
                  <c:x val="-3.067130922415474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19-45C2-B3FC-3BD847558503}"/>
                </c:ext>
              </c:extLst>
            </c:dLbl>
            <c:dLbl>
              <c:idx val="4"/>
              <c:layout>
                <c:manualLayout>
                  <c:x val="-2.1786893569953225E-2"/>
                  <c:y val="-1.6327183699592882E-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19-45C2-B3FC-3BD847558503}"/>
                </c:ext>
              </c:extLst>
            </c:dLbl>
            <c:dLbl>
              <c:idx val="17"/>
              <c:layout>
                <c:manualLayout>
                  <c:x val="0"/>
                  <c:y val="-8.2417582417582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19-45C2-B3FC-3BD847558503}"/>
                </c:ext>
              </c:extLst>
            </c:dLbl>
            <c:dLbl>
              <c:idx val="18"/>
              <c:layout>
                <c:manualLayout>
                  <c:x val="0"/>
                  <c:y val="-1.64835164835164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19-45C2-B3FC-3BD847558503}"/>
                </c:ext>
              </c:extLst>
            </c:dLbl>
            <c:dLbl>
              <c:idx val="19"/>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19-45C2-B3FC-3BD847558503}"/>
                </c:ext>
              </c:extLst>
            </c:dLbl>
            <c:dLbl>
              <c:idx val="20"/>
              <c:layout>
                <c:manualLayout>
                  <c:x val="0"/>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19-45C2-B3FC-3BD847558503}"/>
                </c:ext>
              </c:extLst>
            </c:dLbl>
            <c:dLbl>
              <c:idx val="21"/>
              <c:layout>
                <c:manualLayout>
                  <c:x val="1.065879159741259E-16"/>
                  <c:y val="-2.74725274725279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19-45C2-B3FC-3BD847558503}"/>
                </c:ext>
              </c:extLst>
            </c:dLbl>
            <c:dLbl>
              <c:idx val="22"/>
              <c:layout>
                <c:manualLayout>
                  <c:x val="0"/>
                  <c:y val="-3.5714285714285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E19-45C2-B3FC-3BD847558503}"/>
                </c:ext>
              </c:extLst>
            </c:dLbl>
            <c:dLbl>
              <c:idx val="23"/>
              <c:layout>
                <c:manualLayout>
                  <c:x val="1.065879159741259E-16"/>
                  <c:y val="-3.8461538461538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19-45C2-B3FC-3BD847558503}"/>
                </c:ext>
              </c:extLst>
            </c:dLbl>
            <c:numFmt formatCode="#,##0.0" sourceLinked="0"/>
            <c:spPr>
              <a:noFill/>
              <a:ln w="2540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Sheet1!$A$2:$A$11</c:f>
              <c:numCache>
                <c:formatCode>General</c:formatCode>
                <c:ptCount val="10"/>
              </c:numCache>
            </c:numRef>
          </c:cat>
          <c:val>
            <c:numRef>
              <c:f>Sheet1!$B$2:$B$11</c:f>
              <c:numCache>
                <c:formatCode>0.0</c:formatCode>
                <c:ptCount val="10"/>
                <c:pt idx="0">
                  <c:v>2.9546003633382156</c:v>
                </c:pt>
                <c:pt idx="1">
                  <c:v>4.5780612160522907</c:v>
                </c:pt>
                <c:pt idx="2">
                  <c:v>4.0084755479644656</c:v>
                </c:pt>
                <c:pt idx="3">
                  <c:v>4.4097030130107555</c:v>
                </c:pt>
                <c:pt idx="4">
                  <c:v>5.4343775858855849</c:v>
                </c:pt>
                <c:pt idx="5">
                  <c:v>3.41513224850938</c:v>
                </c:pt>
                <c:pt idx="6">
                  <c:v>4.3413048582779226</c:v>
                </c:pt>
                <c:pt idx="7">
                  <c:v>2.8269904375589903</c:v>
                </c:pt>
                <c:pt idx="9">
                  <c:v>4.1447521411728019</c:v>
                </c:pt>
              </c:numCache>
            </c:numRef>
          </c:val>
          <c:extLst>
            <c:ext xmlns:c16="http://schemas.microsoft.com/office/drawing/2014/chart" uri="{C3380CC4-5D6E-409C-BE32-E72D297353CC}">
              <c16:uniqueId val="{0000000C-2E19-45C2-B3FC-3BD847558503}"/>
            </c:ext>
          </c:extLst>
        </c:ser>
        <c:dLbls>
          <c:showLegendKey val="0"/>
          <c:showVal val="0"/>
          <c:showCatName val="0"/>
          <c:showSerName val="0"/>
          <c:showPercent val="0"/>
          <c:showBubbleSize val="0"/>
        </c:dLbls>
        <c:gapWidth val="40"/>
        <c:axId val="742112632"/>
        <c:axId val="742113024"/>
      </c:barChart>
      <c:catAx>
        <c:axId val="742112632"/>
        <c:scaling>
          <c:orientation val="minMax"/>
        </c:scaling>
        <c:delete val="0"/>
        <c:axPos val="l"/>
        <c:numFmt formatCode="General" sourceLinked="1"/>
        <c:majorTickMark val="out"/>
        <c:minorTickMark val="none"/>
        <c:tickLblPos val="nextTo"/>
        <c:spPr>
          <a:ln w="3175"/>
        </c:spPr>
        <c:crossAx val="742113024"/>
        <c:crosses val="autoZero"/>
        <c:auto val="0"/>
        <c:lblAlgn val="ctr"/>
        <c:lblOffset val="100"/>
        <c:noMultiLvlLbl val="0"/>
      </c:catAx>
      <c:valAx>
        <c:axId val="742113024"/>
        <c:scaling>
          <c:orientation val="minMax"/>
          <c:max val="8"/>
          <c:min val="-2"/>
        </c:scaling>
        <c:delete val="0"/>
        <c:axPos val="b"/>
        <c:numFmt formatCode="0" sourceLinked="0"/>
        <c:majorTickMark val="out"/>
        <c:minorTickMark val="none"/>
        <c:tickLblPos val="nextTo"/>
        <c:spPr>
          <a:ln w="3175">
            <a:noFill/>
            <a:prstDash val="solid"/>
          </a:ln>
        </c:spPr>
        <c:txPr>
          <a:bodyPr rot="0" vert="horz"/>
          <a:lstStyle/>
          <a:p>
            <a:pPr>
              <a:defRPr/>
            </a:pPr>
            <a:endParaRPr lang="lv-LV"/>
          </a:p>
        </c:txPr>
        <c:crossAx val="742112632"/>
        <c:crosses val="autoZero"/>
        <c:crossBetween val="between"/>
        <c:majorUnit val="2"/>
      </c:valAx>
      <c:spPr>
        <a:noFill/>
        <a:ln w="25402">
          <a:noFill/>
        </a:ln>
      </c:spPr>
    </c:plotArea>
    <c:plotVisOnly val="1"/>
    <c:dispBlanksAs val="gap"/>
    <c:showDLblsOverMax val="0"/>
  </c:chart>
  <c:spPr>
    <a:solidFill>
      <a:srgbClr val="FFFFFF"/>
    </a:solidFill>
    <a:ln>
      <a:noFill/>
    </a:ln>
  </c:spPr>
  <c:txPr>
    <a:bodyPr/>
    <a:lstStyle/>
    <a:p>
      <a:pPr algn="just">
        <a:defRPr sz="800" b="0" i="0" u="none" strike="noStrike" baseline="0">
          <a:solidFill>
            <a:srgbClr val="000000"/>
          </a:solidFill>
          <a:latin typeface="Segoe UI Light" panose="020B0502040204020203" pitchFamily="34" charset="0"/>
          <a:ea typeface="Garamond"/>
          <a:cs typeface="Segoe UI Semilight" panose="020B0402040204020203" pitchFamily="34" charset="0"/>
        </a:defRPr>
      </a:pPr>
      <a:endParaRPr lang="lv-LV"/>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72624542285732E-2"/>
          <c:y val="6.63511782233802E-2"/>
          <c:w val="0.88246790332983815"/>
          <c:h val="0.80415209051529546"/>
        </c:manualLayout>
      </c:layout>
      <c:barChart>
        <c:barDir val="col"/>
        <c:grouping val="clustered"/>
        <c:varyColors val="0"/>
        <c:ser>
          <c:idx val="0"/>
          <c:order val="0"/>
          <c:tx>
            <c:strRef>
              <c:f>Sheet1!$A$3</c:f>
              <c:strCache>
                <c:ptCount val="1"/>
                <c:pt idx="0">
                  <c:v>Bezdarba līmenis</c:v>
                </c:pt>
              </c:strCache>
            </c:strRef>
          </c:tx>
          <c:spPr>
            <a:solidFill>
              <a:srgbClr val="228B9D"/>
            </a:solidFill>
          </c:spPr>
          <c:invertIfNegative val="0"/>
          <c:dPt>
            <c:idx val="7"/>
            <c:invertIfNegative val="0"/>
            <c:bubble3D val="0"/>
            <c:extLst>
              <c:ext xmlns:c16="http://schemas.microsoft.com/office/drawing/2014/chart" uri="{C3380CC4-5D6E-409C-BE32-E72D297353CC}">
                <c16:uniqueId val="{00000000-3F53-4AD8-B02A-044EF6E844DF}"/>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Sheet1!$B$2:$M$2</c:f>
              <c:numCache>
                <c:formatCode>0</c:formatCode>
                <c:ptCount val="8"/>
                <c:pt idx="0">
                  <c:v>2010</c:v>
                </c:pt>
                <c:pt idx="1">
                  <c:v>2012</c:v>
                </c:pt>
                <c:pt idx="2">
                  <c:v>2014</c:v>
                </c:pt>
                <c:pt idx="3">
                  <c:v>2016</c:v>
                </c:pt>
                <c:pt idx="4" formatCode="General">
                  <c:v>2018</c:v>
                </c:pt>
                <c:pt idx="5" formatCode="General">
                  <c:v>2019</c:v>
                </c:pt>
                <c:pt idx="6" formatCode="General">
                  <c:v>2020</c:v>
                </c:pt>
                <c:pt idx="7" formatCode="General">
                  <c:v>2021</c:v>
                </c:pt>
              </c:numCache>
            </c:numRef>
          </c:cat>
          <c:val>
            <c:numRef>
              <c:f>Sheet1!$B$3:$M$3</c:f>
              <c:numCache>
                <c:formatCode>General</c:formatCode>
                <c:ptCount val="8"/>
                <c:pt idx="0">
                  <c:v>19.5</c:v>
                </c:pt>
                <c:pt idx="1">
                  <c:v>15</c:v>
                </c:pt>
                <c:pt idx="2" formatCode="0.0">
                  <c:v>10.8</c:v>
                </c:pt>
                <c:pt idx="3">
                  <c:v>9.6</c:v>
                </c:pt>
                <c:pt idx="4" formatCode="0.0">
                  <c:v>7.4</c:v>
                </c:pt>
                <c:pt idx="5" formatCode="0.0">
                  <c:v>6.3</c:v>
                </c:pt>
                <c:pt idx="6" formatCode="0.0">
                  <c:v>8.1</c:v>
                </c:pt>
                <c:pt idx="7" formatCode="0.0">
                  <c:v>7.6</c:v>
                </c:pt>
              </c:numCache>
            </c:numRef>
          </c:val>
          <c:extLst>
            <c:ext xmlns:c16="http://schemas.microsoft.com/office/drawing/2014/chart" uri="{C3380CC4-5D6E-409C-BE32-E72D297353CC}">
              <c16:uniqueId val="{00000001-3F53-4AD8-B02A-044EF6E844DF}"/>
            </c:ext>
          </c:extLst>
        </c:ser>
        <c:dLbls>
          <c:dLblPos val="outEnd"/>
          <c:showLegendKey val="0"/>
          <c:showVal val="1"/>
          <c:showCatName val="0"/>
          <c:showSerName val="0"/>
          <c:showPercent val="0"/>
          <c:showBubbleSize val="0"/>
        </c:dLbls>
        <c:gapWidth val="40"/>
        <c:axId val="742144384"/>
        <c:axId val="742151440"/>
      </c:barChart>
      <c:catAx>
        <c:axId val="742144384"/>
        <c:scaling>
          <c:orientation val="minMax"/>
        </c:scaling>
        <c:delete val="0"/>
        <c:axPos val="b"/>
        <c:numFmt formatCode="0" sourceLinked="0"/>
        <c:majorTickMark val="out"/>
        <c:minorTickMark val="none"/>
        <c:tickLblPos val="low"/>
        <c:txPr>
          <a:bodyPr rot="0" vert="horz"/>
          <a:lstStyle/>
          <a:p>
            <a:pPr>
              <a:defRPr/>
            </a:pPr>
            <a:endParaRPr lang="lv-LV"/>
          </a:p>
        </c:txPr>
        <c:crossAx val="742151440"/>
        <c:crosses val="autoZero"/>
        <c:auto val="1"/>
        <c:lblAlgn val="ctr"/>
        <c:lblOffset val="100"/>
        <c:noMultiLvlLbl val="0"/>
      </c:catAx>
      <c:valAx>
        <c:axId val="742151440"/>
        <c:scaling>
          <c:orientation val="minMax"/>
          <c:max val="20"/>
        </c:scaling>
        <c:delete val="0"/>
        <c:axPos val="l"/>
        <c:numFmt formatCode="0" sourceLinked="0"/>
        <c:majorTickMark val="out"/>
        <c:minorTickMark val="none"/>
        <c:tickLblPos val="nextTo"/>
        <c:spPr>
          <a:ln>
            <a:noFill/>
          </a:ln>
        </c:spPr>
        <c:crossAx val="742144384"/>
        <c:crosses val="autoZero"/>
        <c:crossBetween val="between"/>
        <c:majorUnit val="5"/>
      </c:valAx>
      <c:spPr>
        <a:noFill/>
      </c:spPr>
    </c:plotArea>
    <c:plotVisOnly val="1"/>
    <c:dispBlanksAs val="gap"/>
    <c:showDLblsOverMax val="0"/>
  </c:chart>
  <c:spPr>
    <a:noFill/>
    <a:ln w="12700">
      <a:noFill/>
    </a:ln>
  </c:spPr>
  <c:txPr>
    <a:bodyPr/>
    <a:lstStyle/>
    <a:p>
      <a:pPr>
        <a:defRPr sz="800" b="0">
          <a:solidFill>
            <a:srgbClr val="000000"/>
          </a:solidFill>
          <a:latin typeface="Segoe UI Light" panose="020B0502040204020203" pitchFamily="34" charset="0"/>
          <a:ea typeface="Verdana" panose="020B0604030504040204" pitchFamily="34" charset="0"/>
          <a:cs typeface="Verdana" panose="020B0604030504040204" pitchFamily="34" charset="0"/>
        </a:defRPr>
      </a:pPr>
      <a:endParaRPr lang="lv-LV"/>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632872074422652"/>
          <c:y val="3.3134526176275679E-2"/>
          <c:w val="0.46474294263512916"/>
          <c:h val="0.9469847581179589"/>
        </c:manualLayout>
      </c:layout>
      <c:barChart>
        <c:barDir val="bar"/>
        <c:grouping val="clustered"/>
        <c:varyColors val="0"/>
        <c:ser>
          <c:idx val="0"/>
          <c:order val="0"/>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Contacts!$G$7:$G$14</c:f>
              <c:strCache>
                <c:ptCount val="8"/>
                <c:pt idx="0">
                  <c:v>Lauksaimniecība, mežsaimniecība, zvejniecība</c:v>
                </c:pt>
                <c:pt idx="1">
                  <c:v>Apstrādes rūpniecība</c:v>
                </c:pt>
                <c:pt idx="2">
                  <c:v>Pārējā rūpniecība</c:v>
                </c:pt>
                <c:pt idx="3">
                  <c:v>Būvniecība</c:v>
                </c:pt>
                <c:pt idx="4">
                  <c:v>Tirdzniecība, izmitināšana un ēdināšanas pakalpojumi</c:v>
                </c:pt>
                <c:pt idx="5">
                  <c:v>Transports un uzglabāšana</c:v>
                </c:pt>
                <c:pt idx="6">
                  <c:v>Citi komercpakalpojumi</c:v>
                </c:pt>
                <c:pt idx="7">
                  <c:v>Sabiedriskie pakalpojumi</c:v>
                </c:pt>
              </c:strCache>
            </c:strRef>
          </c:cat>
          <c:val>
            <c:numRef>
              <c:f>Contacts!$J$7:$J$14</c:f>
              <c:numCache>
                <c:formatCode>0.0</c:formatCode>
                <c:ptCount val="8"/>
                <c:pt idx="0">
                  <c:v>-24.037880968741675</c:v>
                </c:pt>
                <c:pt idx="1">
                  <c:v>-2.1935696595441811</c:v>
                </c:pt>
                <c:pt idx="2">
                  <c:v>-0.71207835262853791</c:v>
                </c:pt>
                <c:pt idx="3">
                  <c:v>4.8984704794857095</c:v>
                </c:pt>
                <c:pt idx="4">
                  <c:v>6.1301221570143838</c:v>
                </c:pt>
                <c:pt idx="5">
                  <c:v>4.7509988161470744</c:v>
                </c:pt>
                <c:pt idx="6">
                  <c:v>5.7408247752671997</c:v>
                </c:pt>
                <c:pt idx="7">
                  <c:v>6.5757436241605092</c:v>
                </c:pt>
              </c:numCache>
            </c:numRef>
          </c:val>
          <c:extLst>
            <c:ext xmlns:c16="http://schemas.microsoft.com/office/drawing/2014/chart" uri="{C3380CC4-5D6E-409C-BE32-E72D297353CC}">
              <c16:uniqueId val="{00000000-FD87-4796-AFBE-802D48B5E3E2}"/>
            </c:ext>
          </c:extLst>
        </c:ser>
        <c:dLbls>
          <c:showLegendKey val="0"/>
          <c:showVal val="0"/>
          <c:showCatName val="0"/>
          <c:showSerName val="0"/>
          <c:showPercent val="0"/>
          <c:showBubbleSize val="0"/>
        </c:dLbls>
        <c:gapWidth val="40"/>
        <c:axId val="1999204560"/>
        <c:axId val="1999207056"/>
      </c:barChart>
      <c:catAx>
        <c:axId val="19992045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999207056"/>
        <c:crosses val="autoZero"/>
        <c:auto val="1"/>
        <c:lblAlgn val="ctr"/>
        <c:lblOffset val="100"/>
        <c:noMultiLvlLbl val="0"/>
      </c:catAx>
      <c:valAx>
        <c:axId val="1999207056"/>
        <c:scaling>
          <c:orientation val="minMax"/>
        </c:scaling>
        <c:delete val="1"/>
        <c:axPos val="b"/>
        <c:numFmt formatCode="0.0" sourceLinked="1"/>
        <c:majorTickMark val="none"/>
        <c:minorTickMark val="none"/>
        <c:tickLblPos val="nextTo"/>
        <c:crossAx val="199920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477210839770593"/>
          <c:y val="3.6257761877225875E-2"/>
          <c:w val="0.53390062820253525"/>
          <c:h val="0.84470733196785541"/>
        </c:manualLayout>
      </c:layout>
      <c:barChart>
        <c:barDir val="bar"/>
        <c:grouping val="stacked"/>
        <c:varyColors val="0"/>
        <c:ser>
          <c:idx val="0"/>
          <c:order val="0"/>
          <c:tx>
            <c:v>Paplašinošais pieprasījums</c:v>
          </c:tx>
          <c:spPr>
            <a:solidFill>
              <a:schemeClr val="tx2"/>
            </a:solidFill>
            <a:ln>
              <a:noFill/>
            </a:ln>
            <a:effectLst/>
          </c:spPr>
          <c:invertIfNegative val="0"/>
          <c:cat>
            <c:strRef>
              <c:f>Sheet2!$A$7:$A$15</c:f>
              <c:strCache>
                <c:ptCount val="9"/>
                <c:pt idx="0">
                  <c:v>Kvalificēti lauksaimn., mežsaimn. un zivsaim. darbinieki</c:v>
                </c:pt>
                <c:pt idx="1">
                  <c:v>Vadītāji</c:v>
                </c:pt>
                <c:pt idx="2">
                  <c:v>Iekārtu un mašīnu operatori un izstrādājumu montieri</c:v>
                </c:pt>
                <c:pt idx="3">
                  <c:v>Kalpotāji</c:v>
                </c:pt>
                <c:pt idx="4">
                  <c:v>Kvalificēti strādnieki un amatnieki</c:v>
                </c:pt>
                <c:pt idx="5">
                  <c:v>Vienkāršās profesijas</c:v>
                </c:pt>
                <c:pt idx="6">
                  <c:v>Pakalpojumu untirdzniecības darbinieki</c:v>
                </c:pt>
                <c:pt idx="7">
                  <c:v>Speciālisti</c:v>
                </c:pt>
                <c:pt idx="8">
                  <c:v>Vecākie speciālisti</c:v>
                </c:pt>
              </c:strCache>
            </c:strRef>
          </c:cat>
          <c:val>
            <c:numRef>
              <c:f>Sheet2!$B$7:$B$15</c:f>
              <c:numCache>
                <c:formatCode>###\ ###\ ###\ ##0;\-###\ ###\ ###\ ##0;\:</c:formatCode>
                <c:ptCount val="9"/>
                <c:pt idx="0">
                  <c:v>-2112.2423226180699</c:v>
                </c:pt>
                <c:pt idx="1">
                  <c:v>1274.5932179546401</c:v>
                </c:pt>
                <c:pt idx="2">
                  <c:v>110.275551915645</c:v>
                </c:pt>
                <c:pt idx="3">
                  <c:v>-448.88540055072298</c:v>
                </c:pt>
                <c:pt idx="4">
                  <c:v>-866.46880549311697</c:v>
                </c:pt>
                <c:pt idx="5">
                  <c:v>733.45126463658505</c:v>
                </c:pt>
                <c:pt idx="6">
                  <c:v>1715.7374647962899</c:v>
                </c:pt>
                <c:pt idx="7">
                  <c:v>3912.78107749213</c:v>
                </c:pt>
                <c:pt idx="8">
                  <c:v>4836.3099520955202</c:v>
                </c:pt>
              </c:numCache>
            </c:numRef>
          </c:val>
          <c:extLst>
            <c:ext xmlns:c16="http://schemas.microsoft.com/office/drawing/2014/chart" uri="{C3380CC4-5D6E-409C-BE32-E72D297353CC}">
              <c16:uniqueId val="{00000000-9622-423E-A3CB-8896D93558BE}"/>
            </c:ext>
          </c:extLst>
        </c:ser>
        <c:ser>
          <c:idx val="1"/>
          <c:order val="1"/>
          <c:tx>
            <c:v>Aizvietojošais pieprasījums</c:v>
          </c:tx>
          <c:spPr>
            <a:solidFill>
              <a:schemeClr val="accent2"/>
            </a:solidFill>
            <a:ln>
              <a:noFill/>
            </a:ln>
            <a:effectLst/>
          </c:spPr>
          <c:invertIfNegative val="0"/>
          <c:cat>
            <c:strRef>
              <c:f>Sheet2!$A$7:$A$15</c:f>
              <c:strCache>
                <c:ptCount val="9"/>
                <c:pt idx="0">
                  <c:v>Kvalificēti lauksaimn., mežsaimn. un zivsaim. darbinieki</c:v>
                </c:pt>
                <c:pt idx="1">
                  <c:v>Vadītāji</c:v>
                </c:pt>
                <c:pt idx="2">
                  <c:v>Iekārtu un mašīnu operatori un izstrādājumu montieri</c:v>
                </c:pt>
                <c:pt idx="3">
                  <c:v>Kalpotāji</c:v>
                </c:pt>
                <c:pt idx="4">
                  <c:v>Kvalificēti strādnieki un amatnieki</c:v>
                </c:pt>
                <c:pt idx="5">
                  <c:v>Vienkāršās profesijas</c:v>
                </c:pt>
                <c:pt idx="6">
                  <c:v>Pakalpojumu untirdzniecības darbinieki</c:v>
                </c:pt>
                <c:pt idx="7">
                  <c:v>Speciālisti</c:v>
                </c:pt>
                <c:pt idx="8">
                  <c:v>Vecākie speciālisti</c:v>
                </c:pt>
              </c:strCache>
            </c:strRef>
          </c:cat>
          <c:val>
            <c:numRef>
              <c:f>Sheet2!$C$7:$C$15</c:f>
              <c:numCache>
                <c:formatCode>###\ ###\ ###\ ##0;\-###\ ###\ ###\ ##0;\:</c:formatCode>
                <c:ptCount val="9"/>
                <c:pt idx="0">
                  <c:v>4444.9024494117102</c:v>
                </c:pt>
                <c:pt idx="1">
                  <c:v>5827.2097042236601</c:v>
                </c:pt>
                <c:pt idx="2">
                  <c:v>7417.2941944078802</c:v>
                </c:pt>
                <c:pt idx="3">
                  <c:v>9215.3770671690199</c:v>
                </c:pt>
                <c:pt idx="4">
                  <c:v>10782.345591302301</c:v>
                </c:pt>
                <c:pt idx="5">
                  <c:v>10694.544762137501</c:v>
                </c:pt>
                <c:pt idx="6">
                  <c:v>16406.0209015736</c:v>
                </c:pt>
                <c:pt idx="7">
                  <c:v>16716.636823651501</c:v>
                </c:pt>
                <c:pt idx="8">
                  <c:v>19175.294648316001</c:v>
                </c:pt>
              </c:numCache>
            </c:numRef>
          </c:val>
          <c:extLst>
            <c:ext xmlns:c16="http://schemas.microsoft.com/office/drawing/2014/chart" uri="{C3380CC4-5D6E-409C-BE32-E72D297353CC}">
              <c16:uniqueId val="{00000001-9622-423E-A3CB-8896D93558BE}"/>
            </c:ext>
          </c:extLst>
        </c:ser>
        <c:dLbls>
          <c:showLegendKey val="0"/>
          <c:showVal val="0"/>
          <c:showCatName val="0"/>
          <c:showSerName val="0"/>
          <c:showPercent val="0"/>
          <c:showBubbleSize val="0"/>
        </c:dLbls>
        <c:gapWidth val="67"/>
        <c:overlap val="100"/>
        <c:axId val="1508280447"/>
        <c:axId val="1508265055"/>
      </c:barChart>
      <c:catAx>
        <c:axId val="1508280447"/>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65055"/>
        <c:crosses val="autoZero"/>
        <c:auto val="1"/>
        <c:lblAlgn val="ctr"/>
        <c:lblOffset val="100"/>
        <c:noMultiLvlLbl val="0"/>
      </c:catAx>
      <c:valAx>
        <c:axId val="1508265055"/>
        <c:scaling>
          <c:orientation val="minMax"/>
          <c:max val="2500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80447"/>
        <c:crosses val="autoZero"/>
        <c:crossBetween val="between"/>
        <c:dispUnits>
          <c:builtInUnit val="thousands"/>
        </c:dispUnits>
      </c:valAx>
      <c:spPr>
        <a:noFill/>
        <a:ln>
          <a:noFill/>
        </a:ln>
        <a:effectLst/>
      </c:spPr>
    </c:plotArea>
    <c:legend>
      <c:legendPos val="b"/>
      <c:layout>
        <c:manualLayout>
          <c:xMode val="edge"/>
          <c:yMode val="edge"/>
          <c:x val="0.70606024043047966"/>
          <c:y val="0.6642095415509226"/>
          <c:w val="0.28735062069396539"/>
          <c:h val="0.1719194332005685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7794841521326"/>
          <c:y val="3.5195299205652807E-2"/>
          <c:w val="0.8803017649254703"/>
          <c:h val="0.85877862595420063"/>
        </c:manualLayout>
      </c:layout>
      <c:barChart>
        <c:barDir val="col"/>
        <c:grouping val="clustered"/>
        <c:varyColors val="0"/>
        <c:ser>
          <c:idx val="2"/>
          <c:order val="0"/>
          <c:tx>
            <c:strRef>
              <c:f>Sheet1!$A$7</c:f>
              <c:strCache>
                <c:ptCount val="1"/>
              </c:strCache>
            </c:strRef>
          </c:tx>
          <c:spPr>
            <a:solidFill>
              <a:srgbClr val="C0504D"/>
            </a:solidFill>
            <a:ln w="3175">
              <a:noFill/>
              <a:prstDash val="solid"/>
            </a:ln>
          </c:spPr>
          <c:invertIfNegative val="0"/>
          <c:dPt>
            <c:idx val="0"/>
            <c:invertIfNegative val="0"/>
            <c:bubble3D val="0"/>
            <c:spPr>
              <a:solidFill>
                <a:srgbClr val="C0504D"/>
              </a:solidFill>
              <a:ln w="3175">
                <a:noFill/>
                <a:prstDash val="solid"/>
              </a:ln>
            </c:spPr>
            <c:extLst>
              <c:ext xmlns:c16="http://schemas.microsoft.com/office/drawing/2014/chart" uri="{C3380CC4-5D6E-409C-BE32-E72D297353CC}">
                <c16:uniqueId val="{00000001-F342-48BE-A4F3-7405963CDB2D}"/>
              </c:ext>
            </c:extLst>
          </c:dPt>
          <c:dPt>
            <c:idx val="1"/>
            <c:invertIfNegative val="0"/>
            <c:bubble3D val="0"/>
            <c:extLst>
              <c:ext xmlns:c16="http://schemas.microsoft.com/office/drawing/2014/chart" uri="{C3380CC4-5D6E-409C-BE32-E72D297353CC}">
                <c16:uniqueId val="{00000002-F342-48BE-A4F3-7405963CDB2D}"/>
              </c:ext>
            </c:extLst>
          </c:dPt>
          <c:dPt>
            <c:idx val="2"/>
            <c:invertIfNegative val="0"/>
            <c:bubble3D val="0"/>
            <c:extLst>
              <c:ext xmlns:c16="http://schemas.microsoft.com/office/drawing/2014/chart" uri="{C3380CC4-5D6E-409C-BE32-E72D297353CC}">
                <c16:uniqueId val="{00000003-F342-48BE-A4F3-7405963CDB2D}"/>
              </c:ext>
            </c:extLst>
          </c:dPt>
          <c:dPt>
            <c:idx val="3"/>
            <c:invertIfNegative val="0"/>
            <c:bubble3D val="0"/>
            <c:extLst>
              <c:ext xmlns:c16="http://schemas.microsoft.com/office/drawing/2014/chart" uri="{C3380CC4-5D6E-409C-BE32-E72D297353CC}">
                <c16:uniqueId val="{00000004-F342-48BE-A4F3-7405963CDB2D}"/>
              </c:ext>
            </c:extLst>
          </c:dPt>
          <c:dLbls>
            <c:dLbl>
              <c:idx val="3"/>
              <c:layout>
                <c:manualLayout>
                  <c:x val="3.0307824883775377E-3"/>
                  <c:y val="1.8150246886232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42-48BE-A4F3-7405963CDB2D}"/>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Sheet1!$B$6:$E$6</c:f>
              <c:numCache>
                <c:formatCode>General</c:formatCode>
                <c:ptCount val="4"/>
                <c:pt idx="0">
                  <c:v>2021</c:v>
                </c:pt>
                <c:pt idx="1">
                  <c:v>2022</c:v>
                </c:pt>
                <c:pt idx="2">
                  <c:v>2030</c:v>
                </c:pt>
                <c:pt idx="3">
                  <c:v>2040</c:v>
                </c:pt>
              </c:numCache>
            </c:numRef>
          </c:cat>
          <c:val>
            <c:numRef>
              <c:f>Sheet1!$B$7:$E$7</c:f>
              <c:numCache>
                <c:formatCode>0</c:formatCode>
                <c:ptCount val="4"/>
                <c:pt idx="0">
                  <c:v>864</c:v>
                </c:pt>
                <c:pt idx="1">
                  <c:v>872</c:v>
                </c:pt>
                <c:pt idx="2">
                  <c:v>890</c:v>
                </c:pt>
                <c:pt idx="3">
                  <c:v>879</c:v>
                </c:pt>
              </c:numCache>
            </c:numRef>
          </c:val>
          <c:extLst>
            <c:ext xmlns:c16="http://schemas.microsoft.com/office/drawing/2014/chart" uri="{C3380CC4-5D6E-409C-BE32-E72D297353CC}">
              <c16:uniqueId val="{00000005-F342-48BE-A4F3-7405963CDB2D}"/>
            </c:ext>
          </c:extLst>
        </c:ser>
        <c:dLbls>
          <c:showLegendKey val="0"/>
          <c:showVal val="1"/>
          <c:showCatName val="0"/>
          <c:showSerName val="0"/>
          <c:showPercent val="0"/>
          <c:showBubbleSize val="0"/>
        </c:dLbls>
        <c:gapWidth val="80"/>
        <c:axId val="652745672"/>
        <c:axId val="652737832"/>
      </c:barChart>
      <c:catAx>
        <c:axId val="652745672"/>
        <c:scaling>
          <c:orientation val="minMax"/>
        </c:scaling>
        <c:delete val="0"/>
        <c:axPos val="b"/>
        <c:numFmt formatCode="General" sourceLinked="1"/>
        <c:majorTickMark val="out"/>
        <c:minorTickMark val="none"/>
        <c:tickLblPos val="nextTo"/>
        <c:spPr>
          <a:ln w="3175"/>
        </c:spPr>
        <c:txPr>
          <a:bodyPr rot="0" vert="horz"/>
          <a:lstStyle/>
          <a:p>
            <a:pPr>
              <a:defRPr/>
            </a:pPr>
            <a:endParaRPr lang="lv-LV"/>
          </a:p>
        </c:txPr>
        <c:crossAx val="652737832"/>
        <c:crosses val="autoZero"/>
        <c:auto val="1"/>
        <c:lblAlgn val="ctr"/>
        <c:lblOffset val="100"/>
        <c:tickLblSkip val="1"/>
        <c:tickMarkSkip val="1"/>
        <c:noMultiLvlLbl val="0"/>
      </c:catAx>
      <c:valAx>
        <c:axId val="652737832"/>
        <c:scaling>
          <c:orientation val="minMax"/>
          <c:max val="920"/>
          <c:min val="800"/>
        </c:scaling>
        <c:delete val="0"/>
        <c:axPos val="l"/>
        <c:numFmt formatCode="0" sourceLinked="0"/>
        <c:majorTickMark val="out"/>
        <c:minorTickMark val="none"/>
        <c:tickLblPos val="nextTo"/>
        <c:spPr>
          <a:ln>
            <a:noFill/>
          </a:ln>
        </c:spPr>
        <c:txPr>
          <a:bodyPr rot="0" vert="horz"/>
          <a:lstStyle/>
          <a:p>
            <a:pPr>
              <a:defRPr/>
            </a:pPr>
            <a:endParaRPr lang="lv-LV"/>
          </a:p>
        </c:txPr>
        <c:crossAx val="652745672"/>
        <c:crosses val="autoZero"/>
        <c:crossBetween val="between"/>
        <c:majorUnit val="30"/>
      </c:valAx>
      <c:spPr>
        <a:solidFill>
          <a:srgbClr val="FFFFFF"/>
        </a:solidFill>
        <a:ln w="12689">
          <a:noFill/>
          <a:prstDash val="solid"/>
        </a:ln>
      </c:spPr>
    </c:plotArea>
    <c:plotVisOnly val="1"/>
    <c:dispBlanksAs val="gap"/>
    <c:showDLblsOverMax val="0"/>
  </c:chart>
  <c:spPr>
    <a:noFill/>
    <a:ln>
      <a:noFill/>
    </a:ln>
  </c:spPr>
  <c:txPr>
    <a:bodyPr/>
    <a:lstStyle/>
    <a:p>
      <a:pPr>
        <a:defRPr sz="800" b="0" i="0" u="none" strike="noStrike" baseline="0">
          <a:solidFill>
            <a:srgbClr val="000000"/>
          </a:solidFill>
          <a:latin typeface="Segoe UI Light" panose="020B0502040204020203" pitchFamily="34" charset="0"/>
          <a:ea typeface="Arial"/>
          <a:cs typeface="Segoe UI Semilight" panose="020B0402040204020203" pitchFamily="34" charset="0"/>
        </a:defRPr>
      </a:pPr>
      <a:endParaRPr lang="lv-LV"/>
    </a:p>
  </c:txPr>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629851808766465E-2"/>
          <c:y val="2.4760710881289089E-2"/>
          <c:w val="0.9414079469393779"/>
          <c:h val="0.83288611269959967"/>
        </c:manualLayout>
      </c:layout>
      <c:scatterChart>
        <c:scatterStyle val="lineMarker"/>
        <c:varyColors val="0"/>
        <c:ser>
          <c:idx val="0"/>
          <c:order val="0"/>
          <c:tx>
            <c:strRef>
              <c:f>Sheet1!$B$1</c:f>
              <c:strCache>
                <c:ptCount val="1"/>
                <c:pt idx="0">
                  <c:v>Y-Values</c:v>
                </c:pt>
              </c:strCache>
            </c:strRef>
          </c:tx>
          <c:spPr>
            <a:ln w="19050" cap="rnd">
              <a:noFill/>
              <a:round/>
            </a:ln>
            <a:effectLst/>
          </c:spPr>
          <c:marker>
            <c:symbol val="circle"/>
            <c:size val="5"/>
            <c:spPr>
              <a:solidFill>
                <a:schemeClr val="accent4">
                  <a:lumMod val="75000"/>
                </a:schemeClr>
              </a:solidFill>
              <a:ln w="9525">
                <a:noFill/>
              </a:ln>
              <a:effectLst/>
            </c:spPr>
          </c:marker>
          <c:dLbls>
            <c:dLbl>
              <c:idx val="0"/>
              <c:tx>
                <c:rich>
                  <a:bodyPr/>
                  <a:lstStyle/>
                  <a:p>
                    <a:r>
                      <a:rPr lang="en-US"/>
                      <a:t>Ēdienu gatavošanas palīgi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28A-4DB9-88F2-61E9E1EA6665}"/>
                </c:ext>
              </c:extLst>
            </c:dLbl>
            <c:dLbl>
              <c:idx val="1"/>
              <c:tx>
                <c:rich>
                  <a:bodyPr/>
                  <a:lstStyle/>
                  <a:p>
                    <a:r>
                      <a:rPr lang="en-US"/>
                      <a:t>Tirdzniecības darbinieki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28A-4DB9-88F2-61E9E1EA6665}"/>
                </c:ext>
              </c:extLst>
            </c:dLbl>
            <c:dLbl>
              <c:idx val="2"/>
              <c:tx>
                <c:rich>
                  <a:bodyPr/>
                  <a:lstStyle/>
                  <a:p>
                    <a:r>
                      <a:rPr lang="en-US"/>
                      <a:t>Veselības aprūpes speciāisti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28A-4DB9-88F2-61E9E1EA6665}"/>
                </c:ext>
              </c:extLst>
            </c:dLbl>
            <c:dLbl>
              <c:idx val="3"/>
              <c:tx>
                <c:rich>
                  <a:bodyPr/>
                  <a:lstStyle/>
                  <a:p>
                    <a:r>
                      <a:rPr lang="en-US"/>
                      <a:t>Montietri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28A-4DB9-88F2-61E9E1EA6665}"/>
                </c:ext>
              </c:extLst>
            </c:dLbl>
            <c:dLbl>
              <c:idx val="4"/>
              <c:layout>
                <c:manualLayout>
                  <c:x val="-2.3148148148148147E-3"/>
                  <c:y val="3.968253968253968E-3"/>
                </c:manualLayout>
              </c:layout>
              <c:tx>
                <c:rich>
                  <a:bodyPr/>
                  <a:lstStyle/>
                  <a:p>
                    <a:r>
                      <a:rPr lang="en-US"/>
                      <a:t>Klientu apkalpošanas</a:t>
                    </a:r>
                    <a:r>
                      <a:rPr lang="en-US" baseline="0"/>
                      <a:t> darbinieki</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28A-4DB9-88F2-61E9E1EA6665}"/>
                </c:ext>
              </c:extLst>
            </c:dLbl>
            <c:dLbl>
              <c:idx val="5"/>
              <c:tx>
                <c:rich>
                  <a:bodyPr/>
                  <a:lstStyle/>
                  <a:p>
                    <a:r>
                      <a:rPr lang="en-US"/>
                      <a:t>Viesmīlības,</a:t>
                    </a:r>
                    <a:r>
                      <a:rPr lang="en-US" baseline="0"/>
                      <a:t> tirdzniecības un citu pakalpojumu jomu vadītāji</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28A-4DB9-88F2-61E9E1EA6665}"/>
                </c:ext>
              </c:extLst>
            </c:dLbl>
            <c:dLbl>
              <c:idx val="6"/>
              <c:tx>
                <c:rich>
                  <a:bodyPr/>
                  <a:lstStyle/>
                  <a:p>
                    <a:r>
                      <a:rPr lang="en-US"/>
                      <a:t>Apkopēji un palīgi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28A-4DB9-88F2-61E9E1EA6665}"/>
                </c:ext>
              </c:extLst>
            </c:dLbl>
            <c:dLbl>
              <c:idx val="7"/>
              <c:tx>
                <c:rich>
                  <a:bodyPr/>
                  <a:lstStyle/>
                  <a:p>
                    <a:r>
                      <a:rPr lang="en-US"/>
                      <a:t>Veselības jomas vecākie speciālisti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28A-4DB9-88F2-61E9E1EA6665}"/>
                </c:ext>
              </c:extLst>
            </c:dLbl>
            <c:dLbl>
              <c:idx val="8"/>
              <c:tx>
                <c:rich>
                  <a:bodyPr/>
                  <a:lstStyle/>
                  <a:p>
                    <a:r>
                      <a:rPr lang="en-US" sz="600"/>
                      <a:t>Administratīvie vadītāji un komercdirektori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528A-4DB9-88F2-61E9E1EA6665}"/>
                </c:ext>
              </c:extLst>
            </c:dLbl>
            <c:dLbl>
              <c:idx val="9"/>
              <c:tx>
                <c:rich>
                  <a:bodyPr/>
                  <a:lstStyle/>
                  <a:p>
                    <a:r>
                      <a:rPr lang="en-US"/>
                      <a:t>Ieguves rūpniecības, būvniecības, apstrādes rūpniecības un transporta darbinieki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28A-4DB9-88F2-61E9E1EA6665}"/>
                </c:ext>
              </c:extLst>
            </c:dLbl>
            <c:dLbl>
              <c:idx val="10"/>
              <c:tx>
                <c:rich>
                  <a:bodyPr/>
                  <a:lstStyle/>
                  <a:p>
                    <a:r>
                      <a:rPr lang="en-US"/>
                      <a:t>Informācijas un komunikāciju jomas speciālisti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528A-4DB9-88F2-61E9E1EA6665}"/>
                </c:ext>
              </c:extLst>
            </c:dLbl>
            <c:dLbl>
              <c:idx val="11"/>
              <c:tx>
                <c:rich>
                  <a:bodyPr/>
                  <a:lstStyle/>
                  <a:p>
                    <a:r>
                      <a:rPr lang="en-US"/>
                      <a:t>Likumdevēji,</a:t>
                    </a:r>
                    <a:r>
                      <a:rPr lang="en-US" baseline="0"/>
                      <a:t> amatpersonas un vadītāji</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528A-4DB9-88F2-61E9E1EA6665}"/>
                </c:ext>
              </c:extLst>
            </c:dLbl>
            <c:dLbl>
              <c:idx val="12"/>
              <c:tx>
                <c:rich>
                  <a:bodyPr/>
                  <a:lstStyle/>
                  <a:p>
                    <a:r>
                      <a:rPr lang="en-US"/>
                      <a:t>Šoferi un mobilo iekārtu operatori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528A-4DB9-88F2-61E9E1EA6665}"/>
                </c:ext>
              </c:extLst>
            </c:dLbl>
            <c:dLbl>
              <c:idx val="13"/>
              <c:tx>
                <c:rich>
                  <a:bodyPr/>
                  <a:lstStyle/>
                  <a:p>
                    <a:r>
                      <a:rPr lang="en-US"/>
                      <a:t>Personīgās aprūpes darbinieki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528A-4DB9-88F2-61E9E1EA6665}"/>
                </c:ext>
              </c:extLst>
            </c:dLbl>
            <c:dLbl>
              <c:idx val="14"/>
              <c:tx>
                <c:rich>
                  <a:bodyPr/>
                  <a:lstStyle/>
                  <a:p>
                    <a:r>
                      <a:rPr lang="en-US"/>
                      <a:t>Izglītības jomas speciālisti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528A-4DB9-88F2-61E9E1EA6665}"/>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Sheet1!$A$2:$A$16</c:f>
              <c:numCache>
                <c:formatCode>General</c:formatCode>
                <c:ptCount val="15"/>
                <c:pt idx="0">
                  <c:v>65</c:v>
                </c:pt>
                <c:pt idx="1">
                  <c:v>53</c:v>
                </c:pt>
                <c:pt idx="2">
                  <c:v>35</c:v>
                </c:pt>
                <c:pt idx="3">
                  <c:v>59</c:v>
                </c:pt>
                <c:pt idx="4">
                  <c:v>49</c:v>
                </c:pt>
                <c:pt idx="5">
                  <c:v>34</c:v>
                </c:pt>
                <c:pt idx="6">
                  <c:v>59</c:v>
                </c:pt>
                <c:pt idx="7">
                  <c:v>45</c:v>
                </c:pt>
                <c:pt idx="8">
                  <c:v>33</c:v>
                </c:pt>
                <c:pt idx="9">
                  <c:v>59</c:v>
                </c:pt>
                <c:pt idx="10">
                  <c:v>44</c:v>
                </c:pt>
                <c:pt idx="11">
                  <c:v>30</c:v>
                </c:pt>
                <c:pt idx="12">
                  <c:v>58</c:v>
                </c:pt>
                <c:pt idx="13">
                  <c:v>43</c:v>
                </c:pt>
                <c:pt idx="14">
                  <c:v>28</c:v>
                </c:pt>
              </c:numCache>
            </c:numRef>
          </c:xVal>
          <c:yVal>
            <c:numRef>
              <c:f>Sheet1!$B$2:$B$16</c:f>
              <c:numCache>
                <c:formatCode>General</c:formatCode>
                <c:ptCount val="15"/>
                <c:pt idx="0">
                  <c:v>100</c:v>
                </c:pt>
                <c:pt idx="1">
                  <c:v>100</c:v>
                </c:pt>
                <c:pt idx="2">
                  <c:v>100</c:v>
                </c:pt>
                <c:pt idx="3">
                  <c:v>80</c:v>
                </c:pt>
                <c:pt idx="4">
                  <c:v>80</c:v>
                </c:pt>
                <c:pt idx="5">
                  <c:v>80</c:v>
                </c:pt>
                <c:pt idx="6">
                  <c:v>60</c:v>
                </c:pt>
                <c:pt idx="7">
                  <c:v>60</c:v>
                </c:pt>
                <c:pt idx="8">
                  <c:v>60</c:v>
                </c:pt>
                <c:pt idx="9">
                  <c:v>40</c:v>
                </c:pt>
                <c:pt idx="10">
                  <c:v>40</c:v>
                </c:pt>
                <c:pt idx="11">
                  <c:v>40</c:v>
                </c:pt>
                <c:pt idx="12">
                  <c:v>20</c:v>
                </c:pt>
                <c:pt idx="13">
                  <c:v>20</c:v>
                </c:pt>
                <c:pt idx="14">
                  <c:v>20</c:v>
                </c:pt>
              </c:numCache>
            </c:numRef>
          </c:yVal>
          <c:smooth val="0"/>
          <c:extLst>
            <c:ext xmlns:c16="http://schemas.microsoft.com/office/drawing/2014/chart" uri="{C3380CC4-5D6E-409C-BE32-E72D297353CC}">
              <c16:uniqueId val="{0000000F-528A-4DB9-88F2-61E9E1EA6665}"/>
            </c:ext>
          </c:extLst>
        </c:ser>
        <c:dLbls>
          <c:showLegendKey val="0"/>
          <c:showVal val="0"/>
          <c:showCatName val="0"/>
          <c:showSerName val="0"/>
          <c:showPercent val="0"/>
          <c:showBubbleSize val="0"/>
        </c:dLbls>
        <c:axId val="652743320"/>
        <c:axId val="652744888"/>
      </c:scatterChart>
      <c:valAx>
        <c:axId val="652743320"/>
        <c:scaling>
          <c:orientation val="minMax"/>
          <c:max val="80"/>
          <c:min val="20"/>
        </c:scaling>
        <c:delete val="0"/>
        <c:axPos val="b"/>
        <c:majorGridlines>
          <c:spPr>
            <a:ln w="3175" cap="flat" cmpd="sng" algn="ctr">
              <a:solidFill>
                <a:schemeClr val="bg1">
                  <a:lumMod val="65000"/>
                </a:schemeClr>
              </a:solidFill>
              <a:round/>
            </a:ln>
            <a:effectLst/>
          </c:spPr>
        </c:majorGridlines>
        <c:title>
          <c:tx>
            <c:rich>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r>
                  <a:rPr lang="lv-LV"/>
                  <a:t>Vidējā automatizācijas varbūtība pēc profesiju tipa, %</a:t>
                </a:r>
                <a:endParaRPr lang="en-GB"/>
              </a:p>
            </c:rich>
          </c:tx>
          <c:layout>
            <c:manualLayout>
              <c:xMode val="edge"/>
              <c:yMode val="edge"/>
              <c:x val="0.28975543117351293"/>
              <c:y val="0.9308926562751084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title>
        <c:numFmt formatCode="General" sourceLinked="1"/>
        <c:majorTickMark val="none"/>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44888"/>
        <c:crosses val="autoZero"/>
        <c:crossBetween val="midCat"/>
        <c:majorUnit val="10"/>
      </c:valAx>
      <c:valAx>
        <c:axId val="652744888"/>
        <c:scaling>
          <c:orientation val="minMax"/>
          <c:max val="120"/>
        </c:scaling>
        <c:delete val="1"/>
        <c:axPos val="l"/>
        <c:majorGridlines>
          <c:spPr>
            <a:ln w="3175" cap="flat" cmpd="sng" algn="ctr">
              <a:solidFill>
                <a:schemeClr val="bg1">
                  <a:lumMod val="65000"/>
                </a:schemeClr>
              </a:solidFill>
              <a:round/>
            </a:ln>
            <a:effectLst/>
          </c:spPr>
        </c:majorGridlines>
        <c:numFmt formatCode="General" sourceLinked="1"/>
        <c:majorTickMark val="none"/>
        <c:minorTickMark val="none"/>
        <c:tickLblPos val="nextTo"/>
        <c:crossAx val="652743320"/>
        <c:crosses val="autoZero"/>
        <c:crossBetween val="midCat"/>
        <c:majorUnit val="6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957027146689354"/>
          <c:y val="2.646669607410675E-2"/>
          <c:w val="0.53617394021998632"/>
          <c:h val="0.94706660785178653"/>
        </c:manualLayout>
      </c:layout>
      <c:barChart>
        <c:barDir val="bar"/>
        <c:grouping val="clustered"/>
        <c:varyColors val="0"/>
        <c:ser>
          <c:idx val="0"/>
          <c:order val="0"/>
          <c:spPr>
            <a:solidFill>
              <a:schemeClr val="tx2"/>
            </a:solidFill>
            <a:ln>
              <a:noFill/>
            </a:ln>
            <a:effectLst/>
          </c:spPr>
          <c:invertIfNegative val="0"/>
          <c:dLbls>
            <c:numFmt formatCode="0&quot;%&quot;"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Sheet1!$A$1:$A$9</c:f>
              <c:strCache>
                <c:ptCount val="9"/>
                <c:pt idx="0">
                  <c:v>Vadītāji</c:v>
                </c:pt>
                <c:pt idx="1">
                  <c:v>Kalpotāji</c:v>
                </c:pt>
                <c:pt idx="2">
                  <c:v>Speciālisti</c:v>
                </c:pt>
                <c:pt idx="3">
                  <c:v>Vecākie speciālisti</c:v>
                </c:pt>
                <c:pt idx="4">
                  <c:v>Pakalpojumu un tirdzniecības darbinieki</c:v>
                </c:pt>
                <c:pt idx="5">
                  <c:v>Vienkāršās profesijas</c:v>
                </c:pt>
                <c:pt idx="6">
                  <c:v>Kvalificēti lauksaimniecības, mežsaimniecības un zivsaimniecības darbinieki</c:v>
                </c:pt>
                <c:pt idx="7">
                  <c:v>Iekārtu un mašīnu operatori un izstrādājumu montieri</c:v>
                </c:pt>
                <c:pt idx="8">
                  <c:v>Kvalificēti strādnieki un amatnieki</c:v>
                </c:pt>
              </c:strCache>
            </c:strRef>
          </c:cat>
          <c:val>
            <c:numRef>
              <c:f>Sheet1!$B$1:$B$9</c:f>
              <c:numCache>
                <c:formatCode>General</c:formatCode>
                <c:ptCount val="9"/>
                <c:pt idx="0">
                  <c:v>3</c:v>
                </c:pt>
                <c:pt idx="1">
                  <c:v>5</c:v>
                </c:pt>
                <c:pt idx="2">
                  <c:v>6</c:v>
                </c:pt>
                <c:pt idx="3">
                  <c:v>6</c:v>
                </c:pt>
                <c:pt idx="4">
                  <c:v>8</c:v>
                </c:pt>
                <c:pt idx="5">
                  <c:v>12</c:v>
                </c:pt>
                <c:pt idx="6">
                  <c:v>12</c:v>
                </c:pt>
                <c:pt idx="7">
                  <c:v>15</c:v>
                </c:pt>
                <c:pt idx="8">
                  <c:v>15</c:v>
                </c:pt>
              </c:numCache>
            </c:numRef>
          </c:val>
          <c:extLst>
            <c:ext xmlns:c16="http://schemas.microsoft.com/office/drawing/2014/chart" uri="{C3380CC4-5D6E-409C-BE32-E72D297353CC}">
              <c16:uniqueId val="{00000000-3767-4696-B91A-8384BF81A5E9}"/>
            </c:ext>
          </c:extLst>
        </c:ser>
        <c:dLbls>
          <c:showLegendKey val="0"/>
          <c:showVal val="0"/>
          <c:showCatName val="0"/>
          <c:showSerName val="0"/>
          <c:showPercent val="0"/>
          <c:showBubbleSize val="0"/>
        </c:dLbls>
        <c:gapWidth val="52"/>
        <c:axId val="541765168"/>
        <c:axId val="541806352"/>
      </c:barChart>
      <c:catAx>
        <c:axId val="54176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541806352"/>
        <c:crosses val="autoZero"/>
        <c:auto val="1"/>
        <c:lblAlgn val="ctr"/>
        <c:lblOffset val="100"/>
        <c:noMultiLvlLbl val="0"/>
      </c:catAx>
      <c:valAx>
        <c:axId val="541806352"/>
        <c:scaling>
          <c:orientation val="minMax"/>
        </c:scaling>
        <c:delete val="1"/>
        <c:axPos val="b"/>
        <c:numFmt formatCode="General" sourceLinked="1"/>
        <c:majorTickMark val="none"/>
        <c:minorTickMark val="none"/>
        <c:tickLblPos val="nextTo"/>
        <c:crossAx val="541765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r>
              <a:rPr lang="lv-LV" sz="800" b="1">
                <a:solidFill>
                  <a:sysClr val="windowText" lastClr="000000"/>
                </a:solidFill>
              </a:rPr>
              <a:t>Paplašinošais pieprasījums </a:t>
            </a:r>
          </a:p>
        </c:rich>
      </c:tx>
      <c:layout>
        <c:manualLayout>
          <c:xMode val="edge"/>
          <c:yMode val="edge"/>
          <c:x val="0.33409579783388321"/>
          <c:y val="4.5362383247680146E-2"/>
        </c:manualLayout>
      </c:layout>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19756795142926262"/>
          <c:y val="0.22564967937900776"/>
          <c:w val="0.74792263330810116"/>
          <c:h val="0.54991403158641616"/>
        </c:manualLayout>
      </c:layout>
      <c:barChart>
        <c:barDir val="bar"/>
        <c:grouping val="percentStacked"/>
        <c:varyColors val="0"/>
        <c:ser>
          <c:idx val="0"/>
          <c:order val="0"/>
          <c:tx>
            <c:strRef>
              <c:f>Sheet1!$B$1</c:f>
              <c:strCache>
                <c:ptCount val="1"/>
                <c:pt idx="0">
                  <c:v>automatizējami darbi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Zema</c:v>
                </c:pt>
                <c:pt idx="1">
                  <c:v>Vidēja</c:v>
                </c:pt>
                <c:pt idx="2">
                  <c:v>Augsta</c:v>
                </c:pt>
              </c:strCache>
            </c:strRef>
          </c:cat>
          <c:val>
            <c:numRef>
              <c:f>Sheet1!$B$2:$B$4</c:f>
              <c:numCache>
                <c:formatCode>General</c:formatCode>
                <c:ptCount val="3"/>
                <c:pt idx="0">
                  <c:v>77</c:v>
                </c:pt>
                <c:pt idx="1">
                  <c:v>71</c:v>
                </c:pt>
                <c:pt idx="2">
                  <c:v>38</c:v>
                </c:pt>
              </c:numCache>
            </c:numRef>
          </c:val>
          <c:extLst>
            <c:ext xmlns:c16="http://schemas.microsoft.com/office/drawing/2014/chart" uri="{C3380CC4-5D6E-409C-BE32-E72D297353CC}">
              <c16:uniqueId val="{00000000-6C80-4A36-8EBB-4F45C594CF0C}"/>
            </c:ext>
          </c:extLst>
        </c:ser>
        <c:ser>
          <c:idx val="1"/>
          <c:order val="1"/>
          <c:tx>
            <c:strRef>
              <c:f>Sheet1!$C$1</c:f>
              <c:strCache>
                <c:ptCount val="1"/>
                <c:pt idx="0">
                  <c:v>ne-automatizējami darbi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Zema</c:v>
                </c:pt>
                <c:pt idx="1">
                  <c:v>Vidēja</c:v>
                </c:pt>
                <c:pt idx="2">
                  <c:v>Augsta</c:v>
                </c:pt>
              </c:strCache>
            </c:strRef>
          </c:cat>
          <c:val>
            <c:numRef>
              <c:f>Sheet1!$C$2:$C$4</c:f>
              <c:numCache>
                <c:formatCode>General</c:formatCode>
                <c:ptCount val="3"/>
                <c:pt idx="0">
                  <c:v>23</c:v>
                </c:pt>
                <c:pt idx="1">
                  <c:v>29</c:v>
                </c:pt>
                <c:pt idx="2">
                  <c:v>62</c:v>
                </c:pt>
              </c:numCache>
            </c:numRef>
          </c:val>
          <c:extLst>
            <c:ext xmlns:c16="http://schemas.microsoft.com/office/drawing/2014/chart" uri="{C3380CC4-5D6E-409C-BE32-E72D297353CC}">
              <c16:uniqueId val="{00000001-6C80-4A36-8EBB-4F45C594CF0C}"/>
            </c:ext>
          </c:extLst>
        </c:ser>
        <c:dLbls>
          <c:showLegendKey val="0"/>
          <c:showVal val="0"/>
          <c:showCatName val="0"/>
          <c:showSerName val="0"/>
          <c:showPercent val="0"/>
          <c:showBubbleSize val="0"/>
        </c:dLbls>
        <c:gapWidth val="50"/>
        <c:overlap val="100"/>
        <c:axId val="160494927"/>
        <c:axId val="160476207"/>
      </c:barChart>
      <c:catAx>
        <c:axId val="160494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0476207"/>
        <c:crosses val="autoZero"/>
        <c:auto val="1"/>
        <c:lblAlgn val="ctr"/>
        <c:lblOffset val="100"/>
        <c:noMultiLvlLbl val="0"/>
      </c:catAx>
      <c:valAx>
        <c:axId val="160476207"/>
        <c:scaling>
          <c:orientation val="minMax"/>
        </c:scaling>
        <c:delete val="1"/>
        <c:axPos val="b"/>
        <c:numFmt formatCode="0%" sourceLinked="1"/>
        <c:majorTickMark val="none"/>
        <c:minorTickMark val="none"/>
        <c:tickLblPos val="nextTo"/>
        <c:crossAx val="160494927"/>
        <c:crosses val="autoZero"/>
        <c:crossBetween val="between"/>
      </c:valAx>
      <c:spPr>
        <a:noFill/>
        <a:ln>
          <a:noFill/>
        </a:ln>
        <a:effectLst/>
      </c:spPr>
    </c:plotArea>
    <c:legend>
      <c:legendPos val="b"/>
      <c:layout>
        <c:manualLayout>
          <c:xMode val="edge"/>
          <c:yMode val="edge"/>
          <c:x val="0"/>
          <c:y val="0.80368800508103888"/>
          <c:w val="1"/>
          <c:h val="9.324510070603754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r>
              <a:rPr lang="lv-LV" sz="800" b="1">
                <a:solidFill>
                  <a:sysClr val="windowText" lastClr="000000"/>
                </a:solidFill>
              </a:rPr>
              <a:t>Aizvietojošais pieprasījums </a:t>
            </a:r>
          </a:p>
        </c:rich>
      </c:tx>
      <c:layout>
        <c:manualLayout>
          <c:xMode val="edge"/>
          <c:yMode val="edge"/>
          <c:x val="0.29152464735594635"/>
          <c:y val="4.5362383247680146E-2"/>
        </c:manualLayout>
      </c:layout>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lv-LV"/>
        </a:p>
      </c:txPr>
    </c:title>
    <c:autoTitleDeleted val="0"/>
    <c:plotArea>
      <c:layout>
        <c:manualLayout>
          <c:layoutTarget val="inner"/>
          <c:xMode val="edge"/>
          <c:yMode val="edge"/>
          <c:x val="0.19835429153445372"/>
          <c:y val="0.21771409964181049"/>
          <c:w val="0.74691934030634233"/>
          <c:h val="0.53969237238376788"/>
        </c:manualLayout>
      </c:layout>
      <c:barChart>
        <c:barDir val="bar"/>
        <c:grouping val="percentStacked"/>
        <c:varyColors val="0"/>
        <c:ser>
          <c:idx val="0"/>
          <c:order val="0"/>
          <c:tx>
            <c:strRef>
              <c:f>Sheet1!$B$1</c:f>
              <c:strCache>
                <c:ptCount val="1"/>
                <c:pt idx="0">
                  <c:v>automatizējami darbi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Zema</c:v>
                </c:pt>
                <c:pt idx="1">
                  <c:v>Vidēja</c:v>
                </c:pt>
                <c:pt idx="2">
                  <c:v>Augsta</c:v>
                </c:pt>
              </c:strCache>
            </c:strRef>
          </c:cat>
          <c:val>
            <c:numRef>
              <c:f>Sheet1!$B$2:$B$4</c:f>
              <c:numCache>
                <c:formatCode>General</c:formatCode>
                <c:ptCount val="3"/>
                <c:pt idx="0">
                  <c:v>75</c:v>
                </c:pt>
                <c:pt idx="1">
                  <c:v>65</c:v>
                </c:pt>
                <c:pt idx="2">
                  <c:v>30</c:v>
                </c:pt>
              </c:numCache>
            </c:numRef>
          </c:val>
          <c:extLst>
            <c:ext xmlns:c16="http://schemas.microsoft.com/office/drawing/2014/chart" uri="{C3380CC4-5D6E-409C-BE32-E72D297353CC}">
              <c16:uniqueId val="{00000000-A4E1-4D0D-ABE1-DD2CCEACD4DF}"/>
            </c:ext>
          </c:extLst>
        </c:ser>
        <c:ser>
          <c:idx val="1"/>
          <c:order val="1"/>
          <c:tx>
            <c:strRef>
              <c:f>Sheet1!$C$1</c:f>
              <c:strCache>
                <c:ptCount val="1"/>
                <c:pt idx="0">
                  <c:v>ne-automatizējami darbi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Zema</c:v>
                </c:pt>
                <c:pt idx="1">
                  <c:v>Vidēja</c:v>
                </c:pt>
                <c:pt idx="2">
                  <c:v>Augsta</c:v>
                </c:pt>
              </c:strCache>
            </c:strRef>
          </c:cat>
          <c:val>
            <c:numRef>
              <c:f>Sheet1!$C$2:$C$4</c:f>
              <c:numCache>
                <c:formatCode>General</c:formatCode>
                <c:ptCount val="3"/>
                <c:pt idx="0">
                  <c:v>25</c:v>
                </c:pt>
                <c:pt idx="1">
                  <c:v>35</c:v>
                </c:pt>
                <c:pt idx="2">
                  <c:v>62</c:v>
                </c:pt>
              </c:numCache>
            </c:numRef>
          </c:val>
          <c:extLst>
            <c:ext xmlns:c16="http://schemas.microsoft.com/office/drawing/2014/chart" uri="{C3380CC4-5D6E-409C-BE32-E72D297353CC}">
              <c16:uniqueId val="{00000001-A4E1-4D0D-ABE1-DD2CCEACD4DF}"/>
            </c:ext>
          </c:extLst>
        </c:ser>
        <c:dLbls>
          <c:showLegendKey val="0"/>
          <c:showVal val="0"/>
          <c:showCatName val="0"/>
          <c:showSerName val="0"/>
          <c:showPercent val="0"/>
          <c:showBubbleSize val="0"/>
        </c:dLbls>
        <c:gapWidth val="50"/>
        <c:overlap val="100"/>
        <c:axId val="160494927"/>
        <c:axId val="160476207"/>
      </c:barChart>
      <c:catAx>
        <c:axId val="1604949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60476207"/>
        <c:crosses val="autoZero"/>
        <c:auto val="1"/>
        <c:lblAlgn val="ctr"/>
        <c:lblOffset val="100"/>
        <c:noMultiLvlLbl val="0"/>
      </c:catAx>
      <c:valAx>
        <c:axId val="160476207"/>
        <c:scaling>
          <c:orientation val="minMax"/>
        </c:scaling>
        <c:delete val="1"/>
        <c:axPos val="b"/>
        <c:numFmt formatCode="0%" sourceLinked="1"/>
        <c:majorTickMark val="none"/>
        <c:minorTickMark val="none"/>
        <c:tickLblPos val="nextTo"/>
        <c:crossAx val="160494927"/>
        <c:crosses val="autoZero"/>
        <c:crossBetween val="between"/>
      </c:valAx>
      <c:spPr>
        <a:noFill/>
        <a:ln>
          <a:noFill/>
        </a:ln>
        <a:effectLst/>
      </c:spPr>
    </c:plotArea>
    <c:legend>
      <c:legendPos val="b"/>
      <c:layout>
        <c:manualLayout>
          <c:xMode val="edge"/>
          <c:yMode val="edge"/>
          <c:x val="0"/>
          <c:y val="0.79456433950314986"/>
          <c:w val="0.97510910016844887"/>
          <c:h val="9.935943882893574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980793686204284"/>
          <c:y val="5.72351008571481E-2"/>
          <c:w val="0.5846116854178367"/>
          <c:h val="0.86657966705210798"/>
        </c:manualLayout>
      </c:layout>
      <c:barChart>
        <c:barDir val="bar"/>
        <c:grouping val="stacked"/>
        <c:varyColors val="0"/>
        <c:ser>
          <c:idx val="0"/>
          <c:order val="0"/>
          <c:tx>
            <c:v>Paplašinošais pieprasījums</c:v>
          </c:tx>
          <c:spPr>
            <a:solidFill>
              <a:schemeClr val="tx2"/>
            </a:solidFill>
            <a:ln>
              <a:noFill/>
            </a:ln>
            <a:effectLst/>
          </c:spPr>
          <c:invertIfNegative val="0"/>
          <c:cat>
            <c:strRef>
              <c:f>Sheet2!$A$7:$A$15</c:f>
              <c:strCache>
                <c:ptCount val="9"/>
                <c:pt idx="0">
                  <c:v>Kalpotāji</c:v>
                </c:pt>
                <c:pt idx="1">
                  <c:v>Vienkāršās profesijas</c:v>
                </c:pt>
                <c:pt idx="2">
                  <c:v>Kvalificēti lauksaimniecības, mežsaimniecības darbinieki </c:v>
                </c:pt>
                <c:pt idx="3">
                  <c:v>Pakalpojumu un tirdzniecības darbinieki</c:v>
                </c:pt>
                <c:pt idx="4">
                  <c:v>Iekārtu un mašīnu operatori un izstrādājumu montieri</c:v>
                </c:pt>
                <c:pt idx="5">
                  <c:v>Kvalificēti strādnieki un amatnieki</c:v>
                </c:pt>
                <c:pt idx="6">
                  <c:v>Vadītāji</c:v>
                </c:pt>
                <c:pt idx="7">
                  <c:v>Speciālisti</c:v>
                </c:pt>
                <c:pt idx="8">
                  <c:v>Vecākie speciālisti</c:v>
                </c:pt>
              </c:strCache>
            </c:strRef>
          </c:cat>
          <c:val>
            <c:numRef>
              <c:f>Sheet2!$B$7:$B$15</c:f>
              <c:numCache>
                <c:formatCode>###\ ###\ ###\ ##0;\-###\ ###\ ###\ ##0;\:</c:formatCode>
                <c:ptCount val="9"/>
                <c:pt idx="0">
                  <c:v>-12777.564970337535</c:v>
                </c:pt>
                <c:pt idx="1">
                  <c:v>-36468.23946255527</c:v>
                </c:pt>
                <c:pt idx="2">
                  <c:v>-1976.0974101478569</c:v>
                </c:pt>
                <c:pt idx="3">
                  <c:v>-19406.037822774946</c:v>
                </c:pt>
                <c:pt idx="4">
                  <c:v>-2059.4882926597347</c:v>
                </c:pt>
                <c:pt idx="5">
                  <c:v>9125.6830043411464</c:v>
                </c:pt>
                <c:pt idx="6">
                  <c:v>13099.850403616758</c:v>
                </c:pt>
                <c:pt idx="7">
                  <c:v>30296.032273344579</c:v>
                </c:pt>
                <c:pt idx="8">
                  <c:v>31993.36971374866</c:v>
                </c:pt>
              </c:numCache>
            </c:numRef>
          </c:val>
          <c:extLst>
            <c:ext xmlns:c16="http://schemas.microsoft.com/office/drawing/2014/chart" uri="{C3380CC4-5D6E-409C-BE32-E72D297353CC}">
              <c16:uniqueId val="{00000000-A8C5-499B-AF3A-B96AE7D0D24E}"/>
            </c:ext>
          </c:extLst>
        </c:ser>
        <c:ser>
          <c:idx val="1"/>
          <c:order val="1"/>
          <c:tx>
            <c:v>Aizvietojošais pieprasījums</c:v>
          </c:tx>
          <c:spPr>
            <a:solidFill>
              <a:schemeClr val="accent2"/>
            </a:solidFill>
            <a:ln>
              <a:noFill/>
            </a:ln>
            <a:effectLst/>
          </c:spPr>
          <c:invertIfNegative val="0"/>
          <c:cat>
            <c:strRef>
              <c:f>Sheet2!$A$7:$A$15</c:f>
              <c:strCache>
                <c:ptCount val="9"/>
                <c:pt idx="0">
                  <c:v>Kalpotāji</c:v>
                </c:pt>
                <c:pt idx="1">
                  <c:v>Vienkāršās profesijas</c:v>
                </c:pt>
                <c:pt idx="2">
                  <c:v>Kvalificēti lauksaimniecības, mežsaimniecības darbinieki </c:v>
                </c:pt>
                <c:pt idx="3">
                  <c:v>Pakalpojumu un tirdzniecības darbinieki</c:v>
                </c:pt>
                <c:pt idx="4">
                  <c:v>Iekārtu un mašīnu operatori un izstrādājumu montieri</c:v>
                </c:pt>
                <c:pt idx="5">
                  <c:v>Kvalificēti strādnieki un amatnieki</c:v>
                </c:pt>
                <c:pt idx="6">
                  <c:v>Vadītāji</c:v>
                </c:pt>
                <c:pt idx="7">
                  <c:v>Speciālisti</c:v>
                </c:pt>
                <c:pt idx="8">
                  <c:v>Vecākie speciālisti</c:v>
                </c:pt>
              </c:strCache>
            </c:strRef>
          </c:cat>
          <c:val>
            <c:numRef>
              <c:f>Sheet2!$C$7:$C$15</c:f>
              <c:numCache>
                <c:formatCode>###\ ###\ ###\ ##0;\-###\ ###\ ###\ ##0;\:</c:formatCode>
                <c:ptCount val="9"/>
                <c:pt idx="0">
                  <c:v>10328.18542056669</c:v>
                </c:pt>
                <c:pt idx="1">
                  <c:v>41133.406599578506</c:v>
                </c:pt>
                <c:pt idx="2">
                  <c:v>14126.290397497909</c:v>
                </c:pt>
                <c:pt idx="3">
                  <c:v>37188.386072124456</c:v>
                </c:pt>
                <c:pt idx="4">
                  <c:v>38924.09213026498</c:v>
                </c:pt>
                <c:pt idx="5">
                  <c:v>36810.931747864641</c:v>
                </c:pt>
                <c:pt idx="6">
                  <c:v>41427.89241082735</c:v>
                </c:pt>
                <c:pt idx="7">
                  <c:v>38515.287847608823</c:v>
                </c:pt>
                <c:pt idx="8">
                  <c:v>67141.171788814187</c:v>
                </c:pt>
              </c:numCache>
            </c:numRef>
          </c:val>
          <c:extLst>
            <c:ext xmlns:c16="http://schemas.microsoft.com/office/drawing/2014/chart" uri="{C3380CC4-5D6E-409C-BE32-E72D297353CC}">
              <c16:uniqueId val="{00000001-A8C5-499B-AF3A-B96AE7D0D24E}"/>
            </c:ext>
          </c:extLst>
        </c:ser>
        <c:dLbls>
          <c:showLegendKey val="0"/>
          <c:showVal val="0"/>
          <c:showCatName val="0"/>
          <c:showSerName val="0"/>
          <c:showPercent val="0"/>
          <c:showBubbleSize val="0"/>
        </c:dLbls>
        <c:gapWidth val="67"/>
        <c:overlap val="100"/>
        <c:axId val="1508280447"/>
        <c:axId val="1508265055"/>
      </c:barChart>
      <c:catAx>
        <c:axId val="1508280447"/>
        <c:scaling>
          <c:orientation val="minMax"/>
        </c:scaling>
        <c:delete val="0"/>
        <c:axPos val="l"/>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65055"/>
        <c:crosses val="autoZero"/>
        <c:auto val="1"/>
        <c:lblAlgn val="ctr"/>
        <c:lblOffset val="100"/>
        <c:noMultiLvlLbl val="0"/>
      </c:catAx>
      <c:valAx>
        <c:axId val="1508265055"/>
        <c:scaling>
          <c:orientation val="minMax"/>
          <c:max val="120000"/>
          <c:min val="-40000"/>
        </c:scaling>
        <c:delete val="0"/>
        <c:axPos val="b"/>
        <c:numFmt formatCode="0" sourceLinked="0"/>
        <c:majorTickMark val="out"/>
        <c:minorTickMark val="none"/>
        <c:tickLblPos val="nextTo"/>
        <c:spPr>
          <a:noFill/>
          <a:ln w="3175">
            <a:solidFill>
              <a:sysClr val="window" lastClr="FFFFFF">
                <a:lumMod val="65000"/>
              </a:sysClr>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1508280447"/>
        <c:crosses val="autoZero"/>
        <c:crossBetween val="between"/>
        <c:majorUnit val="40000"/>
        <c:dispUnits>
          <c:builtInUnit val="thousands"/>
        </c:dispUnits>
      </c:valAx>
      <c:spPr>
        <a:noFill/>
        <a:ln>
          <a:noFill/>
        </a:ln>
        <a:effectLst/>
      </c:spPr>
    </c:plotArea>
    <c:legend>
      <c:legendPos val="b"/>
      <c:layout>
        <c:manualLayout>
          <c:xMode val="edge"/>
          <c:yMode val="edge"/>
          <c:x val="0.72810852617626298"/>
          <c:y val="0.71549143769616208"/>
          <c:w val="0.26971199209733882"/>
          <c:h val="0.148609290971495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Segoe UI Light" panose="020B0502040204020203" pitchFamily="34" charset="0"/>
          <a:cs typeface="Segoe UI Light" panose="020B0502040204020203" pitchFamily="34"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2376786235064E-2"/>
          <c:y val="2.9580162264000516E-2"/>
          <c:w val="0.89304422588383015"/>
          <c:h val="0.82088720214558319"/>
        </c:manualLayout>
      </c:layout>
      <c:lineChart>
        <c:grouping val="standard"/>
        <c:varyColors val="0"/>
        <c:ser>
          <c:idx val="0"/>
          <c:order val="0"/>
          <c:tx>
            <c:strRef>
              <c:f>Sheet1!$A$2</c:f>
              <c:strCache>
                <c:ptCount val="1"/>
                <c:pt idx="0">
                  <c:v>Iedzīvotāji</c:v>
                </c:pt>
              </c:strCache>
            </c:strRef>
          </c:tx>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Sheet1!$B$2:$AL$2</c:f>
            </c:numRef>
          </c:val>
          <c:smooth val="1"/>
          <c:extLst>
            <c:ext xmlns:c16="http://schemas.microsoft.com/office/drawing/2014/chart" uri="{C3380CC4-5D6E-409C-BE32-E72D297353CC}">
              <c16:uniqueId val="{00000000-41C6-47F4-88CD-5259C7026A83}"/>
            </c:ext>
          </c:extLst>
        </c:ser>
        <c:ser>
          <c:idx val="1"/>
          <c:order val="1"/>
          <c:tx>
            <c:strRef>
              <c:f>Sheet1!$A$3</c:f>
              <c:strCache>
                <c:ptCount val="1"/>
                <c:pt idx="0">
                  <c:v>Darbaspēka piedāvājums</c:v>
                </c:pt>
              </c:strCache>
            </c:strRef>
          </c:tx>
          <c:spPr>
            <a:ln>
              <a:solidFill>
                <a:srgbClr val="4BACC6">
                  <a:lumMod val="75000"/>
                </a:srgbClr>
              </a:solidFill>
            </a:ln>
          </c:spPr>
          <c:marker>
            <c:symbol val="none"/>
          </c:marker>
          <c:dPt>
            <c:idx val="16"/>
            <c:bubble3D val="0"/>
            <c:spPr>
              <a:ln>
                <a:solidFill>
                  <a:srgbClr val="4BACC6">
                    <a:lumMod val="75000"/>
                  </a:srgbClr>
                </a:solidFill>
                <a:prstDash val="solid"/>
              </a:ln>
            </c:spPr>
            <c:extLst>
              <c:ext xmlns:c16="http://schemas.microsoft.com/office/drawing/2014/chart" uri="{C3380CC4-5D6E-409C-BE32-E72D297353CC}">
                <c16:uniqueId val="{00000002-41C6-47F4-88CD-5259C7026A83}"/>
              </c:ext>
            </c:extLst>
          </c:dPt>
          <c:dPt>
            <c:idx val="17"/>
            <c:bubble3D val="0"/>
            <c:spPr>
              <a:ln>
                <a:solidFill>
                  <a:srgbClr val="4BACC6">
                    <a:lumMod val="75000"/>
                  </a:srgbClr>
                </a:solidFill>
                <a:prstDash val="solid"/>
              </a:ln>
            </c:spPr>
            <c:extLst>
              <c:ext xmlns:c16="http://schemas.microsoft.com/office/drawing/2014/chart" uri="{C3380CC4-5D6E-409C-BE32-E72D297353CC}">
                <c16:uniqueId val="{00000004-41C6-47F4-88CD-5259C7026A83}"/>
              </c:ext>
            </c:extLst>
          </c:dPt>
          <c:dPt>
            <c:idx val="18"/>
            <c:bubble3D val="0"/>
            <c:spPr>
              <a:ln>
                <a:solidFill>
                  <a:srgbClr val="4BACC6">
                    <a:lumMod val="75000"/>
                  </a:srgbClr>
                </a:solidFill>
                <a:prstDash val="sysDash"/>
              </a:ln>
            </c:spPr>
            <c:extLst>
              <c:ext xmlns:c16="http://schemas.microsoft.com/office/drawing/2014/chart" uri="{C3380CC4-5D6E-409C-BE32-E72D297353CC}">
                <c16:uniqueId val="{00000006-41C6-47F4-88CD-5259C7026A83}"/>
              </c:ext>
            </c:extLst>
          </c:dPt>
          <c:dPt>
            <c:idx val="19"/>
            <c:bubble3D val="0"/>
            <c:spPr>
              <a:ln>
                <a:solidFill>
                  <a:srgbClr val="4BACC6">
                    <a:lumMod val="75000"/>
                  </a:srgbClr>
                </a:solidFill>
                <a:prstDash val="sysDash"/>
              </a:ln>
            </c:spPr>
            <c:extLst>
              <c:ext xmlns:c16="http://schemas.microsoft.com/office/drawing/2014/chart" uri="{C3380CC4-5D6E-409C-BE32-E72D297353CC}">
                <c16:uniqueId val="{00000008-41C6-47F4-88CD-5259C7026A83}"/>
              </c:ext>
            </c:extLst>
          </c:dPt>
          <c:dPt>
            <c:idx val="20"/>
            <c:bubble3D val="0"/>
            <c:spPr>
              <a:ln>
                <a:solidFill>
                  <a:srgbClr val="4BACC6">
                    <a:lumMod val="75000"/>
                  </a:srgbClr>
                </a:solidFill>
                <a:prstDash val="sysDash"/>
              </a:ln>
            </c:spPr>
            <c:extLst>
              <c:ext xmlns:c16="http://schemas.microsoft.com/office/drawing/2014/chart" uri="{C3380CC4-5D6E-409C-BE32-E72D297353CC}">
                <c16:uniqueId val="{0000000A-41C6-47F4-88CD-5259C7026A83}"/>
              </c:ext>
            </c:extLst>
          </c:dPt>
          <c:dPt>
            <c:idx val="21"/>
            <c:bubble3D val="0"/>
            <c:spPr>
              <a:ln>
                <a:solidFill>
                  <a:srgbClr val="4BACC6">
                    <a:lumMod val="75000"/>
                  </a:srgbClr>
                </a:solidFill>
                <a:prstDash val="sysDash"/>
              </a:ln>
            </c:spPr>
            <c:extLst>
              <c:ext xmlns:c16="http://schemas.microsoft.com/office/drawing/2014/chart" uri="{C3380CC4-5D6E-409C-BE32-E72D297353CC}">
                <c16:uniqueId val="{0000000C-41C6-47F4-88CD-5259C7026A83}"/>
              </c:ext>
            </c:extLst>
          </c:dPt>
          <c:dPt>
            <c:idx val="22"/>
            <c:bubble3D val="0"/>
            <c:spPr>
              <a:ln>
                <a:solidFill>
                  <a:srgbClr val="4BACC6">
                    <a:lumMod val="75000"/>
                  </a:srgbClr>
                </a:solidFill>
                <a:prstDash val="sysDash"/>
              </a:ln>
            </c:spPr>
            <c:extLst>
              <c:ext xmlns:c16="http://schemas.microsoft.com/office/drawing/2014/chart" uri="{C3380CC4-5D6E-409C-BE32-E72D297353CC}">
                <c16:uniqueId val="{0000000E-41C6-47F4-88CD-5259C7026A83}"/>
              </c:ext>
            </c:extLst>
          </c:dPt>
          <c:dPt>
            <c:idx val="23"/>
            <c:bubble3D val="0"/>
            <c:spPr>
              <a:ln>
                <a:solidFill>
                  <a:srgbClr val="4BACC6">
                    <a:lumMod val="75000"/>
                  </a:srgbClr>
                </a:solidFill>
                <a:prstDash val="sysDash"/>
              </a:ln>
            </c:spPr>
            <c:extLst>
              <c:ext xmlns:c16="http://schemas.microsoft.com/office/drawing/2014/chart" uri="{C3380CC4-5D6E-409C-BE32-E72D297353CC}">
                <c16:uniqueId val="{00000010-41C6-47F4-88CD-5259C7026A83}"/>
              </c:ext>
            </c:extLst>
          </c:dPt>
          <c:dPt>
            <c:idx val="24"/>
            <c:bubble3D val="0"/>
            <c:spPr>
              <a:ln>
                <a:solidFill>
                  <a:srgbClr val="4BACC6">
                    <a:lumMod val="75000"/>
                  </a:srgbClr>
                </a:solidFill>
                <a:prstDash val="sysDash"/>
              </a:ln>
            </c:spPr>
            <c:extLst>
              <c:ext xmlns:c16="http://schemas.microsoft.com/office/drawing/2014/chart" uri="{C3380CC4-5D6E-409C-BE32-E72D297353CC}">
                <c16:uniqueId val="{00000012-41C6-47F4-88CD-5259C7026A83}"/>
              </c:ext>
            </c:extLst>
          </c:dPt>
          <c:dPt>
            <c:idx val="25"/>
            <c:bubble3D val="0"/>
            <c:spPr>
              <a:ln>
                <a:solidFill>
                  <a:srgbClr val="4BACC6">
                    <a:lumMod val="75000"/>
                  </a:srgbClr>
                </a:solidFill>
                <a:prstDash val="sysDash"/>
              </a:ln>
            </c:spPr>
            <c:extLst>
              <c:ext xmlns:c16="http://schemas.microsoft.com/office/drawing/2014/chart" uri="{C3380CC4-5D6E-409C-BE32-E72D297353CC}">
                <c16:uniqueId val="{00000014-41C6-47F4-88CD-5259C7026A83}"/>
              </c:ext>
            </c:extLst>
          </c:dPt>
          <c:dPt>
            <c:idx val="26"/>
            <c:bubble3D val="0"/>
            <c:spPr>
              <a:ln>
                <a:solidFill>
                  <a:srgbClr val="4BACC6">
                    <a:lumMod val="75000"/>
                  </a:srgbClr>
                </a:solidFill>
                <a:prstDash val="sysDash"/>
              </a:ln>
            </c:spPr>
            <c:extLst>
              <c:ext xmlns:c16="http://schemas.microsoft.com/office/drawing/2014/chart" uri="{C3380CC4-5D6E-409C-BE32-E72D297353CC}">
                <c16:uniqueId val="{00000016-41C6-47F4-88CD-5259C7026A83}"/>
              </c:ext>
            </c:extLst>
          </c:dPt>
          <c:dPt>
            <c:idx val="27"/>
            <c:bubble3D val="0"/>
            <c:spPr>
              <a:ln>
                <a:solidFill>
                  <a:srgbClr val="4BACC6">
                    <a:lumMod val="75000"/>
                  </a:srgbClr>
                </a:solidFill>
                <a:prstDash val="sysDash"/>
              </a:ln>
            </c:spPr>
            <c:extLst>
              <c:ext xmlns:c16="http://schemas.microsoft.com/office/drawing/2014/chart" uri="{C3380CC4-5D6E-409C-BE32-E72D297353CC}">
                <c16:uniqueId val="{00000018-41C6-47F4-88CD-5259C7026A83}"/>
              </c:ext>
            </c:extLst>
          </c:dPt>
          <c:dPt>
            <c:idx val="28"/>
            <c:bubble3D val="0"/>
            <c:spPr>
              <a:ln>
                <a:solidFill>
                  <a:srgbClr val="4BACC6">
                    <a:lumMod val="75000"/>
                  </a:srgbClr>
                </a:solidFill>
                <a:prstDash val="sysDash"/>
              </a:ln>
            </c:spPr>
            <c:extLst>
              <c:ext xmlns:c16="http://schemas.microsoft.com/office/drawing/2014/chart" uri="{C3380CC4-5D6E-409C-BE32-E72D297353CC}">
                <c16:uniqueId val="{0000001A-41C6-47F4-88CD-5259C7026A83}"/>
              </c:ext>
            </c:extLst>
          </c:dPt>
          <c:dPt>
            <c:idx val="29"/>
            <c:bubble3D val="0"/>
            <c:spPr>
              <a:ln>
                <a:solidFill>
                  <a:srgbClr val="4BACC6">
                    <a:lumMod val="75000"/>
                  </a:srgbClr>
                </a:solidFill>
                <a:prstDash val="sysDash"/>
              </a:ln>
            </c:spPr>
            <c:extLst>
              <c:ext xmlns:c16="http://schemas.microsoft.com/office/drawing/2014/chart" uri="{C3380CC4-5D6E-409C-BE32-E72D297353CC}">
                <c16:uniqueId val="{0000001C-41C6-47F4-88CD-5259C7026A83}"/>
              </c:ext>
            </c:extLst>
          </c:dPt>
          <c:dPt>
            <c:idx val="30"/>
            <c:bubble3D val="0"/>
            <c:spPr>
              <a:ln>
                <a:solidFill>
                  <a:srgbClr val="4BACC6">
                    <a:lumMod val="75000"/>
                  </a:srgbClr>
                </a:solidFill>
                <a:prstDash val="sysDash"/>
              </a:ln>
            </c:spPr>
            <c:extLst>
              <c:ext xmlns:c16="http://schemas.microsoft.com/office/drawing/2014/chart" uri="{C3380CC4-5D6E-409C-BE32-E72D297353CC}">
                <c16:uniqueId val="{0000001E-41C6-47F4-88CD-5259C7026A83}"/>
              </c:ext>
            </c:extLst>
          </c:dPt>
          <c:dPt>
            <c:idx val="31"/>
            <c:bubble3D val="0"/>
            <c:spPr>
              <a:ln>
                <a:solidFill>
                  <a:srgbClr val="4BACC6">
                    <a:lumMod val="75000"/>
                  </a:srgbClr>
                </a:solidFill>
                <a:prstDash val="sysDash"/>
              </a:ln>
            </c:spPr>
            <c:extLst>
              <c:ext xmlns:c16="http://schemas.microsoft.com/office/drawing/2014/chart" uri="{C3380CC4-5D6E-409C-BE32-E72D297353CC}">
                <c16:uniqueId val="{00000020-41C6-47F4-88CD-5259C7026A83}"/>
              </c:ext>
            </c:extLst>
          </c:dPt>
          <c:dPt>
            <c:idx val="32"/>
            <c:bubble3D val="0"/>
            <c:spPr>
              <a:ln>
                <a:solidFill>
                  <a:srgbClr val="4BACC6">
                    <a:lumMod val="75000"/>
                  </a:srgbClr>
                </a:solidFill>
                <a:prstDash val="sysDash"/>
              </a:ln>
            </c:spPr>
            <c:extLst>
              <c:ext xmlns:c16="http://schemas.microsoft.com/office/drawing/2014/chart" uri="{C3380CC4-5D6E-409C-BE32-E72D297353CC}">
                <c16:uniqueId val="{00000022-41C6-47F4-88CD-5259C7026A83}"/>
              </c:ext>
            </c:extLst>
          </c:dPt>
          <c:dPt>
            <c:idx val="33"/>
            <c:bubble3D val="0"/>
            <c:spPr>
              <a:ln>
                <a:solidFill>
                  <a:srgbClr val="4BACC6">
                    <a:lumMod val="75000"/>
                  </a:srgbClr>
                </a:solidFill>
                <a:prstDash val="dash"/>
              </a:ln>
            </c:spPr>
            <c:extLst>
              <c:ext xmlns:c16="http://schemas.microsoft.com/office/drawing/2014/chart" uri="{C3380CC4-5D6E-409C-BE32-E72D297353CC}">
                <c16:uniqueId val="{00000024-41C6-47F4-88CD-5259C7026A83}"/>
              </c:ext>
            </c:extLst>
          </c:dPt>
          <c:dPt>
            <c:idx val="34"/>
            <c:bubble3D val="0"/>
            <c:spPr>
              <a:ln>
                <a:solidFill>
                  <a:srgbClr val="4BACC6">
                    <a:lumMod val="75000"/>
                  </a:srgbClr>
                </a:solidFill>
                <a:prstDash val="sysDash"/>
              </a:ln>
            </c:spPr>
            <c:extLst>
              <c:ext xmlns:c16="http://schemas.microsoft.com/office/drawing/2014/chart" uri="{C3380CC4-5D6E-409C-BE32-E72D297353CC}">
                <c16:uniqueId val="{00000026-41C6-47F4-88CD-5259C7026A83}"/>
              </c:ext>
            </c:extLst>
          </c:dPt>
          <c:dPt>
            <c:idx val="35"/>
            <c:bubble3D val="0"/>
            <c:spPr>
              <a:ln>
                <a:solidFill>
                  <a:srgbClr val="4BACC6">
                    <a:lumMod val="75000"/>
                  </a:srgbClr>
                </a:solidFill>
                <a:prstDash val="sysDash"/>
              </a:ln>
            </c:spPr>
            <c:extLst>
              <c:ext xmlns:c16="http://schemas.microsoft.com/office/drawing/2014/chart" uri="{C3380CC4-5D6E-409C-BE32-E72D297353CC}">
                <c16:uniqueId val="{00000028-41C6-47F4-88CD-5259C7026A83}"/>
              </c:ext>
            </c:extLst>
          </c:dPt>
          <c:dPt>
            <c:idx val="36"/>
            <c:bubble3D val="0"/>
            <c:spPr>
              <a:ln>
                <a:solidFill>
                  <a:srgbClr val="4BACC6">
                    <a:lumMod val="75000"/>
                  </a:srgbClr>
                </a:solidFill>
                <a:prstDash val="sysDash"/>
              </a:ln>
            </c:spPr>
            <c:extLst>
              <c:ext xmlns:c16="http://schemas.microsoft.com/office/drawing/2014/chart" uri="{C3380CC4-5D6E-409C-BE32-E72D297353CC}">
                <c16:uniqueId val="{0000002A-41C6-47F4-88CD-5259C7026A83}"/>
              </c:ext>
            </c:extLst>
          </c:dPt>
          <c:dLbls>
            <c:dLbl>
              <c:idx val="4"/>
              <c:layout>
                <c:manualLayout>
                  <c:x val="-4.4958974935371473E-2"/>
                  <c:y val="-5.4585152838427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1C6-47F4-88CD-5259C7026A83}"/>
                </c:ext>
              </c:extLst>
            </c:dLbl>
            <c:dLbl>
              <c:idx val="17"/>
              <c:layout>
                <c:manualLayout>
                  <c:x val="-2.6975384961222884E-2"/>
                  <c:y val="-6.0043668122270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C6-47F4-88CD-5259C7026A83}"/>
                </c:ext>
              </c:extLst>
            </c:dLbl>
            <c:dLbl>
              <c:idx val="26"/>
              <c:layout>
                <c:manualLayout>
                  <c:x val="-4.0463077441834326E-2"/>
                  <c:y val="-5.458515283842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1C6-47F4-88CD-5259C7026A83}"/>
                </c:ext>
              </c:extLst>
            </c:dLbl>
            <c:dLbl>
              <c:idx val="36"/>
              <c:layout>
                <c:manualLayout>
                  <c:x val="-2.2479487467685737E-3"/>
                  <c:y val="-6.0043668122270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41C6-47F4-88CD-5259C7026A83}"/>
                </c:ext>
              </c:extLst>
            </c:dLbl>
            <c:numFmt formatCode="#,##0.0"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Sheet1!$B$1:$AL$1</c:f>
              <c:numCache>
                <c:formatCode>General</c:formatCode>
                <c:ptCount val="37"/>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pt idx="21">
                  <c:v>2025</c:v>
                </c:pt>
                <c:pt idx="22">
                  <c:v>2026</c:v>
                </c:pt>
                <c:pt idx="23">
                  <c:v>2027</c:v>
                </c:pt>
                <c:pt idx="24">
                  <c:v>2028</c:v>
                </c:pt>
                <c:pt idx="25">
                  <c:v>2029</c:v>
                </c:pt>
                <c:pt idx="26">
                  <c:v>2030</c:v>
                </c:pt>
                <c:pt idx="27">
                  <c:v>2031</c:v>
                </c:pt>
                <c:pt idx="28">
                  <c:v>2032</c:v>
                </c:pt>
                <c:pt idx="29">
                  <c:v>2033</c:v>
                </c:pt>
                <c:pt idx="30">
                  <c:v>2034</c:v>
                </c:pt>
                <c:pt idx="31">
                  <c:v>2035</c:v>
                </c:pt>
                <c:pt idx="32">
                  <c:v>2036</c:v>
                </c:pt>
                <c:pt idx="33">
                  <c:v>2037</c:v>
                </c:pt>
                <c:pt idx="34">
                  <c:v>2038</c:v>
                </c:pt>
                <c:pt idx="35">
                  <c:v>2039</c:v>
                </c:pt>
                <c:pt idx="36">
                  <c:v>2040</c:v>
                </c:pt>
              </c:numCache>
            </c:numRef>
          </c:cat>
          <c:val>
            <c:numRef>
              <c:f>Sheet1!$B$3:$AL$3</c:f>
              <c:numCache>
                <c:formatCode>#\ ##0.0</c:formatCode>
                <c:ptCount val="37"/>
                <c:pt idx="0">
                  <c:v>1092.0999999999999</c:v>
                </c:pt>
                <c:pt idx="1">
                  <c:v>1080.8</c:v>
                </c:pt>
                <c:pt idx="2">
                  <c:v>1108.9000000000001</c:v>
                </c:pt>
                <c:pt idx="3">
                  <c:v>1125.5</c:v>
                </c:pt>
                <c:pt idx="4">
                  <c:v>1143.4000000000001</c:v>
                </c:pt>
                <c:pt idx="5">
                  <c:v>1101.4000000000001</c:v>
                </c:pt>
                <c:pt idx="6">
                  <c:v>1056.5</c:v>
                </c:pt>
                <c:pt idx="7">
                  <c:v>1028.2</c:v>
                </c:pt>
                <c:pt idx="8">
                  <c:v>1030.7</c:v>
                </c:pt>
                <c:pt idx="9">
                  <c:v>1014.2</c:v>
                </c:pt>
                <c:pt idx="10">
                  <c:v>992.25</c:v>
                </c:pt>
                <c:pt idx="11">
                  <c:v>994.22500000000002</c:v>
                </c:pt>
                <c:pt idx="12">
                  <c:v>988.625</c:v>
                </c:pt>
                <c:pt idx="13">
                  <c:v>980.25</c:v>
                </c:pt>
                <c:pt idx="14">
                  <c:v>982.17500000000007</c:v>
                </c:pt>
                <c:pt idx="15">
                  <c:v>971.35</c:v>
                </c:pt>
                <c:pt idx="16">
                  <c:v>971.67500000000007</c:v>
                </c:pt>
                <c:pt idx="17">
                  <c:v>934.61750000000006</c:v>
                </c:pt>
                <c:pt idx="18" formatCode="0.0">
                  <c:v>938.0889405855761</c:v>
                </c:pt>
                <c:pt idx="19" formatCode="0.0">
                  <c:v>939.68554377659632</c:v>
                </c:pt>
                <c:pt idx="20" formatCode="0.0">
                  <c:v>941.60251894024464</c:v>
                </c:pt>
                <c:pt idx="21" formatCode="0.0">
                  <c:v>941.90289152843366</c:v>
                </c:pt>
                <c:pt idx="22" formatCode="0.0">
                  <c:v>941.79380980142605</c:v>
                </c:pt>
                <c:pt idx="23" formatCode="0.0">
                  <c:v>941.85213764851289</c:v>
                </c:pt>
                <c:pt idx="24" formatCode="0.0">
                  <c:v>941.74811903722912</c:v>
                </c:pt>
                <c:pt idx="25" formatCode="0.0">
                  <c:v>942.24267774553743</c:v>
                </c:pt>
                <c:pt idx="26" formatCode="0.0">
                  <c:v>942.75495775246952</c:v>
                </c:pt>
                <c:pt idx="27" formatCode="0.0">
                  <c:v>942.56647944910605</c:v>
                </c:pt>
                <c:pt idx="28" formatCode="0.0">
                  <c:v>941.00413717426636</c:v>
                </c:pt>
                <c:pt idx="29" formatCode="0.0">
                  <c:v>938.87145609464221</c:v>
                </c:pt>
                <c:pt idx="30" formatCode="0.0">
                  <c:v>935.84187210060213</c:v>
                </c:pt>
                <c:pt idx="31" formatCode="0.0">
                  <c:v>934.20388908417976</c:v>
                </c:pt>
                <c:pt idx="32" formatCode="0.0">
                  <c:v>932.65423401117312</c:v>
                </c:pt>
                <c:pt idx="33" formatCode="0.0">
                  <c:v>930.15900037967413</c:v>
                </c:pt>
                <c:pt idx="34" formatCode="0.0">
                  <c:v>928.38400363491462</c:v>
                </c:pt>
                <c:pt idx="35" formatCode="0.0">
                  <c:v>926.45093197281483</c:v>
                </c:pt>
                <c:pt idx="36" formatCode="0.0">
                  <c:v>924.61958773915057</c:v>
                </c:pt>
              </c:numCache>
            </c:numRef>
          </c:val>
          <c:smooth val="1"/>
          <c:extLst>
            <c:ext xmlns:c16="http://schemas.microsoft.com/office/drawing/2014/chart" uri="{C3380CC4-5D6E-409C-BE32-E72D297353CC}">
              <c16:uniqueId val="{0000002C-41C6-47F4-88CD-5259C7026A83}"/>
            </c:ext>
          </c:extLst>
        </c:ser>
        <c:dLbls>
          <c:showLegendKey val="0"/>
          <c:showVal val="0"/>
          <c:showCatName val="0"/>
          <c:showSerName val="0"/>
          <c:showPercent val="0"/>
          <c:showBubbleSize val="0"/>
        </c:dLbls>
        <c:smooth val="0"/>
        <c:axId val="652738616"/>
        <c:axId val="652739400"/>
      </c:lineChart>
      <c:catAx>
        <c:axId val="652738616"/>
        <c:scaling>
          <c:orientation val="minMax"/>
        </c:scaling>
        <c:delete val="0"/>
        <c:axPos val="b"/>
        <c:numFmt formatCode="General" sourceLinked="1"/>
        <c:majorTickMark val="out"/>
        <c:minorTickMark val="none"/>
        <c:tickLblPos val="nextTo"/>
        <c:spPr>
          <a:ln w="3175"/>
        </c:spPr>
        <c:txPr>
          <a:bodyPr rot="-5400000" vert="horz"/>
          <a:lstStyle/>
          <a:p>
            <a:pPr>
              <a:defRPr/>
            </a:pPr>
            <a:endParaRPr lang="lv-LV"/>
          </a:p>
        </c:txPr>
        <c:crossAx val="652739400"/>
        <c:crosses val="autoZero"/>
        <c:auto val="1"/>
        <c:lblAlgn val="ctr"/>
        <c:lblOffset val="100"/>
        <c:noMultiLvlLbl val="0"/>
      </c:catAx>
      <c:valAx>
        <c:axId val="652739400"/>
        <c:scaling>
          <c:orientation val="minMax"/>
          <c:min val="900"/>
        </c:scaling>
        <c:delete val="0"/>
        <c:axPos val="l"/>
        <c:numFmt formatCode="0" sourceLinked="0"/>
        <c:majorTickMark val="out"/>
        <c:minorTickMark val="none"/>
        <c:tickLblPos val="nextTo"/>
        <c:spPr>
          <a:ln>
            <a:noFill/>
          </a:ln>
        </c:spPr>
        <c:txPr>
          <a:bodyPr rot="0" vert="horz"/>
          <a:lstStyle/>
          <a:p>
            <a:pPr>
              <a:defRPr/>
            </a:pPr>
            <a:endParaRPr lang="lv-LV"/>
          </a:p>
        </c:txPr>
        <c:crossAx val="652738616"/>
        <c:crosses val="autoZero"/>
        <c:crossBetween val="between"/>
        <c:majorUnit val="100"/>
      </c:valAx>
    </c:plotArea>
    <c:plotVisOnly val="1"/>
    <c:dispBlanksAs val="gap"/>
    <c:showDLblsOverMax val="0"/>
  </c:chart>
  <c:spPr>
    <a:ln>
      <a:noFill/>
    </a:ln>
  </c:spPr>
  <c:txPr>
    <a:bodyPr/>
    <a:lstStyle/>
    <a:p>
      <a:pPr>
        <a:defRPr sz="800" b="0">
          <a:latin typeface="Segoe UI Light" panose="020B0502040204020203" pitchFamily="34" charset="0"/>
          <a:cs typeface="Segoe UI Light" panose="020B0502040204020203" pitchFamily="34" charset="0"/>
        </a:defRPr>
      </a:pPr>
      <a:endParaRPr lang="lv-LV"/>
    </a:p>
  </c:txPr>
  <c:externalData r:id="rId2">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10155025585829"/>
          <c:y val="7.3574848370084378E-2"/>
          <c:w val="0.57012319472768802"/>
          <c:h val="0.78015381281291851"/>
        </c:manualLayout>
      </c:layout>
      <c:barChart>
        <c:barDir val="col"/>
        <c:grouping val="percentStacked"/>
        <c:varyColors val="0"/>
        <c:ser>
          <c:idx val="0"/>
          <c:order val="0"/>
          <c:tx>
            <c:strRef>
              <c:f>Sheet1!$A$2</c:f>
              <c:strCache>
                <c:ptCount val="1"/>
                <c:pt idx="0">
                  <c:v>15-24</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Sheet1!$B$1:$AF$1</c:f>
              <c:strCache>
                <c:ptCount val="3"/>
                <c:pt idx="0">
                  <c:v>2000</c:v>
                </c:pt>
                <c:pt idx="1">
                  <c:v>2020</c:v>
                </c:pt>
                <c:pt idx="2">
                  <c:v>2030</c:v>
                </c:pt>
              </c:strCache>
            </c:strRef>
          </c:cat>
          <c:val>
            <c:numRef>
              <c:f>Sheet1!$B$2:$AF$2</c:f>
              <c:numCache>
                <c:formatCode>0.0000</c:formatCode>
                <c:ptCount val="3"/>
                <c:pt idx="0">
                  <c:v>0.12062672600573734</c:v>
                </c:pt>
                <c:pt idx="1">
                  <c:v>8.4802264047210515E-2</c:v>
                </c:pt>
                <c:pt idx="2">
                  <c:v>8.8772581329054079E-2</c:v>
                </c:pt>
              </c:numCache>
            </c:numRef>
          </c:val>
          <c:extLst>
            <c:ext xmlns:c16="http://schemas.microsoft.com/office/drawing/2014/chart" uri="{C3380CC4-5D6E-409C-BE32-E72D297353CC}">
              <c16:uniqueId val="{00000000-5C32-48E0-9DEE-A00E5EB2D318}"/>
            </c:ext>
          </c:extLst>
        </c:ser>
        <c:ser>
          <c:idx val="1"/>
          <c:order val="1"/>
          <c:tx>
            <c:strRef>
              <c:f>Sheet1!$A$3</c:f>
              <c:strCache>
                <c:ptCount val="1"/>
                <c:pt idx="0">
                  <c:v>25-54</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Sheet1!$B$1:$AF$1</c:f>
              <c:strCache>
                <c:ptCount val="3"/>
                <c:pt idx="0">
                  <c:v>2000</c:v>
                </c:pt>
                <c:pt idx="1">
                  <c:v>2020</c:v>
                </c:pt>
                <c:pt idx="2">
                  <c:v>2030</c:v>
                </c:pt>
              </c:strCache>
            </c:strRef>
          </c:cat>
          <c:val>
            <c:numRef>
              <c:f>Sheet1!$B$3:$AF$3</c:f>
              <c:numCache>
                <c:formatCode>0.0000</c:formatCode>
                <c:ptCount val="3"/>
                <c:pt idx="0">
                  <c:v>0.77191016709076454</c:v>
                </c:pt>
                <c:pt idx="1">
                  <c:v>0.71527852470123598</c:v>
                </c:pt>
                <c:pt idx="2">
                  <c:v>0.67038042102444528</c:v>
                </c:pt>
              </c:numCache>
            </c:numRef>
          </c:val>
          <c:extLst>
            <c:ext xmlns:c16="http://schemas.microsoft.com/office/drawing/2014/chart" uri="{C3380CC4-5D6E-409C-BE32-E72D297353CC}">
              <c16:uniqueId val="{00000001-5C32-48E0-9DEE-A00E5EB2D318}"/>
            </c:ext>
          </c:extLst>
        </c:ser>
        <c:ser>
          <c:idx val="2"/>
          <c:order val="2"/>
          <c:tx>
            <c:strRef>
              <c:f>Sheet1!$A$4</c:f>
              <c:strCache>
                <c:ptCount val="1"/>
                <c:pt idx="0">
                  <c:v>55+</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Sheet1!$B$1:$AF$1</c:f>
              <c:strCache>
                <c:ptCount val="3"/>
                <c:pt idx="0">
                  <c:v>2000</c:v>
                </c:pt>
                <c:pt idx="1">
                  <c:v>2020</c:v>
                </c:pt>
                <c:pt idx="2">
                  <c:v>2030</c:v>
                </c:pt>
              </c:strCache>
            </c:strRef>
          </c:cat>
          <c:val>
            <c:numRef>
              <c:f>Sheet1!$B$4:$AF$4</c:f>
              <c:numCache>
                <c:formatCode>0.0000</c:formatCode>
                <c:ptCount val="3"/>
                <c:pt idx="0">
                  <c:v>0.10746310690349814</c:v>
                </c:pt>
                <c:pt idx="1">
                  <c:v>0.19991921125155346</c:v>
                </c:pt>
                <c:pt idx="2">
                  <c:v>0.24084699764650061</c:v>
                </c:pt>
              </c:numCache>
            </c:numRef>
          </c:val>
          <c:extLst>
            <c:ext xmlns:c16="http://schemas.microsoft.com/office/drawing/2014/chart" uri="{C3380CC4-5D6E-409C-BE32-E72D297353CC}">
              <c16:uniqueId val="{00000002-5C32-48E0-9DEE-A00E5EB2D318}"/>
            </c:ext>
          </c:extLst>
        </c:ser>
        <c:dLbls>
          <c:showLegendKey val="0"/>
          <c:showVal val="0"/>
          <c:showCatName val="0"/>
          <c:showSerName val="0"/>
          <c:showPercent val="0"/>
          <c:showBubbleSize val="0"/>
        </c:dLbls>
        <c:gapWidth val="40"/>
        <c:overlap val="100"/>
        <c:axId val="652736656"/>
        <c:axId val="652737048"/>
      </c:barChart>
      <c:catAx>
        <c:axId val="65273665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37048"/>
        <c:crosses val="autoZero"/>
        <c:auto val="1"/>
        <c:lblAlgn val="ctr"/>
        <c:lblOffset val="100"/>
        <c:noMultiLvlLbl val="0"/>
      </c:catAx>
      <c:valAx>
        <c:axId val="6527370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crossAx val="652736656"/>
        <c:crosses val="autoZero"/>
        <c:crossBetween val="between"/>
        <c:majorUnit val="0.2"/>
      </c:valAx>
      <c:spPr>
        <a:noFill/>
        <a:ln>
          <a:noFill/>
        </a:ln>
        <a:effectLst/>
      </c:spPr>
    </c:plotArea>
    <c:legend>
      <c:legendPos val="b"/>
      <c:layout>
        <c:manualLayout>
          <c:xMode val="edge"/>
          <c:yMode val="edge"/>
          <c:x val="0.75527299752041432"/>
          <c:y val="0.28122294522641267"/>
          <c:w val="0.18593070866141731"/>
          <c:h val="0.3749224186172707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Segoe UI Light" panose="020B0502040204020203" pitchFamily="34" charset="0"/>
              <a:ea typeface="+mn-ea"/>
              <a:cs typeface="Segoe UI Light" panose="020B0502040204020203"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Segoe UI Light" panose="020B0502040204020203" pitchFamily="34" charset="0"/>
          <a:cs typeface="Segoe UI Light" panose="020B0502040204020203" pitchFamily="34" charset="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Sheet1!$A$2:$B$85</cx:f>
        <cx:lvl ptCount="84">
          <cx:pt idx="0">Augkopība un lopkopība</cx:pt>
          <cx:pt idx="1">Mežsaimniecība un mežizstrāde</cx:pt>
          <cx:pt idx="2">Zivsaimniecība</cx:pt>
          <cx:pt idx="3">Jēlnaftas un dabasgāzes ieguve</cx:pt>
          <cx:pt idx="4">Karjeru izstrāde</cx:pt>
          <cx:pt idx="5">Rūpniecības palīgdarbības</cx:pt>
          <cx:pt idx="6">Pārtikas produktu ražošana</cx:pt>
          <cx:pt idx="7">Dzērienu ražošana</cx:pt>
          <cx:pt idx="8">Tabakas izstrādājumu ražošana</cx:pt>
          <cx:pt idx="9">Tekstilizstrādājumu ražošana</cx:pt>
          <cx:pt idx="10">Apģērbu ražošana</cx:pt>
          <cx:pt idx="11">Ādas izstrādājumu ražošana</cx:pt>
          <cx:pt idx="12">Kokapstrāde</cx:pt>
          <cx:pt idx="13">Papīra izstrādājumu ražošana</cx:pt>
          <cx:pt idx="14">Poligrāfija</cx:pt>
          <cx:pt idx="15">Naftas pārstrādes produktu ražošana</cx:pt>
          <cx:pt idx="16">Ķīmiskā rūpniecība</cx:pt>
          <cx:pt idx="17">Farmācija</cx:pt>
          <cx:pt idx="18">Gumijas un plastmasu ražošana</cx:pt>
          <cx:pt idx="19">Nemetālisko minerālu ražošana</cx:pt>
          <cx:pt idx="20">Metālu ražošana</cx:pt>
          <cx:pt idx="21">Metalapstrāde</cx:pt>
          <cx:pt idx="22">Datoru, elektronisko un optisko iekārtu ražošana</cx:pt>
          <cx:pt idx="23">Elektrisko iekārtu ražošana</cx:pt>
          <cx:pt idx="24">Mehānismu un darba mašīnu ražošana</cx:pt>
          <cx:pt idx="25">Transportlīdzekļu ražošana</cx:pt>
          <cx:pt idx="26">Citu transportlīdzekļu ražošana</cx:pt>
          <cx:pt idx="27">Mēbeļu ražošana</cx:pt>
          <cx:pt idx="28">Cita veida ražošana</cx:pt>
          <cx:pt idx="29">Iekārtu un ierīču remonts</cx:pt>
          <cx:pt idx="30">Elektroenerģija, gāz...</cx:pt>
          <cx:pt idx="31">Ūdens...</cx:pt>
          <cx:pt idx="32">Notek...</cx:pt>
          <cx:pt idx="33">Atkri...</cx:pt>
          <cx:pt idx="34">Sanit...</cx:pt>
          <cx:pt idx="35">Ēku būvniecība</cx:pt>
          <cx:pt idx="36">Inženierbūvniecība</cx:pt>
          <cx:pt idx="37">Specializētie būvdarbi</cx:pt>
          <cx:pt idx="38">Auto un moto tirdzniecība</cx:pt>
          <cx:pt idx="39">Vairumtirdzniecība</cx:pt>
          <cx:pt idx="40">Mazumtirdzniecība</cx:pt>
          <cx:pt idx="41">Sauszemes un cauruļvadu transports</cx:pt>
          <cx:pt idx="42">Ūdens transports</cx:pt>
          <cx:pt idx="43">Gaisa transports</cx:pt>
          <cx:pt idx="44">Uzglabāšanas un transporta palīgdarbības</cx:pt>
          <cx:pt idx="45">Pasta un kurjeru darbība</cx:pt>
          <cx:pt idx="46">Izmitināšana</cx:pt>
          <cx:pt idx="47">Ēdināšanas...</cx:pt>
          <cx:pt idx="48">Izdevējdarbība</cx:pt>
          <cx:pt idx="49">TV programmu un ierakstu producēšana</cx:pt>
          <cx:pt idx="50">Radio un TV programmu izstrāde</cx:pt>
          <cx:pt idx="51">Telekomunikācija</cx:pt>
          <cx:pt idx="52">Datorprogrammēšana un saistītas darbības</cx:pt>
          <cx:pt idx="53">Informācijas pakalpojumi</cx:pt>
          <cx:pt idx="54">Finanšu pakalpojumi</cx:pt>
          <cx:pt idx="55">Apdrošināšana</cx:pt>
          <cx:pt idx="56">Finanšu pakalpojumu palīgdarbības</cx:pt>
          <cx:pt idx="57"> Nosacītā īre</cx:pt>
          <cx:pt idx="58">Juridiskie un grāmat...</cx:pt>
          <cx:pt idx="59">Centrālo biroju darbība, konsultēšana</cx:pt>
          <cx:pt idx="60">Arhitektūras, inženiertehniski pakalpojumi</cx:pt>
          <cx:pt idx="61">Zinātniskās pētniecī...</cx:pt>
          <cx:pt idx="62">Reklāmas un tirgus izpētes pakalpojumi</cx:pt>
          <cx:pt idx="63">Citi profesionālie, zinātniskie un tehniskie pakal...</cx:pt>
          <cx:pt idx="64">Veterinārie pakalpojumi</cx:pt>
          <cx:pt idx="65">Iznomāšana...</cx:pt>
          <cx:pt idx="66">Personāla nodrošināšana</cx:pt>
          <cx:pt idx="67">Ceļojumu biroju pakalpojumi</cx:pt>
          <cx:pt idx="68">Apsardzes pakalpojumi</cx:pt>
          <cx:pt idx="69">Ēku uzturēšanas...</cx:pt>
          <cx:pt idx="70">Biroju administratīvā darbība</cx:pt>
          <cx:pt idx="71">Valsts pārvalde un aizsardzība</cx:pt>
          <cx:pt idx="72">Izglītība</cx:pt>
          <cx:pt idx="73">Veselības aizsardzība</cx:pt>
          <cx:pt idx="74">Sociālā aprūpe ar izmitināšanu</cx:pt>
          <cx:pt idx="75">Sociālā aprūpe bez izmitināšanas</cx:pt>
          <cx:pt idx="76">Izklaides ...</cx:pt>
          <cx:pt idx="77">Kultūras i...</cx:pt>
          <cx:pt idx="78">Azartspēle...</cx:pt>
          <cx:pt idx="79">Sporta un ...</cx:pt>
          <cx:pt idx="80">Sabiedrisko un politisko organizāciju darbība</cx:pt>
          <cx:pt idx="81">Mājsaimniecības piederumu remonts</cx:pt>
          <cx:pt idx="82">Individuālie pakalpojumi</cx:pt>
          <cx:pt idx="83">Mājsaimniecības</cx:pt>
        </cx:lvl>
        <cx:lvl ptCount="84">
          <cx:pt idx="0">Lauksaimniecība, mežsaimniecība un zivsaimniecība</cx:pt>
          <cx:pt idx="1">Lauksaimniecība, mežsaimniecība un zivsaimniecība</cx:pt>
          <cx:pt idx="2">Lauksaimniecība, mežsaimniecība un zivsaimniecība</cx:pt>
          <cx:pt idx="3">Ieguves rūpniecība un karjeru izstrāde</cx:pt>
          <cx:pt idx="4">Ieguves rūpniecība un karjeru izstrāde</cx:pt>
          <cx:pt idx="5">Ieguves rūpniecība un karjeru izstrāde</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Apstrādes rūpniecība</cx:pt>
          <cx:pt idx="21">Apstrādes rūpniecība</cx:pt>
          <cx:pt idx="22">Apstrādes rūpniecība</cx:pt>
          <cx:pt idx="23">Apstrādes rūpniecība</cx:pt>
          <cx:pt idx="24">Apstrādes rūpniecība</cx:pt>
          <cx:pt idx="25">Apstrādes rūpniecība</cx:pt>
          <cx:pt idx="26">Apstrādes rūpniecība</cx:pt>
          <cx:pt idx="27">Apstrādes rūpniecība</cx:pt>
          <cx:pt idx="28">Apstrādes rūpniecība</cx:pt>
          <cx:pt idx="29">Apstrādes rūpniecība</cx:pt>
          <cx:pt idx="30">Elektroenerģija, gāzes un siltumapgāde</cx:pt>
          <cx:pt idx="31">Ūdens...</cx:pt>
          <cx:pt idx="32">Ūdens...</cx:pt>
          <cx:pt idx="33">Ūdens...</cx:pt>
          <cx:pt idx="34">Ūdens...</cx:pt>
          <cx:pt idx="35">Būvniecība</cx:pt>
          <cx:pt idx="36">Būvniecība</cx:pt>
          <cx:pt idx="37">Būvniecība</cx:pt>
          <cx:pt idx="38">Tirdzniecība</cx:pt>
          <cx:pt idx="39">Tirdzniecība</cx:pt>
          <cx:pt idx="40">Tirdzniecība</cx:pt>
          <cx:pt idx="41">Transports un uzglabāšana</cx:pt>
          <cx:pt idx="42">Transports un uzglabāšana</cx:pt>
          <cx:pt idx="43">Transports un uzglabāšana</cx:pt>
          <cx:pt idx="44">Transports un uzglabāšana</cx:pt>
          <cx:pt idx="45">Transports un uzglabāšana</cx:pt>
          <cx:pt idx="46">Izmitināšana un ēdin...</cx:pt>
          <cx:pt idx="47">Izmitināšana un ēdin...</cx:pt>
          <cx:pt idx="48">Informācijas un komunikācijas pakalpojumi</cx:pt>
          <cx:pt idx="49">Informācijas un komunikācijas pakalpojumi</cx:pt>
          <cx:pt idx="50">Informācijas un komunikācijas pakalpojumi</cx:pt>
          <cx:pt idx="51">Informācijas un komunikācijas pakalpojumi</cx:pt>
          <cx:pt idx="52">Informācijas un komunikācijas pakalpojumi</cx:pt>
          <cx:pt idx="53">Informācijas un komunikācijas pakalpojumi</cx:pt>
          <cx:pt idx="54">Finanšu un apdrošināšanas darbības</cx:pt>
          <cx:pt idx="55">Finanšu un apdrošināšanas darbības</cx:pt>
          <cx:pt idx="56">Finanšu un apdrošināšanas darbības</cx:pt>
          <cx:pt idx="57">Operācijas ar nekustamo īpašumu</cx:pt>
          <cx:pt idx="58">Profesionālie, zinātniskie un tehniskie pakalpojum</cx:pt>
          <cx:pt idx="59">Profesionālie, zinātniskie un tehniskie pakalpojum</cx:pt>
          <cx:pt idx="60">Profesionālie, zinātniskie un tehniskie pakalpojum</cx:pt>
          <cx:pt idx="61">Profesionālie, zinātniskie un tehniskie pakalpojum</cx:pt>
          <cx:pt idx="62">Profesionālie, zinātniskie un tehniskie pakalpojum</cx:pt>
          <cx:pt idx="63">Profesionālie, zinātniskie un tehniskie pakalpojum</cx:pt>
          <cx:pt idx="64">Profesionālie, zinātniskie un tehniskie pakalpojum</cx:pt>
          <cx:pt idx="65">Administra...</cx:pt>
          <cx:pt idx="66">Administra...</cx:pt>
          <cx:pt idx="67">Administra...</cx:pt>
          <cx:pt idx="68">Administra...</cx:pt>
          <cx:pt idx="69">Administra...</cx:pt>
          <cx:pt idx="70">Administra...</cx:pt>
          <cx:pt idx="71">Valsts pārvalde un aizsardzība</cx:pt>
          <cx:pt idx="72">Izglītība</cx:pt>
          <cx:pt idx="73">Veselība un sociālā aprūpe</cx:pt>
          <cx:pt idx="74">Veselība un sociālā aprūpe</cx:pt>
          <cx:pt idx="75">Veselība un sociālā aprūpe</cx:pt>
          <cx:pt idx="76">Māksla, izklaide un ...</cx:pt>
          <cx:pt idx="77">Māksla, izklaide un ...</cx:pt>
          <cx:pt idx="78">Māksla, izklaide un ...</cx:pt>
          <cx:pt idx="79">Māksla, izklaide un ...</cx:pt>
          <cx:pt idx="80">Citi pakalpojumi</cx:pt>
          <cx:pt idx="81">Citi pakalpojumi</cx:pt>
          <cx:pt idx="82">Citi pakalpojumi</cx:pt>
          <cx:pt idx="83">Mājsaimniecību darbība</cx:pt>
        </cx:lvl>
      </cx:strDim>
      <cx:numDim type="size">
        <cx:f>Sheet1!$C$2:$C$85</cx:f>
        <cx:lvl ptCount="84" formatCode="0%">
          <cx:pt idx="0">0.023028454987055042</cx:pt>
          <cx:pt idx="1">0.021167448929154904</cx:pt>
          <cx:pt idx="2">0.001960196206666934</cx:pt>
          <cx:pt idx="3">1.2716448077946093e-05</cx:pt>
          <cx:pt idx="4">0.0056364880712320578</cx:pt>
          <cx:pt idx="5">-1.0102265372026863e-05</cx:pt>
          <cx:pt idx="6">0.018973314716147664</cx:pt>
          <cx:pt idx="7">0.0031645218499064651</cx:pt>
          <cx:pt idx="8">2.4369501175465114e-07</cx:pt>
          <cx:pt idx="9">0.0016622246700973007</cx:pt>
          <cx:pt idx="10">0.0034164792322908832</cx:pt>
          <cx:pt idx="11">0.00011915140693895469</cx:pt>
          <cx:pt idx="12">0.032524460883940634</cx:pt>
          <cx:pt idx="13">0.0015436953235196036</cx:pt>
          <cx:pt idx="14">0.0050888827079322583</cx:pt>
          <cx:pt idx="15">4.0046799791857046e-05</cx:pt>
          <cx:pt idx="16">0.0044143355093154363</cx:pt>
          <cx:pt idx="17">0.0060264156080290978</cx:pt>
          <cx:pt idx="18">0.0036477046747156825</cx:pt>
          <cx:pt idx="19">0.0097866896802558979</cx:pt>
          <cx:pt idx="20">0.00064345638648555963</cx:pt>
          <cx:pt idx="21">0.013506168081006889</cx:pt>
          <cx:pt idx="22">0.0047965675629617647</cx:pt>
          <cx:pt idx="23">0.0051400830673984967</cx:pt>
          <cx:pt idx="24">0.0045928940174816343</cx:pt>
          <cx:pt idx="25">0.0026983354552334478</cx:pt>
          <cx:pt idx="26">0.0013264365967815309</cx:pt>
          <cx:pt idx="27">0.0057791728781767153</cx:pt>
          <cx:pt idx="28">0.0017430681480493143</cx:pt>
          <cx:pt idx="29">0.0027801433309080329</cx:pt>
          <cx:pt idx="30">0.014906433961075714</cx:pt>
          <cx:pt idx="31">0.0027056284808767393</cx:pt>
          <cx:pt idx="32">0.0017584532556361944</cx:pt>
          <cx:pt idx="33">0.0052621463518025182</cx:pt>
          <cx:pt idx="34">6.3244792692133931e-05</cx:pt>
          <cx:pt idx="35">0.02551089824868211</cx:pt>
          <cx:pt idx="36">0.015186393531880837</cx:pt>
          <cx:pt idx="37">0.020802477870915968</cx:pt>
          <cx:pt idx="38">0.01735149798210223</cx:pt>
          <cx:pt idx="39">0.075497753266779391</cx:pt>
          <cx:pt idx="40">0.060025505595316858</cx:pt>
          <cx:pt idx="41">0.037651449028276274</cx:pt>
          <cx:pt idx="42">6.2153697135786408e-05</cx:pt>
          <cx:pt idx="43">0.0010196607009875245</cx:pt>
          <cx:pt idx="44">0.028417524350747531</cx:pt>
          <cx:pt idx="45">0.004638821190810492</cx:pt>
          <cx:pt idx="46">0.0022341242998749579</cx:pt>
          <cx:pt idx="47">0.0077338424623510276</cx:pt>
          <cx:pt idx="48">0.0017253204442120873</cx:pt>
          <cx:pt idx="49">0.0011015469837598367</cx:pt>
          <cx:pt idx="50">0.0018925500796606873</cx:pt>
          <cx:pt idx="51">0.014288306151028154</cx:pt>
          <cx:pt idx="52">0.027451670663850104</cx:pt>
          <cx:pt idx="53">0.011400795685206353</cx:pt>
          <cx:pt idx="54">0.023400316906969518</cx:pt>
          <cx:pt idx="55">0.004899042025780862</cx:pt>
          <cx:pt idx="56">0.0063552798535919308</cx:pt>
          <cx:pt idx="57">0.11106032043945997</cx:pt>
          <cx:pt idx="58">0.011652961551903245</cx:pt>
          <cx:pt idx="59">0.0083049047543479731</cx:pt>
          <cx:pt idx="60">0.0083770257535803732</cx:pt>
          <cx:pt idx="61">0.012715620957460844</cx:pt>
          <cx:pt idx="62">0.0072824644048668117</cx:pt>
          <cx:pt idx="63">0.0039390642882994745</cx:pt>
          <cx:pt idx="64">0.00046819215164505045</cx:pt>
          <cx:pt idx="65">0.0093737809803387268</cx:pt>
          <cx:pt idx="66">0.0042308562859368071</cx:pt>
          <cx:pt idx="67">0.0011971162361046172</cx:pt>
          <cx:pt idx="68">0.0037227306438855148</cx:pt>
          <cx:pt idx="69">0.0060078083923501661</cx:pt>
          <cx:pt idx="70">0.003700253095369371</cx:pt>
          <cx:pt idx="71">0.080370547694764274</cx:pt>
          <cx:pt idx="72">0.05042211092698913</cx:pt>
          <cx:pt idx="73">0.045924864630557026</cx:pt>
          <cx:pt idx="74">0.0040549819352347369</cx:pt>
          <cx:pt idx="75">0.0035544174132976611</cx:pt>
          <cx:pt idx="76">0.0038269965751242248</cx:pt>
          <cx:pt idx="77">0.0025040885508702572</cx:pt>
          <cx:pt idx="78">0.0046508382006016135</cx:pt>
          <cx:pt idx="79">0.0035156225950877707</cx:pt>
          <cx:pt idx="80">0.0023033082438691272</cx:pt>
          <cx:pt idx="81">0.0007346655499806383</cx:pt>
          <cx:pt idx="82">0.0039750721965510051</cx:pt>
          <cx:pt idx="83">0.0018662280559179339</cx:pt>
        </cx:lvl>
      </cx:numDim>
    </cx:data>
  </cx:chartData>
  <cx:chart>
    <cx:plotArea>
      <cx:plotAreaRegion>
        <cx:series layoutId="treemap" uniqueId="{75819AD3-20BC-4DF0-9903-356B5C92C723}">
          <cx:tx>
            <cx:txData>
              <cx:f>Sheet1!$C$1</cx:f>
              <cx:v>Series1</cx:v>
            </cx:txData>
          </cx:tx>
          <cx:spPr>
            <a:ln>
              <a:noFill/>
            </a:ln>
          </cx:spPr>
          <cx:dataLabels>
            <cx:numFmt formatCode="0.0%" sourceLinked="0"/>
            <cx:txPr>
              <a:bodyPr spcFirstLastPara="1" vertOverflow="ellipsis" horzOverflow="overflow" wrap="square" lIns="0" tIns="0" rIns="0" bIns="0" anchor="ctr" anchorCtr="1"/>
              <a:lstStyle/>
              <a:p>
                <a:pPr algn="ctr" rtl="0">
                  <a:defRPr sz="600">
                    <a:latin typeface="Segoe UI Light" panose="020B0502040204020203" pitchFamily="34" charset="0"/>
                    <a:ea typeface="Segoe UI Light" panose="020B0502040204020203" pitchFamily="34" charset="0"/>
                    <a:cs typeface="Segoe UI Light" panose="020B0502040204020203" pitchFamily="34" charset="0"/>
                  </a:defRPr>
                </a:pPr>
                <a:endParaRPr lang="en-US" sz="600" b="0" i="0" u="none" strike="noStrike" baseline="0">
                  <a:solidFill>
                    <a:sysClr val="window" lastClr="FFFFFF"/>
                  </a:solidFill>
                  <a:latin typeface="Segoe UI Light" panose="020B0502040204020203" pitchFamily="34" charset="0"/>
                  <a:cs typeface="Segoe UI Light" panose="020B0502040204020203" pitchFamily="34" charset="0"/>
                </a:endParaRPr>
              </a:p>
            </cx:txPr>
            <cx:visibility seriesName="0" categoryName="1" value="1"/>
            <cx:separator>
</cx:separator>
            <cx:dataLabel idx="4">
              <cx:numFmt formatCode="0.0%" sourceLinked="0"/>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Segoe UI Light" panose="020B0502040204020203" pitchFamily="34" charset="0"/>
                      <a:cs typeface="Segoe UI Light" panose="020B0502040204020203" pitchFamily="34" charset="0"/>
                    </a:rPr>
                    <a:t>Ieguves rūpniecība un karjeru izstrāde</a:t>
                  </a:r>
                </a:p>
              </cx:txPr>
              <cx:visibility seriesName="0" categoryName="1" value="1"/>
              <cx:separator>
</cx:separator>
            </cx:dataLabel>
            <cx:dataLabel idx="35">
              <cx:numFmt formatCode="0.0%" sourceLinked="0"/>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Segoe UI Light" panose="020B0502040204020203" pitchFamily="34" charset="0"/>
                      <a:cs typeface="Segoe UI Light" panose="020B0502040204020203" pitchFamily="34" charset="0"/>
                    </a:rPr>
                    <a:t>Ūdens...</a:t>
                  </a:r>
                </a:p>
              </cx:txPr>
              <cx:visibility seriesName="0" categoryName="1" value="1"/>
              <cx:separator>
</cx:separator>
            </cx:dataLabel>
            <cx:dataLabel idx="78">
              <cx:numFmt formatCode="0.0%" sourceLinked="0"/>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solidFill>
                      <a:latin typeface="Segoe UI Light" panose="020B0502040204020203" pitchFamily="34" charset="0"/>
                      <a:cs typeface="Segoe UI Light" panose="020B0502040204020203" pitchFamily="34" charset="0"/>
                    </a:rPr>
                    <a:t>Administra...</a:t>
                  </a:r>
                </a:p>
              </cx:txPr>
              <cx:visibility seriesName="0" categoryName="1" value="1"/>
              <cx:separator>
</cx:separator>
            </cx:dataLabel>
            <cx:dataLabel idx="98">
              <cx:numFmt formatCode="0.0%" sourceLinked="0"/>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solidFill>
                      <a:latin typeface="Segoe UI Light" panose="020B0502040204020203" pitchFamily="34" charset="0"/>
                      <a:cs typeface="Segoe UI Light" panose="020B0502040204020203" pitchFamily="34" charset="0"/>
                    </a:rPr>
                    <a:t>Citi pakalpojumi</a:t>
                  </a:r>
                </a:p>
              </cx:txPr>
              <cx:visibility seriesName="0" categoryName="1" value="1"/>
              <cx:separator>
</cx:separator>
            </cx:dataLabel>
            <cx:dataLabelHidden idx="3"/>
            <cx:dataLabelHidden idx="6"/>
            <cx:dataLabelHidden idx="37"/>
            <cx:dataLabelHidden idx="99"/>
            <cx:dataLabelHidden idx="100"/>
            <cx:dataLabelHidden idx="102"/>
            <cx:dataLabelHidden idx="103"/>
          </cx:dataLabels>
          <cx:dataId val="0"/>
          <cx:layoutPr/>
        </cx:series>
      </cx:plotAreaRegion>
    </cx:plotArea>
  </cx:chart>
  <cx:spPr>
    <a:noFill/>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Sheet1!$A$2:$B$84</cx:f>
        <cx:lvl ptCount="83">
          <cx:pt idx="0">Augkopība un lopkopība</cx:pt>
          <cx:pt idx="1">Mežsaimniecība un mežizstrāde</cx:pt>
          <cx:pt idx="2">Zivsaimniecība</cx:pt>
          <cx:pt idx="3">Jēlnaftas un dabasgāzes ieguve</cx:pt>
          <cx:pt idx="4">Karjeru izstrāde</cx:pt>
          <cx:pt idx="5">Rūpniecības palīgdarbības</cx:pt>
          <cx:pt idx="6">Pārtikas produktu ražošana</cx:pt>
          <cx:pt idx="7">Dzērienu ražošana</cx:pt>
          <cx:pt idx="8">Tabakas izstrādājumu ražošana</cx:pt>
          <cx:pt idx="9">Tekstilizstrādājumu ražošana</cx:pt>
          <cx:pt idx="10">Apģērbu ražošana</cx:pt>
          <cx:pt idx="11">Ādas izstrādājumu ražošana</cx:pt>
          <cx:pt idx="12">Kokapstrāde</cx:pt>
          <cx:pt idx="13">Papīra izstrādājumu ražošana</cx:pt>
          <cx:pt idx="14">Poligrāfija</cx:pt>
          <cx:pt idx="15">Naftas pārstrādes produktu ražošana</cx:pt>
          <cx:pt idx="16">Ķīmiskā rūpniecība</cx:pt>
          <cx:pt idx="17">Farmācija</cx:pt>
          <cx:pt idx="18">Gumijas un plastmasu ražošana</cx:pt>
          <cx:pt idx="19">Nemetālisko minerālu ražošana</cx:pt>
          <cx:pt idx="20">Metālu ražošana</cx:pt>
          <cx:pt idx="21">Metalapstrāde</cx:pt>
          <cx:pt idx="22">Datoru, elektronisko un optisko iekārtu ražošana</cx:pt>
          <cx:pt idx="23">Elektrisko iekārtu ražošana</cx:pt>
          <cx:pt idx="24">Mehānismu un darba mašīnu ražošana</cx:pt>
          <cx:pt idx="25">Transportlīdzekļu ražošana</cx:pt>
          <cx:pt idx="26">Citu transportlīdzekļu ražošana</cx:pt>
          <cx:pt idx="27">Mēbeļu ražošana</cx:pt>
          <cx:pt idx="28">Cita veida ražošana</cx:pt>
          <cx:pt idx="29">Iekārtu un ierīču remonts</cx:pt>
          <cx:pt idx="30">Elektroenerģija, gāzes apgāde, siltumapgāde</cx:pt>
          <cx:pt idx="31">Ūdens ieguve, attīrīšana un apgāde</cx:pt>
          <cx:pt idx="32">Notekūdeņu attīrīšana</cx:pt>
          <cx:pt idx="33">Atkritumu savākšana, pārstrāde</cx:pt>
          <cx:pt idx="34">Sanitārija</cx:pt>
          <cx:pt idx="35">Ēku būvniecība</cx:pt>
          <cx:pt idx="36">Inženierbūvniecība</cx:pt>
          <cx:pt idx="37">Specializētie būvdarbi</cx:pt>
          <cx:pt idx="38">Auto un moto tirdzniecība</cx:pt>
          <cx:pt idx="39">Vairumtirdzniecība</cx:pt>
          <cx:pt idx="40">Mazumtirdzniecība</cx:pt>
          <cx:pt idx="41">Sauszemes un cauruļvadu transports</cx:pt>
          <cx:pt idx="42">Ūdens transports</cx:pt>
          <cx:pt idx="43">Gaisa transports</cx:pt>
          <cx:pt idx="44">Uzglabāšanas un transporta palīgdarbības</cx:pt>
          <cx:pt idx="45">Pasta un kurjeru darbība</cx:pt>
          <cx:pt idx="46">Izmitināšana</cx:pt>
          <cx:pt idx="47">Ēdināšanas pakalpojumi</cx:pt>
          <cx:pt idx="48">Izdevējdarbība</cx:pt>
          <cx:pt idx="49">TV programmu un ierakstu producēšana</cx:pt>
          <cx:pt idx="50">Radio un TV programmu izstrāde</cx:pt>
          <cx:pt idx="51">Telekomunikācija</cx:pt>
          <cx:pt idx="52">Datorprogrammēšana un saistītas darbības</cx:pt>
          <cx:pt idx="53">Informācijas pakalpojumi</cx:pt>
          <cx:pt idx="54">Finanšu pakalpojumi</cx:pt>
          <cx:pt idx="55">Apdrošināšana</cx:pt>
          <cx:pt idx="56">Finanšu pakalpojumu palīgdarbības</cx:pt>
          <cx:pt idx="57">Operācijas ar nekustamo īpašumu</cx:pt>
          <cx:pt idx="58">Juridiskie un grāmatvedības pakalpojumi</cx:pt>
          <cx:pt idx="59">Centrālo biroju darbība, konsultēšana</cx:pt>
          <cx:pt idx="60">Arhitektūras, inženiertehniski pakalpojumi</cx:pt>
          <cx:pt idx="61">Zinātniskās pētniecības darbs</cx:pt>
          <cx:pt idx="62">Reklāmas un tirgus izpētes pakalpojumi</cx:pt>
          <cx:pt idx="63">Citi profesionālie, zinātniskie un tehniskie pakal...</cx:pt>
          <cx:pt idx="64">Veterinārie pakalpojumi</cx:pt>
          <cx:pt idx="65">Iznomāšana un ekspluatācijas līzings</cx:pt>
          <cx:pt idx="66">Personāla nodrošināšana</cx:pt>
          <cx:pt idx="67">Ceļojumu biroju pakalpojumi</cx:pt>
          <cx:pt idx="68">Apsardzes pakalpojumi</cx:pt>
          <cx:pt idx="69">Ēku uzturēšanas pakalpojumi</cx:pt>
          <cx:pt idx="70">Biroju administratīvā darbība</cx:pt>
          <cx:pt idx="71">Valsts pārvalde un aizsardzība</cx:pt>
          <cx:pt idx="72">Izglītība</cx:pt>
          <cx:pt idx="73">Veselības aizsardzība</cx:pt>
          <cx:pt idx="74">Sociālā aprūpe ar izmitināšanu</cx:pt>
          <cx:pt idx="75">Sociālā aprūpe bez izmitināšanas</cx:pt>
          <cx:pt idx="76">Izklaides darbības</cx:pt>
          <cx:pt idx="77">Kultūras iestāžu darbība</cx:pt>
          <cx:pt idx="78">Azartspēles un derības</cx:pt>
          <cx:pt idx="79">Sporta un atpūtas darbības</cx:pt>
          <cx:pt idx="80">Sabiedrisko un politisko organizāciju darbība</cx:pt>
          <cx:pt idx="81">Mājsaimniecības piederumu remonts</cx:pt>
          <cx:pt idx="82">Individuālie pakalpojumi</cx:pt>
        </cx:lvl>
        <cx:lvl ptCount="83">
          <cx:pt idx="0">Lauksaimniecība, mežsaimniecība un zivsaimniecība</cx:pt>
          <cx:pt idx="1">Lauksaimniecība, mežsaimniecība un zivsaimniecība</cx:pt>
          <cx:pt idx="2">Lauksaimniecība, mežsaimniecība un zivsaimniecība</cx:pt>
          <cx:pt idx="3">Ieguves rūpniecība un karjeru izstrāde</cx:pt>
          <cx:pt idx="4">Ieguves rūpniecība un karjeru izstrāde</cx:pt>
          <cx:pt idx="5">Ieguves rūpniecība un karjeru izstrāde</cx:pt>
          <cx:pt idx="6">Apstrādes rūpniecība</cx:pt>
          <cx:pt idx="7">Apstrādes rūpniecība</cx:pt>
          <cx:pt idx="8">Apstrādes rūpniecība</cx:pt>
          <cx:pt idx="9">Apstrādes rūpniecība</cx:pt>
          <cx:pt idx="10">Apstrādes rūpniecība</cx:pt>
          <cx:pt idx="11">Apstrādes rūpniecība</cx:pt>
          <cx:pt idx="12">Apstrādes rūpniecība</cx:pt>
          <cx:pt idx="13">Apstrādes rūpniecība</cx:pt>
          <cx:pt idx="14">Apstrādes rūpniecība</cx:pt>
          <cx:pt idx="15">Apstrādes rūpniecība</cx:pt>
          <cx:pt idx="16">Apstrādes rūpniecība</cx:pt>
          <cx:pt idx="17">Apstrādes rūpniecība</cx:pt>
          <cx:pt idx="18">Apstrādes rūpniecība</cx:pt>
          <cx:pt idx="19">Apstrādes rūpniecība</cx:pt>
          <cx:pt idx="20">Apstrādes rūpniecība</cx:pt>
          <cx:pt idx="21">Apstrādes rūpniecība</cx:pt>
          <cx:pt idx="22">Apstrādes rūpniecība</cx:pt>
          <cx:pt idx="23">Apstrādes rūpniecība</cx:pt>
          <cx:pt idx="24">Apstrādes rūpniecība</cx:pt>
          <cx:pt idx="25">Apstrādes rūpniecība</cx:pt>
          <cx:pt idx="26">Apstrādes rūpniecība</cx:pt>
          <cx:pt idx="27">Apstrādes rūpniecība</cx:pt>
          <cx:pt idx="28">Apstrādes rūpniecība</cx:pt>
          <cx:pt idx="29">Apstrādes rūpniecība</cx:pt>
          <cx:pt idx="30">Elektroenerģija, gāzes un siltumapgāde</cx:pt>
          <cx:pt idx="31">Ūdens apgāde; notekūdeņu un atkritumu apsaimniekoš</cx:pt>
          <cx:pt idx="32">Ūdens apgāde; notekūdeņu un atkritumu apsaimniekoš</cx:pt>
          <cx:pt idx="33">Ūdens apgāde; notekūdeņu un atkritumu apsaimniekoš</cx:pt>
          <cx:pt idx="34">Ūdens apgāde; notekūdeņu un atkritumu apsaimniekoš</cx:pt>
          <cx:pt idx="35">Būvniecība</cx:pt>
          <cx:pt idx="36">Būvniecība</cx:pt>
          <cx:pt idx="37">Būvniecība</cx:pt>
          <cx:pt idx="38">Tirdzniecība</cx:pt>
          <cx:pt idx="39">Tirdzniecība</cx:pt>
          <cx:pt idx="40">Tirdzniecība</cx:pt>
          <cx:pt idx="41">Transports un uzglabāšana</cx:pt>
          <cx:pt idx="42">Transports un uzglabāšana</cx:pt>
          <cx:pt idx="43">Transports un uzglabāšana</cx:pt>
          <cx:pt idx="44">Transports un uzglabāšana</cx:pt>
          <cx:pt idx="45">Transports un uzglabāšana</cx:pt>
          <cx:pt idx="46">Izmitināšana un ēdināšanas pakalpojumi</cx:pt>
          <cx:pt idx="47">Izmitināšana un ēdināšanas pakalpojumi</cx:pt>
          <cx:pt idx="48">Informācijas un komunikācijas pakalpojumi</cx:pt>
          <cx:pt idx="49">Informācijas un komunikācijas pakalpojumi</cx:pt>
          <cx:pt idx="50">Informācijas un komunikācijas pakalpojumi</cx:pt>
          <cx:pt idx="51">Informācijas un komunikācijas pakalpojumi</cx:pt>
          <cx:pt idx="52">Informācijas un komunikācijas pakalpojumi</cx:pt>
          <cx:pt idx="53">Informācijas un komunikācijas pakalpojumi</cx:pt>
          <cx:pt idx="54">Finanšu un apdrošināšanas darbības</cx:pt>
          <cx:pt idx="55">Finanšu un apdrošināšanas darbības</cx:pt>
          <cx:pt idx="56">Finanšu un apdrošināšanas darbības</cx:pt>
          <cx:pt idx="57">Operācijas ar nekustamo īpašumu</cx:pt>
          <cx:pt idx="58">Profesionālie, zinātniskie un tehniskie pakalpojum</cx:pt>
          <cx:pt idx="59">Profesionālie, zinātniskie un tehniskie pakalpojum</cx:pt>
          <cx:pt idx="60">Profesionālie, zinātniskie un tehniskie pakalpojum</cx:pt>
          <cx:pt idx="61">Profesionālie, zinātniskie un tehniskie pakalpojum</cx:pt>
          <cx:pt idx="62">Profesionālie, zinātniskie un tehniskie pakalpojum</cx:pt>
          <cx:pt idx="63">Profesionālie, zinātniskie un tehniskie pakalpojum</cx:pt>
          <cx:pt idx="64">Profesionālie, zinātniskie un tehniskie pakalpojum</cx:pt>
          <cx:pt idx="65">Administratīvo un apkalpojošo dienestu darbība</cx:pt>
          <cx:pt idx="66">Administratīvo un apkalpojošo dienestu darbība</cx:pt>
          <cx:pt idx="67">Administratīvo un apkalpojošo dienestu darbība</cx:pt>
          <cx:pt idx="68">Administratīvo un apkalpojošo dienestu darbība</cx:pt>
          <cx:pt idx="69">Administratīvo un apkalpojošo dienestu darbība</cx:pt>
          <cx:pt idx="70">Administratīvo un apkalpojošo dienestu darbība</cx:pt>
          <cx:pt idx="71">Valsts pārvalde un aizsardzība</cx:pt>
          <cx:pt idx="72">Izglītība</cx:pt>
          <cx:pt idx="73">Veselība un sociālā aprūpe</cx:pt>
          <cx:pt idx="74">Veselība un sociālā aprūpe</cx:pt>
          <cx:pt idx="75">Veselība un sociālā aprūpe</cx:pt>
          <cx:pt idx="76">Māksla, izklaide un atpūta</cx:pt>
          <cx:pt idx="77">Māksla, izklaide un atpūta</cx:pt>
          <cx:pt idx="78">Māksla, izklaide un atpūta</cx:pt>
          <cx:pt idx="79">Māksla, izklaide un atpūta</cx:pt>
          <cx:pt idx="80">Citi pakalp...</cx:pt>
          <cx:pt idx="81">Citi pakalp...</cx:pt>
          <cx:pt idx="82">Citi pakalp...</cx:pt>
        </cx:lvl>
      </cx:strDim>
      <cx:numDim type="size">
        <cx:f>Sheet1!$C$2:$C$84</cx:f>
        <cx:lvl ptCount="83" formatCode="0%">
          <cx:pt idx="0">0.011439178879585586</cx:pt>
          <cx:pt idx="1">0.011408931320115523</cx:pt>
          <cx:pt idx="2">0.0011639708996072299</cx:pt>
          <cx:pt idx="3">1.2323079784099643e-05</cx:pt>
          <cx:pt idx="4">0.0037719826939148632</cx:pt>
          <cx:pt idx="5">4.2570639254162402e-05</cx:pt>
          <cx:pt idx="6">0.021972051255049661</cx:pt>
          <cx:pt idx="7">0.0027458062318934748</cx:pt>
          <cx:pt idx="8">3.6969239352298924e-05</cx:pt>
          <cx:pt idx="9">0.0027872565911672646</cx:pt>
          <cx:pt idx="10">0.0075831751871427711</cx:pt>
          <cx:pt idx="11">0.00023861963581938399</cx:pt>
          <cx:pt idx="12">0.026620092893615971</cx:pt>
          <cx:pt idx="13">0.0016333682113833889</cx:pt>
          <cx:pt idx="14">0.0042660261652592213</cx:pt>
          <cx:pt idx="15">2.5766439548571979e-05</cx:pt>
          <cx:pt idx="16">0.003233128023355597</cx:pt>
          <cx:pt idx="17">0.0028051810708532277</cx:pt>
          <cx:pt idx="18">0.0038044708133456715</cx:pt>
          <cx:pt idx="19">0.0067944980809603933</cx:pt>
          <cx:pt idx="20">0.00086149530490660224</cx:pt>
          <cx:pt idx="21">0.013249551327867861</cx:pt>
          <cx:pt idx="22">0.0027222803523056483</cx:pt>
          <cx:pt idx="23">0.0041483967673200889</cx:pt>
          <cx:pt idx="24">0.0042335380458284133</cx:pt>
          <cx:pt idx="25">0.0025497572353282531</cx:pt>
          <cx:pt idx="26">0.0019425654859662527</cx:pt>
          <cx:pt idx="27">0.0079517473006853866</cx:pt>
          <cx:pt idx="28">0.0025968089945039062</cx:pt>
          <cx:pt idx="29">0.0054087117452393703</cx:pt>
          <cx:pt idx="30">0.012614352578996542</cx:pt>
          <cx:pt idx="31">0.0017868465686944482</cx:pt>
          <cx:pt idx="32">0.0016221654115796619</cx:pt>
          <cx:pt idx="33">0.0045830653997046946</cx:pt>
          <cx:pt idx="34">7.0577638763479771e-05</cx:pt>
          <cx:pt idx="35">0.023764499223645975</cx:pt>
          <cx:pt idx="36">0.016567820629731781</cx:pt>
          <cx:pt idx="37">0.029280757847001123</cx:pt>
          <cx:pt idx="38">0.018591046274284869</cx:pt>
          <cx:pt idx="39">0.049619440890667395</cx:pt>
          <cx:pt idx="40">0.08928183331578228</cx:pt>
          <cx:pt idx="41">0.043657310835123912</cx:pt>
          <cx:pt idx="42">0.00052653159077516653</cx:pt>
          <cx:pt idx="43">0.0014586045344452485</cx:pt>
          <cx:pt idx="44">0.026663783812850509</cx:pt>
          <cx:pt idx="45">0.0051488067897929053</cx:pt>
          <cx:pt idx="46">0.0052485117080460749</cx:pt>
          <cx:pt idx="47">0.025263433837384639</cx:pt>
          <cx:pt idx="48">0.0030516426665352205</cx:pt>
          <cx:pt idx="49">0.0017341934096169315</cx:pt>
          <cx:pt idx="50">0.001978414445338179</cx:pt>
          <cx:pt idx="51">0.0053011648671235914</cx:pt>
          <cx:pt idx="52">0.020669165637876217</cx:pt>
          <cx:pt idx="53">0.010629216453776128</cx:pt>
          <cx:pt idx="54">0.011042599766533653</cx:pt>
          <cx:pt idx="55">0.0030292370669277664</cx:pt>
          <cx:pt idx="56">0.0036028204168785864</cx:pt>
          <cx:pt idx="57">0.030795376380465006</cx:pt>
          <cx:pt idx="58">0.011150146644649431</cx:pt>
          <cx:pt idx="59">0.006541314805396165</cx:pt>
          <cx:pt idx="60">0.011468306159075277</cx:pt>
          <cx:pt idx="61">0.002895923749263416</cx:pt>
          <cx:pt idx="62">0.0070107121171723236</cx:pt>
          <cx:pt idx="63">0.0052462711480853299</cx:pt>
          <cx:pt idx="64">0.00067216798822361686</cx:pt>
          <cx:pt idx="65">0.0045505772802738858</cx:pt>
          <cx:pt idx="66">0.0059363636159949097</cx:pt>
          <cx:pt idx="67">0.0017700423689888578</cx:pt>
          <cx:pt idx="68">0.01176518035387404</cx:pt>
          <cx:pt idx="69">0.013196898168790345</cx:pt>
          <cx:pt idx="70">0.0047611899165839527</cx:pt>
          <cx:pt idx="71">0.071256528431585628</cx:pt>
          <cx:pt idx="72">0.11086738797760336</cx:pt>
          <cx:pt idx="73">0.056885576843364691</cx:pt>
          <cx:pt idx="74">0.0087426649668285103</cx:pt>
          <cx:pt idx="75">0.019517517818053089</cx:pt>
          <cx:pt idx="76">0.010903685048967438</cx:pt>
          <cx:pt idx="77">0.005738074059468942</cx:pt>
          <cx:pt idx="78">0.0028354286303232906</cx:pt>
          <cx:pt idx="79">0.0063519874887131792</cx:pt>
          <cx:pt idx="80">0.0064931427662401385</cx:pt>
          <cx:pt idx="81">0.0012804800175659902</cx:pt>
          <cx:pt idx="82">0.0065289917256120648</cx:pt>
        </cx:lvl>
      </cx:numDim>
    </cx:data>
  </cx:chartData>
  <cx:chart>
    <cx:plotArea>
      <cx:plotAreaRegion>
        <cx:series layoutId="treemap" uniqueId="{75819AD3-20BC-4DF0-9903-356B5C92C723}">
          <cx:tx>
            <cx:txData>
              <cx:f>Sheet1!$C$1</cx:f>
              <cx:v>Series1</cx:v>
            </cx:txData>
          </cx:tx>
          <cx:spPr>
            <a:ln>
              <a:noFill/>
            </a:ln>
          </cx:spPr>
          <cx:dataLabels>
            <cx:numFmt formatCode="0.0%" sourceLinked="0"/>
            <cx:txPr>
              <a:bodyPr spcFirstLastPara="1" vertOverflow="ellipsis" horzOverflow="overflow" wrap="square" lIns="0" tIns="0" rIns="0" bIns="0" anchor="ctr" anchorCtr="1"/>
              <a:lstStyle/>
              <a:p>
                <a:pPr algn="ctr" rtl="0">
                  <a:defRPr sz="600">
                    <a:latin typeface="Segoe UI Light" panose="020B0502040204020203" pitchFamily="34" charset="0"/>
                    <a:ea typeface="Segoe UI Light" panose="020B0502040204020203" pitchFamily="34" charset="0"/>
                    <a:cs typeface="Segoe UI Light" panose="020B0502040204020203" pitchFamily="34" charset="0"/>
                  </a:defRPr>
                </a:pPr>
                <a:endParaRPr lang="en-US" sz="600" b="0" i="0" u="none" strike="noStrike" baseline="0">
                  <a:solidFill>
                    <a:sysClr val="window" lastClr="FFFFFF"/>
                  </a:solidFill>
                  <a:latin typeface="Segoe UI Light" panose="020B0502040204020203" pitchFamily="34" charset="0"/>
                  <a:cs typeface="Segoe UI Light" panose="020B0502040204020203" pitchFamily="34" charset="0"/>
                </a:endParaRPr>
              </a:p>
            </cx:txPr>
            <cx:visibility seriesName="0" categoryName="1" value="1"/>
            <cx:separator>
</cx:separator>
            <cx:dataLabel idx="2">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Mežsaimniecība un mežizstrāde
1.1%</a:t>
                  </a:r>
                </a:p>
              </cx:txPr>
              <cx:visibility seriesName="0" categoryName="1" value="1"/>
              <cx:separator>
</cx:separator>
            </cx:dataLabel>
            <cx:dataLabel idx="10">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Dzērienu ražošana
0.3%</a:t>
                  </a:r>
                </a:p>
              </cx:txPr>
              <cx:visibility seriesName="0" categoryName="1" value="1"/>
              <cx:separator>
</cx:separator>
            </cx:dataLabel>
            <cx:dataLabel idx="12">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Tekstilizstrādājumu ražošana
0.3%</a:t>
                  </a:r>
                </a:p>
              </cx:txPr>
              <cx:visibility seriesName="0" categoryName="1" value="1"/>
              <cx:separator>
</cx:separator>
            </cx:dataLabel>
            <cx:dataLabel idx="19">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Ķīmiskā rūpniecība
0.3%</a:t>
                  </a:r>
                </a:p>
              </cx:txPr>
              <cx:visibility seriesName="0" categoryName="1" value="1"/>
              <cx:separator>
</cx:separator>
            </cx:dataLabel>
            <cx:dataLabel idx="20">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Farmācija
0.3%</a:t>
                  </a:r>
                </a:p>
              </cx:txPr>
              <cx:visibility seriesName="0" categoryName="1" value="1"/>
              <cx:separator>
</cx:separator>
            </cx:dataLabel>
            <cx:dataLabel idx="21">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Gumijas un plastmasu ražošana
0.4%</a:t>
                  </a:r>
                </a:p>
              </cx:txPr>
              <cx:visibility seriesName="0" categoryName="1" value="1"/>
              <cx:separator>
</cx:separator>
            </cx:dataLabel>
            <cx:dataLabel idx="25">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Datoru, elektronisko un optisko iekārtu ražošana
0.3%</a:t>
                  </a:r>
                </a:p>
              </cx:txPr>
              <cx:visibility seriesName="0" categoryName="1" value="1"/>
              <cx:separator>
</cx:separator>
            </cx:dataLabel>
            <cx:dataLabel idx="26">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Elektrisko iekārtu ražošana
0.4%</a:t>
                  </a:r>
                </a:p>
              </cx:txPr>
              <cx:visibility seriesName="0" categoryName="1" value="1"/>
              <cx:separator>
</cx:separator>
            </cx:dataLabel>
            <cx:dataLabel idx="27">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Mehānismu un darba mašīnu ražošana
0.4%</a:t>
                  </a:r>
                </a:p>
              </cx:txPr>
              <cx:visibility seriesName="0" categoryName="1" value="1"/>
              <cx:separator>
</cx:separator>
            </cx:dataLabel>
            <cx:dataLabel idx="28">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Transportlīdzekļu ražošana
0.3%</a:t>
                  </a:r>
                </a:p>
              </cx:txPr>
              <cx:visibility seriesName="0" categoryName="1" value="1"/>
              <cx:separator>
</cx:separator>
            </cx:dataLabel>
            <cx:dataLabel idx="31">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Cita veida ražošana
0.3%</a:t>
                  </a:r>
                </a:p>
              </cx:txPr>
              <cx:visibility seriesName="0" categoryName="1" value="1"/>
              <cx:separator>
</cx:separator>
            </cx:dataLabel>
            <cx:dataLabel idx="35">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Ūdens apgāde; notekūdeņu un atkritumu apsaimniekoš</a:t>
                  </a:r>
                </a:p>
              </cx:txPr>
              <cx:visibility seriesName="0" categoryName="1" value="1"/>
              <cx:separator>
</cx:separator>
            </cx:dataLabel>
            <cx:dataLabel idx="51">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Gaisa transports
0.1%</a:t>
                  </a:r>
                </a:p>
              </cx:txPr>
              <cx:visibility seriesName="0" categoryName="1" value="1"/>
              <cx:separator>
</cx:separator>
            </cx:dataLabel>
            <cx:dataLabel idx="55">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Izmitināšana
0.5%</a:t>
                  </a:r>
                </a:p>
              </cx:txPr>
              <cx:visibility seriesName="0" categoryName="1" value="1"/>
              <cx:separator>
</cx:separator>
            </cx:dataLabel>
            <cx:dataLabel idx="58">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Izdevējdarbība
0.3%</a:t>
                  </a:r>
                </a:p>
              </cx:txPr>
              <cx:visibility seriesName="0" categoryName="1" value="1"/>
              <cx:separator>
</cx:separator>
            </cx:dataLabel>
            <cx:dataLabel idx="60">
              <cx:numFmt formatCode="0.0%" sourceLinked="0"/>
              <cx:txPr>
                <a:bodyPr spcFirstLastPara="1" vertOverflow="ellipsis" horzOverflow="overflow" wrap="square" lIns="0" tIns="0" rIns="0" bIns="0" anchor="ctr" anchorCtr="1"/>
                <a:lstStyle/>
                <a:p>
                  <a:pPr algn="ctr" rtl="0">
                    <a:defRPr sz="300"/>
                  </a:pPr>
                  <a:r>
                    <a:rPr lang="en-US" sz="300" b="0" i="0" u="none" strike="noStrike" baseline="0">
                      <a:solidFill>
                        <a:sysClr val="window" lastClr="FFFFFF"/>
                      </a:solidFill>
                      <a:latin typeface="Segoe UI Light" panose="020B0502040204020203" pitchFamily="34" charset="0"/>
                      <a:cs typeface="Segoe UI Light" panose="020B0502040204020203" pitchFamily="34" charset="0"/>
                    </a:rPr>
                    <a:t>Radio un TV programmu izstrāde
0.2%</a:t>
                  </a:r>
                </a:p>
              </cx:txPr>
              <cx:visibility seriesName="0" categoryName="1" value="1"/>
              <cx:separator>
</cx:separator>
            </cx:dataLabel>
            <cx:dataLabel idx="61">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Telekomunikācija
0.5%</a:t>
                  </a:r>
                </a:p>
              </cx:txPr>
              <cx:visibility seriesName="0" categoryName="1" value="1"/>
              <cx:separator>
</cx:separator>
            </cx:dataLabel>
            <cx:dataLabel idx="66">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Apdrošināšana
0.3%</a:t>
                  </a:r>
                </a:p>
              </cx:txPr>
              <cx:visibility seriesName="0" categoryName="1" value="1"/>
              <cx:separator>
</cx:separator>
            </cx:dataLabel>
            <cx:dataLabel idx="67">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Finanšu pakalpojumu palīgdarbības
0.4%</a:t>
                  </a:r>
                </a:p>
              </cx:txPr>
              <cx:visibility seriesName="0" categoryName="1" value="1"/>
              <cx:separator>
</cx:separator>
            </cx:dataLabel>
            <cx:dataLabel idx="74">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Zinātniskās pētniecības darbs
0.3%</a:t>
                  </a:r>
                </a:p>
              </cx:txPr>
              <cx:visibility seriesName="0" categoryName="1" value="1"/>
              <cx:separator>
</cx:separator>
            </cx:dataLabel>
            <cx:dataLabel idx="76">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Citi profesionālie, zinātniskie un tehniskie pakal...
0.5%</a:t>
                  </a:r>
                </a:p>
              </cx:txPr>
              <cx:visibility seriesName="0" categoryName="1" value="1"/>
              <cx:separator>
</cx:separator>
            </cx:dataLabel>
            <cx:dataLabel idx="79">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Iznomāšana un ekspluatācijas līzings
0.5%</a:t>
                  </a:r>
                </a:p>
              </cx:txPr>
              <cx:visibility seriesName="0" categoryName="1" value="1"/>
              <cx:separator>
</cx:separator>
            </cx:dataLabel>
            <cx:dataLabel idx="80">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Personāla nodrošināšana
0.6%</a:t>
                  </a:r>
                </a:p>
              </cx:txPr>
              <cx:visibility seriesName="0" categoryName="1" value="1"/>
              <cx:separator>
</cx:separator>
            </cx:dataLabel>
            <cx:dataLabel idx="81">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Ceļojumu biroju pakalpojumi
0.2%</a:t>
                  </a:r>
                </a:p>
              </cx:txPr>
              <cx:visibility seriesName="0" categoryName="1" value="1"/>
              <cx:separator>
</cx:separator>
            </cx:dataLabel>
            <cx:dataLabel idx="96">
              <cx:numFmt formatCode="0.0%" sourceLinked="0"/>
              <cx:txPr>
                <a:bodyPr spcFirstLastPara="1" vertOverflow="ellipsis" horzOverflow="overflow" wrap="square" lIns="0" tIns="0" rIns="0" bIns="0" anchor="ctr" anchorCtr="1"/>
                <a:lstStyle/>
                <a:p>
                  <a:pPr algn="ctr" rtl="0">
                    <a:defRPr sz="400"/>
                  </a:pPr>
                  <a:r>
                    <a:rPr lang="en-US" sz="400" b="0" i="0" u="none" strike="noStrike" baseline="0">
                      <a:solidFill>
                        <a:sysClr val="window" lastClr="FFFFFF"/>
                      </a:solidFill>
                      <a:latin typeface="Segoe UI Light" panose="020B0502040204020203" pitchFamily="34" charset="0"/>
                      <a:cs typeface="Segoe UI Light" panose="020B0502040204020203" pitchFamily="34" charset="0"/>
                    </a:rPr>
                    <a:t>Azartspēles un derības
0.3%</a:t>
                  </a:r>
                </a:p>
              </cx:txPr>
              <cx:visibility seriesName="0" categoryName="1" value="1"/>
              <cx:separator>
</cx:separator>
            </cx:dataLabel>
            <cx:dataLabel idx="97">
              <cx:numFmt formatCode="0.0%" sourceLinked="0"/>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solidFill>
                      <a:latin typeface="Segoe UI Light" panose="020B0502040204020203" pitchFamily="34" charset="0"/>
                      <a:cs typeface="Segoe UI Light" panose="020B0502040204020203" pitchFamily="34" charset="0"/>
                    </a:rPr>
                    <a:t>Sporta un atpūtas darbības
0.6%</a:t>
                  </a:r>
                </a:p>
              </cx:txPr>
              <cx:visibility seriesName="0" categoryName="1" value="1"/>
              <cx:separator>
</cx:separator>
            </cx:dataLabel>
            <cx:dataLabel idx="99">
              <cx:numFmt formatCode="0.0%" sourceLinked="0"/>
              <cx:txPr>
                <a:bodyPr spcFirstLastPara="1" vertOverflow="ellipsis" horzOverflow="overflow" wrap="square" lIns="0" tIns="0" rIns="0" bIns="0" anchor="ctr" anchorCtr="1"/>
                <a:lstStyle/>
                <a:p>
                  <a:pPr algn="ctr" rtl="0">
                    <a:defRPr sz="500"/>
                  </a:pPr>
                  <a:r>
                    <a:rPr lang="en-US" sz="500" b="0" i="0" u="none" strike="noStrike" baseline="0">
                      <a:solidFill>
                        <a:sysClr val="window" lastClr="FFFFFF"/>
                      </a:solidFill>
                      <a:latin typeface="Segoe UI Light" panose="020B0502040204020203" pitchFamily="34" charset="0"/>
                      <a:cs typeface="Segoe UI Light" panose="020B0502040204020203" pitchFamily="34" charset="0"/>
                    </a:rPr>
                    <a:t>Sabiedrisko un politisko organizāciju darbība
0.6%</a:t>
                  </a:r>
                </a:p>
              </cx:txPr>
              <cx:visibility seriesName="0" categoryName="1" value="1"/>
              <cx:separator>
</cx:separator>
            </cx:dataLabel>
            <cx:dataLabelHidden idx="16"/>
            <cx:dataLabelHidden idx="23"/>
            <cx:dataLabelHidden idx="29"/>
            <cx:dataLabelHidden idx="36"/>
            <cx:dataLabelHidden idx="37"/>
            <cx:dataLabelHidden idx="38"/>
            <cx:dataLabelHidden idx="50"/>
            <cx:dataLabelHidden idx="59"/>
            <cx:dataLabelHidden idx="100"/>
          </cx:dataLabels>
          <cx:dataId val="0"/>
          <cx:layoutPr/>
        </cx:series>
      </cx:plotAreaRegion>
    </cx:plotArea>
  </cx:chart>
  <cx:spPr>
    <a:no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0.05305</cdr:x>
      <cdr:y>0.50803</cdr:y>
    </cdr:from>
    <cdr:to>
      <cdr:x>0.33123</cdr:x>
      <cdr:y>0.63071</cdr:y>
    </cdr:to>
    <cdr:sp macro="" textlink="">
      <cdr:nvSpPr>
        <cdr:cNvPr id="2" name="Text Box 1"/>
        <cdr:cNvSpPr txBox="1"/>
      </cdr:nvSpPr>
      <cdr:spPr>
        <a:xfrm xmlns:a="http://schemas.openxmlformats.org/drawingml/2006/main">
          <a:off x="148953" y="1097159"/>
          <a:ext cx="781121" cy="2649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lv-LV" sz="800" b="0" dirty="0">
              <a:latin typeface="Segoe UI Light" panose="020B0502040204020203" pitchFamily="34" charset="0"/>
              <a:cs typeface="Segoe UI Light" panose="020B0502040204020203" pitchFamily="34" charset="0"/>
            </a:rPr>
            <a:t>vidēji – 6.5%</a:t>
          </a:r>
        </a:p>
      </cdr:txBody>
    </cdr:sp>
  </cdr:relSizeAnchor>
</c:userShapes>
</file>

<file path=word/drawings/drawing10.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1.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12.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2.xml><?xml version="1.0" encoding="utf-8"?>
<c:userShapes xmlns:c="http://schemas.openxmlformats.org/drawingml/2006/chart">
  <cdr:relSizeAnchor xmlns:cdr="http://schemas.openxmlformats.org/drawingml/2006/chartDrawing">
    <cdr:from>
      <cdr:x>0.20367</cdr:x>
      <cdr:y>0.62292</cdr:y>
    </cdr:from>
    <cdr:to>
      <cdr:x>0.57494</cdr:x>
      <cdr:y>0.7597</cdr:y>
    </cdr:to>
    <cdr:sp macro="" textlink="">
      <cdr:nvSpPr>
        <cdr:cNvPr id="2" name="Text Box 5"/>
        <cdr:cNvSpPr txBox="1"/>
      </cdr:nvSpPr>
      <cdr:spPr>
        <a:xfrm xmlns:a="http://schemas.openxmlformats.org/drawingml/2006/main">
          <a:off x="565177" y="1190625"/>
          <a:ext cx="1030262" cy="26142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l">
            <a:spcAft>
              <a:spcPts val="0"/>
            </a:spcAft>
          </a:pPr>
          <a:r>
            <a:rPr lang="lv-LV"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rPr>
            <a:t>2018. gada maija beigas (6.4%)</a:t>
          </a:r>
          <a:endParaRPr lang="en-GB"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endParaRPr>
        </a:p>
      </cdr:txBody>
    </cdr:sp>
  </cdr:relSizeAnchor>
  <cdr:relSizeAnchor xmlns:cdr="http://schemas.openxmlformats.org/drawingml/2006/chartDrawing">
    <cdr:from>
      <cdr:x>0.20139</cdr:x>
      <cdr:y>0.75238</cdr:y>
    </cdr:from>
    <cdr:to>
      <cdr:x>0.64188</cdr:x>
      <cdr:y>0.83944</cdr:y>
    </cdr:to>
    <cdr:sp macro="" textlink="">
      <cdr:nvSpPr>
        <cdr:cNvPr id="3" name="Text Box 5"/>
        <cdr:cNvSpPr txBox="1"/>
      </cdr:nvSpPr>
      <cdr:spPr>
        <a:xfrm xmlns:a="http://schemas.openxmlformats.org/drawingml/2006/main">
          <a:off x="558854" y="1438068"/>
          <a:ext cx="1222321" cy="16640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lv-LV"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rPr>
            <a:t>2019. gada maija beigas (6.1%)</a:t>
          </a:r>
          <a:endParaRPr lang="en-GB"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endParaRPr>
        </a:p>
      </cdr:txBody>
    </cdr:sp>
  </cdr:relSizeAnchor>
  <cdr:relSizeAnchor xmlns:cdr="http://schemas.openxmlformats.org/drawingml/2006/chartDrawing">
    <cdr:from>
      <cdr:x>0.64188</cdr:x>
      <cdr:y>0.38829</cdr:y>
    </cdr:from>
    <cdr:to>
      <cdr:x>0.97941</cdr:x>
      <cdr:y>0.48839</cdr:y>
    </cdr:to>
    <cdr:sp macro="" textlink="">
      <cdr:nvSpPr>
        <cdr:cNvPr id="4" name="Text Box 5"/>
        <cdr:cNvSpPr txBox="1"/>
      </cdr:nvSpPr>
      <cdr:spPr>
        <a:xfrm xmlns:a="http://schemas.openxmlformats.org/drawingml/2006/main">
          <a:off x="1781176" y="742163"/>
          <a:ext cx="936624" cy="19132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lv-LV"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rPr>
            <a:t>2017. gada maija beigas (7.4%)</a:t>
          </a:r>
          <a:endParaRPr lang="en-GB" sz="600" b="0">
            <a:solidFill>
              <a:sysClr val="windowText" lastClr="000000"/>
            </a:solidFill>
            <a:effectLst/>
            <a:latin typeface="Calibri Light" panose="020F0302020204030204" pitchFamily="34" charset="0"/>
            <a:ea typeface="Calibri" panose="020F0502020204030204" pitchFamily="34" charset="0"/>
            <a:cs typeface="Calibri Light" panose="020F030202020403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0.63322</cdr:x>
      <cdr:y>0</cdr:y>
    </cdr:from>
    <cdr:to>
      <cdr:x>0.63322</cdr:x>
      <cdr:y>0.92229</cdr:y>
    </cdr:to>
    <cdr:cxnSp macro="">
      <cdr:nvCxnSpPr>
        <cdr:cNvPr id="3" name="Straight Connector 2"/>
        <cdr:cNvCxnSpPr/>
      </cdr:nvCxnSpPr>
      <cdr:spPr>
        <a:xfrm xmlns:a="http://schemas.openxmlformats.org/drawingml/2006/main">
          <a:off x="1595504" y="0"/>
          <a:ext cx="0" cy="2988007"/>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0.63862</cdr:x>
      <cdr:y>0.61642</cdr:y>
    </cdr:from>
    <cdr:to>
      <cdr:x>1</cdr:x>
      <cdr:y>0.87317</cdr:y>
    </cdr:to>
    <cdr:sp macro="" textlink="">
      <cdr:nvSpPr>
        <cdr:cNvPr id="4" name="Text Box 3"/>
        <cdr:cNvSpPr txBox="1"/>
      </cdr:nvSpPr>
      <cdr:spPr>
        <a:xfrm xmlns:a="http://schemas.openxmlformats.org/drawingml/2006/main">
          <a:off x="1609107" y="2109790"/>
          <a:ext cx="910573" cy="878765"/>
        </a:xfrm>
        <a:prstGeom xmlns:a="http://schemas.openxmlformats.org/drawingml/2006/main" prst="rect">
          <a:avLst/>
        </a:prstGeom>
      </cdr:spPr>
      <cdr:txBody>
        <a:bodyPr xmlns:a="http://schemas.openxmlformats.org/drawingml/2006/main" vertOverflow="clip" wrap="square" tIns="36000" bIns="36000" rtlCol="0"/>
        <a:lstStyle xmlns:a="http://schemas.openxmlformats.org/drawingml/2006/main"/>
        <a:p xmlns:a="http://schemas.openxmlformats.org/drawingml/2006/main">
          <a:pPr algn="l"/>
          <a:r>
            <a:rPr lang="lv-LV" sz="800">
              <a:latin typeface="Segoe UI Light" panose="020B0502040204020203" pitchFamily="34" charset="0"/>
              <a:cs typeface="Segoe UI Semilight" panose="020B0402040204020203" pitchFamily="34" charset="0"/>
            </a:rPr>
            <a:t>Vidējais </a:t>
          </a:r>
          <a:r>
            <a:rPr lang="lv-LV" sz="800" baseline="0">
              <a:latin typeface="Segoe UI Light" panose="020B0502040204020203" pitchFamily="34" charset="0"/>
              <a:cs typeface="Segoe UI Semilight" panose="020B0402040204020203" pitchFamily="34" charset="0"/>
            </a:rPr>
            <a:t>līmenis</a:t>
          </a:r>
          <a:endParaRPr lang="lv-LV" sz="800" baseline="0">
            <a:latin typeface="Segoe UI Light" panose="020B0502040204020203" pitchFamily="34" charset="0"/>
            <a:ea typeface="+mn-ea"/>
            <a:cs typeface="Segoe UI Semilight" panose="020B0402040204020203" pitchFamily="34" charset="0"/>
          </a:endParaRPr>
        </a:p>
        <a:p xmlns:a="http://schemas.openxmlformats.org/drawingml/2006/main">
          <a:pPr algn="l"/>
          <a:r>
            <a:rPr lang="lv-LV" sz="800" baseline="0">
              <a:latin typeface="Segoe UI Light" panose="020B0502040204020203" pitchFamily="34" charset="0"/>
              <a:cs typeface="Segoe UI Semilight" panose="020B0402040204020203" pitchFamily="34" charset="0"/>
            </a:rPr>
            <a:t>šīs kvalifikācijas</a:t>
          </a:r>
        </a:p>
        <a:p xmlns:a="http://schemas.openxmlformats.org/drawingml/2006/main">
          <a:pPr algn="l"/>
          <a:r>
            <a:rPr lang="lv-LV" sz="800" baseline="0">
              <a:latin typeface="Segoe UI Light" panose="020B0502040204020203" pitchFamily="34" charset="0"/>
              <a:cs typeface="Segoe UI Semilight" panose="020B0402040204020203" pitchFamily="34" charset="0"/>
            </a:rPr>
            <a:t>profesijās - 32%</a:t>
          </a:r>
          <a:endParaRPr lang="lv-LV" sz="800">
            <a:latin typeface="Segoe UI Light" panose="020B0502040204020203" pitchFamily="34" charset="0"/>
            <a:cs typeface="Segoe UI Semilight" panose="020B0402040204020203"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0.52399</cdr:x>
      <cdr:y>0.01224</cdr:y>
    </cdr:from>
    <cdr:to>
      <cdr:x>0.52399</cdr:x>
      <cdr:y>0.93955</cdr:y>
    </cdr:to>
    <cdr:cxnSp macro="">
      <cdr:nvCxnSpPr>
        <cdr:cNvPr id="3" name="Straight Connector 2"/>
        <cdr:cNvCxnSpPr/>
      </cdr:nvCxnSpPr>
      <cdr:spPr>
        <a:xfrm xmlns:a="http://schemas.openxmlformats.org/drawingml/2006/main">
          <a:off x="1037462" y="52897"/>
          <a:ext cx="0" cy="4005891"/>
        </a:xfrm>
        <a:prstGeom xmlns:a="http://schemas.openxmlformats.org/drawingml/2006/main" prst="line">
          <a:avLst/>
        </a:prstGeom>
        <a:ln xmlns:a="http://schemas.openxmlformats.org/drawingml/2006/main" w="25400">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0.56221</cdr:x>
      <cdr:y>0.67691</cdr:y>
    </cdr:from>
    <cdr:to>
      <cdr:x>0.92303</cdr:x>
      <cdr:y>0.91945</cdr:y>
    </cdr:to>
    <cdr:sp macro="" textlink="">
      <cdr:nvSpPr>
        <cdr:cNvPr id="4" name="Text Box 3"/>
        <cdr:cNvSpPr txBox="1"/>
      </cdr:nvSpPr>
      <cdr:spPr>
        <a:xfrm xmlns:a="http://schemas.openxmlformats.org/drawingml/2006/main">
          <a:off x="1113132" y="2924187"/>
          <a:ext cx="714398" cy="1047750"/>
        </a:xfrm>
        <a:prstGeom xmlns:a="http://schemas.openxmlformats.org/drawingml/2006/main" prst="rect">
          <a:avLst/>
        </a:prstGeom>
      </cdr:spPr>
      <cdr:txBody>
        <a:bodyPr xmlns:a="http://schemas.openxmlformats.org/drawingml/2006/main" vertOverflow="clip" wrap="square" lIns="0" tIns="36000" rIns="0" bIns="36000" rtlCol="0"/>
        <a:lstStyle xmlns:a="http://schemas.openxmlformats.org/drawingml/2006/main"/>
        <a:p xmlns:a="http://schemas.openxmlformats.org/drawingml/2006/main">
          <a:pPr algn="l"/>
          <a:r>
            <a:rPr lang="lv-LV" sz="800">
              <a:latin typeface="Segoe UI Light" panose="020B0502040204020203" pitchFamily="34" charset="0"/>
              <a:cs typeface="Segoe UI Light" panose="020B0502040204020203" pitchFamily="34" charset="0"/>
            </a:rPr>
            <a:t>Vidējais </a:t>
          </a:r>
          <a:r>
            <a:rPr lang="lv-LV" sz="800" baseline="0">
              <a:latin typeface="Segoe UI Light" panose="020B0502040204020203" pitchFamily="34" charset="0"/>
              <a:cs typeface="Segoe UI Light" panose="020B0502040204020203" pitchFamily="34" charset="0"/>
            </a:rPr>
            <a:t>līmenis</a:t>
          </a:r>
          <a:endParaRPr lang="lv-LV" sz="800" baseline="0">
            <a:latin typeface="Segoe UI Light" panose="020B0502040204020203" pitchFamily="34" charset="0"/>
            <a:ea typeface="+mn-ea"/>
            <a:cs typeface="Segoe UI Light" panose="020B0502040204020203" pitchFamily="34" charset="0"/>
          </a:endParaRPr>
        </a:p>
        <a:p xmlns:a="http://schemas.openxmlformats.org/drawingml/2006/main">
          <a:pPr algn="l"/>
          <a:r>
            <a:rPr lang="lv-LV" sz="800" baseline="0">
              <a:latin typeface="Segoe UI Light" panose="020B0502040204020203" pitchFamily="34" charset="0"/>
              <a:cs typeface="Segoe UI Light" panose="020B0502040204020203" pitchFamily="34" charset="0"/>
            </a:rPr>
            <a:t>šīs kvalifikācijas</a:t>
          </a:r>
        </a:p>
        <a:p xmlns:a="http://schemas.openxmlformats.org/drawingml/2006/main">
          <a:pPr algn="l"/>
          <a:r>
            <a:rPr lang="lv-LV" sz="800" baseline="0">
              <a:latin typeface="Segoe UI Light" panose="020B0502040204020203" pitchFamily="34" charset="0"/>
              <a:cs typeface="Segoe UI Light" panose="020B0502040204020203" pitchFamily="34" charset="0"/>
            </a:rPr>
            <a:t>profesijās - 40%</a:t>
          </a:r>
          <a:endParaRPr lang="lv-LV" sz="800">
            <a:latin typeface="Segoe UI Light" panose="020B0502040204020203" pitchFamily="34" charset="0"/>
            <a:cs typeface="Segoe UI Light" panose="020B0502040204020203" pitchFamily="34" charset="0"/>
          </a:endParaRPr>
        </a:p>
        <a:p xmlns:a="http://schemas.openxmlformats.org/drawingml/2006/main">
          <a:pPr algn="r"/>
          <a:endParaRPr lang="lv-LV" sz="800">
            <a:latin typeface="Segoe UI Light" panose="020B0502040204020203" pitchFamily="34" charset="0"/>
            <a:cs typeface="Segoe UI Light" panose="020B0502040204020203"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0.54167</cdr:x>
      <cdr:y>0.29881</cdr:y>
    </cdr:from>
    <cdr:to>
      <cdr:x>0.68712</cdr:x>
      <cdr:y>0.47534</cdr:y>
    </cdr:to>
    <cdr:sp macro="" textlink="">
      <cdr:nvSpPr>
        <cdr:cNvPr id="2" name="TextBox 27"/>
        <cdr:cNvSpPr txBox="1"/>
      </cdr:nvSpPr>
      <cdr:spPr>
        <a:xfrm xmlns:a="http://schemas.openxmlformats.org/drawingml/2006/main">
          <a:off x="3116275" y="788956"/>
          <a:ext cx="836805" cy="46609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pPr algn="ctr" fontAlgn="base">
            <a:lnSpc>
              <a:spcPct val="107000"/>
            </a:lnSpc>
            <a:spcAft>
              <a:spcPts val="0"/>
            </a:spcAft>
          </a:pPr>
          <a:r>
            <a:rPr lang="lv-LV" sz="700" kern="1200">
              <a:solidFill>
                <a:srgbClr val="C00000"/>
              </a:solidFill>
              <a:effectLst/>
              <a:latin typeface="Segoe UI Light" panose="020B0502040204020203" pitchFamily="34" charset="0"/>
              <a:ea typeface="Verdana" panose="020B0604030504040204" pitchFamily="34" charset="0"/>
              <a:cs typeface="Verdana" panose="020B0604030504040204" pitchFamily="34" charset="0"/>
            </a:rPr>
            <a:t>2022.-2030. gadā IKP </a:t>
          </a:r>
          <a:r>
            <a:rPr lang="lv-LV" sz="700" kern="1200">
              <a:solidFill>
                <a:srgbClr val="C00000"/>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rgbClr val="C00000"/>
              </a:solidFill>
              <a:effectLst/>
              <a:latin typeface="Segoe UI Light" panose="020B0502040204020203" pitchFamily="34" charset="0"/>
              <a:ea typeface="Verdana" panose="020B0604030504040204" pitchFamily="34" charset="0"/>
              <a:cs typeface="Verdana" panose="020B0604030504040204" pitchFamily="34" charset="0"/>
            </a:rPr>
            <a:t> vidēji 4,2% gadā</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0.3485</cdr:x>
      <cdr:y>0.05731</cdr:y>
    </cdr:from>
    <cdr:to>
      <cdr:x>0.73167</cdr:x>
      <cdr:y>0.31009</cdr:y>
    </cdr:to>
    <cdr:sp macro="" textlink="">
      <cdr:nvSpPr>
        <cdr:cNvPr id="3" name="Text Box 57"/>
        <cdr:cNvSpPr txBox="1"/>
      </cdr:nvSpPr>
      <cdr:spPr bwMode="auto">
        <a:xfrm xmlns:a="http://schemas.openxmlformats.org/drawingml/2006/main">
          <a:off x="2004928" y="151327"/>
          <a:ext cx="2204415" cy="66742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rot="0" vert="horz" wrap="square" lIns="36000" tIns="0" rIns="36000" bIns="0" anchor="t" anchorCtr="0" upright="1"/>
        <a:lstStyle xmlns:a="http://schemas.openxmlformats.org/drawingml/2006/main"/>
        <a:p xmlns:a="http://schemas.openxmlformats.org/drawingml/2006/main">
          <a:pPr algn="ctr" fontAlgn="base">
            <a:lnSpc>
              <a:spcPct val="107000"/>
            </a:lnSpc>
            <a:spcAft>
              <a:spcPts val="0"/>
            </a:spcAft>
          </a:pPr>
          <a:r>
            <a:rPr lang="lv-LV" sz="700" b="1" kern="1200">
              <a:solidFill>
                <a:srgbClr val="C00000"/>
              </a:solidFill>
              <a:effectLst/>
              <a:latin typeface="Segoe UI Light" panose="020B0502040204020203" pitchFamily="34" charset="0"/>
              <a:ea typeface="Calibri" panose="020F0502020204030204" pitchFamily="34" charset="0"/>
              <a:cs typeface="Arial" panose="020B0604020202020204" pitchFamily="34" charset="0"/>
            </a:rPr>
            <a:t>MĒRĶA SCENĀRIJS</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a:p xmlns:a="http://schemas.openxmlformats.org/drawingml/2006/main">
          <a:pPr algn="ctr" fontAlgn="base">
            <a:lnSpc>
              <a:spcPct val="107000"/>
            </a:lnSpc>
            <a:spcAft>
              <a:spcPts val="0"/>
            </a:spcAft>
          </a:pPr>
          <a:r>
            <a:rPr lang="lv-LV" sz="700" kern="1200">
              <a:solidFill>
                <a:srgbClr val="000000"/>
              </a:solidFill>
              <a:effectLst/>
              <a:latin typeface="Segoe UI Light" panose="020B0502040204020203" pitchFamily="34" charset="0"/>
              <a:ea typeface="Calibri" panose="020F0502020204030204" pitchFamily="34" charset="0"/>
              <a:cs typeface="Arial" panose="020B0604020202020204" pitchFamily="34" charset="0"/>
            </a:rPr>
            <a:t>Latvijas ekonomikas konkurētspējas priekšrocības pamatā tiek balstītas uz tehnoloģiskiem faktoriem, ražošanas efektivitāti, inovācijām</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0.65065</cdr:x>
      <cdr:y>0.53785</cdr:y>
    </cdr:from>
    <cdr:to>
      <cdr:x>0.78962</cdr:x>
      <cdr:y>0.71437</cdr:y>
    </cdr:to>
    <cdr:sp macro="" textlink="">
      <cdr:nvSpPr>
        <cdr:cNvPr id="4" name="TextBox 27"/>
        <cdr:cNvSpPr txBox="1"/>
      </cdr:nvSpPr>
      <cdr:spPr>
        <a:xfrm xmlns:a="http://schemas.openxmlformats.org/drawingml/2006/main">
          <a:off x="3743250" y="1420098"/>
          <a:ext cx="799509" cy="466071"/>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pPr algn="ctr" fontAlgn="base">
            <a:lnSpc>
              <a:spcPct val="107000"/>
            </a:lnSpc>
            <a:spcAft>
              <a:spcPts val="0"/>
            </a:spcAft>
          </a:pPr>
          <a:r>
            <a:rPr lang="lv-LV" sz="700" kern="1200">
              <a:solidFill>
                <a:srgbClr val="4472C4"/>
              </a:solidFill>
              <a:effectLst/>
              <a:latin typeface="Segoe UI Light" panose="020B0502040204020203" pitchFamily="34" charset="0"/>
              <a:ea typeface="Verdana" panose="020B0604030504040204" pitchFamily="34" charset="0"/>
              <a:cs typeface="Verdana" panose="020B0604030504040204" pitchFamily="34" charset="0"/>
            </a:rPr>
            <a:t>2022.-2030. gadā IKP </a:t>
          </a:r>
          <a:r>
            <a:rPr lang="lv-LV" sz="700" kern="1200">
              <a:solidFill>
                <a:srgbClr val="4472C4"/>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rgbClr val="4472C4"/>
              </a:solidFill>
              <a:effectLst/>
              <a:latin typeface="Segoe UI Light" panose="020B0502040204020203" pitchFamily="34" charset="0"/>
              <a:ea typeface="Verdana" panose="020B0604030504040204" pitchFamily="34" charset="0"/>
              <a:cs typeface="Verdana" panose="020B0604030504040204" pitchFamily="34" charset="0"/>
            </a:rPr>
            <a:t> vidēji 2,5%</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0.32805</cdr:x>
      <cdr:y>0.72312</cdr:y>
    </cdr:from>
    <cdr:to>
      <cdr:x>1</cdr:x>
      <cdr:y>0.88381</cdr:y>
    </cdr:to>
    <cdr:sp macro="" textlink="">
      <cdr:nvSpPr>
        <cdr:cNvPr id="5" name="Text Box 59"/>
        <cdr:cNvSpPr txBox="1"/>
      </cdr:nvSpPr>
      <cdr:spPr bwMode="auto">
        <a:xfrm xmlns:a="http://schemas.openxmlformats.org/drawingml/2006/main">
          <a:off x="1887321" y="1909268"/>
          <a:ext cx="3865779" cy="42428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rot="0" vert="horz" wrap="square" lIns="36000" tIns="0" rIns="36000" bIns="0" anchor="t" anchorCtr="0" upright="1"/>
        <a:lstStyle xmlns:a="http://schemas.openxmlformats.org/drawingml/2006/main"/>
        <a:p xmlns:a="http://schemas.openxmlformats.org/drawingml/2006/main">
          <a:pPr algn="ctr" fontAlgn="base">
            <a:lnSpc>
              <a:spcPct val="107000"/>
            </a:lnSpc>
            <a:spcAft>
              <a:spcPts val="0"/>
            </a:spcAft>
          </a:pPr>
          <a:r>
            <a:rPr lang="lv-LV" sz="700" b="1" kern="1200">
              <a:solidFill>
                <a:srgbClr val="4472C4"/>
              </a:solidFill>
              <a:effectLst/>
              <a:latin typeface="Segoe UI Light" panose="020B0502040204020203" pitchFamily="34" charset="0"/>
              <a:ea typeface="Calibri" panose="020F0502020204030204" pitchFamily="34" charset="0"/>
              <a:cs typeface="Arial" panose="020B0604020202020204" pitchFamily="34" charset="0"/>
            </a:rPr>
            <a:t>TRENDA SCENĀRIJS</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a:p xmlns:a="http://schemas.openxmlformats.org/drawingml/2006/main">
          <a:pPr algn="ctr" fontAlgn="base">
            <a:lnSpc>
              <a:spcPct val="107000"/>
            </a:lnSpc>
            <a:spcAft>
              <a:spcPts val="0"/>
            </a:spcAft>
          </a:pPr>
          <a:r>
            <a:rPr lang="lv-LV" sz="700" kern="1200">
              <a:solidFill>
                <a:srgbClr val="000000"/>
              </a:solidFill>
              <a:effectLst/>
              <a:latin typeface="Segoe UI Light" panose="020B0502040204020203" pitchFamily="34" charset="0"/>
              <a:ea typeface="Calibri" panose="020F0502020204030204" pitchFamily="34" charset="0"/>
              <a:cs typeface="Arial" panose="020B0604020202020204" pitchFamily="34" charset="0"/>
            </a:rPr>
            <a:t>Jaunu konkurētspējas priekšrocību trūkums kavē eksporta izaugsmi. Izaugsmi balsta lēni augošs iekšzemes pieprasījums. Ekonomikas attīstība atbiltoša iepriekšējās desmitgades izaugsmes trendam</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0.73494</cdr:x>
      <cdr:y>0.02151</cdr:y>
    </cdr:from>
    <cdr:to>
      <cdr:x>0.8727</cdr:x>
      <cdr:y>0.19804</cdr:y>
    </cdr:to>
    <cdr:sp macro="" textlink="">
      <cdr:nvSpPr>
        <cdr:cNvPr id="6" name="TextBox 27"/>
        <cdr:cNvSpPr txBox="1"/>
      </cdr:nvSpPr>
      <cdr:spPr>
        <a:xfrm xmlns:a="http://schemas.openxmlformats.org/drawingml/2006/main">
          <a:off x="4228186" y="56804"/>
          <a:ext cx="792552" cy="46609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kern="1200">
              <a:solidFill>
                <a:srgbClr val="C00000"/>
              </a:solidFill>
              <a:effectLst/>
              <a:latin typeface="Segoe UI Light" panose="020B0502040204020203" pitchFamily="34" charset="0"/>
              <a:ea typeface="Verdana" panose="020B0604030504040204" pitchFamily="34" charset="0"/>
              <a:cs typeface="Verdana" panose="020B0604030504040204" pitchFamily="34" charset="0"/>
            </a:rPr>
            <a:t>2030.-2040. gadā IKP </a:t>
          </a:r>
          <a:r>
            <a:rPr lang="lv-LV" sz="700" kern="1200">
              <a:solidFill>
                <a:srgbClr val="C00000"/>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rgbClr val="C00000"/>
              </a:solidFill>
              <a:effectLst/>
              <a:latin typeface="Segoe UI Light" panose="020B0502040204020203" pitchFamily="34" charset="0"/>
              <a:ea typeface="Verdana" panose="020B0604030504040204" pitchFamily="34" charset="0"/>
              <a:cs typeface="Verdana" panose="020B0604030504040204" pitchFamily="34" charset="0"/>
            </a:rPr>
            <a:t> vidēji 3.0% gadā</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0.85319</cdr:x>
      <cdr:y>0.40367</cdr:y>
    </cdr:from>
    <cdr:to>
      <cdr:x>0.97833</cdr:x>
      <cdr:y>0.5802</cdr:y>
    </cdr:to>
    <cdr:sp macro="" textlink="">
      <cdr:nvSpPr>
        <cdr:cNvPr id="7" name="TextBox 27"/>
        <cdr:cNvSpPr txBox="1"/>
      </cdr:nvSpPr>
      <cdr:spPr>
        <a:xfrm xmlns:a="http://schemas.openxmlformats.org/drawingml/2006/main">
          <a:off x="4908500" y="1065834"/>
          <a:ext cx="719930" cy="46609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lnSpc>
              <a:spcPct val="107000"/>
            </a:lnSpc>
            <a:spcAft>
              <a:spcPts val="0"/>
            </a:spcAft>
          </a:pPr>
          <a:r>
            <a:rPr lang="lv-LV" sz="700" kern="1200">
              <a:solidFill>
                <a:srgbClr val="4472C4"/>
              </a:solidFill>
              <a:effectLst/>
              <a:latin typeface="Segoe UI Light" panose="020B0502040204020203" pitchFamily="34" charset="0"/>
              <a:ea typeface="Verdana" panose="020B0604030504040204" pitchFamily="34" charset="0"/>
              <a:cs typeface="Verdana" panose="020B0604030504040204" pitchFamily="34" charset="0"/>
            </a:rPr>
            <a:t>2030.-2040. gadā IKP </a:t>
          </a:r>
          <a:r>
            <a:rPr lang="lv-LV" sz="700" kern="1200">
              <a:solidFill>
                <a:srgbClr val="4472C4"/>
              </a:solidFill>
              <a:effectLst/>
              <a:latin typeface="Segoe UI Light" panose="020B0502040204020203" pitchFamily="34" charset="0"/>
              <a:ea typeface="Verdana" panose="020B0604030504040204" pitchFamily="34" charset="0"/>
              <a:cs typeface="Arial" panose="020B0604020202020204" pitchFamily="34" charset="0"/>
            </a:rPr>
            <a:t>↑</a:t>
          </a:r>
          <a:r>
            <a:rPr lang="lv-LV" sz="700" kern="1200">
              <a:solidFill>
                <a:srgbClr val="4472C4"/>
              </a:solidFill>
              <a:effectLst/>
              <a:latin typeface="Segoe UI Light" panose="020B0502040204020203" pitchFamily="34" charset="0"/>
              <a:ea typeface="Verdana" panose="020B0604030504040204" pitchFamily="34" charset="0"/>
              <a:cs typeface="Verdana" panose="020B0604030504040204" pitchFamily="34" charset="0"/>
            </a:rPr>
            <a:t> vidēji 2.2%</a:t>
          </a:r>
          <a:endParaRPr lang="lv-LV" sz="700">
            <a:effectLst/>
            <a:latin typeface="Segoe UI Light" panose="020B0502040204020203"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0.23905</cdr:x>
      <cdr:y>0.32693</cdr:y>
    </cdr:from>
    <cdr:to>
      <cdr:x>0.96254</cdr:x>
      <cdr:y>0.809</cdr:y>
    </cdr:to>
    <cdr:cxnSp macro="">
      <cdr:nvCxnSpPr>
        <cdr:cNvPr id="9" name="Straight Connector 8"/>
        <cdr:cNvCxnSpPr/>
      </cdr:nvCxnSpPr>
      <cdr:spPr>
        <a:xfrm xmlns:a="http://schemas.openxmlformats.org/drawingml/2006/main" flipV="1">
          <a:off x="1375259" y="863194"/>
          <a:ext cx="4162348" cy="1272845"/>
        </a:xfrm>
        <a:prstGeom xmlns:a="http://schemas.openxmlformats.org/drawingml/2006/main" prst="line">
          <a:avLst/>
        </a:prstGeom>
        <a:ln xmlns:a="http://schemas.openxmlformats.org/drawingml/2006/main">
          <a:solidFill>
            <a:schemeClr val="tx1"/>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0.31908</cdr:x>
      <cdr:y>0.41743</cdr:y>
    </cdr:from>
    <cdr:to>
      <cdr:x>0.61231</cdr:x>
      <cdr:y>0.52703</cdr:y>
    </cdr:to>
    <cdr:sp macro="" textlink="">
      <cdr:nvSpPr>
        <cdr:cNvPr id="8" name="Text Box 1"/>
        <cdr:cNvSpPr txBox="1"/>
      </cdr:nvSpPr>
      <cdr:spPr>
        <a:xfrm xmlns:a="http://schemas.openxmlformats.org/drawingml/2006/main">
          <a:off x="877731" y="969097"/>
          <a:ext cx="806623"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875,2</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dr:relSizeAnchor xmlns:cdr="http://schemas.openxmlformats.org/drawingml/2006/chartDrawing">
    <cdr:from>
      <cdr:x>0.58811</cdr:x>
      <cdr:y>0.42132</cdr:y>
    </cdr:from>
    <cdr:to>
      <cdr:x>0.88133</cdr:x>
      <cdr:y>0.53092</cdr:y>
    </cdr:to>
    <cdr:sp macro="" textlink="">
      <cdr:nvSpPr>
        <cdr:cNvPr id="9" name="Text Box 1"/>
        <cdr:cNvSpPr txBox="1"/>
      </cdr:nvSpPr>
      <cdr:spPr>
        <a:xfrm xmlns:a="http://schemas.openxmlformats.org/drawingml/2006/main">
          <a:off x="1617781" y="978122"/>
          <a:ext cx="806596" cy="2544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1018,0</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0.32181</cdr:x>
      <cdr:y>0.40023</cdr:y>
    </cdr:from>
    <cdr:to>
      <cdr:x>0.6013</cdr:x>
      <cdr:y>0.50947</cdr:y>
    </cdr:to>
    <cdr:sp macro="" textlink="">
      <cdr:nvSpPr>
        <cdr:cNvPr id="2" name="Text Box 1"/>
        <cdr:cNvSpPr txBox="1"/>
      </cdr:nvSpPr>
      <cdr:spPr>
        <a:xfrm xmlns:a="http://schemas.openxmlformats.org/drawingml/2006/main">
          <a:off x="928775" y="932213"/>
          <a:ext cx="806629" cy="2544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800" b="0">
              <a:solidFill>
                <a:schemeClr val="bg1"/>
              </a:solidFill>
              <a:latin typeface="Segoe UI Light" panose="020B0502040204020203" pitchFamily="34" charset="0"/>
              <a:cs typeface="Segoe UI Light" panose="020B0502040204020203" pitchFamily="34" charset="0"/>
            </a:rPr>
            <a:t>830,3</a:t>
          </a:r>
          <a:r>
            <a:rPr lang="lv-LV" sz="800" b="0" baseline="0">
              <a:solidFill>
                <a:schemeClr val="bg1"/>
              </a:solidFill>
              <a:latin typeface="Segoe UI Light" panose="020B0502040204020203" pitchFamily="34" charset="0"/>
              <a:cs typeface="Segoe UI Light" panose="020B0502040204020203" pitchFamily="34" charset="0"/>
            </a:rPr>
            <a:t> tūkst.</a:t>
          </a:r>
          <a:endParaRPr lang="lv-LV" sz="800" b="0">
            <a:solidFill>
              <a:schemeClr val="bg1"/>
            </a:solidFill>
            <a:latin typeface="Segoe UI Light" panose="020B0502040204020203" pitchFamily="34" charset="0"/>
            <a:cs typeface="Segoe UI Light" panose="020B0502040204020203"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drawings/drawing9.xml><?xml version="1.0" encoding="utf-8"?>
<c:userShapes xmlns:c="http://schemas.openxmlformats.org/drawingml/2006/chart">
  <cdr:relSizeAnchor xmlns:cdr="http://schemas.openxmlformats.org/drawingml/2006/chartDrawing">
    <cdr:from>
      <cdr:x>0.31025</cdr:x>
      <cdr:y>0.557</cdr:y>
    </cdr:from>
    <cdr:to>
      <cdr:x>0.3155</cdr:x>
      <cdr:y>0.66475</cdr:y>
    </cdr:to>
    <cdr:sp macro="" textlink="">
      <cdr:nvSpPr>
        <cdr:cNvPr id="1028" name="Text Box 4"/>
        <cdr:cNvSpPr txBox="1">
          <a:spLocks xmlns:a="http://schemas.openxmlformats.org/drawingml/2006/main" noChangeArrowheads="1"/>
        </cdr:cNvSpPr>
      </cdr:nvSpPr>
      <cdr:spPr bwMode="auto">
        <a:xfrm xmlns:a="http://schemas.openxmlformats.org/drawingml/2006/main">
          <a:off x="1717700" y="1147405"/>
          <a:ext cx="28904" cy="20976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0.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1.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2.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3.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4.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5.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6.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7.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8.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9.xml><?xml version="1.0" encoding="utf-8"?>
<a:themeOverride xmlns:a="http://schemas.openxmlformats.org/drawingml/2006/main">
  <a:clrScheme name="EM_prezentacija 9">
    <a:dk1>
      <a:srgbClr val="000000"/>
    </a:dk1>
    <a:lt1>
      <a:srgbClr val="FFFFFF"/>
    </a:lt1>
    <a:dk2>
      <a:srgbClr val="000000"/>
    </a:dk2>
    <a:lt2>
      <a:srgbClr val="DDDDDD"/>
    </a:lt2>
    <a:accent1>
      <a:srgbClr val="A3B2C1"/>
    </a:accent1>
    <a:accent2>
      <a:srgbClr val="CC0000"/>
    </a:accent2>
    <a:accent3>
      <a:srgbClr val="FFFFFF"/>
    </a:accent3>
    <a:accent4>
      <a:srgbClr val="000000"/>
    </a:accent4>
    <a:accent5>
      <a:srgbClr val="CED5DD"/>
    </a:accent5>
    <a:accent6>
      <a:srgbClr val="B90000"/>
    </a:accent6>
    <a:hlink>
      <a:srgbClr val="336699"/>
    </a:hlink>
    <a:folHlink>
      <a:srgbClr val="003366"/>
    </a:folHlink>
  </a:clrScheme>
  <a:fontScheme name="EM_prezentacij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70BAF-D100-4E4C-916D-EEBCE8A6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109</Pages>
  <Words>205678</Words>
  <Characters>117238</Characters>
  <Application>Microsoft Office Word</Application>
  <DocSecurity>4</DocSecurity>
  <Lines>976</Lines>
  <Paragraphs>644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Ozols</dc:creator>
  <cp:keywords/>
  <dc:description/>
  <cp:lastModifiedBy>Normunds Ozols</cp:lastModifiedBy>
  <cp:revision>2</cp:revision>
  <cp:lastPrinted>2022-06-27T12:02:00Z</cp:lastPrinted>
  <dcterms:created xsi:type="dcterms:W3CDTF">2022-07-01T07:28:00Z</dcterms:created>
  <dcterms:modified xsi:type="dcterms:W3CDTF">2022-07-01T07:28:00Z</dcterms:modified>
</cp:coreProperties>
</file>