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AF61" w14:textId="683C0D50" w:rsidR="000D1DE4" w:rsidRPr="00690D12" w:rsidRDefault="000D1DE4" w:rsidP="00365012">
      <w:pPr>
        <w:jc w:val="center"/>
        <w:rPr>
          <w:b/>
          <w:bCs/>
          <w:sz w:val="28"/>
          <w:szCs w:val="28"/>
          <w:lang w:val="lv-LV"/>
        </w:rPr>
      </w:pPr>
      <w:r w:rsidRPr="00690D12">
        <w:rPr>
          <w:b/>
          <w:bCs/>
          <w:sz w:val="28"/>
          <w:szCs w:val="28"/>
          <w:lang w:val="lv-LV"/>
        </w:rPr>
        <w:t xml:space="preserve">Informatīvais ziņojums “Par </w:t>
      </w:r>
      <w:r w:rsidR="0070778D" w:rsidRPr="00690D12">
        <w:rPr>
          <w:b/>
          <w:bCs/>
          <w:sz w:val="28"/>
          <w:szCs w:val="28"/>
          <w:lang w:val="lv-LV"/>
        </w:rPr>
        <w:t>a</w:t>
      </w:r>
      <w:r w:rsidRPr="00690D12">
        <w:rPr>
          <w:b/>
          <w:bCs/>
          <w:sz w:val="28"/>
          <w:szCs w:val="28"/>
          <w:lang w:val="lv-LV"/>
        </w:rPr>
        <w:t xml:space="preserve">izsardzības </w:t>
      </w:r>
      <w:r w:rsidR="0070778D" w:rsidRPr="00690D12">
        <w:rPr>
          <w:b/>
          <w:bCs/>
          <w:sz w:val="28"/>
          <w:szCs w:val="28"/>
          <w:lang w:val="lv-LV"/>
        </w:rPr>
        <w:t xml:space="preserve">resora </w:t>
      </w:r>
      <w:r w:rsidRPr="00690D12">
        <w:rPr>
          <w:b/>
          <w:bCs/>
          <w:sz w:val="28"/>
          <w:szCs w:val="28"/>
          <w:lang w:val="lv-LV"/>
        </w:rPr>
        <w:t>uzdevumiem saistībā ar Mākslīgā intelekta akta prasību ieviešanu”</w:t>
      </w:r>
    </w:p>
    <w:p w14:paraId="62D792F9" w14:textId="77777777" w:rsidR="00365012" w:rsidRPr="00690D12" w:rsidRDefault="00365012" w:rsidP="00365012">
      <w:pPr>
        <w:jc w:val="center"/>
        <w:rPr>
          <w:b/>
          <w:bCs/>
          <w:sz w:val="28"/>
          <w:szCs w:val="28"/>
          <w:lang w:val="lv-LV"/>
        </w:rPr>
      </w:pPr>
    </w:p>
    <w:p w14:paraId="17B60710" w14:textId="798EC2BA" w:rsidR="000D1DE4" w:rsidRPr="00690D12" w:rsidRDefault="000D1DE4" w:rsidP="00365012">
      <w:pPr>
        <w:spacing w:line="240" w:lineRule="auto"/>
        <w:jc w:val="both"/>
        <w:rPr>
          <w:rFonts w:eastAsia="Times New Roman"/>
          <w:sz w:val="28"/>
          <w:szCs w:val="28"/>
          <w:lang w:val="lv-LV"/>
        </w:rPr>
      </w:pPr>
      <w:r w:rsidRPr="00690D12">
        <w:rPr>
          <w:sz w:val="28"/>
          <w:szCs w:val="28"/>
          <w:lang w:val="lv-LV"/>
        </w:rPr>
        <w:t xml:space="preserve">Aizsardzības ministrija (turpmāk – AM) Tiesību aktu portālā (turpmāk – TAP) ir saņēmusi Ministru kabineta (turpmāk – MK) 2025. gada 25. februāra sēdes protokolu Nr. 8, kura 14. punkts nosaka visām ministrijām atbilstoši kompetencei līdz 2025. gada 1. maijam </w:t>
      </w:r>
      <w:r w:rsidRPr="00690D12">
        <w:rPr>
          <w:rFonts w:eastAsia="Times New Roman"/>
          <w:sz w:val="28"/>
          <w:szCs w:val="28"/>
          <w:lang w:val="lv-LV"/>
        </w:rPr>
        <w:t xml:space="preserve">izvērtēt </w:t>
      </w:r>
      <w:r w:rsidR="000D32C6" w:rsidRPr="00690D12">
        <w:rPr>
          <w:rFonts w:eastAsia="Times New Roman"/>
          <w:sz w:val="28"/>
          <w:szCs w:val="28"/>
          <w:lang w:val="lv-LV"/>
        </w:rPr>
        <w:t>Viedās administrācijas un reģionālās attīstības ministrijas</w:t>
      </w:r>
      <w:r w:rsidR="00624681" w:rsidRPr="00690D12">
        <w:rPr>
          <w:rFonts w:eastAsia="Times New Roman"/>
          <w:sz w:val="28"/>
          <w:szCs w:val="28"/>
          <w:lang w:val="lv-LV"/>
        </w:rPr>
        <w:t xml:space="preserve"> </w:t>
      </w:r>
      <w:proofErr w:type="gramStart"/>
      <w:r w:rsidR="00624681" w:rsidRPr="00690D12">
        <w:rPr>
          <w:rFonts w:eastAsia="Times New Roman"/>
          <w:sz w:val="28"/>
          <w:szCs w:val="28"/>
          <w:lang w:val="lv-LV"/>
        </w:rPr>
        <w:t>(</w:t>
      </w:r>
      <w:proofErr w:type="gramEnd"/>
      <w:r w:rsidR="00624681" w:rsidRPr="00690D12">
        <w:rPr>
          <w:rFonts w:eastAsia="Times New Roman"/>
          <w:sz w:val="28"/>
          <w:szCs w:val="28"/>
          <w:lang w:val="lv-LV"/>
        </w:rPr>
        <w:t>turpmāk – VARAM)</w:t>
      </w:r>
      <w:r w:rsidR="000D32C6" w:rsidRPr="00690D12">
        <w:rPr>
          <w:rFonts w:eastAsia="Times New Roman"/>
          <w:sz w:val="28"/>
          <w:szCs w:val="28"/>
          <w:lang w:val="lv-LV"/>
        </w:rPr>
        <w:t xml:space="preserve"> sagatavotajā </w:t>
      </w:r>
      <w:r w:rsidRPr="00690D12">
        <w:rPr>
          <w:rFonts w:eastAsia="Times New Roman"/>
          <w:sz w:val="28"/>
          <w:szCs w:val="28"/>
          <w:lang w:val="lv-LV"/>
        </w:rPr>
        <w:t xml:space="preserve">informatīvajā ziņojumā </w:t>
      </w:r>
      <w:bookmarkStart w:id="0" w:name="_Hlk195625439"/>
      <w:r w:rsidRPr="00690D12">
        <w:rPr>
          <w:rFonts w:eastAsia="Times New Roman"/>
          <w:sz w:val="28"/>
          <w:szCs w:val="28"/>
          <w:lang w:val="lv-LV"/>
        </w:rPr>
        <w:t>“Par Mākslīgā intelekta akta prasību ieviešanu”</w:t>
      </w:r>
      <w:bookmarkEnd w:id="0"/>
      <w:r w:rsidR="000D32C6" w:rsidRPr="00690D12">
        <w:rPr>
          <w:rFonts w:eastAsia="Times New Roman"/>
          <w:sz w:val="28"/>
          <w:szCs w:val="28"/>
          <w:lang w:val="lv-LV"/>
        </w:rPr>
        <w:t xml:space="preserve"> </w:t>
      </w:r>
      <w:r w:rsidRPr="00690D12">
        <w:rPr>
          <w:rFonts w:eastAsia="Times New Roman"/>
          <w:sz w:val="28"/>
          <w:szCs w:val="28"/>
          <w:lang w:val="lv-LV"/>
        </w:rPr>
        <w:t xml:space="preserve">norādīto normatīvo regulējumu saistībā ar </w:t>
      </w:r>
      <w:r w:rsidR="00323D07" w:rsidRPr="00690D12">
        <w:rPr>
          <w:sz w:val="28"/>
          <w:szCs w:val="28"/>
          <w:lang w:val="lv-LV"/>
        </w:rPr>
        <w:t>Eiropas Parlamenta un Padomes Regulas (ES) 2024/1689 (2024. gada 13. jūnijs)</w:t>
      </w:r>
      <w:r w:rsidR="00323D07" w:rsidRPr="00690D12">
        <w:rPr>
          <w:rStyle w:val="FootnoteReference"/>
          <w:sz w:val="28"/>
          <w:szCs w:val="28"/>
          <w:lang w:val="lv-LV"/>
        </w:rPr>
        <w:footnoteReference w:id="1"/>
      </w:r>
      <w:r w:rsidR="00323D07" w:rsidRPr="00690D12" w:rsidDel="00323D07">
        <w:rPr>
          <w:sz w:val="28"/>
          <w:szCs w:val="28"/>
          <w:lang w:val="lv-LV"/>
        </w:rPr>
        <w:t xml:space="preserve"> </w:t>
      </w:r>
      <w:r w:rsidRPr="00690D12">
        <w:rPr>
          <w:sz w:val="28"/>
          <w:szCs w:val="28"/>
          <w:lang w:val="lv-LV"/>
        </w:rPr>
        <w:t>(turpmāk – MI akts)</w:t>
      </w:r>
      <w:r w:rsidRPr="00690D12">
        <w:rPr>
          <w:rFonts w:eastAsia="Times New Roman"/>
          <w:sz w:val="28"/>
          <w:szCs w:val="28"/>
          <w:lang w:val="lv-LV"/>
        </w:rPr>
        <w:t xml:space="preserve"> prasību ieviešanu un sagatavot attiecīgus grozījumus, nepieciešamības gadījumā sagatavot arī papildu grozījumus un normatīvajos aktos noteiktā kārtībā iesniegt tos izskatīšanai MK.</w:t>
      </w:r>
    </w:p>
    <w:p w14:paraId="07183918" w14:textId="2763A64B" w:rsidR="00624681" w:rsidRPr="00690D12" w:rsidRDefault="00156B66" w:rsidP="00365012">
      <w:pPr>
        <w:spacing w:line="240" w:lineRule="auto"/>
        <w:jc w:val="both"/>
        <w:rPr>
          <w:rFonts w:eastAsia="Times New Roman"/>
          <w:sz w:val="28"/>
          <w:szCs w:val="28"/>
          <w:lang w:val="lv-LV"/>
        </w:rPr>
      </w:pPr>
      <w:r w:rsidRPr="00690D12">
        <w:rPr>
          <w:rFonts w:eastAsia="Times New Roman"/>
          <w:sz w:val="28"/>
          <w:szCs w:val="28"/>
          <w:lang w:val="lv-LV"/>
        </w:rPr>
        <w:t xml:space="preserve">AM, </w:t>
      </w:r>
      <w:r w:rsidR="0070778D" w:rsidRPr="00690D12">
        <w:rPr>
          <w:rFonts w:eastAsia="Times New Roman"/>
          <w:sz w:val="28"/>
          <w:szCs w:val="28"/>
          <w:lang w:val="lv-LV"/>
        </w:rPr>
        <w:t xml:space="preserve">savas kompetences ietvaros </w:t>
      </w:r>
      <w:r w:rsidRPr="00690D12">
        <w:rPr>
          <w:rFonts w:eastAsia="Times New Roman"/>
          <w:sz w:val="28"/>
          <w:szCs w:val="28"/>
          <w:lang w:val="lv-LV"/>
        </w:rPr>
        <w:t xml:space="preserve">izvērtējot normatīvo regulējumu saistībā ar MI akta prasību ieviešanu, konstatēja, ka grozījumi Nacionālās kiberdrošības likumā, kā arī Militārās izlūkošanas un drošības dienesta (turpmāk – MIDD) un citu valsts drošības iestāžu darbību reglamentējošajos normatīvajos aktos nav nepieciešami. </w:t>
      </w:r>
      <w:r w:rsidR="00EA7BD3" w:rsidRPr="00690D12">
        <w:rPr>
          <w:rFonts w:eastAsia="Times New Roman"/>
          <w:sz w:val="28"/>
          <w:szCs w:val="28"/>
          <w:lang w:val="lv-LV"/>
        </w:rPr>
        <w:t>Šajā ziņojumā izklāstīts AM pamatojums.</w:t>
      </w:r>
    </w:p>
    <w:p w14:paraId="70B067C0" w14:textId="3A891455" w:rsidR="00DA012C" w:rsidRPr="00690D12" w:rsidRDefault="00DA012C" w:rsidP="00365012">
      <w:pPr>
        <w:spacing w:line="240" w:lineRule="auto"/>
        <w:ind w:firstLine="720"/>
        <w:jc w:val="both"/>
        <w:rPr>
          <w:rFonts w:eastAsia="Times New Roman"/>
          <w:sz w:val="28"/>
          <w:szCs w:val="28"/>
          <w:lang w:val="lv-LV"/>
        </w:rPr>
      </w:pPr>
    </w:p>
    <w:p w14:paraId="749C8CCC" w14:textId="642F5EE3" w:rsidR="00DA012C" w:rsidRPr="00690D12" w:rsidRDefault="00DA012C" w:rsidP="00365012">
      <w:pPr>
        <w:spacing w:line="240" w:lineRule="auto"/>
        <w:ind w:firstLine="0"/>
        <w:jc w:val="center"/>
        <w:rPr>
          <w:rFonts w:eastAsia="Times New Roman"/>
          <w:b/>
          <w:bCs/>
          <w:sz w:val="28"/>
          <w:szCs w:val="28"/>
          <w:lang w:val="lv-LV"/>
        </w:rPr>
      </w:pPr>
      <w:r w:rsidRPr="00690D12">
        <w:rPr>
          <w:rFonts w:eastAsia="Times New Roman"/>
          <w:b/>
          <w:bCs/>
          <w:sz w:val="28"/>
          <w:szCs w:val="28"/>
          <w:lang w:val="lv-LV"/>
        </w:rPr>
        <w:t>1. Par paredzētajiem grozījumiem Nacionālās kiberdrošības likumā</w:t>
      </w:r>
    </w:p>
    <w:p w14:paraId="7ABD4ECA" w14:textId="626B90FE" w:rsidR="004A5A77" w:rsidRPr="00690D12" w:rsidRDefault="000D1DE4" w:rsidP="00365012">
      <w:pPr>
        <w:spacing w:line="240" w:lineRule="auto"/>
        <w:jc w:val="both"/>
        <w:rPr>
          <w:color w:val="000000" w:themeColor="text1"/>
          <w:sz w:val="28"/>
          <w:szCs w:val="28"/>
          <w:lang w:val="lv-LV"/>
        </w:rPr>
      </w:pPr>
      <w:r w:rsidRPr="00690D12">
        <w:rPr>
          <w:color w:val="000000" w:themeColor="text1"/>
          <w:sz w:val="28"/>
          <w:szCs w:val="28"/>
          <w:lang w:val="lv-LV"/>
        </w:rPr>
        <w:t xml:space="preserve">Informatīvā ziņojuma </w:t>
      </w:r>
      <w:r w:rsidR="000D32C6" w:rsidRPr="00690D12">
        <w:rPr>
          <w:color w:val="000000" w:themeColor="text1"/>
          <w:sz w:val="28"/>
          <w:szCs w:val="28"/>
          <w:lang w:val="lv-LV"/>
        </w:rPr>
        <w:t xml:space="preserve">“Par Mākslīgā intelekta akta prasību ieviešanu” </w:t>
      </w:r>
      <w:r w:rsidRPr="00690D12">
        <w:rPr>
          <w:color w:val="000000" w:themeColor="text1"/>
          <w:sz w:val="28"/>
          <w:szCs w:val="28"/>
          <w:lang w:val="lv-LV"/>
        </w:rPr>
        <w:t>pirmajā pielikumā AM noteikts uzdevums “</w:t>
      </w:r>
      <w:r w:rsidRPr="00690D12">
        <w:rPr>
          <w:rFonts w:eastAsia="Times New Roman"/>
          <w:color w:val="000000" w:themeColor="text1"/>
          <w:sz w:val="28"/>
          <w:szCs w:val="28"/>
          <w:lang w:val="lv-LV"/>
        </w:rPr>
        <w:t>Noteikt MI akta 13., 15., 31., 42., 55., 58., 66., 70. un 78. pantā noteiktas prasības pienācīga līmeņa kiberdrošības ievērošanai MI jomā</w:t>
      </w:r>
      <w:r w:rsidRPr="00690D12">
        <w:rPr>
          <w:color w:val="000000" w:themeColor="text1"/>
          <w:sz w:val="28"/>
          <w:szCs w:val="28"/>
          <w:lang w:val="lv-LV"/>
        </w:rPr>
        <w:t>”, kas paredz veikt grozījumus Nacionālās kiberdrošības likumā (turpmāk – NKDL).</w:t>
      </w:r>
      <w:r w:rsidR="005B45CC" w:rsidRPr="00690D12">
        <w:rPr>
          <w:color w:val="000000" w:themeColor="text1"/>
          <w:sz w:val="28"/>
          <w:szCs w:val="28"/>
          <w:lang w:val="lv-LV"/>
        </w:rPr>
        <w:t xml:space="preserve"> AM vēlas atzīmēt, ka MI akta ieviešana ir saistīta arī ar cita normatīvā akta - </w:t>
      </w:r>
      <w:r w:rsidR="005B45CC" w:rsidRPr="00690D12">
        <w:rPr>
          <w:sz w:val="28"/>
          <w:szCs w:val="28"/>
          <w:lang w:val="lv-LV"/>
        </w:rPr>
        <w:t>Regulas (ES) 2024/2847 (</w:t>
      </w:r>
      <w:proofErr w:type="spellStart"/>
      <w:r w:rsidR="005B45CC" w:rsidRPr="00690D12">
        <w:rPr>
          <w:sz w:val="28"/>
          <w:szCs w:val="28"/>
          <w:lang w:val="lv-LV"/>
        </w:rPr>
        <w:t>Kibernoturības</w:t>
      </w:r>
      <w:proofErr w:type="spellEnd"/>
      <w:r w:rsidR="005B45CC" w:rsidRPr="00690D12">
        <w:rPr>
          <w:sz w:val="28"/>
          <w:szCs w:val="28"/>
          <w:lang w:val="lv-LV"/>
        </w:rPr>
        <w:t xml:space="preserve"> akts)</w:t>
      </w:r>
      <w:r w:rsidR="005B45CC" w:rsidRPr="00690D12">
        <w:rPr>
          <w:rStyle w:val="FootnoteReference"/>
          <w:sz w:val="28"/>
          <w:szCs w:val="28"/>
          <w:lang w:val="lv-LV"/>
        </w:rPr>
        <w:footnoteReference w:id="2"/>
      </w:r>
      <w:r w:rsidR="0075363D" w:rsidRPr="00690D12">
        <w:rPr>
          <w:sz w:val="28"/>
          <w:szCs w:val="28"/>
          <w:lang w:val="lv-LV"/>
        </w:rPr>
        <w:t xml:space="preserve"> (turpm</w:t>
      </w:r>
      <w:r w:rsidR="00083FD7" w:rsidRPr="00690D12">
        <w:rPr>
          <w:sz w:val="28"/>
          <w:szCs w:val="28"/>
          <w:lang w:val="lv-LV"/>
        </w:rPr>
        <w:t>āk – CRA)</w:t>
      </w:r>
      <w:r w:rsidR="005B45CC" w:rsidRPr="00690D12">
        <w:rPr>
          <w:sz w:val="28"/>
          <w:szCs w:val="28"/>
          <w:lang w:val="lv-LV"/>
        </w:rPr>
        <w:t xml:space="preserve"> – ieviešanu, kas arī noteiks </w:t>
      </w:r>
      <w:r w:rsidR="0053766E" w:rsidRPr="00690D12">
        <w:rPr>
          <w:sz w:val="28"/>
          <w:szCs w:val="28"/>
          <w:lang w:val="lv-LV"/>
        </w:rPr>
        <w:t xml:space="preserve">visam ES </w:t>
      </w:r>
      <w:r w:rsidR="0075363D" w:rsidRPr="00690D12">
        <w:rPr>
          <w:sz w:val="28"/>
          <w:szCs w:val="28"/>
          <w:lang w:val="lv-LV"/>
        </w:rPr>
        <w:t xml:space="preserve">vienotajam </w:t>
      </w:r>
      <w:r w:rsidR="0053766E" w:rsidRPr="00690D12">
        <w:rPr>
          <w:sz w:val="28"/>
          <w:szCs w:val="28"/>
          <w:lang w:val="lv-LV"/>
        </w:rPr>
        <w:t xml:space="preserve">tirgum kopējas </w:t>
      </w:r>
      <w:r w:rsidR="005B45CC" w:rsidRPr="00690D12">
        <w:rPr>
          <w:sz w:val="28"/>
          <w:szCs w:val="28"/>
          <w:lang w:val="lv-LV"/>
        </w:rPr>
        <w:t>kiberdrošības prasības konkrētam produktu kopumam, atsevišķiem produktiem pārklājoties arī ar MI akta regulēto produktu kopumu.</w:t>
      </w:r>
    </w:p>
    <w:p w14:paraId="6ADFFB45" w14:textId="0D122C55" w:rsidR="000D1DE4" w:rsidRPr="00690D12" w:rsidRDefault="000D1DE4" w:rsidP="00365012">
      <w:pPr>
        <w:spacing w:line="240" w:lineRule="auto"/>
        <w:jc w:val="both"/>
        <w:rPr>
          <w:color w:val="000000" w:themeColor="text1"/>
          <w:sz w:val="28"/>
          <w:szCs w:val="28"/>
          <w:lang w:val="lv-LV"/>
        </w:rPr>
      </w:pPr>
      <w:r w:rsidRPr="00690D12">
        <w:rPr>
          <w:color w:val="000000" w:themeColor="text1"/>
          <w:sz w:val="28"/>
          <w:szCs w:val="28"/>
          <w:lang w:val="lv-LV"/>
        </w:rPr>
        <w:t xml:space="preserve">AM </w:t>
      </w:r>
      <w:r w:rsidR="0005147E" w:rsidRPr="00690D12">
        <w:rPr>
          <w:color w:val="000000" w:themeColor="text1"/>
          <w:sz w:val="28"/>
          <w:szCs w:val="28"/>
          <w:lang w:val="lv-LV"/>
        </w:rPr>
        <w:t>vērš uzmanību</w:t>
      </w:r>
      <w:r w:rsidRPr="00690D12">
        <w:rPr>
          <w:color w:val="000000" w:themeColor="text1"/>
          <w:sz w:val="28"/>
          <w:szCs w:val="28"/>
          <w:lang w:val="lv-LV"/>
        </w:rPr>
        <w:t>, ka MI akta uzskaitīto pantu prasības nav nepieciešams noteikt NKDL</w:t>
      </w:r>
      <w:r w:rsidR="00716504" w:rsidRPr="00690D12">
        <w:rPr>
          <w:color w:val="000000" w:themeColor="text1"/>
          <w:sz w:val="28"/>
          <w:szCs w:val="28"/>
          <w:lang w:val="lv-LV"/>
        </w:rPr>
        <w:t>. Proti,</w:t>
      </w:r>
      <w:r w:rsidRPr="00690D12">
        <w:rPr>
          <w:color w:val="000000" w:themeColor="text1"/>
          <w:sz w:val="28"/>
          <w:szCs w:val="28"/>
          <w:lang w:val="lv-LV"/>
        </w:rPr>
        <w:t xml:space="preserve"> MI akta:</w:t>
      </w:r>
    </w:p>
    <w:p w14:paraId="2DB77E41" w14:textId="77777777" w:rsidR="000D1DE4" w:rsidRPr="00690D12" w:rsidRDefault="000D1DE4" w:rsidP="00365012">
      <w:pPr>
        <w:pStyle w:val="ListParagraph"/>
        <w:numPr>
          <w:ilvl w:val="0"/>
          <w:numId w:val="1"/>
        </w:numPr>
        <w:spacing w:after="0" w:line="240" w:lineRule="auto"/>
        <w:contextualSpacing w:val="0"/>
        <w:jc w:val="both"/>
        <w:rPr>
          <w:sz w:val="28"/>
          <w:szCs w:val="28"/>
        </w:rPr>
      </w:pPr>
      <w:r w:rsidRPr="00690D12">
        <w:rPr>
          <w:i/>
          <w:iCs/>
          <w:sz w:val="28"/>
          <w:szCs w:val="28"/>
        </w:rPr>
        <w:t>13. pants</w:t>
      </w:r>
      <w:r w:rsidRPr="00690D12">
        <w:rPr>
          <w:sz w:val="28"/>
          <w:szCs w:val="28"/>
        </w:rPr>
        <w:t xml:space="preserve"> ir tieši piemērojams, kā noteikts regulā, uzliekot par pienākumu MI sistēmu projektētājiem un izstrādātājiem pievienot lietošanas instrukciju, kurā cita starpā iekļauj informāciju par MI sistēmas kiberdrošības līmeni, kā to nosaka MI akta </w:t>
      </w:r>
      <w:r w:rsidRPr="00690D12">
        <w:rPr>
          <w:i/>
          <w:iCs/>
          <w:sz w:val="28"/>
          <w:szCs w:val="28"/>
        </w:rPr>
        <w:t>15. pants</w:t>
      </w:r>
      <w:r w:rsidRPr="00690D12">
        <w:rPr>
          <w:sz w:val="28"/>
          <w:szCs w:val="28"/>
        </w:rPr>
        <w:t>;</w:t>
      </w:r>
    </w:p>
    <w:p w14:paraId="73734493" w14:textId="14B4668C" w:rsidR="000D1DE4" w:rsidRPr="00690D12" w:rsidRDefault="000D1DE4" w:rsidP="00365012">
      <w:pPr>
        <w:pStyle w:val="ListParagraph"/>
        <w:numPr>
          <w:ilvl w:val="0"/>
          <w:numId w:val="1"/>
        </w:numPr>
        <w:spacing w:after="0" w:line="240" w:lineRule="auto"/>
        <w:contextualSpacing w:val="0"/>
        <w:jc w:val="both"/>
        <w:rPr>
          <w:sz w:val="28"/>
          <w:szCs w:val="28"/>
        </w:rPr>
      </w:pPr>
      <w:r w:rsidRPr="00690D12">
        <w:rPr>
          <w:i/>
          <w:iCs/>
          <w:sz w:val="28"/>
          <w:szCs w:val="28"/>
        </w:rPr>
        <w:t>15. pants</w:t>
      </w:r>
      <w:r w:rsidRPr="00690D12">
        <w:rPr>
          <w:sz w:val="28"/>
          <w:szCs w:val="28"/>
        </w:rPr>
        <w:t xml:space="preserve"> ir tieši piemērojams, kā noteikts regulā, uzliekot par pienākumu MI sistēmu projektētājiem un izstrādātājiem ievērot pienācīgu precizitātes, robustuma un kiberdrošības līmeni; turklāt, tas nosaka arī to, ka prasīb</w:t>
      </w:r>
      <w:r w:rsidR="004F7638" w:rsidRPr="00690D12">
        <w:rPr>
          <w:sz w:val="28"/>
          <w:szCs w:val="28"/>
        </w:rPr>
        <w:t>u</w:t>
      </w:r>
      <w:r w:rsidRPr="00690D12">
        <w:rPr>
          <w:sz w:val="28"/>
          <w:szCs w:val="28"/>
        </w:rPr>
        <w:t xml:space="preserve"> un konkrētu rādītāju šo līmeņu izmērīšanai </w:t>
      </w:r>
      <w:r w:rsidR="004F7638" w:rsidRPr="00690D12">
        <w:rPr>
          <w:sz w:val="28"/>
          <w:szCs w:val="28"/>
        </w:rPr>
        <w:t>noteikšanu veicinās</w:t>
      </w:r>
      <w:r w:rsidR="004C069D" w:rsidRPr="00690D12">
        <w:rPr>
          <w:sz w:val="28"/>
          <w:szCs w:val="28"/>
        </w:rPr>
        <w:t xml:space="preserve"> </w:t>
      </w:r>
      <w:r w:rsidRPr="00690D12">
        <w:rPr>
          <w:sz w:val="28"/>
          <w:szCs w:val="28"/>
        </w:rPr>
        <w:t xml:space="preserve">Eiropas Komisija (turpmāk – EK) savu darbības </w:t>
      </w:r>
      <w:r w:rsidRPr="00690D12">
        <w:rPr>
          <w:sz w:val="28"/>
          <w:szCs w:val="28"/>
        </w:rPr>
        <w:lastRenderedPageBreak/>
        <w:t>formātu (piemēram, darba grupu un komiteju) ietvaros, pieņemot un publicējot MI aktam piesaistītus īstenošanas aktus</w:t>
      </w:r>
      <w:r w:rsidR="004C069D" w:rsidRPr="00690D12">
        <w:rPr>
          <w:sz w:val="28"/>
          <w:szCs w:val="28"/>
        </w:rPr>
        <w:t xml:space="preserve">. </w:t>
      </w:r>
      <w:r w:rsidR="0053766E" w:rsidRPr="00690D12">
        <w:rPr>
          <w:sz w:val="28"/>
          <w:szCs w:val="28"/>
        </w:rPr>
        <w:t xml:space="preserve">CRA </w:t>
      </w:r>
      <w:r w:rsidR="005B45CC" w:rsidRPr="00690D12">
        <w:rPr>
          <w:sz w:val="28"/>
          <w:szCs w:val="28"/>
        </w:rPr>
        <w:t xml:space="preserve">kontekstā </w:t>
      </w:r>
      <w:r w:rsidR="0053766E" w:rsidRPr="00690D12">
        <w:rPr>
          <w:sz w:val="28"/>
          <w:szCs w:val="28"/>
        </w:rPr>
        <w:t>tas jau</w:t>
      </w:r>
      <w:r w:rsidR="004C069D" w:rsidRPr="00690D12">
        <w:rPr>
          <w:sz w:val="28"/>
          <w:szCs w:val="28"/>
        </w:rPr>
        <w:t xml:space="preserve"> notiek – lai nodrošinātu vienādas </w:t>
      </w:r>
      <w:r w:rsidR="006B505E" w:rsidRPr="00690D12">
        <w:rPr>
          <w:sz w:val="28"/>
          <w:szCs w:val="28"/>
        </w:rPr>
        <w:t xml:space="preserve">kiberdrošības </w:t>
      </w:r>
      <w:r w:rsidR="004C069D" w:rsidRPr="00690D12">
        <w:rPr>
          <w:sz w:val="28"/>
          <w:szCs w:val="28"/>
        </w:rPr>
        <w:t xml:space="preserve">prasības un rādītājus </w:t>
      </w:r>
      <w:r w:rsidR="006B505E" w:rsidRPr="00690D12">
        <w:rPr>
          <w:sz w:val="28"/>
          <w:szCs w:val="28"/>
        </w:rPr>
        <w:t xml:space="preserve">ES </w:t>
      </w:r>
      <w:r w:rsidR="004C069D" w:rsidRPr="00690D12">
        <w:rPr>
          <w:sz w:val="28"/>
          <w:szCs w:val="28"/>
        </w:rPr>
        <w:t xml:space="preserve">kopējā tirgū, </w:t>
      </w:r>
      <w:r w:rsidR="006B505E" w:rsidRPr="00690D12">
        <w:rPr>
          <w:sz w:val="28"/>
          <w:szCs w:val="28"/>
        </w:rPr>
        <w:t xml:space="preserve">CRA regulēto produktu vajadzībām </w:t>
      </w:r>
      <w:r w:rsidR="004C069D" w:rsidRPr="00690D12">
        <w:rPr>
          <w:sz w:val="28"/>
          <w:szCs w:val="28"/>
        </w:rPr>
        <w:t>darbojas Produktu drošības komiteja EK paspārnē, kur Latviju pārstāv Patērētāju tiesību un aizsardzības centr</w:t>
      </w:r>
      <w:r w:rsidR="0075363D" w:rsidRPr="00690D12">
        <w:rPr>
          <w:sz w:val="28"/>
          <w:szCs w:val="28"/>
        </w:rPr>
        <w:t>s</w:t>
      </w:r>
      <w:r w:rsidR="004C069D" w:rsidRPr="00690D12">
        <w:rPr>
          <w:sz w:val="28"/>
          <w:szCs w:val="28"/>
        </w:rPr>
        <w:t xml:space="preserve">. Vienotu rādītāju noteikšanu jeb standartu izstrādi </w:t>
      </w:r>
      <w:r w:rsidR="00074D72" w:rsidRPr="00690D12">
        <w:rPr>
          <w:sz w:val="28"/>
          <w:szCs w:val="28"/>
        </w:rPr>
        <w:t>visām regulētajām produktu grupām nosaka</w:t>
      </w:r>
      <w:r w:rsidR="004C069D" w:rsidRPr="00690D12">
        <w:rPr>
          <w:sz w:val="28"/>
          <w:szCs w:val="28"/>
        </w:rPr>
        <w:t xml:space="preserve"> </w:t>
      </w:r>
      <w:r w:rsidR="0053766E" w:rsidRPr="00690D12">
        <w:rPr>
          <w:sz w:val="28"/>
          <w:szCs w:val="28"/>
        </w:rPr>
        <w:t>CRA īstenošanas akts</w:t>
      </w:r>
      <w:r w:rsidR="006B505E" w:rsidRPr="00690D12">
        <w:rPr>
          <w:sz w:val="28"/>
          <w:szCs w:val="28"/>
        </w:rPr>
        <w:t xml:space="preserve"> C(2025) 618</w:t>
      </w:r>
      <w:r w:rsidR="006B505E" w:rsidRPr="00690D12">
        <w:rPr>
          <w:rStyle w:val="FootnoteReference"/>
          <w:sz w:val="28"/>
          <w:szCs w:val="28"/>
        </w:rPr>
        <w:footnoteReference w:id="3"/>
      </w:r>
      <w:r w:rsidR="0053766E" w:rsidRPr="00690D12">
        <w:rPr>
          <w:sz w:val="28"/>
          <w:szCs w:val="28"/>
        </w:rPr>
        <w:t xml:space="preserve">. </w:t>
      </w:r>
      <w:r w:rsidR="006B505E" w:rsidRPr="00690D12">
        <w:rPr>
          <w:sz w:val="28"/>
          <w:szCs w:val="28"/>
        </w:rPr>
        <w:t xml:space="preserve">Ņemot vērā MI akta tvērumu, kas attiecas uz </w:t>
      </w:r>
      <w:r w:rsidR="00074D72" w:rsidRPr="00690D12">
        <w:rPr>
          <w:sz w:val="28"/>
          <w:szCs w:val="28"/>
        </w:rPr>
        <w:t xml:space="preserve">tādu pašu </w:t>
      </w:r>
      <w:r w:rsidR="006B505E" w:rsidRPr="00690D12">
        <w:rPr>
          <w:sz w:val="28"/>
          <w:szCs w:val="28"/>
        </w:rPr>
        <w:t xml:space="preserve">standartizētu pieeju MI produktu regulācijā kopējā ES tirgū, kā arī to, ka </w:t>
      </w:r>
      <w:r w:rsidR="006B505E" w:rsidRPr="00690D12">
        <w:rPr>
          <w:i/>
          <w:iCs/>
          <w:sz w:val="28"/>
          <w:szCs w:val="28"/>
        </w:rPr>
        <w:t>15. pants</w:t>
      </w:r>
      <w:r w:rsidR="006B505E" w:rsidRPr="00690D12">
        <w:rPr>
          <w:sz w:val="28"/>
          <w:szCs w:val="28"/>
        </w:rPr>
        <w:t xml:space="preserve"> to indicē, s</w:t>
      </w:r>
      <w:r w:rsidR="0053766E" w:rsidRPr="00690D12">
        <w:rPr>
          <w:sz w:val="28"/>
          <w:szCs w:val="28"/>
        </w:rPr>
        <w:t>agaidāms, ka MI akta regulēto produktu kiberdrošības līmeni noteiks līdzīgā procedūrā, lai nodrošinātu vienotu pieeju</w:t>
      </w:r>
      <w:r w:rsidR="006B505E" w:rsidRPr="00690D12">
        <w:rPr>
          <w:sz w:val="28"/>
          <w:szCs w:val="28"/>
        </w:rPr>
        <w:t xml:space="preserve">. </w:t>
      </w:r>
      <w:r w:rsidR="0053766E" w:rsidRPr="00690D12">
        <w:rPr>
          <w:sz w:val="28"/>
          <w:szCs w:val="28"/>
        </w:rPr>
        <w:t>Par to, vai šis darbs ir uzsākts, AM nav informācijas, jo AM pārstāvji nepiedalās ES līmeņa darba grupās vai citos formātos saistībā ar MI akta ieviešanu.</w:t>
      </w:r>
      <w:r w:rsidR="006B505E" w:rsidRPr="00690D12">
        <w:rPr>
          <w:sz w:val="28"/>
          <w:szCs w:val="28"/>
        </w:rPr>
        <w:t xml:space="preserve"> Līdz ar to AM ieskatā būtu pārsteidzīgi noteikt nacionāla līmeņa kiberdrošības prasības MI produktiem</w:t>
      </w:r>
      <w:r w:rsidR="004F7638" w:rsidRPr="00690D12">
        <w:rPr>
          <w:sz w:val="28"/>
          <w:szCs w:val="28"/>
        </w:rPr>
        <w:t>, pirms nav publicēti MI akta īstenošanas akti, par ko vairāk informācijas varētu būt VARAM</w:t>
      </w:r>
      <w:r w:rsidR="00DB68FE" w:rsidRPr="00690D12">
        <w:rPr>
          <w:sz w:val="28"/>
          <w:szCs w:val="28"/>
        </w:rPr>
        <w:t>, kā arī tas nonāk pretrunā ar vienotas pieejas ievērošanu produktu atbilstības novērtēšanai, kas attiecas uz visu ES kopējo tirgu.</w:t>
      </w:r>
    </w:p>
    <w:p w14:paraId="281AA7C0" w14:textId="04327D5A" w:rsidR="000D1DE4" w:rsidRPr="00690D12" w:rsidRDefault="000D1DE4" w:rsidP="00365012">
      <w:pPr>
        <w:pStyle w:val="ListParagraph"/>
        <w:numPr>
          <w:ilvl w:val="0"/>
          <w:numId w:val="1"/>
        </w:numPr>
        <w:spacing w:after="0" w:line="240" w:lineRule="auto"/>
        <w:contextualSpacing w:val="0"/>
        <w:jc w:val="both"/>
        <w:rPr>
          <w:sz w:val="28"/>
          <w:szCs w:val="28"/>
        </w:rPr>
      </w:pPr>
      <w:r w:rsidRPr="00690D12">
        <w:rPr>
          <w:i/>
          <w:iCs/>
          <w:sz w:val="28"/>
          <w:szCs w:val="28"/>
        </w:rPr>
        <w:t>31. pants</w:t>
      </w:r>
      <w:r w:rsidRPr="00690D12">
        <w:rPr>
          <w:sz w:val="28"/>
          <w:szCs w:val="28"/>
        </w:rPr>
        <w:t xml:space="preserve"> nosaka prasības attiecībā uz paziņotajām struktūrām (</w:t>
      </w:r>
      <w:r w:rsidR="0075363D" w:rsidRPr="00690D12">
        <w:rPr>
          <w:sz w:val="28"/>
          <w:szCs w:val="28"/>
        </w:rPr>
        <w:t xml:space="preserve">piemēram, </w:t>
      </w:r>
      <w:r w:rsidRPr="00690D12">
        <w:rPr>
          <w:sz w:val="28"/>
          <w:szCs w:val="28"/>
        </w:rPr>
        <w:t xml:space="preserve">atbilstības novērtēšanas iestādēm), kas tostarp nosaka ievērot atbilstīgas kiberdrošības prasības. Gadījumos, kad atbilstības novērtēšanas </w:t>
      </w:r>
      <w:r w:rsidR="0075363D" w:rsidRPr="00690D12">
        <w:rPr>
          <w:sz w:val="28"/>
          <w:szCs w:val="28"/>
        </w:rPr>
        <w:t xml:space="preserve">struktūras </w:t>
      </w:r>
      <w:r w:rsidRPr="00690D12">
        <w:rPr>
          <w:sz w:val="28"/>
          <w:szCs w:val="28"/>
        </w:rPr>
        <w:t xml:space="preserve">vienlaikus nav NKDL subjekti, citos normatīvajos aktos (piemēram, likumā “Par atbilstības novērtēšanu” un/vai ar to saistītajos normatīvajos aktos) var noteikt ievērot kiberdrošību regulējošo normatīvo aktu prasības, nenosakot šīs iestādes par NKDL subjektiem; vienlaikus pastāv arī citi pietiekami veidi, kā paziņotās struktūras varētu pierādīt pienācīgu kiberdrošības līmeni (piemēram, kiberdrošības auditoru izvērtējums, organizācijas sertifikācija (piemēram, ISO 27001)), nenosakot to </w:t>
      </w:r>
      <w:r w:rsidR="00CA0788" w:rsidRPr="00690D12">
        <w:rPr>
          <w:sz w:val="28"/>
          <w:szCs w:val="28"/>
        </w:rPr>
        <w:t>NKDL</w:t>
      </w:r>
      <w:r w:rsidRPr="00690D12">
        <w:rPr>
          <w:sz w:val="28"/>
          <w:szCs w:val="28"/>
        </w:rPr>
        <w:t>, bet zemāka līmeņa normatīvajos aktos;</w:t>
      </w:r>
    </w:p>
    <w:p w14:paraId="21A23D67" w14:textId="685D57E4" w:rsidR="000D1DE4" w:rsidRPr="00690D12" w:rsidRDefault="000D1DE4" w:rsidP="00365012">
      <w:pPr>
        <w:pStyle w:val="ListParagraph"/>
        <w:numPr>
          <w:ilvl w:val="0"/>
          <w:numId w:val="1"/>
        </w:numPr>
        <w:spacing w:after="0" w:line="240" w:lineRule="auto"/>
        <w:contextualSpacing w:val="0"/>
        <w:jc w:val="both"/>
        <w:rPr>
          <w:sz w:val="28"/>
          <w:szCs w:val="28"/>
        </w:rPr>
      </w:pPr>
      <w:r w:rsidRPr="00690D12">
        <w:rPr>
          <w:i/>
          <w:iCs/>
          <w:sz w:val="28"/>
          <w:szCs w:val="28"/>
        </w:rPr>
        <w:t>42. pants</w:t>
      </w:r>
      <w:r w:rsidRPr="00690D12">
        <w:rPr>
          <w:sz w:val="28"/>
          <w:szCs w:val="28"/>
        </w:rPr>
        <w:t xml:space="preserve"> nosaka, ka augsta riska MI sistēmas, kuras ir sertificētas vai kurām saskaņā ar kiberdrošības shēmu ir izsniegts apliecinājums, ievērojot Regulu (ES) 2019/881 (Kiberdrošības akts)</w:t>
      </w:r>
      <w:r w:rsidRPr="00690D12">
        <w:rPr>
          <w:rStyle w:val="FootnoteReference"/>
          <w:sz w:val="28"/>
          <w:szCs w:val="28"/>
        </w:rPr>
        <w:footnoteReference w:id="4"/>
      </w:r>
      <w:r w:rsidRPr="00690D12">
        <w:rPr>
          <w:sz w:val="28"/>
          <w:szCs w:val="28"/>
        </w:rPr>
        <w:t xml:space="preserve">, atbilst MI akta 15. pantā noteiktajām kiberdrošības prasībām; nacionālais sertifikācijas modelis tiks ieviests, </w:t>
      </w:r>
      <w:r w:rsidR="00CA0788" w:rsidRPr="00690D12">
        <w:rPr>
          <w:sz w:val="28"/>
          <w:szCs w:val="28"/>
        </w:rPr>
        <w:t xml:space="preserve">ņemot vērā </w:t>
      </w:r>
      <w:r w:rsidRPr="00690D12">
        <w:rPr>
          <w:sz w:val="28"/>
          <w:szCs w:val="28"/>
        </w:rPr>
        <w:t>CRA prasības, par ko AM gatavo atsevišķu informatīvo ziņojumu</w:t>
      </w:r>
      <w:r w:rsidR="00CA0788" w:rsidRPr="00690D12">
        <w:rPr>
          <w:sz w:val="28"/>
          <w:szCs w:val="28"/>
        </w:rPr>
        <w:t>.</w:t>
      </w:r>
      <w:r w:rsidRPr="00690D12">
        <w:rPr>
          <w:sz w:val="28"/>
          <w:szCs w:val="28"/>
        </w:rPr>
        <w:t xml:space="preserve"> </w:t>
      </w:r>
      <w:r w:rsidR="00CA0788" w:rsidRPr="00690D12">
        <w:rPr>
          <w:sz w:val="28"/>
          <w:szCs w:val="28"/>
        </w:rPr>
        <w:t>Pamatojoties uz to,</w:t>
      </w:r>
      <w:r w:rsidR="0075363D" w:rsidRPr="00690D12">
        <w:rPr>
          <w:sz w:val="28"/>
          <w:szCs w:val="28"/>
        </w:rPr>
        <w:t xml:space="preserve"> ja būs nepieciešams,</w:t>
      </w:r>
      <w:r w:rsidRPr="00690D12">
        <w:rPr>
          <w:sz w:val="28"/>
          <w:szCs w:val="28"/>
        </w:rPr>
        <w:t xml:space="preserve"> tiks veikti grozījumi NKDL un citos normatīvajos aktos</w:t>
      </w:r>
      <w:r w:rsidR="00CA0788" w:rsidRPr="00690D12">
        <w:rPr>
          <w:sz w:val="28"/>
          <w:szCs w:val="28"/>
        </w:rPr>
        <w:t>. T</w:t>
      </w:r>
      <w:r w:rsidRPr="00690D12">
        <w:rPr>
          <w:sz w:val="28"/>
          <w:szCs w:val="28"/>
        </w:rPr>
        <w:t xml:space="preserve">āpēc MI akta </w:t>
      </w:r>
      <w:r w:rsidRPr="00690D12">
        <w:rPr>
          <w:i/>
          <w:iCs/>
          <w:sz w:val="28"/>
          <w:szCs w:val="28"/>
        </w:rPr>
        <w:t>42. pants</w:t>
      </w:r>
      <w:r w:rsidRPr="00690D12">
        <w:rPr>
          <w:sz w:val="28"/>
          <w:szCs w:val="28"/>
        </w:rPr>
        <w:t xml:space="preserve"> bez CRA ieviešanas konteksta nedod pietiekamu informāciju NKDL </w:t>
      </w:r>
      <w:r w:rsidR="00CA0788" w:rsidRPr="00690D12">
        <w:rPr>
          <w:sz w:val="28"/>
          <w:szCs w:val="28"/>
        </w:rPr>
        <w:t xml:space="preserve">grozījumu </w:t>
      </w:r>
      <w:r w:rsidRPr="00690D12">
        <w:rPr>
          <w:sz w:val="28"/>
          <w:szCs w:val="28"/>
        </w:rPr>
        <w:t>veikšanai</w:t>
      </w:r>
      <w:r w:rsidR="00CA0788" w:rsidRPr="00690D12">
        <w:rPr>
          <w:sz w:val="28"/>
          <w:szCs w:val="28"/>
        </w:rPr>
        <w:t>, kas noteikti</w:t>
      </w:r>
      <w:r w:rsidRPr="00690D12">
        <w:rPr>
          <w:sz w:val="28"/>
          <w:szCs w:val="28"/>
        </w:rPr>
        <w:t xml:space="preserve"> TAP;</w:t>
      </w:r>
    </w:p>
    <w:p w14:paraId="681A6B49" w14:textId="31189AD0" w:rsidR="000D1DE4" w:rsidRPr="00690D12" w:rsidRDefault="000D1DE4" w:rsidP="00365012">
      <w:pPr>
        <w:pStyle w:val="ListParagraph"/>
        <w:numPr>
          <w:ilvl w:val="0"/>
          <w:numId w:val="1"/>
        </w:numPr>
        <w:spacing w:after="0" w:line="240" w:lineRule="auto"/>
        <w:contextualSpacing w:val="0"/>
        <w:jc w:val="both"/>
        <w:rPr>
          <w:i/>
          <w:iCs/>
          <w:sz w:val="28"/>
          <w:szCs w:val="28"/>
        </w:rPr>
      </w:pPr>
      <w:r w:rsidRPr="00690D12">
        <w:rPr>
          <w:i/>
          <w:iCs/>
          <w:sz w:val="28"/>
          <w:szCs w:val="28"/>
        </w:rPr>
        <w:t xml:space="preserve">55. pants </w:t>
      </w:r>
      <w:r w:rsidRPr="00690D12">
        <w:rPr>
          <w:sz w:val="28"/>
          <w:szCs w:val="28"/>
        </w:rPr>
        <w:t>ir tieši piemērojams, kā noteikts regulā</w:t>
      </w:r>
      <w:r w:rsidR="00CA0788" w:rsidRPr="00690D12">
        <w:rPr>
          <w:sz w:val="28"/>
          <w:szCs w:val="28"/>
        </w:rPr>
        <w:t>. Tas</w:t>
      </w:r>
      <w:r w:rsidRPr="00690D12">
        <w:rPr>
          <w:sz w:val="28"/>
          <w:szCs w:val="28"/>
        </w:rPr>
        <w:t xml:space="preserve"> uzliek pienākumu MI modeļu ar sistēmisku risku nodrošinātājiem nodrošināt pienācīga līmeņa kiberdrošības aizsardzību šim modelim un tā fiziskajai </w:t>
      </w:r>
      <w:r w:rsidRPr="00690D12">
        <w:rPr>
          <w:sz w:val="28"/>
          <w:szCs w:val="28"/>
        </w:rPr>
        <w:lastRenderedPageBreak/>
        <w:t>infrastruktūrai</w:t>
      </w:r>
      <w:r w:rsidR="00CA0788" w:rsidRPr="00690D12">
        <w:rPr>
          <w:sz w:val="28"/>
          <w:szCs w:val="28"/>
        </w:rPr>
        <w:t xml:space="preserve">. Tajā </w:t>
      </w:r>
      <w:r w:rsidRPr="00690D12">
        <w:rPr>
          <w:sz w:val="28"/>
          <w:szCs w:val="28"/>
        </w:rPr>
        <w:t>uzsv</w:t>
      </w:r>
      <w:r w:rsidR="00CA0788" w:rsidRPr="00690D12">
        <w:rPr>
          <w:sz w:val="28"/>
          <w:szCs w:val="28"/>
        </w:rPr>
        <w:t>ērts</w:t>
      </w:r>
      <w:r w:rsidRPr="00690D12">
        <w:rPr>
          <w:sz w:val="28"/>
          <w:szCs w:val="28"/>
        </w:rPr>
        <w:t>, ka prasību izpild</w:t>
      </w:r>
      <w:r w:rsidR="007C4F4E" w:rsidRPr="00690D12">
        <w:rPr>
          <w:sz w:val="28"/>
          <w:szCs w:val="28"/>
        </w:rPr>
        <w:t>ē</w:t>
      </w:r>
      <w:r w:rsidRPr="00690D12">
        <w:rPr>
          <w:sz w:val="28"/>
          <w:szCs w:val="28"/>
        </w:rPr>
        <w:t xml:space="preserve"> var paļauties uz prakses kodeksiem</w:t>
      </w:r>
      <w:r w:rsidR="00CA0788" w:rsidRPr="00690D12">
        <w:rPr>
          <w:sz w:val="28"/>
          <w:szCs w:val="28"/>
        </w:rPr>
        <w:t xml:space="preserve">. To </w:t>
      </w:r>
      <w:r w:rsidRPr="00690D12">
        <w:rPr>
          <w:sz w:val="28"/>
          <w:szCs w:val="28"/>
        </w:rPr>
        <w:t>nodrošinās ES Mākslīgā intelekta birojs (līdz 2025. gada 2. maijam; EK publicēs īstenošanas aktus, ja prakses kodeksi netiks publicēti līdz 2025. gada 2. augustam) līdz laikam, kamēr tiek publicēts saskaņots standarts;</w:t>
      </w:r>
    </w:p>
    <w:p w14:paraId="5892CBAD" w14:textId="10918042" w:rsidR="000D1DE4" w:rsidRPr="00690D12" w:rsidRDefault="000D1DE4" w:rsidP="00365012">
      <w:pPr>
        <w:pStyle w:val="ListParagraph"/>
        <w:numPr>
          <w:ilvl w:val="0"/>
          <w:numId w:val="1"/>
        </w:numPr>
        <w:spacing w:after="0" w:line="240" w:lineRule="auto"/>
        <w:contextualSpacing w:val="0"/>
        <w:jc w:val="both"/>
        <w:rPr>
          <w:sz w:val="28"/>
          <w:szCs w:val="28"/>
        </w:rPr>
      </w:pPr>
      <w:r w:rsidRPr="00690D12">
        <w:rPr>
          <w:i/>
          <w:iCs/>
          <w:sz w:val="28"/>
          <w:szCs w:val="28"/>
        </w:rPr>
        <w:t>58. pants</w:t>
      </w:r>
      <w:r w:rsidRPr="00690D12">
        <w:rPr>
          <w:sz w:val="28"/>
          <w:szCs w:val="28"/>
        </w:rPr>
        <w:t xml:space="preserve"> nosaka MI “regulatīvo smilškastu” izveid</w:t>
      </w:r>
      <w:r w:rsidR="00CA0788" w:rsidRPr="00690D12">
        <w:rPr>
          <w:sz w:val="28"/>
          <w:szCs w:val="28"/>
        </w:rPr>
        <w:t>i</w:t>
      </w:r>
      <w:r w:rsidRPr="00690D12">
        <w:rPr>
          <w:sz w:val="28"/>
          <w:szCs w:val="28"/>
        </w:rPr>
        <w:t>, izstrā</w:t>
      </w:r>
      <w:r w:rsidR="00CA0788" w:rsidRPr="00690D12">
        <w:rPr>
          <w:sz w:val="28"/>
          <w:szCs w:val="28"/>
        </w:rPr>
        <w:t>di</w:t>
      </w:r>
      <w:r w:rsidRPr="00690D12">
        <w:rPr>
          <w:sz w:val="28"/>
          <w:szCs w:val="28"/>
        </w:rPr>
        <w:t>, darbības un uzraudzības kārtību</w:t>
      </w:r>
      <w:r w:rsidR="00CA0788" w:rsidRPr="00690D12">
        <w:rPr>
          <w:sz w:val="28"/>
          <w:szCs w:val="28"/>
        </w:rPr>
        <w:t>.</w:t>
      </w:r>
      <w:r w:rsidRPr="00690D12">
        <w:rPr>
          <w:sz w:val="28"/>
          <w:szCs w:val="28"/>
        </w:rPr>
        <w:t xml:space="preserve"> Latvijā </w:t>
      </w:r>
      <w:r w:rsidR="00CA0788" w:rsidRPr="00690D12">
        <w:rPr>
          <w:sz w:val="28"/>
          <w:szCs w:val="28"/>
        </w:rPr>
        <w:t xml:space="preserve">to </w:t>
      </w:r>
      <w:r w:rsidRPr="00690D12">
        <w:rPr>
          <w:sz w:val="28"/>
          <w:szCs w:val="28"/>
        </w:rPr>
        <w:t>koordinēs Mākslīgā intelekta centrs (turpmāk – MIC)</w:t>
      </w:r>
      <w:r w:rsidR="00CA0788" w:rsidRPr="00690D12">
        <w:rPr>
          <w:sz w:val="28"/>
          <w:szCs w:val="28"/>
        </w:rPr>
        <w:t>. S</w:t>
      </w:r>
      <w:r w:rsidRPr="00690D12">
        <w:rPr>
          <w:sz w:val="28"/>
          <w:szCs w:val="28"/>
        </w:rPr>
        <w:t xml:space="preserve">avukārt līdz 2025. gada 31. maijam MK ir jānosaka speciālās regulatīvās vides noteikumi, prasības un pienākumi MIC iesaistītajām personām, kas nav saistīts ar NKDL. Tāpat </w:t>
      </w:r>
      <w:r w:rsidRPr="00690D12">
        <w:rPr>
          <w:i/>
          <w:iCs/>
          <w:sz w:val="28"/>
          <w:szCs w:val="28"/>
        </w:rPr>
        <w:t>58. pants</w:t>
      </w:r>
      <w:r w:rsidRPr="00690D12">
        <w:rPr>
          <w:sz w:val="28"/>
          <w:szCs w:val="28"/>
        </w:rPr>
        <w:t xml:space="preserve"> nosaka, ka EK pieņem īstenošanas aktus, lai novērstu regulatīvās vides sadrumstalotību</w:t>
      </w:r>
      <w:r w:rsidR="00CA0788" w:rsidRPr="00690D12">
        <w:rPr>
          <w:sz w:val="28"/>
          <w:szCs w:val="28"/>
        </w:rPr>
        <w:t>. Tas nozīmē,</w:t>
      </w:r>
      <w:r w:rsidR="00A568C1" w:rsidRPr="00690D12">
        <w:rPr>
          <w:sz w:val="28"/>
          <w:szCs w:val="28"/>
        </w:rPr>
        <w:t xml:space="preserve"> </w:t>
      </w:r>
      <w:r w:rsidR="00CA0788" w:rsidRPr="00690D12">
        <w:rPr>
          <w:sz w:val="28"/>
          <w:szCs w:val="28"/>
        </w:rPr>
        <w:t>ka</w:t>
      </w:r>
      <w:r w:rsidRPr="00690D12">
        <w:rPr>
          <w:sz w:val="28"/>
          <w:szCs w:val="28"/>
        </w:rPr>
        <w:t xml:space="preserve"> sagaidāms precīzāks ES līmeņa regulējums;</w:t>
      </w:r>
    </w:p>
    <w:p w14:paraId="129C84DE" w14:textId="47F6EBA9" w:rsidR="000D1DE4" w:rsidRPr="00690D12" w:rsidRDefault="000D1DE4" w:rsidP="00365012">
      <w:pPr>
        <w:pStyle w:val="ListParagraph"/>
        <w:numPr>
          <w:ilvl w:val="0"/>
          <w:numId w:val="1"/>
        </w:numPr>
        <w:spacing w:after="0" w:line="240" w:lineRule="auto"/>
        <w:contextualSpacing w:val="0"/>
        <w:jc w:val="both"/>
        <w:rPr>
          <w:sz w:val="28"/>
          <w:szCs w:val="28"/>
        </w:rPr>
      </w:pPr>
      <w:r w:rsidRPr="00690D12">
        <w:rPr>
          <w:i/>
          <w:iCs/>
          <w:sz w:val="28"/>
          <w:szCs w:val="28"/>
        </w:rPr>
        <w:t>66. pants</w:t>
      </w:r>
      <w:r w:rsidRPr="00690D12">
        <w:rPr>
          <w:sz w:val="28"/>
          <w:szCs w:val="28"/>
        </w:rPr>
        <w:t xml:space="preserve"> regulē ES MI Padomes darbību, kas ir konsultatīva starpvalstu ekspertu grupa MI akta sinerģiskas ieviešanas un nozares attīstības veicināšanai dalībvalstīs</w:t>
      </w:r>
      <w:r w:rsidR="007C4F4E" w:rsidRPr="00690D12">
        <w:rPr>
          <w:sz w:val="28"/>
          <w:szCs w:val="28"/>
        </w:rPr>
        <w:t>,</w:t>
      </w:r>
      <w:r w:rsidRPr="00690D12">
        <w:rPr>
          <w:sz w:val="28"/>
          <w:szCs w:val="28"/>
        </w:rPr>
        <w:t xml:space="preserve"> un ES līmenī ar sekretariātu</w:t>
      </w:r>
      <w:r w:rsidR="00CA0788" w:rsidRPr="00690D12">
        <w:rPr>
          <w:sz w:val="28"/>
          <w:szCs w:val="28"/>
        </w:rPr>
        <w:t>.</w:t>
      </w:r>
      <w:r w:rsidRPr="00690D12">
        <w:rPr>
          <w:sz w:val="28"/>
          <w:szCs w:val="28"/>
        </w:rPr>
        <w:t xml:space="preserve"> ES Mākslīgā intelekta biroj</w:t>
      </w:r>
      <w:r w:rsidR="00CA0788" w:rsidRPr="00690D12">
        <w:rPr>
          <w:sz w:val="28"/>
          <w:szCs w:val="28"/>
        </w:rPr>
        <w:t>am</w:t>
      </w:r>
      <w:r w:rsidRPr="00690D12">
        <w:rPr>
          <w:sz w:val="28"/>
          <w:szCs w:val="28"/>
        </w:rPr>
        <w:t xml:space="preserve"> nav nepieciešam</w:t>
      </w:r>
      <w:r w:rsidR="00CA0788" w:rsidRPr="00690D12">
        <w:rPr>
          <w:sz w:val="28"/>
          <w:szCs w:val="28"/>
        </w:rPr>
        <w:t>s</w:t>
      </w:r>
      <w:r w:rsidRPr="00690D12">
        <w:rPr>
          <w:sz w:val="28"/>
          <w:szCs w:val="28"/>
        </w:rPr>
        <w:t xml:space="preserve"> noteikt regulējumu NKDL un </w:t>
      </w:r>
      <w:r w:rsidR="00CA0788" w:rsidRPr="00690D12">
        <w:rPr>
          <w:sz w:val="28"/>
          <w:szCs w:val="28"/>
        </w:rPr>
        <w:t>tam pakārtotaj</w:t>
      </w:r>
      <w:r w:rsidR="00A568C1" w:rsidRPr="00690D12">
        <w:rPr>
          <w:sz w:val="28"/>
          <w:szCs w:val="28"/>
        </w:rPr>
        <w:t>os</w:t>
      </w:r>
      <w:r w:rsidR="00CA0788" w:rsidRPr="00690D12">
        <w:rPr>
          <w:sz w:val="28"/>
          <w:szCs w:val="28"/>
        </w:rPr>
        <w:t xml:space="preserve"> tiesību</w:t>
      </w:r>
      <w:r w:rsidRPr="00690D12">
        <w:rPr>
          <w:sz w:val="28"/>
          <w:szCs w:val="28"/>
        </w:rPr>
        <w:t xml:space="preserve"> akt</w:t>
      </w:r>
      <w:r w:rsidR="00A568C1" w:rsidRPr="00690D12">
        <w:rPr>
          <w:sz w:val="28"/>
          <w:szCs w:val="28"/>
        </w:rPr>
        <w:t>os</w:t>
      </w:r>
      <w:r w:rsidRPr="00690D12">
        <w:rPr>
          <w:sz w:val="28"/>
          <w:szCs w:val="28"/>
        </w:rPr>
        <w:t>;</w:t>
      </w:r>
    </w:p>
    <w:p w14:paraId="19A1E409" w14:textId="6001B731" w:rsidR="000D1DE4" w:rsidRPr="00690D12" w:rsidRDefault="000D1DE4" w:rsidP="008C5D47">
      <w:pPr>
        <w:pStyle w:val="ListParagraph"/>
        <w:numPr>
          <w:ilvl w:val="0"/>
          <w:numId w:val="1"/>
        </w:numPr>
        <w:spacing w:after="0" w:line="240" w:lineRule="auto"/>
        <w:contextualSpacing w:val="0"/>
        <w:jc w:val="both"/>
        <w:rPr>
          <w:sz w:val="28"/>
          <w:szCs w:val="28"/>
        </w:rPr>
      </w:pPr>
      <w:r w:rsidRPr="00690D12">
        <w:rPr>
          <w:i/>
          <w:iCs/>
          <w:sz w:val="28"/>
          <w:szCs w:val="28"/>
        </w:rPr>
        <w:t>70. pants</w:t>
      </w:r>
      <w:r w:rsidRPr="00690D12">
        <w:rPr>
          <w:sz w:val="28"/>
          <w:szCs w:val="28"/>
        </w:rPr>
        <w:t xml:space="preserve"> regulē valsts kompetento iestāžu izraudzīšan</w:t>
      </w:r>
      <w:r w:rsidR="00CA0788" w:rsidRPr="00690D12">
        <w:rPr>
          <w:sz w:val="28"/>
          <w:szCs w:val="28"/>
        </w:rPr>
        <w:t xml:space="preserve">u, kas veiks </w:t>
      </w:r>
      <w:r w:rsidRPr="00690D12">
        <w:rPr>
          <w:sz w:val="28"/>
          <w:szCs w:val="28"/>
        </w:rPr>
        <w:t>paziņojošās iestādes un tirgus uzraudzības iestādes(-</w:t>
      </w:r>
      <w:proofErr w:type="spellStart"/>
      <w:r w:rsidRPr="00690D12">
        <w:rPr>
          <w:sz w:val="28"/>
          <w:szCs w:val="28"/>
        </w:rPr>
        <w:t>žu</w:t>
      </w:r>
      <w:proofErr w:type="spellEnd"/>
      <w:r w:rsidRPr="00690D12">
        <w:rPr>
          <w:sz w:val="28"/>
          <w:szCs w:val="28"/>
        </w:rPr>
        <w:t>) funkcij</w:t>
      </w:r>
      <w:r w:rsidR="00CA0788" w:rsidRPr="00690D12">
        <w:rPr>
          <w:sz w:val="28"/>
          <w:szCs w:val="28"/>
        </w:rPr>
        <w:t>as</w:t>
      </w:r>
      <w:r w:rsidR="007C4F4E" w:rsidRPr="00690D12">
        <w:rPr>
          <w:sz w:val="28"/>
          <w:szCs w:val="28"/>
        </w:rPr>
        <w:t>, t</w:t>
      </w:r>
      <w:r w:rsidRPr="00690D12">
        <w:rPr>
          <w:sz w:val="28"/>
          <w:szCs w:val="28"/>
        </w:rPr>
        <w:t>ostarp no</w:t>
      </w:r>
      <w:r w:rsidR="00CA0788" w:rsidRPr="00690D12">
        <w:rPr>
          <w:sz w:val="28"/>
          <w:szCs w:val="28"/>
        </w:rPr>
        <w:t>teiks</w:t>
      </w:r>
      <w:r w:rsidRPr="00690D12">
        <w:rPr>
          <w:sz w:val="28"/>
          <w:szCs w:val="28"/>
        </w:rPr>
        <w:t xml:space="preserve">, </w:t>
      </w:r>
      <w:r w:rsidR="00CA0788" w:rsidRPr="00690D12">
        <w:rPr>
          <w:sz w:val="28"/>
          <w:szCs w:val="28"/>
        </w:rPr>
        <w:t>pienācīgu kiberdrošības līmeni</w:t>
      </w:r>
      <w:r w:rsidRPr="00690D12">
        <w:rPr>
          <w:sz w:val="28"/>
          <w:szCs w:val="28"/>
        </w:rPr>
        <w:t>. Visas valsts iestādes, kuras potenciāli varētu pildīt minētās funkcijas, ir NKDL subjekti</w:t>
      </w:r>
      <w:r w:rsidR="00DB68FE" w:rsidRPr="00690D12">
        <w:rPr>
          <w:sz w:val="28"/>
          <w:szCs w:val="28"/>
        </w:rPr>
        <w:t>, kuriem būs jāatbilst MK noteikumiem “Minimālās kiberdrošības prasības” (saskaņošanas procesā)</w:t>
      </w:r>
      <w:r w:rsidR="00107517" w:rsidRPr="00690D12">
        <w:rPr>
          <w:sz w:val="28"/>
          <w:szCs w:val="28"/>
        </w:rPr>
        <w:t xml:space="preserve">. Tas </w:t>
      </w:r>
      <w:r w:rsidRPr="00690D12">
        <w:rPr>
          <w:sz w:val="28"/>
          <w:szCs w:val="28"/>
        </w:rPr>
        <w:t>nozīmē, ka tām tiks piemērotas pastiprinātas kiberdrošības prasības, tādēļ atsevišķs regulējums nav nepieciešams</w:t>
      </w:r>
      <w:r w:rsidR="00DB68FE" w:rsidRPr="00690D12">
        <w:rPr>
          <w:sz w:val="28"/>
          <w:szCs w:val="28"/>
        </w:rPr>
        <w:t xml:space="preserve">. MI akts nenosaka un neplāno noteikt specifiskas prasības šīm iestādēm, tāpēc nacionālo normatīvo aktu ievērošana ir pietiekams indikators par pienācīgu kiberdrošības līmeni. AM uzsver, ka NKDL un ar to saistītie MK noteikumi ir </w:t>
      </w:r>
      <w:r w:rsidR="008C5D47" w:rsidRPr="00690D12">
        <w:rPr>
          <w:sz w:val="28"/>
          <w:szCs w:val="28"/>
        </w:rPr>
        <w:t xml:space="preserve">pieņemti </w:t>
      </w:r>
      <w:r w:rsidR="00DB68FE" w:rsidRPr="00690D12">
        <w:rPr>
          <w:sz w:val="28"/>
          <w:szCs w:val="28"/>
        </w:rPr>
        <w:t>(vai tiks pieņemti), transponējot Direktīvu ES 2022/2555</w:t>
      </w:r>
      <w:r w:rsidR="006417E0" w:rsidRPr="00690D12">
        <w:rPr>
          <w:rStyle w:val="FootnoteReference"/>
          <w:sz w:val="28"/>
          <w:szCs w:val="28"/>
        </w:rPr>
        <w:footnoteReference w:id="5"/>
      </w:r>
      <w:r w:rsidR="008C5D47" w:rsidRPr="00690D12">
        <w:rPr>
          <w:sz w:val="28"/>
          <w:szCs w:val="28"/>
        </w:rPr>
        <w:t xml:space="preserve"> jeb NIS2, kas ietver aktuālu un visaptverošu organizāciju kiberdrošības standartu ES normatīvo aktu līmenī</w:t>
      </w:r>
      <w:proofErr w:type="gramStart"/>
      <w:r w:rsidR="008C5D47" w:rsidRPr="00690D12">
        <w:rPr>
          <w:sz w:val="28"/>
          <w:szCs w:val="28"/>
        </w:rPr>
        <w:t>, attiecīgi,</w:t>
      </w:r>
      <w:proofErr w:type="gramEnd"/>
      <w:r w:rsidR="008C5D47" w:rsidRPr="00690D12">
        <w:rPr>
          <w:sz w:val="28"/>
          <w:szCs w:val="28"/>
        </w:rPr>
        <w:t xml:space="preserve"> t</w:t>
      </w:r>
      <w:r w:rsidR="00074D72" w:rsidRPr="00690D12">
        <w:rPr>
          <w:sz w:val="28"/>
          <w:szCs w:val="28"/>
        </w:rPr>
        <w:t>o</w:t>
      </w:r>
      <w:r w:rsidR="008C5D47" w:rsidRPr="00690D12">
        <w:rPr>
          <w:sz w:val="28"/>
          <w:szCs w:val="28"/>
        </w:rPr>
        <w:t xml:space="preserve"> ievērošana uzraugāmajiem subjektiem ir obligāta, bet pārējiem – ieteicama. AM ieskatā NKDL subjekta statuss pilnībā nodrošina atbilstību pienācīgam kiberdrošības līmenim, ja </w:t>
      </w:r>
      <w:r w:rsidR="006417E0" w:rsidRPr="00690D12">
        <w:rPr>
          <w:sz w:val="28"/>
          <w:szCs w:val="28"/>
        </w:rPr>
        <w:t>nav konstatēti normatīvo aktu pārkāpumi subjektu uzraudzības procesā (šādā gadījumā organizācijas darbība var tikt ierobežota līdz pārkāpumu novēršanai).</w:t>
      </w:r>
    </w:p>
    <w:p w14:paraId="1506907E" w14:textId="1C5B5C04" w:rsidR="00CC6C2B" w:rsidRPr="00690D12" w:rsidRDefault="000D1DE4" w:rsidP="00365012">
      <w:pPr>
        <w:pStyle w:val="ListParagraph"/>
        <w:numPr>
          <w:ilvl w:val="0"/>
          <w:numId w:val="1"/>
        </w:numPr>
        <w:spacing w:after="0" w:line="240" w:lineRule="auto"/>
        <w:contextualSpacing w:val="0"/>
        <w:jc w:val="both"/>
        <w:rPr>
          <w:sz w:val="28"/>
          <w:szCs w:val="28"/>
        </w:rPr>
      </w:pPr>
      <w:r w:rsidRPr="00690D12">
        <w:rPr>
          <w:i/>
          <w:iCs/>
          <w:sz w:val="28"/>
          <w:szCs w:val="28"/>
        </w:rPr>
        <w:t>78. pants</w:t>
      </w:r>
      <w:r w:rsidRPr="00690D12">
        <w:rPr>
          <w:sz w:val="28"/>
          <w:szCs w:val="28"/>
        </w:rPr>
        <w:t xml:space="preserve"> regulē informācijas un datu konfidencialitāti</w:t>
      </w:r>
      <w:r w:rsidR="007C4F4E" w:rsidRPr="00690D12">
        <w:rPr>
          <w:sz w:val="28"/>
          <w:szCs w:val="28"/>
        </w:rPr>
        <w:t>, t</w:t>
      </w:r>
      <w:r w:rsidR="00107517" w:rsidRPr="00690D12">
        <w:rPr>
          <w:sz w:val="28"/>
          <w:szCs w:val="28"/>
        </w:rPr>
        <w:t xml:space="preserve">ajā skaitā </w:t>
      </w:r>
      <w:r w:rsidRPr="00690D12">
        <w:rPr>
          <w:sz w:val="28"/>
          <w:szCs w:val="28"/>
        </w:rPr>
        <w:t>informācijas un datu apmaiņas jautājum</w:t>
      </w:r>
      <w:r w:rsidR="00107517" w:rsidRPr="00690D12">
        <w:rPr>
          <w:sz w:val="28"/>
          <w:szCs w:val="28"/>
        </w:rPr>
        <w:t>us</w:t>
      </w:r>
      <w:r w:rsidRPr="00690D12">
        <w:rPr>
          <w:sz w:val="28"/>
          <w:szCs w:val="28"/>
        </w:rPr>
        <w:t xml:space="preserve"> starp iestādēm</w:t>
      </w:r>
      <w:r w:rsidR="00A50F55" w:rsidRPr="00690D12">
        <w:rPr>
          <w:sz w:val="28"/>
          <w:szCs w:val="28"/>
        </w:rPr>
        <w:t>,</w:t>
      </w:r>
      <w:r w:rsidRPr="00690D12">
        <w:rPr>
          <w:sz w:val="28"/>
          <w:szCs w:val="28"/>
        </w:rPr>
        <w:t xml:space="preserve"> kas iesaistītas šīs regulas piemērošanā</w:t>
      </w:r>
      <w:r w:rsidR="00107517" w:rsidRPr="00690D12">
        <w:rPr>
          <w:sz w:val="28"/>
          <w:szCs w:val="28"/>
        </w:rPr>
        <w:t>. Tas nosaka</w:t>
      </w:r>
      <w:r w:rsidRPr="00690D12">
        <w:rPr>
          <w:sz w:val="28"/>
          <w:szCs w:val="28"/>
        </w:rPr>
        <w:t xml:space="preserve"> pienākumu ievērot efektīvus kiberdrošības pasākumus. Šajā kontekstā tikai atbilstības novērtēšanas iestādēm, kas nav NKDL subjekti, citos normatīvajos aktos var noteikt </w:t>
      </w:r>
      <w:r w:rsidRPr="00690D12">
        <w:rPr>
          <w:sz w:val="28"/>
          <w:szCs w:val="28"/>
        </w:rPr>
        <w:lastRenderedPageBreak/>
        <w:t xml:space="preserve">(piemēram, likumā “Par atbilstības novērtēšanu” un/vai ar to saistītajos normatīvajos aktos) ievērot nacionālos kiberdrošību regulējošos normatīvos aktus vai citā veidā apliecināt pienācīgu kiberdrošības līmeni </w:t>
      </w:r>
      <w:proofErr w:type="gramStart"/>
      <w:r w:rsidRPr="00690D12">
        <w:rPr>
          <w:sz w:val="28"/>
          <w:szCs w:val="28"/>
        </w:rPr>
        <w:t>(</w:t>
      </w:r>
      <w:proofErr w:type="gramEnd"/>
      <w:r w:rsidRPr="00690D12">
        <w:rPr>
          <w:sz w:val="28"/>
          <w:szCs w:val="28"/>
        </w:rPr>
        <w:t>skatīt 3. punktu).</w:t>
      </w:r>
    </w:p>
    <w:p w14:paraId="5E982699" w14:textId="77777777" w:rsidR="00CC6C2B" w:rsidRPr="00690D12" w:rsidRDefault="00CC6C2B" w:rsidP="00365012">
      <w:pPr>
        <w:spacing w:line="240" w:lineRule="auto"/>
        <w:ind w:firstLine="0"/>
        <w:jc w:val="both"/>
        <w:rPr>
          <w:sz w:val="28"/>
          <w:szCs w:val="28"/>
          <w:lang w:val="lv-LV"/>
        </w:rPr>
      </w:pPr>
    </w:p>
    <w:p w14:paraId="10FE0268" w14:textId="2EC66AF0" w:rsidR="000D1DE4" w:rsidRPr="00690D12" w:rsidRDefault="00D95F0C" w:rsidP="00365012">
      <w:pPr>
        <w:spacing w:line="240" w:lineRule="auto"/>
        <w:jc w:val="both"/>
        <w:rPr>
          <w:color w:val="000000" w:themeColor="text1"/>
          <w:sz w:val="28"/>
          <w:szCs w:val="28"/>
          <w:lang w:val="lv-LV"/>
        </w:rPr>
      </w:pPr>
      <w:r w:rsidRPr="00690D12">
        <w:rPr>
          <w:color w:val="000000" w:themeColor="text1"/>
          <w:sz w:val="28"/>
          <w:szCs w:val="28"/>
          <w:lang w:val="lv-LV"/>
        </w:rPr>
        <w:t>P</w:t>
      </w:r>
      <w:r w:rsidR="00C973E1" w:rsidRPr="00690D12">
        <w:rPr>
          <w:color w:val="000000" w:themeColor="text1"/>
          <w:sz w:val="28"/>
          <w:szCs w:val="28"/>
          <w:lang w:val="lv-LV"/>
        </w:rPr>
        <w:t>amatojoties uz MI akta prasībām, AM uzsver, ka militāra joma ir ārpus šī akta tvēruma</w:t>
      </w:r>
      <w:r w:rsidR="00A568C1" w:rsidRPr="00690D12">
        <w:rPr>
          <w:color w:val="000000" w:themeColor="text1"/>
          <w:sz w:val="28"/>
          <w:szCs w:val="28"/>
          <w:lang w:val="lv-LV"/>
        </w:rPr>
        <w:t>.</w:t>
      </w:r>
      <w:r w:rsidR="00BF29D0" w:rsidRPr="00690D12">
        <w:rPr>
          <w:color w:val="000000" w:themeColor="text1"/>
          <w:sz w:val="28"/>
          <w:szCs w:val="28"/>
          <w:lang w:val="lv-LV"/>
        </w:rPr>
        <w:t xml:space="preserve"> </w:t>
      </w:r>
      <w:r w:rsidR="00A568C1" w:rsidRPr="00690D12">
        <w:rPr>
          <w:color w:val="000000" w:themeColor="text1"/>
          <w:sz w:val="28"/>
          <w:szCs w:val="28"/>
          <w:lang w:val="lv-LV"/>
        </w:rPr>
        <w:t>Papildus</w:t>
      </w:r>
      <w:r w:rsidR="00BF29D0" w:rsidRPr="00690D12">
        <w:rPr>
          <w:color w:val="000000" w:themeColor="text1"/>
          <w:sz w:val="28"/>
          <w:szCs w:val="28"/>
          <w:lang w:val="lv-LV"/>
        </w:rPr>
        <w:t xml:space="preserve"> jāvērš uzmanība uz to, ka</w:t>
      </w:r>
      <w:r w:rsidR="00C973E1" w:rsidRPr="00690D12">
        <w:rPr>
          <w:color w:val="000000" w:themeColor="text1"/>
          <w:sz w:val="28"/>
          <w:szCs w:val="28"/>
          <w:lang w:val="lv-LV"/>
        </w:rPr>
        <w:t xml:space="preserve"> ES regulas normas tiek piemērotas tieši, līdz ar to nav nepieciešams tās dublēt NKDL. </w:t>
      </w:r>
      <w:r w:rsidR="000D1DE4" w:rsidRPr="00690D12">
        <w:rPr>
          <w:color w:val="000000" w:themeColor="text1"/>
          <w:sz w:val="28"/>
          <w:szCs w:val="28"/>
          <w:lang w:val="lv-LV"/>
        </w:rPr>
        <w:t>AM ieskatā ir izdarām</w:t>
      </w:r>
      <w:r w:rsidR="00A4370E" w:rsidRPr="00690D12">
        <w:rPr>
          <w:color w:val="000000" w:themeColor="text1"/>
          <w:sz w:val="28"/>
          <w:szCs w:val="28"/>
          <w:lang w:val="lv-LV"/>
        </w:rPr>
        <w:t xml:space="preserve">i grozījumi </w:t>
      </w:r>
      <w:r w:rsidR="000D1DE4" w:rsidRPr="00690D12">
        <w:rPr>
          <w:color w:val="000000" w:themeColor="text1"/>
          <w:sz w:val="28"/>
          <w:szCs w:val="28"/>
          <w:lang w:val="lv-LV"/>
        </w:rPr>
        <w:t>citos normatīvajos aktos, piemēram, likumā “Par atbilstības novērtēšanu”</w:t>
      </w:r>
      <w:r w:rsidR="00A4370E" w:rsidRPr="00690D12">
        <w:rPr>
          <w:color w:val="000000" w:themeColor="text1"/>
          <w:sz w:val="28"/>
          <w:szCs w:val="28"/>
          <w:lang w:val="lv-LV"/>
        </w:rPr>
        <w:t>.</w:t>
      </w:r>
    </w:p>
    <w:p w14:paraId="7BAEF8D7" w14:textId="50AFC48D" w:rsidR="000D1DE4" w:rsidRPr="00690D12" w:rsidRDefault="00FB4812" w:rsidP="00365012">
      <w:pPr>
        <w:spacing w:line="240" w:lineRule="auto"/>
        <w:jc w:val="both"/>
        <w:rPr>
          <w:sz w:val="28"/>
          <w:szCs w:val="28"/>
          <w:lang w:val="lv-LV"/>
        </w:rPr>
      </w:pPr>
      <w:r w:rsidRPr="00690D12">
        <w:rPr>
          <w:color w:val="000000" w:themeColor="text1"/>
          <w:sz w:val="28"/>
          <w:szCs w:val="28"/>
          <w:lang w:val="lv-LV"/>
        </w:rPr>
        <w:t xml:space="preserve">AM aicina ņemt </w:t>
      </w:r>
      <w:r w:rsidR="000D1DE4" w:rsidRPr="00690D12">
        <w:rPr>
          <w:color w:val="000000" w:themeColor="text1"/>
          <w:sz w:val="28"/>
          <w:szCs w:val="28"/>
          <w:lang w:val="lv-LV"/>
        </w:rPr>
        <w:t>vērā sinerģij</w:t>
      </w:r>
      <w:r w:rsidRPr="00690D12">
        <w:rPr>
          <w:color w:val="000000" w:themeColor="text1"/>
          <w:sz w:val="28"/>
          <w:szCs w:val="28"/>
          <w:lang w:val="lv-LV"/>
        </w:rPr>
        <w:t>u</w:t>
      </w:r>
      <w:r w:rsidR="000D1DE4" w:rsidRPr="00690D12">
        <w:rPr>
          <w:color w:val="000000" w:themeColor="text1"/>
          <w:sz w:val="28"/>
          <w:szCs w:val="28"/>
          <w:lang w:val="lv-LV"/>
        </w:rPr>
        <w:t xml:space="preserve"> ar CRA</w:t>
      </w:r>
      <w:r w:rsidRPr="00690D12">
        <w:rPr>
          <w:color w:val="000000" w:themeColor="text1"/>
          <w:sz w:val="28"/>
          <w:szCs w:val="28"/>
          <w:lang w:val="lv-LV"/>
        </w:rPr>
        <w:t xml:space="preserve">. Tas ir, CRA </w:t>
      </w:r>
      <w:r w:rsidR="000D1DE4" w:rsidRPr="00690D12">
        <w:rPr>
          <w:color w:val="000000" w:themeColor="text1"/>
          <w:sz w:val="28"/>
          <w:szCs w:val="28"/>
          <w:lang w:val="lv-LV"/>
        </w:rPr>
        <w:t xml:space="preserve">nosaka, ka MI </w:t>
      </w:r>
      <w:r w:rsidR="000D1DE4" w:rsidRPr="00690D12">
        <w:rPr>
          <w:sz w:val="28"/>
          <w:szCs w:val="28"/>
          <w:lang w:val="lv-LV"/>
        </w:rPr>
        <w:t>sistēmu/produktu</w:t>
      </w:r>
      <w:r w:rsidR="00483A81" w:rsidRPr="00690D12">
        <w:rPr>
          <w:sz w:val="28"/>
          <w:szCs w:val="28"/>
          <w:lang w:val="lv-LV"/>
        </w:rPr>
        <w:t xml:space="preserve"> </w:t>
      </w:r>
      <w:r w:rsidR="000D1DE4" w:rsidRPr="00690D12">
        <w:rPr>
          <w:sz w:val="28"/>
          <w:szCs w:val="28"/>
          <w:lang w:val="lv-LV"/>
        </w:rPr>
        <w:t xml:space="preserve">gadījumā kiberdrošības prasību ievērošanu kontrolē tirgus uzraudzības iestādes (CRA 12. pants). Saskaņā ar MI akta </w:t>
      </w:r>
      <w:r w:rsidR="0081575A" w:rsidRPr="00690D12">
        <w:rPr>
          <w:sz w:val="28"/>
          <w:szCs w:val="28"/>
          <w:lang w:val="lv-LV"/>
        </w:rPr>
        <w:t xml:space="preserve">15. un 55. pantu </w:t>
      </w:r>
      <w:r w:rsidR="000D1DE4" w:rsidRPr="00690D12">
        <w:rPr>
          <w:sz w:val="28"/>
          <w:szCs w:val="28"/>
          <w:lang w:val="lv-LV"/>
        </w:rPr>
        <w:t>kiberdrošības prasības MI sistēmām/produktiem tiks noteiktas ar ES līmeņa prakses kodeksu, standartiem un ieviešanas aktiem. Tikai tad, ja MI sistēmas/produkti vienlaikus ir arī CRA 3. un 4. pielikumā noteikto produktu sarakstos (produkti ar digitāliem elementiem, kuriem būs nepieciešama speciāla kiberdrošības atbilstības pārbaudes procedūra), kiberdrošības prasību izpildei kā pietiekams apliecinājums var būt arī kiberdrošības sertifikāts vai atbilstības pārbaudes procedūra, kā noteikts CRA 12. pantā</w:t>
      </w:r>
      <w:r w:rsidR="00483A81" w:rsidRPr="00690D12">
        <w:rPr>
          <w:sz w:val="28"/>
          <w:szCs w:val="28"/>
          <w:lang w:val="lv-LV"/>
        </w:rPr>
        <w:t>.</w:t>
      </w:r>
      <w:r w:rsidR="00107517" w:rsidRPr="00690D12">
        <w:rPr>
          <w:sz w:val="28"/>
          <w:szCs w:val="28"/>
          <w:lang w:val="lv-LV"/>
        </w:rPr>
        <w:t xml:space="preserve"> Līdz ar to</w:t>
      </w:r>
      <w:r w:rsidR="00483A81" w:rsidRPr="00690D12">
        <w:rPr>
          <w:sz w:val="28"/>
          <w:szCs w:val="28"/>
          <w:lang w:val="lv-LV"/>
        </w:rPr>
        <w:t xml:space="preserve"> </w:t>
      </w:r>
      <w:r w:rsidR="000D1DE4" w:rsidRPr="00690D12">
        <w:rPr>
          <w:sz w:val="28"/>
          <w:szCs w:val="28"/>
          <w:lang w:val="lv-LV"/>
        </w:rPr>
        <w:t>tirgus uzraudzības iestādēm šajos gadījumos būs iespēja automātiski piemērot atbilstību arī MI aktā minētajām kiberdrošības prasībām, kas tiks noteiktas saskaņā ar MI akta 15. pantu – ieviešanas aktiem. AM uzsver, ka tikai neliela daļa no MI sistēmām varētu būt arī CRA subjekti</w:t>
      </w:r>
      <w:r w:rsidR="00107517" w:rsidRPr="00690D12">
        <w:rPr>
          <w:sz w:val="28"/>
          <w:szCs w:val="28"/>
          <w:lang w:val="lv-LV"/>
        </w:rPr>
        <w:t>. T</w:t>
      </w:r>
      <w:r w:rsidR="000D1DE4" w:rsidRPr="00690D12">
        <w:rPr>
          <w:sz w:val="28"/>
          <w:szCs w:val="28"/>
          <w:lang w:val="lv-LV"/>
        </w:rPr>
        <w:t>āpēc jārēķinās, ka tirgus uzraudzības iestādēm būs jāatrod resursi, lai varētu uzraudzīt MI aktā paredzēto kiberdrošības prasību izpildi MI sistēmās, kas nav CRA subjekti.</w:t>
      </w:r>
    </w:p>
    <w:p w14:paraId="02142EB1" w14:textId="42C81D07" w:rsidR="00E91DEA" w:rsidRPr="00690D12" w:rsidRDefault="00E91DEA" w:rsidP="00365012">
      <w:pPr>
        <w:spacing w:line="240" w:lineRule="auto"/>
        <w:jc w:val="both"/>
        <w:rPr>
          <w:sz w:val="28"/>
          <w:szCs w:val="28"/>
          <w:lang w:val="lv-LV"/>
        </w:rPr>
      </w:pPr>
      <w:r w:rsidRPr="00690D12">
        <w:rPr>
          <w:sz w:val="28"/>
          <w:szCs w:val="28"/>
          <w:lang w:val="lv-LV"/>
        </w:rPr>
        <w:t xml:space="preserve">Ņemot vērā </w:t>
      </w:r>
      <w:r w:rsidR="00433B61" w:rsidRPr="00690D12">
        <w:rPr>
          <w:sz w:val="28"/>
          <w:szCs w:val="28"/>
          <w:lang w:val="lv-LV"/>
        </w:rPr>
        <w:t>iepriekš minēto</w:t>
      </w:r>
      <w:r w:rsidRPr="00690D12">
        <w:rPr>
          <w:sz w:val="28"/>
          <w:szCs w:val="28"/>
          <w:lang w:val="lv-LV"/>
        </w:rPr>
        <w:t>, informatīvā ziņojuma “Par Mākslīgā intelekta akta prasību ieviešanu” Pielikumā Nr. 1 norādītā nepieciešamība pēc NKDL grozījumiem AM ieskatā zaudē aktualitāti.</w:t>
      </w:r>
    </w:p>
    <w:p w14:paraId="038CE646" w14:textId="77777777" w:rsidR="00DA012C" w:rsidRPr="00690D12" w:rsidRDefault="00DA012C" w:rsidP="00365012">
      <w:pPr>
        <w:ind w:firstLine="0"/>
        <w:jc w:val="both"/>
        <w:rPr>
          <w:sz w:val="28"/>
          <w:szCs w:val="28"/>
          <w:lang w:val="lv-LV"/>
        </w:rPr>
      </w:pPr>
    </w:p>
    <w:p w14:paraId="4BF2ED79" w14:textId="1BA0DF02" w:rsidR="00DA012C" w:rsidRPr="00690D12" w:rsidRDefault="00DA012C" w:rsidP="00365012">
      <w:pPr>
        <w:ind w:firstLine="0"/>
        <w:jc w:val="center"/>
        <w:rPr>
          <w:b/>
          <w:bCs/>
          <w:color w:val="000000" w:themeColor="text1"/>
          <w:sz w:val="28"/>
          <w:szCs w:val="28"/>
          <w:lang w:val="lv-LV"/>
        </w:rPr>
      </w:pPr>
      <w:r w:rsidRPr="00690D12">
        <w:rPr>
          <w:b/>
          <w:bCs/>
          <w:sz w:val="28"/>
          <w:szCs w:val="28"/>
          <w:lang w:val="lv-LV"/>
        </w:rPr>
        <w:t xml:space="preserve">2. </w:t>
      </w:r>
      <w:r w:rsidRPr="00690D12">
        <w:rPr>
          <w:b/>
          <w:bCs/>
          <w:color w:val="000000" w:themeColor="text1"/>
          <w:sz w:val="28"/>
          <w:szCs w:val="28"/>
          <w:lang w:val="lv-LV"/>
        </w:rPr>
        <w:t xml:space="preserve">Par Militārās izlūkošanas un drošības dienesta iesaisti </w:t>
      </w:r>
      <w:r w:rsidR="00E03600" w:rsidRPr="00690D12">
        <w:rPr>
          <w:b/>
          <w:bCs/>
          <w:color w:val="000000" w:themeColor="text1"/>
          <w:sz w:val="28"/>
          <w:szCs w:val="28"/>
          <w:lang w:val="lv-LV"/>
        </w:rPr>
        <w:t>MI</w:t>
      </w:r>
      <w:r w:rsidRPr="00690D12">
        <w:rPr>
          <w:b/>
          <w:bCs/>
          <w:color w:val="000000" w:themeColor="text1"/>
          <w:sz w:val="28"/>
          <w:szCs w:val="28"/>
          <w:lang w:val="lv-LV"/>
        </w:rPr>
        <w:t xml:space="preserve"> akta piemērošanā</w:t>
      </w:r>
    </w:p>
    <w:p w14:paraId="230F827E" w14:textId="1EEDF457" w:rsidR="00DA012C" w:rsidRPr="00690D12" w:rsidRDefault="00BE67D4" w:rsidP="00365012">
      <w:pPr>
        <w:spacing w:line="240" w:lineRule="auto"/>
        <w:jc w:val="both"/>
        <w:rPr>
          <w:rFonts w:eastAsia="Times New Roman"/>
          <w:color w:val="000000" w:themeColor="text1"/>
          <w:sz w:val="28"/>
          <w:szCs w:val="28"/>
          <w:lang w:val="lv-LV" w:eastAsia="lv-LV"/>
        </w:rPr>
      </w:pPr>
      <w:r w:rsidRPr="00690D12">
        <w:rPr>
          <w:rFonts w:eastAsia="Times New Roman"/>
          <w:color w:val="000000" w:themeColor="text1"/>
          <w:sz w:val="28"/>
          <w:szCs w:val="28"/>
          <w:lang w:val="lv-LV" w:eastAsia="lv-LV"/>
        </w:rPr>
        <w:t>AM vērš</w:t>
      </w:r>
      <w:r w:rsidR="00DA012C" w:rsidRPr="00690D12">
        <w:rPr>
          <w:rFonts w:eastAsia="Times New Roman"/>
          <w:color w:val="000000" w:themeColor="text1"/>
          <w:sz w:val="28"/>
          <w:szCs w:val="28"/>
          <w:lang w:val="lv-LV" w:eastAsia="lv-LV"/>
        </w:rPr>
        <w:t xml:space="preserve"> uzmanību </w:t>
      </w:r>
      <w:r w:rsidRPr="00690D12">
        <w:rPr>
          <w:rFonts w:eastAsia="Times New Roman"/>
          <w:color w:val="000000" w:themeColor="text1"/>
          <w:sz w:val="28"/>
          <w:szCs w:val="28"/>
          <w:lang w:val="lv-LV" w:eastAsia="lv-LV"/>
        </w:rPr>
        <w:t xml:space="preserve">uz </w:t>
      </w:r>
      <w:r w:rsidR="00DA012C" w:rsidRPr="00690D12">
        <w:rPr>
          <w:rFonts w:eastAsia="Times New Roman"/>
          <w:color w:val="000000" w:themeColor="text1"/>
          <w:sz w:val="28"/>
          <w:szCs w:val="28"/>
          <w:lang w:val="lv-LV" w:eastAsia="lv-LV"/>
        </w:rPr>
        <w:t>Eiropas Savienības Parlamenta un Padomes 2024.</w:t>
      </w:r>
      <w:r w:rsidR="00CC6C2B" w:rsidRPr="00690D12">
        <w:rPr>
          <w:rFonts w:eastAsia="Times New Roman"/>
          <w:color w:val="000000" w:themeColor="text1"/>
          <w:sz w:val="28"/>
          <w:szCs w:val="28"/>
          <w:lang w:val="lv-LV" w:eastAsia="lv-LV"/>
        </w:rPr>
        <w:t xml:space="preserve"> </w:t>
      </w:r>
      <w:r w:rsidR="00DA012C" w:rsidRPr="00690D12">
        <w:rPr>
          <w:rFonts w:eastAsia="Times New Roman"/>
          <w:color w:val="000000" w:themeColor="text1"/>
          <w:sz w:val="28"/>
          <w:szCs w:val="28"/>
          <w:lang w:val="lv-LV" w:eastAsia="lv-LV"/>
        </w:rPr>
        <w:t>gada 13.</w:t>
      </w:r>
      <w:r w:rsidR="00CC6C2B" w:rsidRPr="00690D12">
        <w:rPr>
          <w:rFonts w:eastAsia="Times New Roman"/>
          <w:color w:val="000000" w:themeColor="text1"/>
          <w:sz w:val="28"/>
          <w:szCs w:val="28"/>
          <w:lang w:val="lv-LV" w:eastAsia="lv-LV"/>
        </w:rPr>
        <w:t xml:space="preserve"> </w:t>
      </w:r>
      <w:r w:rsidR="00DA012C" w:rsidRPr="00690D12">
        <w:rPr>
          <w:rFonts w:eastAsia="Times New Roman"/>
          <w:color w:val="000000" w:themeColor="text1"/>
          <w:sz w:val="28"/>
          <w:szCs w:val="28"/>
          <w:lang w:val="lv-LV" w:eastAsia="lv-LV"/>
        </w:rPr>
        <w:t xml:space="preserve">jūnija regulas (ES) 2024/1689, ar ko nosaka saskaņotas normas mākslīgā intelekta jomā un groza Regulas (EK) Nr.300/2008, (ES) Nr.167/2013, (ES) Nr.168/2013, </w:t>
      </w:r>
      <w:proofErr w:type="gramStart"/>
      <w:r w:rsidR="00DA012C" w:rsidRPr="00690D12">
        <w:rPr>
          <w:rFonts w:eastAsia="Times New Roman"/>
          <w:color w:val="000000" w:themeColor="text1"/>
          <w:sz w:val="28"/>
          <w:szCs w:val="28"/>
          <w:lang w:val="lv-LV" w:eastAsia="lv-LV"/>
        </w:rPr>
        <w:t>(</w:t>
      </w:r>
      <w:proofErr w:type="gramEnd"/>
      <w:r w:rsidR="00DA012C" w:rsidRPr="00690D12">
        <w:rPr>
          <w:rFonts w:eastAsia="Times New Roman"/>
          <w:color w:val="000000" w:themeColor="text1"/>
          <w:sz w:val="28"/>
          <w:szCs w:val="28"/>
          <w:lang w:val="lv-LV" w:eastAsia="lv-LV"/>
        </w:rPr>
        <w:t>ES) 2018/858, (ES) 2018/1139 un (ES) 2019/2144 un Direktīvas 2014/90/ES, (ES) 2016/797 un (ES) 2020/1828, (</w:t>
      </w:r>
      <w:r w:rsidR="00E03600" w:rsidRPr="00690D12">
        <w:rPr>
          <w:rFonts w:eastAsia="Times New Roman"/>
          <w:color w:val="000000" w:themeColor="text1"/>
          <w:sz w:val="28"/>
          <w:szCs w:val="28"/>
          <w:lang w:val="lv-LV" w:eastAsia="lv-LV"/>
        </w:rPr>
        <w:t>MI</w:t>
      </w:r>
      <w:r w:rsidR="00DA012C" w:rsidRPr="00690D12">
        <w:rPr>
          <w:rFonts w:eastAsia="Times New Roman"/>
          <w:color w:val="000000" w:themeColor="text1"/>
          <w:sz w:val="28"/>
          <w:szCs w:val="28"/>
          <w:lang w:val="lv-LV" w:eastAsia="lv-LV"/>
        </w:rPr>
        <w:t xml:space="preserve"> akts) 2.</w:t>
      </w:r>
      <w:r w:rsidR="0045593F" w:rsidRPr="00690D12">
        <w:rPr>
          <w:rFonts w:eastAsia="Times New Roman"/>
          <w:color w:val="000000" w:themeColor="text1"/>
          <w:sz w:val="28"/>
          <w:szCs w:val="28"/>
          <w:lang w:val="lv-LV" w:eastAsia="lv-LV"/>
        </w:rPr>
        <w:t xml:space="preserve"> </w:t>
      </w:r>
      <w:r w:rsidR="00DA012C" w:rsidRPr="00690D12">
        <w:rPr>
          <w:rFonts w:eastAsia="Times New Roman"/>
          <w:color w:val="000000" w:themeColor="text1"/>
          <w:sz w:val="28"/>
          <w:szCs w:val="28"/>
          <w:lang w:val="lv-LV" w:eastAsia="lv-LV"/>
        </w:rPr>
        <w:t>panta 3.</w:t>
      </w:r>
      <w:r w:rsidR="0045593F" w:rsidRPr="00690D12">
        <w:rPr>
          <w:rFonts w:eastAsia="Times New Roman"/>
          <w:color w:val="000000" w:themeColor="text1"/>
          <w:sz w:val="28"/>
          <w:szCs w:val="28"/>
          <w:lang w:val="lv-LV" w:eastAsia="lv-LV"/>
        </w:rPr>
        <w:t xml:space="preserve"> </w:t>
      </w:r>
      <w:r w:rsidR="00DA012C" w:rsidRPr="00690D12">
        <w:rPr>
          <w:rFonts w:eastAsia="Times New Roman"/>
          <w:color w:val="000000" w:themeColor="text1"/>
          <w:sz w:val="28"/>
          <w:szCs w:val="28"/>
          <w:lang w:val="lv-LV" w:eastAsia="lv-LV"/>
        </w:rPr>
        <w:t xml:space="preserve">punktu un </w:t>
      </w:r>
      <w:r w:rsidR="00BF29D0" w:rsidRPr="00690D12">
        <w:rPr>
          <w:rFonts w:eastAsia="Times New Roman"/>
          <w:color w:val="000000" w:themeColor="text1"/>
          <w:sz w:val="28"/>
          <w:szCs w:val="28"/>
          <w:lang w:val="lv-LV" w:eastAsia="lv-LV"/>
        </w:rPr>
        <w:t xml:space="preserve">apsvērumu </w:t>
      </w:r>
      <w:r w:rsidR="00DA012C" w:rsidRPr="00690D12">
        <w:rPr>
          <w:rFonts w:eastAsia="Times New Roman"/>
          <w:color w:val="000000" w:themeColor="text1"/>
          <w:sz w:val="28"/>
          <w:szCs w:val="28"/>
          <w:lang w:val="lv-LV" w:eastAsia="lv-LV"/>
        </w:rPr>
        <w:t>24.</w:t>
      </w:r>
      <w:r w:rsidR="00CC6C2B" w:rsidRPr="00690D12">
        <w:rPr>
          <w:rFonts w:eastAsia="Times New Roman"/>
          <w:color w:val="000000" w:themeColor="text1"/>
          <w:sz w:val="28"/>
          <w:szCs w:val="28"/>
          <w:lang w:val="lv-LV" w:eastAsia="lv-LV"/>
        </w:rPr>
        <w:t xml:space="preserve"> </w:t>
      </w:r>
      <w:r w:rsidR="00DA012C" w:rsidRPr="00690D12">
        <w:rPr>
          <w:rFonts w:eastAsia="Times New Roman"/>
          <w:color w:val="000000" w:themeColor="text1"/>
          <w:sz w:val="28"/>
          <w:szCs w:val="28"/>
          <w:lang w:val="lv-LV" w:eastAsia="lv-LV"/>
        </w:rPr>
        <w:t xml:space="preserve">punktu. </w:t>
      </w:r>
      <w:r w:rsidR="00BF29D0" w:rsidRPr="00690D12">
        <w:rPr>
          <w:rFonts w:eastAsia="Times New Roman"/>
          <w:color w:val="000000" w:themeColor="text1"/>
          <w:sz w:val="28"/>
          <w:szCs w:val="28"/>
          <w:lang w:val="lv-LV" w:eastAsia="lv-LV"/>
        </w:rPr>
        <w:t xml:space="preserve">Minētajās normās </w:t>
      </w:r>
      <w:r w:rsidR="00A909E4" w:rsidRPr="00690D12">
        <w:rPr>
          <w:rFonts w:eastAsia="Times New Roman"/>
          <w:color w:val="000000" w:themeColor="text1"/>
          <w:sz w:val="28"/>
          <w:szCs w:val="28"/>
          <w:lang w:val="lv-LV" w:eastAsia="lv-LV"/>
        </w:rPr>
        <w:t>ir</w:t>
      </w:r>
      <w:r w:rsidR="00DA012C" w:rsidRPr="00690D12">
        <w:rPr>
          <w:rFonts w:eastAsia="Times New Roman"/>
          <w:color w:val="000000" w:themeColor="text1"/>
          <w:sz w:val="28"/>
          <w:szCs w:val="28"/>
          <w:lang w:val="lv-LV" w:eastAsia="lv-LV"/>
        </w:rPr>
        <w:t xml:space="preserve"> skaidro</w:t>
      </w:r>
      <w:r w:rsidR="00A909E4" w:rsidRPr="00690D12">
        <w:rPr>
          <w:rFonts w:eastAsia="Times New Roman"/>
          <w:color w:val="000000" w:themeColor="text1"/>
          <w:sz w:val="28"/>
          <w:szCs w:val="28"/>
          <w:lang w:val="lv-LV" w:eastAsia="lv-LV"/>
        </w:rPr>
        <w:t>ts</w:t>
      </w:r>
      <w:r w:rsidR="00DA012C" w:rsidRPr="00690D12">
        <w:rPr>
          <w:rFonts w:eastAsia="Times New Roman"/>
          <w:color w:val="000000" w:themeColor="text1"/>
          <w:sz w:val="28"/>
          <w:szCs w:val="28"/>
          <w:lang w:val="lv-LV" w:eastAsia="lv-LV"/>
        </w:rPr>
        <w:t xml:space="preserve"> </w:t>
      </w:r>
      <w:r w:rsidR="00E03600" w:rsidRPr="00690D12">
        <w:rPr>
          <w:rFonts w:eastAsia="Times New Roman"/>
          <w:color w:val="000000" w:themeColor="text1"/>
          <w:sz w:val="28"/>
          <w:szCs w:val="28"/>
          <w:lang w:val="lv-LV" w:eastAsia="lv-LV"/>
        </w:rPr>
        <w:t>MI</w:t>
      </w:r>
      <w:r w:rsidR="00DA012C" w:rsidRPr="00690D12">
        <w:rPr>
          <w:rFonts w:eastAsia="Times New Roman"/>
          <w:color w:val="000000" w:themeColor="text1"/>
          <w:sz w:val="28"/>
          <w:szCs w:val="28"/>
          <w:lang w:val="lv-LV" w:eastAsia="lv-LV"/>
        </w:rPr>
        <w:t xml:space="preserve"> akta tvērum</w:t>
      </w:r>
      <w:r w:rsidR="00A909E4" w:rsidRPr="00690D12">
        <w:rPr>
          <w:rFonts w:eastAsia="Times New Roman"/>
          <w:color w:val="000000" w:themeColor="text1"/>
          <w:sz w:val="28"/>
          <w:szCs w:val="28"/>
          <w:lang w:val="lv-LV" w:eastAsia="lv-LV"/>
        </w:rPr>
        <w:t>s.</w:t>
      </w:r>
      <w:r w:rsidR="00DA012C" w:rsidRPr="00690D12">
        <w:rPr>
          <w:rFonts w:eastAsia="Times New Roman"/>
          <w:color w:val="000000" w:themeColor="text1"/>
          <w:sz w:val="28"/>
          <w:szCs w:val="28"/>
          <w:lang w:val="lv-LV" w:eastAsia="lv-LV"/>
        </w:rPr>
        <w:t xml:space="preserve"> </w:t>
      </w:r>
      <w:r w:rsidR="00A909E4" w:rsidRPr="00690D12">
        <w:rPr>
          <w:rFonts w:eastAsia="Times New Roman"/>
          <w:color w:val="000000" w:themeColor="text1"/>
          <w:sz w:val="28"/>
          <w:szCs w:val="28"/>
          <w:lang w:val="lv-LV" w:eastAsia="lv-LV"/>
        </w:rPr>
        <w:t>Proti, tajā ir noteikta</w:t>
      </w:r>
      <w:r w:rsidR="00107517" w:rsidRPr="00690D12">
        <w:rPr>
          <w:rFonts w:eastAsia="Times New Roman"/>
          <w:color w:val="000000" w:themeColor="text1"/>
          <w:sz w:val="28"/>
          <w:szCs w:val="28"/>
          <w:lang w:val="lv-LV" w:eastAsia="lv-LV"/>
        </w:rPr>
        <w:t>s</w:t>
      </w:r>
      <w:r w:rsidR="00DA012C" w:rsidRPr="00690D12">
        <w:rPr>
          <w:rFonts w:eastAsia="Times New Roman"/>
          <w:color w:val="000000" w:themeColor="text1"/>
          <w:sz w:val="28"/>
          <w:szCs w:val="28"/>
          <w:lang w:val="lv-LV" w:eastAsia="lv-LV"/>
        </w:rPr>
        <w:t xml:space="preserve"> tā piemērošan</w:t>
      </w:r>
      <w:r w:rsidR="00107517" w:rsidRPr="00690D12">
        <w:rPr>
          <w:rFonts w:eastAsia="Times New Roman"/>
          <w:color w:val="000000" w:themeColor="text1"/>
          <w:sz w:val="28"/>
          <w:szCs w:val="28"/>
          <w:lang w:val="lv-LV" w:eastAsia="lv-LV"/>
        </w:rPr>
        <w:t>as</w:t>
      </w:r>
      <w:r w:rsidR="00DA012C" w:rsidRPr="00690D12">
        <w:rPr>
          <w:rFonts w:eastAsia="Times New Roman"/>
          <w:color w:val="000000" w:themeColor="text1"/>
          <w:sz w:val="28"/>
          <w:szCs w:val="28"/>
          <w:lang w:val="lv-LV" w:eastAsia="lv-LV"/>
        </w:rPr>
        <w:t xml:space="preserve"> jom</w:t>
      </w:r>
      <w:r w:rsidR="00A909E4" w:rsidRPr="00690D12">
        <w:rPr>
          <w:rFonts w:eastAsia="Times New Roman"/>
          <w:color w:val="000000" w:themeColor="text1"/>
          <w:sz w:val="28"/>
          <w:szCs w:val="28"/>
          <w:lang w:val="lv-LV" w:eastAsia="lv-LV"/>
        </w:rPr>
        <w:t>a</w:t>
      </w:r>
      <w:r w:rsidR="00DA012C" w:rsidRPr="00690D12">
        <w:rPr>
          <w:rFonts w:eastAsia="Times New Roman"/>
          <w:color w:val="000000" w:themeColor="text1"/>
          <w:sz w:val="28"/>
          <w:szCs w:val="28"/>
          <w:lang w:val="lv-LV" w:eastAsia="lv-LV"/>
        </w:rPr>
        <w:t>s, kas ir ārpus Eiropas Savienības tiesību tvēruma (attiecībā uz valsts drošību)</w:t>
      </w:r>
      <w:r w:rsidR="00A909E4" w:rsidRPr="00690D12">
        <w:rPr>
          <w:rFonts w:eastAsia="Times New Roman"/>
          <w:color w:val="000000" w:themeColor="text1"/>
          <w:sz w:val="28"/>
          <w:szCs w:val="28"/>
          <w:lang w:val="lv-LV" w:eastAsia="lv-LV"/>
        </w:rPr>
        <w:t xml:space="preserve">. Tajā skaitā, </w:t>
      </w:r>
      <w:r w:rsidR="00DA012C" w:rsidRPr="00690D12">
        <w:rPr>
          <w:rFonts w:eastAsia="Times New Roman"/>
          <w:color w:val="000000" w:themeColor="text1"/>
          <w:sz w:val="28"/>
          <w:szCs w:val="28"/>
          <w:lang w:val="lv-LV" w:eastAsia="lv-LV"/>
        </w:rPr>
        <w:t>ja mākslīgā intelekta sistēmas ir izstrādātas, laistas tirgū, nodotas ekspluatācijā vai izmantotas militāriem, aizsardzības vai valsts drošības mērķiem. Ņemot vērā MIDD</w:t>
      </w:r>
      <w:r w:rsidR="00156B66" w:rsidRPr="00690D12">
        <w:rPr>
          <w:rFonts w:eastAsia="Times New Roman"/>
          <w:color w:val="000000" w:themeColor="text1"/>
          <w:sz w:val="28"/>
          <w:szCs w:val="28"/>
          <w:lang w:val="lv-LV" w:eastAsia="lv-LV"/>
        </w:rPr>
        <w:t xml:space="preserve"> </w:t>
      </w:r>
      <w:r w:rsidR="00DA012C" w:rsidRPr="00690D12">
        <w:rPr>
          <w:rFonts w:eastAsia="Times New Roman"/>
          <w:color w:val="000000" w:themeColor="text1"/>
          <w:sz w:val="28"/>
          <w:szCs w:val="28"/>
          <w:lang w:val="lv-LV" w:eastAsia="lv-LV"/>
        </w:rPr>
        <w:t xml:space="preserve">darbības jomu un specifiku, kā arī normatīvajos aktos noteiktās funkcijas, kas ekskluzīvi ir saistītas tikai ar minētajiem (no regulas tvēruma izslēgtajiem) mērķiem, MIDD nav iesaistāma </w:t>
      </w:r>
      <w:r w:rsidR="00E03600" w:rsidRPr="00690D12">
        <w:rPr>
          <w:rFonts w:eastAsia="Times New Roman"/>
          <w:color w:val="000000" w:themeColor="text1"/>
          <w:sz w:val="28"/>
          <w:szCs w:val="28"/>
          <w:lang w:val="lv-LV" w:eastAsia="lv-LV"/>
        </w:rPr>
        <w:t>MI</w:t>
      </w:r>
      <w:r w:rsidR="00DA012C" w:rsidRPr="00690D12">
        <w:rPr>
          <w:rFonts w:eastAsia="Times New Roman"/>
          <w:color w:val="000000" w:themeColor="text1"/>
          <w:sz w:val="28"/>
          <w:szCs w:val="28"/>
          <w:lang w:val="lv-LV" w:eastAsia="lv-LV"/>
        </w:rPr>
        <w:t xml:space="preserve"> akta piemērošanā un tam nav pamata pildīt tirgus uzraudzības iestādes uzdevumus.</w:t>
      </w:r>
      <w:r w:rsidR="0045593F" w:rsidRPr="00690D12">
        <w:rPr>
          <w:rFonts w:eastAsia="Times New Roman"/>
          <w:color w:val="000000" w:themeColor="text1"/>
          <w:sz w:val="28"/>
          <w:szCs w:val="28"/>
          <w:lang w:val="lv-LV" w:eastAsia="lv-LV"/>
        </w:rPr>
        <w:t xml:space="preserve"> </w:t>
      </w:r>
      <w:r w:rsidR="00A771C9" w:rsidRPr="00690D12">
        <w:rPr>
          <w:rFonts w:eastAsia="Times New Roman"/>
          <w:color w:val="000000" w:themeColor="text1"/>
          <w:sz w:val="28"/>
          <w:szCs w:val="28"/>
          <w:lang w:val="lv-LV" w:eastAsia="lv-LV"/>
        </w:rPr>
        <w:t>MIDD ir informējis VARAM, ka tā pārstāvis nepiedalīsies Viedās administrācijas un reģionālās attīstības ministrijas Mākslīgā intelekta Padomes apakšgrupas II fāzes darba grupā.</w:t>
      </w:r>
    </w:p>
    <w:p w14:paraId="4A4D0294" w14:textId="77777777" w:rsidR="00767B44" w:rsidRPr="00690D12" w:rsidRDefault="00767B44" w:rsidP="00365012">
      <w:pPr>
        <w:spacing w:line="240" w:lineRule="auto"/>
        <w:jc w:val="center"/>
        <w:rPr>
          <w:rFonts w:eastAsia="Times New Roman"/>
          <w:b/>
          <w:sz w:val="28"/>
          <w:szCs w:val="28"/>
          <w:highlight w:val="yellow"/>
          <w:lang w:val="lv-LV" w:eastAsia="lv-LV"/>
        </w:rPr>
      </w:pPr>
    </w:p>
    <w:p w14:paraId="56355742" w14:textId="35FF0EEB" w:rsidR="00E1073B" w:rsidRPr="00690D12" w:rsidRDefault="00483A81" w:rsidP="00365012">
      <w:pPr>
        <w:spacing w:line="240" w:lineRule="auto"/>
        <w:ind w:firstLine="142"/>
        <w:jc w:val="center"/>
        <w:rPr>
          <w:rFonts w:eastAsia="Times New Roman"/>
          <w:b/>
          <w:sz w:val="28"/>
          <w:szCs w:val="28"/>
          <w:highlight w:val="yellow"/>
          <w:lang w:val="lv-LV" w:eastAsia="lv-LV"/>
        </w:rPr>
      </w:pPr>
      <w:r w:rsidRPr="00690D12">
        <w:rPr>
          <w:rFonts w:eastAsia="Times New Roman"/>
          <w:b/>
          <w:sz w:val="28"/>
          <w:szCs w:val="28"/>
          <w:lang w:val="lv-LV" w:eastAsia="lv-LV"/>
        </w:rPr>
        <w:t>3. Secinājumi</w:t>
      </w:r>
    </w:p>
    <w:p w14:paraId="69535799" w14:textId="300017C3" w:rsidR="00E1073B" w:rsidRPr="00690D12" w:rsidRDefault="00E1073B" w:rsidP="00365012">
      <w:pPr>
        <w:pStyle w:val="ListParagraph"/>
        <w:numPr>
          <w:ilvl w:val="0"/>
          <w:numId w:val="2"/>
        </w:numPr>
        <w:spacing w:after="0" w:line="240" w:lineRule="auto"/>
        <w:ind w:left="0" w:firstLine="0"/>
        <w:contextualSpacing w:val="0"/>
        <w:jc w:val="both"/>
        <w:rPr>
          <w:rFonts w:eastAsia="Times New Roman"/>
          <w:sz w:val="28"/>
          <w:szCs w:val="28"/>
        </w:rPr>
      </w:pPr>
      <w:r w:rsidRPr="00690D12">
        <w:rPr>
          <w:rFonts w:eastAsia="Times New Roman"/>
          <w:sz w:val="28"/>
          <w:szCs w:val="28"/>
        </w:rPr>
        <w:lastRenderedPageBreak/>
        <w:t>Pieņemt zināšanai iesniegto informatīvo ziņojumu.</w:t>
      </w:r>
    </w:p>
    <w:p w14:paraId="5A8298AF" w14:textId="21354995" w:rsidR="00E1073B" w:rsidRPr="00690D12" w:rsidRDefault="00E1073B" w:rsidP="00365012">
      <w:pPr>
        <w:pStyle w:val="ListParagraph"/>
        <w:numPr>
          <w:ilvl w:val="0"/>
          <w:numId w:val="2"/>
        </w:numPr>
        <w:spacing w:after="0" w:line="240" w:lineRule="auto"/>
        <w:ind w:left="0" w:firstLine="0"/>
        <w:contextualSpacing w:val="0"/>
        <w:jc w:val="both"/>
        <w:rPr>
          <w:rFonts w:eastAsia="Times New Roman"/>
          <w:sz w:val="28"/>
          <w:szCs w:val="28"/>
        </w:rPr>
      </w:pPr>
      <w:r w:rsidRPr="00690D12">
        <w:rPr>
          <w:rFonts w:eastAsia="Times New Roman"/>
          <w:sz w:val="28"/>
          <w:szCs w:val="28"/>
        </w:rPr>
        <w:t xml:space="preserve">Pieņemt zināšanai, </w:t>
      </w:r>
      <w:r w:rsidR="00DA012C" w:rsidRPr="00690D12">
        <w:rPr>
          <w:rFonts w:eastAsia="Times New Roman"/>
          <w:sz w:val="28"/>
          <w:szCs w:val="28"/>
        </w:rPr>
        <w:t xml:space="preserve">ka </w:t>
      </w:r>
      <w:r w:rsidR="000F7F17" w:rsidRPr="00690D12">
        <w:rPr>
          <w:rFonts w:eastAsia="Times New Roman"/>
          <w:sz w:val="28"/>
          <w:szCs w:val="28"/>
        </w:rPr>
        <w:t xml:space="preserve">Nacionālās kiberdrošības likuma grozījumi, kā arī </w:t>
      </w:r>
      <w:r w:rsidR="00DA012C" w:rsidRPr="00690D12">
        <w:rPr>
          <w:rFonts w:eastAsia="Times New Roman"/>
          <w:sz w:val="28"/>
          <w:szCs w:val="28"/>
        </w:rPr>
        <w:t>MIDD un citu valsts drošības iestāžu darbību reglamentējoš</w:t>
      </w:r>
      <w:r w:rsidR="00BB7E8C" w:rsidRPr="00690D12">
        <w:rPr>
          <w:rFonts w:eastAsia="Times New Roman"/>
          <w:sz w:val="28"/>
          <w:szCs w:val="28"/>
        </w:rPr>
        <w:t>o</w:t>
      </w:r>
      <w:r w:rsidR="00DA012C" w:rsidRPr="00690D12">
        <w:rPr>
          <w:rFonts w:eastAsia="Times New Roman"/>
          <w:sz w:val="28"/>
          <w:szCs w:val="28"/>
        </w:rPr>
        <w:t xml:space="preserve"> normatīvo akt</w:t>
      </w:r>
      <w:r w:rsidR="00BB7E8C" w:rsidRPr="00690D12">
        <w:rPr>
          <w:rFonts w:eastAsia="Times New Roman"/>
          <w:sz w:val="28"/>
          <w:szCs w:val="28"/>
        </w:rPr>
        <w:t xml:space="preserve">u grozījumi </w:t>
      </w:r>
      <w:r w:rsidR="00DA012C" w:rsidRPr="00690D12">
        <w:rPr>
          <w:rFonts w:eastAsia="Times New Roman"/>
          <w:sz w:val="28"/>
          <w:szCs w:val="28"/>
        </w:rPr>
        <w:t xml:space="preserve">nav </w:t>
      </w:r>
      <w:r w:rsidR="000F7F17" w:rsidRPr="00690D12">
        <w:rPr>
          <w:rFonts w:eastAsia="Times New Roman"/>
          <w:sz w:val="28"/>
          <w:szCs w:val="28"/>
        </w:rPr>
        <w:t>nepieciešami</w:t>
      </w:r>
      <w:r w:rsidR="00DA012C" w:rsidRPr="00690D12">
        <w:rPr>
          <w:rFonts w:eastAsia="Times New Roman"/>
          <w:sz w:val="28"/>
          <w:szCs w:val="28"/>
        </w:rPr>
        <w:t xml:space="preserve">. </w:t>
      </w:r>
    </w:p>
    <w:p w14:paraId="13D0A3C4" w14:textId="21C149E0" w:rsidR="00DA012C" w:rsidRPr="00690D12" w:rsidRDefault="00DA012C" w:rsidP="00337948">
      <w:pPr>
        <w:ind w:firstLine="0"/>
        <w:jc w:val="both"/>
        <w:rPr>
          <w:sz w:val="28"/>
          <w:szCs w:val="28"/>
          <w:lang w:val="lv-LV"/>
        </w:rPr>
      </w:pPr>
    </w:p>
    <w:p w14:paraId="0F3BD731" w14:textId="77777777" w:rsidR="00E03600" w:rsidRPr="00690D12" w:rsidRDefault="00E03600" w:rsidP="00337948">
      <w:pPr>
        <w:ind w:firstLine="0"/>
        <w:jc w:val="both"/>
        <w:rPr>
          <w:sz w:val="28"/>
          <w:szCs w:val="28"/>
          <w:lang w:val="lv-LV"/>
        </w:rPr>
      </w:pPr>
    </w:p>
    <w:p w14:paraId="5BB58772" w14:textId="6A9E9518" w:rsidR="000D1DE4" w:rsidRPr="00690D12" w:rsidRDefault="000D1DE4" w:rsidP="006D3558">
      <w:pPr>
        <w:tabs>
          <w:tab w:val="left" w:pos="7655"/>
        </w:tabs>
        <w:spacing w:line="240" w:lineRule="auto"/>
        <w:ind w:firstLine="0"/>
        <w:rPr>
          <w:b/>
          <w:sz w:val="28"/>
          <w:szCs w:val="28"/>
          <w:lang w:val="lv-LV"/>
        </w:rPr>
      </w:pPr>
      <w:r w:rsidRPr="00690D12">
        <w:rPr>
          <w:b/>
          <w:sz w:val="28"/>
          <w:szCs w:val="28"/>
          <w:lang w:val="lv-LV"/>
        </w:rPr>
        <w:t>Aizsardzības ministrs</w:t>
      </w:r>
      <w:r w:rsidRPr="00690D12">
        <w:rPr>
          <w:b/>
          <w:sz w:val="28"/>
          <w:szCs w:val="28"/>
          <w:lang w:val="lv-LV"/>
        </w:rPr>
        <w:tab/>
        <w:t>Andris Sprūds</w:t>
      </w:r>
    </w:p>
    <w:p w14:paraId="5729BF82" w14:textId="5B0C5D42" w:rsidR="00DA012C" w:rsidRPr="00690D12" w:rsidRDefault="00DA012C" w:rsidP="00337948">
      <w:pPr>
        <w:tabs>
          <w:tab w:val="left" w:pos="7655"/>
        </w:tabs>
        <w:spacing w:line="240" w:lineRule="auto"/>
        <w:ind w:firstLine="0"/>
        <w:rPr>
          <w:b/>
          <w:lang w:val="lv-LV"/>
        </w:rPr>
      </w:pPr>
    </w:p>
    <w:p w14:paraId="0462937C" w14:textId="05BB2ADA" w:rsidR="00DA012C" w:rsidRPr="00690D12" w:rsidRDefault="00DA012C" w:rsidP="00337948">
      <w:pPr>
        <w:tabs>
          <w:tab w:val="left" w:pos="7655"/>
        </w:tabs>
        <w:spacing w:line="240" w:lineRule="auto"/>
        <w:ind w:firstLine="0"/>
        <w:rPr>
          <w:b/>
          <w:lang w:val="lv-LV"/>
        </w:rPr>
      </w:pPr>
    </w:p>
    <w:p w14:paraId="78679B93" w14:textId="77777777" w:rsidR="00E03600" w:rsidRPr="00690D12" w:rsidRDefault="00E03600" w:rsidP="00337948">
      <w:pPr>
        <w:tabs>
          <w:tab w:val="left" w:pos="7655"/>
        </w:tabs>
        <w:spacing w:line="240" w:lineRule="auto"/>
        <w:ind w:firstLine="0"/>
        <w:rPr>
          <w:b/>
          <w:lang w:val="lv-LV"/>
        </w:rPr>
      </w:pPr>
    </w:p>
    <w:p w14:paraId="2420F4C6" w14:textId="77777777" w:rsidR="000D1DE4" w:rsidRPr="00690D12" w:rsidRDefault="000D1DE4" w:rsidP="00337948">
      <w:pPr>
        <w:spacing w:line="240" w:lineRule="auto"/>
        <w:ind w:firstLine="0"/>
        <w:jc w:val="both"/>
        <w:rPr>
          <w:sz w:val="16"/>
          <w:szCs w:val="16"/>
          <w:lang w:val="lv-LV"/>
        </w:rPr>
      </w:pPr>
      <w:r w:rsidRPr="00690D12">
        <w:rPr>
          <w:sz w:val="16"/>
          <w:szCs w:val="16"/>
          <w:lang w:val="lv-LV"/>
        </w:rPr>
        <w:t>Andris Indriksons, 67335422</w:t>
      </w:r>
    </w:p>
    <w:p w14:paraId="633D3FDC" w14:textId="0DFDF122" w:rsidR="000D1DE4" w:rsidRPr="00690D12" w:rsidRDefault="000D1DE4" w:rsidP="00337948">
      <w:pPr>
        <w:spacing w:line="240" w:lineRule="auto"/>
        <w:ind w:firstLine="0"/>
        <w:jc w:val="both"/>
        <w:rPr>
          <w:sz w:val="16"/>
          <w:szCs w:val="16"/>
          <w:lang w:val="lv-LV"/>
        </w:rPr>
      </w:pPr>
      <w:r w:rsidRPr="00690D12">
        <w:rPr>
          <w:sz w:val="16"/>
          <w:szCs w:val="16"/>
          <w:lang w:val="lv-LV"/>
        </w:rPr>
        <w:t>Andris.Indriksons@mod.gov.lv</w:t>
      </w:r>
    </w:p>
    <w:sectPr w:rsidR="000D1DE4" w:rsidRPr="00690D12" w:rsidSect="00175594">
      <w:footerReference w:type="default" r:id="rId8"/>
      <w:pgSz w:w="11906" w:h="16838"/>
      <w:pgMar w:top="851" w:right="991" w:bottom="709" w:left="1418" w:header="708"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D8410" w14:textId="77777777" w:rsidR="000D1DE4" w:rsidRDefault="000D1DE4" w:rsidP="000D1DE4">
      <w:pPr>
        <w:spacing w:line="240" w:lineRule="auto"/>
      </w:pPr>
      <w:r>
        <w:separator/>
      </w:r>
    </w:p>
  </w:endnote>
  <w:endnote w:type="continuationSeparator" w:id="0">
    <w:p w14:paraId="028DDF24" w14:textId="77777777" w:rsidR="000D1DE4" w:rsidRDefault="000D1DE4" w:rsidP="000D1D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751652"/>
      <w:docPartObj>
        <w:docPartGallery w:val="Page Numbers (Bottom of Page)"/>
        <w:docPartUnique/>
      </w:docPartObj>
    </w:sdtPr>
    <w:sdtEndPr>
      <w:rPr>
        <w:noProof/>
      </w:rPr>
    </w:sdtEndPr>
    <w:sdtContent>
      <w:p w14:paraId="63B5C572" w14:textId="59867F5E" w:rsidR="000D32C6" w:rsidRDefault="000D32C6">
        <w:pPr>
          <w:pStyle w:val="Footer"/>
          <w:jc w:val="center"/>
        </w:pPr>
        <w:r>
          <w:fldChar w:fldCharType="begin"/>
        </w:r>
        <w:r>
          <w:instrText xml:space="preserve"> PAGE   \* MERGEFORMAT </w:instrText>
        </w:r>
        <w:r>
          <w:fldChar w:fldCharType="separate"/>
        </w:r>
        <w:r w:rsidR="00C61E19">
          <w:rPr>
            <w:noProof/>
          </w:rPr>
          <w:t>4</w:t>
        </w:r>
        <w:r>
          <w:rPr>
            <w:noProof/>
          </w:rPr>
          <w:fldChar w:fldCharType="end"/>
        </w:r>
      </w:p>
    </w:sdtContent>
  </w:sdt>
  <w:p w14:paraId="417769A4" w14:textId="25E4F8F4" w:rsidR="000D32C6" w:rsidRDefault="00175594" w:rsidP="00175594">
    <w:pPr>
      <w:pStyle w:val="Footer"/>
      <w:ind w:firstLine="0"/>
    </w:pPr>
    <w:r w:rsidRPr="00175594">
      <w:t>AiMzin_</w:t>
    </w:r>
    <w:r w:rsidR="00464207">
      <w:t>06</w:t>
    </w:r>
    <w:r w:rsidR="00D90D36" w:rsidRPr="00175594">
      <w:t>0</w:t>
    </w:r>
    <w:r w:rsidR="00464207">
      <w:t>5</w:t>
    </w:r>
    <w:r w:rsidR="00D90D36" w:rsidRPr="00175594">
      <w:t>2025</w:t>
    </w:r>
    <w:r w:rsidRPr="00175594">
      <w:t xml:space="preserve">_Par MI </w:t>
    </w:r>
    <w:proofErr w:type="spellStart"/>
    <w:r w:rsidRPr="00175594">
      <w:t>akta</w:t>
    </w:r>
    <w:proofErr w:type="spellEnd"/>
    <w:r w:rsidRPr="00175594">
      <w:t xml:space="preserve"> uzdevumiem.docx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32F03" w14:textId="77777777" w:rsidR="000D1DE4" w:rsidRDefault="000D1DE4" w:rsidP="000D1DE4">
      <w:pPr>
        <w:spacing w:line="240" w:lineRule="auto"/>
      </w:pPr>
      <w:r>
        <w:separator/>
      </w:r>
    </w:p>
  </w:footnote>
  <w:footnote w:type="continuationSeparator" w:id="0">
    <w:p w14:paraId="19E999DA" w14:textId="77777777" w:rsidR="000D1DE4" w:rsidRDefault="000D1DE4" w:rsidP="000D1DE4">
      <w:pPr>
        <w:spacing w:line="240" w:lineRule="auto"/>
      </w:pPr>
      <w:r>
        <w:continuationSeparator/>
      </w:r>
    </w:p>
  </w:footnote>
  <w:footnote w:id="1">
    <w:p w14:paraId="74D1659C" w14:textId="06CB1577" w:rsidR="00323D07" w:rsidRDefault="00323D07">
      <w:pPr>
        <w:pStyle w:val="FootnoteText"/>
      </w:pPr>
      <w:r>
        <w:rPr>
          <w:rStyle w:val="FootnoteReference"/>
        </w:rPr>
        <w:footnoteRef/>
      </w:r>
      <w:r w:rsidRPr="00323D07">
        <w:t xml:space="preserve">Eiropas Parlamenta un Padomes 2024. gada 13. jūnija Regula (ES) 2024/1689, ar ko nosaka saskaņotas normas mākslīgā intelekta jomā un groza Regulas (EK) Nr. 300/2008, (ES) Nr. 167/2013, (ES) Nr. 168/2013, (ES) 2018/858, </w:t>
      </w:r>
      <w:proofErr w:type="gramStart"/>
      <w:r w:rsidRPr="00323D07">
        <w:t>(</w:t>
      </w:r>
      <w:proofErr w:type="gramEnd"/>
      <w:r w:rsidRPr="00323D07">
        <w:t>ES) 2018/1139 un (ES) 2019/2144 un Direktīvas 2014/90/ES, (ES) 2016/797 un (ES) 2020/1828</w:t>
      </w:r>
      <w:r>
        <w:t xml:space="preserve"> (Mākslīgā intelekta akts)</w:t>
      </w:r>
    </w:p>
  </w:footnote>
  <w:footnote w:id="2">
    <w:p w14:paraId="0AA8C368" w14:textId="77777777" w:rsidR="005B45CC" w:rsidRDefault="005B45CC" w:rsidP="005B45CC">
      <w:pPr>
        <w:pStyle w:val="FootnoteText"/>
        <w:jc w:val="both"/>
      </w:pPr>
      <w:r>
        <w:rPr>
          <w:rStyle w:val="FootnoteReference"/>
        </w:rPr>
        <w:footnoteRef/>
      </w:r>
      <w:r>
        <w:t xml:space="preserve"> Eiropas Parlamenta un Padomes Regula (ES) 2024/2847 (2024. gada 23. oktobris) par horizontālajām kiberdrošības prasībām attiecībā uz produktiem ar digitāliem elementiem un ar ko groza Regulas (ES) Nr. 168/2013 un (ES) 2019/1020 un Direktīvu (ES) 2020/1828 (</w:t>
      </w:r>
      <w:proofErr w:type="spellStart"/>
      <w:r>
        <w:t>Kibernoturības</w:t>
      </w:r>
      <w:proofErr w:type="spellEnd"/>
      <w:r>
        <w:t xml:space="preserve"> akts)</w:t>
      </w:r>
    </w:p>
  </w:footnote>
  <w:footnote w:id="3">
    <w:p w14:paraId="2BE1DF74" w14:textId="7803D4D9" w:rsidR="006B505E" w:rsidRDefault="006B505E">
      <w:pPr>
        <w:pStyle w:val="FootnoteText"/>
      </w:pPr>
      <w:r>
        <w:rPr>
          <w:rStyle w:val="FootnoteReference"/>
        </w:rPr>
        <w:footnoteRef/>
      </w:r>
      <w:r>
        <w:t xml:space="preserve"> Pieejams: </w:t>
      </w:r>
      <w:hyperlink r:id="rId1" w:history="1">
        <w:r w:rsidRPr="00E26B73">
          <w:rPr>
            <w:rStyle w:val="Hyperlink"/>
          </w:rPr>
          <w:t>https://ec.europa.</w:t>
        </w:r>
        <w:r w:rsidRPr="00E26B73">
          <w:rPr>
            <w:rStyle w:val="Hyperlink"/>
          </w:rPr>
          <w:t>e</w:t>
        </w:r>
        <w:r w:rsidRPr="00E26B73">
          <w:rPr>
            <w:rStyle w:val="Hyperlink"/>
          </w:rPr>
          <w:t>u/transparency/documents-register/detail?ref=C(2025)618&amp;lang=en</w:t>
        </w:r>
      </w:hyperlink>
      <w:r>
        <w:t xml:space="preserve"> </w:t>
      </w:r>
    </w:p>
  </w:footnote>
  <w:footnote w:id="4">
    <w:p w14:paraId="781D2F93" w14:textId="77777777" w:rsidR="000D1DE4" w:rsidRDefault="000D1DE4" w:rsidP="000D1DE4">
      <w:pPr>
        <w:pStyle w:val="FootnoteText"/>
        <w:jc w:val="both"/>
      </w:pPr>
      <w:r>
        <w:rPr>
          <w:rStyle w:val="FootnoteReference"/>
        </w:rPr>
        <w:footnoteRef/>
      </w:r>
      <w:r>
        <w:t xml:space="preserve"> Eiropas Parlamenta un Padomes Regula (ES) 2019/881 (2019. gada 17. aprīlis) par ENISA (Eiropas Savienības Kiberdrošības aģentūra) un par informācijas un komunikācijas tehnoloģiju kiberdrošības sertifikāciju, un ar ko atceļ Regulu </w:t>
      </w:r>
      <w:proofErr w:type="gramStart"/>
      <w:r>
        <w:t>(</w:t>
      </w:r>
      <w:proofErr w:type="gramEnd"/>
      <w:r>
        <w:t>ES) Nr. 526/2013 (Kiberdrošības akts)</w:t>
      </w:r>
    </w:p>
  </w:footnote>
  <w:footnote w:id="5">
    <w:p w14:paraId="002E2A7A" w14:textId="5054D71E" w:rsidR="006417E0" w:rsidRPr="0075363D" w:rsidRDefault="006417E0" w:rsidP="0058614F">
      <w:pPr>
        <w:pStyle w:val="oj-doc-ti"/>
        <w:jc w:val="both"/>
      </w:pPr>
      <w:r w:rsidRPr="0058614F">
        <w:rPr>
          <w:rStyle w:val="FootnoteReference"/>
          <w:sz w:val="20"/>
          <w:szCs w:val="20"/>
        </w:rPr>
        <w:footnoteRef/>
      </w:r>
      <w:r w:rsidRPr="0058614F">
        <w:rPr>
          <w:sz w:val="20"/>
          <w:szCs w:val="20"/>
        </w:rPr>
        <w:t xml:space="preserve"> Eiropas Parlamenta un Padomes Direktīva (ES) 2022/2555 (2022. gada 14. decembris), ar ko paredz pasākumus nolūkā panākt vienādi augstu kiberdrošības līmeni visā Savienībā un ar ko groza Regulu (ES) Nr. 910/2014 un Direktīvu (ES) 2018/1972 un atceļ Direktīvu (ES) 2016/1148 (TID 2 direktīva)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D04D6"/>
    <w:multiLevelType w:val="hybridMultilevel"/>
    <w:tmpl w:val="896A466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E361516"/>
    <w:multiLevelType w:val="hybridMultilevel"/>
    <w:tmpl w:val="26BEC662"/>
    <w:lvl w:ilvl="0" w:tplc="913044BA">
      <w:start w:val="1"/>
      <w:numFmt w:val="decimal"/>
      <w:lvlText w:val="%1."/>
      <w:lvlJc w:val="left"/>
      <w:pPr>
        <w:ind w:left="1636" w:hanging="36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E4"/>
    <w:rsid w:val="00006268"/>
    <w:rsid w:val="0002553A"/>
    <w:rsid w:val="0005147E"/>
    <w:rsid w:val="00074D72"/>
    <w:rsid w:val="00083FD7"/>
    <w:rsid w:val="000D1DE4"/>
    <w:rsid w:val="000D32C6"/>
    <w:rsid w:val="000F2669"/>
    <w:rsid w:val="000F7F17"/>
    <w:rsid w:val="00107517"/>
    <w:rsid w:val="00156B66"/>
    <w:rsid w:val="00175594"/>
    <w:rsid w:val="00190C74"/>
    <w:rsid w:val="001A7595"/>
    <w:rsid w:val="001B42DD"/>
    <w:rsid w:val="001C3CDF"/>
    <w:rsid w:val="002C5D2F"/>
    <w:rsid w:val="00323D07"/>
    <w:rsid w:val="00337948"/>
    <w:rsid w:val="0034364D"/>
    <w:rsid w:val="00352AD5"/>
    <w:rsid w:val="00365012"/>
    <w:rsid w:val="00373D46"/>
    <w:rsid w:val="003C75DC"/>
    <w:rsid w:val="003F703A"/>
    <w:rsid w:val="00410438"/>
    <w:rsid w:val="00433B61"/>
    <w:rsid w:val="0045593F"/>
    <w:rsid w:val="00464207"/>
    <w:rsid w:val="00483A81"/>
    <w:rsid w:val="00495785"/>
    <w:rsid w:val="004A5A77"/>
    <w:rsid w:val="004C069D"/>
    <w:rsid w:val="004F7638"/>
    <w:rsid w:val="00506011"/>
    <w:rsid w:val="00513BD2"/>
    <w:rsid w:val="00515599"/>
    <w:rsid w:val="00526708"/>
    <w:rsid w:val="0053766E"/>
    <w:rsid w:val="0058614F"/>
    <w:rsid w:val="005B45CC"/>
    <w:rsid w:val="005C0F67"/>
    <w:rsid w:val="00624681"/>
    <w:rsid w:val="006417E0"/>
    <w:rsid w:val="00690D12"/>
    <w:rsid w:val="006B505E"/>
    <w:rsid w:val="006C0AEF"/>
    <w:rsid w:val="006D3558"/>
    <w:rsid w:val="0070778D"/>
    <w:rsid w:val="00716504"/>
    <w:rsid w:val="0075363D"/>
    <w:rsid w:val="00767B44"/>
    <w:rsid w:val="007C4F4E"/>
    <w:rsid w:val="0081575A"/>
    <w:rsid w:val="00837D1F"/>
    <w:rsid w:val="0088034E"/>
    <w:rsid w:val="008A10D4"/>
    <w:rsid w:val="008C5D47"/>
    <w:rsid w:val="009A2E55"/>
    <w:rsid w:val="00A00E10"/>
    <w:rsid w:val="00A4370E"/>
    <w:rsid w:val="00A50F55"/>
    <w:rsid w:val="00A568C1"/>
    <w:rsid w:val="00A771C9"/>
    <w:rsid w:val="00A909E4"/>
    <w:rsid w:val="00A9326A"/>
    <w:rsid w:val="00AF7936"/>
    <w:rsid w:val="00B00310"/>
    <w:rsid w:val="00B1630C"/>
    <w:rsid w:val="00B91BCB"/>
    <w:rsid w:val="00BB7E8C"/>
    <w:rsid w:val="00BC520A"/>
    <w:rsid w:val="00BE67D4"/>
    <w:rsid w:val="00BF29D0"/>
    <w:rsid w:val="00C61E19"/>
    <w:rsid w:val="00C72530"/>
    <w:rsid w:val="00C9068F"/>
    <w:rsid w:val="00C93429"/>
    <w:rsid w:val="00C973E1"/>
    <w:rsid w:val="00CA0788"/>
    <w:rsid w:val="00CB68B3"/>
    <w:rsid w:val="00CC6C2B"/>
    <w:rsid w:val="00D12BD7"/>
    <w:rsid w:val="00D90D36"/>
    <w:rsid w:val="00D95F0C"/>
    <w:rsid w:val="00DA012C"/>
    <w:rsid w:val="00DB4DBF"/>
    <w:rsid w:val="00DB68FE"/>
    <w:rsid w:val="00DD6DB3"/>
    <w:rsid w:val="00E03600"/>
    <w:rsid w:val="00E04188"/>
    <w:rsid w:val="00E1073B"/>
    <w:rsid w:val="00E91DEA"/>
    <w:rsid w:val="00EA7BD3"/>
    <w:rsid w:val="00F14FDC"/>
    <w:rsid w:val="00F31D75"/>
    <w:rsid w:val="00F4530B"/>
    <w:rsid w:val="00F531B8"/>
    <w:rsid w:val="00F70A0B"/>
    <w:rsid w:val="00FA5DD9"/>
    <w:rsid w:val="00FB48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A12BEF"/>
  <w15:chartTrackingRefBased/>
  <w15:docId w15:val="{E300E676-67E0-43EC-9ED1-372F697B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1DE4"/>
    <w:rPr>
      <w:color w:val="0000FF"/>
      <w:u w:val="single"/>
    </w:rPr>
  </w:style>
  <w:style w:type="paragraph" w:styleId="ListParagraph">
    <w:name w:val="List Paragraph"/>
    <w:basedOn w:val="Normal"/>
    <w:uiPriority w:val="34"/>
    <w:qFormat/>
    <w:rsid w:val="000D1DE4"/>
    <w:pPr>
      <w:widowControl w:val="0"/>
      <w:spacing w:after="200" w:line="276" w:lineRule="auto"/>
      <w:ind w:left="720" w:firstLine="0"/>
      <w:contextualSpacing/>
    </w:pPr>
    <w:rPr>
      <w:rFonts w:eastAsia="Calibri"/>
      <w:lang w:val="lv-LV" w:eastAsia="lv-LV"/>
    </w:rPr>
  </w:style>
  <w:style w:type="paragraph" w:styleId="FootnoteText">
    <w:name w:val="footnote text"/>
    <w:basedOn w:val="Normal"/>
    <w:link w:val="FootnoteTextChar"/>
    <w:uiPriority w:val="99"/>
    <w:semiHidden/>
    <w:unhideWhenUsed/>
    <w:rsid w:val="000D1DE4"/>
    <w:pPr>
      <w:widowControl w:val="0"/>
      <w:spacing w:line="240" w:lineRule="auto"/>
      <w:ind w:firstLine="0"/>
    </w:pPr>
    <w:rPr>
      <w:rFonts w:eastAsia="Calibri"/>
      <w:sz w:val="20"/>
      <w:szCs w:val="20"/>
      <w:lang w:val="lv-LV" w:eastAsia="lv-LV"/>
    </w:rPr>
  </w:style>
  <w:style w:type="character" w:customStyle="1" w:styleId="FootnoteTextChar">
    <w:name w:val="Footnote Text Char"/>
    <w:basedOn w:val="DefaultParagraphFont"/>
    <w:link w:val="FootnoteText"/>
    <w:uiPriority w:val="99"/>
    <w:semiHidden/>
    <w:rsid w:val="000D1DE4"/>
    <w:rPr>
      <w:rFonts w:eastAsia="Calibri"/>
      <w:sz w:val="20"/>
      <w:szCs w:val="20"/>
      <w:lang w:eastAsia="lv-LV"/>
    </w:rPr>
  </w:style>
  <w:style w:type="character" w:styleId="FootnoteReference">
    <w:name w:val="footnote reference"/>
    <w:basedOn w:val="DefaultParagraphFont"/>
    <w:uiPriority w:val="99"/>
    <w:semiHidden/>
    <w:unhideWhenUsed/>
    <w:rsid w:val="000D1DE4"/>
    <w:rPr>
      <w:vertAlign w:val="superscript"/>
    </w:rPr>
  </w:style>
  <w:style w:type="paragraph" w:styleId="Header">
    <w:name w:val="header"/>
    <w:basedOn w:val="Normal"/>
    <w:link w:val="HeaderChar"/>
    <w:uiPriority w:val="99"/>
    <w:unhideWhenUsed/>
    <w:rsid w:val="000D32C6"/>
    <w:pPr>
      <w:tabs>
        <w:tab w:val="center" w:pos="4153"/>
        <w:tab w:val="right" w:pos="8306"/>
      </w:tabs>
      <w:spacing w:line="240" w:lineRule="auto"/>
    </w:pPr>
  </w:style>
  <w:style w:type="character" w:customStyle="1" w:styleId="HeaderChar">
    <w:name w:val="Header Char"/>
    <w:basedOn w:val="DefaultParagraphFont"/>
    <w:link w:val="Header"/>
    <w:uiPriority w:val="99"/>
    <w:rsid w:val="000D32C6"/>
    <w:rPr>
      <w:lang w:val="en-GB"/>
    </w:rPr>
  </w:style>
  <w:style w:type="paragraph" w:styleId="Footer">
    <w:name w:val="footer"/>
    <w:basedOn w:val="Normal"/>
    <w:link w:val="FooterChar"/>
    <w:uiPriority w:val="99"/>
    <w:unhideWhenUsed/>
    <w:rsid w:val="000D32C6"/>
    <w:pPr>
      <w:tabs>
        <w:tab w:val="center" w:pos="4153"/>
        <w:tab w:val="right" w:pos="8306"/>
      </w:tabs>
      <w:spacing w:line="240" w:lineRule="auto"/>
    </w:pPr>
  </w:style>
  <w:style w:type="character" w:customStyle="1" w:styleId="FooterChar">
    <w:name w:val="Footer Char"/>
    <w:basedOn w:val="DefaultParagraphFont"/>
    <w:link w:val="Footer"/>
    <w:uiPriority w:val="99"/>
    <w:rsid w:val="000D32C6"/>
    <w:rPr>
      <w:lang w:val="en-GB"/>
    </w:rPr>
  </w:style>
  <w:style w:type="character" w:styleId="CommentReference">
    <w:name w:val="annotation reference"/>
    <w:basedOn w:val="DefaultParagraphFont"/>
    <w:uiPriority w:val="99"/>
    <w:semiHidden/>
    <w:unhideWhenUsed/>
    <w:rsid w:val="002C5D2F"/>
    <w:rPr>
      <w:sz w:val="16"/>
      <w:szCs w:val="16"/>
    </w:rPr>
  </w:style>
  <w:style w:type="paragraph" w:styleId="CommentText">
    <w:name w:val="annotation text"/>
    <w:basedOn w:val="Normal"/>
    <w:link w:val="CommentTextChar"/>
    <w:uiPriority w:val="99"/>
    <w:semiHidden/>
    <w:unhideWhenUsed/>
    <w:rsid w:val="002C5D2F"/>
    <w:pPr>
      <w:spacing w:line="240" w:lineRule="auto"/>
    </w:pPr>
    <w:rPr>
      <w:sz w:val="20"/>
      <w:szCs w:val="20"/>
    </w:rPr>
  </w:style>
  <w:style w:type="character" w:customStyle="1" w:styleId="CommentTextChar">
    <w:name w:val="Comment Text Char"/>
    <w:basedOn w:val="DefaultParagraphFont"/>
    <w:link w:val="CommentText"/>
    <w:uiPriority w:val="99"/>
    <w:semiHidden/>
    <w:rsid w:val="002C5D2F"/>
    <w:rPr>
      <w:sz w:val="20"/>
      <w:szCs w:val="20"/>
      <w:lang w:val="en-GB"/>
    </w:rPr>
  </w:style>
  <w:style w:type="paragraph" w:styleId="CommentSubject">
    <w:name w:val="annotation subject"/>
    <w:basedOn w:val="CommentText"/>
    <w:next w:val="CommentText"/>
    <w:link w:val="CommentSubjectChar"/>
    <w:uiPriority w:val="99"/>
    <w:semiHidden/>
    <w:unhideWhenUsed/>
    <w:rsid w:val="002C5D2F"/>
    <w:rPr>
      <w:b/>
      <w:bCs/>
    </w:rPr>
  </w:style>
  <w:style w:type="character" w:customStyle="1" w:styleId="CommentSubjectChar">
    <w:name w:val="Comment Subject Char"/>
    <w:basedOn w:val="CommentTextChar"/>
    <w:link w:val="CommentSubject"/>
    <w:uiPriority w:val="99"/>
    <w:semiHidden/>
    <w:rsid w:val="002C5D2F"/>
    <w:rPr>
      <w:b/>
      <w:bCs/>
      <w:sz w:val="20"/>
      <w:szCs w:val="20"/>
      <w:lang w:val="en-GB"/>
    </w:rPr>
  </w:style>
  <w:style w:type="paragraph" w:styleId="BalloonText">
    <w:name w:val="Balloon Text"/>
    <w:basedOn w:val="Normal"/>
    <w:link w:val="BalloonTextChar"/>
    <w:uiPriority w:val="99"/>
    <w:semiHidden/>
    <w:unhideWhenUsed/>
    <w:rsid w:val="002C5D2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D2F"/>
    <w:rPr>
      <w:rFonts w:ascii="Segoe UI" w:hAnsi="Segoe UI" w:cs="Segoe UI"/>
      <w:sz w:val="18"/>
      <w:szCs w:val="18"/>
      <w:lang w:val="en-GB"/>
    </w:rPr>
  </w:style>
  <w:style w:type="paragraph" w:styleId="Revision">
    <w:name w:val="Revision"/>
    <w:hidden/>
    <w:uiPriority w:val="99"/>
    <w:semiHidden/>
    <w:rsid w:val="002C5D2F"/>
    <w:pPr>
      <w:spacing w:line="240" w:lineRule="auto"/>
      <w:ind w:firstLine="0"/>
    </w:pPr>
    <w:rPr>
      <w:lang w:val="en-GB"/>
    </w:rPr>
  </w:style>
  <w:style w:type="character" w:styleId="UnresolvedMention">
    <w:name w:val="Unresolved Mention"/>
    <w:basedOn w:val="DefaultParagraphFont"/>
    <w:uiPriority w:val="99"/>
    <w:semiHidden/>
    <w:unhideWhenUsed/>
    <w:rsid w:val="006B505E"/>
    <w:rPr>
      <w:color w:val="605E5C"/>
      <w:shd w:val="clear" w:color="auto" w:fill="E1DFDD"/>
    </w:rPr>
  </w:style>
  <w:style w:type="paragraph" w:customStyle="1" w:styleId="oj-doc-ti">
    <w:name w:val="oj-doc-ti"/>
    <w:basedOn w:val="Normal"/>
    <w:rsid w:val="006417E0"/>
    <w:pPr>
      <w:spacing w:before="100" w:beforeAutospacing="1" w:after="100" w:afterAutospacing="1" w:line="240" w:lineRule="auto"/>
      <w:ind w:firstLine="0"/>
    </w:pPr>
    <w:rPr>
      <w:rFonts w:eastAsia="Times New Roman"/>
      <w:lang w:val="lv-LV" w:eastAsia="lv-LV"/>
    </w:rPr>
  </w:style>
  <w:style w:type="character" w:styleId="FollowedHyperlink">
    <w:name w:val="FollowedHyperlink"/>
    <w:basedOn w:val="DefaultParagraphFont"/>
    <w:uiPriority w:val="99"/>
    <w:semiHidden/>
    <w:unhideWhenUsed/>
    <w:rsid w:val="00A771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8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transparency/documents-register/detail?ref=C(2025)618&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0499E-C176-4F2B-97FF-A6D3BF2DA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7434</Words>
  <Characters>4238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Indriksons</dc:creator>
  <cp:keywords/>
  <dc:description/>
  <cp:lastModifiedBy>Andris Indriksons</cp:lastModifiedBy>
  <cp:revision>4</cp:revision>
  <dcterms:created xsi:type="dcterms:W3CDTF">2025-05-06T11:22:00Z</dcterms:created>
  <dcterms:modified xsi:type="dcterms:W3CDTF">2025-05-06T11:28:00Z</dcterms:modified>
</cp:coreProperties>
</file>