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E599D" w14:textId="77777777" w:rsidR="00C32B9F" w:rsidRPr="006D431D" w:rsidRDefault="002B39A1">
      <w:pPr>
        <w:jc w:val="right"/>
        <w:rPr>
          <w:rFonts w:ascii="Times New Roman" w:hAnsi="Times New Roman" w:cs="Times New Roman"/>
          <w:sz w:val="24"/>
          <w:szCs w:val="24"/>
        </w:rPr>
      </w:pPr>
      <w:r w:rsidRPr="006D431D">
        <w:rPr>
          <w:rFonts w:ascii="Times New Roman" w:hAnsi="Times New Roman" w:cs="Times New Roman"/>
          <w:i/>
          <w:iCs/>
          <w:sz w:val="24"/>
          <w:szCs w:val="24"/>
        </w:rPr>
        <w:t>Projekts</w:t>
      </w:r>
    </w:p>
    <w:p w14:paraId="28C0A684" w14:textId="77777777" w:rsidR="00C32B9F" w:rsidRPr="006D431D" w:rsidRDefault="002B39A1">
      <w:pPr>
        <w:jc w:val="center"/>
        <w:rPr>
          <w:rFonts w:ascii="Times New Roman" w:hAnsi="Times New Roman" w:cs="Times New Roman"/>
          <w:sz w:val="24"/>
          <w:szCs w:val="24"/>
        </w:rPr>
      </w:pPr>
      <w:r w:rsidRPr="006D431D">
        <w:rPr>
          <w:rFonts w:ascii="Times New Roman" w:hAnsi="Times New Roman" w:cs="Times New Roman"/>
          <w:b/>
          <w:bCs/>
          <w:sz w:val="24"/>
          <w:szCs w:val="24"/>
        </w:rPr>
        <w:t xml:space="preserve">Informatīvais ziņojums </w:t>
      </w:r>
    </w:p>
    <w:p w14:paraId="01C0DE90" w14:textId="7A384FD4" w:rsidR="00C32B9F" w:rsidRPr="006D431D" w:rsidRDefault="002B39A1">
      <w:pPr>
        <w:jc w:val="center"/>
        <w:rPr>
          <w:rFonts w:ascii="Times New Roman" w:hAnsi="Times New Roman" w:cs="Times New Roman"/>
          <w:b/>
          <w:bCs/>
          <w:sz w:val="24"/>
          <w:szCs w:val="24"/>
        </w:rPr>
      </w:pPr>
      <w:r w:rsidRPr="006D431D">
        <w:rPr>
          <w:rFonts w:ascii="Times New Roman" w:hAnsi="Times New Roman" w:cs="Times New Roman"/>
          <w:b/>
          <w:bCs/>
          <w:sz w:val="24"/>
          <w:szCs w:val="24"/>
        </w:rPr>
        <w:t>“</w:t>
      </w:r>
      <w:bookmarkStart w:id="0" w:name="_Hlk64973564"/>
      <w:r w:rsidRPr="006D431D">
        <w:rPr>
          <w:rFonts w:ascii="Times New Roman" w:hAnsi="Times New Roman" w:cs="Times New Roman"/>
          <w:b/>
          <w:bCs/>
          <w:sz w:val="24"/>
          <w:szCs w:val="24"/>
        </w:rPr>
        <w:t>Kompleksa atbalsta sistēma biometāna ražošanai un izmantošanai</w:t>
      </w:r>
      <w:bookmarkEnd w:id="0"/>
      <w:r w:rsidRPr="006D431D">
        <w:rPr>
          <w:rFonts w:ascii="Times New Roman" w:hAnsi="Times New Roman" w:cs="Times New Roman"/>
          <w:b/>
          <w:bCs/>
          <w:sz w:val="24"/>
          <w:szCs w:val="24"/>
        </w:rPr>
        <w:t>”</w:t>
      </w:r>
    </w:p>
    <w:sdt>
      <w:sdtPr>
        <w:rPr>
          <w:rFonts w:ascii="Times New Roman" w:eastAsiaTheme="minorHAnsi" w:hAnsi="Times New Roman" w:cs="Times New Roman"/>
          <w:color w:val="auto"/>
          <w:sz w:val="24"/>
          <w:szCs w:val="24"/>
          <w:lang w:val="lv-LV"/>
        </w:rPr>
        <w:id w:val="-1425715497"/>
        <w:docPartObj>
          <w:docPartGallery w:val="Table of Contents"/>
          <w:docPartUnique/>
        </w:docPartObj>
      </w:sdtPr>
      <w:sdtEndPr>
        <w:rPr>
          <w:b/>
          <w:bCs/>
          <w:noProof/>
        </w:rPr>
      </w:sdtEndPr>
      <w:sdtContent>
        <w:p w14:paraId="2355B84A" w14:textId="5A67221B" w:rsidR="008532EA" w:rsidRPr="006D431D" w:rsidRDefault="008532EA">
          <w:pPr>
            <w:pStyle w:val="TOCHeading"/>
            <w:rPr>
              <w:rFonts w:ascii="Times New Roman" w:hAnsi="Times New Roman" w:cs="Times New Roman"/>
              <w:color w:val="auto"/>
              <w:sz w:val="24"/>
              <w:szCs w:val="24"/>
              <w:lang w:val="lv-LV"/>
            </w:rPr>
          </w:pPr>
          <w:r w:rsidRPr="006D431D">
            <w:rPr>
              <w:rFonts w:ascii="Times New Roman" w:hAnsi="Times New Roman" w:cs="Times New Roman"/>
              <w:color w:val="auto"/>
              <w:sz w:val="24"/>
              <w:szCs w:val="24"/>
              <w:lang w:val="lv-LV"/>
            </w:rPr>
            <w:t xml:space="preserve">Saturs </w:t>
          </w:r>
        </w:p>
        <w:p w14:paraId="78554DB3" w14:textId="7E4D8E43" w:rsidR="005D5B32" w:rsidRDefault="008532EA">
          <w:pPr>
            <w:pStyle w:val="TOC1"/>
            <w:tabs>
              <w:tab w:val="right" w:leader="dot" w:pos="9350"/>
            </w:tabs>
            <w:rPr>
              <w:rFonts w:eastAsiaTheme="minorEastAsia"/>
              <w:noProof/>
              <w:lang w:eastAsia="lv-LV"/>
            </w:rPr>
          </w:pPr>
          <w:r w:rsidRPr="006D431D">
            <w:rPr>
              <w:rFonts w:ascii="Times New Roman" w:hAnsi="Times New Roman" w:cs="Times New Roman"/>
              <w:sz w:val="24"/>
              <w:szCs w:val="24"/>
            </w:rPr>
            <w:fldChar w:fldCharType="begin"/>
          </w:r>
          <w:r w:rsidRPr="006D431D">
            <w:rPr>
              <w:rFonts w:ascii="Times New Roman" w:hAnsi="Times New Roman" w:cs="Times New Roman"/>
              <w:sz w:val="24"/>
              <w:szCs w:val="24"/>
            </w:rPr>
            <w:instrText xml:space="preserve"> TOC \o "1-3" \h \z \u </w:instrText>
          </w:r>
          <w:r w:rsidRPr="006D431D">
            <w:rPr>
              <w:rFonts w:ascii="Times New Roman" w:hAnsi="Times New Roman" w:cs="Times New Roman"/>
              <w:sz w:val="24"/>
              <w:szCs w:val="24"/>
            </w:rPr>
            <w:fldChar w:fldCharType="separate"/>
          </w:r>
          <w:hyperlink w:anchor="_Toc101605171" w:history="1">
            <w:r w:rsidR="005D5B32" w:rsidRPr="0006149D">
              <w:rPr>
                <w:rStyle w:val="Hyperlink"/>
                <w:rFonts w:ascii="Times New Roman" w:hAnsi="Times New Roman" w:cs="Times New Roman"/>
                <w:b/>
                <w:bCs/>
                <w:noProof/>
              </w:rPr>
              <w:t>I. Ievads</w:t>
            </w:r>
            <w:r w:rsidR="005D5B32">
              <w:rPr>
                <w:noProof/>
                <w:webHidden/>
              </w:rPr>
              <w:tab/>
            </w:r>
            <w:r w:rsidR="005D5B32">
              <w:rPr>
                <w:noProof/>
                <w:webHidden/>
              </w:rPr>
              <w:fldChar w:fldCharType="begin"/>
            </w:r>
            <w:r w:rsidR="005D5B32">
              <w:rPr>
                <w:noProof/>
                <w:webHidden/>
              </w:rPr>
              <w:instrText xml:space="preserve"> PAGEREF _Toc101605171 \h </w:instrText>
            </w:r>
            <w:r w:rsidR="005D5B32">
              <w:rPr>
                <w:noProof/>
                <w:webHidden/>
              </w:rPr>
            </w:r>
            <w:r w:rsidR="005D5B32">
              <w:rPr>
                <w:noProof/>
                <w:webHidden/>
              </w:rPr>
              <w:fldChar w:fldCharType="separate"/>
            </w:r>
            <w:r w:rsidR="005D5B32">
              <w:rPr>
                <w:noProof/>
                <w:webHidden/>
              </w:rPr>
              <w:t>2</w:t>
            </w:r>
            <w:r w:rsidR="005D5B32">
              <w:rPr>
                <w:noProof/>
                <w:webHidden/>
              </w:rPr>
              <w:fldChar w:fldCharType="end"/>
            </w:r>
          </w:hyperlink>
        </w:p>
        <w:p w14:paraId="7B92CA6E" w14:textId="777D451E" w:rsidR="005D5B32" w:rsidRDefault="005D5B32">
          <w:pPr>
            <w:pStyle w:val="TOC1"/>
            <w:tabs>
              <w:tab w:val="right" w:leader="dot" w:pos="9350"/>
            </w:tabs>
            <w:rPr>
              <w:rFonts w:eastAsiaTheme="minorEastAsia"/>
              <w:noProof/>
              <w:lang w:eastAsia="lv-LV"/>
            </w:rPr>
          </w:pPr>
          <w:hyperlink w:anchor="_Toc101605172" w:history="1">
            <w:r w:rsidRPr="0006149D">
              <w:rPr>
                <w:rStyle w:val="Hyperlink"/>
                <w:rFonts w:ascii="Times New Roman" w:hAnsi="Times New Roman" w:cs="Times New Roman"/>
                <w:b/>
                <w:bCs/>
                <w:noProof/>
              </w:rPr>
              <w:t>II. Problēmas vai situācijas apraksts</w:t>
            </w:r>
            <w:r>
              <w:rPr>
                <w:noProof/>
                <w:webHidden/>
              </w:rPr>
              <w:tab/>
            </w:r>
            <w:r>
              <w:rPr>
                <w:noProof/>
                <w:webHidden/>
              </w:rPr>
              <w:fldChar w:fldCharType="begin"/>
            </w:r>
            <w:r>
              <w:rPr>
                <w:noProof/>
                <w:webHidden/>
              </w:rPr>
              <w:instrText xml:space="preserve"> PAGEREF _Toc101605172 \h </w:instrText>
            </w:r>
            <w:r>
              <w:rPr>
                <w:noProof/>
                <w:webHidden/>
              </w:rPr>
            </w:r>
            <w:r>
              <w:rPr>
                <w:noProof/>
                <w:webHidden/>
              </w:rPr>
              <w:fldChar w:fldCharType="separate"/>
            </w:r>
            <w:r>
              <w:rPr>
                <w:noProof/>
                <w:webHidden/>
              </w:rPr>
              <w:t>7</w:t>
            </w:r>
            <w:r>
              <w:rPr>
                <w:noProof/>
                <w:webHidden/>
              </w:rPr>
              <w:fldChar w:fldCharType="end"/>
            </w:r>
          </w:hyperlink>
        </w:p>
        <w:p w14:paraId="496CC849" w14:textId="0D6EE2D5" w:rsidR="005D5B32" w:rsidRDefault="005D5B32">
          <w:pPr>
            <w:pStyle w:val="TOC2"/>
            <w:tabs>
              <w:tab w:val="right" w:leader="dot" w:pos="9350"/>
            </w:tabs>
            <w:rPr>
              <w:rFonts w:eastAsiaTheme="minorEastAsia"/>
              <w:noProof/>
              <w:lang w:eastAsia="lv-LV"/>
            </w:rPr>
          </w:pPr>
          <w:hyperlink w:anchor="_Toc101605173" w:history="1">
            <w:r w:rsidRPr="0006149D">
              <w:rPr>
                <w:rStyle w:val="Hyperlink"/>
                <w:rFonts w:ascii="Times New Roman" w:hAnsi="Times New Roman" w:cs="Times New Roman"/>
                <w:noProof/>
              </w:rPr>
              <w:t>2.1. Elektroenerģijas atbalsta sistēma Latvijā un ar to saistītās problēmas</w:t>
            </w:r>
            <w:r>
              <w:rPr>
                <w:noProof/>
                <w:webHidden/>
              </w:rPr>
              <w:tab/>
            </w:r>
            <w:r>
              <w:rPr>
                <w:noProof/>
                <w:webHidden/>
              </w:rPr>
              <w:fldChar w:fldCharType="begin"/>
            </w:r>
            <w:r>
              <w:rPr>
                <w:noProof/>
                <w:webHidden/>
              </w:rPr>
              <w:instrText xml:space="preserve"> PAGEREF _Toc101605173 \h </w:instrText>
            </w:r>
            <w:r>
              <w:rPr>
                <w:noProof/>
                <w:webHidden/>
              </w:rPr>
            </w:r>
            <w:r>
              <w:rPr>
                <w:noProof/>
                <w:webHidden/>
              </w:rPr>
              <w:fldChar w:fldCharType="separate"/>
            </w:r>
            <w:r>
              <w:rPr>
                <w:noProof/>
                <w:webHidden/>
              </w:rPr>
              <w:t>7</w:t>
            </w:r>
            <w:r>
              <w:rPr>
                <w:noProof/>
                <w:webHidden/>
              </w:rPr>
              <w:fldChar w:fldCharType="end"/>
            </w:r>
          </w:hyperlink>
        </w:p>
        <w:p w14:paraId="6D4C68C4" w14:textId="643B47EC" w:rsidR="005D5B32" w:rsidRDefault="005D5B32">
          <w:pPr>
            <w:pStyle w:val="TOC2"/>
            <w:tabs>
              <w:tab w:val="right" w:leader="dot" w:pos="9350"/>
            </w:tabs>
            <w:rPr>
              <w:rFonts w:eastAsiaTheme="minorEastAsia"/>
              <w:noProof/>
              <w:lang w:eastAsia="lv-LV"/>
            </w:rPr>
          </w:pPr>
          <w:hyperlink w:anchor="_Toc101605174" w:history="1">
            <w:r w:rsidRPr="0006149D">
              <w:rPr>
                <w:rStyle w:val="Hyperlink"/>
                <w:rFonts w:ascii="Times New Roman" w:hAnsi="Times New Roman" w:cs="Times New Roman"/>
                <w:noProof/>
              </w:rPr>
              <w:t>2.2. Biogāzes staciju attīstības dinamika un potenciāls, biometāna ražošanas iespējas</w:t>
            </w:r>
            <w:r>
              <w:rPr>
                <w:noProof/>
                <w:webHidden/>
              </w:rPr>
              <w:tab/>
            </w:r>
            <w:r>
              <w:rPr>
                <w:noProof/>
                <w:webHidden/>
              </w:rPr>
              <w:fldChar w:fldCharType="begin"/>
            </w:r>
            <w:r>
              <w:rPr>
                <w:noProof/>
                <w:webHidden/>
              </w:rPr>
              <w:instrText xml:space="preserve"> PAGEREF _Toc101605174 \h </w:instrText>
            </w:r>
            <w:r>
              <w:rPr>
                <w:noProof/>
                <w:webHidden/>
              </w:rPr>
            </w:r>
            <w:r>
              <w:rPr>
                <w:noProof/>
                <w:webHidden/>
              </w:rPr>
              <w:fldChar w:fldCharType="separate"/>
            </w:r>
            <w:r>
              <w:rPr>
                <w:noProof/>
                <w:webHidden/>
              </w:rPr>
              <w:t>7</w:t>
            </w:r>
            <w:r>
              <w:rPr>
                <w:noProof/>
                <w:webHidden/>
              </w:rPr>
              <w:fldChar w:fldCharType="end"/>
            </w:r>
          </w:hyperlink>
        </w:p>
        <w:p w14:paraId="275C15A6" w14:textId="5974FBE1" w:rsidR="005D5B32" w:rsidRDefault="005D5B32">
          <w:pPr>
            <w:pStyle w:val="TOC2"/>
            <w:tabs>
              <w:tab w:val="right" w:leader="dot" w:pos="9350"/>
            </w:tabs>
            <w:rPr>
              <w:rFonts w:eastAsiaTheme="minorEastAsia"/>
              <w:noProof/>
              <w:lang w:eastAsia="lv-LV"/>
            </w:rPr>
          </w:pPr>
          <w:hyperlink w:anchor="_Toc101605175" w:history="1">
            <w:r w:rsidRPr="0006149D">
              <w:rPr>
                <w:rStyle w:val="Hyperlink"/>
                <w:rFonts w:ascii="Times New Roman" w:hAnsi="Times New Roman" w:cs="Times New Roman"/>
                <w:noProof/>
              </w:rPr>
              <w:t>2.3. Nacionālā enerģētikas un klimata plāna mērķi un paredzētie pasākumi atjaunojamo energoresursu gala patēriņa veicināšanai transporta sektorā</w:t>
            </w:r>
            <w:r>
              <w:rPr>
                <w:noProof/>
                <w:webHidden/>
              </w:rPr>
              <w:tab/>
            </w:r>
            <w:r>
              <w:rPr>
                <w:noProof/>
                <w:webHidden/>
              </w:rPr>
              <w:fldChar w:fldCharType="begin"/>
            </w:r>
            <w:r>
              <w:rPr>
                <w:noProof/>
                <w:webHidden/>
              </w:rPr>
              <w:instrText xml:space="preserve"> PAGEREF _Toc101605175 \h </w:instrText>
            </w:r>
            <w:r>
              <w:rPr>
                <w:noProof/>
                <w:webHidden/>
              </w:rPr>
            </w:r>
            <w:r>
              <w:rPr>
                <w:noProof/>
                <w:webHidden/>
              </w:rPr>
              <w:fldChar w:fldCharType="separate"/>
            </w:r>
            <w:r>
              <w:rPr>
                <w:noProof/>
                <w:webHidden/>
              </w:rPr>
              <w:t>14</w:t>
            </w:r>
            <w:r>
              <w:rPr>
                <w:noProof/>
                <w:webHidden/>
              </w:rPr>
              <w:fldChar w:fldCharType="end"/>
            </w:r>
          </w:hyperlink>
        </w:p>
        <w:p w14:paraId="12B75142" w14:textId="2AF025DC" w:rsidR="005D5B32" w:rsidRDefault="005D5B32">
          <w:pPr>
            <w:pStyle w:val="TOC2"/>
            <w:tabs>
              <w:tab w:val="right" w:leader="dot" w:pos="9350"/>
            </w:tabs>
            <w:rPr>
              <w:rFonts w:eastAsiaTheme="minorEastAsia"/>
              <w:noProof/>
              <w:lang w:eastAsia="lv-LV"/>
            </w:rPr>
          </w:pPr>
          <w:hyperlink w:anchor="_Toc101605176" w:history="1">
            <w:r w:rsidRPr="0006149D">
              <w:rPr>
                <w:rStyle w:val="Hyperlink"/>
                <w:rFonts w:ascii="Times New Roman" w:hAnsi="Times New Roman" w:cs="Times New Roman"/>
                <w:noProof/>
              </w:rPr>
              <w:t>2.4. Biometāna un saspiestās dabasgāzes izmantošana transportā</w:t>
            </w:r>
            <w:r>
              <w:rPr>
                <w:noProof/>
                <w:webHidden/>
              </w:rPr>
              <w:tab/>
            </w:r>
            <w:r>
              <w:rPr>
                <w:noProof/>
                <w:webHidden/>
              </w:rPr>
              <w:fldChar w:fldCharType="begin"/>
            </w:r>
            <w:r>
              <w:rPr>
                <w:noProof/>
                <w:webHidden/>
              </w:rPr>
              <w:instrText xml:space="preserve"> PAGEREF _Toc101605176 \h </w:instrText>
            </w:r>
            <w:r>
              <w:rPr>
                <w:noProof/>
                <w:webHidden/>
              </w:rPr>
            </w:r>
            <w:r>
              <w:rPr>
                <w:noProof/>
                <w:webHidden/>
              </w:rPr>
              <w:fldChar w:fldCharType="separate"/>
            </w:r>
            <w:r>
              <w:rPr>
                <w:noProof/>
                <w:webHidden/>
              </w:rPr>
              <w:t>16</w:t>
            </w:r>
            <w:r>
              <w:rPr>
                <w:noProof/>
                <w:webHidden/>
              </w:rPr>
              <w:fldChar w:fldCharType="end"/>
            </w:r>
          </w:hyperlink>
        </w:p>
        <w:p w14:paraId="1DB4FD30" w14:textId="7E5078C0" w:rsidR="005D5B32" w:rsidRDefault="005D5B32">
          <w:pPr>
            <w:pStyle w:val="TOC2"/>
            <w:tabs>
              <w:tab w:val="right" w:leader="dot" w:pos="9350"/>
            </w:tabs>
            <w:rPr>
              <w:rFonts w:eastAsiaTheme="minorEastAsia"/>
              <w:noProof/>
              <w:lang w:eastAsia="lv-LV"/>
            </w:rPr>
          </w:pPr>
          <w:hyperlink w:anchor="_Toc101605177" w:history="1">
            <w:r w:rsidRPr="0006149D">
              <w:rPr>
                <w:rStyle w:val="Hyperlink"/>
                <w:rFonts w:ascii="Times New Roman" w:hAnsi="Times New Roman" w:cs="Times New Roman"/>
                <w:noProof/>
              </w:rPr>
              <w:t>2.5. Plānotā nodokļu politika</w:t>
            </w:r>
            <w:r>
              <w:rPr>
                <w:noProof/>
                <w:webHidden/>
              </w:rPr>
              <w:tab/>
            </w:r>
            <w:r>
              <w:rPr>
                <w:noProof/>
                <w:webHidden/>
              </w:rPr>
              <w:fldChar w:fldCharType="begin"/>
            </w:r>
            <w:r>
              <w:rPr>
                <w:noProof/>
                <w:webHidden/>
              </w:rPr>
              <w:instrText xml:space="preserve"> PAGEREF _Toc101605177 \h </w:instrText>
            </w:r>
            <w:r>
              <w:rPr>
                <w:noProof/>
                <w:webHidden/>
              </w:rPr>
            </w:r>
            <w:r>
              <w:rPr>
                <w:noProof/>
                <w:webHidden/>
              </w:rPr>
              <w:fldChar w:fldCharType="separate"/>
            </w:r>
            <w:r>
              <w:rPr>
                <w:noProof/>
                <w:webHidden/>
              </w:rPr>
              <w:t>21</w:t>
            </w:r>
            <w:r>
              <w:rPr>
                <w:noProof/>
                <w:webHidden/>
              </w:rPr>
              <w:fldChar w:fldCharType="end"/>
            </w:r>
          </w:hyperlink>
        </w:p>
        <w:p w14:paraId="4361D45B" w14:textId="48C9268F" w:rsidR="005D5B32" w:rsidRDefault="005D5B32">
          <w:pPr>
            <w:pStyle w:val="TOC2"/>
            <w:tabs>
              <w:tab w:val="right" w:leader="dot" w:pos="9350"/>
            </w:tabs>
            <w:rPr>
              <w:rFonts w:eastAsiaTheme="minorEastAsia"/>
              <w:noProof/>
              <w:lang w:eastAsia="lv-LV"/>
            </w:rPr>
          </w:pPr>
          <w:hyperlink w:anchor="_Toc101605178" w:history="1">
            <w:r w:rsidRPr="0006149D">
              <w:rPr>
                <w:rStyle w:val="Hyperlink"/>
                <w:rFonts w:ascii="Times New Roman" w:hAnsi="Times New Roman" w:cs="Times New Roman"/>
                <w:noProof/>
              </w:rPr>
              <w:t>2.7. Biogāze lauksaimniecības sektorā</w:t>
            </w:r>
            <w:r>
              <w:rPr>
                <w:noProof/>
                <w:webHidden/>
              </w:rPr>
              <w:tab/>
            </w:r>
            <w:r>
              <w:rPr>
                <w:noProof/>
                <w:webHidden/>
              </w:rPr>
              <w:fldChar w:fldCharType="begin"/>
            </w:r>
            <w:r>
              <w:rPr>
                <w:noProof/>
                <w:webHidden/>
              </w:rPr>
              <w:instrText xml:space="preserve"> PAGEREF _Toc101605178 \h </w:instrText>
            </w:r>
            <w:r>
              <w:rPr>
                <w:noProof/>
                <w:webHidden/>
              </w:rPr>
            </w:r>
            <w:r>
              <w:rPr>
                <w:noProof/>
                <w:webHidden/>
              </w:rPr>
              <w:fldChar w:fldCharType="separate"/>
            </w:r>
            <w:r>
              <w:rPr>
                <w:noProof/>
                <w:webHidden/>
              </w:rPr>
              <w:t>23</w:t>
            </w:r>
            <w:r>
              <w:rPr>
                <w:noProof/>
                <w:webHidden/>
              </w:rPr>
              <w:fldChar w:fldCharType="end"/>
            </w:r>
          </w:hyperlink>
        </w:p>
        <w:p w14:paraId="1B1C908F" w14:textId="39CF41B4" w:rsidR="005D5B32" w:rsidRDefault="005D5B32">
          <w:pPr>
            <w:pStyle w:val="TOC2"/>
            <w:tabs>
              <w:tab w:val="right" w:leader="dot" w:pos="9350"/>
            </w:tabs>
            <w:rPr>
              <w:rFonts w:eastAsiaTheme="minorEastAsia"/>
              <w:noProof/>
              <w:lang w:eastAsia="lv-LV"/>
            </w:rPr>
          </w:pPr>
          <w:hyperlink w:anchor="_Toc101605179" w:history="1">
            <w:r w:rsidRPr="0006149D">
              <w:rPr>
                <w:rStyle w:val="Hyperlink"/>
                <w:rFonts w:ascii="Times New Roman" w:hAnsi="Times New Roman" w:cs="Times New Roman"/>
                <w:noProof/>
              </w:rPr>
              <w:t>2.8.  Biometāna izmantošana enerģētikā</w:t>
            </w:r>
            <w:r>
              <w:rPr>
                <w:noProof/>
                <w:webHidden/>
              </w:rPr>
              <w:tab/>
            </w:r>
            <w:r>
              <w:rPr>
                <w:noProof/>
                <w:webHidden/>
              </w:rPr>
              <w:fldChar w:fldCharType="begin"/>
            </w:r>
            <w:r>
              <w:rPr>
                <w:noProof/>
                <w:webHidden/>
              </w:rPr>
              <w:instrText xml:space="preserve"> PAGEREF _Toc101605179 \h </w:instrText>
            </w:r>
            <w:r>
              <w:rPr>
                <w:noProof/>
                <w:webHidden/>
              </w:rPr>
            </w:r>
            <w:r>
              <w:rPr>
                <w:noProof/>
                <w:webHidden/>
              </w:rPr>
              <w:fldChar w:fldCharType="separate"/>
            </w:r>
            <w:r>
              <w:rPr>
                <w:noProof/>
                <w:webHidden/>
              </w:rPr>
              <w:t>25</w:t>
            </w:r>
            <w:r>
              <w:rPr>
                <w:noProof/>
                <w:webHidden/>
              </w:rPr>
              <w:fldChar w:fldCharType="end"/>
            </w:r>
          </w:hyperlink>
        </w:p>
        <w:p w14:paraId="31E28E33" w14:textId="5E0FDBBC" w:rsidR="005D5B32" w:rsidRDefault="005D5B32">
          <w:pPr>
            <w:pStyle w:val="TOC2"/>
            <w:tabs>
              <w:tab w:val="right" w:leader="dot" w:pos="9350"/>
            </w:tabs>
            <w:rPr>
              <w:rFonts w:eastAsiaTheme="minorEastAsia"/>
              <w:noProof/>
              <w:lang w:eastAsia="lv-LV"/>
            </w:rPr>
          </w:pPr>
          <w:hyperlink w:anchor="_Toc101605180" w:history="1">
            <w:r w:rsidRPr="0006149D">
              <w:rPr>
                <w:rStyle w:val="Hyperlink"/>
                <w:rFonts w:ascii="Times New Roman" w:hAnsi="Times New Roman" w:cs="Times New Roman"/>
                <w:noProof/>
              </w:rPr>
              <w:t>2.9. Citu valstu pieeja biometāna ražošanas un patēriņa atbalstam</w:t>
            </w:r>
            <w:r>
              <w:rPr>
                <w:noProof/>
                <w:webHidden/>
              </w:rPr>
              <w:tab/>
            </w:r>
            <w:r>
              <w:rPr>
                <w:noProof/>
                <w:webHidden/>
              </w:rPr>
              <w:fldChar w:fldCharType="begin"/>
            </w:r>
            <w:r>
              <w:rPr>
                <w:noProof/>
                <w:webHidden/>
              </w:rPr>
              <w:instrText xml:space="preserve"> PAGEREF _Toc101605180 \h </w:instrText>
            </w:r>
            <w:r>
              <w:rPr>
                <w:noProof/>
                <w:webHidden/>
              </w:rPr>
            </w:r>
            <w:r>
              <w:rPr>
                <w:noProof/>
                <w:webHidden/>
              </w:rPr>
              <w:fldChar w:fldCharType="separate"/>
            </w:r>
            <w:r>
              <w:rPr>
                <w:noProof/>
                <w:webHidden/>
              </w:rPr>
              <w:t>26</w:t>
            </w:r>
            <w:r>
              <w:rPr>
                <w:noProof/>
                <w:webHidden/>
              </w:rPr>
              <w:fldChar w:fldCharType="end"/>
            </w:r>
          </w:hyperlink>
        </w:p>
        <w:p w14:paraId="5B76029B" w14:textId="51B70D17" w:rsidR="005D5B32" w:rsidRDefault="005D5B32">
          <w:pPr>
            <w:pStyle w:val="TOC1"/>
            <w:tabs>
              <w:tab w:val="right" w:leader="dot" w:pos="9350"/>
            </w:tabs>
            <w:rPr>
              <w:rFonts w:eastAsiaTheme="minorEastAsia"/>
              <w:noProof/>
              <w:lang w:eastAsia="lv-LV"/>
            </w:rPr>
          </w:pPr>
          <w:hyperlink w:anchor="_Toc101605181" w:history="1">
            <w:r w:rsidRPr="0006149D">
              <w:rPr>
                <w:rStyle w:val="Hyperlink"/>
                <w:rFonts w:ascii="Times New Roman" w:hAnsi="Times New Roman" w:cs="Times New Roman"/>
                <w:b/>
                <w:bCs/>
                <w:noProof/>
              </w:rPr>
              <w:t>III. Piedāvātie risinājumi</w:t>
            </w:r>
            <w:r>
              <w:rPr>
                <w:noProof/>
                <w:webHidden/>
              </w:rPr>
              <w:tab/>
            </w:r>
            <w:r>
              <w:rPr>
                <w:noProof/>
                <w:webHidden/>
              </w:rPr>
              <w:fldChar w:fldCharType="begin"/>
            </w:r>
            <w:r>
              <w:rPr>
                <w:noProof/>
                <w:webHidden/>
              </w:rPr>
              <w:instrText xml:space="preserve"> PAGEREF _Toc101605181 \h </w:instrText>
            </w:r>
            <w:r>
              <w:rPr>
                <w:noProof/>
                <w:webHidden/>
              </w:rPr>
            </w:r>
            <w:r>
              <w:rPr>
                <w:noProof/>
                <w:webHidden/>
              </w:rPr>
              <w:fldChar w:fldCharType="separate"/>
            </w:r>
            <w:r>
              <w:rPr>
                <w:noProof/>
                <w:webHidden/>
              </w:rPr>
              <w:t>29</w:t>
            </w:r>
            <w:r>
              <w:rPr>
                <w:noProof/>
                <w:webHidden/>
              </w:rPr>
              <w:fldChar w:fldCharType="end"/>
            </w:r>
          </w:hyperlink>
        </w:p>
        <w:p w14:paraId="594EEA78" w14:textId="43B7AB03" w:rsidR="005D5B32" w:rsidRDefault="005D5B32">
          <w:pPr>
            <w:pStyle w:val="TOC2"/>
            <w:tabs>
              <w:tab w:val="right" w:leader="dot" w:pos="9350"/>
            </w:tabs>
            <w:rPr>
              <w:rFonts w:eastAsiaTheme="minorEastAsia"/>
              <w:noProof/>
              <w:lang w:eastAsia="lv-LV"/>
            </w:rPr>
          </w:pPr>
          <w:hyperlink w:anchor="_Toc101605182" w:history="1">
            <w:r w:rsidRPr="0006149D">
              <w:rPr>
                <w:rStyle w:val="Hyperlink"/>
                <w:rFonts w:ascii="Times New Roman" w:hAnsi="Times New Roman" w:cs="Times New Roman"/>
                <w:noProof/>
              </w:rPr>
              <w:t>3.1. Potenciālie atbalsta mehānismi, kurus nepiedāvā izmantot Latvijā</w:t>
            </w:r>
            <w:r>
              <w:rPr>
                <w:noProof/>
                <w:webHidden/>
              </w:rPr>
              <w:tab/>
            </w:r>
            <w:r>
              <w:rPr>
                <w:noProof/>
                <w:webHidden/>
              </w:rPr>
              <w:fldChar w:fldCharType="begin"/>
            </w:r>
            <w:r>
              <w:rPr>
                <w:noProof/>
                <w:webHidden/>
              </w:rPr>
              <w:instrText xml:space="preserve"> PAGEREF _Toc101605182 \h </w:instrText>
            </w:r>
            <w:r>
              <w:rPr>
                <w:noProof/>
                <w:webHidden/>
              </w:rPr>
            </w:r>
            <w:r>
              <w:rPr>
                <w:noProof/>
                <w:webHidden/>
              </w:rPr>
              <w:fldChar w:fldCharType="separate"/>
            </w:r>
            <w:r>
              <w:rPr>
                <w:noProof/>
                <w:webHidden/>
              </w:rPr>
              <w:t>29</w:t>
            </w:r>
            <w:r>
              <w:rPr>
                <w:noProof/>
                <w:webHidden/>
              </w:rPr>
              <w:fldChar w:fldCharType="end"/>
            </w:r>
          </w:hyperlink>
        </w:p>
        <w:p w14:paraId="4385E897" w14:textId="31D79BE3" w:rsidR="005D5B32" w:rsidRDefault="005D5B32">
          <w:pPr>
            <w:pStyle w:val="TOC3"/>
            <w:tabs>
              <w:tab w:val="right" w:leader="dot" w:pos="9350"/>
            </w:tabs>
            <w:rPr>
              <w:rFonts w:eastAsiaTheme="minorEastAsia"/>
              <w:noProof/>
              <w:lang w:eastAsia="lv-LV"/>
            </w:rPr>
          </w:pPr>
          <w:hyperlink w:anchor="_Toc101605183" w:history="1">
            <w:r w:rsidRPr="0006149D">
              <w:rPr>
                <w:rStyle w:val="Hyperlink"/>
                <w:rFonts w:ascii="Times New Roman" w:hAnsi="Times New Roman" w:cs="Times New Roman"/>
                <w:noProof/>
              </w:rPr>
              <w:t>3.1.1. Piemaksa pie tirgus cenas</w:t>
            </w:r>
            <w:r>
              <w:rPr>
                <w:noProof/>
                <w:webHidden/>
              </w:rPr>
              <w:tab/>
            </w:r>
            <w:r>
              <w:rPr>
                <w:noProof/>
                <w:webHidden/>
              </w:rPr>
              <w:fldChar w:fldCharType="begin"/>
            </w:r>
            <w:r>
              <w:rPr>
                <w:noProof/>
                <w:webHidden/>
              </w:rPr>
              <w:instrText xml:space="preserve"> PAGEREF _Toc101605183 \h </w:instrText>
            </w:r>
            <w:r>
              <w:rPr>
                <w:noProof/>
                <w:webHidden/>
              </w:rPr>
            </w:r>
            <w:r>
              <w:rPr>
                <w:noProof/>
                <w:webHidden/>
              </w:rPr>
              <w:fldChar w:fldCharType="separate"/>
            </w:r>
            <w:r>
              <w:rPr>
                <w:noProof/>
                <w:webHidden/>
              </w:rPr>
              <w:t>29</w:t>
            </w:r>
            <w:r>
              <w:rPr>
                <w:noProof/>
                <w:webHidden/>
              </w:rPr>
              <w:fldChar w:fldCharType="end"/>
            </w:r>
          </w:hyperlink>
        </w:p>
        <w:p w14:paraId="0338D162" w14:textId="024C1E10" w:rsidR="005D5B32" w:rsidRDefault="005D5B32">
          <w:pPr>
            <w:pStyle w:val="TOC3"/>
            <w:tabs>
              <w:tab w:val="right" w:leader="dot" w:pos="9350"/>
            </w:tabs>
            <w:rPr>
              <w:rFonts w:eastAsiaTheme="minorEastAsia"/>
              <w:noProof/>
              <w:lang w:eastAsia="lv-LV"/>
            </w:rPr>
          </w:pPr>
          <w:hyperlink w:anchor="_Toc101605184" w:history="1">
            <w:r w:rsidRPr="0006149D">
              <w:rPr>
                <w:rStyle w:val="Hyperlink"/>
                <w:rFonts w:ascii="Times New Roman" w:hAnsi="Times New Roman" w:cs="Times New Roman"/>
                <w:noProof/>
              </w:rPr>
              <w:t>3.1.2. Investīciju atbalsts CNG transportlīdzekļu iegādei ar nosacījumu, ka tiek izmantots biometāns, nevis dabasgāze</w:t>
            </w:r>
            <w:r>
              <w:rPr>
                <w:noProof/>
                <w:webHidden/>
              </w:rPr>
              <w:tab/>
            </w:r>
            <w:r>
              <w:rPr>
                <w:noProof/>
                <w:webHidden/>
              </w:rPr>
              <w:fldChar w:fldCharType="begin"/>
            </w:r>
            <w:r>
              <w:rPr>
                <w:noProof/>
                <w:webHidden/>
              </w:rPr>
              <w:instrText xml:space="preserve"> PAGEREF _Toc101605184 \h </w:instrText>
            </w:r>
            <w:r>
              <w:rPr>
                <w:noProof/>
                <w:webHidden/>
              </w:rPr>
            </w:r>
            <w:r>
              <w:rPr>
                <w:noProof/>
                <w:webHidden/>
              </w:rPr>
              <w:fldChar w:fldCharType="separate"/>
            </w:r>
            <w:r>
              <w:rPr>
                <w:noProof/>
                <w:webHidden/>
              </w:rPr>
              <w:t>29</w:t>
            </w:r>
            <w:r>
              <w:rPr>
                <w:noProof/>
                <w:webHidden/>
              </w:rPr>
              <w:fldChar w:fldCharType="end"/>
            </w:r>
          </w:hyperlink>
        </w:p>
        <w:p w14:paraId="35C55EFD" w14:textId="15721B15" w:rsidR="005D5B32" w:rsidRDefault="005D5B32">
          <w:pPr>
            <w:pStyle w:val="TOC3"/>
            <w:tabs>
              <w:tab w:val="right" w:leader="dot" w:pos="9350"/>
            </w:tabs>
            <w:rPr>
              <w:rFonts w:eastAsiaTheme="minorEastAsia"/>
              <w:noProof/>
              <w:lang w:eastAsia="lv-LV"/>
            </w:rPr>
          </w:pPr>
          <w:hyperlink w:anchor="_Toc101605185" w:history="1">
            <w:r w:rsidRPr="0006149D">
              <w:rPr>
                <w:rStyle w:val="Hyperlink"/>
                <w:rFonts w:ascii="Times New Roman" w:hAnsi="Times New Roman" w:cs="Times New Roman"/>
                <w:noProof/>
              </w:rPr>
              <w:t>3.1.3. Atbalsts infrastruktūras ieviešanai</w:t>
            </w:r>
            <w:r>
              <w:rPr>
                <w:noProof/>
                <w:webHidden/>
              </w:rPr>
              <w:tab/>
            </w:r>
            <w:r>
              <w:rPr>
                <w:noProof/>
                <w:webHidden/>
              </w:rPr>
              <w:fldChar w:fldCharType="begin"/>
            </w:r>
            <w:r>
              <w:rPr>
                <w:noProof/>
                <w:webHidden/>
              </w:rPr>
              <w:instrText xml:space="preserve"> PAGEREF _Toc101605185 \h </w:instrText>
            </w:r>
            <w:r>
              <w:rPr>
                <w:noProof/>
                <w:webHidden/>
              </w:rPr>
            </w:r>
            <w:r>
              <w:rPr>
                <w:noProof/>
                <w:webHidden/>
              </w:rPr>
              <w:fldChar w:fldCharType="separate"/>
            </w:r>
            <w:r>
              <w:rPr>
                <w:noProof/>
                <w:webHidden/>
              </w:rPr>
              <w:t>29</w:t>
            </w:r>
            <w:r>
              <w:rPr>
                <w:noProof/>
                <w:webHidden/>
              </w:rPr>
              <w:fldChar w:fldCharType="end"/>
            </w:r>
          </w:hyperlink>
        </w:p>
        <w:p w14:paraId="6FD9E734" w14:textId="09301DDB" w:rsidR="005D5B32" w:rsidRDefault="005D5B32">
          <w:pPr>
            <w:pStyle w:val="TOC2"/>
            <w:tabs>
              <w:tab w:val="left" w:pos="880"/>
              <w:tab w:val="right" w:leader="dot" w:pos="9350"/>
            </w:tabs>
            <w:rPr>
              <w:rFonts w:eastAsiaTheme="minorEastAsia"/>
              <w:noProof/>
              <w:lang w:eastAsia="lv-LV"/>
            </w:rPr>
          </w:pPr>
          <w:hyperlink w:anchor="_Toc101605186" w:history="1">
            <w:r w:rsidRPr="0006149D">
              <w:rPr>
                <w:rStyle w:val="Hyperlink"/>
                <w:rFonts w:ascii="Times New Roman" w:hAnsi="Times New Roman" w:cs="Times New Roman"/>
                <w:noProof/>
              </w:rPr>
              <w:t>3.2.</w:t>
            </w:r>
            <w:r>
              <w:rPr>
                <w:rFonts w:eastAsiaTheme="minorEastAsia"/>
                <w:noProof/>
                <w:lang w:eastAsia="lv-LV"/>
              </w:rPr>
              <w:tab/>
            </w:r>
            <w:r w:rsidRPr="0006149D">
              <w:rPr>
                <w:rStyle w:val="Hyperlink"/>
                <w:rFonts w:ascii="Times New Roman" w:hAnsi="Times New Roman" w:cs="Times New Roman"/>
                <w:noProof/>
              </w:rPr>
              <w:t>Informatīvajā ziņojumā piedāvātie biometāna veicināšanas mehānismi</w:t>
            </w:r>
            <w:r>
              <w:rPr>
                <w:noProof/>
                <w:webHidden/>
              </w:rPr>
              <w:tab/>
            </w:r>
            <w:r>
              <w:rPr>
                <w:noProof/>
                <w:webHidden/>
              </w:rPr>
              <w:fldChar w:fldCharType="begin"/>
            </w:r>
            <w:r>
              <w:rPr>
                <w:noProof/>
                <w:webHidden/>
              </w:rPr>
              <w:instrText xml:space="preserve"> PAGEREF _Toc101605186 \h </w:instrText>
            </w:r>
            <w:r>
              <w:rPr>
                <w:noProof/>
                <w:webHidden/>
              </w:rPr>
            </w:r>
            <w:r>
              <w:rPr>
                <w:noProof/>
                <w:webHidden/>
              </w:rPr>
              <w:fldChar w:fldCharType="separate"/>
            </w:r>
            <w:r>
              <w:rPr>
                <w:noProof/>
                <w:webHidden/>
              </w:rPr>
              <w:t>30</w:t>
            </w:r>
            <w:r>
              <w:rPr>
                <w:noProof/>
                <w:webHidden/>
              </w:rPr>
              <w:fldChar w:fldCharType="end"/>
            </w:r>
          </w:hyperlink>
        </w:p>
        <w:p w14:paraId="158797D3" w14:textId="6B42FD58" w:rsidR="005D5B32" w:rsidRDefault="005D5B32">
          <w:pPr>
            <w:pStyle w:val="TOC3"/>
            <w:tabs>
              <w:tab w:val="left" w:pos="1320"/>
              <w:tab w:val="right" w:leader="dot" w:pos="9350"/>
            </w:tabs>
            <w:rPr>
              <w:rFonts w:eastAsiaTheme="minorEastAsia"/>
              <w:noProof/>
              <w:lang w:eastAsia="lv-LV"/>
            </w:rPr>
          </w:pPr>
          <w:hyperlink w:anchor="_Toc101605187" w:history="1">
            <w:r w:rsidRPr="0006149D">
              <w:rPr>
                <w:rStyle w:val="Hyperlink"/>
                <w:rFonts w:ascii="Times New Roman" w:hAnsi="Times New Roman" w:cs="Times New Roman"/>
                <w:noProof/>
              </w:rPr>
              <w:t>3.2.1.</w:t>
            </w:r>
            <w:r>
              <w:rPr>
                <w:rFonts w:eastAsiaTheme="minorEastAsia"/>
                <w:noProof/>
                <w:lang w:eastAsia="lv-LV"/>
              </w:rPr>
              <w:tab/>
            </w:r>
            <w:r w:rsidRPr="0006149D">
              <w:rPr>
                <w:rStyle w:val="Hyperlink"/>
                <w:rFonts w:ascii="Times New Roman" w:hAnsi="Times New Roman" w:cs="Times New Roman"/>
                <w:noProof/>
              </w:rPr>
              <w:t>Izcelsmes apliecinājumu sistēmas izveide</w:t>
            </w:r>
            <w:r>
              <w:rPr>
                <w:noProof/>
                <w:webHidden/>
              </w:rPr>
              <w:tab/>
            </w:r>
            <w:r>
              <w:rPr>
                <w:noProof/>
                <w:webHidden/>
              </w:rPr>
              <w:fldChar w:fldCharType="begin"/>
            </w:r>
            <w:r>
              <w:rPr>
                <w:noProof/>
                <w:webHidden/>
              </w:rPr>
              <w:instrText xml:space="preserve"> PAGEREF _Toc101605187 \h </w:instrText>
            </w:r>
            <w:r>
              <w:rPr>
                <w:noProof/>
                <w:webHidden/>
              </w:rPr>
            </w:r>
            <w:r>
              <w:rPr>
                <w:noProof/>
                <w:webHidden/>
              </w:rPr>
              <w:fldChar w:fldCharType="separate"/>
            </w:r>
            <w:r>
              <w:rPr>
                <w:noProof/>
                <w:webHidden/>
              </w:rPr>
              <w:t>30</w:t>
            </w:r>
            <w:r>
              <w:rPr>
                <w:noProof/>
                <w:webHidden/>
              </w:rPr>
              <w:fldChar w:fldCharType="end"/>
            </w:r>
          </w:hyperlink>
        </w:p>
        <w:p w14:paraId="0DD83CB7" w14:textId="1521AD7D" w:rsidR="005D5B32" w:rsidRDefault="005D5B32">
          <w:pPr>
            <w:pStyle w:val="TOC3"/>
            <w:tabs>
              <w:tab w:val="left" w:pos="1320"/>
              <w:tab w:val="right" w:leader="dot" w:pos="9350"/>
            </w:tabs>
            <w:rPr>
              <w:rFonts w:eastAsiaTheme="minorEastAsia"/>
              <w:noProof/>
              <w:lang w:eastAsia="lv-LV"/>
            </w:rPr>
          </w:pPr>
          <w:hyperlink w:anchor="_Toc101605188" w:history="1">
            <w:r w:rsidRPr="0006149D">
              <w:rPr>
                <w:rStyle w:val="Hyperlink"/>
                <w:rFonts w:ascii="Times New Roman" w:hAnsi="Times New Roman" w:cs="Times New Roman"/>
                <w:noProof/>
              </w:rPr>
              <w:t>3.2.2.</w:t>
            </w:r>
            <w:r>
              <w:rPr>
                <w:rFonts w:eastAsiaTheme="minorEastAsia"/>
                <w:noProof/>
                <w:lang w:eastAsia="lv-LV"/>
              </w:rPr>
              <w:tab/>
            </w:r>
            <w:r w:rsidRPr="0006149D">
              <w:rPr>
                <w:rStyle w:val="Hyperlink"/>
                <w:rFonts w:ascii="Times New Roman" w:hAnsi="Times New Roman" w:cs="Times New Roman"/>
                <w:noProof/>
              </w:rPr>
              <w:t>Ilgtspējas kritēriji un atbilstība moderno biodegvielu prasībām</w:t>
            </w:r>
            <w:r>
              <w:rPr>
                <w:noProof/>
                <w:webHidden/>
              </w:rPr>
              <w:tab/>
            </w:r>
            <w:r>
              <w:rPr>
                <w:noProof/>
                <w:webHidden/>
              </w:rPr>
              <w:fldChar w:fldCharType="begin"/>
            </w:r>
            <w:r>
              <w:rPr>
                <w:noProof/>
                <w:webHidden/>
              </w:rPr>
              <w:instrText xml:space="preserve"> PAGEREF _Toc101605188 \h </w:instrText>
            </w:r>
            <w:r>
              <w:rPr>
                <w:noProof/>
                <w:webHidden/>
              </w:rPr>
            </w:r>
            <w:r>
              <w:rPr>
                <w:noProof/>
                <w:webHidden/>
              </w:rPr>
              <w:fldChar w:fldCharType="separate"/>
            </w:r>
            <w:r>
              <w:rPr>
                <w:noProof/>
                <w:webHidden/>
              </w:rPr>
              <w:t>30</w:t>
            </w:r>
            <w:r>
              <w:rPr>
                <w:noProof/>
                <w:webHidden/>
              </w:rPr>
              <w:fldChar w:fldCharType="end"/>
            </w:r>
          </w:hyperlink>
        </w:p>
        <w:p w14:paraId="3B9E01C3" w14:textId="187E3C95" w:rsidR="005D5B32" w:rsidRDefault="005D5B32">
          <w:pPr>
            <w:pStyle w:val="TOC3"/>
            <w:tabs>
              <w:tab w:val="left" w:pos="1320"/>
              <w:tab w:val="right" w:leader="dot" w:pos="9350"/>
            </w:tabs>
            <w:rPr>
              <w:rFonts w:eastAsiaTheme="minorEastAsia"/>
              <w:noProof/>
              <w:lang w:eastAsia="lv-LV"/>
            </w:rPr>
          </w:pPr>
          <w:hyperlink w:anchor="_Toc101605189" w:history="1">
            <w:r w:rsidRPr="0006149D">
              <w:rPr>
                <w:rStyle w:val="Hyperlink"/>
                <w:rFonts w:ascii="Times New Roman" w:hAnsi="Times New Roman" w:cs="Times New Roman"/>
                <w:noProof/>
              </w:rPr>
              <w:t>3.2.3.</w:t>
            </w:r>
            <w:r>
              <w:rPr>
                <w:rFonts w:eastAsiaTheme="minorEastAsia"/>
                <w:noProof/>
                <w:lang w:eastAsia="lv-LV"/>
              </w:rPr>
              <w:tab/>
            </w:r>
            <w:r w:rsidRPr="0006149D">
              <w:rPr>
                <w:rStyle w:val="Hyperlink"/>
                <w:rFonts w:ascii="Times New Roman" w:hAnsi="Times New Roman" w:cs="Times New Roman"/>
                <w:noProof/>
              </w:rPr>
              <w:t>Pienākuma shēma degvielas tirgotājiem</w:t>
            </w:r>
            <w:r>
              <w:rPr>
                <w:noProof/>
                <w:webHidden/>
              </w:rPr>
              <w:tab/>
            </w:r>
            <w:r>
              <w:rPr>
                <w:noProof/>
                <w:webHidden/>
              </w:rPr>
              <w:fldChar w:fldCharType="begin"/>
            </w:r>
            <w:r>
              <w:rPr>
                <w:noProof/>
                <w:webHidden/>
              </w:rPr>
              <w:instrText xml:space="preserve"> PAGEREF _Toc101605189 \h </w:instrText>
            </w:r>
            <w:r>
              <w:rPr>
                <w:noProof/>
                <w:webHidden/>
              </w:rPr>
            </w:r>
            <w:r>
              <w:rPr>
                <w:noProof/>
                <w:webHidden/>
              </w:rPr>
              <w:fldChar w:fldCharType="separate"/>
            </w:r>
            <w:r>
              <w:rPr>
                <w:noProof/>
                <w:webHidden/>
              </w:rPr>
              <w:t>30</w:t>
            </w:r>
            <w:r>
              <w:rPr>
                <w:noProof/>
                <w:webHidden/>
              </w:rPr>
              <w:fldChar w:fldCharType="end"/>
            </w:r>
          </w:hyperlink>
        </w:p>
        <w:p w14:paraId="37B6620B" w14:textId="0E06BFFD" w:rsidR="005D5B32" w:rsidRDefault="005D5B32">
          <w:pPr>
            <w:pStyle w:val="TOC3"/>
            <w:tabs>
              <w:tab w:val="left" w:pos="1320"/>
              <w:tab w:val="right" w:leader="dot" w:pos="9350"/>
            </w:tabs>
            <w:rPr>
              <w:rFonts w:eastAsiaTheme="minorEastAsia"/>
              <w:noProof/>
              <w:lang w:eastAsia="lv-LV"/>
            </w:rPr>
          </w:pPr>
          <w:hyperlink w:anchor="_Toc101605190" w:history="1">
            <w:r w:rsidRPr="0006149D">
              <w:rPr>
                <w:rStyle w:val="Hyperlink"/>
                <w:rFonts w:ascii="Times New Roman" w:hAnsi="Times New Roman" w:cs="Times New Roman"/>
                <w:noProof/>
              </w:rPr>
              <w:t>3.2.4.</w:t>
            </w:r>
            <w:r>
              <w:rPr>
                <w:rFonts w:eastAsiaTheme="minorEastAsia"/>
                <w:noProof/>
                <w:lang w:eastAsia="lv-LV"/>
              </w:rPr>
              <w:tab/>
            </w:r>
            <w:r w:rsidRPr="0006149D">
              <w:rPr>
                <w:rStyle w:val="Hyperlink"/>
                <w:rFonts w:ascii="Times New Roman" w:hAnsi="Times New Roman" w:cs="Times New Roman"/>
                <w:noProof/>
              </w:rPr>
              <w:t>Nodokļu atlaide biometānam</w:t>
            </w:r>
            <w:r>
              <w:rPr>
                <w:noProof/>
                <w:webHidden/>
              </w:rPr>
              <w:tab/>
            </w:r>
            <w:r>
              <w:rPr>
                <w:noProof/>
                <w:webHidden/>
              </w:rPr>
              <w:fldChar w:fldCharType="begin"/>
            </w:r>
            <w:r>
              <w:rPr>
                <w:noProof/>
                <w:webHidden/>
              </w:rPr>
              <w:instrText xml:space="preserve"> PAGEREF _Toc101605190 \h </w:instrText>
            </w:r>
            <w:r>
              <w:rPr>
                <w:noProof/>
                <w:webHidden/>
              </w:rPr>
            </w:r>
            <w:r>
              <w:rPr>
                <w:noProof/>
                <w:webHidden/>
              </w:rPr>
              <w:fldChar w:fldCharType="separate"/>
            </w:r>
            <w:r>
              <w:rPr>
                <w:noProof/>
                <w:webHidden/>
              </w:rPr>
              <w:t>31</w:t>
            </w:r>
            <w:r>
              <w:rPr>
                <w:noProof/>
                <w:webHidden/>
              </w:rPr>
              <w:fldChar w:fldCharType="end"/>
            </w:r>
          </w:hyperlink>
        </w:p>
        <w:p w14:paraId="6ADC0F6B" w14:textId="6F35021C" w:rsidR="005D5B32" w:rsidRDefault="005D5B32">
          <w:pPr>
            <w:pStyle w:val="TOC3"/>
            <w:tabs>
              <w:tab w:val="left" w:pos="1320"/>
              <w:tab w:val="right" w:leader="dot" w:pos="9350"/>
            </w:tabs>
            <w:rPr>
              <w:rFonts w:eastAsiaTheme="minorEastAsia"/>
              <w:noProof/>
              <w:lang w:eastAsia="lv-LV"/>
            </w:rPr>
          </w:pPr>
          <w:hyperlink w:anchor="_Toc101605191" w:history="1">
            <w:r w:rsidRPr="0006149D">
              <w:rPr>
                <w:rStyle w:val="Hyperlink"/>
                <w:rFonts w:ascii="Times New Roman" w:hAnsi="Times New Roman" w:cs="Times New Roman"/>
                <w:noProof/>
              </w:rPr>
              <w:t>3.2.5.</w:t>
            </w:r>
            <w:r>
              <w:rPr>
                <w:rFonts w:eastAsiaTheme="minorEastAsia"/>
                <w:noProof/>
                <w:lang w:eastAsia="lv-LV"/>
              </w:rPr>
              <w:tab/>
            </w:r>
            <w:r w:rsidRPr="0006149D">
              <w:rPr>
                <w:rStyle w:val="Hyperlink"/>
                <w:rFonts w:ascii="Times New Roman" w:hAnsi="Times New Roman" w:cs="Times New Roman"/>
                <w:noProof/>
              </w:rPr>
              <w:t>Investīciju atbalsts biometāna ražošanai</w:t>
            </w:r>
            <w:r>
              <w:rPr>
                <w:noProof/>
                <w:webHidden/>
              </w:rPr>
              <w:tab/>
            </w:r>
            <w:r>
              <w:rPr>
                <w:noProof/>
                <w:webHidden/>
              </w:rPr>
              <w:fldChar w:fldCharType="begin"/>
            </w:r>
            <w:r>
              <w:rPr>
                <w:noProof/>
                <w:webHidden/>
              </w:rPr>
              <w:instrText xml:space="preserve"> PAGEREF _Toc101605191 \h </w:instrText>
            </w:r>
            <w:r>
              <w:rPr>
                <w:noProof/>
                <w:webHidden/>
              </w:rPr>
            </w:r>
            <w:r>
              <w:rPr>
                <w:noProof/>
                <w:webHidden/>
              </w:rPr>
              <w:fldChar w:fldCharType="separate"/>
            </w:r>
            <w:r>
              <w:rPr>
                <w:noProof/>
                <w:webHidden/>
              </w:rPr>
              <w:t>32</w:t>
            </w:r>
            <w:r>
              <w:rPr>
                <w:noProof/>
                <w:webHidden/>
              </w:rPr>
              <w:fldChar w:fldCharType="end"/>
            </w:r>
          </w:hyperlink>
        </w:p>
        <w:p w14:paraId="17486A65" w14:textId="61EB04C0" w:rsidR="005D5B32" w:rsidRDefault="005D5B32">
          <w:pPr>
            <w:pStyle w:val="TOC3"/>
            <w:tabs>
              <w:tab w:val="right" w:leader="dot" w:pos="9350"/>
            </w:tabs>
            <w:rPr>
              <w:rFonts w:eastAsiaTheme="minorEastAsia"/>
              <w:noProof/>
              <w:lang w:eastAsia="lv-LV"/>
            </w:rPr>
          </w:pPr>
          <w:hyperlink w:anchor="_Toc101605192" w:history="1">
            <w:r w:rsidRPr="0006149D">
              <w:rPr>
                <w:rStyle w:val="Hyperlink"/>
                <w:rFonts w:ascii="Times New Roman" w:hAnsi="Times New Roman" w:cs="Times New Roman"/>
                <w:noProof/>
              </w:rPr>
              <w:t>3.2.6. Biometāna mērķis enerģētikas sektorā un dabas gāzes tirgotāju pienākums nodrošināt noteiktu biometāna īpatsvaru dabas gāzes patēriņā</w:t>
            </w:r>
            <w:r>
              <w:rPr>
                <w:noProof/>
                <w:webHidden/>
              </w:rPr>
              <w:tab/>
            </w:r>
            <w:r>
              <w:rPr>
                <w:noProof/>
                <w:webHidden/>
              </w:rPr>
              <w:fldChar w:fldCharType="begin"/>
            </w:r>
            <w:r>
              <w:rPr>
                <w:noProof/>
                <w:webHidden/>
              </w:rPr>
              <w:instrText xml:space="preserve"> PAGEREF _Toc101605192 \h </w:instrText>
            </w:r>
            <w:r>
              <w:rPr>
                <w:noProof/>
                <w:webHidden/>
              </w:rPr>
            </w:r>
            <w:r>
              <w:rPr>
                <w:noProof/>
                <w:webHidden/>
              </w:rPr>
              <w:fldChar w:fldCharType="separate"/>
            </w:r>
            <w:r>
              <w:rPr>
                <w:noProof/>
                <w:webHidden/>
              </w:rPr>
              <w:t>33</w:t>
            </w:r>
            <w:r>
              <w:rPr>
                <w:noProof/>
                <w:webHidden/>
              </w:rPr>
              <w:fldChar w:fldCharType="end"/>
            </w:r>
          </w:hyperlink>
        </w:p>
        <w:p w14:paraId="5026552B" w14:textId="0BC03BD5" w:rsidR="005D5B32" w:rsidRDefault="005D5B32">
          <w:pPr>
            <w:pStyle w:val="TOC1"/>
            <w:tabs>
              <w:tab w:val="right" w:leader="dot" w:pos="9350"/>
            </w:tabs>
            <w:rPr>
              <w:rFonts w:eastAsiaTheme="minorEastAsia"/>
              <w:noProof/>
              <w:lang w:eastAsia="lv-LV"/>
            </w:rPr>
          </w:pPr>
          <w:hyperlink w:anchor="_Toc101605193" w:history="1">
            <w:r w:rsidRPr="0006149D">
              <w:rPr>
                <w:rStyle w:val="Hyperlink"/>
                <w:rFonts w:ascii="Times New Roman" w:hAnsi="Times New Roman" w:cs="Times New Roman"/>
                <w:b/>
                <w:bCs/>
                <w:noProof/>
              </w:rPr>
              <w:t>IV  Secinājumi un nepieciešamās rīcība</w:t>
            </w:r>
            <w:r>
              <w:rPr>
                <w:noProof/>
                <w:webHidden/>
              </w:rPr>
              <w:tab/>
            </w:r>
            <w:r>
              <w:rPr>
                <w:noProof/>
                <w:webHidden/>
              </w:rPr>
              <w:fldChar w:fldCharType="begin"/>
            </w:r>
            <w:r>
              <w:rPr>
                <w:noProof/>
                <w:webHidden/>
              </w:rPr>
              <w:instrText xml:space="preserve"> PAGEREF _Toc101605193 \h </w:instrText>
            </w:r>
            <w:r>
              <w:rPr>
                <w:noProof/>
                <w:webHidden/>
              </w:rPr>
            </w:r>
            <w:r>
              <w:rPr>
                <w:noProof/>
                <w:webHidden/>
              </w:rPr>
              <w:fldChar w:fldCharType="separate"/>
            </w:r>
            <w:r>
              <w:rPr>
                <w:noProof/>
                <w:webHidden/>
              </w:rPr>
              <w:t>33</w:t>
            </w:r>
            <w:r>
              <w:rPr>
                <w:noProof/>
                <w:webHidden/>
              </w:rPr>
              <w:fldChar w:fldCharType="end"/>
            </w:r>
          </w:hyperlink>
        </w:p>
        <w:p w14:paraId="2A8BB8B0" w14:textId="699E4077" w:rsidR="008532EA" w:rsidRPr="006D431D" w:rsidRDefault="008532EA">
          <w:pPr>
            <w:rPr>
              <w:rFonts w:ascii="Times New Roman" w:hAnsi="Times New Roman" w:cs="Times New Roman"/>
              <w:sz w:val="24"/>
              <w:szCs w:val="24"/>
            </w:rPr>
          </w:pPr>
          <w:r w:rsidRPr="006D431D">
            <w:rPr>
              <w:rFonts w:ascii="Times New Roman" w:hAnsi="Times New Roman" w:cs="Times New Roman"/>
              <w:b/>
              <w:bCs/>
              <w:noProof/>
              <w:sz w:val="24"/>
              <w:szCs w:val="24"/>
            </w:rPr>
            <w:fldChar w:fldCharType="end"/>
          </w:r>
        </w:p>
      </w:sdtContent>
    </w:sdt>
    <w:p w14:paraId="57959995" w14:textId="77777777" w:rsidR="00F9503A" w:rsidRPr="006D431D" w:rsidRDefault="00F9503A">
      <w:pPr>
        <w:pStyle w:val="tvhtml"/>
        <w:shd w:val="clear" w:color="auto" w:fill="FFFFFF"/>
        <w:spacing w:before="280" w:after="280" w:line="293" w:lineRule="atLeast"/>
        <w:ind w:firstLine="300"/>
        <w:jc w:val="center"/>
        <w:rPr>
          <w:b/>
          <w:bCs/>
        </w:rPr>
      </w:pPr>
    </w:p>
    <w:p w14:paraId="5F26EE29" w14:textId="073D5940" w:rsidR="00C32B9F" w:rsidRPr="006D431D" w:rsidRDefault="002B39A1" w:rsidP="00CC565D">
      <w:pPr>
        <w:pStyle w:val="Heading1"/>
        <w:jc w:val="center"/>
        <w:rPr>
          <w:rFonts w:ascii="Times New Roman" w:hAnsi="Times New Roman" w:cs="Times New Roman"/>
          <w:b/>
          <w:bCs/>
          <w:color w:val="auto"/>
          <w:sz w:val="24"/>
          <w:szCs w:val="24"/>
        </w:rPr>
      </w:pPr>
      <w:bookmarkStart w:id="1" w:name="_Toc101605171"/>
      <w:r w:rsidRPr="006D431D">
        <w:rPr>
          <w:rFonts w:ascii="Times New Roman" w:hAnsi="Times New Roman" w:cs="Times New Roman"/>
          <w:b/>
          <w:bCs/>
          <w:color w:val="auto"/>
          <w:sz w:val="24"/>
          <w:szCs w:val="24"/>
        </w:rPr>
        <w:lastRenderedPageBreak/>
        <w:t>I. Ievads</w:t>
      </w:r>
      <w:bookmarkEnd w:id="1"/>
    </w:p>
    <w:p w14:paraId="7BC3FC0A" w14:textId="77777777" w:rsidR="0023393B" w:rsidRDefault="002B39A1" w:rsidP="005247E8">
      <w:pPr>
        <w:pStyle w:val="tvhtml"/>
        <w:shd w:val="clear" w:color="auto" w:fill="FFFFFF" w:themeFill="background1"/>
        <w:spacing w:before="280" w:after="280" w:line="293" w:lineRule="atLeast"/>
        <w:ind w:firstLine="720"/>
        <w:jc w:val="both"/>
      </w:pPr>
      <w:r w:rsidRPr="006D431D">
        <w:t xml:space="preserve">Informatīvā ziņojuma mērķis ir izvērtēt iespējamo rīcību un atbalsta mehānismus, lai veicinātu biogāzes koģenerācijas staciju pāreju uz biometāna ražošanu, </w:t>
      </w:r>
      <w:r w:rsidR="00D743FB" w:rsidRPr="006D431D">
        <w:t>tajā skaitā</w:t>
      </w:r>
      <w:r w:rsidRPr="006D431D">
        <w:t xml:space="preserve"> transporta vajadzībām, lai veicinātu Nacionālā enerģētikas un klimata plāna 2021. - 2030.gadam (turpmāk – NEKP) mērķu sasniegšanu. </w:t>
      </w:r>
    </w:p>
    <w:p w14:paraId="55D40110" w14:textId="77777777" w:rsidR="00037F72" w:rsidRDefault="002B39A1" w:rsidP="005247E8">
      <w:pPr>
        <w:pStyle w:val="tvhtml"/>
        <w:shd w:val="clear" w:color="auto" w:fill="FFFFFF" w:themeFill="background1"/>
        <w:spacing w:before="280" w:after="280" w:line="293" w:lineRule="atLeast"/>
        <w:ind w:firstLine="720"/>
        <w:jc w:val="both"/>
      </w:pPr>
      <w:r w:rsidRPr="006D431D">
        <w:t xml:space="preserve">Informatīvā ziņojuma mērķis ir arī sniegt atbildes Ministru kabineta uzdevumam Ekonomikas ministrijai sadarbībā ar Zemkopības ministriju un Vides aizsardzības un reģionālās attīstības ministriju izvērtēt iespēju izstrādāt pasākumus biogāzes elektrostaciju darbam ārpus obligātā iepirkuma sistēmas, tostarp tādus, kas veicinātu komersantiem sev piederošas vai saistītas saimniecības apgādi ar no atjaunojamiem energoresursiem saražotu elektroenerģiju. </w:t>
      </w:r>
    </w:p>
    <w:p w14:paraId="599D6B74" w14:textId="131F3B6E" w:rsidR="00037F72" w:rsidRDefault="002B39A1" w:rsidP="005247E8">
      <w:pPr>
        <w:pStyle w:val="tvhtml"/>
        <w:shd w:val="clear" w:color="auto" w:fill="FFFFFF" w:themeFill="background1"/>
        <w:spacing w:before="280" w:after="280" w:line="293" w:lineRule="atLeast"/>
        <w:ind w:firstLine="720"/>
        <w:jc w:val="both"/>
      </w:pPr>
      <w:r w:rsidRPr="006D431D">
        <w:t xml:space="preserve">Informatīvais ziņojums arī nosaka pamatnosacījumus </w:t>
      </w:r>
      <w:r w:rsidR="00CD27DF" w:rsidRPr="006D431D">
        <w:t xml:space="preserve">Eiropas </w:t>
      </w:r>
      <w:r w:rsidR="007F4ABD">
        <w:t>S</w:t>
      </w:r>
      <w:r w:rsidR="00CD27DF" w:rsidRPr="006D431D">
        <w:t>avienības</w:t>
      </w:r>
      <w:r w:rsidR="007F4ABD">
        <w:t xml:space="preserve"> (turpmāk -ES)</w:t>
      </w:r>
      <w:r w:rsidR="00CD27DF" w:rsidRPr="006D431D">
        <w:t xml:space="preserve"> Kohēzijas politikas programmas</w:t>
      </w:r>
      <w:r w:rsidRPr="006D431D">
        <w:t xml:space="preserve"> 2021. - 2027. gada 2.1.2.2.pasākumam “Biometāna ražošanas un izmantošanas veicināšana”</w:t>
      </w:r>
      <w:r w:rsidR="00E67798" w:rsidRPr="006D431D">
        <w:t>, kuru ietvarā biometāna ražošanas atbalstam tiek plānota investīciju piesaiste saskaņā ar Eiropas Savienības Kohēzijas politikas programmu 2021-2027 gadam</w:t>
      </w:r>
      <w:r w:rsidR="00F87FF0" w:rsidRPr="006D431D">
        <w:t xml:space="preserve"> 2.1.2.specifiskā atbalsta mērķa “Atjaunojamo energoresursu enerģijas papildu ražošanas jauda (biometāns)” ietvaros</w:t>
      </w:r>
      <w:r w:rsidR="008D116B" w:rsidRPr="006D431D">
        <w:t xml:space="preserve"> EUR 2</w:t>
      </w:r>
      <w:r w:rsidR="006611D2" w:rsidRPr="006D431D">
        <w:t>1</w:t>
      </w:r>
      <w:r w:rsidR="00E67798" w:rsidRPr="006D431D">
        <w:t> 750 000 apmērā.</w:t>
      </w:r>
      <w:r w:rsidR="00E33943" w:rsidRPr="006D431D">
        <w:t xml:space="preserve"> </w:t>
      </w:r>
    </w:p>
    <w:p w14:paraId="4C098AEE" w14:textId="41399888" w:rsidR="00C32B9F" w:rsidRPr="006D431D" w:rsidRDefault="002B39A1" w:rsidP="005247E8">
      <w:pPr>
        <w:pStyle w:val="tvhtml"/>
        <w:shd w:val="clear" w:color="auto" w:fill="FFFFFF" w:themeFill="background1"/>
        <w:spacing w:before="280" w:after="280" w:line="293" w:lineRule="atLeast"/>
        <w:ind w:firstLine="720"/>
        <w:jc w:val="both"/>
      </w:pPr>
      <w:r w:rsidRPr="006D431D">
        <w:t>Sākotnēji Ekonomikas ministrija izstrādāja konceptuālo ziņojumu, lai salīdzinātu dažādus iespējamos atbalsta mehānismus, bet, izvērtējot sabiedriskajā apspriešanā saņemtās atbildes, piedāvā vienu kompleksu risinājumu, kas ietver vairākus savstarpēji saistītus atbalsta mehānismus. Ekonomikas ministrija izsludināja Valsts sekretāru sanāksmē (VSS-209)</w:t>
      </w:r>
      <w:r w:rsidRPr="006D431D">
        <w:rPr>
          <w:rStyle w:val="FootnoteAnchor"/>
        </w:rPr>
        <w:footnoteReference w:id="1"/>
      </w:r>
      <w:r w:rsidRPr="006D431D">
        <w:t xml:space="preserve"> informatīvo ziņojumu “Kompleksa atbalsta sistēma biometāna ražošanai un izmantošanai transportā”, tomēr tajā piedāvātais risinājums par investīciju atbalstu ar saspiesto dabas gāzi (CNG) darbināmu transporta līdzekļu iegādei, ar nosacījumu, ka tiek izmantots biometāns, ņemot vērā pieņemtos politiskos lēmumus par Eiropas Savienības (ES) fondu izlietojumu, vairs nav pieejams</w:t>
      </w:r>
      <w:r w:rsidR="006D1036" w:rsidRPr="006D431D">
        <w:t xml:space="preserve">. Tāpat </w:t>
      </w:r>
      <w:r w:rsidR="00E26CBB" w:rsidRPr="006D431D">
        <w:t>izmaiņas radīja lielāka nepieciešamība veicināt ene</w:t>
      </w:r>
      <w:r w:rsidR="0025758A" w:rsidRPr="006D431D">
        <w:t>rģētisko neatkarību</w:t>
      </w:r>
      <w:r w:rsidRPr="006D431D">
        <w:t xml:space="preserve"> un </w:t>
      </w:r>
      <w:r w:rsidR="0025758A" w:rsidRPr="006D431D">
        <w:t xml:space="preserve">fosilo energoresursu </w:t>
      </w:r>
      <w:r w:rsidR="00D0430A" w:rsidRPr="006D431D">
        <w:t xml:space="preserve">cenu izmaiņas, </w:t>
      </w:r>
      <w:r w:rsidRPr="006D431D">
        <w:t xml:space="preserve"> kādēļ Ekonomikas ministrija izstrādāja jaunu informatīvo ziņojumu. Atzinumos par iepriekšējo informatīvo ziņojumu sniegtie iesaistīto pušu viedokļi, cik iespējams un attiecināms, ņemti vērā šajā informatīvajā ziņojumā. Informatīvais ziņojums neapskata atbalsta pasākumus, kādi ir nepieciešami </w:t>
      </w:r>
      <w:proofErr w:type="spellStart"/>
      <w:r w:rsidRPr="006D431D">
        <w:t>elektromobilitātes</w:t>
      </w:r>
      <w:proofErr w:type="spellEnd"/>
      <w:r w:rsidRPr="006D431D">
        <w:t xml:space="preserve"> veicināšanai un citiem enerģijas avotiem transporta gala patēriņā, tie jāskata citos dokumentos un atbalsta programmās.  </w:t>
      </w:r>
    </w:p>
    <w:p w14:paraId="2523B9EF" w14:textId="77627073" w:rsidR="00C32B9F" w:rsidRPr="006D431D" w:rsidRDefault="003D2DA7" w:rsidP="00037F72">
      <w:pPr>
        <w:pStyle w:val="tvhtml"/>
        <w:shd w:val="clear" w:color="auto" w:fill="FFFFFF" w:themeFill="background1"/>
        <w:spacing w:before="280" w:after="280" w:line="293" w:lineRule="atLeast"/>
        <w:ind w:firstLine="300"/>
        <w:jc w:val="both"/>
      </w:pPr>
      <w:r w:rsidRPr="006D431D">
        <w:t>Šajā informatīvā ziņojum</w:t>
      </w:r>
      <w:r w:rsidR="00126ABD" w:rsidRPr="006D431D">
        <w:t xml:space="preserve">ā </w:t>
      </w:r>
      <w:r w:rsidRPr="006D431D">
        <w:t xml:space="preserve">Latvija neparedz atbalsta pasākumus, </w:t>
      </w:r>
      <w:r w:rsidR="008F7A6A" w:rsidRPr="006D431D">
        <w:t xml:space="preserve">citādi, </w:t>
      </w:r>
      <w:r w:rsidRPr="006D431D">
        <w:t>kā ES normatīvajos aktos paredzētos minimāli noteiktos</w:t>
      </w:r>
      <w:r w:rsidR="00B06470" w:rsidRPr="006D431D">
        <w:rPr>
          <w:rStyle w:val="FootnoteReference"/>
        </w:rPr>
        <w:footnoteReference w:id="2"/>
      </w:r>
      <w:r w:rsidRPr="006D431D">
        <w:t xml:space="preserve">. </w:t>
      </w:r>
      <w:r w:rsidR="00604CDA" w:rsidRPr="006D431D">
        <w:t>Ņemot vērā neskaidro situāciju ar dabasgāzes nākotnes cenām un piegādēm</w:t>
      </w:r>
      <w:r w:rsidR="008D5695" w:rsidRPr="006D431D">
        <w:t xml:space="preserve">, </w:t>
      </w:r>
      <w:r w:rsidR="00912E25" w:rsidRPr="006D431D">
        <w:t xml:space="preserve">šobrīd </w:t>
      </w:r>
      <w:r w:rsidR="008D5695" w:rsidRPr="006D431D">
        <w:t>precīzas prognozes nav iespējamas</w:t>
      </w:r>
      <w:r w:rsidR="002B39A1" w:rsidRPr="006D431D">
        <w:t xml:space="preserve">. </w:t>
      </w:r>
      <w:r w:rsidR="009E4E77">
        <w:t>B</w:t>
      </w:r>
      <w:r w:rsidR="002B39A1" w:rsidRPr="006D431D">
        <w:t>iogāzes ražošan</w:t>
      </w:r>
      <w:r w:rsidR="00880FAF">
        <w:t>a</w:t>
      </w:r>
      <w:r w:rsidR="002B39A1" w:rsidRPr="006D431D">
        <w:t xml:space="preserve"> kūtsmēslu un atkritumu apsaimniekošanas jomās </w:t>
      </w:r>
      <w:r w:rsidR="00911023">
        <w:t>ir būtiski</w:t>
      </w:r>
      <w:r w:rsidR="002B39A1" w:rsidRPr="006D431D">
        <w:t xml:space="preserve"> </w:t>
      </w:r>
      <w:r w:rsidR="00880FAF">
        <w:t xml:space="preserve">saglabāt un attīstīt </w:t>
      </w:r>
      <w:r w:rsidR="002B39A1" w:rsidRPr="006D431D">
        <w:t xml:space="preserve">gan </w:t>
      </w:r>
      <w:r w:rsidR="007F7B66">
        <w:t xml:space="preserve">saistībā </w:t>
      </w:r>
      <w:r w:rsidR="002B39A1" w:rsidRPr="006D431D">
        <w:t xml:space="preserve">ar ES un Latvijas klimata mērķiem, gan specifiskām prasībām lauksaimniecības un atkritumu apsaimniekošanas </w:t>
      </w:r>
      <w:r w:rsidR="002B39A1" w:rsidRPr="006D431D">
        <w:lastRenderedPageBreak/>
        <w:t xml:space="preserve">jomā. Pāreja uz biometāna ražošanu ir lietderīga, ņemot vērā gan citu valstu pieredzi, gan arī šī produkta paplašinātās izmantošanas iespējas, salīdzinājumā ar neattīrītu biogāzi. Biometānu iegūst attīrot biogāzi līdz dabasgāzes kvalitātei. </w:t>
      </w:r>
      <w:r w:rsidR="009162A2" w:rsidRPr="006D431D">
        <w:t xml:space="preserve">Aizvietojot daļu no dabas gāzes patēriņa ar biometānu, </w:t>
      </w:r>
      <w:r w:rsidR="00CF6AD3" w:rsidRPr="006D431D">
        <w:t xml:space="preserve">tiktu stiprināta Latvijas enerģētiskā neatkarība. </w:t>
      </w:r>
    </w:p>
    <w:p w14:paraId="66A0C7C2" w14:textId="3F2A3826" w:rsidR="00C32B9F" w:rsidRPr="006D431D" w:rsidRDefault="002B39A1">
      <w:pPr>
        <w:pStyle w:val="tvhtml"/>
        <w:shd w:val="clear" w:color="auto" w:fill="FFFFFF" w:themeFill="background1"/>
        <w:spacing w:before="280" w:after="280" w:line="293" w:lineRule="atLeast"/>
        <w:ind w:firstLine="300"/>
        <w:jc w:val="both"/>
      </w:pPr>
      <w:r w:rsidRPr="006D431D">
        <w:t xml:space="preserve">ES klimata un enerģētikas politika – gan saistošie mērķi 2030, kuri šobrīd tiek pārskatīti palielināšanas virzienā, gan arī tālākā virzība uz </w:t>
      </w:r>
      <w:proofErr w:type="spellStart"/>
      <w:r w:rsidRPr="006D431D">
        <w:t>klimatneitralitāti</w:t>
      </w:r>
      <w:proofErr w:type="spellEnd"/>
      <w:r w:rsidRPr="006D431D">
        <w:t>, prasa dalībvalstīm noteikt savus mērķus un rīcību. Latvijas vidēja termiņa mērķi noteikti NEKP un šie mērķi ietver gan siltumnīcefekta gāzu emisiju samazinājumu, gan saistošus mērķus atjaunojamo energoresursu (</w:t>
      </w:r>
      <w:r w:rsidR="00065100">
        <w:t xml:space="preserve">turpmāk - </w:t>
      </w:r>
      <w:r w:rsidRPr="006D431D">
        <w:t xml:space="preserve">AER) izmantošanā kopējā gala patēriņā, gan arī specifiskus mērķus AER gala patēriņā transporta sektorā. NEKP analītiskajā daļā izstrādāts mērķa scenārijs, kā visus Latvijai noteiktos mērķus sasniegt ar optimālām izmaksām. Šajā scenārijā būtiska loma ir biometāna izmantošanai transporta sektorā. Transporta sektorā ir iespējami arī citi risinājumi mērķu sasniegšanai, kā </w:t>
      </w:r>
      <w:proofErr w:type="spellStart"/>
      <w:r w:rsidRPr="006D431D">
        <w:t>elektromobilitāte</w:t>
      </w:r>
      <w:proofErr w:type="spellEnd"/>
      <w:r w:rsidRPr="006D431D">
        <w:t xml:space="preserve">, tīrais ūdeņradis vai otrās paaudzes (jeb modernās) šķidrās biodegvielas. Tomēr ir noteikts atsevišķs mērķis moderno biodegvielu gala patēriņā, kuru var sasniegt tikai ar moderno biometānu un modernajām šķidrajām biodegvielām. Modernās šķidrās biodegvielas Latvijā ražo tikai mazos apjomos no pārstrādātām eļļām un nav paredzams, ka tuvākajā laikā modernās šķidrās biodegvielas ražos lielākā apmērā, jo tas prasītu būtiskas investīcijas un tehnoloģijas nav pilnībā izstrādātas. Turpretī pāreja uz modernā biometāna ražošanu no vietējām izejvielām ir iespējama ar esošām tehnoloģijām un salīdzinoši mazākām investīcijām. </w:t>
      </w:r>
    </w:p>
    <w:p w14:paraId="411C57AF" w14:textId="6D0A2D60" w:rsidR="00C32B9F" w:rsidRPr="006D431D" w:rsidRDefault="002B39A1">
      <w:pPr>
        <w:pStyle w:val="tvhtml"/>
        <w:shd w:val="clear" w:color="auto" w:fill="FFFFFF" w:themeFill="background1"/>
        <w:spacing w:before="280" w:after="280" w:line="293" w:lineRule="atLeast"/>
        <w:ind w:firstLine="300"/>
        <w:jc w:val="both"/>
      </w:pPr>
      <w:r w:rsidRPr="006D431D">
        <w:t>Vidējā termiņā un jo īpaši kravas transportlīdzekļu, pasažieru autobusu, komunālo un operatīvo transportlīdzekļu, kā arī lauksaimniecības tehnikas segmentos  biometānam saskaņā ar NEKP mērķa scenāriju paredzēta būtiska loma 2030 mērķu sasniegšanā. Kopumā NEKP 4. pielikuma H5.</w:t>
      </w:r>
      <w:r w:rsidR="00BE28E7">
        <w:t xml:space="preserve"> </w:t>
      </w:r>
      <w:r w:rsidRPr="006D431D">
        <w:t xml:space="preserve">punkts paredz biogāzes un biometāna ražošanas un infrastruktūras atbalstam 130 mij. </w:t>
      </w:r>
      <w:r w:rsidR="00456575" w:rsidRPr="006D431D">
        <w:t>eiro</w:t>
      </w:r>
      <w:r w:rsidRPr="006D431D">
        <w:t xml:space="preserve">. </w:t>
      </w:r>
    </w:p>
    <w:p w14:paraId="775CB83A" w14:textId="77777777" w:rsidR="00C32B9F" w:rsidRPr="006D431D" w:rsidRDefault="002B39A1">
      <w:pPr>
        <w:pStyle w:val="tvhtml"/>
        <w:shd w:val="clear" w:color="auto" w:fill="FFFFFF" w:themeFill="background1"/>
        <w:spacing w:before="280" w:after="280" w:line="293" w:lineRule="atLeast"/>
        <w:ind w:firstLine="300"/>
        <w:jc w:val="both"/>
      </w:pPr>
      <w:r w:rsidRPr="006D431D">
        <w:t>ES regulas projekta</w:t>
      </w:r>
      <w:r w:rsidRPr="006D431D">
        <w:rPr>
          <w:rStyle w:val="FootnoteAnchor"/>
        </w:rPr>
        <w:footnoteReference w:id="3"/>
      </w:r>
      <w:r w:rsidRPr="006D431D">
        <w:t xml:space="preserve"> par alternatīvo degvielu infrastruktūras ieviešanu un ar ko atceļ Eiropas Parlamenta un Padomes Direktīvu 2014/94/ES preambulā teikts, ka lielas noslodzes autotransporta nozarē sašķidrinātas dabas gāzes LNG kravas automobiļi ir pilnībā gatavi ienākšanai tirgū. No vienas puses, kopīgie scenāriji, kas ir Ilgtspējīgas un viedas mobilitātes stratēģijas un klimata </w:t>
      </w:r>
      <w:proofErr w:type="spellStart"/>
      <w:r w:rsidRPr="006D431D">
        <w:t>mērķrādītāja</w:t>
      </w:r>
      <w:proofErr w:type="spellEnd"/>
      <w:r w:rsidRPr="006D431D">
        <w:t xml:space="preserve"> plāna pamatā, kā arī pārskatītie “Gatavi </w:t>
      </w:r>
      <w:proofErr w:type="spellStart"/>
      <w:r w:rsidRPr="006D431D">
        <w:t>mērķrādītājam</w:t>
      </w:r>
      <w:proofErr w:type="spellEnd"/>
      <w:r w:rsidRPr="006D431D">
        <w:t xml:space="preserve"> 55 %” modelēšanas scenāriji liecina, ka gāzveida degvielām, kas arvien vairāk tiks </w:t>
      </w:r>
      <w:proofErr w:type="spellStart"/>
      <w:r w:rsidRPr="006D431D">
        <w:t>dekarbonizētas</w:t>
      </w:r>
      <w:proofErr w:type="spellEnd"/>
      <w:r w:rsidRPr="006D431D">
        <w:t xml:space="preserve">, lielas noslodzes autotransporta jomā, īpaši tālsatiksmes segmentā, ir neliela nozīme. Turklāt gaidāms, ka LPG un CNG transportlīdzekļi, kuriem visā Savienībā jau ir pietiekams infrastruktūras tīkls, pakāpeniski tiks aizstāti ar </w:t>
      </w:r>
      <w:proofErr w:type="spellStart"/>
      <w:r w:rsidRPr="006D431D">
        <w:t>bezemisiju</w:t>
      </w:r>
      <w:proofErr w:type="spellEnd"/>
      <w:r w:rsidRPr="006D431D">
        <w:t xml:space="preserve"> transmisijām. </w:t>
      </w:r>
    </w:p>
    <w:p w14:paraId="3B14793D" w14:textId="69C57F0D" w:rsidR="00C32B9F" w:rsidRPr="006D431D" w:rsidRDefault="002B39A1">
      <w:pPr>
        <w:pStyle w:val="tvhtml"/>
        <w:shd w:val="clear" w:color="auto" w:fill="FFFFFF" w:themeFill="background1"/>
        <w:spacing w:before="280" w:after="280" w:line="293" w:lineRule="atLeast"/>
        <w:ind w:firstLine="300"/>
        <w:jc w:val="both"/>
      </w:pPr>
      <w:r w:rsidRPr="006D431D">
        <w:t xml:space="preserve">Ņemot vērā ES ilgtermiņa plānus un </w:t>
      </w:r>
      <w:proofErr w:type="spellStart"/>
      <w:r w:rsidRPr="006D431D">
        <w:t>elektromobilitātes</w:t>
      </w:r>
      <w:proofErr w:type="spellEnd"/>
      <w:r w:rsidRPr="006D431D">
        <w:t xml:space="preserve"> un ūdeņraža izmantošanas tālāku attīstību, arī Latvijā biometāna izmantošanai transportā būs ierobežots un laika ziņā terminēts raksturs, vienlaikus biometāna izmantošana būs aktuāla ilgstoši, tamdēļ </w:t>
      </w:r>
      <w:r w:rsidR="00DF4B0F">
        <w:t>nepieciešami arī</w:t>
      </w:r>
      <w:r w:rsidRPr="006D431D">
        <w:t xml:space="preserve"> </w:t>
      </w:r>
      <w:r w:rsidR="00DF4B0F">
        <w:t>citi</w:t>
      </w:r>
      <w:r w:rsidRPr="006D431D">
        <w:t xml:space="preserve"> risinājumi tā izmantošanai</w:t>
      </w:r>
      <w:r w:rsidR="000128E5" w:rsidRPr="006D431D">
        <w:t>, k</w:t>
      </w:r>
      <w:r w:rsidR="0079552F">
        <w:t>ādus</w:t>
      </w:r>
      <w:r w:rsidR="000128E5" w:rsidRPr="006D431D">
        <w:t xml:space="preserve"> arī piedāvā šis informatīvais ziņojums.</w:t>
      </w:r>
      <w:r w:rsidR="000128E5" w:rsidRPr="006D431D" w:rsidDel="000128E5">
        <w:t xml:space="preserve"> </w:t>
      </w:r>
    </w:p>
    <w:p w14:paraId="1B7BEFDB" w14:textId="77777777" w:rsidR="00C32B9F" w:rsidRPr="006D431D" w:rsidRDefault="002B39A1">
      <w:pPr>
        <w:pStyle w:val="tvhtml"/>
        <w:shd w:val="clear" w:color="auto" w:fill="FFFFFF" w:themeFill="background1"/>
        <w:spacing w:before="280" w:after="280" w:line="293" w:lineRule="atLeast"/>
        <w:ind w:firstLine="300"/>
        <w:jc w:val="both"/>
      </w:pPr>
      <w:r w:rsidRPr="006D431D">
        <w:lastRenderedPageBreak/>
        <w:t xml:space="preserve">Biometāna izmantošana transportā ir saistīta ar dabasgāzes uzpildes infrastruktūras attīstību (dabasgāze un biometāns ir savstarpēji aizvietojami produkti), kā arī ar saspiestu gāzi darbināmu transportlīdzekļu skaita pieaugumu. Šie ir savstarpēji saistīti jautājumi, ja ir maz attiecīgo transportlīdzekļu komersantiem, nav izdevīgi investēt infrastruktūrā, savukārt infrastruktūras trūkums kavē izvēli par labu šiem transportlīdzekļiem. Tirgus nepilnības iespējams koriģēt ar atbalsta pasākumiem. </w:t>
      </w:r>
    </w:p>
    <w:p w14:paraId="7CAD5E1A" w14:textId="3CE5DE6E" w:rsidR="00C32B9F" w:rsidRPr="006D431D" w:rsidRDefault="002B39A1">
      <w:pPr>
        <w:pStyle w:val="tvhtml"/>
        <w:shd w:val="clear" w:color="auto" w:fill="FFFFFF" w:themeFill="background1"/>
        <w:spacing w:before="280" w:after="280" w:line="293" w:lineRule="atLeast"/>
        <w:ind w:firstLine="300"/>
        <w:jc w:val="both"/>
      </w:pPr>
      <w:r w:rsidRPr="006D431D">
        <w:t xml:space="preserve">Saražoto biometānu iespējams ievadīt dabasgāzes pārvades vai sadales tīklos, par kuru </w:t>
      </w:r>
      <w:r w:rsidR="006C7669" w:rsidRPr="006D431D">
        <w:t>biometāna</w:t>
      </w:r>
      <w:r w:rsidRPr="006D431D">
        <w:t xml:space="preserve"> ražotājs ir tiesīgs pieprasīt un saņemt  izcelsmes apliecinājumu.</w:t>
      </w:r>
      <w:r w:rsidR="001954BA" w:rsidRPr="006D431D">
        <w:t xml:space="preserve"> </w:t>
      </w:r>
      <w:r w:rsidRPr="006D431D">
        <w:t>Saskaņā ar Saeimā iesniegto likumprojektu</w:t>
      </w:r>
      <w:r w:rsidR="006C7669" w:rsidRPr="006D431D">
        <w:rPr>
          <w:rStyle w:val="FootnoteReference"/>
        </w:rPr>
        <w:footnoteReference w:id="4"/>
      </w:r>
      <w:r w:rsidRPr="006D431D">
        <w:t xml:space="preserve">, </w:t>
      </w:r>
      <w:r w:rsidRPr="006D431D">
        <w:rPr>
          <w:iCs/>
        </w:rPr>
        <w:t xml:space="preserve"> izcelsmes apliecinājumu izsniegšanu paredzēts uzticēt vienotajam dabasgāzes pārvades</w:t>
      </w:r>
      <w:r w:rsidR="005B467D" w:rsidRPr="006D431D">
        <w:rPr>
          <w:iCs/>
        </w:rPr>
        <w:t xml:space="preserve"> un uzglabāšanas</w:t>
      </w:r>
      <w:r w:rsidRPr="006D431D">
        <w:rPr>
          <w:iCs/>
        </w:rPr>
        <w:t xml:space="preserve"> sistēmas operatoram AS „Conexus Baltic Grid”. </w:t>
      </w:r>
      <w:r w:rsidRPr="006D431D">
        <w:t xml:space="preserve"> Biometānam jāatbilst noteiktiem kvalitātes kritērijiem, tāpat arī šiem kritērijiem jābūt harmonizētiem ar ES standartiem, ņemot vērā </w:t>
      </w:r>
      <w:proofErr w:type="spellStart"/>
      <w:r w:rsidRPr="006D431D">
        <w:t>starpsavienoto</w:t>
      </w:r>
      <w:proofErr w:type="spellEnd"/>
      <w:r w:rsidRPr="006D431D">
        <w:t xml:space="preserve"> dabasgāzes tīklu </w:t>
      </w:r>
      <w:proofErr w:type="spellStart"/>
      <w:r w:rsidRPr="006D431D">
        <w:t>sadarbspējas</w:t>
      </w:r>
      <w:proofErr w:type="spellEnd"/>
      <w:r w:rsidRPr="006D431D">
        <w:t xml:space="preserve"> nosacījumus. Šobrīd dabasgāzes pārvades vai sadales </w:t>
      </w:r>
      <w:r w:rsidR="00682F82" w:rsidRPr="006D431D">
        <w:t>sistēmā</w:t>
      </w:r>
      <w:r w:rsidRPr="006D431D">
        <w:t xml:space="preserve"> ievadāma biometāna kvalitātes parametri ir noteikti</w:t>
      </w:r>
      <w:r w:rsidR="00682F82" w:rsidRPr="006D431D">
        <w:t xml:space="preserve"> Ministru kabineta 2016.gada 4.oktobra noteikumos Nr.650 “Prasības biometāna un gāzveida stāvoklī pārvērstas sašķidrinātās dabasgāzes ievadīšanai un transportēšanai dabasgāzes pārvades un sadales sistēmā”</w:t>
      </w:r>
      <w:r w:rsidRPr="006D431D">
        <w:t>, taču ir nepieciešams aktualizēt tajos noteiktās prasības, kuras no ekonomiskā saprātīguma viedokļa ir gandrīz neizpildāmas. Eko</w:t>
      </w:r>
      <w:r w:rsidR="00682F82" w:rsidRPr="006D431D">
        <w:t>n</w:t>
      </w:r>
      <w:r w:rsidRPr="006D431D">
        <w:t>o</w:t>
      </w:r>
      <w:r w:rsidR="00682F82" w:rsidRPr="006D431D">
        <w:t>m</w:t>
      </w:r>
      <w:r w:rsidRPr="006D431D">
        <w:t>ikas ministrija kopā ar iesaistītajām pusēm strādā pie minēto noteikumu aktualizācijas.</w:t>
      </w:r>
    </w:p>
    <w:p w14:paraId="21FFF878" w14:textId="07D2538F" w:rsidR="00C32B9F" w:rsidRPr="006D431D" w:rsidRDefault="002B39A1" w:rsidP="00682F82">
      <w:pPr>
        <w:pStyle w:val="tvhtml"/>
        <w:shd w:val="clear" w:color="auto" w:fill="FFFFFF" w:themeFill="background1"/>
        <w:spacing w:before="280" w:after="280" w:line="293" w:lineRule="atLeast"/>
        <w:ind w:firstLine="300"/>
        <w:jc w:val="both"/>
      </w:pPr>
      <w:r w:rsidRPr="006D431D">
        <w:t>Ņemot vērā, ka ne visas esošās biogāzes stacijas atrodas pietiekoši tuvu dabasgāzes pārvades vai sadales sistēmai</w:t>
      </w:r>
      <w:r w:rsidR="00682F82" w:rsidRPr="006D431D">
        <w:t>,</w:t>
      </w:r>
      <w:r w:rsidRPr="006D431D">
        <w:t xml:space="preserve"> lai saražoto biometānu būtu ekonomiski pamatoti ievadīt kādā no tām, kā arī biometāna izmantošanai var izmantot konteinerpārvadājumus vai arī transportēšana ārpus ražotnes var nebūt vajadzīga vispār, šādā gadījumā, atkarībā no izmantošanas mērķa, ir pieļaujama atkāpe no pārvades un sadales sistēm</w:t>
      </w:r>
      <w:r w:rsidR="00682F82" w:rsidRPr="006D431D">
        <w:t>ā</w:t>
      </w:r>
      <w:r w:rsidRPr="006D431D">
        <w:t xml:space="preserve">s ievadāmā biometāna kvalitātes prasībām. Piemēram, ja biometāns tiktu izmantots kā transporta degviela, šādā gadījumā varētu tikt piemērotas </w:t>
      </w:r>
      <w:r w:rsidR="00682F82" w:rsidRPr="006D431D">
        <w:t xml:space="preserve">EN16723-2:2018 </w:t>
      </w:r>
      <w:r w:rsidRPr="006D431D">
        <w:t xml:space="preserve"> noteiktās kvalit</w:t>
      </w:r>
      <w:r w:rsidR="00300CB4" w:rsidRPr="006D431D">
        <w:t>ā</w:t>
      </w:r>
      <w:r w:rsidRPr="006D431D">
        <w:t>tes prasības, tāpat ir ie</w:t>
      </w:r>
      <w:r w:rsidR="00300CB4" w:rsidRPr="006D431D">
        <w:t>s</w:t>
      </w:r>
      <w:r w:rsidRPr="006D431D">
        <w:t xml:space="preserve">pējama neattīrītas biogāzes izmantošana, ja attiecīgā biogāzes lietotāja iekārtas pieļauj gāzes ar metāna saturu 50%-80% izmantošanu. Ņemot vērā dažādos biometāna aprites ārpus </w:t>
      </w:r>
      <w:proofErr w:type="spellStart"/>
      <w:r w:rsidRPr="006D431D">
        <w:t>starpsavienotās</w:t>
      </w:r>
      <w:proofErr w:type="spellEnd"/>
      <w:r w:rsidRPr="006D431D">
        <w:t xml:space="preserve"> pārvades un sadales sistēmas bilances (turpmāk – </w:t>
      </w:r>
      <w:proofErr w:type="spellStart"/>
      <w:r w:rsidRPr="006D431D">
        <w:t>ārpussistēmas</w:t>
      </w:r>
      <w:proofErr w:type="spellEnd"/>
      <w:r w:rsidRPr="006D431D">
        <w:t xml:space="preserve"> aprite) uzskaites, kvalitātes kontroles, uzraudzības utt. jautājumus, kā arī nepieciešamību nodrošināt izcelsmes apliecinājumu izsniedzēju ar uzticamu informāciju par </w:t>
      </w:r>
      <w:proofErr w:type="spellStart"/>
      <w:r w:rsidRPr="006D431D">
        <w:t>ārpussistēmas</w:t>
      </w:r>
      <w:proofErr w:type="spellEnd"/>
      <w:r w:rsidRPr="006D431D">
        <w:t xml:space="preserve"> saražoto </w:t>
      </w:r>
      <w:proofErr w:type="spellStart"/>
      <w:r w:rsidRPr="006D431D">
        <w:t>atjaunīgās</w:t>
      </w:r>
      <w:proofErr w:type="spellEnd"/>
      <w:r w:rsidRPr="006D431D">
        <w:t xml:space="preserve"> enerģijas (biometāna, biogāzes) daudzumu, ar biometāna/biogāzes </w:t>
      </w:r>
      <w:proofErr w:type="spellStart"/>
      <w:r w:rsidRPr="006D431D">
        <w:t>ārpussistēmas</w:t>
      </w:r>
      <w:proofErr w:type="spellEnd"/>
      <w:r w:rsidRPr="006D431D">
        <w:t xml:space="preserve"> apriti un kontroli saistītie jautājumi ir jāiekļauj specifiskos Ministru Kabineta noteikumos, kuros arī noteiktu iesaistīto pušu specifiskos pienākumus, atbildību un uzraudzību.</w:t>
      </w:r>
    </w:p>
    <w:p w14:paraId="73EBD228" w14:textId="2635775B" w:rsidR="00C32B9F" w:rsidRPr="006D431D" w:rsidRDefault="002B39A1">
      <w:pPr>
        <w:pStyle w:val="tvhtml"/>
        <w:shd w:val="clear" w:color="auto" w:fill="FFFFFF" w:themeFill="background1"/>
        <w:spacing w:before="280" w:after="280" w:line="293" w:lineRule="atLeast"/>
        <w:ind w:firstLine="300"/>
        <w:jc w:val="both"/>
      </w:pPr>
      <w:r w:rsidRPr="006D431D">
        <w:t xml:space="preserve">Korektai atjaunojamās enerģijas uzskaitei ir nepieciešams nodrošināt izvairīšanos no dubultās uzskaites, gadījumos, ja enerģijas vienībai, par kuru izsniegts izcelsmes apliecinājums, notiek pāreja no viena enerģijas veida uz citu (elektroenerģija, no atjaunojamiem energoresursiem ražota gāze, siltuma vai aukstuma enerģija). </w:t>
      </w:r>
    </w:p>
    <w:p w14:paraId="16C23419" w14:textId="790A643E" w:rsidR="00300CB4" w:rsidRPr="006D431D" w:rsidRDefault="002B39A1">
      <w:pPr>
        <w:pStyle w:val="tvhtml"/>
        <w:shd w:val="clear" w:color="auto" w:fill="FFFFFF" w:themeFill="background1"/>
        <w:spacing w:before="280" w:after="280" w:line="293" w:lineRule="atLeast"/>
        <w:ind w:firstLine="300"/>
        <w:jc w:val="both"/>
      </w:pPr>
      <w:r w:rsidRPr="006D431D">
        <w:lastRenderedPageBreak/>
        <w:t>Latvijā saražoto biometānu var eksportēt uz citām ES valstīm (gan fiziski (</w:t>
      </w:r>
      <w:proofErr w:type="spellStart"/>
      <w:r w:rsidRPr="006D431D">
        <w:t>bioCNG</w:t>
      </w:r>
      <w:proofErr w:type="spellEnd"/>
      <w:r w:rsidRPr="006D431D">
        <w:t xml:space="preserve">, </w:t>
      </w:r>
      <w:proofErr w:type="spellStart"/>
      <w:r w:rsidRPr="006D431D">
        <w:t>bioLNG</w:t>
      </w:r>
      <w:proofErr w:type="spellEnd"/>
      <w:r w:rsidRPr="006D431D">
        <w:t xml:space="preserve">), gan izmantojot izcelsmes apliecinājumus, balstoties uz </w:t>
      </w:r>
      <w:proofErr w:type="spellStart"/>
      <w:r w:rsidRPr="006D431D">
        <w:t>starpsavienotās</w:t>
      </w:r>
      <w:proofErr w:type="spellEnd"/>
      <w:r w:rsidRPr="006D431D">
        <w:t xml:space="preserve"> sistēmas masas bilanci), tomēr tādā gadījumā biometāns nodrošinās citu valstu, nevis Latvijas atjaunojamās enerģijas mērķu sasniegšanu. </w:t>
      </w:r>
      <w:r w:rsidR="00D60C69" w:rsidRPr="006D431D">
        <w:t>Pietam, izcelsmes apliecinājuma funkcija ir</w:t>
      </w:r>
      <w:r w:rsidR="00AA364A" w:rsidRPr="006D431D">
        <w:t xml:space="preserve"> būt par pierādījumu </w:t>
      </w:r>
      <w:r w:rsidR="00D60C69" w:rsidRPr="006D431D">
        <w:t>galalietotājam, ka enerģija saražota no atjaunojamiem energoresursiem (atbilstoši 2018. gada 11. decembra Eiropas Parlamenta un Padomes direktīvas Nr. 2018/2001 par no atjaunojamajiem energoresursiem iegūtas enerģijas izmantošanas veicināšanu (turpmāk – RED II), 19.pantam) taču, lai biometānu, kam izsniegts izcelsmes apliecinājums ieskaitītu nacionālajos mērķos, tostarp, transporta sektora mērķu sasniegšanā, to izmantojot kā degvielu, biometānam nepieciešama atbilstība ilgtspējas nosacījumiem, kas ietverti REDII 29.pantā. Izcelsmes apliecinājums bez ilgtspēju apliecinoša dokumenta (atbilstoši REDII 29.pantā izklāstītajam) ir tirgus dalībniekiem komerciāli mazvērtīgs un kalpo tikai kā informācija galalietotājam, taču tas nenodrošina dekarbonizācijas mērķu sasniegšanu.</w:t>
      </w:r>
    </w:p>
    <w:p w14:paraId="38EA3C12" w14:textId="22065B82" w:rsidR="00C32B9F" w:rsidRPr="006D431D" w:rsidRDefault="002B39A1">
      <w:pPr>
        <w:pStyle w:val="tvhtml"/>
        <w:shd w:val="clear" w:color="auto" w:fill="FFFFFF" w:themeFill="background1"/>
        <w:spacing w:before="280" w:after="280" w:line="293" w:lineRule="atLeast"/>
        <w:ind w:firstLine="300"/>
        <w:jc w:val="both"/>
      </w:pPr>
      <w:r w:rsidRPr="006D431D">
        <w:t xml:space="preserve">Jāņem vērā, ka citas valstis var izveidot sistēmas, kas apgrūtina ne savā valstī ražota biometāna ieskaitīšanu savos transporta mērķos un līdz ar to motivāciju eksportēt. Izcelsmes apliecinājumu sistēma nākotnē jāattiecina arī uz ūdeņradi, ko iegūst no atjaunojamiem resursiem (ar atjaunojamiem energoresursiem iegūta elektroenerģija, vai arī biometāns). </w:t>
      </w:r>
    </w:p>
    <w:p w14:paraId="21484CB4" w14:textId="77777777" w:rsidR="00C32B9F" w:rsidRPr="006D431D" w:rsidRDefault="002B39A1">
      <w:pPr>
        <w:pStyle w:val="tvhtml"/>
        <w:shd w:val="clear" w:color="auto" w:fill="FFFFFF"/>
        <w:spacing w:before="280" w:after="280" w:line="293" w:lineRule="atLeast"/>
        <w:ind w:firstLine="300"/>
        <w:jc w:val="both"/>
      </w:pPr>
      <w:r w:rsidRPr="006D431D">
        <w:rPr>
          <w:b/>
          <w:bCs/>
          <w:iCs/>
        </w:rPr>
        <w:t>Šajā informatīvajā  ziņojumā ir apskatīti biometāna atbalsta mehānismi un to iespējamās kombinācijas, kā arī nepieciešamās izmaiņas normatīvajā regulējumā, lai iespējami efektīvā veidā sasniegtu NEKP mērķus un virzītos uz klimata neitralitātes sasniegšanu.</w:t>
      </w:r>
      <w:r w:rsidRPr="006D431D">
        <w:rPr>
          <w:iCs/>
        </w:rPr>
        <w:t xml:space="preserve"> Būtiski ir, lai izvēlētā atbalsta sistēma neradītu pārliecīgu slogu patērētājiem, lai tā būtu taisnīga – par transporta mērķiem maksā transporta izmantotājs,  lai politika būtu ilgtspējīga, proti – komersanti varētu rēķināties, ka nenotiks straujas politikas izmaiņas.</w:t>
      </w:r>
    </w:p>
    <w:p w14:paraId="6DB368C9" w14:textId="77777777" w:rsidR="00C32B9F" w:rsidRPr="006D431D" w:rsidRDefault="002B39A1">
      <w:pPr>
        <w:pStyle w:val="tvhtml"/>
        <w:shd w:val="clear" w:color="auto" w:fill="FFFFFF" w:themeFill="background1"/>
        <w:spacing w:before="280" w:after="280" w:line="293" w:lineRule="atLeast"/>
        <w:ind w:firstLine="300"/>
        <w:jc w:val="both"/>
      </w:pPr>
      <w:r w:rsidRPr="006D431D">
        <w:t xml:space="preserve">Transporta enerģijas likuma projekts (turpmāk -TEL), kura izstrāde un virzība notiek paralēli šim ziņojumam,  paredz pienākumu degvielas tirgotājiem nodrošināt AER īpatsvaru gala patēriņā (turpmāk -pienākuma shēma). Šādai pieejai vajadzētu nodrošināt izmaksu ziņā efektīvāko ceļu uz AER mērķa sasniegšanu. Tomēr situācija, kad tirgū nav piemērotu  transportlīdzekļu, kas darbināmi ar saspiesto dabasgāzi un kuros var izmantot biometānu, rada šķēršļus. Tāpat arī sākotnēji pienākuma shēmas prasības aptvertajam enerģijas gala patēriņam būs nelielas, kas dos nepietiekamu stimulu biometāna ražošanas attīstībai. Pienākumu shēmas prasības, atbilstoši NEKP mērķiem, pakāpeniski palielināsies. Nosacījumus moderno biodegvielu un modernās biogāzes gala patēriņam var sasniegt arī ar šķidrajām otrās paaudzes biodegvielām. Šķidro otrās paaudzes biodegvielu gadījumā speciāli aprīkoti transportlīdzekļi nebūtu nepieciešami un varētu izmantot piejaukumus dīzeļdegvielai un benzīnam. Tomēr ņemot vērā, ka šīs modernās šķidrās biodegvielas tirgū šobrīd kopumā ir nelielā apmērā, šāda pieeja vien varētu sadārdzināt kopējā AER īpatsvara līmeņa sasniegšanu. </w:t>
      </w:r>
    </w:p>
    <w:p w14:paraId="16C7C73B" w14:textId="38EF24D9" w:rsidR="00C32B9F" w:rsidRPr="006D431D" w:rsidRDefault="002B39A1">
      <w:pPr>
        <w:pStyle w:val="tvhtml"/>
        <w:shd w:val="clear" w:color="auto" w:fill="FFFFFF"/>
        <w:spacing w:before="280" w:after="280" w:line="293" w:lineRule="atLeast"/>
        <w:ind w:firstLine="300"/>
        <w:jc w:val="both"/>
      </w:pPr>
      <w:r w:rsidRPr="006D431D">
        <w:rPr>
          <w:b/>
          <w:bCs/>
        </w:rPr>
        <w:t xml:space="preserve">Informatīvajā ziņojumā apskatīti un analizēti dažādi biometāna ražošanas un </w:t>
      </w:r>
      <w:r w:rsidR="00926CD7" w:rsidRPr="006D431D">
        <w:rPr>
          <w:b/>
          <w:bCs/>
        </w:rPr>
        <w:t xml:space="preserve">izmantošanas veicināšanas </w:t>
      </w:r>
      <w:r w:rsidRPr="006D431D">
        <w:rPr>
          <w:b/>
          <w:bCs/>
        </w:rPr>
        <w:t>pasākumi, ņemot vērā citu valstu pieredzi, no kuriem izvēlēti sekojošie:</w:t>
      </w:r>
      <w:r w:rsidRPr="006D431D">
        <w:rPr>
          <w:b/>
          <w:bCs/>
          <w:iCs/>
        </w:rPr>
        <w:t xml:space="preserve"> </w:t>
      </w:r>
    </w:p>
    <w:p w14:paraId="0932DE9B" w14:textId="7D66471F" w:rsidR="00C32B9F" w:rsidRPr="006D431D" w:rsidRDefault="00C279A0" w:rsidP="00C279A0">
      <w:pPr>
        <w:pStyle w:val="tvhtml"/>
        <w:shd w:val="clear" w:color="auto" w:fill="FFFFFF"/>
        <w:spacing w:before="280" w:after="280" w:line="293" w:lineRule="atLeast"/>
        <w:ind w:firstLine="300"/>
        <w:jc w:val="both"/>
      </w:pPr>
      <w:r>
        <w:rPr>
          <w:b/>
          <w:bCs/>
        </w:rPr>
        <w:lastRenderedPageBreak/>
        <w:t xml:space="preserve">1) </w:t>
      </w:r>
      <w:r w:rsidR="002B39A1" w:rsidRPr="006D431D">
        <w:rPr>
          <w:b/>
          <w:bCs/>
        </w:rPr>
        <w:t>Investīciju atbalsts biometāna ražošanai</w:t>
      </w:r>
      <w:r w:rsidR="002B39A1" w:rsidRPr="006D431D">
        <w:t xml:space="preserve"> (jeb biogāzes attīrīšanai), tai skaitā kompresoru iegādei biometāna ievadīšanai dabasgāzes sadales vai pārvades tīklos un transportēšanai, no nākamā perioda ES fondu programmas. Šobrīd šādam investīciju atbalstam ir paredzēts finansējuma apmērs 21 750 000 </w:t>
      </w:r>
      <w:r w:rsidR="002B39A1" w:rsidRPr="006D431D">
        <w:rPr>
          <w:i/>
          <w:iCs/>
        </w:rPr>
        <w:t>e</w:t>
      </w:r>
      <w:r w:rsidR="005A4D8B" w:rsidRPr="006D431D">
        <w:rPr>
          <w:i/>
          <w:iCs/>
        </w:rPr>
        <w:t>i</w:t>
      </w:r>
      <w:r w:rsidR="002B39A1" w:rsidRPr="006D431D">
        <w:rPr>
          <w:i/>
          <w:iCs/>
        </w:rPr>
        <w:t>ro.</w:t>
      </w:r>
      <w:r w:rsidR="002B39A1" w:rsidRPr="006D431D">
        <w:t xml:space="preserve">  </w:t>
      </w:r>
      <w:r w:rsidR="008723CE" w:rsidRPr="006D431D">
        <w:t>Jāņem vērā arī tas apstāklis, ka Eiropas Komisijas 2022. gada 8. martā ir nākusi klajā ar paziņojumu “</w:t>
      </w:r>
      <w:proofErr w:type="spellStart"/>
      <w:r w:rsidR="008723CE" w:rsidRPr="006D431D">
        <w:rPr>
          <w:i/>
        </w:rPr>
        <w:t>REPowerEU</w:t>
      </w:r>
      <w:proofErr w:type="spellEnd"/>
      <w:r w:rsidR="008723CE" w:rsidRPr="006D431D">
        <w:rPr>
          <w:i/>
        </w:rPr>
        <w:t>: Vienota Eiropas rīcība cenas ziņā pieejamākai, drošākai un ilgtspējīgākai enerģijai</w:t>
      </w:r>
      <w:r w:rsidR="008723CE" w:rsidRPr="006D431D">
        <w:t>”, kurā ir arī atsauce uz biometāna ražošanas dubultošanu līdz 2030.g., kas var nozīmēt papildus finansējuma piešķiršanu minētā mērķa sasniegšanai.</w:t>
      </w:r>
    </w:p>
    <w:p w14:paraId="71177901" w14:textId="77777777" w:rsidR="00F912E5" w:rsidRDefault="00B03922" w:rsidP="00F912E5">
      <w:pPr>
        <w:pStyle w:val="tvhtml"/>
        <w:shd w:val="clear" w:color="auto" w:fill="FFFFFF"/>
        <w:spacing w:before="280" w:after="280" w:line="293" w:lineRule="atLeast"/>
        <w:ind w:firstLine="300"/>
        <w:jc w:val="both"/>
      </w:pPr>
      <w:r>
        <w:t>“</w:t>
      </w:r>
      <w:r w:rsidR="005937DA" w:rsidRPr="00C279A0">
        <w:t>Papildus minētajam 2021.</w:t>
      </w:r>
      <w:r w:rsidR="005937DA" w:rsidRPr="006D431D">
        <w:t xml:space="preserve"> gada 30. novembrī Ministru Kabinets ir pieņēmis Noteikumus Nr. 776 “</w:t>
      </w:r>
      <w:r w:rsidR="005937DA" w:rsidRPr="00B03922">
        <w:t>V</w:t>
      </w:r>
      <w:r w:rsidR="005937DA" w:rsidRPr="00B03922">
        <w:rPr>
          <w:shd w:val="clear" w:color="auto" w:fill="FFFFFF"/>
        </w:rPr>
        <w:t>alsts un Eiropas Savienības atbalsta piešķiršanas kārtība atklātu projektu konkursa veidā pasākumā "Ieguldījumi materiālajos aktīvos" 2014.–2020. gada plānošanas perioda pārejas laikā 2021. un 2022. gadā</w:t>
      </w:r>
      <w:r w:rsidR="005937DA" w:rsidRPr="00B03922">
        <w:t xml:space="preserve">, </w:t>
      </w:r>
      <w:r w:rsidR="005937DA" w:rsidRPr="006D431D">
        <w:t>kuros ir atrunāta finansiāla atbalsta piešķiršana lauksaimniecības un mežsaimniecības tehnikai pārejai no fosilās degvielas uz dzinējiem, kas darbojās ar biometānu. Šīs programmas ietvaros ir atļauta plaša mēroga tehnikas pārbūve, nosakot atbalsta intensitāti līdz 50% no attiecināmajām izmaksām.</w:t>
      </w:r>
    </w:p>
    <w:p w14:paraId="7F928E50" w14:textId="60754C92" w:rsidR="00C32B9F" w:rsidRPr="006D431D" w:rsidRDefault="00F912E5" w:rsidP="00F912E5">
      <w:pPr>
        <w:pStyle w:val="tvhtml"/>
        <w:shd w:val="clear" w:color="auto" w:fill="FFFFFF"/>
        <w:spacing w:before="280" w:after="280" w:line="293" w:lineRule="atLeast"/>
        <w:ind w:firstLine="300"/>
        <w:jc w:val="both"/>
      </w:pPr>
      <w:r w:rsidRPr="00F912E5">
        <w:rPr>
          <w:b/>
          <w:bCs/>
        </w:rPr>
        <w:t>2</w:t>
      </w:r>
      <w:r w:rsidR="002B39A1" w:rsidRPr="00F912E5">
        <w:rPr>
          <w:b/>
          <w:bCs/>
        </w:rPr>
        <w:t>)</w:t>
      </w:r>
      <w:r w:rsidR="002B39A1" w:rsidRPr="006D431D">
        <w:t xml:space="preserve"> </w:t>
      </w:r>
      <w:r w:rsidR="002B39A1" w:rsidRPr="006D431D">
        <w:rPr>
          <w:b/>
          <w:bCs/>
        </w:rPr>
        <w:t>Moderno biodegvielu un biometāna pienākumu shēma un siltumnīcefekta gāzu samazināšanas pienākums degvielas tirgotājiem.</w:t>
      </w:r>
      <w:r w:rsidR="002B39A1" w:rsidRPr="006D431D">
        <w:t xml:space="preserve"> TEL projekts nosaka modernās biodegvielas (biometāna un modernās šķidrās biodegvielas mērķus) atbilstoši NEKP mērķiem. Tāpat arī TEL likumprojekts paredz nodrošināt transporta enerģijas, izņemot elektroenerģijas, aprites cikla siltumnīcefekta gāzu (</w:t>
      </w:r>
      <w:r w:rsidR="006F3E3A">
        <w:t xml:space="preserve">turpmāk - </w:t>
      </w:r>
      <w:r w:rsidR="002B39A1" w:rsidRPr="006D431D">
        <w:t xml:space="preserve">SEG) emisiju intensitātes (SEG emisijas uz vienu enerģijas vienību) samazinājumu vismaz par 6 % attiecībā pret degvielas pamatstandartu 2010. gadā, šī nosacījuma nodrošināšanai arī ir iespējams izmantot biometānu, pie tam arī biometānu, kas neatbilst modernā biometāna nosacījumiem. Vienlaikus TEL pašreizējās redakcijas pārejas noteikumi paredz, ka: Ministru kabinets laika posmā no 2023. gada 1. janvāra līdz 2023. gada 1. maijam atkārtoti izvērtē likumā noteiktos līdzdalības mehānisma ietvaros degvielas piegādātājiem noteiktos pienākumus un, ja nepieciešams tos mainīt, līdz 2023. gada 31. augustam iesniedz likumdevēja noteiktajā kārtībā attiecīgus grozījumus. Ņemot vērā minētos termiņus, jauni augstāki moderno biodegvielu un biometāna mērķi varētu stāties spēkā ne ātrāk par 2025. gadu. </w:t>
      </w:r>
    </w:p>
    <w:p w14:paraId="52D076CE" w14:textId="4AB64BB0" w:rsidR="000357B6" w:rsidRPr="006D431D" w:rsidRDefault="002B39A1" w:rsidP="005772E3">
      <w:pPr>
        <w:ind w:firstLine="300"/>
        <w:jc w:val="both"/>
        <w:rPr>
          <w:rFonts w:ascii="Times New Roman" w:hAnsi="Times New Roman" w:cs="Times New Roman"/>
          <w:sz w:val="24"/>
          <w:szCs w:val="24"/>
        </w:rPr>
      </w:pPr>
      <w:r w:rsidRPr="006D431D">
        <w:rPr>
          <w:rFonts w:ascii="Times New Roman" w:hAnsi="Times New Roman" w:cs="Times New Roman"/>
          <w:sz w:val="24"/>
          <w:szCs w:val="24"/>
        </w:rPr>
        <w:t xml:space="preserve">3) </w:t>
      </w:r>
      <w:r w:rsidRPr="006D431D">
        <w:rPr>
          <w:rFonts w:ascii="Times New Roman" w:hAnsi="Times New Roman" w:cs="Times New Roman"/>
          <w:b/>
          <w:bCs/>
          <w:sz w:val="24"/>
          <w:szCs w:val="24"/>
        </w:rPr>
        <w:t>Nodokļu politika.</w:t>
      </w:r>
      <w:r w:rsidRPr="006D431D">
        <w:rPr>
          <w:rFonts w:ascii="Times New Roman" w:hAnsi="Times New Roman" w:cs="Times New Roman"/>
          <w:sz w:val="24"/>
          <w:szCs w:val="24"/>
        </w:rPr>
        <w:t xml:space="preserve"> </w:t>
      </w:r>
      <w:r w:rsidR="000357B6" w:rsidRPr="006D431D">
        <w:rPr>
          <w:rFonts w:ascii="Times New Roman" w:hAnsi="Times New Roman" w:cs="Times New Roman"/>
          <w:sz w:val="24"/>
          <w:szCs w:val="24"/>
        </w:rPr>
        <w:t>Izmantojot nodokļu politiku – piemērojot zemāku akcīzes nodokļa likmi, iespējams palielināt ilgtspējīga un moderna biometāna izdevīgumu attiecībā pret dabasgāzi.</w:t>
      </w:r>
      <w:r w:rsidR="00305B77">
        <w:rPr>
          <w:rFonts w:ascii="Times New Roman" w:hAnsi="Times New Roman" w:cs="Times New Roman"/>
          <w:sz w:val="24"/>
          <w:szCs w:val="24"/>
        </w:rPr>
        <w:t xml:space="preserve"> Tomēr nodokļu politikā </w:t>
      </w:r>
      <w:r w:rsidR="0048480F">
        <w:rPr>
          <w:rFonts w:ascii="Times New Roman" w:hAnsi="Times New Roman" w:cs="Times New Roman"/>
          <w:sz w:val="24"/>
          <w:szCs w:val="24"/>
        </w:rPr>
        <w:t>ir jāņem vērā ES regulējums.</w:t>
      </w:r>
    </w:p>
    <w:p w14:paraId="74E8C8BE" w14:textId="77777777" w:rsidR="00C32B9F" w:rsidRPr="006D431D" w:rsidRDefault="002B39A1">
      <w:pPr>
        <w:pStyle w:val="tvhtml"/>
        <w:shd w:val="clear" w:color="auto" w:fill="FFFFFF"/>
        <w:spacing w:before="280" w:after="280" w:line="293" w:lineRule="atLeast"/>
        <w:ind w:firstLine="300"/>
        <w:jc w:val="both"/>
      </w:pPr>
      <w:r w:rsidRPr="006D431D">
        <w:t xml:space="preserve">4) </w:t>
      </w:r>
      <w:r w:rsidRPr="006D431D">
        <w:rPr>
          <w:b/>
          <w:bCs/>
        </w:rPr>
        <w:t>Investīciju atbalsts biometāna uzpildes iekārtām.</w:t>
      </w:r>
      <w:r w:rsidRPr="006D431D">
        <w:t xml:space="preserve"> Šāds investīciju atbalsts tika izmantots Igaunijā. Tomēr, ja citi atbalsta pasākumi nodrošina pietiekamu patēriņa apjomu, šāds investīciju atbalsts varētu nebūt nepieciešams un komersanti paši ir gatavi nodrošināt publisko uzpildes staciju izveidi. Investīciju atbalsts komersantu uzpildes iekārtām (piemēram, autobusu parkiem) izvērtējams, nosakot atbalstāmās darbības investīciju programmām. </w:t>
      </w:r>
    </w:p>
    <w:p w14:paraId="216A2799" w14:textId="04869339" w:rsidR="00C32B9F" w:rsidRPr="006D431D" w:rsidRDefault="002B39A1">
      <w:pPr>
        <w:pStyle w:val="tvhtml"/>
        <w:shd w:val="clear" w:color="auto" w:fill="FFFFFF"/>
        <w:spacing w:before="280" w:after="280" w:line="293" w:lineRule="atLeast"/>
        <w:ind w:firstLine="300"/>
        <w:jc w:val="both"/>
      </w:pPr>
      <w:r w:rsidRPr="006D431D">
        <w:rPr>
          <w:b/>
          <w:bCs/>
        </w:rPr>
        <w:t xml:space="preserve">5) Izcelsmes apliecinājumu sistēmas izveide. </w:t>
      </w:r>
      <w:r w:rsidRPr="006D431D">
        <w:t xml:space="preserve">Izcelsmes apliecinājumi ļaus biometānu eksportēt uz citām ES valstīm (tomēr ņemot vērā riskus, ko nosaka šo valstu politika, nosakot </w:t>
      </w:r>
      <w:r w:rsidRPr="006D431D">
        <w:lastRenderedPageBreak/>
        <w:t xml:space="preserve">prasības transporta enerģijas mērķī ieskaitāmajai degvielai), kā arī plašāku biometāna izmantošanu ETS sistēmā. </w:t>
      </w:r>
    </w:p>
    <w:p w14:paraId="39CA9BD1" w14:textId="536A0D95" w:rsidR="00983528" w:rsidRPr="006D431D" w:rsidRDefault="002E512D" w:rsidP="001C7593">
      <w:pPr>
        <w:pStyle w:val="tvhtml"/>
        <w:shd w:val="clear" w:color="auto" w:fill="FFFFFF"/>
        <w:spacing w:before="280" w:after="280" w:line="293" w:lineRule="atLeast"/>
        <w:ind w:firstLine="300"/>
        <w:jc w:val="both"/>
      </w:pPr>
      <w:r w:rsidRPr="006D431D">
        <w:rPr>
          <w:b/>
          <w:bCs/>
        </w:rPr>
        <w:t xml:space="preserve">6) </w:t>
      </w:r>
      <w:r w:rsidR="003E5987" w:rsidRPr="006D431D">
        <w:rPr>
          <w:b/>
          <w:bCs/>
        </w:rPr>
        <w:t xml:space="preserve">Biometāna mērķis enerģētikas sektorā un </w:t>
      </w:r>
      <w:r w:rsidR="001F37AA" w:rsidRPr="006D431D">
        <w:rPr>
          <w:b/>
          <w:bCs/>
        </w:rPr>
        <w:t>dabas gāzes tirgotāju pienākums nodrošināt noteiktu biometāna īpatsvaru</w:t>
      </w:r>
      <w:r w:rsidR="00746430" w:rsidRPr="006D431D">
        <w:rPr>
          <w:b/>
          <w:bCs/>
        </w:rPr>
        <w:t xml:space="preserve"> dabas gāzes patēriņā. </w:t>
      </w:r>
      <w:r w:rsidR="00E25715" w:rsidRPr="006D431D">
        <w:t xml:space="preserve">Indikatīvais </w:t>
      </w:r>
      <w:r w:rsidR="001C7593" w:rsidRPr="006D431D">
        <w:t>mērķis ir - noteikt atjaunojamās gāzes īpatsvaru patēriņā vismaz 10% enerģijas satura apjomā līdz 2030. gadam</w:t>
      </w:r>
      <w:r w:rsidR="00416C9C" w:rsidRPr="006D431D">
        <w:t>, l</w:t>
      </w:r>
      <w:r w:rsidR="001C7593" w:rsidRPr="006D431D">
        <w:t>īdz 2030. gadam siltumnīcas efektu izraisošo emisiju intensitātes samazināšana 15% apjomā, attiecībā uz gāzes patēriņu, salīdzinājumā ar 2018. gada līmeni</w:t>
      </w:r>
      <w:r w:rsidR="00416C9C" w:rsidRPr="006D431D">
        <w:t xml:space="preserve">. Mērķis ir </w:t>
      </w:r>
      <w:r w:rsidR="00DC26CC" w:rsidRPr="006D431D">
        <w:t xml:space="preserve">detalizētāk jāizvērtē no resursu pieejamības viedokļa, tāpēc </w:t>
      </w:r>
      <w:r w:rsidR="00DF4D9D" w:rsidRPr="006D431D">
        <w:t xml:space="preserve">saistošs mērķis tiks noteikts </w:t>
      </w:r>
      <w:r w:rsidR="00F90C48" w:rsidRPr="006D431D">
        <w:t xml:space="preserve">atjaunotajā Nacionālajā Enerģētikas un klimata plānā 2023. </w:t>
      </w:r>
      <w:r w:rsidR="00B246D4" w:rsidRPr="006D431D">
        <w:t>Grozījumos Enerģētikas likumā tiks noteikt</w:t>
      </w:r>
      <w:r w:rsidR="000924BD" w:rsidRPr="006D431D">
        <w:t>a</w:t>
      </w:r>
      <w:r w:rsidR="00B246D4" w:rsidRPr="006D431D">
        <w:t xml:space="preserve"> </w:t>
      </w:r>
      <w:r w:rsidR="000924BD" w:rsidRPr="006D431D">
        <w:t xml:space="preserve">kvotu sistēmu, kas paredzētu dabasgāzes tirgotājiem nodrošināt zināmu daudzumu biometāna, kas būtu proporcionāls tirgotās dabasgāzes apjomam un nodrošinātu </w:t>
      </w:r>
      <w:r w:rsidR="00742FA7" w:rsidRPr="006D431D">
        <w:t xml:space="preserve">precizētā NEKP mērķu </w:t>
      </w:r>
      <w:r w:rsidR="00915B01" w:rsidRPr="006D431D">
        <w:t xml:space="preserve">sasniegšanu. Ikgadējie mērķi ir jāsabalansē ar tehniski pieejamo biometāna apjomu. </w:t>
      </w:r>
    </w:p>
    <w:p w14:paraId="76579E1E" w14:textId="77777777" w:rsidR="00C32B9F" w:rsidRPr="006D431D" w:rsidRDefault="002B39A1" w:rsidP="00141E48">
      <w:pPr>
        <w:pStyle w:val="Heading1"/>
        <w:jc w:val="center"/>
        <w:rPr>
          <w:rFonts w:ascii="Times New Roman" w:hAnsi="Times New Roman" w:cs="Times New Roman"/>
          <w:b/>
          <w:bCs/>
          <w:color w:val="auto"/>
          <w:sz w:val="24"/>
          <w:szCs w:val="24"/>
        </w:rPr>
      </w:pPr>
      <w:bookmarkStart w:id="2" w:name="_Toc101605172"/>
      <w:r w:rsidRPr="006D431D">
        <w:rPr>
          <w:rFonts w:ascii="Times New Roman" w:hAnsi="Times New Roman" w:cs="Times New Roman"/>
          <w:b/>
          <w:bCs/>
          <w:color w:val="auto"/>
          <w:sz w:val="24"/>
          <w:szCs w:val="24"/>
        </w:rPr>
        <w:t>II. Problēmas vai situācijas apraksts</w:t>
      </w:r>
      <w:bookmarkEnd w:id="2"/>
    </w:p>
    <w:p w14:paraId="1A59D2F9" w14:textId="77777777" w:rsidR="00C32B9F" w:rsidRPr="006D431D" w:rsidRDefault="002B39A1" w:rsidP="0048480F">
      <w:pPr>
        <w:pStyle w:val="Heading2"/>
        <w:ind w:firstLine="300"/>
        <w:rPr>
          <w:rFonts w:ascii="Times New Roman" w:hAnsi="Times New Roman" w:cs="Times New Roman"/>
          <w:color w:val="auto"/>
          <w:sz w:val="24"/>
          <w:szCs w:val="24"/>
        </w:rPr>
      </w:pPr>
      <w:bookmarkStart w:id="3" w:name="_Toc101605173"/>
      <w:r w:rsidRPr="006D431D">
        <w:rPr>
          <w:rFonts w:ascii="Times New Roman" w:hAnsi="Times New Roman" w:cs="Times New Roman"/>
          <w:color w:val="auto"/>
          <w:sz w:val="24"/>
          <w:szCs w:val="24"/>
        </w:rPr>
        <w:t>2.1. Elektroenerģijas atbalsta sistēma Latvijā un ar to saistītās problēmas</w:t>
      </w:r>
      <w:bookmarkEnd w:id="3"/>
      <w:r w:rsidRPr="006D431D">
        <w:rPr>
          <w:rFonts w:ascii="Times New Roman" w:hAnsi="Times New Roman" w:cs="Times New Roman"/>
          <w:color w:val="auto"/>
          <w:sz w:val="24"/>
          <w:szCs w:val="24"/>
        </w:rPr>
        <w:t xml:space="preserve"> </w:t>
      </w:r>
    </w:p>
    <w:p w14:paraId="02FF5308" w14:textId="457D3F5C" w:rsidR="00C32B9F" w:rsidRPr="006D431D" w:rsidRDefault="00737E4A">
      <w:pPr>
        <w:pStyle w:val="tvhtml"/>
        <w:shd w:val="clear" w:color="auto" w:fill="FFFFFF" w:themeFill="background1"/>
        <w:spacing w:before="280" w:after="280" w:line="293" w:lineRule="atLeast"/>
        <w:ind w:firstLine="300"/>
        <w:jc w:val="both"/>
      </w:pPr>
      <w:r>
        <w:t xml:space="preserve">Biogāzes staciju skaits, kas </w:t>
      </w:r>
      <w:r w:rsidR="00900BF6">
        <w:t>var pretendēt uz valsts atbalstu elektroenerģijas jomā pastāvīgi samazinās</w:t>
      </w:r>
      <w:r w:rsidR="002B39A1" w:rsidRPr="006D431D">
        <w:t xml:space="preserve">. Pārsvarā biogāzes koģenerācijas staciju uzstādītā elektriskā jauda ir 0,5 - 2 MW robežās un biogāzes staciju izvietojums labi korelē ar lielo zemnieku saimniecību atrašanās vietām, tomēr vislielākā biogāzes stacija Latvijā ir izvietota atkritumu poligonā un tās uzstādītā elektriskā jauda ir 6,3 MW. No biogāzes saražoto elektroenerģiju valstī noteiktā kārtībā iepērk AS "Enerģijas publiskais tirgotājs" (turpmāk – publiskais tirgotājs), veicot tās tālāku tirdzniecību  elektroenerģijas biržā par Nord </w:t>
      </w:r>
      <w:proofErr w:type="spellStart"/>
      <w:r w:rsidR="002B39A1" w:rsidRPr="006D431D">
        <w:t>Pool</w:t>
      </w:r>
      <w:proofErr w:type="spellEnd"/>
      <w:r w:rsidR="002B39A1" w:rsidRPr="006D431D">
        <w:t xml:space="preserve"> Latvijas tirdzniecības apgabala stundas cenām. 2019. gadā biogāzes sektorā obligātā iepirkuma ietvaros virs kompensācijās tika izmaksāti vairāk kā 40 milj. </w:t>
      </w:r>
      <w:proofErr w:type="spellStart"/>
      <w:r w:rsidR="002B39A1" w:rsidRPr="006D431D">
        <w:rPr>
          <w:i/>
          <w:iCs/>
        </w:rPr>
        <w:t>euro</w:t>
      </w:r>
      <w:proofErr w:type="spellEnd"/>
      <w:r w:rsidR="002B39A1" w:rsidRPr="006D431D">
        <w:t xml:space="preserve">, kurus daļēji sedz elektroenerģijas patērētāji  maksājot </w:t>
      </w:r>
      <w:r w:rsidR="00A85241">
        <w:t xml:space="preserve">obligātā iepirkuma komponenti (turpmāk – </w:t>
      </w:r>
      <w:r w:rsidR="002B39A1" w:rsidRPr="006D431D">
        <w:t>OIK</w:t>
      </w:r>
      <w:r w:rsidR="00A85241">
        <w:t>)</w:t>
      </w:r>
      <w:r w:rsidR="002B39A1" w:rsidRPr="006D431D">
        <w:t xml:space="preserve">, daļēji valsts budžets. Ņemot vērā paaugstināto elektroenerģijas izmaksu negatīvo ekonomisko un sociālo ietekmi, šīs subsīdijas </w:t>
      </w:r>
      <w:r w:rsidR="0032229B">
        <w:t>tiek pakāpeniski atceltas</w:t>
      </w:r>
      <w:r w:rsidR="002B39A1" w:rsidRPr="006D431D">
        <w:t>. Biogāzes ražošana un izmantošana elektroenerģijas ražošanā bez atbalsta pasākumiem nav ekonomiski pamatota</w:t>
      </w:r>
      <w:r w:rsidR="002B39A1" w:rsidRPr="006D431D">
        <w:rPr>
          <w:rStyle w:val="FootnoteAnchor"/>
        </w:rPr>
        <w:footnoteReference w:id="5"/>
      </w:r>
      <w:r w:rsidR="002B39A1" w:rsidRPr="006D431D">
        <w:t xml:space="preserve">. Tāpēc pastāv risks, ka šīs iekārtas pēc atbalsta perioda beigām tiktu slēgtas, pieaugtu SEG emisijas un rastos problēmas īstenot ES nosacījumus atkritumu apsaimniekošanas jomā. Atkritumu jomā pastāv iespēja biogāzes ražošanu subsidēt citādi –papildu izmaksas apmaksā atkritumu ražotājs, </w:t>
      </w:r>
      <w:r w:rsidR="002B39A1" w:rsidRPr="006D431D">
        <w:rPr>
          <w:rStyle w:val="FootnoteAnchor"/>
        </w:rPr>
        <w:footnoteReference w:id="6"/>
      </w:r>
      <w:r w:rsidR="002B39A1" w:rsidRPr="006D431D">
        <w:t xml:space="preserve">subsidējot biogāzes ražošanu no ieņēmumiem par atkritumiem. Ātrāka pāreja uz biometāna ražošanu, pirms vēl beidzies OIK saņemšanas termiņš, varētu samazināt OIK maksājumus elektroenerģijas lietotājiem. </w:t>
      </w:r>
    </w:p>
    <w:p w14:paraId="182112B4" w14:textId="0D5DE30B" w:rsidR="00C32B9F" w:rsidRDefault="002B39A1" w:rsidP="008D1A24">
      <w:pPr>
        <w:pStyle w:val="Heading2"/>
        <w:ind w:firstLine="300"/>
        <w:rPr>
          <w:rFonts w:ascii="Times New Roman" w:hAnsi="Times New Roman" w:cs="Times New Roman"/>
          <w:color w:val="auto"/>
          <w:sz w:val="24"/>
          <w:szCs w:val="24"/>
        </w:rPr>
      </w:pPr>
      <w:bookmarkStart w:id="4" w:name="_Toc101605174"/>
      <w:r w:rsidRPr="006D431D">
        <w:rPr>
          <w:rFonts w:ascii="Times New Roman" w:hAnsi="Times New Roman" w:cs="Times New Roman"/>
          <w:color w:val="auto"/>
          <w:sz w:val="24"/>
          <w:szCs w:val="24"/>
        </w:rPr>
        <w:t>2.2. Biogāzes staciju attīstības dinamika un potenciāls, biometāna ražošanas iespējas</w:t>
      </w:r>
      <w:bookmarkEnd w:id="4"/>
    </w:p>
    <w:p w14:paraId="65DBD15E" w14:textId="77777777" w:rsidR="008D1A24" w:rsidRPr="008D1A24" w:rsidRDefault="008D1A24" w:rsidP="008D1A24"/>
    <w:p w14:paraId="47D75118" w14:textId="77777777" w:rsidR="00C32B9F" w:rsidRPr="006D431D" w:rsidRDefault="002B39A1">
      <w:pPr>
        <w:ind w:firstLine="360"/>
        <w:jc w:val="both"/>
        <w:rPr>
          <w:rFonts w:ascii="Times New Roman" w:hAnsi="Times New Roman" w:cs="Times New Roman"/>
          <w:sz w:val="24"/>
          <w:szCs w:val="24"/>
        </w:rPr>
      </w:pPr>
      <w:r w:rsidRPr="006D431D">
        <w:rPr>
          <w:rFonts w:ascii="Times New Roman" w:hAnsi="Times New Roman" w:cs="Times New Roman"/>
          <w:sz w:val="24"/>
          <w:szCs w:val="24"/>
        </w:rPr>
        <w:lastRenderedPageBreak/>
        <w:t>Biogāzes iekārtu būvniecība sadzīves atkritumu poligonos un notekūdeņu attīrīšanas iekārtās lielākā apjomā ir uzsākusies 1999. gadā un 2002. gadā uzceltajās iekārtās sāk ražot arī elektroenerģiju.  Izveidojot atbalsta mehānismus 2007. un 2009. gadā, biogāzes attīstība norit straujāk un biogāzes stacijas sāk celt lauksaimniecības atkritumu un biomasas pārstrādei. Taču, ņemot vērā nepieciešamību ierobežot OIK negatīvo ietekmi uz tautsaimniecību un ieviešot dažādus ierobežojumus, tai skaitā, 2012. gadā vispār apturot jaunu ražošanas atļauju izsniegšanu, būvniecības apjomi strauji saruka un pēdējā jaunā biogāzes stacija tiek uzcelta 2015. gadā. Pēc 2015.gada notiek tikai staciju jaudu palielināšana līdz izsniegtajās atļaujās plānotajām.  Staciju būvniecības un to jaudu dinamika 19 gadu periodā, ieskaitot, jau 2020. gada pirmā pusgada samazinājumu ir attēlota 1. attēlā.</w:t>
      </w:r>
    </w:p>
    <w:p w14:paraId="2A4EDE10" w14:textId="77777777" w:rsidR="00C32B9F" w:rsidRPr="006D431D" w:rsidRDefault="002B39A1">
      <w:pPr>
        <w:ind w:firstLine="360"/>
        <w:jc w:val="both"/>
        <w:rPr>
          <w:rFonts w:ascii="Times New Roman" w:hAnsi="Times New Roman" w:cs="Times New Roman"/>
          <w:sz w:val="24"/>
          <w:szCs w:val="24"/>
        </w:rPr>
      </w:pPr>
      <w:r w:rsidRPr="006D431D">
        <w:rPr>
          <w:rFonts w:ascii="Times New Roman" w:hAnsi="Times New Roman" w:cs="Times New Roman"/>
          <w:noProof/>
          <w:sz w:val="24"/>
          <w:szCs w:val="24"/>
        </w:rPr>
        <w:drawing>
          <wp:inline distT="0" distB="0" distL="0" distR="0" wp14:anchorId="6C3E9FE4" wp14:editId="3988E0D8">
            <wp:extent cx="5578475" cy="318262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8"/>
                    <a:stretch>
                      <a:fillRect/>
                    </a:stretch>
                  </pic:blipFill>
                  <pic:spPr bwMode="auto">
                    <a:xfrm>
                      <a:off x="0" y="0"/>
                      <a:ext cx="5578475" cy="3182620"/>
                    </a:xfrm>
                    <a:prstGeom prst="rect">
                      <a:avLst/>
                    </a:prstGeom>
                  </pic:spPr>
                </pic:pic>
              </a:graphicData>
            </a:graphic>
          </wp:inline>
        </w:drawing>
      </w:r>
    </w:p>
    <w:p w14:paraId="2EA9C535" w14:textId="77777777" w:rsidR="00C32B9F" w:rsidRPr="006D431D" w:rsidRDefault="002B39A1">
      <w:pPr>
        <w:pStyle w:val="ListParagraph"/>
        <w:ind w:left="1080"/>
        <w:jc w:val="both"/>
        <w:rPr>
          <w:rFonts w:ascii="Times New Roman" w:hAnsi="Times New Roman" w:cs="Times New Roman"/>
          <w:sz w:val="24"/>
          <w:szCs w:val="24"/>
        </w:rPr>
      </w:pPr>
      <w:r w:rsidRPr="006D431D">
        <w:rPr>
          <w:rFonts w:ascii="Times New Roman" w:hAnsi="Times New Roman" w:cs="Times New Roman"/>
          <w:b/>
          <w:sz w:val="24"/>
          <w:szCs w:val="24"/>
        </w:rPr>
        <w:t>1.attēls . Biogāzes staciju skaita un uzstādītās jaudas dinamika laika periodā 2002- 2020</w:t>
      </w:r>
    </w:p>
    <w:p w14:paraId="41FF6157" w14:textId="77777777" w:rsidR="00C32B9F" w:rsidRPr="006D431D" w:rsidRDefault="00C32B9F">
      <w:pPr>
        <w:ind w:firstLine="360"/>
        <w:jc w:val="both"/>
        <w:rPr>
          <w:rFonts w:ascii="Times New Roman" w:hAnsi="Times New Roman" w:cs="Times New Roman"/>
          <w:sz w:val="24"/>
          <w:szCs w:val="24"/>
        </w:rPr>
      </w:pPr>
    </w:p>
    <w:p w14:paraId="7D460D56" w14:textId="3D51BDE8" w:rsidR="00C32B9F" w:rsidRPr="006D431D" w:rsidRDefault="002B39A1">
      <w:pPr>
        <w:ind w:firstLine="360"/>
        <w:jc w:val="both"/>
        <w:rPr>
          <w:rFonts w:ascii="Times New Roman" w:hAnsi="Times New Roman" w:cs="Times New Roman"/>
          <w:sz w:val="24"/>
          <w:szCs w:val="24"/>
        </w:rPr>
      </w:pPr>
      <w:r w:rsidRPr="006D431D">
        <w:rPr>
          <w:rFonts w:ascii="Times New Roman" w:hAnsi="Times New Roman" w:cs="Times New Roman"/>
          <w:sz w:val="24"/>
          <w:szCs w:val="24"/>
        </w:rPr>
        <w:t xml:space="preserve">Latvijā darbojās </w:t>
      </w:r>
      <w:r w:rsidR="009D0860" w:rsidRPr="006D431D">
        <w:rPr>
          <w:rFonts w:ascii="Times New Roman" w:hAnsi="Times New Roman" w:cs="Times New Roman"/>
          <w:sz w:val="24"/>
          <w:szCs w:val="24"/>
        </w:rPr>
        <w:t xml:space="preserve">50 </w:t>
      </w:r>
      <w:r w:rsidRPr="006D431D">
        <w:rPr>
          <w:rFonts w:ascii="Times New Roman" w:hAnsi="Times New Roman" w:cs="Times New Roman"/>
          <w:sz w:val="24"/>
          <w:szCs w:val="24"/>
        </w:rPr>
        <w:t xml:space="preserve">biogāzes stacijas. Elektroenerģiju koģenerācijas režīmā no biogāzes ražoja </w:t>
      </w:r>
      <w:r w:rsidR="002232FB" w:rsidRPr="006D431D">
        <w:rPr>
          <w:rFonts w:ascii="Times New Roman" w:hAnsi="Times New Roman" w:cs="Times New Roman"/>
          <w:sz w:val="24"/>
          <w:szCs w:val="24"/>
        </w:rPr>
        <w:t xml:space="preserve">49 </w:t>
      </w:r>
      <w:r w:rsidRPr="006D431D">
        <w:rPr>
          <w:rFonts w:ascii="Times New Roman" w:hAnsi="Times New Roman" w:cs="Times New Roman"/>
          <w:sz w:val="24"/>
          <w:szCs w:val="24"/>
        </w:rPr>
        <w:t>biogāzes stacijas, bet viena biogāzes stacija (AS “</w:t>
      </w:r>
      <w:proofErr w:type="spellStart"/>
      <w:r w:rsidRPr="006D431D">
        <w:rPr>
          <w:rFonts w:ascii="Times New Roman" w:hAnsi="Times New Roman" w:cs="Times New Roman"/>
          <w:sz w:val="24"/>
          <w:szCs w:val="24"/>
        </w:rPr>
        <w:t>Cēsu</w:t>
      </w:r>
      <w:proofErr w:type="spellEnd"/>
      <w:r w:rsidRPr="006D431D">
        <w:rPr>
          <w:rFonts w:ascii="Times New Roman" w:hAnsi="Times New Roman" w:cs="Times New Roman"/>
          <w:sz w:val="24"/>
          <w:szCs w:val="24"/>
        </w:rPr>
        <w:t xml:space="preserve"> alus”) elektroenerģiju neražo, bet visu saražoto biogāzi sadedzina gāzes apkures katlā un iegūto siltumu izmanto savā ražošanā. </w:t>
      </w:r>
    </w:p>
    <w:p w14:paraId="037A8811" w14:textId="4AAA7253" w:rsidR="00C32B9F" w:rsidRPr="006D431D" w:rsidRDefault="002B39A1">
      <w:pPr>
        <w:jc w:val="both"/>
        <w:rPr>
          <w:rFonts w:ascii="Times New Roman" w:hAnsi="Times New Roman" w:cs="Times New Roman"/>
          <w:sz w:val="24"/>
          <w:szCs w:val="24"/>
        </w:rPr>
      </w:pPr>
      <w:r w:rsidRPr="006D431D">
        <w:rPr>
          <w:rFonts w:ascii="Times New Roman" w:hAnsi="Times New Roman" w:cs="Times New Roman"/>
          <w:sz w:val="24"/>
          <w:szCs w:val="24"/>
        </w:rPr>
        <w:t xml:space="preserve">Pēc biogāzes ražošanas izejvielu bāzes šīs </w:t>
      </w:r>
      <w:r w:rsidR="009D0860" w:rsidRPr="006D431D">
        <w:rPr>
          <w:rFonts w:ascii="Times New Roman" w:hAnsi="Times New Roman" w:cs="Times New Roman"/>
          <w:sz w:val="24"/>
          <w:szCs w:val="24"/>
        </w:rPr>
        <w:t xml:space="preserve">50 </w:t>
      </w:r>
      <w:r w:rsidRPr="006D431D">
        <w:rPr>
          <w:rFonts w:ascii="Times New Roman" w:hAnsi="Times New Roman" w:cs="Times New Roman"/>
          <w:sz w:val="24"/>
          <w:szCs w:val="24"/>
        </w:rPr>
        <w:t>stacijas var iedalīt četrās nosacītās grupās:</w:t>
      </w:r>
    </w:p>
    <w:p w14:paraId="0EC2B657" w14:textId="77777777" w:rsidR="00C32B9F" w:rsidRPr="006D431D" w:rsidRDefault="002B39A1">
      <w:pPr>
        <w:pStyle w:val="ListParagraph"/>
        <w:numPr>
          <w:ilvl w:val="0"/>
          <w:numId w:val="1"/>
        </w:numPr>
        <w:jc w:val="both"/>
        <w:rPr>
          <w:rFonts w:ascii="Times New Roman" w:hAnsi="Times New Roman" w:cs="Times New Roman"/>
          <w:sz w:val="24"/>
          <w:szCs w:val="24"/>
        </w:rPr>
      </w:pPr>
      <w:r w:rsidRPr="006D431D">
        <w:rPr>
          <w:rFonts w:ascii="Times New Roman" w:hAnsi="Times New Roman" w:cs="Times New Roman"/>
          <w:sz w:val="24"/>
          <w:szCs w:val="24"/>
        </w:rPr>
        <w:t>cieto sadzīves atkritumu uzglabāšanas poligoni – 5 stacijas;</w:t>
      </w:r>
    </w:p>
    <w:p w14:paraId="5ED9E9FE" w14:textId="77777777" w:rsidR="00C32B9F" w:rsidRPr="006D431D" w:rsidRDefault="002B39A1">
      <w:pPr>
        <w:pStyle w:val="ListParagraph"/>
        <w:numPr>
          <w:ilvl w:val="0"/>
          <w:numId w:val="1"/>
        </w:numPr>
        <w:jc w:val="both"/>
        <w:rPr>
          <w:rFonts w:ascii="Times New Roman" w:hAnsi="Times New Roman" w:cs="Times New Roman"/>
          <w:sz w:val="24"/>
          <w:szCs w:val="24"/>
        </w:rPr>
      </w:pPr>
      <w:r w:rsidRPr="006D431D">
        <w:rPr>
          <w:rFonts w:ascii="Times New Roman" w:hAnsi="Times New Roman" w:cs="Times New Roman"/>
          <w:sz w:val="24"/>
          <w:szCs w:val="24"/>
        </w:rPr>
        <w:t>sadzīves notekūdeņu attīrīšanas iekārtas – 1 stacija;</w:t>
      </w:r>
    </w:p>
    <w:p w14:paraId="68F28C90" w14:textId="77777777" w:rsidR="00C32B9F" w:rsidRPr="006D431D" w:rsidRDefault="002B39A1">
      <w:pPr>
        <w:pStyle w:val="ListParagraph"/>
        <w:numPr>
          <w:ilvl w:val="0"/>
          <w:numId w:val="1"/>
        </w:numPr>
        <w:jc w:val="both"/>
        <w:rPr>
          <w:rFonts w:ascii="Times New Roman" w:hAnsi="Times New Roman" w:cs="Times New Roman"/>
          <w:sz w:val="24"/>
          <w:szCs w:val="24"/>
        </w:rPr>
      </w:pPr>
      <w:r w:rsidRPr="006D431D">
        <w:rPr>
          <w:rFonts w:ascii="Times New Roman" w:hAnsi="Times New Roman" w:cs="Times New Roman"/>
          <w:sz w:val="24"/>
          <w:szCs w:val="24"/>
        </w:rPr>
        <w:t>pārtikas rūpniecības notekūdeņu un ražošanas atlikumu pārstrāde – 3 stacijas;</w:t>
      </w:r>
    </w:p>
    <w:p w14:paraId="3C07619B" w14:textId="07F0C7DA" w:rsidR="00C32B9F" w:rsidRPr="006D431D" w:rsidRDefault="002B39A1">
      <w:pPr>
        <w:pStyle w:val="ListParagraph"/>
        <w:numPr>
          <w:ilvl w:val="0"/>
          <w:numId w:val="1"/>
        </w:numPr>
        <w:jc w:val="both"/>
        <w:rPr>
          <w:rFonts w:ascii="Times New Roman" w:hAnsi="Times New Roman" w:cs="Times New Roman"/>
          <w:sz w:val="24"/>
          <w:szCs w:val="24"/>
        </w:rPr>
      </w:pPr>
      <w:r w:rsidRPr="006D431D">
        <w:rPr>
          <w:rFonts w:ascii="Times New Roman" w:hAnsi="Times New Roman" w:cs="Times New Roman"/>
          <w:sz w:val="24"/>
          <w:szCs w:val="24"/>
        </w:rPr>
        <w:t xml:space="preserve">biogāzes stacijas, tostarp ar lauksaimniecības atkritumu izmantošanu – </w:t>
      </w:r>
      <w:r w:rsidR="009D0860" w:rsidRPr="006D431D">
        <w:rPr>
          <w:rFonts w:ascii="Times New Roman" w:hAnsi="Times New Roman" w:cs="Times New Roman"/>
          <w:sz w:val="24"/>
          <w:szCs w:val="24"/>
        </w:rPr>
        <w:t xml:space="preserve">41 </w:t>
      </w:r>
      <w:r w:rsidRPr="006D431D">
        <w:rPr>
          <w:rFonts w:ascii="Times New Roman" w:hAnsi="Times New Roman" w:cs="Times New Roman"/>
          <w:sz w:val="24"/>
          <w:szCs w:val="24"/>
        </w:rPr>
        <w:t>stacijas.</w:t>
      </w:r>
    </w:p>
    <w:p w14:paraId="0238435D" w14:textId="3B2FA6AD" w:rsidR="00C32B9F" w:rsidRPr="006D431D" w:rsidRDefault="002B39A1" w:rsidP="00CA0699">
      <w:pPr>
        <w:ind w:firstLine="360"/>
        <w:jc w:val="both"/>
        <w:rPr>
          <w:rFonts w:ascii="Times New Roman" w:hAnsi="Times New Roman" w:cs="Times New Roman"/>
          <w:sz w:val="24"/>
          <w:szCs w:val="24"/>
        </w:rPr>
      </w:pPr>
      <w:r w:rsidRPr="006D431D">
        <w:rPr>
          <w:rFonts w:ascii="Times New Roman" w:hAnsi="Times New Roman" w:cs="Times New Roman"/>
          <w:sz w:val="24"/>
          <w:szCs w:val="24"/>
        </w:rPr>
        <w:lastRenderedPageBreak/>
        <w:t xml:space="preserve">Pēc elektroenerģijas ražošanas iespējām (staciju uzstādītā elektriskā jauda, MW) šīs </w:t>
      </w:r>
      <w:r w:rsidR="009D0860" w:rsidRPr="006D431D">
        <w:rPr>
          <w:rFonts w:ascii="Times New Roman" w:hAnsi="Times New Roman" w:cs="Times New Roman"/>
          <w:sz w:val="24"/>
          <w:szCs w:val="24"/>
        </w:rPr>
        <w:t xml:space="preserve">50 </w:t>
      </w:r>
      <w:r w:rsidRPr="006D431D">
        <w:rPr>
          <w:rFonts w:ascii="Times New Roman" w:hAnsi="Times New Roman" w:cs="Times New Roman"/>
          <w:sz w:val="24"/>
          <w:szCs w:val="24"/>
        </w:rPr>
        <w:t xml:space="preserve">stacijas (neskaitot </w:t>
      </w:r>
      <w:proofErr w:type="spellStart"/>
      <w:r w:rsidRPr="006D431D">
        <w:rPr>
          <w:rFonts w:ascii="Times New Roman" w:hAnsi="Times New Roman" w:cs="Times New Roman"/>
          <w:sz w:val="24"/>
          <w:szCs w:val="24"/>
        </w:rPr>
        <w:t>Cēsu</w:t>
      </w:r>
      <w:proofErr w:type="spellEnd"/>
      <w:r w:rsidRPr="006D431D">
        <w:rPr>
          <w:rFonts w:ascii="Times New Roman" w:hAnsi="Times New Roman" w:cs="Times New Roman"/>
          <w:sz w:val="24"/>
          <w:szCs w:val="24"/>
        </w:rPr>
        <w:t xml:space="preserve"> alus staciju) var iedalīt sekojošās grupās:</w:t>
      </w:r>
    </w:p>
    <w:p w14:paraId="437D0846" w14:textId="5803E4FB" w:rsidR="00C32B9F" w:rsidRPr="006D431D" w:rsidRDefault="002B39A1">
      <w:pPr>
        <w:pStyle w:val="ListParagraph"/>
        <w:numPr>
          <w:ilvl w:val="0"/>
          <w:numId w:val="2"/>
        </w:numPr>
        <w:jc w:val="both"/>
        <w:rPr>
          <w:rFonts w:ascii="Times New Roman" w:hAnsi="Times New Roman" w:cs="Times New Roman"/>
          <w:sz w:val="24"/>
          <w:szCs w:val="24"/>
        </w:rPr>
      </w:pPr>
      <w:r w:rsidRPr="006D431D">
        <w:rPr>
          <w:rFonts w:ascii="Times New Roman" w:hAnsi="Times New Roman" w:cs="Times New Roman"/>
          <w:sz w:val="24"/>
          <w:szCs w:val="24"/>
        </w:rPr>
        <w:t>līdz 0,5 MW (ieskaitot) jaudai – 1</w:t>
      </w:r>
      <w:r w:rsidR="00567609" w:rsidRPr="006D431D">
        <w:rPr>
          <w:rFonts w:ascii="Times New Roman" w:hAnsi="Times New Roman" w:cs="Times New Roman"/>
          <w:sz w:val="24"/>
          <w:szCs w:val="24"/>
        </w:rPr>
        <w:t>0</w:t>
      </w:r>
      <w:r w:rsidRPr="006D431D">
        <w:rPr>
          <w:rFonts w:ascii="Times New Roman" w:hAnsi="Times New Roman" w:cs="Times New Roman"/>
          <w:sz w:val="24"/>
          <w:szCs w:val="24"/>
        </w:rPr>
        <w:t xml:space="preserve"> stacijas. </w:t>
      </w:r>
    </w:p>
    <w:p w14:paraId="2EB335D5" w14:textId="2E1A0255" w:rsidR="00C32B9F" w:rsidRPr="006D431D" w:rsidRDefault="002B39A1">
      <w:pPr>
        <w:pStyle w:val="ListParagraph"/>
        <w:numPr>
          <w:ilvl w:val="0"/>
          <w:numId w:val="2"/>
        </w:numPr>
        <w:jc w:val="both"/>
        <w:rPr>
          <w:rFonts w:ascii="Times New Roman" w:hAnsi="Times New Roman" w:cs="Times New Roman"/>
          <w:sz w:val="24"/>
          <w:szCs w:val="24"/>
        </w:rPr>
      </w:pPr>
      <w:r w:rsidRPr="006D431D">
        <w:rPr>
          <w:rFonts w:ascii="Times New Roman" w:hAnsi="Times New Roman" w:cs="Times New Roman"/>
          <w:sz w:val="24"/>
          <w:szCs w:val="24"/>
        </w:rPr>
        <w:t>no 0,5 līdz 1,0 MW (ieskaitot) jaudai – 2</w:t>
      </w:r>
      <w:r w:rsidR="00567609" w:rsidRPr="006D431D">
        <w:rPr>
          <w:rFonts w:ascii="Times New Roman" w:hAnsi="Times New Roman" w:cs="Times New Roman"/>
          <w:sz w:val="24"/>
          <w:szCs w:val="24"/>
        </w:rPr>
        <w:t>1</w:t>
      </w:r>
      <w:r w:rsidRPr="006D431D">
        <w:rPr>
          <w:rFonts w:ascii="Times New Roman" w:hAnsi="Times New Roman" w:cs="Times New Roman"/>
          <w:sz w:val="24"/>
          <w:szCs w:val="24"/>
        </w:rPr>
        <w:t xml:space="preserve"> stacijas.</w:t>
      </w:r>
    </w:p>
    <w:p w14:paraId="2C24F30A" w14:textId="41E0615C" w:rsidR="00C32B9F" w:rsidRPr="006D431D" w:rsidRDefault="002B39A1">
      <w:pPr>
        <w:pStyle w:val="ListParagraph"/>
        <w:numPr>
          <w:ilvl w:val="0"/>
          <w:numId w:val="2"/>
        </w:numPr>
        <w:jc w:val="both"/>
        <w:rPr>
          <w:rFonts w:ascii="Times New Roman" w:hAnsi="Times New Roman" w:cs="Times New Roman"/>
          <w:sz w:val="24"/>
          <w:szCs w:val="24"/>
        </w:rPr>
      </w:pPr>
      <w:r w:rsidRPr="006D431D">
        <w:rPr>
          <w:rFonts w:ascii="Times New Roman" w:hAnsi="Times New Roman" w:cs="Times New Roman"/>
          <w:sz w:val="24"/>
          <w:szCs w:val="24"/>
        </w:rPr>
        <w:t xml:space="preserve">stacijas ar jaudu virs 1 MW – </w:t>
      </w:r>
      <w:r w:rsidR="00567609" w:rsidRPr="006D431D">
        <w:rPr>
          <w:rFonts w:ascii="Times New Roman" w:hAnsi="Times New Roman" w:cs="Times New Roman"/>
          <w:sz w:val="24"/>
          <w:szCs w:val="24"/>
        </w:rPr>
        <w:t>19</w:t>
      </w:r>
      <w:r w:rsidR="009D0860" w:rsidRPr="006D431D">
        <w:rPr>
          <w:rFonts w:ascii="Times New Roman" w:hAnsi="Times New Roman" w:cs="Times New Roman"/>
          <w:sz w:val="24"/>
          <w:szCs w:val="24"/>
        </w:rPr>
        <w:t xml:space="preserve"> </w:t>
      </w:r>
      <w:r w:rsidRPr="006D431D">
        <w:rPr>
          <w:rFonts w:ascii="Times New Roman" w:hAnsi="Times New Roman" w:cs="Times New Roman"/>
          <w:sz w:val="24"/>
          <w:szCs w:val="24"/>
        </w:rPr>
        <w:t>stacijas.</w:t>
      </w:r>
    </w:p>
    <w:p w14:paraId="208C8520" w14:textId="20DAE3D4" w:rsidR="00C32B9F" w:rsidRPr="006D431D" w:rsidRDefault="002B39A1" w:rsidP="00CA0699">
      <w:pPr>
        <w:ind w:firstLine="450"/>
        <w:jc w:val="both"/>
        <w:rPr>
          <w:rFonts w:ascii="Times New Roman" w:hAnsi="Times New Roman" w:cs="Times New Roman"/>
          <w:sz w:val="24"/>
          <w:szCs w:val="24"/>
        </w:rPr>
      </w:pPr>
      <w:r w:rsidRPr="006D431D">
        <w:rPr>
          <w:rFonts w:ascii="Times New Roman" w:hAnsi="Times New Roman" w:cs="Times New Roman"/>
          <w:sz w:val="24"/>
          <w:szCs w:val="24"/>
        </w:rPr>
        <w:t>Kopējā uzstādītā elektroenerģijas ražošanas jauda š</w:t>
      </w:r>
      <w:r w:rsidR="00D820AB" w:rsidRPr="006D431D">
        <w:rPr>
          <w:rFonts w:ascii="Times New Roman" w:hAnsi="Times New Roman" w:cs="Times New Roman"/>
          <w:sz w:val="24"/>
          <w:szCs w:val="24"/>
        </w:rPr>
        <w:t>īm</w:t>
      </w:r>
      <w:r w:rsidRPr="006D431D">
        <w:rPr>
          <w:rFonts w:ascii="Times New Roman" w:hAnsi="Times New Roman" w:cs="Times New Roman"/>
          <w:sz w:val="24"/>
          <w:szCs w:val="24"/>
        </w:rPr>
        <w:t xml:space="preserve"> 5</w:t>
      </w:r>
      <w:r w:rsidR="00D820AB" w:rsidRPr="006D431D">
        <w:rPr>
          <w:rFonts w:ascii="Times New Roman" w:hAnsi="Times New Roman" w:cs="Times New Roman"/>
          <w:sz w:val="24"/>
          <w:szCs w:val="24"/>
        </w:rPr>
        <w:t>0</w:t>
      </w:r>
      <w:r w:rsidRPr="006D431D">
        <w:rPr>
          <w:rFonts w:ascii="Times New Roman" w:hAnsi="Times New Roman" w:cs="Times New Roman"/>
          <w:sz w:val="24"/>
          <w:szCs w:val="24"/>
        </w:rPr>
        <w:t xml:space="preserve"> stacij</w:t>
      </w:r>
      <w:r w:rsidR="00D820AB" w:rsidRPr="006D431D">
        <w:rPr>
          <w:rFonts w:ascii="Times New Roman" w:hAnsi="Times New Roman" w:cs="Times New Roman"/>
          <w:sz w:val="24"/>
          <w:szCs w:val="24"/>
        </w:rPr>
        <w:t>ām</w:t>
      </w:r>
      <w:r w:rsidRPr="006D431D">
        <w:rPr>
          <w:rFonts w:ascii="Times New Roman" w:hAnsi="Times New Roman" w:cs="Times New Roman"/>
          <w:sz w:val="24"/>
          <w:szCs w:val="24"/>
        </w:rPr>
        <w:t xml:space="preserve"> ir </w:t>
      </w:r>
      <w:bookmarkStart w:id="5" w:name="_Hlk24705710"/>
      <w:r w:rsidRPr="006D431D">
        <w:rPr>
          <w:rFonts w:ascii="Times New Roman" w:hAnsi="Times New Roman" w:cs="Times New Roman"/>
          <w:sz w:val="24"/>
          <w:szCs w:val="24"/>
        </w:rPr>
        <w:t xml:space="preserve">60,536 </w:t>
      </w:r>
      <w:bookmarkEnd w:id="5"/>
      <w:r w:rsidRPr="006D431D">
        <w:rPr>
          <w:rFonts w:ascii="Times New Roman" w:hAnsi="Times New Roman" w:cs="Times New Roman"/>
          <w:sz w:val="24"/>
          <w:szCs w:val="24"/>
        </w:rPr>
        <w:t xml:space="preserve">MW. </w:t>
      </w:r>
    </w:p>
    <w:p w14:paraId="49DBE2D5" w14:textId="77777777" w:rsidR="00C32B9F" w:rsidRPr="006D431D" w:rsidRDefault="002B39A1" w:rsidP="00CA0699">
      <w:pPr>
        <w:ind w:firstLine="450"/>
        <w:jc w:val="both"/>
        <w:rPr>
          <w:rFonts w:ascii="Times New Roman" w:hAnsi="Times New Roman" w:cs="Times New Roman"/>
          <w:sz w:val="24"/>
          <w:szCs w:val="24"/>
        </w:rPr>
      </w:pPr>
      <w:r w:rsidRPr="006D431D">
        <w:rPr>
          <w:rFonts w:ascii="Times New Roman" w:hAnsi="Times New Roman" w:cs="Times New Roman"/>
          <w:sz w:val="24"/>
          <w:szCs w:val="24"/>
        </w:rPr>
        <w:t xml:space="preserve">2019. gadā tika elektroenerģijas publiskajam tirgotājam tika  pārdotas 315, 692 </w:t>
      </w:r>
      <w:proofErr w:type="spellStart"/>
      <w:r w:rsidRPr="006D431D">
        <w:rPr>
          <w:rFonts w:ascii="Times New Roman" w:hAnsi="Times New Roman" w:cs="Times New Roman"/>
          <w:sz w:val="24"/>
          <w:szCs w:val="24"/>
        </w:rPr>
        <w:t>GWh</w:t>
      </w:r>
      <w:proofErr w:type="spellEnd"/>
      <w:r w:rsidRPr="006D431D">
        <w:rPr>
          <w:rFonts w:ascii="Times New Roman" w:hAnsi="Times New Roman" w:cs="Times New Roman"/>
          <w:sz w:val="24"/>
          <w:szCs w:val="24"/>
        </w:rPr>
        <w:t xml:space="preserve"> elektroenerģijas, kas nozīmē, ka ir ticis saražots ap 153 milj. m3 biogāzes. Kopumā 2019. gadā valsts atbalstā virs tirgus cenas biogāzes stacijām samaksāts vairāk kā 40 milj. </w:t>
      </w:r>
      <w:proofErr w:type="spellStart"/>
      <w:r w:rsidRPr="006D431D">
        <w:rPr>
          <w:rFonts w:ascii="Times New Roman" w:hAnsi="Times New Roman" w:cs="Times New Roman"/>
          <w:i/>
          <w:iCs/>
          <w:sz w:val="24"/>
          <w:szCs w:val="24"/>
        </w:rPr>
        <w:t>euro</w:t>
      </w:r>
      <w:proofErr w:type="spellEnd"/>
      <w:r w:rsidRPr="006D431D">
        <w:rPr>
          <w:rFonts w:ascii="Times New Roman" w:hAnsi="Times New Roman" w:cs="Times New Roman"/>
          <w:sz w:val="24"/>
          <w:szCs w:val="24"/>
        </w:rPr>
        <w:t xml:space="preserve"> </w:t>
      </w:r>
      <w:r w:rsidRPr="006D431D">
        <w:rPr>
          <w:rStyle w:val="FootnoteAnchor"/>
          <w:rFonts w:ascii="Times New Roman" w:hAnsi="Times New Roman" w:cs="Times New Roman"/>
          <w:sz w:val="24"/>
          <w:szCs w:val="24"/>
        </w:rPr>
        <w:footnoteReference w:id="7"/>
      </w:r>
    </w:p>
    <w:p w14:paraId="1399E6CA" w14:textId="77777777" w:rsidR="00C32B9F" w:rsidRPr="006D431D" w:rsidRDefault="002B39A1" w:rsidP="00CA0699">
      <w:pPr>
        <w:ind w:firstLine="450"/>
        <w:jc w:val="both"/>
        <w:rPr>
          <w:rFonts w:ascii="Times New Roman" w:hAnsi="Times New Roman" w:cs="Times New Roman"/>
          <w:sz w:val="24"/>
          <w:szCs w:val="24"/>
        </w:rPr>
      </w:pPr>
      <w:r w:rsidRPr="006D431D">
        <w:rPr>
          <w:rFonts w:ascii="Times New Roman" w:hAnsi="Times New Roman" w:cs="Times New Roman"/>
          <w:sz w:val="24"/>
          <w:szCs w:val="24"/>
        </w:rPr>
        <w:t>Elektroenerģijas pārdošanas apjomi publiskajam tirgotājam laikā no 2011. līdz 2019. gadam attēloti 2. attēlā.</w:t>
      </w:r>
    </w:p>
    <w:p w14:paraId="12378BF5" w14:textId="77777777" w:rsidR="00C32B9F" w:rsidRPr="006D431D" w:rsidRDefault="002B39A1">
      <w:pPr>
        <w:rPr>
          <w:rFonts w:ascii="Times New Roman" w:hAnsi="Times New Roman" w:cs="Times New Roman"/>
          <w:sz w:val="24"/>
          <w:szCs w:val="24"/>
        </w:rPr>
      </w:pPr>
      <w:r w:rsidRPr="006D431D">
        <w:rPr>
          <w:rFonts w:ascii="Times New Roman" w:hAnsi="Times New Roman" w:cs="Times New Roman"/>
          <w:noProof/>
          <w:sz w:val="24"/>
          <w:szCs w:val="24"/>
        </w:rPr>
        <w:drawing>
          <wp:inline distT="0" distB="0" distL="0" distR="0" wp14:anchorId="5326916A" wp14:editId="09A56C46">
            <wp:extent cx="4584700" cy="2755900"/>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r:embed="rId9"/>
                    <a:stretch>
                      <a:fillRect/>
                    </a:stretch>
                  </pic:blipFill>
                  <pic:spPr bwMode="auto">
                    <a:xfrm>
                      <a:off x="0" y="0"/>
                      <a:ext cx="4584700" cy="2755900"/>
                    </a:xfrm>
                    <a:prstGeom prst="rect">
                      <a:avLst/>
                    </a:prstGeom>
                  </pic:spPr>
                </pic:pic>
              </a:graphicData>
            </a:graphic>
          </wp:inline>
        </w:drawing>
      </w:r>
    </w:p>
    <w:p w14:paraId="7800EECC" w14:textId="77777777" w:rsidR="00C32B9F" w:rsidRPr="006D431D" w:rsidRDefault="002B39A1">
      <w:pPr>
        <w:pStyle w:val="ListParagraph"/>
        <w:rPr>
          <w:rFonts w:ascii="Times New Roman" w:hAnsi="Times New Roman" w:cs="Times New Roman"/>
          <w:sz w:val="24"/>
          <w:szCs w:val="24"/>
        </w:rPr>
      </w:pPr>
      <w:r w:rsidRPr="006D431D">
        <w:rPr>
          <w:rFonts w:ascii="Times New Roman" w:hAnsi="Times New Roman" w:cs="Times New Roman"/>
          <w:b/>
          <w:sz w:val="24"/>
          <w:szCs w:val="24"/>
        </w:rPr>
        <w:t xml:space="preserve">2.attēls. Publiskajam tirgotājam pārdotais elektroenerģijas apjoms. </w:t>
      </w:r>
    </w:p>
    <w:p w14:paraId="56D5FC2C" w14:textId="77777777" w:rsidR="00C32B9F" w:rsidRPr="006D431D" w:rsidRDefault="002B39A1" w:rsidP="00224520">
      <w:pPr>
        <w:ind w:firstLine="720"/>
        <w:jc w:val="both"/>
        <w:rPr>
          <w:rFonts w:ascii="Times New Roman" w:hAnsi="Times New Roman" w:cs="Times New Roman"/>
          <w:sz w:val="24"/>
          <w:szCs w:val="24"/>
        </w:rPr>
      </w:pPr>
      <w:r w:rsidRPr="006D431D">
        <w:rPr>
          <w:rFonts w:ascii="Times New Roman" w:hAnsi="Times New Roman" w:cs="Times New Roman"/>
          <w:sz w:val="24"/>
          <w:szCs w:val="24"/>
        </w:rPr>
        <w:t xml:space="preserve">Salīdzinot saražotās elektroenerģijas apjomu ar uzstādītājām jaudām var secināt, ka: 13 stacijas ir  strādājušas ar noslodzi zemāk par 50%, 12 stacijas – ar noslodzi 50-70%, 11 stacijas – ar noslodzi 70-90 %, 11 stacijas – ar noslodzi virs 90% un tikai 5 stacijas ir strādājušas ar pilnu jaudu vai ir pat pārdevušas elektroenerģiju arī brīvajā tirgū. </w:t>
      </w:r>
    </w:p>
    <w:p w14:paraId="6A380BC2" w14:textId="77777777" w:rsidR="00C32B9F" w:rsidRPr="006D431D" w:rsidRDefault="002B39A1" w:rsidP="00224520">
      <w:pPr>
        <w:ind w:firstLine="360"/>
        <w:jc w:val="both"/>
        <w:rPr>
          <w:rFonts w:ascii="Times New Roman" w:hAnsi="Times New Roman" w:cs="Times New Roman"/>
          <w:sz w:val="24"/>
          <w:szCs w:val="24"/>
        </w:rPr>
      </w:pPr>
      <w:r w:rsidRPr="006D431D">
        <w:rPr>
          <w:rFonts w:ascii="Times New Roman" w:hAnsi="Times New Roman" w:cs="Times New Roman"/>
          <w:sz w:val="24"/>
          <w:szCs w:val="24"/>
        </w:rPr>
        <w:t>Iemesli nepilnai noslodzei ir dažādi:</w:t>
      </w:r>
    </w:p>
    <w:p w14:paraId="03280146" w14:textId="77777777" w:rsidR="00C32B9F" w:rsidRPr="006D431D" w:rsidRDefault="002B39A1">
      <w:pPr>
        <w:pStyle w:val="ListParagraph"/>
        <w:numPr>
          <w:ilvl w:val="0"/>
          <w:numId w:val="3"/>
        </w:numPr>
        <w:jc w:val="both"/>
        <w:rPr>
          <w:rFonts w:ascii="Times New Roman" w:hAnsi="Times New Roman" w:cs="Times New Roman"/>
          <w:sz w:val="24"/>
          <w:szCs w:val="24"/>
        </w:rPr>
      </w:pPr>
      <w:r w:rsidRPr="006D431D">
        <w:rPr>
          <w:rFonts w:ascii="Times New Roman" w:hAnsi="Times New Roman" w:cs="Times New Roman"/>
          <w:sz w:val="24"/>
          <w:szCs w:val="24"/>
        </w:rPr>
        <w:t>tehnoloģiskie pārtraukumi un iekārtu remonti,</w:t>
      </w:r>
    </w:p>
    <w:p w14:paraId="30C58E35" w14:textId="77777777" w:rsidR="00C32B9F" w:rsidRPr="006D431D" w:rsidRDefault="002B39A1">
      <w:pPr>
        <w:pStyle w:val="ListParagraph"/>
        <w:numPr>
          <w:ilvl w:val="0"/>
          <w:numId w:val="3"/>
        </w:numPr>
        <w:jc w:val="both"/>
        <w:rPr>
          <w:rFonts w:ascii="Times New Roman" w:hAnsi="Times New Roman" w:cs="Times New Roman"/>
          <w:sz w:val="24"/>
          <w:szCs w:val="24"/>
        </w:rPr>
      </w:pPr>
      <w:r w:rsidRPr="006D431D">
        <w:rPr>
          <w:rFonts w:ascii="Times New Roman" w:hAnsi="Times New Roman" w:cs="Times New Roman"/>
          <w:sz w:val="24"/>
          <w:szCs w:val="24"/>
        </w:rPr>
        <w:lastRenderedPageBreak/>
        <w:t>izejvielu trūkums,</w:t>
      </w:r>
    </w:p>
    <w:p w14:paraId="25ED4E71" w14:textId="77777777" w:rsidR="00C32B9F" w:rsidRPr="006D431D" w:rsidRDefault="002B39A1">
      <w:pPr>
        <w:pStyle w:val="ListParagraph"/>
        <w:numPr>
          <w:ilvl w:val="0"/>
          <w:numId w:val="3"/>
        </w:numPr>
        <w:jc w:val="both"/>
        <w:rPr>
          <w:rFonts w:ascii="Times New Roman" w:hAnsi="Times New Roman" w:cs="Times New Roman"/>
          <w:sz w:val="24"/>
          <w:szCs w:val="24"/>
        </w:rPr>
      </w:pPr>
      <w:r w:rsidRPr="006D431D">
        <w:rPr>
          <w:rFonts w:ascii="Times New Roman" w:hAnsi="Times New Roman" w:cs="Times New Roman"/>
          <w:sz w:val="24"/>
          <w:szCs w:val="24"/>
        </w:rPr>
        <w:t>ar administratīva un juridiska rakstura iemesliem saistītas ražošanas procesa izmaiņas.</w:t>
      </w:r>
    </w:p>
    <w:p w14:paraId="1BE6FE99" w14:textId="77777777" w:rsidR="00C32B9F" w:rsidRPr="006D431D" w:rsidRDefault="002B39A1">
      <w:pPr>
        <w:ind w:firstLine="360"/>
        <w:jc w:val="both"/>
        <w:rPr>
          <w:rFonts w:ascii="Times New Roman" w:hAnsi="Times New Roman" w:cs="Times New Roman"/>
          <w:sz w:val="24"/>
          <w:szCs w:val="24"/>
        </w:rPr>
      </w:pPr>
      <w:r w:rsidRPr="006D431D">
        <w:rPr>
          <w:rFonts w:ascii="Times New Roman" w:hAnsi="Times New Roman" w:cs="Times New Roman"/>
          <w:sz w:val="24"/>
          <w:szCs w:val="24"/>
        </w:rPr>
        <w:t>2020. gada sākumā atsevišķas stacijas ir brīvprātīgi atteikušās no obligātā elektroenerģijas iepirkuma un pārtraukušas darbību. Bez tam, sarežģītās finansiālās un juridiskās situācijas dēļ savu darbību ir apturējusi vēl viena stacija. Uz 2020. gada 1. jūniju faktiski obligātā iepirkuma ietvaros darbojās vairs tikai 49 biogāzes stacijas ar uzstādīto elektrisko jaudu 56,636  MW.</w:t>
      </w:r>
    </w:p>
    <w:p w14:paraId="07C1FA3E" w14:textId="77777777" w:rsidR="00C32B9F" w:rsidRPr="006D431D" w:rsidRDefault="002B39A1">
      <w:pPr>
        <w:ind w:firstLine="720"/>
        <w:jc w:val="both"/>
        <w:rPr>
          <w:rFonts w:ascii="Times New Roman" w:hAnsi="Times New Roman" w:cs="Times New Roman"/>
          <w:sz w:val="24"/>
          <w:szCs w:val="24"/>
        </w:rPr>
      </w:pPr>
      <w:r w:rsidRPr="006D431D">
        <w:rPr>
          <w:rFonts w:ascii="Times New Roman" w:hAnsi="Times New Roman" w:cs="Times New Roman"/>
          <w:sz w:val="24"/>
          <w:szCs w:val="24"/>
        </w:rPr>
        <w:t xml:space="preserve">Ir noslēgusies projektēšana papildus dūņu anaerobās raudzēšanas iekārtu izbūvei Rīgas attīrīšanas iekārtās, kas ļaus vēl sekmīgāk apstrādāt notekūdeņu dūņas, tās dziļāk noārdīt, tādejādi samazinot atlikušo dūņu daudzumu un par 10-15% palielinot saražotās biogāzes apjomus. Savukārt SIA “Getliņi – </w:t>
      </w:r>
      <w:proofErr w:type="spellStart"/>
      <w:r w:rsidRPr="006D431D">
        <w:rPr>
          <w:rFonts w:ascii="Times New Roman" w:hAnsi="Times New Roman" w:cs="Times New Roman"/>
          <w:sz w:val="24"/>
          <w:szCs w:val="24"/>
        </w:rPr>
        <w:t>Eko</w:t>
      </w:r>
      <w:proofErr w:type="spellEnd"/>
      <w:r w:rsidRPr="006D431D">
        <w:rPr>
          <w:rFonts w:ascii="Times New Roman" w:hAnsi="Times New Roman" w:cs="Times New Roman"/>
          <w:sz w:val="24"/>
          <w:szCs w:val="24"/>
        </w:rPr>
        <w:t xml:space="preserve">” intensīvi norit cieto organisko atkritumu fermentācijas iekārtu izbūve, kas ļaus organiskos sadzīves atkritumus turpmāk nenoglabāt atkritumu kalna </w:t>
      </w:r>
      <w:proofErr w:type="spellStart"/>
      <w:r w:rsidRPr="006D431D">
        <w:rPr>
          <w:rFonts w:ascii="Times New Roman" w:hAnsi="Times New Roman" w:cs="Times New Roman"/>
          <w:sz w:val="24"/>
          <w:szCs w:val="24"/>
        </w:rPr>
        <w:t>biošūnās</w:t>
      </w:r>
      <w:proofErr w:type="spellEnd"/>
      <w:r w:rsidRPr="006D431D">
        <w:rPr>
          <w:rFonts w:ascii="Times New Roman" w:hAnsi="Times New Roman" w:cs="Times New Roman"/>
          <w:sz w:val="24"/>
          <w:szCs w:val="24"/>
        </w:rPr>
        <w:t xml:space="preserve">, bet  intensīvā procesā, apstrādāt relatīvi īsā laika periodā un iegūt kvalitatīvāku biogāzi nekā līdz šim. </w:t>
      </w:r>
    </w:p>
    <w:p w14:paraId="37A9DB04" w14:textId="77777777" w:rsidR="00C32B9F" w:rsidRPr="006D431D" w:rsidRDefault="002B39A1">
      <w:pPr>
        <w:ind w:firstLine="720"/>
        <w:jc w:val="both"/>
        <w:rPr>
          <w:rFonts w:ascii="Times New Roman" w:hAnsi="Times New Roman" w:cs="Times New Roman"/>
          <w:sz w:val="24"/>
          <w:szCs w:val="24"/>
        </w:rPr>
      </w:pPr>
      <w:r w:rsidRPr="006D431D">
        <w:rPr>
          <w:rFonts w:ascii="Times New Roman" w:hAnsi="Times New Roman" w:cs="Times New Roman"/>
          <w:sz w:val="24"/>
          <w:szCs w:val="24"/>
        </w:rPr>
        <w:t>Balstoties uz detalizētu dažādu sektoru potenciāla analīzi Valsts pētījumu programmas ietvaros Rīgas tehniskās universitātes (RTU) zinātnieki izvērtēja potenciālo biogāzes daudzumu, ko ir iespējams ražot no Latvijā esošajām izejvielām. Balstoties uz vēsturiskiem datiem, pētījumā secināts, ka laika posmā no 2015. gada līdz 2017. gadam saražotais biogāzes daudzums vidēji veidoja 80 % no kopējā potenciāla no pieejamajām izejvielām. Dati liecina, ka nākotnē ir potenciāls palielināt saražoto biogāzes daudzumu no kūtsmēsliem un organiskajiem atkritumiem, aizvietojot no kukurūzas iegūto biogāzi un nesamazinot biogāzes ieguves kopējo daudzumu. (3. attēls).</w:t>
      </w:r>
    </w:p>
    <w:p w14:paraId="0A43EEAA" w14:textId="77777777" w:rsidR="00C32B9F" w:rsidRPr="006D431D" w:rsidRDefault="002B39A1">
      <w:pPr>
        <w:rPr>
          <w:rFonts w:ascii="Times New Roman" w:hAnsi="Times New Roman" w:cs="Times New Roman"/>
          <w:sz w:val="24"/>
          <w:szCs w:val="24"/>
        </w:rPr>
      </w:pPr>
      <w:r w:rsidRPr="006D431D">
        <w:rPr>
          <w:rFonts w:ascii="Times New Roman" w:hAnsi="Times New Roman" w:cs="Times New Roman"/>
          <w:noProof/>
          <w:sz w:val="24"/>
          <w:szCs w:val="24"/>
        </w:rPr>
        <w:lastRenderedPageBreak/>
        <w:drawing>
          <wp:inline distT="0" distB="0" distL="0" distR="0" wp14:anchorId="2A3767F6" wp14:editId="2A9C1A7D">
            <wp:extent cx="5126355" cy="478599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B27AACD" w14:textId="77777777" w:rsidR="00C32B9F" w:rsidRPr="006D431D" w:rsidRDefault="002B39A1">
      <w:pPr>
        <w:ind w:firstLine="720"/>
        <w:rPr>
          <w:rFonts w:ascii="Times New Roman" w:hAnsi="Times New Roman" w:cs="Times New Roman"/>
          <w:sz w:val="24"/>
          <w:szCs w:val="24"/>
        </w:rPr>
      </w:pPr>
      <w:r w:rsidRPr="006D431D">
        <w:rPr>
          <w:rFonts w:ascii="Times New Roman" w:hAnsi="Times New Roman" w:cs="Times New Roman"/>
          <w:b/>
          <w:bCs/>
          <w:sz w:val="24"/>
          <w:szCs w:val="24"/>
        </w:rPr>
        <w:t>3. attēls. Biogāzes izejvielu enerģētiskais potenciāls, atbilstoši Rīgas Tehniskās universitātes pētījumam</w:t>
      </w:r>
      <w:r w:rsidRPr="006D431D">
        <w:rPr>
          <w:rStyle w:val="FootnoteAnchor"/>
          <w:rFonts w:ascii="Times New Roman" w:hAnsi="Times New Roman" w:cs="Times New Roman"/>
          <w:b/>
          <w:bCs/>
          <w:sz w:val="24"/>
          <w:szCs w:val="24"/>
        </w:rPr>
        <w:footnoteReference w:id="8"/>
      </w:r>
      <w:r w:rsidRPr="006D431D">
        <w:rPr>
          <w:rFonts w:ascii="Times New Roman" w:hAnsi="Times New Roman" w:cs="Times New Roman"/>
          <w:b/>
          <w:bCs/>
          <w:sz w:val="24"/>
          <w:szCs w:val="24"/>
        </w:rPr>
        <w:t xml:space="preserve"> </w:t>
      </w:r>
    </w:p>
    <w:p w14:paraId="6BD05968" w14:textId="77777777" w:rsidR="00C32B9F" w:rsidRPr="006D431D" w:rsidRDefault="002B39A1">
      <w:pPr>
        <w:ind w:firstLine="720"/>
        <w:rPr>
          <w:rFonts w:ascii="Times New Roman" w:hAnsi="Times New Roman" w:cs="Times New Roman"/>
          <w:sz w:val="24"/>
          <w:szCs w:val="24"/>
        </w:rPr>
      </w:pPr>
      <w:r w:rsidRPr="006D431D">
        <w:rPr>
          <w:rFonts w:ascii="Times New Roman" w:hAnsi="Times New Roman" w:cs="Times New Roman"/>
          <w:sz w:val="24"/>
          <w:szCs w:val="24"/>
        </w:rPr>
        <w:t>Iegūtie biogāzes izejvielu potenciāla rezultāti rāda, ka:</w:t>
      </w:r>
    </w:p>
    <w:p w14:paraId="3302CA04" w14:textId="77777777" w:rsidR="00C32B9F" w:rsidRPr="006D431D" w:rsidRDefault="002B39A1">
      <w:pPr>
        <w:pStyle w:val="ListParagraph"/>
        <w:numPr>
          <w:ilvl w:val="0"/>
          <w:numId w:val="7"/>
        </w:numPr>
        <w:spacing w:after="120" w:line="264" w:lineRule="auto"/>
        <w:jc w:val="both"/>
        <w:rPr>
          <w:rFonts w:ascii="Times New Roman" w:hAnsi="Times New Roman" w:cs="Times New Roman"/>
          <w:sz w:val="24"/>
          <w:szCs w:val="24"/>
        </w:rPr>
      </w:pPr>
      <w:r w:rsidRPr="006D431D">
        <w:rPr>
          <w:rFonts w:ascii="Times New Roman" w:hAnsi="Times New Roman" w:cs="Times New Roman"/>
          <w:sz w:val="24"/>
          <w:szCs w:val="24"/>
        </w:rPr>
        <w:t>Lielākais potenciāls saistās ar lauksaimniecības dzīvnieku kūtsmēslu izmantošanu biogāzes ražošanai. Atkarībā no kūtsmēslu izmantošanas apjoma, biogāzes potenciāls ir līdz 119 milj. m</w:t>
      </w:r>
      <w:r w:rsidRPr="006D431D">
        <w:rPr>
          <w:rFonts w:ascii="Times New Roman" w:hAnsi="Times New Roman" w:cs="Times New Roman"/>
          <w:sz w:val="24"/>
          <w:szCs w:val="24"/>
          <w:vertAlign w:val="superscript"/>
        </w:rPr>
        <w:t>3</w:t>
      </w:r>
      <w:r w:rsidRPr="006D431D">
        <w:rPr>
          <w:rFonts w:ascii="Times New Roman" w:hAnsi="Times New Roman" w:cs="Times New Roman"/>
          <w:sz w:val="24"/>
          <w:szCs w:val="24"/>
        </w:rPr>
        <w:t xml:space="preserve"> 2030. gadā;</w:t>
      </w:r>
    </w:p>
    <w:p w14:paraId="0D0CD033" w14:textId="77777777" w:rsidR="00C32B9F" w:rsidRPr="006D431D" w:rsidRDefault="002B39A1">
      <w:pPr>
        <w:pStyle w:val="ListParagraph"/>
        <w:numPr>
          <w:ilvl w:val="0"/>
          <w:numId w:val="7"/>
        </w:numPr>
        <w:spacing w:after="120" w:line="264" w:lineRule="auto"/>
        <w:jc w:val="both"/>
        <w:rPr>
          <w:rFonts w:ascii="Times New Roman" w:hAnsi="Times New Roman" w:cs="Times New Roman"/>
          <w:sz w:val="24"/>
          <w:szCs w:val="24"/>
        </w:rPr>
      </w:pPr>
      <w:r w:rsidRPr="006D431D">
        <w:rPr>
          <w:rFonts w:ascii="Times New Roman" w:hAnsi="Times New Roman" w:cs="Times New Roman"/>
          <w:sz w:val="24"/>
          <w:szCs w:val="24"/>
        </w:rPr>
        <w:t>Kukurūzas potenciāls ir atkarīgs no politiskā uzstādījuma. Turpinot kukurūzas izmantošanu līdzīgi, kā līdz šim, potenciāls ir ap 50 milj. m</w:t>
      </w:r>
      <w:r w:rsidRPr="006D431D">
        <w:rPr>
          <w:rFonts w:ascii="Times New Roman" w:hAnsi="Times New Roman" w:cs="Times New Roman"/>
          <w:sz w:val="24"/>
          <w:szCs w:val="24"/>
          <w:vertAlign w:val="superscript"/>
        </w:rPr>
        <w:t>3</w:t>
      </w:r>
      <w:r w:rsidRPr="006D431D">
        <w:rPr>
          <w:rFonts w:ascii="Times New Roman" w:hAnsi="Times New Roman" w:cs="Times New Roman"/>
          <w:sz w:val="24"/>
          <w:szCs w:val="24"/>
        </w:rPr>
        <w:t>/gadā. Īstenojot pakāpenisku kukurūzas izejvielas aizstāšanu, potenciāls 2025. gadā saglabājas 30 milj. m</w:t>
      </w:r>
      <w:r w:rsidRPr="006D431D">
        <w:rPr>
          <w:rFonts w:ascii="Times New Roman" w:hAnsi="Times New Roman" w:cs="Times New Roman"/>
          <w:sz w:val="24"/>
          <w:szCs w:val="24"/>
          <w:vertAlign w:val="superscript"/>
        </w:rPr>
        <w:t>3</w:t>
      </w:r>
      <w:r w:rsidRPr="006D431D">
        <w:rPr>
          <w:rFonts w:ascii="Times New Roman" w:hAnsi="Times New Roman" w:cs="Times New Roman"/>
          <w:sz w:val="24"/>
          <w:szCs w:val="24"/>
        </w:rPr>
        <w:t>/gadā un samazinās līdz nullei 2030. gadā;</w:t>
      </w:r>
    </w:p>
    <w:p w14:paraId="3F9BF8B6" w14:textId="77777777" w:rsidR="00C32B9F" w:rsidRPr="006D431D" w:rsidRDefault="002B39A1">
      <w:pPr>
        <w:pStyle w:val="ListParagraph"/>
        <w:numPr>
          <w:ilvl w:val="0"/>
          <w:numId w:val="7"/>
        </w:numPr>
        <w:spacing w:after="120" w:line="264" w:lineRule="auto"/>
        <w:jc w:val="both"/>
        <w:rPr>
          <w:rFonts w:ascii="Times New Roman" w:hAnsi="Times New Roman" w:cs="Times New Roman"/>
          <w:sz w:val="24"/>
          <w:szCs w:val="24"/>
        </w:rPr>
      </w:pPr>
      <w:r w:rsidRPr="006D431D">
        <w:rPr>
          <w:rFonts w:ascii="Times New Roman" w:hAnsi="Times New Roman" w:cs="Times New Roman"/>
          <w:sz w:val="24"/>
          <w:szCs w:val="24"/>
        </w:rPr>
        <w:t xml:space="preserve">Nozīmīgs resurss biogāzes ražošanā var būt zālāji. Atkarībā no apmēra, kādā tiek izmantota lauksaimniecībā izmantojamā zeme (apskatītajos scenārijos no 5 % līdz 20 %), zālāju enerģētiskais potenciāls biogāzes ražošanai ir robežās no 32-145 milj. </w:t>
      </w:r>
      <w:r w:rsidRPr="006D431D">
        <w:rPr>
          <w:rFonts w:ascii="Times New Roman" w:hAnsi="Times New Roman" w:cs="Times New Roman"/>
          <w:sz w:val="24"/>
          <w:szCs w:val="24"/>
        </w:rPr>
        <w:lastRenderedPageBreak/>
        <w:t>m</w:t>
      </w:r>
      <w:r w:rsidRPr="006D431D">
        <w:rPr>
          <w:rFonts w:ascii="Times New Roman" w:hAnsi="Times New Roman" w:cs="Times New Roman"/>
          <w:sz w:val="24"/>
          <w:szCs w:val="24"/>
          <w:vertAlign w:val="superscript"/>
        </w:rPr>
        <w:t>3</w:t>
      </w:r>
      <w:r w:rsidRPr="006D431D">
        <w:rPr>
          <w:rFonts w:ascii="Times New Roman" w:hAnsi="Times New Roman" w:cs="Times New Roman"/>
          <w:sz w:val="24"/>
          <w:szCs w:val="24"/>
        </w:rPr>
        <w:t>/gadā. Papildus potenciāls saistās ar neizmantotās lauksaimniecībā izmantojamās zemes apgūšanu. Esošajā situācijā pie 100 % izmantošanas iegūstamais enerģētiskais potenciāls ir 260-290 milj. m</w:t>
      </w:r>
      <w:r w:rsidRPr="006D431D">
        <w:rPr>
          <w:rFonts w:ascii="Times New Roman" w:hAnsi="Times New Roman" w:cs="Times New Roman"/>
          <w:sz w:val="24"/>
          <w:szCs w:val="24"/>
          <w:vertAlign w:val="superscript"/>
        </w:rPr>
        <w:t>3</w:t>
      </w:r>
      <w:r w:rsidRPr="006D431D">
        <w:rPr>
          <w:rFonts w:ascii="Times New Roman" w:hAnsi="Times New Roman" w:cs="Times New Roman"/>
          <w:sz w:val="24"/>
          <w:szCs w:val="24"/>
        </w:rPr>
        <w:t>/gadā;</w:t>
      </w:r>
    </w:p>
    <w:p w14:paraId="5DA14332" w14:textId="77777777" w:rsidR="00C32B9F" w:rsidRPr="006D431D" w:rsidRDefault="002B39A1">
      <w:pPr>
        <w:pStyle w:val="ListParagraph"/>
        <w:numPr>
          <w:ilvl w:val="0"/>
          <w:numId w:val="7"/>
        </w:numPr>
        <w:spacing w:after="120" w:line="264" w:lineRule="auto"/>
        <w:jc w:val="both"/>
        <w:rPr>
          <w:rFonts w:ascii="Times New Roman" w:hAnsi="Times New Roman" w:cs="Times New Roman"/>
          <w:sz w:val="24"/>
          <w:szCs w:val="24"/>
        </w:rPr>
      </w:pPr>
      <w:r w:rsidRPr="006D431D">
        <w:rPr>
          <w:rFonts w:ascii="Times New Roman" w:hAnsi="Times New Roman" w:cs="Times New Roman"/>
          <w:sz w:val="24"/>
          <w:szCs w:val="24"/>
        </w:rPr>
        <w:t>Lauksaimniecībā radušos organisko augu atlikumu potenciālu ir grūti novērtēt, jo viennozīmīgi nevar pateikt, kāds ir reālistisks šādu atlikumu izmantošanas apjoms. Pieņemot, ka biogāzes ražošanai pieejami kultūraugu audzēšanas atlikumi 0,5-5 % apmērā no saražotās produkcijas, biogāzes potenciāls ir mērāms robežās no 2-20,3 milj. m</w:t>
      </w:r>
      <w:r w:rsidRPr="006D431D">
        <w:rPr>
          <w:rFonts w:ascii="Times New Roman" w:hAnsi="Times New Roman" w:cs="Times New Roman"/>
          <w:sz w:val="24"/>
          <w:szCs w:val="24"/>
          <w:vertAlign w:val="superscript"/>
        </w:rPr>
        <w:t>3</w:t>
      </w:r>
      <w:r w:rsidRPr="006D431D">
        <w:rPr>
          <w:rFonts w:ascii="Times New Roman" w:hAnsi="Times New Roman" w:cs="Times New Roman"/>
          <w:sz w:val="24"/>
          <w:szCs w:val="24"/>
        </w:rPr>
        <w:t xml:space="preserve"> 2030. gadā;</w:t>
      </w:r>
    </w:p>
    <w:p w14:paraId="0E9BB048" w14:textId="77777777" w:rsidR="00C32B9F" w:rsidRPr="006D431D" w:rsidRDefault="002B39A1">
      <w:pPr>
        <w:pStyle w:val="ListParagraph"/>
        <w:numPr>
          <w:ilvl w:val="0"/>
          <w:numId w:val="7"/>
        </w:numPr>
        <w:spacing w:after="120" w:line="264" w:lineRule="auto"/>
        <w:jc w:val="both"/>
        <w:rPr>
          <w:rFonts w:ascii="Times New Roman" w:hAnsi="Times New Roman" w:cs="Times New Roman"/>
          <w:sz w:val="24"/>
          <w:szCs w:val="24"/>
        </w:rPr>
      </w:pPr>
      <w:r w:rsidRPr="006D431D">
        <w:rPr>
          <w:rFonts w:ascii="Times New Roman" w:hAnsi="Times New Roman" w:cs="Times New Roman"/>
          <w:sz w:val="24"/>
          <w:szCs w:val="24"/>
        </w:rPr>
        <w:t xml:space="preserve">Bioloģisko noārdāmo atkritumu </w:t>
      </w:r>
      <w:r w:rsidRPr="006D431D">
        <w:rPr>
          <w:rFonts w:ascii="Times New Roman" w:hAnsi="Times New Roman" w:cs="Times New Roman"/>
          <w:sz w:val="24"/>
          <w:szCs w:val="24"/>
          <w:shd w:val="clear" w:color="auto" w:fill="FFFFFF"/>
        </w:rPr>
        <w:t>biogāzes potenciāls ir 18-90 milj. m</w:t>
      </w:r>
      <w:r w:rsidRPr="006D431D">
        <w:rPr>
          <w:rFonts w:ascii="Times New Roman" w:hAnsi="Times New Roman" w:cs="Times New Roman"/>
          <w:sz w:val="24"/>
          <w:szCs w:val="24"/>
          <w:shd w:val="clear" w:color="auto" w:fill="FFFFFF"/>
          <w:vertAlign w:val="superscript"/>
        </w:rPr>
        <w:t>3</w:t>
      </w:r>
      <w:r w:rsidRPr="006D431D">
        <w:rPr>
          <w:rFonts w:ascii="Times New Roman" w:hAnsi="Times New Roman" w:cs="Times New Roman"/>
          <w:sz w:val="24"/>
          <w:szCs w:val="24"/>
          <w:shd w:val="clear" w:color="auto" w:fill="FFFFFF"/>
        </w:rPr>
        <w:t>/gadā atkarībā no šo atkritumu pārstrādes apmēra anaerobajā fermentācijā. Poligonu gāzes izstrāde skatāma kontekstā ar bioloģisko atkritumu dalītas vākšanas un apsaimniekošanas sistēmas attīstību Latvijā. Palielinoties</w:t>
      </w:r>
      <w:r w:rsidRPr="006D431D">
        <w:rPr>
          <w:rFonts w:ascii="Times New Roman" w:hAnsi="Times New Roman" w:cs="Times New Roman"/>
          <w:sz w:val="24"/>
          <w:szCs w:val="24"/>
        </w:rPr>
        <w:t xml:space="preserve"> bioloģisko noārdāmo atkritumu dalītai vākšanai un pārstrādei, samazinās noglabāto organisko atkritumu daudzumus, kas samazina poligonu gāzes izstrādi. Atkarībā no šī samazinājuma ātruma, prognozētais poligonu gāzes potenciāls ir 12-17 milj. m</w:t>
      </w:r>
      <w:r w:rsidRPr="006D431D">
        <w:rPr>
          <w:rFonts w:ascii="Times New Roman" w:hAnsi="Times New Roman" w:cs="Times New Roman"/>
          <w:sz w:val="24"/>
          <w:szCs w:val="24"/>
          <w:vertAlign w:val="superscript"/>
        </w:rPr>
        <w:t>3</w:t>
      </w:r>
      <w:r w:rsidRPr="006D431D">
        <w:rPr>
          <w:rFonts w:ascii="Times New Roman" w:hAnsi="Times New Roman" w:cs="Times New Roman"/>
          <w:sz w:val="24"/>
          <w:szCs w:val="24"/>
        </w:rPr>
        <w:t xml:space="preserve">/gadā.  </w:t>
      </w:r>
    </w:p>
    <w:p w14:paraId="05C668D7" w14:textId="77777777" w:rsidR="00C32B9F" w:rsidRPr="006D431D" w:rsidRDefault="002B39A1">
      <w:pPr>
        <w:pStyle w:val="ListParagraph"/>
        <w:numPr>
          <w:ilvl w:val="0"/>
          <w:numId w:val="7"/>
        </w:numPr>
        <w:spacing w:after="120" w:line="264" w:lineRule="auto"/>
        <w:jc w:val="both"/>
        <w:rPr>
          <w:rFonts w:ascii="Times New Roman" w:hAnsi="Times New Roman" w:cs="Times New Roman"/>
          <w:sz w:val="24"/>
          <w:szCs w:val="24"/>
        </w:rPr>
      </w:pPr>
      <w:r w:rsidRPr="006D431D">
        <w:rPr>
          <w:rFonts w:ascii="Times New Roman" w:hAnsi="Times New Roman" w:cs="Times New Roman"/>
          <w:sz w:val="24"/>
          <w:szCs w:val="24"/>
        </w:rPr>
        <w:t>Notekūdeņu dūņu maksimālais teorētiskais potenciāls biogāzes ražošanā ir līdz 10 milj. m</w:t>
      </w:r>
      <w:r w:rsidRPr="006D431D">
        <w:rPr>
          <w:rFonts w:ascii="Times New Roman" w:hAnsi="Times New Roman" w:cs="Times New Roman"/>
          <w:sz w:val="24"/>
          <w:szCs w:val="24"/>
          <w:vertAlign w:val="superscript"/>
        </w:rPr>
        <w:t>3</w:t>
      </w:r>
      <w:r w:rsidRPr="006D431D">
        <w:rPr>
          <w:rFonts w:ascii="Times New Roman" w:hAnsi="Times New Roman" w:cs="Times New Roman"/>
          <w:sz w:val="24"/>
          <w:szCs w:val="24"/>
        </w:rPr>
        <w:t xml:space="preserve"> biogāzes gadā.</w:t>
      </w:r>
    </w:p>
    <w:p w14:paraId="27B0B9CD" w14:textId="77777777" w:rsidR="00C32B9F" w:rsidRPr="006D431D" w:rsidRDefault="002B39A1" w:rsidP="00A36D32">
      <w:pPr>
        <w:ind w:firstLine="720"/>
        <w:jc w:val="both"/>
        <w:rPr>
          <w:rFonts w:ascii="Times New Roman" w:hAnsi="Times New Roman" w:cs="Times New Roman"/>
          <w:sz w:val="24"/>
          <w:szCs w:val="24"/>
        </w:rPr>
      </w:pPr>
      <w:r w:rsidRPr="006D431D">
        <w:rPr>
          <w:rFonts w:ascii="Times New Roman" w:hAnsi="Times New Roman" w:cs="Times New Roman"/>
          <w:sz w:val="24"/>
          <w:szCs w:val="24"/>
        </w:rPr>
        <w:t>Lai gan izejvielu pieejamība ir vairākkārt lielāka, reālistiski vērtējot, kopējais izejvielu potenciāls biogāzes ražošanai Latvijā ir ap 200-250 milj. m</w:t>
      </w:r>
      <w:r w:rsidRPr="006D431D">
        <w:rPr>
          <w:rFonts w:ascii="Times New Roman" w:hAnsi="Times New Roman" w:cs="Times New Roman"/>
          <w:sz w:val="24"/>
          <w:szCs w:val="24"/>
          <w:vertAlign w:val="superscript"/>
        </w:rPr>
        <w:t>3</w:t>
      </w:r>
      <w:r w:rsidRPr="006D431D">
        <w:rPr>
          <w:rFonts w:ascii="Times New Roman" w:hAnsi="Times New Roman" w:cs="Times New Roman"/>
          <w:sz w:val="24"/>
          <w:szCs w:val="24"/>
        </w:rPr>
        <w:t>/gadā. Detalizētu pieņēmumu un rezultātu aprakstu skatīt tālāk. Pieņemot, ka ražotnes pašpatēriņam izmanto ~ 20 % no saražotās biogāzes un atlikumu izmanto biometāna ražošanai, iegūstamais biometāna daudzums ir ap 95-100 milj. m</w:t>
      </w:r>
      <w:r w:rsidRPr="006D431D">
        <w:rPr>
          <w:rFonts w:ascii="Times New Roman" w:hAnsi="Times New Roman" w:cs="Times New Roman"/>
          <w:sz w:val="24"/>
          <w:szCs w:val="24"/>
          <w:vertAlign w:val="superscript"/>
        </w:rPr>
        <w:t>3</w:t>
      </w:r>
      <w:r w:rsidRPr="006D431D">
        <w:rPr>
          <w:rFonts w:ascii="Times New Roman" w:hAnsi="Times New Roman" w:cs="Times New Roman"/>
          <w:sz w:val="24"/>
          <w:szCs w:val="24"/>
        </w:rPr>
        <w:t xml:space="preserve">/gadā. </w:t>
      </w:r>
    </w:p>
    <w:p w14:paraId="41D4C211" w14:textId="77777777" w:rsidR="00C32B9F" w:rsidRPr="006D431D" w:rsidRDefault="002B39A1">
      <w:pPr>
        <w:ind w:firstLine="720"/>
        <w:jc w:val="both"/>
        <w:rPr>
          <w:rFonts w:ascii="Times New Roman" w:hAnsi="Times New Roman" w:cs="Times New Roman"/>
          <w:sz w:val="24"/>
          <w:szCs w:val="24"/>
        </w:rPr>
      </w:pPr>
      <w:r w:rsidRPr="006D431D">
        <w:rPr>
          <w:rFonts w:ascii="Times New Roman" w:hAnsi="Times New Roman" w:cs="Times New Roman"/>
          <w:sz w:val="24"/>
          <w:szCs w:val="24"/>
        </w:rPr>
        <w:t>Biogāzei un no tās ražotam biometānam ir  nozīmīga loma SEG emisiju samazinājumā. Stājoties spēkā Direktīvai 2018/2001  par no atjaunojamajiem energoresursiem iegūtas enerģijas izmantošanas veicināšanu 2021. gada jūlijā</w:t>
      </w:r>
      <w:r w:rsidRPr="006D431D">
        <w:rPr>
          <w:rStyle w:val="FootnoteAnchor"/>
          <w:rFonts w:ascii="Times New Roman" w:hAnsi="Times New Roman" w:cs="Times New Roman"/>
          <w:sz w:val="24"/>
          <w:szCs w:val="24"/>
        </w:rPr>
        <w:footnoteReference w:id="9"/>
      </w:r>
      <w:r w:rsidRPr="006D431D">
        <w:rPr>
          <w:rFonts w:ascii="Times New Roman" w:hAnsi="Times New Roman" w:cs="Times New Roman"/>
          <w:sz w:val="24"/>
          <w:szCs w:val="24"/>
        </w:rPr>
        <w:t xml:space="preserve">, varēs ar kūtsmēsliem strādājošām biogāzes/biometāna stacijām izmantot </w:t>
      </w:r>
      <w:proofErr w:type="spellStart"/>
      <w:r w:rsidRPr="006D431D">
        <w:rPr>
          <w:rFonts w:ascii="Times New Roman" w:hAnsi="Times New Roman" w:cs="Times New Roman"/>
          <w:sz w:val="24"/>
          <w:szCs w:val="24"/>
        </w:rPr>
        <w:t>standartvērtības</w:t>
      </w:r>
      <w:proofErr w:type="spellEnd"/>
      <w:r w:rsidRPr="006D431D">
        <w:rPr>
          <w:rFonts w:ascii="Times New Roman" w:hAnsi="Times New Roman" w:cs="Times New Roman"/>
          <w:sz w:val="24"/>
          <w:szCs w:val="24"/>
        </w:rPr>
        <w:t xml:space="preserve"> SEG emisiju samazināšanai. Piemēram, biometāns, iegūts no kūtsmēsliem rada -103 gCO</w:t>
      </w:r>
      <w:r w:rsidRPr="006D431D">
        <w:rPr>
          <w:rFonts w:ascii="Times New Roman" w:hAnsi="Times New Roman" w:cs="Times New Roman"/>
          <w:sz w:val="24"/>
          <w:szCs w:val="24"/>
          <w:vertAlign w:val="subscript"/>
        </w:rPr>
        <w:t>2</w:t>
      </w:r>
      <w:r w:rsidRPr="006D431D">
        <w:rPr>
          <w:rFonts w:ascii="Times New Roman" w:hAnsi="Times New Roman" w:cs="Times New Roman"/>
          <w:sz w:val="24"/>
          <w:szCs w:val="24"/>
        </w:rPr>
        <w:t xml:space="preserve">eq/MJ jeb 206% ietaupījumu, salīdzinot ar dīzeļdegvielu. Ja gada laikā 1 MW stacija saražo 19000 </w:t>
      </w:r>
      <w:proofErr w:type="spellStart"/>
      <w:r w:rsidRPr="006D431D">
        <w:rPr>
          <w:rFonts w:ascii="Times New Roman" w:hAnsi="Times New Roman" w:cs="Times New Roman"/>
          <w:sz w:val="24"/>
          <w:szCs w:val="24"/>
        </w:rPr>
        <w:t>MWh</w:t>
      </w:r>
      <w:proofErr w:type="spellEnd"/>
      <w:r w:rsidRPr="006D431D">
        <w:rPr>
          <w:rFonts w:ascii="Times New Roman" w:hAnsi="Times New Roman" w:cs="Times New Roman"/>
          <w:sz w:val="24"/>
          <w:szCs w:val="24"/>
        </w:rPr>
        <w:t xml:space="preserve"> vai  68,4 </w:t>
      </w:r>
      <w:proofErr w:type="spellStart"/>
      <w:r w:rsidRPr="006D431D">
        <w:rPr>
          <w:rFonts w:ascii="Times New Roman" w:hAnsi="Times New Roman" w:cs="Times New Roman"/>
          <w:sz w:val="24"/>
          <w:szCs w:val="24"/>
        </w:rPr>
        <w:t>mlj</w:t>
      </w:r>
      <w:proofErr w:type="spellEnd"/>
      <w:r w:rsidRPr="006D431D">
        <w:rPr>
          <w:rFonts w:ascii="Times New Roman" w:hAnsi="Times New Roman" w:cs="Times New Roman"/>
          <w:sz w:val="24"/>
          <w:szCs w:val="24"/>
        </w:rPr>
        <w:t xml:space="preserve"> MJ, tad gadā rada  -7045 T CO</w:t>
      </w:r>
      <w:r w:rsidRPr="006D431D">
        <w:rPr>
          <w:rFonts w:ascii="Times New Roman" w:hAnsi="Times New Roman" w:cs="Times New Roman"/>
          <w:sz w:val="24"/>
          <w:szCs w:val="24"/>
          <w:vertAlign w:val="subscript"/>
        </w:rPr>
        <w:t>2</w:t>
      </w:r>
      <w:r w:rsidRPr="006D431D">
        <w:rPr>
          <w:rFonts w:ascii="Times New Roman" w:hAnsi="Times New Roman" w:cs="Times New Roman"/>
          <w:sz w:val="24"/>
          <w:szCs w:val="24"/>
        </w:rPr>
        <w:t>eq  jeb aizstājot dīzeļdegvielu, ietaupīsim 172,6 g CO</w:t>
      </w:r>
      <w:r w:rsidRPr="006D431D">
        <w:rPr>
          <w:rFonts w:ascii="Times New Roman" w:hAnsi="Times New Roman" w:cs="Times New Roman"/>
          <w:sz w:val="24"/>
          <w:szCs w:val="24"/>
          <w:vertAlign w:val="subscript"/>
        </w:rPr>
        <w:t>2</w:t>
      </w:r>
      <w:r w:rsidRPr="006D431D">
        <w:rPr>
          <w:rFonts w:ascii="Times New Roman" w:hAnsi="Times New Roman" w:cs="Times New Roman"/>
          <w:sz w:val="24"/>
          <w:szCs w:val="24"/>
        </w:rPr>
        <w:t>eq/MJ, kas gadā rezultējās 11805 t CO</w:t>
      </w:r>
      <w:r w:rsidRPr="006D431D">
        <w:rPr>
          <w:rFonts w:ascii="Times New Roman" w:hAnsi="Times New Roman" w:cs="Times New Roman"/>
          <w:sz w:val="24"/>
          <w:szCs w:val="24"/>
          <w:vertAlign w:val="subscript"/>
        </w:rPr>
        <w:t>2</w:t>
      </w:r>
      <w:r w:rsidRPr="006D431D">
        <w:rPr>
          <w:rFonts w:ascii="Times New Roman" w:hAnsi="Times New Roman" w:cs="Times New Roman"/>
          <w:sz w:val="24"/>
          <w:szCs w:val="24"/>
        </w:rPr>
        <w:t>eq. Aizstājot dīzeļdegvielu ar moderno biometānu, emisiju ietaupījums ir 43-206%.</w:t>
      </w:r>
    </w:p>
    <w:p w14:paraId="1A25E2CA" w14:textId="77777777" w:rsidR="00C32B9F" w:rsidRPr="006D431D" w:rsidRDefault="002B39A1">
      <w:pPr>
        <w:ind w:firstLine="360"/>
        <w:jc w:val="both"/>
        <w:rPr>
          <w:rFonts w:ascii="Times New Roman" w:hAnsi="Times New Roman" w:cs="Times New Roman"/>
          <w:sz w:val="24"/>
          <w:szCs w:val="24"/>
        </w:rPr>
      </w:pPr>
      <w:r w:rsidRPr="006D431D">
        <w:rPr>
          <w:rFonts w:ascii="Times New Roman" w:hAnsi="Times New Roman" w:cs="Times New Roman"/>
          <w:sz w:val="24"/>
          <w:szCs w:val="24"/>
        </w:rPr>
        <w:t>Latvijas biogāzes asociācija (turpmāk - LBA) norāda uz normatīvo aktu biežas mainības problēmām, kā rezultātā komersanti ir pārtraukuši investēt ražošanas modernizācijā, plānotajos remontos un izmantojamo izejvielu optimizēšanā. LBA norāda, ka neveidojot saprotamu valsts politiku attiecībā uz atkritumu apsaimniekošanu, SEG emisiju samazināšanu un AER attīstību, un nenosakot biogāzes tehnoloģiju vietu un nozīmi valsts politikas plānu izpildē, nav prognozējams, ka nākotnē varētu palielināties biogāzes iekārtu skaits, kaut arī izejvielu resursi (kūtsmēsli, pārtikas un lauksaimniecības atkritumi, komunālo saimniecību atkritumi un citas organiskas izcelsmes izejvielas) vēl ir pieejami.</w:t>
      </w:r>
    </w:p>
    <w:p w14:paraId="3A7A2657" w14:textId="77777777" w:rsidR="00C32B9F" w:rsidRPr="006D431D" w:rsidRDefault="002B39A1">
      <w:pPr>
        <w:ind w:firstLine="360"/>
        <w:jc w:val="both"/>
        <w:rPr>
          <w:rFonts w:ascii="Times New Roman" w:hAnsi="Times New Roman" w:cs="Times New Roman"/>
          <w:sz w:val="24"/>
          <w:szCs w:val="24"/>
        </w:rPr>
      </w:pPr>
      <w:r w:rsidRPr="006D431D">
        <w:rPr>
          <w:rFonts w:ascii="Times New Roman" w:hAnsi="Times New Roman" w:cs="Times New Roman"/>
          <w:sz w:val="24"/>
          <w:szCs w:val="24"/>
        </w:rPr>
        <w:lastRenderedPageBreak/>
        <w:t>Lai biogāzi izmantotu biodegvielas ražošanai vai ievadītu to dabasgāzes tīklā, ir jāizpilda vairāki noteikumi, kas galvenokārt ir saistīti ar biogāzes attīrīšanu līdz atbilstošai kvalitātei, ko nosaka Latvijas Republikas Ministru kabineta noteikumi Nr. 772 “Noteikumi par biodegvielas kvalitātes prasībām, atbilstības novērtēšanu, tirgus uzraudzību un patērētāju informēšanas kārtību</w:t>
      </w:r>
      <w:r w:rsidRPr="006D431D">
        <w:rPr>
          <w:rStyle w:val="FootnoteAnchor"/>
          <w:rFonts w:ascii="Times New Roman" w:hAnsi="Times New Roman" w:cs="Times New Roman"/>
          <w:sz w:val="24"/>
          <w:szCs w:val="24"/>
        </w:rPr>
        <w:footnoteReference w:id="10"/>
      </w:r>
      <w:r w:rsidRPr="006D431D">
        <w:rPr>
          <w:rFonts w:ascii="Times New Roman" w:hAnsi="Times New Roman" w:cs="Times New Roman"/>
          <w:sz w:val="24"/>
          <w:szCs w:val="24"/>
        </w:rPr>
        <w:t>”, kā arī Ministru kabineta noteikumi Nr. 650 “Prasības biometāna un gāzveida stāvoklī pārvērstas sašķidrinātās dabasgāzes ievadīšanai un transportēšanai dabasgāzes pārvades un sadales sistēmā</w:t>
      </w:r>
      <w:r w:rsidRPr="006D431D">
        <w:rPr>
          <w:rStyle w:val="FootnoteAnchor"/>
          <w:rFonts w:ascii="Times New Roman" w:hAnsi="Times New Roman" w:cs="Times New Roman"/>
          <w:sz w:val="24"/>
          <w:szCs w:val="24"/>
        </w:rPr>
        <w:footnoteReference w:id="11"/>
      </w:r>
      <w:r w:rsidRPr="006D431D">
        <w:rPr>
          <w:rFonts w:ascii="Times New Roman" w:hAnsi="Times New Roman" w:cs="Times New Roman"/>
          <w:sz w:val="24"/>
          <w:szCs w:val="24"/>
        </w:rPr>
        <w:t>”. Biogāzes enerģijas saturs ir krietni mazāks nekā biometāna enerģijas saturs, kas tiek panākts, pateicoties biogāzes kvalitātes uzlabošanai, lai varētu to izmantot kā biodegvielu. Biometāns pēc savām enerģētiskajām īpašībām neatšķiras no dabasgāzes. Pastāv dažādas tehnoloģiskās metodes, kā saražot biometānu no biogāzes</w:t>
      </w:r>
      <w:r w:rsidRPr="006D431D">
        <w:rPr>
          <w:rStyle w:val="FootnoteAnchor"/>
          <w:rFonts w:ascii="Times New Roman" w:hAnsi="Times New Roman" w:cs="Times New Roman"/>
          <w:sz w:val="24"/>
          <w:szCs w:val="24"/>
        </w:rPr>
        <w:footnoteReference w:id="12"/>
      </w:r>
      <w:r w:rsidRPr="006D431D">
        <w:rPr>
          <w:rFonts w:ascii="Times New Roman" w:hAnsi="Times New Roman" w:cs="Times New Roman"/>
          <w:sz w:val="24"/>
          <w:szCs w:val="24"/>
        </w:rPr>
        <w:t xml:space="preserve">. </w:t>
      </w:r>
    </w:p>
    <w:p w14:paraId="7B1DB1F7" w14:textId="20ECDE3E" w:rsidR="00C32B9F" w:rsidRPr="006D431D" w:rsidRDefault="002B39A1">
      <w:pPr>
        <w:jc w:val="both"/>
        <w:rPr>
          <w:rFonts w:ascii="Times New Roman" w:hAnsi="Times New Roman" w:cs="Times New Roman"/>
          <w:sz w:val="24"/>
          <w:szCs w:val="24"/>
        </w:rPr>
      </w:pPr>
      <w:r w:rsidRPr="006D431D">
        <w:rPr>
          <w:rFonts w:ascii="Times New Roman" w:hAnsi="Times New Roman" w:cs="Times New Roman"/>
          <w:sz w:val="24"/>
          <w:szCs w:val="24"/>
        </w:rPr>
        <w:tab/>
        <w:t xml:space="preserve">Vērtējot Latvijas dabasgāzes infrastruktūras tīklu un biogāzes staciju izvietojumu to tuvumā un spēkā esošos normatīvos aktus, Latvijas biogāzes asociācija ir secinājusi, ka biometāna ražošana un tieša ievadīšana dabasgāzes pārvades tīklā ir iespējama maksimāli 16 vietās, taču arī šajās vietās ir jāvērtē patiesais attālums līdz dabasgāzes pārvades cauruļvadam un nepieciešamās investīcijas biometāna </w:t>
      </w:r>
      <w:proofErr w:type="spellStart"/>
      <w:r w:rsidRPr="006D431D">
        <w:rPr>
          <w:rFonts w:ascii="Times New Roman" w:hAnsi="Times New Roman" w:cs="Times New Roman"/>
          <w:sz w:val="24"/>
          <w:szCs w:val="24"/>
        </w:rPr>
        <w:t>pieslēguma</w:t>
      </w:r>
      <w:proofErr w:type="spellEnd"/>
      <w:r w:rsidRPr="006D431D">
        <w:rPr>
          <w:rFonts w:ascii="Times New Roman" w:hAnsi="Times New Roman" w:cs="Times New Roman"/>
          <w:sz w:val="24"/>
          <w:szCs w:val="24"/>
        </w:rPr>
        <w:t xml:space="preserve"> izbūvei. Vērtējot biometāna ievadīšanu dabasgāzes sadales tīklā ir jānovērtē dabasgāzes sadales tīkla patēriņa noslodze gada griezumā. </w:t>
      </w:r>
    </w:p>
    <w:p w14:paraId="3D41532E" w14:textId="4529AD03" w:rsidR="00C32B9F" w:rsidRPr="006D431D" w:rsidRDefault="002B39A1">
      <w:pPr>
        <w:jc w:val="both"/>
        <w:rPr>
          <w:rFonts w:ascii="Times New Roman" w:hAnsi="Times New Roman" w:cs="Times New Roman"/>
          <w:sz w:val="24"/>
          <w:szCs w:val="24"/>
        </w:rPr>
      </w:pPr>
      <w:r w:rsidRPr="006D431D">
        <w:rPr>
          <w:rFonts w:ascii="Times New Roman" w:hAnsi="Times New Roman" w:cs="Times New Roman"/>
          <w:sz w:val="24"/>
          <w:szCs w:val="24"/>
        </w:rPr>
        <w:tab/>
        <w:t>Izveidojot izcelsmes apliecinājumu sistēmu, kura būs atbilstoša kādai no Eiropas shēmām, piemēram AIB</w:t>
      </w:r>
      <w:r w:rsidRPr="006D431D">
        <w:rPr>
          <w:rStyle w:val="FootnoteAnchor"/>
          <w:rFonts w:ascii="Times New Roman" w:hAnsi="Times New Roman" w:cs="Times New Roman"/>
          <w:sz w:val="24"/>
          <w:szCs w:val="24"/>
        </w:rPr>
        <w:footnoteReference w:id="13"/>
      </w:r>
      <w:r w:rsidRPr="006D431D">
        <w:rPr>
          <w:rFonts w:ascii="Times New Roman" w:hAnsi="Times New Roman" w:cs="Times New Roman"/>
          <w:sz w:val="24"/>
          <w:szCs w:val="24"/>
        </w:rPr>
        <w:t xml:space="preserve">, un, attiecīgi, citu reģiona ES valstu nosacījumiem, paredzams, ka veidosies reģionālais biometāna tirgus. Šobrīd nav precīzu datu par potenciālo biometāna cenu šajā tirgū, bet investoriem un ražotājiem ir jārēķinās, ka konkurences apstākļos izmaksu efektivitātei būs būtiska nozīme. </w:t>
      </w:r>
    </w:p>
    <w:p w14:paraId="0E20EEB2" w14:textId="06B74AD1" w:rsidR="00C32B9F" w:rsidRPr="006D431D" w:rsidRDefault="002B39A1">
      <w:pPr>
        <w:ind w:firstLine="720"/>
        <w:jc w:val="both"/>
        <w:rPr>
          <w:rFonts w:ascii="Times New Roman" w:hAnsi="Times New Roman" w:cs="Times New Roman"/>
          <w:sz w:val="24"/>
          <w:szCs w:val="24"/>
        </w:rPr>
      </w:pPr>
      <w:r w:rsidRPr="006D431D">
        <w:rPr>
          <w:rFonts w:ascii="Times New Roman" w:hAnsi="Times New Roman" w:cs="Times New Roman"/>
          <w:sz w:val="24"/>
          <w:szCs w:val="24"/>
        </w:rPr>
        <w:t xml:space="preserve">Pārvades sistēmas operatora AS „Conexus Baltic Grid” pasūtītā pētījumā </w:t>
      </w:r>
      <w:r w:rsidR="00B377E3" w:rsidRPr="006D431D">
        <w:rPr>
          <w:rFonts w:ascii="Times New Roman" w:hAnsi="Times New Roman" w:cs="Times New Roman"/>
          <w:sz w:val="24"/>
          <w:szCs w:val="24"/>
        </w:rPr>
        <w:t xml:space="preserve">tika izvērtēts </w:t>
      </w:r>
      <w:r w:rsidRPr="006D431D">
        <w:rPr>
          <w:rFonts w:ascii="Times New Roman" w:hAnsi="Times New Roman" w:cs="Times New Roman"/>
          <w:sz w:val="24"/>
          <w:szCs w:val="24"/>
        </w:rPr>
        <w:t xml:space="preserve">modelis ir veidot biometāna ražošanas klasterus, kur biogāzi biometāna ražošanas iekārtam pa cauruļvadu tīklu nogādā līdz pārvades gāzesvadam, kur attīrot biogāzi līdz metāna kvalitātei ievada dabasgāzes pārvades tīklā. Latvijā varētu tikt veidoti 8 šādi klasteri, taču ņemot vērā staciju izvietojumu un ražošanas apjomu no izmaksu viedokļa efektīvākie varētu būt divi – Iecavas un Vangažu klasteri. </w:t>
      </w:r>
    </w:p>
    <w:p w14:paraId="2071D41E" w14:textId="7F526D6B" w:rsidR="00C32B9F" w:rsidRPr="006D431D" w:rsidRDefault="002B39A1">
      <w:pPr>
        <w:ind w:firstLine="720"/>
        <w:jc w:val="both"/>
        <w:rPr>
          <w:rFonts w:ascii="Times New Roman" w:hAnsi="Times New Roman" w:cs="Times New Roman"/>
          <w:sz w:val="24"/>
          <w:szCs w:val="24"/>
        </w:rPr>
      </w:pPr>
      <w:r w:rsidRPr="006D431D">
        <w:rPr>
          <w:rFonts w:ascii="Times New Roman" w:hAnsi="Times New Roman" w:cs="Times New Roman"/>
          <w:sz w:val="24"/>
          <w:szCs w:val="24"/>
        </w:rPr>
        <w:t>Pastāv arī konteinerpārvadājumu iespēja, kas šobrīd salīdzinoši veiksmīgi tiek realizēts Igaunijā un Skandināvijas valstīs. Tas nozīmē, ka, principā, ir iespējams saražoto biometānu uzkrāt gāzes konteineros vai balonos un ar kravas autotransportu nogādāt līdz biometāna ievadīšanas punktam. Daļai biogāzes staciju, kur tuvumā nav gāzes tīklu, konteinerpārvadājumi ir vienīgā iespēja. Ja iespējams precīzi līdzsvarot biometāna ražošanu un patēriņu, tad pastāv iespēja saražoto biometānu uzreiz izmantot transportā, bez pārvadāšanas vai ievadīšanas dabasgāzes tīklā.</w:t>
      </w:r>
      <w:r w:rsidR="007954B5" w:rsidRPr="006D431D">
        <w:rPr>
          <w:rFonts w:ascii="Times New Roman" w:hAnsi="Times New Roman" w:cs="Times New Roman"/>
          <w:sz w:val="24"/>
          <w:szCs w:val="24"/>
        </w:rPr>
        <w:t xml:space="preserve"> </w:t>
      </w:r>
    </w:p>
    <w:p w14:paraId="011711DC" w14:textId="11F7EFF6" w:rsidR="00F92773" w:rsidRPr="006D431D" w:rsidRDefault="00FF6A29" w:rsidP="00F92773">
      <w:pPr>
        <w:ind w:firstLine="720"/>
        <w:jc w:val="both"/>
        <w:rPr>
          <w:rFonts w:ascii="Times New Roman" w:hAnsi="Times New Roman" w:cs="Times New Roman"/>
          <w:sz w:val="24"/>
          <w:szCs w:val="24"/>
        </w:rPr>
      </w:pPr>
      <w:r w:rsidRPr="006D431D">
        <w:rPr>
          <w:rFonts w:ascii="Times New Roman" w:hAnsi="Times New Roman" w:cs="Times New Roman"/>
          <w:sz w:val="24"/>
          <w:szCs w:val="24"/>
        </w:rPr>
        <w:lastRenderedPageBreak/>
        <w:t xml:space="preserve">Šādā risinājumā </w:t>
      </w:r>
      <w:r w:rsidR="00777B69" w:rsidRPr="006D431D">
        <w:rPr>
          <w:rFonts w:ascii="Times New Roman" w:hAnsi="Times New Roman" w:cs="Times New Roman"/>
          <w:sz w:val="24"/>
          <w:szCs w:val="24"/>
        </w:rPr>
        <w:t xml:space="preserve">tiktu izveidoti 3 </w:t>
      </w:r>
      <w:r w:rsidR="002F7DE6" w:rsidRPr="006D431D">
        <w:rPr>
          <w:rFonts w:ascii="Times New Roman" w:hAnsi="Times New Roman" w:cs="Times New Roman"/>
          <w:sz w:val="24"/>
          <w:szCs w:val="24"/>
        </w:rPr>
        <w:t xml:space="preserve">reģionālie </w:t>
      </w:r>
      <w:proofErr w:type="spellStart"/>
      <w:r w:rsidR="002F7DE6" w:rsidRPr="006D431D">
        <w:rPr>
          <w:rFonts w:ascii="Times New Roman" w:hAnsi="Times New Roman" w:cs="Times New Roman"/>
          <w:sz w:val="24"/>
          <w:szCs w:val="24"/>
        </w:rPr>
        <w:t>pieslē</w:t>
      </w:r>
      <w:r w:rsidR="006D431D" w:rsidRPr="006D431D">
        <w:rPr>
          <w:rFonts w:ascii="Times New Roman" w:hAnsi="Times New Roman" w:cs="Times New Roman"/>
          <w:sz w:val="24"/>
          <w:szCs w:val="24"/>
        </w:rPr>
        <w:t>g</w:t>
      </w:r>
      <w:r w:rsidR="002F7DE6" w:rsidRPr="006D431D">
        <w:rPr>
          <w:rFonts w:ascii="Times New Roman" w:hAnsi="Times New Roman" w:cs="Times New Roman"/>
          <w:sz w:val="24"/>
          <w:szCs w:val="24"/>
        </w:rPr>
        <w:t>umu</w:t>
      </w:r>
      <w:proofErr w:type="spellEnd"/>
      <w:r w:rsidR="002F7DE6" w:rsidRPr="006D431D">
        <w:rPr>
          <w:rFonts w:ascii="Times New Roman" w:hAnsi="Times New Roman" w:cs="Times New Roman"/>
          <w:sz w:val="24"/>
          <w:szCs w:val="24"/>
        </w:rPr>
        <w:t xml:space="preserve"> punkti Conexus gāzes vadiem, kas </w:t>
      </w:r>
      <w:r w:rsidR="00F92773" w:rsidRPr="006D431D">
        <w:rPr>
          <w:rFonts w:ascii="Times New Roman" w:hAnsi="Times New Roman" w:cs="Times New Roman"/>
          <w:sz w:val="24"/>
          <w:szCs w:val="24"/>
        </w:rPr>
        <w:t>v</w:t>
      </w:r>
      <w:r w:rsidR="002F7DE6" w:rsidRPr="006D431D">
        <w:rPr>
          <w:rFonts w:ascii="Times New Roman" w:hAnsi="Times New Roman" w:cs="Times New Roman"/>
          <w:sz w:val="24"/>
          <w:szCs w:val="24"/>
        </w:rPr>
        <w:t xml:space="preserve">ar pieņemt biometānu no </w:t>
      </w:r>
      <w:r w:rsidR="00F92773" w:rsidRPr="006D431D">
        <w:rPr>
          <w:rFonts w:ascii="Times New Roman" w:hAnsi="Times New Roman" w:cs="Times New Roman"/>
          <w:sz w:val="24"/>
          <w:szCs w:val="24"/>
        </w:rPr>
        <w:t xml:space="preserve">vairāk kā </w:t>
      </w:r>
      <w:r w:rsidR="002F7DE6" w:rsidRPr="006D431D">
        <w:rPr>
          <w:rFonts w:ascii="Times New Roman" w:hAnsi="Times New Roman" w:cs="Times New Roman"/>
          <w:sz w:val="24"/>
          <w:szCs w:val="24"/>
        </w:rPr>
        <w:t>50 stacijām</w:t>
      </w:r>
      <w:r w:rsidR="00F92773" w:rsidRPr="006D431D">
        <w:rPr>
          <w:rFonts w:ascii="Times New Roman" w:hAnsi="Times New Roman" w:cs="Times New Roman"/>
          <w:sz w:val="24"/>
          <w:szCs w:val="24"/>
        </w:rPr>
        <w:t>. Aptuvenās i</w:t>
      </w:r>
      <w:r w:rsidR="002F7DE6" w:rsidRPr="006D431D">
        <w:rPr>
          <w:rFonts w:ascii="Times New Roman" w:hAnsi="Times New Roman" w:cs="Times New Roman"/>
          <w:sz w:val="24"/>
          <w:szCs w:val="24"/>
        </w:rPr>
        <w:t>zmaksas 4-5 milj. EUR</w:t>
      </w:r>
      <w:r w:rsidR="00F92773" w:rsidRPr="006D431D">
        <w:rPr>
          <w:rFonts w:ascii="Times New Roman" w:hAnsi="Times New Roman" w:cs="Times New Roman"/>
          <w:sz w:val="24"/>
          <w:szCs w:val="24"/>
        </w:rPr>
        <w:t>, Var pieņemt biometānu no 50 stacijām</w:t>
      </w:r>
      <w:r w:rsidR="00814F87" w:rsidRPr="006D431D">
        <w:rPr>
          <w:rFonts w:ascii="Times New Roman" w:hAnsi="Times New Roman" w:cs="Times New Roman"/>
          <w:sz w:val="24"/>
          <w:szCs w:val="24"/>
        </w:rPr>
        <w:t>, aptuvenās i</w:t>
      </w:r>
      <w:r w:rsidR="00F92773" w:rsidRPr="006D431D">
        <w:rPr>
          <w:rFonts w:ascii="Times New Roman" w:hAnsi="Times New Roman" w:cs="Times New Roman"/>
          <w:sz w:val="24"/>
          <w:szCs w:val="24"/>
        </w:rPr>
        <w:t>zmaksas 4-5 milj. EUR</w:t>
      </w:r>
      <w:r w:rsidR="00814F87" w:rsidRPr="006D431D">
        <w:rPr>
          <w:rFonts w:ascii="Times New Roman" w:hAnsi="Times New Roman" w:cs="Times New Roman"/>
          <w:sz w:val="24"/>
          <w:szCs w:val="24"/>
        </w:rPr>
        <w:t xml:space="preserve">, </w:t>
      </w:r>
      <w:r w:rsidR="0061587F" w:rsidRPr="006D431D">
        <w:rPr>
          <w:rFonts w:ascii="Times New Roman" w:hAnsi="Times New Roman" w:cs="Times New Roman"/>
          <w:sz w:val="24"/>
          <w:szCs w:val="24"/>
        </w:rPr>
        <w:t>i</w:t>
      </w:r>
      <w:r w:rsidR="00F92773" w:rsidRPr="006D431D">
        <w:rPr>
          <w:rFonts w:ascii="Times New Roman" w:hAnsi="Times New Roman" w:cs="Times New Roman"/>
          <w:sz w:val="24"/>
          <w:szCs w:val="24"/>
        </w:rPr>
        <w:t>zbūves termiņš 2-2</w:t>
      </w:r>
      <w:r w:rsidR="0061587F" w:rsidRPr="006D431D">
        <w:rPr>
          <w:rFonts w:ascii="Times New Roman" w:hAnsi="Times New Roman" w:cs="Times New Roman"/>
          <w:sz w:val="24"/>
          <w:szCs w:val="24"/>
        </w:rPr>
        <w:t>,</w:t>
      </w:r>
      <w:r w:rsidR="00F92773" w:rsidRPr="006D431D">
        <w:rPr>
          <w:rFonts w:ascii="Times New Roman" w:hAnsi="Times New Roman" w:cs="Times New Roman"/>
          <w:sz w:val="24"/>
          <w:szCs w:val="24"/>
        </w:rPr>
        <w:t>5 gadi</w:t>
      </w:r>
      <w:r w:rsidR="00C74CD0" w:rsidRPr="006D431D">
        <w:rPr>
          <w:rFonts w:ascii="Times New Roman" w:hAnsi="Times New Roman" w:cs="Times New Roman"/>
          <w:sz w:val="24"/>
          <w:szCs w:val="24"/>
        </w:rPr>
        <w:t xml:space="preserve">, </w:t>
      </w:r>
      <w:r w:rsidR="00F92773" w:rsidRPr="006D431D">
        <w:rPr>
          <w:rFonts w:ascii="Times New Roman" w:hAnsi="Times New Roman" w:cs="Times New Roman"/>
          <w:sz w:val="24"/>
          <w:szCs w:val="24"/>
        </w:rPr>
        <w:t>120 – 150 milj. m</w:t>
      </w:r>
      <w:r w:rsidR="00F92773" w:rsidRPr="006D431D">
        <w:rPr>
          <w:rFonts w:ascii="Times New Roman" w:hAnsi="Times New Roman" w:cs="Times New Roman"/>
          <w:sz w:val="24"/>
          <w:szCs w:val="24"/>
          <w:vertAlign w:val="superscript"/>
        </w:rPr>
        <w:t>3</w:t>
      </w:r>
      <w:r w:rsidR="00F92773" w:rsidRPr="006D431D">
        <w:rPr>
          <w:rFonts w:ascii="Times New Roman" w:hAnsi="Times New Roman" w:cs="Times New Roman"/>
          <w:sz w:val="24"/>
          <w:szCs w:val="24"/>
        </w:rPr>
        <w:t xml:space="preserve"> gadā</w:t>
      </w:r>
      <w:r w:rsidR="00C74CD0" w:rsidRPr="006D431D">
        <w:rPr>
          <w:rFonts w:ascii="Times New Roman" w:hAnsi="Times New Roman" w:cs="Times New Roman"/>
          <w:sz w:val="24"/>
          <w:szCs w:val="24"/>
        </w:rPr>
        <w:t xml:space="preserve">, kas sastādītu līdz </w:t>
      </w:r>
      <w:r w:rsidR="00F92773" w:rsidRPr="006D431D">
        <w:rPr>
          <w:rFonts w:ascii="Times New Roman" w:hAnsi="Times New Roman" w:cs="Times New Roman"/>
          <w:sz w:val="24"/>
          <w:szCs w:val="24"/>
        </w:rPr>
        <w:t xml:space="preserve"> 10% no Latvijas </w:t>
      </w:r>
      <w:r w:rsidR="00C74CD0" w:rsidRPr="006D431D">
        <w:rPr>
          <w:rFonts w:ascii="Times New Roman" w:hAnsi="Times New Roman" w:cs="Times New Roman"/>
          <w:sz w:val="24"/>
          <w:szCs w:val="24"/>
        </w:rPr>
        <w:t xml:space="preserve">gāzes </w:t>
      </w:r>
      <w:r w:rsidR="00F92773" w:rsidRPr="006D431D">
        <w:rPr>
          <w:rFonts w:ascii="Times New Roman" w:hAnsi="Times New Roman" w:cs="Times New Roman"/>
          <w:sz w:val="24"/>
          <w:szCs w:val="24"/>
        </w:rPr>
        <w:t>patēriņa</w:t>
      </w:r>
      <w:r w:rsidR="00C74CD0" w:rsidRPr="006D431D">
        <w:rPr>
          <w:rFonts w:ascii="Times New Roman" w:hAnsi="Times New Roman" w:cs="Times New Roman"/>
          <w:sz w:val="24"/>
          <w:szCs w:val="24"/>
        </w:rPr>
        <w:t>.</w:t>
      </w:r>
      <w:r w:rsidR="00F92773" w:rsidRPr="006D431D">
        <w:rPr>
          <w:rFonts w:ascii="Times New Roman" w:hAnsi="Times New Roman" w:cs="Times New Roman"/>
          <w:sz w:val="24"/>
          <w:szCs w:val="24"/>
        </w:rPr>
        <w:t xml:space="preserve"> </w:t>
      </w:r>
    </w:p>
    <w:p w14:paraId="3FE31BBF" w14:textId="6D14E489" w:rsidR="002F7DE6" w:rsidRPr="006D431D" w:rsidRDefault="002F7DE6" w:rsidP="002F7DE6">
      <w:pPr>
        <w:ind w:firstLine="720"/>
        <w:jc w:val="both"/>
        <w:rPr>
          <w:rFonts w:ascii="Times New Roman" w:hAnsi="Times New Roman" w:cs="Times New Roman"/>
          <w:sz w:val="24"/>
          <w:szCs w:val="24"/>
        </w:rPr>
      </w:pPr>
    </w:p>
    <w:p w14:paraId="49E3583E" w14:textId="77777777" w:rsidR="00C32B9F" w:rsidRPr="006D431D" w:rsidRDefault="002B39A1" w:rsidP="002F6959">
      <w:pPr>
        <w:pStyle w:val="Heading2"/>
        <w:ind w:firstLine="300"/>
        <w:rPr>
          <w:rFonts w:ascii="Times New Roman" w:hAnsi="Times New Roman" w:cs="Times New Roman"/>
          <w:color w:val="auto"/>
          <w:sz w:val="24"/>
          <w:szCs w:val="24"/>
        </w:rPr>
      </w:pPr>
      <w:bookmarkStart w:id="6" w:name="_Toc101605175"/>
      <w:r w:rsidRPr="006D431D">
        <w:rPr>
          <w:rFonts w:ascii="Times New Roman" w:hAnsi="Times New Roman" w:cs="Times New Roman"/>
          <w:color w:val="auto"/>
          <w:sz w:val="24"/>
          <w:szCs w:val="24"/>
        </w:rPr>
        <w:t>2.3. Nacionālā enerģētikas un klimata plāna mērķi un paredzētie pasākumi atjaunojamo energoresursu gala patēriņa veicināšanai transporta sektorā</w:t>
      </w:r>
      <w:bookmarkEnd w:id="6"/>
      <w:r w:rsidRPr="006D431D">
        <w:rPr>
          <w:rFonts w:ascii="Times New Roman" w:hAnsi="Times New Roman" w:cs="Times New Roman"/>
          <w:color w:val="auto"/>
          <w:sz w:val="24"/>
          <w:szCs w:val="24"/>
        </w:rPr>
        <w:t xml:space="preserve"> </w:t>
      </w:r>
    </w:p>
    <w:p w14:paraId="31BD1818" w14:textId="77777777" w:rsidR="00C32B9F" w:rsidRPr="006D431D" w:rsidRDefault="002B39A1">
      <w:pPr>
        <w:pStyle w:val="tvhtml"/>
        <w:shd w:val="clear" w:color="auto" w:fill="FFFFFF"/>
        <w:spacing w:before="280" w:after="280" w:line="293" w:lineRule="atLeast"/>
        <w:ind w:firstLine="300"/>
      </w:pPr>
      <w:r w:rsidRPr="006D431D">
        <w:t>Nacionālā Enerģētikas un klimata plāna AER īpatsvara enerģijas gala patēriņā mērķi, tai skaitā transporta sektorā sasniedzamie mērķi un rezultatīvie rādītāji parādīti 1. tabulā.</w:t>
      </w:r>
    </w:p>
    <w:p w14:paraId="3E5214D4" w14:textId="77777777" w:rsidR="00C32B9F" w:rsidRPr="006D431D" w:rsidRDefault="002B39A1">
      <w:pPr>
        <w:pStyle w:val="Caption"/>
        <w:rPr>
          <w:sz w:val="24"/>
          <w:szCs w:val="24"/>
        </w:rPr>
      </w:pPr>
      <w:r w:rsidRPr="006D431D">
        <w:rPr>
          <w:sz w:val="24"/>
          <w:szCs w:val="24"/>
        </w:rPr>
        <w:t>1. tabula. Latvijas AER izmantošanas politikas mērķi un to rezultatīvie radītāji</w:t>
      </w:r>
    </w:p>
    <w:tbl>
      <w:tblPr>
        <w:tblW w:w="9601" w:type="dxa"/>
        <w:jc w:val="center"/>
        <w:tblLayout w:type="fixed"/>
        <w:tblCellMar>
          <w:left w:w="28" w:type="dxa"/>
          <w:right w:w="28" w:type="dxa"/>
        </w:tblCellMar>
        <w:tblLook w:val="04A0" w:firstRow="1" w:lastRow="0" w:firstColumn="1" w:lastColumn="0" w:noHBand="0" w:noVBand="1"/>
      </w:tblPr>
      <w:tblGrid>
        <w:gridCol w:w="3985"/>
        <w:gridCol w:w="949"/>
        <w:gridCol w:w="914"/>
        <w:gridCol w:w="913"/>
        <w:gridCol w:w="946"/>
        <w:gridCol w:w="948"/>
        <w:gridCol w:w="946"/>
      </w:tblGrid>
      <w:tr w:rsidR="00A618CA" w:rsidRPr="006D431D" w14:paraId="0D4EFE6B" w14:textId="77777777">
        <w:trPr>
          <w:trHeight w:val="525"/>
          <w:tblHeader/>
          <w:jc w:val="center"/>
        </w:trPr>
        <w:tc>
          <w:tcPr>
            <w:tcW w:w="3984" w:type="dxa"/>
            <w:vMerge w:val="restart"/>
            <w:tcBorders>
              <w:top w:val="single" w:sz="4" w:space="0" w:color="000000"/>
              <w:left w:val="single" w:sz="4" w:space="0" w:color="000000"/>
              <w:bottom w:val="single" w:sz="4" w:space="0" w:color="000000"/>
              <w:right w:val="single" w:sz="4" w:space="0" w:color="000000"/>
            </w:tcBorders>
            <w:shd w:val="clear" w:color="000000" w:fill="F2F2F2"/>
            <w:vAlign w:val="center"/>
          </w:tcPr>
          <w:p w14:paraId="6DF5E720" w14:textId="77777777" w:rsidR="00C32B9F" w:rsidRPr="006D431D" w:rsidRDefault="002B39A1">
            <w:pPr>
              <w:widowControl w:val="0"/>
              <w:spacing w:after="0" w:line="240" w:lineRule="auto"/>
              <w:rPr>
                <w:rFonts w:ascii="Times New Roman" w:eastAsia="Times New Roman" w:hAnsi="Times New Roman" w:cs="Times New Roman"/>
                <w:b/>
                <w:bCs/>
                <w:sz w:val="24"/>
                <w:szCs w:val="24"/>
                <w:lang w:eastAsia="lv-LV"/>
              </w:rPr>
            </w:pPr>
            <w:r w:rsidRPr="006D431D">
              <w:rPr>
                <w:rFonts w:ascii="Times New Roman" w:eastAsia="Times New Roman" w:hAnsi="Times New Roman" w:cs="Times New Roman"/>
                <w:b/>
                <w:bCs/>
                <w:sz w:val="24"/>
                <w:szCs w:val="24"/>
                <w:lang w:eastAsia="lv-LV"/>
              </w:rPr>
              <w:t xml:space="preserve">Politikas rezultāts dekarbonizācijas dimensijas AER enerģijas </w:t>
            </w:r>
            <w:proofErr w:type="spellStart"/>
            <w:r w:rsidRPr="006D431D">
              <w:rPr>
                <w:rFonts w:ascii="Times New Roman" w:eastAsia="Times New Roman" w:hAnsi="Times New Roman" w:cs="Times New Roman"/>
                <w:b/>
                <w:bCs/>
                <w:sz w:val="24"/>
                <w:szCs w:val="24"/>
                <w:lang w:eastAsia="lv-LV"/>
              </w:rPr>
              <w:t>apakšdimensijā</w:t>
            </w:r>
            <w:proofErr w:type="spellEnd"/>
          </w:p>
        </w:tc>
        <w:tc>
          <w:tcPr>
            <w:tcW w:w="949" w:type="dxa"/>
            <w:tcBorders>
              <w:top w:val="single" w:sz="4" w:space="0" w:color="000000"/>
              <w:left w:val="single" w:sz="4" w:space="0" w:color="000000"/>
              <w:bottom w:val="single" w:sz="4" w:space="0" w:color="000000"/>
              <w:right w:val="single" w:sz="4" w:space="0" w:color="000000"/>
            </w:tcBorders>
            <w:shd w:val="clear" w:color="000000" w:fill="F2F2F2"/>
            <w:vAlign w:val="center"/>
          </w:tcPr>
          <w:p w14:paraId="0DB095DD" w14:textId="77777777" w:rsidR="00C32B9F" w:rsidRPr="006D431D" w:rsidRDefault="002B39A1">
            <w:pPr>
              <w:widowControl w:val="0"/>
              <w:spacing w:after="0" w:line="240" w:lineRule="auto"/>
              <w:jc w:val="center"/>
              <w:rPr>
                <w:rFonts w:ascii="Times New Roman" w:eastAsia="Times New Roman" w:hAnsi="Times New Roman" w:cs="Times New Roman"/>
                <w:b/>
                <w:bCs/>
                <w:sz w:val="24"/>
                <w:szCs w:val="24"/>
                <w:lang w:eastAsia="lv-LV"/>
              </w:rPr>
            </w:pPr>
            <w:r w:rsidRPr="006D431D">
              <w:rPr>
                <w:rFonts w:ascii="Times New Roman" w:eastAsia="Times New Roman" w:hAnsi="Times New Roman" w:cs="Times New Roman"/>
                <w:b/>
                <w:bCs/>
                <w:sz w:val="24"/>
                <w:szCs w:val="24"/>
                <w:lang w:eastAsia="lv-LV"/>
              </w:rPr>
              <w:t>Faktiskā</w:t>
            </w:r>
          </w:p>
          <w:p w14:paraId="4A71EDAA" w14:textId="77777777" w:rsidR="00C32B9F" w:rsidRPr="006D431D" w:rsidRDefault="002B39A1">
            <w:pPr>
              <w:widowControl w:val="0"/>
              <w:spacing w:after="0" w:line="240" w:lineRule="auto"/>
              <w:jc w:val="center"/>
              <w:rPr>
                <w:rFonts w:ascii="Times New Roman" w:eastAsia="Times New Roman" w:hAnsi="Times New Roman" w:cs="Times New Roman"/>
                <w:b/>
                <w:bCs/>
                <w:sz w:val="24"/>
                <w:szCs w:val="24"/>
                <w:lang w:eastAsia="lv-LV"/>
              </w:rPr>
            </w:pPr>
            <w:r w:rsidRPr="006D431D">
              <w:rPr>
                <w:rFonts w:ascii="Times New Roman" w:eastAsia="Times New Roman" w:hAnsi="Times New Roman" w:cs="Times New Roman"/>
                <w:b/>
                <w:bCs/>
                <w:sz w:val="24"/>
                <w:szCs w:val="24"/>
                <w:lang w:eastAsia="lv-LV"/>
              </w:rPr>
              <w:t>vērtība</w:t>
            </w:r>
          </w:p>
        </w:tc>
        <w:tc>
          <w:tcPr>
            <w:tcW w:w="4667" w:type="dxa"/>
            <w:gridSpan w:val="5"/>
            <w:tcBorders>
              <w:top w:val="single" w:sz="4" w:space="0" w:color="000000"/>
              <w:left w:val="single" w:sz="4" w:space="0" w:color="000000"/>
              <w:bottom w:val="single" w:sz="4" w:space="0" w:color="000000"/>
              <w:right w:val="single" w:sz="4" w:space="0" w:color="000000"/>
            </w:tcBorders>
            <w:shd w:val="clear" w:color="000000" w:fill="F2F2F2"/>
            <w:vAlign w:val="center"/>
          </w:tcPr>
          <w:p w14:paraId="0FB77D4F" w14:textId="77777777" w:rsidR="00C32B9F" w:rsidRPr="006D431D" w:rsidRDefault="002B39A1">
            <w:pPr>
              <w:widowControl w:val="0"/>
              <w:spacing w:after="0" w:line="240" w:lineRule="auto"/>
              <w:jc w:val="center"/>
              <w:rPr>
                <w:rFonts w:ascii="Times New Roman" w:eastAsia="Times New Roman" w:hAnsi="Times New Roman" w:cs="Times New Roman"/>
                <w:b/>
                <w:bCs/>
                <w:sz w:val="24"/>
                <w:szCs w:val="24"/>
                <w:lang w:eastAsia="lv-LV"/>
              </w:rPr>
            </w:pPr>
            <w:r w:rsidRPr="006D431D">
              <w:rPr>
                <w:rFonts w:ascii="Times New Roman" w:eastAsia="Times New Roman" w:hAnsi="Times New Roman" w:cs="Times New Roman"/>
                <w:b/>
                <w:bCs/>
                <w:sz w:val="24"/>
                <w:szCs w:val="24"/>
                <w:lang w:eastAsia="lv-LV"/>
              </w:rPr>
              <w:t>Mērķa vērtība</w:t>
            </w:r>
          </w:p>
        </w:tc>
      </w:tr>
      <w:tr w:rsidR="00A618CA" w:rsidRPr="006D431D" w14:paraId="3B350023" w14:textId="77777777">
        <w:trPr>
          <w:trHeight w:val="315"/>
          <w:jc w:val="center"/>
        </w:trPr>
        <w:tc>
          <w:tcPr>
            <w:tcW w:w="3984" w:type="dxa"/>
            <w:vMerge/>
            <w:tcBorders>
              <w:top w:val="single" w:sz="4" w:space="0" w:color="000000"/>
              <w:left w:val="single" w:sz="4" w:space="0" w:color="000000"/>
              <w:bottom w:val="single" w:sz="4" w:space="0" w:color="000000"/>
              <w:right w:val="single" w:sz="4" w:space="0" w:color="000000"/>
            </w:tcBorders>
            <w:vAlign w:val="center"/>
          </w:tcPr>
          <w:p w14:paraId="2A83039F" w14:textId="77777777" w:rsidR="00C32B9F" w:rsidRPr="006D431D" w:rsidRDefault="00C32B9F">
            <w:pPr>
              <w:widowControl w:val="0"/>
              <w:spacing w:after="0" w:line="240" w:lineRule="auto"/>
              <w:rPr>
                <w:rFonts w:ascii="Times New Roman" w:eastAsia="Times New Roman" w:hAnsi="Times New Roman" w:cs="Times New Roman"/>
                <w:b/>
                <w:bCs/>
                <w:sz w:val="24"/>
                <w:szCs w:val="24"/>
                <w:lang w:eastAsia="lv-LV"/>
              </w:rPr>
            </w:pPr>
          </w:p>
        </w:tc>
        <w:tc>
          <w:tcPr>
            <w:tcW w:w="949" w:type="dxa"/>
            <w:tcBorders>
              <w:top w:val="single" w:sz="4" w:space="0" w:color="000000"/>
              <w:left w:val="single" w:sz="4" w:space="0" w:color="000000"/>
              <w:bottom w:val="single" w:sz="4" w:space="0" w:color="000000"/>
              <w:right w:val="single" w:sz="4" w:space="0" w:color="000000"/>
            </w:tcBorders>
            <w:shd w:val="clear" w:color="000000" w:fill="F2F2F2"/>
            <w:vAlign w:val="center"/>
          </w:tcPr>
          <w:p w14:paraId="7F2EBFCD" w14:textId="77777777" w:rsidR="00C32B9F" w:rsidRPr="006D431D" w:rsidRDefault="002B39A1">
            <w:pPr>
              <w:widowControl w:val="0"/>
              <w:spacing w:after="0" w:line="240" w:lineRule="auto"/>
              <w:jc w:val="center"/>
              <w:rPr>
                <w:rFonts w:ascii="Times New Roman" w:eastAsia="Times New Roman" w:hAnsi="Times New Roman" w:cs="Times New Roman"/>
                <w:b/>
                <w:bCs/>
                <w:sz w:val="24"/>
                <w:szCs w:val="24"/>
                <w:lang w:eastAsia="lv-LV"/>
              </w:rPr>
            </w:pPr>
            <w:r w:rsidRPr="006D431D">
              <w:rPr>
                <w:rFonts w:ascii="Times New Roman" w:eastAsia="Times New Roman" w:hAnsi="Times New Roman" w:cs="Times New Roman"/>
                <w:b/>
                <w:bCs/>
                <w:sz w:val="24"/>
                <w:szCs w:val="24"/>
                <w:lang w:eastAsia="lv-LV"/>
              </w:rPr>
              <w:t>2017</w:t>
            </w:r>
          </w:p>
        </w:tc>
        <w:tc>
          <w:tcPr>
            <w:tcW w:w="914" w:type="dxa"/>
            <w:tcBorders>
              <w:top w:val="single" w:sz="4" w:space="0" w:color="000000"/>
              <w:left w:val="single" w:sz="4" w:space="0" w:color="000000"/>
              <w:bottom w:val="single" w:sz="4" w:space="0" w:color="000000"/>
              <w:right w:val="single" w:sz="4" w:space="0" w:color="000000"/>
            </w:tcBorders>
            <w:shd w:val="clear" w:color="000000" w:fill="F2F2F2"/>
            <w:vAlign w:val="center"/>
          </w:tcPr>
          <w:p w14:paraId="3F8121E5" w14:textId="77777777" w:rsidR="00C32B9F" w:rsidRPr="006D431D" w:rsidRDefault="002B39A1">
            <w:pPr>
              <w:widowControl w:val="0"/>
              <w:spacing w:after="0" w:line="240" w:lineRule="auto"/>
              <w:jc w:val="center"/>
              <w:rPr>
                <w:rFonts w:ascii="Times New Roman" w:eastAsia="Times New Roman" w:hAnsi="Times New Roman" w:cs="Times New Roman"/>
                <w:b/>
                <w:bCs/>
                <w:sz w:val="24"/>
                <w:szCs w:val="24"/>
                <w:lang w:eastAsia="lv-LV"/>
              </w:rPr>
            </w:pPr>
            <w:r w:rsidRPr="006D431D">
              <w:rPr>
                <w:rFonts w:ascii="Times New Roman" w:eastAsia="Times New Roman" w:hAnsi="Times New Roman" w:cs="Times New Roman"/>
                <w:b/>
                <w:bCs/>
                <w:sz w:val="24"/>
                <w:szCs w:val="24"/>
                <w:lang w:eastAsia="lv-LV"/>
              </w:rPr>
              <w:t>2020</w:t>
            </w:r>
          </w:p>
        </w:tc>
        <w:tc>
          <w:tcPr>
            <w:tcW w:w="913" w:type="dxa"/>
            <w:tcBorders>
              <w:top w:val="single" w:sz="4" w:space="0" w:color="000000"/>
              <w:left w:val="single" w:sz="4" w:space="0" w:color="000000"/>
              <w:bottom w:val="single" w:sz="4" w:space="0" w:color="000000"/>
              <w:right w:val="single" w:sz="4" w:space="0" w:color="000000"/>
            </w:tcBorders>
            <w:shd w:val="clear" w:color="000000" w:fill="F2F2F2"/>
            <w:vAlign w:val="center"/>
          </w:tcPr>
          <w:p w14:paraId="57FE22EF" w14:textId="77777777" w:rsidR="00C32B9F" w:rsidRPr="006D431D" w:rsidRDefault="002B39A1">
            <w:pPr>
              <w:widowControl w:val="0"/>
              <w:spacing w:after="0" w:line="240" w:lineRule="auto"/>
              <w:jc w:val="center"/>
              <w:rPr>
                <w:rFonts w:ascii="Times New Roman" w:eastAsia="Times New Roman" w:hAnsi="Times New Roman" w:cs="Times New Roman"/>
                <w:b/>
                <w:bCs/>
                <w:sz w:val="24"/>
                <w:szCs w:val="24"/>
                <w:lang w:eastAsia="lv-LV"/>
              </w:rPr>
            </w:pPr>
            <w:r w:rsidRPr="006D431D">
              <w:rPr>
                <w:rFonts w:ascii="Times New Roman" w:eastAsia="Times New Roman" w:hAnsi="Times New Roman" w:cs="Times New Roman"/>
                <w:b/>
                <w:bCs/>
                <w:sz w:val="24"/>
                <w:szCs w:val="24"/>
                <w:lang w:eastAsia="lv-LV"/>
              </w:rPr>
              <w:t>2022</w:t>
            </w:r>
          </w:p>
        </w:tc>
        <w:tc>
          <w:tcPr>
            <w:tcW w:w="946" w:type="dxa"/>
            <w:tcBorders>
              <w:top w:val="single" w:sz="4" w:space="0" w:color="000000"/>
              <w:left w:val="single" w:sz="4" w:space="0" w:color="000000"/>
              <w:bottom w:val="single" w:sz="4" w:space="0" w:color="000000"/>
              <w:right w:val="single" w:sz="4" w:space="0" w:color="000000"/>
            </w:tcBorders>
            <w:shd w:val="clear" w:color="000000" w:fill="F2F2F2"/>
            <w:vAlign w:val="center"/>
          </w:tcPr>
          <w:p w14:paraId="4B8F155F" w14:textId="77777777" w:rsidR="00C32B9F" w:rsidRPr="006D431D" w:rsidRDefault="002B39A1">
            <w:pPr>
              <w:widowControl w:val="0"/>
              <w:spacing w:after="0" w:line="240" w:lineRule="auto"/>
              <w:jc w:val="center"/>
              <w:rPr>
                <w:rFonts w:ascii="Times New Roman" w:eastAsia="Times New Roman" w:hAnsi="Times New Roman" w:cs="Times New Roman"/>
                <w:b/>
                <w:bCs/>
                <w:sz w:val="24"/>
                <w:szCs w:val="24"/>
                <w:lang w:eastAsia="lv-LV"/>
              </w:rPr>
            </w:pPr>
            <w:r w:rsidRPr="006D431D">
              <w:rPr>
                <w:rFonts w:ascii="Times New Roman" w:eastAsia="Times New Roman" w:hAnsi="Times New Roman" w:cs="Times New Roman"/>
                <w:b/>
                <w:bCs/>
                <w:sz w:val="24"/>
                <w:szCs w:val="24"/>
                <w:lang w:eastAsia="lv-LV"/>
              </w:rPr>
              <w:t>2025</w:t>
            </w:r>
          </w:p>
        </w:tc>
        <w:tc>
          <w:tcPr>
            <w:tcW w:w="948" w:type="dxa"/>
            <w:tcBorders>
              <w:top w:val="single" w:sz="4" w:space="0" w:color="000000"/>
              <w:left w:val="single" w:sz="4" w:space="0" w:color="000000"/>
              <w:bottom w:val="single" w:sz="4" w:space="0" w:color="000000"/>
              <w:right w:val="single" w:sz="4" w:space="0" w:color="000000"/>
            </w:tcBorders>
            <w:shd w:val="clear" w:color="000000" w:fill="F2F2F2"/>
            <w:vAlign w:val="center"/>
          </w:tcPr>
          <w:p w14:paraId="4B33C297" w14:textId="77777777" w:rsidR="00C32B9F" w:rsidRPr="006D431D" w:rsidRDefault="002B39A1">
            <w:pPr>
              <w:widowControl w:val="0"/>
              <w:spacing w:after="0" w:line="240" w:lineRule="auto"/>
              <w:jc w:val="center"/>
              <w:rPr>
                <w:rFonts w:ascii="Times New Roman" w:eastAsia="Times New Roman" w:hAnsi="Times New Roman" w:cs="Times New Roman"/>
                <w:b/>
                <w:bCs/>
                <w:sz w:val="24"/>
                <w:szCs w:val="24"/>
                <w:lang w:eastAsia="lv-LV"/>
              </w:rPr>
            </w:pPr>
            <w:r w:rsidRPr="006D431D">
              <w:rPr>
                <w:rFonts w:ascii="Times New Roman" w:eastAsia="Times New Roman" w:hAnsi="Times New Roman" w:cs="Times New Roman"/>
                <w:b/>
                <w:bCs/>
                <w:sz w:val="24"/>
                <w:szCs w:val="24"/>
                <w:lang w:eastAsia="lv-LV"/>
              </w:rPr>
              <w:t>2027</w:t>
            </w:r>
          </w:p>
        </w:tc>
        <w:tc>
          <w:tcPr>
            <w:tcW w:w="946" w:type="dxa"/>
            <w:tcBorders>
              <w:top w:val="single" w:sz="4" w:space="0" w:color="000000"/>
              <w:left w:val="single" w:sz="4" w:space="0" w:color="000000"/>
              <w:bottom w:val="single" w:sz="4" w:space="0" w:color="000000"/>
              <w:right w:val="single" w:sz="4" w:space="0" w:color="000000"/>
            </w:tcBorders>
            <w:shd w:val="clear" w:color="000000" w:fill="F2F2F2"/>
            <w:vAlign w:val="center"/>
          </w:tcPr>
          <w:p w14:paraId="1BBCF5F9" w14:textId="77777777" w:rsidR="00C32B9F" w:rsidRPr="006D431D" w:rsidRDefault="002B39A1">
            <w:pPr>
              <w:widowControl w:val="0"/>
              <w:spacing w:after="0" w:line="240" w:lineRule="auto"/>
              <w:jc w:val="center"/>
              <w:rPr>
                <w:rFonts w:ascii="Times New Roman" w:eastAsia="Times New Roman" w:hAnsi="Times New Roman" w:cs="Times New Roman"/>
                <w:b/>
                <w:bCs/>
                <w:sz w:val="24"/>
                <w:szCs w:val="24"/>
                <w:lang w:eastAsia="lv-LV"/>
              </w:rPr>
            </w:pPr>
            <w:r w:rsidRPr="006D431D">
              <w:rPr>
                <w:rFonts w:ascii="Times New Roman" w:eastAsia="Times New Roman" w:hAnsi="Times New Roman" w:cs="Times New Roman"/>
                <w:b/>
                <w:bCs/>
                <w:sz w:val="24"/>
                <w:szCs w:val="24"/>
                <w:lang w:eastAsia="lv-LV"/>
              </w:rPr>
              <w:t>2030</w:t>
            </w:r>
          </w:p>
        </w:tc>
      </w:tr>
      <w:tr w:rsidR="00A618CA" w:rsidRPr="006D431D" w14:paraId="3FD61652" w14:textId="77777777">
        <w:trPr>
          <w:trHeight w:val="330"/>
          <w:jc w:val="center"/>
        </w:trPr>
        <w:tc>
          <w:tcPr>
            <w:tcW w:w="3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531EC5" w14:textId="77777777" w:rsidR="00C32B9F" w:rsidRPr="006D431D" w:rsidRDefault="002B39A1">
            <w:pPr>
              <w:widowControl w:val="0"/>
              <w:spacing w:after="0" w:line="240" w:lineRule="auto"/>
              <w:rPr>
                <w:rFonts w:ascii="Times New Roman" w:eastAsia="Times New Roman" w:hAnsi="Times New Roman" w:cs="Times New Roman"/>
                <w:sz w:val="24"/>
                <w:szCs w:val="24"/>
                <w:lang w:eastAsia="lv-LV"/>
              </w:rPr>
            </w:pPr>
            <w:r w:rsidRPr="006D431D">
              <w:rPr>
                <w:rFonts w:ascii="Times New Roman" w:eastAsia="Times New Roman" w:hAnsi="Times New Roman" w:cs="Times New Roman"/>
                <w:bCs/>
                <w:sz w:val="24"/>
                <w:szCs w:val="24"/>
                <w:lang w:eastAsia="lv-LV"/>
              </w:rPr>
              <w:t xml:space="preserve">AE īpatsvars enerģijas </w:t>
            </w:r>
            <w:proofErr w:type="spellStart"/>
            <w:r w:rsidRPr="006D431D">
              <w:rPr>
                <w:rFonts w:ascii="Times New Roman" w:eastAsia="Times New Roman" w:hAnsi="Times New Roman" w:cs="Times New Roman"/>
                <w:bCs/>
                <w:sz w:val="24"/>
                <w:szCs w:val="24"/>
                <w:lang w:eastAsia="lv-LV"/>
              </w:rPr>
              <w:t>galapatēriņā</w:t>
            </w:r>
            <w:proofErr w:type="spellEnd"/>
            <w:r w:rsidRPr="006D431D">
              <w:rPr>
                <w:rFonts w:ascii="Times New Roman" w:eastAsia="Times New Roman" w:hAnsi="Times New Roman" w:cs="Times New Roman"/>
                <w:bCs/>
                <w:sz w:val="24"/>
                <w:szCs w:val="24"/>
                <w:lang w:eastAsia="lv-LV"/>
              </w:rPr>
              <w:t xml:space="preserve"> (%)</w:t>
            </w:r>
          </w:p>
        </w:tc>
        <w:tc>
          <w:tcPr>
            <w:tcW w:w="9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D06686" w14:textId="77777777" w:rsidR="00C32B9F" w:rsidRPr="006D431D" w:rsidRDefault="002B39A1">
            <w:pPr>
              <w:widowControl w:val="0"/>
              <w:spacing w:after="0" w:line="240" w:lineRule="auto"/>
              <w:jc w:val="center"/>
              <w:rPr>
                <w:rFonts w:ascii="Times New Roman" w:eastAsia="Times New Roman" w:hAnsi="Times New Roman" w:cs="Times New Roman"/>
                <w:sz w:val="24"/>
                <w:szCs w:val="24"/>
                <w:lang w:eastAsia="lv-LV"/>
              </w:rPr>
            </w:pPr>
            <w:r w:rsidRPr="006D431D">
              <w:rPr>
                <w:rFonts w:ascii="Times New Roman" w:eastAsia="Times New Roman" w:hAnsi="Times New Roman" w:cs="Times New Roman"/>
                <w:sz w:val="24"/>
                <w:szCs w:val="24"/>
                <w:lang w:eastAsia="lv-LV"/>
              </w:rPr>
              <w:t>39,01</w:t>
            </w:r>
          </w:p>
        </w:tc>
        <w:tc>
          <w:tcPr>
            <w:tcW w:w="9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F9FF5D" w14:textId="77777777" w:rsidR="00C32B9F" w:rsidRPr="006D431D" w:rsidRDefault="002B39A1">
            <w:pPr>
              <w:widowControl w:val="0"/>
              <w:spacing w:after="0" w:line="240" w:lineRule="auto"/>
              <w:jc w:val="center"/>
              <w:rPr>
                <w:rFonts w:ascii="Times New Roman" w:eastAsia="Times New Roman" w:hAnsi="Times New Roman" w:cs="Times New Roman"/>
                <w:sz w:val="24"/>
                <w:szCs w:val="24"/>
                <w:lang w:eastAsia="lv-LV"/>
              </w:rPr>
            </w:pPr>
            <w:r w:rsidRPr="006D431D">
              <w:rPr>
                <w:rFonts w:ascii="Times New Roman" w:eastAsia="Times New Roman" w:hAnsi="Times New Roman" w:cs="Times New Roman"/>
                <w:sz w:val="24"/>
                <w:szCs w:val="24"/>
                <w:lang w:eastAsia="lv-LV"/>
              </w:rPr>
              <w:t>40</w:t>
            </w:r>
          </w:p>
        </w:tc>
        <w:tc>
          <w:tcPr>
            <w:tcW w:w="9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C68713" w14:textId="77777777" w:rsidR="00C32B9F" w:rsidRPr="006D431D" w:rsidRDefault="002B39A1">
            <w:pPr>
              <w:widowControl w:val="0"/>
              <w:spacing w:after="0" w:line="240" w:lineRule="auto"/>
              <w:jc w:val="center"/>
              <w:rPr>
                <w:rFonts w:ascii="Times New Roman" w:eastAsia="Times New Roman" w:hAnsi="Times New Roman" w:cs="Times New Roman"/>
                <w:b/>
                <w:bCs/>
                <w:sz w:val="24"/>
                <w:szCs w:val="24"/>
                <w:lang w:eastAsia="lv-LV"/>
              </w:rPr>
            </w:pPr>
            <w:r w:rsidRPr="006D431D">
              <w:rPr>
                <w:rFonts w:ascii="Times New Roman" w:eastAsia="Times New Roman" w:hAnsi="Times New Roman" w:cs="Times New Roman"/>
                <w:b/>
                <w:bCs/>
                <w:sz w:val="24"/>
                <w:szCs w:val="24"/>
                <w:lang w:eastAsia="lv-LV"/>
              </w:rPr>
              <w:t>41,8</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38BA24" w14:textId="77777777" w:rsidR="00C32B9F" w:rsidRPr="006D431D" w:rsidRDefault="002B39A1">
            <w:pPr>
              <w:widowControl w:val="0"/>
              <w:spacing w:after="0" w:line="240" w:lineRule="auto"/>
              <w:jc w:val="center"/>
              <w:rPr>
                <w:rFonts w:ascii="Times New Roman" w:eastAsia="Times New Roman" w:hAnsi="Times New Roman" w:cs="Times New Roman"/>
                <w:b/>
                <w:bCs/>
                <w:sz w:val="24"/>
                <w:szCs w:val="24"/>
                <w:lang w:eastAsia="lv-LV"/>
              </w:rPr>
            </w:pPr>
            <w:r w:rsidRPr="006D431D">
              <w:rPr>
                <w:rFonts w:ascii="Times New Roman" w:eastAsia="Times New Roman" w:hAnsi="Times New Roman" w:cs="Times New Roman"/>
                <w:b/>
                <w:bCs/>
                <w:sz w:val="24"/>
                <w:szCs w:val="24"/>
                <w:lang w:eastAsia="lv-LV"/>
              </w:rPr>
              <w:t>44,3</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49F9E7" w14:textId="77777777" w:rsidR="00C32B9F" w:rsidRPr="006D431D" w:rsidRDefault="002B39A1">
            <w:pPr>
              <w:widowControl w:val="0"/>
              <w:spacing w:after="0" w:line="240" w:lineRule="auto"/>
              <w:jc w:val="center"/>
              <w:rPr>
                <w:rFonts w:ascii="Times New Roman" w:eastAsia="Times New Roman" w:hAnsi="Times New Roman" w:cs="Times New Roman"/>
                <w:b/>
                <w:bCs/>
                <w:sz w:val="24"/>
                <w:szCs w:val="24"/>
                <w:lang w:eastAsia="lv-LV"/>
              </w:rPr>
            </w:pPr>
            <w:r w:rsidRPr="006D431D">
              <w:rPr>
                <w:rFonts w:ascii="Times New Roman" w:eastAsia="Times New Roman" w:hAnsi="Times New Roman" w:cs="Times New Roman"/>
                <w:b/>
                <w:bCs/>
                <w:sz w:val="24"/>
                <w:szCs w:val="24"/>
                <w:lang w:eastAsia="lv-LV"/>
              </w:rPr>
              <w:t>46,5</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4F274" w14:textId="77777777" w:rsidR="00C32B9F" w:rsidRPr="006D431D" w:rsidRDefault="002B39A1">
            <w:pPr>
              <w:widowControl w:val="0"/>
              <w:spacing w:after="0" w:line="240" w:lineRule="auto"/>
              <w:jc w:val="center"/>
              <w:rPr>
                <w:rFonts w:ascii="Times New Roman" w:eastAsia="Times New Roman" w:hAnsi="Times New Roman" w:cs="Times New Roman"/>
                <w:b/>
                <w:bCs/>
                <w:sz w:val="24"/>
                <w:szCs w:val="24"/>
                <w:lang w:eastAsia="lv-LV"/>
              </w:rPr>
            </w:pPr>
            <w:r w:rsidRPr="006D431D">
              <w:rPr>
                <w:rFonts w:ascii="Times New Roman" w:eastAsia="Times New Roman" w:hAnsi="Times New Roman" w:cs="Times New Roman"/>
                <w:b/>
                <w:bCs/>
                <w:sz w:val="24"/>
                <w:szCs w:val="24"/>
                <w:lang w:eastAsia="lv-LV"/>
              </w:rPr>
              <w:t>50</w:t>
            </w:r>
          </w:p>
        </w:tc>
      </w:tr>
      <w:tr w:rsidR="00A618CA" w:rsidRPr="006D431D" w14:paraId="792FD388" w14:textId="77777777">
        <w:trPr>
          <w:trHeight w:val="330"/>
          <w:jc w:val="center"/>
        </w:trPr>
        <w:tc>
          <w:tcPr>
            <w:tcW w:w="3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231AE3" w14:textId="77777777" w:rsidR="00C32B9F" w:rsidRPr="006D431D" w:rsidRDefault="002B39A1">
            <w:pPr>
              <w:widowControl w:val="0"/>
              <w:spacing w:after="0" w:line="240" w:lineRule="auto"/>
              <w:ind w:left="284"/>
              <w:rPr>
                <w:rFonts w:ascii="Times New Roman" w:eastAsia="Times New Roman" w:hAnsi="Times New Roman" w:cs="Times New Roman"/>
                <w:sz w:val="24"/>
                <w:szCs w:val="24"/>
                <w:lang w:eastAsia="lv-LV"/>
              </w:rPr>
            </w:pPr>
            <w:r w:rsidRPr="006D431D">
              <w:rPr>
                <w:rFonts w:ascii="Times New Roman" w:eastAsia="Times New Roman" w:hAnsi="Times New Roman" w:cs="Times New Roman"/>
                <w:sz w:val="24"/>
                <w:szCs w:val="24"/>
                <w:lang w:eastAsia="lv-LV"/>
              </w:rPr>
              <w:t>indikatīvais AE īpatsvars elektroenerģijas ražošanā (%)</w:t>
            </w:r>
          </w:p>
        </w:tc>
        <w:tc>
          <w:tcPr>
            <w:tcW w:w="9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CB3ACD" w14:textId="77777777" w:rsidR="00C32B9F" w:rsidRPr="006D431D" w:rsidRDefault="002B39A1">
            <w:pPr>
              <w:widowControl w:val="0"/>
              <w:spacing w:after="0" w:line="240" w:lineRule="auto"/>
              <w:jc w:val="center"/>
              <w:rPr>
                <w:rFonts w:ascii="Times New Roman" w:eastAsia="Times New Roman" w:hAnsi="Times New Roman" w:cs="Times New Roman"/>
                <w:sz w:val="24"/>
                <w:szCs w:val="24"/>
                <w:lang w:eastAsia="lv-LV"/>
              </w:rPr>
            </w:pPr>
            <w:r w:rsidRPr="006D431D">
              <w:rPr>
                <w:rFonts w:ascii="Times New Roman" w:eastAsia="Times New Roman" w:hAnsi="Times New Roman" w:cs="Times New Roman"/>
                <w:sz w:val="24"/>
                <w:szCs w:val="24"/>
                <w:lang w:eastAsia="lv-LV"/>
              </w:rPr>
              <w:t>54,36</w:t>
            </w:r>
          </w:p>
        </w:tc>
        <w:tc>
          <w:tcPr>
            <w:tcW w:w="9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9B9720" w14:textId="77777777" w:rsidR="00C32B9F" w:rsidRPr="006D431D" w:rsidRDefault="002B39A1">
            <w:pPr>
              <w:widowControl w:val="0"/>
              <w:spacing w:after="0" w:line="240" w:lineRule="auto"/>
              <w:jc w:val="center"/>
              <w:rPr>
                <w:rFonts w:ascii="Times New Roman" w:eastAsia="Times New Roman" w:hAnsi="Times New Roman" w:cs="Times New Roman"/>
                <w:sz w:val="24"/>
                <w:szCs w:val="24"/>
                <w:lang w:eastAsia="lv-LV"/>
              </w:rPr>
            </w:pPr>
            <w:r w:rsidRPr="006D431D">
              <w:rPr>
                <w:rFonts w:ascii="Times New Roman" w:eastAsia="Times New Roman" w:hAnsi="Times New Roman" w:cs="Times New Roman"/>
                <w:sz w:val="24"/>
                <w:szCs w:val="24"/>
                <w:lang w:eastAsia="lv-LV"/>
              </w:rPr>
              <w:t>59,8</w:t>
            </w:r>
          </w:p>
        </w:tc>
        <w:tc>
          <w:tcPr>
            <w:tcW w:w="9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01797F" w14:textId="77777777" w:rsidR="00C32B9F" w:rsidRPr="006D431D" w:rsidRDefault="002B39A1">
            <w:pPr>
              <w:widowControl w:val="0"/>
              <w:spacing w:after="0" w:line="240" w:lineRule="auto"/>
              <w:jc w:val="center"/>
              <w:rPr>
                <w:rFonts w:ascii="Times New Roman" w:eastAsia="Times New Roman" w:hAnsi="Times New Roman" w:cs="Times New Roman"/>
                <w:sz w:val="24"/>
                <w:szCs w:val="24"/>
                <w:lang w:eastAsia="lv-LV"/>
              </w:rPr>
            </w:pPr>
            <w:r w:rsidRPr="006D431D">
              <w:rPr>
                <w:rFonts w:ascii="Times New Roman" w:eastAsia="Times New Roman" w:hAnsi="Times New Roman" w:cs="Times New Roman"/>
                <w:sz w:val="24"/>
                <w:szCs w:val="24"/>
                <w:lang w:eastAsia="lv-LV"/>
              </w:rPr>
              <w:t> </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9ED2EE" w14:textId="77777777" w:rsidR="00C32B9F" w:rsidRPr="006D431D" w:rsidRDefault="002B39A1">
            <w:pPr>
              <w:widowControl w:val="0"/>
              <w:spacing w:after="0" w:line="240" w:lineRule="auto"/>
              <w:jc w:val="center"/>
              <w:rPr>
                <w:rFonts w:ascii="Times New Roman" w:eastAsia="Times New Roman" w:hAnsi="Times New Roman" w:cs="Times New Roman"/>
                <w:sz w:val="24"/>
                <w:szCs w:val="24"/>
                <w:lang w:eastAsia="lv-LV"/>
              </w:rPr>
            </w:pPr>
            <w:r w:rsidRPr="006D431D">
              <w:rPr>
                <w:rFonts w:ascii="Times New Roman" w:eastAsia="Times New Roman" w:hAnsi="Times New Roman" w:cs="Times New Roman"/>
                <w:sz w:val="24"/>
                <w:szCs w:val="24"/>
                <w:lang w:eastAsia="lv-LV"/>
              </w:rPr>
              <w:t> </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0ECD7A" w14:textId="77777777" w:rsidR="00C32B9F" w:rsidRPr="006D431D" w:rsidRDefault="002B39A1">
            <w:pPr>
              <w:widowControl w:val="0"/>
              <w:spacing w:after="0" w:line="240" w:lineRule="auto"/>
              <w:jc w:val="center"/>
              <w:rPr>
                <w:rFonts w:ascii="Times New Roman" w:eastAsia="Times New Roman" w:hAnsi="Times New Roman" w:cs="Times New Roman"/>
                <w:sz w:val="24"/>
                <w:szCs w:val="24"/>
                <w:lang w:eastAsia="lv-LV"/>
              </w:rPr>
            </w:pPr>
            <w:r w:rsidRPr="006D431D">
              <w:rPr>
                <w:rFonts w:ascii="Times New Roman" w:eastAsia="Times New Roman" w:hAnsi="Times New Roman" w:cs="Times New Roman"/>
                <w:sz w:val="24"/>
                <w:szCs w:val="24"/>
                <w:lang w:eastAsia="lv-LV"/>
              </w:rPr>
              <w:t> </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ED9312" w14:textId="77777777" w:rsidR="00C32B9F" w:rsidRPr="006D431D" w:rsidRDefault="002B39A1">
            <w:pPr>
              <w:widowControl w:val="0"/>
              <w:spacing w:after="0" w:line="240" w:lineRule="auto"/>
              <w:jc w:val="center"/>
              <w:rPr>
                <w:rFonts w:ascii="Times New Roman" w:eastAsia="Times New Roman" w:hAnsi="Times New Roman" w:cs="Times New Roman"/>
                <w:sz w:val="24"/>
                <w:szCs w:val="24"/>
                <w:lang w:eastAsia="lv-LV"/>
              </w:rPr>
            </w:pPr>
            <w:r w:rsidRPr="006D431D">
              <w:rPr>
                <w:rFonts w:ascii="Times New Roman" w:eastAsia="Times New Roman" w:hAnsi="Times New Roman" w:cs="Times New Roman"/>
                <w:sz w:val="24"/>
                <w:szCs w:val="24"/>
                <w:lang w:eastAsia="lv-LV"/>
              </w:rPr>
              <w:t>&gt;60</w:t>
            </w:r>
          </w:p>
        </w:tc>
      </w:tr>
      <w:tr w:rsidR="00A618CA" w:rsidRPr="006D431D" w14:paraId="5BADC049" w14:textId="77777777">
        <w:trPr>
          <w:trHeight w:val="330"/>
          <w:jc w:val="center"/>
        </w:trPr>
        <w:tc>
          <w:tcPr>
            <w:tcW w:w="3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D2F8E0" w14:textId="77777777" w:rsidR="00C32B9F" w:rsidRPr="006D431D" w:rsidRDefault="002B39A1">
            <w:pPr>
              <w:widowControl w:val="0"/>
              <w:spacing w:after="0" w:line="240" w:lineRule="auto"/>
              <w:ind w:left="284"/>
              <w:rPr>
                <w:rFonts w:ascii="Times New Roman" w:eastAsia="Times New Roman" w:hAnsi="Times New Roman" w:cs="Times New Roman"/>
                <w:sz w:val="24"/>
                <w:szCs w:val="24"/>
                <w:lang w:eastAsia="lv-LV"/>
              </w:rPr>
            </w:pPr>
            <w:r w:rsidRPr="006D431D">
              <w:rPr>
                <w:rFonts w:ascii="Times New Roman" w:eastAsia="Times New Roman" w:hAnsi="Times New Roman" w:cs="Times New Roman"/>
                <w:sz w:val="24"/>
                <w:szCs w:val="24"/>
                <w:lang w:eastAsia="lv-LV"/>
              </w:rPr>
              <w:t xml:space="preserve">indikatīvais AE īpatsvars siltumenerģijas un </w:t>
            </w:r>
            <w:proofErr w:type="spellStart"/>
            <w:r w:rsidRPr="006D431D">
              <w:rPr>
                <w:rFonts w:ascii="Times New Roman" w:eastAsia="Times New Roman" w:hAnsi="Times New Roman" w:cs="Times New Roman"/>
                <w:sz w:val="24"/>
                <w:szCs w:val="24"/>
                <w:lang w:eastAsia="lv-LV"/>
              </w:rPr>
              <w:t>aukstumenerģijas</w:t>
            </w:r>
            <w:proofErr w:type="spellEnd"/>
            <w:r w:rsidRPr="006D431D">
              <w:rPr>
                <w:rFonts w:ascii="Times New Roman" w:eastAsia="Times New Roman" w:hAnsi="Times New Roman" w:cs="Times New Roman"/>
                <w:sz w:val="24"/>
                <w:szCs w:val="24"/>
                <w:lang w:eastAsia="lv-LV"/>
              </w:rPr>
              <w:t xml:space="preserve"> ražošanā (%)</w:t>
            </w:r>
          </w:p>
        </w:tc>
        <w:tc>
          <w:tcPr>
            <w:tcW w:w="9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A27594" w14:textId="77777777" w:rsidR="00C32B9F" w:rsidRPr="006D431D" w:rsidRDefault="002B39A1">
            <w:pPr>
              <w:widowControl w:val="0"/>
              <w:spacing w:after="0" w:line="240" w:lineRule="auto"/>
              <w:jc w:val="center"/>
              <w:rPr>
                <w:rFonts w:ascii="Times New Roman" w:eastAsia="Times New Roman" w:hAnsi="Times New Roman" w:cs="Times New Roman"/>
                <w:sz w:val="24"/>
                <w:szCs w:val="24"/>
                <w:lang w:eastAsia="lv-LV"/>
              </w:rPr>
            </w:pPr>
            <w:r w:rsidRPr="006D431D">
              <w:rPr>
                <w:rFonts w:ascii="Times New Roman" w:eastAsia="Times New Roman" w:hAnsi="Times New Roman" w:cs="Times New Roman"/>
                <w:sz w:val="24"/>
                <w:szCs w:val="24"/>
                <w:lang w:eastAsia="lv-LV"/>
              </w:rPr>
              <w:t>54,58</w:t>
            </w:r>
          </w:p>
        </w:tc>
        <w:tc>
          <w:tcPr>
            <w:tcW w:w="9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857E30" w14:textId="77777777" w:rsidR="00C32B9F" w:rsidRPr="006D431D" w:rsidRDefault="002B39A1">
            <w:pPr>
              <w:widowControl w:val="0"/>
              <w:spacing w:after="0" w:line="240" w:lineRule="auto"/>
              <w:jc w:val="center"/>
              <w:rPr>
                <w:rFonts w:ascii="Times New Roman" w:eastAsia="Times New Roman" w:hAnsi="Times New Roman" w:cs="Times New Roman"/>
                <w:sz w:val="24"/>
                <w:szCs w:val="24"/>
                <w:lang w:eastAsia="lv-LV"/>
              </w:rPr>
            </w:pPr>
            <w:r w:rsidRPr="006D431D">
              <w:rPr>
                <w:rFonts w:ascii="Times New Roman" w:eastAsia="Times New Roman" w:hAnsi="Times New Roman" w:cs="Times New Roman"/>
                <w:sz w:val="24"/>
                <w:szCs w:val="24"/>
                <w:lang w:eastAsia="lv-LV"/>
              </w:rPr>
              <w:t>53,4</w:t>
            </w:r>
          </w:p>
        </w:tc>
        <w:tc>
          <w:tcPr>
            <w:tcW w:w="9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46E5F4" w14:textId="77777777" w:rsidR="00C32B9F" w:rsidRPr="006D431D" w:rsidRDefault="002B39A1">
            <w:pPr>
              <w:widowControl w:val="0"/>
              <w:spacing w:after="0" w:line="240" w:lineRule="auto"/>
              <w:jc w:val="center"/>
              <w:rPr>
                <w:rFonts w:ascii="Times New Roman" w:eastAsia="Times New Roman" w:hAnsi="Times New Roman" w:cs="Times New Roman"/>
                <w:sz w:val="24"/>
                <w:szCs w:val="24"/>
                <w:lang w:eastAsia="lv-LV"/>
              </w:rPr>
            </w:pPr>
            <w:r w:rsidRPr="006D431D">
              <w:rPr>
                <w:rFonts w:ascii="Times New Roman" w:eastAsia="Times New Roman" w:hAnsi="Times New Roman" w:cs="Times New Roman"/>
                <w:sz w:val="24"/>
                <w:szCs w:val="24"/>
                <w:lang w:eastAsia="lv-LV"/>
              </w:rPr>
              <w:t>55,2</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F0BEC6" w14:textId="77777777" w:rsidR="00C32B9F" w:rsidRPr="006D431D" w:rsidRDefault="002B39A1">
            <w:pPr>
              <w:widowControl w:val="0"/>
              <w:spacing w:after="0" w:line="240" w:lineRule="auto"/>
              <w:jc w:val="center"/>
              <w:rPr>
                <w:rFonts w:ascii="Times New Roman" w:eastAsia="Times New Roman" w:hAnsi="Times New Roman" w:cs="Times New Roman"/>
                <w:sz w:val="24"/>
                <w:szCs w:val="24"/>
                <w:lang w:eastAsia="lv-LV"/>
              </w:rPr>
            </w:pPr>
            <w:r w:rsidRPr="006D431D">
              <w:rPr>
                <w:rFonts w:ascii="Times New Roman" w:eastAsia="Times New Roman" w:hAnsi="Times New Roman" w:cs="Times New Roman"/>
                <w:sz w:val="24"/>
                <w:szCs w:val="24"/>
                <w:lang w:eastAsia="lv-LV"/>
              </w:rPr>
              <w:t>56,08</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37297" w14:textId="77777777" w:rsidR="00C32B9F" w:rsidRPr="006D431D" w:rsidRDefault="002B39A1">
            <w:pPr>
              <w:widowControl w:val="0"/>
              <w:spacing w:after="0" w:line="240" w:lineRule="auto"/>
              <w:jc w:val="center"/>
              <w:rPr>
                <w:rFonts w:ascii="Times New Roman" w:eastAsia="Times New Roman" w:hAnsi="Times New Roman" w:cs="Times New Roman"/>
                <w:sz w:val="24"/>
                <w:szCs w:val="24"/>
                <w:lang w:eastAsia="lv-LV"/>
              </w:rPr>
            </w:pPr>
            <w:r w:rsidRPr="006D431D">
              <w:rPr>
                <w:rFonts w:ascii="Times New Roman" w:eastAsia="Times New Roman" w:hAnsi="Times New Roman" w:cs="Times New Roman"/>
                <w:sz w:val="24"/>
                <w:szCs w:val="24"/>
                <w:lang w:eastAsia="lv-LV"/>
              </w:rPr>
              <w:t>56,69</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E001B0" w14:textId="77777777" w:rsidR="00C32B9F" w:rsidRPr="006D431D" w:rsidRDefault="002B39A1">
            <w:pPr>
              <w:widowControl w:val="0"/>
              <w:spacing w:after="0" w:line="240" w:lineRule="auto"/>
              <w:jc w:val="center"/>
              <w:rPr>
                <w:rFonts w:ascii="Times New Roman" w:eastAsia="Times New Roman" w:hAnsi="Times New Roman" w:cs="Times New Roman"/>
                <w:sz w:val="24"/>
                <w:szCs w:val="24"/>
                <w:lang w:eastAsia="lv-LV"/>
              </w:rPr>
            </w:pPr>
            <w:r w:rsidRPr="006D431D">
              <w:rPr>
                <w:rFonts w:ascii="Times New Roman" w:eastAsia="Times New Roman" w:hAnsi="Times New Roman" w:cs="Times New Roman"/>
                <w:sz w:val="24"/>
                <w:szCs w:val="24"/>
                <w:lang w:eastAsia="lv-LV"/>
              </w:rPr>
              <w:t>57,59</w:t>
            </w:r>
          </w:p>
        </w:tc>
      </w:tr>
      <w:tr w:rsidR="00A618CA" w:rsidRPr="006D431D" w14:paraId="1C5A2FBD" w14:textId="77777777">
        <w:trPr>
          <w:trHeight w:val="330"/>
          <w:jc w:val="center"/>
        </w:trPr>
        <w:tc>
          <w:tcPr>
            <w:tcW w:w="3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B69A65" w14:textId="77777777" w:rsidR="00C32B9F" w:rsidRPr="006D431D" w:rsidRDefault="002B39A1">
            <w:pPr>
              <w:widowControl w:val="0"/>
              <w:spacing w:after="0" w:line="240" w:lineRule="auto"/>
              <w:rPr>
                <w:rFonts w:ascii="Times New Roman" w:eastAsia="Times New Roman" w:hAnsi="Times New Roman" w:cs="Times New Roman"/>
                <w:sz w:val="24"/>
                <w:szCs w:val="24"/>
                <w:lang w:eastAsia="lv-LV"/>
              </w:rPr>
            </w:pPr>
            <w:r w:rsidRPr="006D431D">
              <w:rPr>
                <w:rFonts w:ascii="Times New Roman" w:eastAsia="Times New Roman" w:hAnsi="Times New Roman" w:cs="Times New Roman"/>
                <w:sz w:val="24"/>
                <w:szCs w:val="24"/>
                <w:lang w:eastAsia="lv-LV"/>
              </w:rPr>
              <w:t xml:space="preserve">AE īpatsvars enerģijas </w:t>
            </w:r>
            <w:proofErr w:type="spellStart"/>
            <w:r w:rsidRPr="006D431D">
              <w:rPr>
                <w:rFonts w:ascii="Times New Roman" w:eastAsia="Times New Roman" w:hAnsi="Times New Roman" w:cs="Times New Roman"/>
                <w:sz w:val="24"/>
                <w:szCs w:val="24"/>
                <w:lang w:eastAsia="lv-LV"/>
              </w:rPr>
              <w:t>galapatēriņā</w:t>
            </w:r>
            <w:proofErr w:type="spellEnd"/>
            <w:r w:rsidRPr="006D431D">
              <w:rPr>
                <w:rFonts w:ascii="Times New Roman" w:eastAsia="Times New Roman" w:hAnsi="Times New Roman" w:cs="Times New Roman"/>
                <w:sz w:val="24"/>
                <w:szCs w:val="24"/>
                <w:lang w:eastAsia="lv-LV"/>
              </w:rPr>
              <w:t xml:space="preserve"> transportā (%)</w:t>
            </w:r>
            <w:r w:rsidRPr="006D431D">
              <w:rPr>
                <w:rStyle w:val="FootnoteAnchor"/>
                <w:rFonts w:ascii="Times New Roman" w:eastAsia="Times New Roman" w:hAnsi="Times New Roman" w:cs="Times New Roman"/>
                <w:sz w:val="24"/>
                <w:szCs w:val="24"/>
                <w:lang w:eastAsia="lv-LV"/>
              </w:rPr>
              <w:footnoteReference w:id="14"/>
            </w:r>
          </w:p>
        </w:tc>
        <w:tc>
          <w:tcPr>
            <w:tcW w:w="9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DE16A" w14:textId="77777777" w:rsidR="00C32B9F" w:rsidRPr="006D431D" w:rsidRDefault="002B39A1">
            <w:pPr>
              <w:widowControl w:val="0"/>
              <w:spacing w:after="0" w:line="240" w:lineRule="auto"/>
              <w:jc w:val="center"/>
              <w:rPr>
                <w:rFonts w:ascii="Times New Roman" w:eastAsia="Times New Roman" w:hAnsi="Times New Roman" w:cs="Times New Roman"/>
                <w:sz w:val="24"/>
                <w:szCs w:val="24"/>
                <w:lang w:eastAsia="lv-LV"/>
              </w:rPr>
            </w:pPr>
            <w:r w:rsidRPr="006D431D">
              <w:rPr>
                <w:rFonts w:ascii="Times New Roman" w:eastAsia="Times New Roman" w:hAnsi="Times New Roman" w:cs="Times New Roman"/>
                <w:sz w:val="24"/>
                <w:szCs w:val="24"/>
                <w:lang w:eastAsia="lv-LV"/>
              </w:rPr>
              <w:t>2,5</w:t>
            </w:r>
          </w:p>
        </w:tc>
        <w:tc>
          <w:tcPr>
            <w:tcW w:w="9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CD9FB5" w14:textId="77777777" w:rsidR="00C32B9F" w:rsidRPr="006D431D" w:rsidRDefault="002B39A1">
            <w:pPr>
              <w:widowControl w:val="0"/>
              <w:spacing w:after="0" w:line="240" w:lineRule="auto"/>
              <w:jc w:val="center"/>
              <w:rPr>
                <w:rFonts w:ascii="Times New Roman" w:eastAsia="Times New Roman" w:hAnsi="Times New Roman" w:cs="Times New Roman"/>
                <w:sz w:val="24"/>
                <w:szCs w:val="24"/>
                <w:lang w:eastAsia="lv-LV"/>
              </w:rPr>
            </w:pPr>
            <w:r w:rsidRPr="006D431D">
              <w:rPr>
                <w:rFonts w:ascii="Times New Roman" w:eastAsia="Times New Roman" w:hAnsi="Times New Roman" w:cs="Times New Roman"/>
                <w:sz w:val="24"/>
                <w:szCs w:val="24"/>
                <w:lang w:eastAsia="lv-LV"/>
              </w:rPr>
              <w:t>10</w:t>
            </w:r>
          </w:p>
        </w:tc>
        <w:tc>
          <w:tcPr>
            <w:tcW w:w="9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74DADE" w14:textId="77777777" w:rsidR="00C32B9F" w:rsidRPr="006D431D" w:rsidRDefault="002B39A1">
            <w:pPr>
              <w:widowControl w:val="0"/>
              <w:spacing w:after="0" w:line="240" w:lineRule="auto"/>
              <w:jc w:val="center"/>
              <w:rPr>
                <w:rFonts w:ascii="Times New Roman" w:eastAsia="Times New Roman" w:hAnsi="Times New Roman" w:cs="Times New Roman"/>
                <w:sz w:val="24"/>
                <w:szCs w:val="24"/>
                <w:lang w:eastAsia="lv-LV"/>
              </w:rPr>
            </w:pPr>
            <w:r w:rsidRPr="006D431D">
              <w:rPr>
                <w:rFonts w:ascii="Times New Roman" w:eastAsia="Times New Roman" w:hAnsi="Times New Roman" w:cs="Times New Roman"/>
                <w:sz w:val="24"/>
                <w:szCs w:val="24"/>
                <w:lang w:eastAsia="lv-LV"/>
              </w:rPr>
              <w:t>-</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FD30A4" w14:textId="77777777" w:rsidR="00C32B9F" w:rsidRPr="006D431D" w:rsidRDefault="002B39A1">
            <w:pPr>
              <w:widowControl w:val="0"/>
              <w:spacing w:after="0" w:line="240" w:lineRule="auto"/>
              <w:jc w:val="center"/>
              <w:rPr>
                <w:rFonts w:ascii="Times New Roman" w:eastAsia="Times New Roman" w:hAnsi="Times New Roman" w:cs="Times New Roman"/>
                <w:sz w:val="24"/>
                <w:szCs w:val="24"/>
                <w:lang w:eastAsia="lv-LV"/>
              </w:rPr>
            </w:pPr>
            <w:r w:rsidRPr="006D431D">
              <w:rPr>
                <w:rFonts w:ascii="Times New Roman" w:eastAsia="Times New Roman" w:hAnsi="Times New Roman" w:cs="Times New Roman"/>
                <w:sz w:val="24"/>
                <w:szCs w:val="24"/>
                <w:lang w:eastAsia="lv-LV"/>
              </w:rPr>
              <w:t>-</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3FF40C" w14:textId="77777777" w:rsidR="00C32B9F" w:rsidRPr="006D431D" w:rsidRDefault="002B39A1">
            <w:pPr>
              <w:widowControl w:val="0"/>
              <w:spacing w:after="0" w:line="240" w:lineRule="auto"/>
              <w:jc w:val="center"/>
              <w:rPr>
                <w:rFonts w:ascii="Times New Roman" w:eastAsia="Times New Roman" w:hAnsi="Times New Roman" w:cs="Times New Roman"/>
                <w:sz w:val="24"/>
                <w:szCs w:val="24"/>
                <w:lang w:eastAsia="lv-LV"/>
              </w:rPr>
            </w:pPr>
            <w:r w:rsidRPr="006D431D">
              <w:rPr>
                <w:rFonts w:ascii="Times New Roman" w:eastAsia="Times New Roman" w:hAnsi="Times New Roman" w:cs="Times New Roman"/>
                <w:sz w:val="24"/>
                <w:szCs w:val="24"/>
                <w:lang w:eastAsia="lv-LV"/>
              </w:rPr>
              <w:t>-</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823C90" w14:textId="77777777" w:rsidR="00C32B9F" w:rsidRPr="006D431D" w:rsidRDefault="002B39A1">
            <w:pPr>
              <w:widowControl w:val="0"/>
              <w:spacing w:after="0" w:line="240" w:lineRule="auto"/>
              <w:jc w:val="center"/>
              <w:rPr>
                <w:rFonts w:ascii="Times New Roman" w:eastAsia="Times New Roman" w:hAnsi="Times New Roman" w:cs="Times New Roman"/>
                <w:b/>
                <w:bCs/>
                <w:sz w:val="24"/>
                <w:szCs w:val="24"/>
                <w:lang w:eastAsia="lv-LV"/>
              </w:rPr>
            </w:pPr>
            <w:r w:rsidRPr="006D431D">
              <w:rPr>
                <w:rFonts w:ascii="Times New Roman" w:eastAsia="Times New Roman" w:hAnsi="Times New Roman" w:cs="Times New Roman"/>
                <w:b/>
                <w:bCs/>
                <w:sz w:val="24"/>
                <w:szCs w:val="24"/>
                <w:lang w:eastAsia="lv-LV"/>
              </w:rPr>
              <w:t>7</w:t>
            </w:r>
          </w:p>
        </w:tc>
      </w:tr>
      <w:tr w:rsidR="00A618CA" w:rsidRPr="006D431D" w14:paraId="209C304C" w14:textId="77777777">
        <w:trPr>
          <w:trHeight w:val="390"/>
          <w:jc w:val="center"/>
        </w:trPr>
        <w:tc>
          <w:tcPr>
            <w:tcW w:w="3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E62DD1" w14:textId="77777777" w:rsidR="00C32B9F" w:rsidRPr="006D431D" w:rsidRDefault="002B39A1">
            <w:pPr>
              <w:widowControl w:val="0"/>
              <w:spacing w:after="0" w:line="240" w:lineRule="auto"/>
              <w:ind w:left="284"/>
              <w:rPr>
                <w:rFonts w:ascii="Times New Roman" w:eastAsia="Times New Roman" w:hAnsi="Times New Roman" w:cs="Times New Roman"/>
                <w:sz w:val="24"/>
                <w:szCs w:val="24"/>
                <w:lang w:eastAsia="lv-LV"/>
              </w:rPr>
            </w:pPr>
            <w:r w:rsidRPr="006D431D">
              <w:rPr>
                <w:rFonts w:ascii="Times New Roman" w:eastAsia="Times New Roman" w:hAnsi="Times New Roman" w:cs="Times New Roman"/>
                <w:sz w:val="24"/>
                <w:szCs w:val="24"/>
                <w:lang w:eastAsia="lv-LV"/>
              </w:rPr>
              <w:t xml:space="preserve">moderno biodegvielu un biogāzes īpatsvars enerģijas </w:t>
            </w:r>
            <w:proofErr w:type="spellStart"/>
            <w:r w:rsidRPr="006D431D">
              <w:rPr>
                <w:rFonts w:ascii="Times New Roman" w:eastAsia="Times New Roman" w:hAnsi="Times New Roman" w:cs="Times New Roman"/>
                <w:sz w:val="24"/>
                <w:szCs w:val="24"/>
                <w:lang w:eastAsia="lv-LV"/>
              </w:rPr>
              <w:t>galapatēriņā</w:t>
            </w:r>
            <w:proofErr w:type="spellEnd"/>
            <w:r w:rsidRPr="006D431D">
              <w:rPr>
                <w:rFonts w:ascii="Times New Roman" w:eastAsia="Times New Roman" w:hAnsi="Times New Roman" w:cs="Times New Roman"/>
                <w:sz w:val="24"/>
                <w:szCs w:val="24"/>
                <w:lang w:eastAsia="lv-LV"/>
              </w:rPr>
              <w:t xml:space="preserve"> transportā</w:t>
            </w:r>
            <w:r w:rsidRPr="006D431D">
              <w:rPr>
                <w:rStyle w:val="FootnoteAnchor"/>
                <w:rFonts w:ascii="Times New Roman" w:eastAsia="Times New Roman" w:hAnsi="Times New Roman" w:cs="Times New Roman"/>
                <w:sz w:val="24"/>
                <w:szCs w:val="24"/>
                <w:lang w:eastAsia="lv-LV"/>
              </w:rPr>
              <w:footnoteReference w:id="15"/>
            </w:r>
            <w:r w:rsidRPr="006D431D">
              <w:rPr>
                <w:rFonts w:ascii="Times New Roman" w:eastAsia="Times New Roman" w:hAnsi="Times New Roman" w:cs="Times New Roman"/>
                <w:sz w:val="24"/>
                <w:szCs w:val="24"/>
                <w:lang w:eastAsia="lv-LV"/>
              </w:rPr>
              <w:t xml:space="preserve"> (%)</w:t>
            </w:r>
          </w:p>
        </w:tc>
        <w:tc>
          <w:tcPr>
            <w:tcW w:w="9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7881B0" w14:textId="77777777" w:rsidR="00C32B9F" w:rsidRPr="006D431D" w:rsidRDefault="002B39A1">
            <w:pPr>
              <w:widowControl w:val="0"/>
              <w:spacing w:after="0" w:line="240" w:lineRule="auto"/>
              <w:jc w:val="center"/>
              <w:rPr>
                <w:rFonts w:ascii="Times New Roman" w:eastAsia="Times New Roman" w:hAnsi="Times New Roman" w:cs="Times New Roman"/>
                <w:sz w:val="24"/>
                <w:szCs w:val="24"/>
                <w:lang w:eastAsia="lv-LV"/>
              </w:rPr>
            </w:pPr>
            <w:r w:rsidRPr="006D431D">
              <w:rPr>
                <w:rFonts w:ascii="Times New Roman" w:eastAsia="Times New Roman" w:hAnsi="Times New Roman" w:cs="Times New Roman"/>
                <w:sz w:val="24"/>
                <w:szCs w:val="24"/>
                <w:lang w:eastAsia="lv-LV"/>
              </w:rPr>
              <w:t> 0</w:t>
            </w:r>
          </w:p>
        </w:tc>
        <w:tc>
          <w:tcPr>
            <w:tcW w:w="9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144A2D" w14:textId="77777777" w:rsidR="00C32B9F" w:rsidRPr="006D431D" w:rsidRDefault="002B39A1">
            <w:pPr>
              <w:widowControl w:val="0"/>
              <w:spacing w:after="0" w:line="240" w:lineRule="auto"/>
              <w:jc w:val="center"/>
              <w:rPr>
                <w:rFonts w:ascii="Times New Roman" w:eastAsia="Times New Roman" w:hAnsi="Times New Roman" w:cs="Times New Roman"/>
                <w:sz w:val="24"/>
                <w:szCs w:val="24"/>
                <w:lang w:eastAsia="lv-LV"/>
              </w:rPr>
            </w:pPr>
            <w:r w:rsidRPr="006D431D">
              <w:rPr>
                <w:rFonts w:ascii="Times New Roman" w:eastAsia="Times New Roman" w:hAnsi="Times New Roman" w:cs="Times New Roman"/>
                <w:sz w:val="24"/>
                <w:szCs w:val="24"/>
                <w:lang w:eastAsia="lv-LV"/>
              </w:rPr>
              <w:t>-</w:t>
            </w:r>
          </w:p>
        </w:tc>
        <w:tc>
          <w:tcPr>
            <w:tcW w:w="9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6E8952" w14:textId="77777777" w:rsidR="00C32B9F" w:rsidRPr="006D431D" w:rsidRDefault="002B39A1">
            <w:pPr>
              <w:widowControl w:val="0"/>
              <w:spacing w:after="0" w:line="240" w:lineRule="auto"/>
              <w:jc w:val="center"/>
              <w:rPr>
                <w:rFonts w:ascii="Times New Roman" w:eastAsia="Times New Roman" w:hAnsi="Times New Roman" w:cs="Times New Roman"/>
                <w:sz w:val="24"/>
                <w:szCs w:val="24"/>
                <w:lang w:eastAsia="lv-LV"/>
              </w:rPr>
            </w:pPr>
            <w:r w:rsidRPr="006D431D">
              <w:rPr>
                <w:rFonts w:ascii="Times New Roman" w:eastAsia="Times New Roman" w:hAnsi="Times New Roman" w:cs="Times New Roman"/>
                <w:sz w:val="24"/>
                <w:szCs w:val="24"/>
                <w:lang w:eastAsia="lv-LV"/>
              </w:rPr>
              <w:t>0,2</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6FAFB" w14:textId="77777777" w:rsidR="00C32B9F" w:rsidRPr="006D431D" w:rsidRDefault="002B39A1">
            <w:pPr>
              <w:widowControl w:val="0"/>
              <w:spacing w:after="0" w:line="240" w:lineRule="auto"/>
              <w:jc w:val="center"/>
              <w:rPr>
                <w:rFonts w:ascii="Times New Roman" w:eastAsia="Times New Roman" w:hAnsi="Times New Roman" w:cs="Times New Roman"/>
                <w:sz w:val="24"/>
                <w:szCs w:val="24"/>
                <w:lang w:eastAsia="lv-LV"/>
              </w:rPr>
            </w:pPr>
            <w:r w:rsidRPr="006D431D">
              <w:rPr>
                <w:rFonts w:ascii="Times New Roman" w:eastAsia="Times New Roman" w:hAnsi="Times New Roman" w:cs="Times New Roman"/>
                <w:sz w:val="24"/>
                <w:szCs w:val="24"/>
                <w:lang w:eastAsia="lv-LV"/>
              </w:rPr>
              <w:t>1,0</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277A7A" w14:textId="77777777" w:rsidR="00C32B9F" w:rsidRPr="006D431D" w:rsidRDefault="002B39A1">
            <w:pPr>
              <w:widowControl w:val="0"/>
              <w:spacing w:after="0" w:line="240" w:lineRule="auto"/>
              <w:jc w:val="center"/>
              <w:rPr>
                <w:rFonts w:ascii="Times New Roman" w:eastAsia="Times New Roman" w:hAnsi="Times New Roman" w:cs="Times New Roman"/>
                <w:sz w:val="24"/>
                <w:szCs w:val="24"/>
                <w:lang w:eastAsia="lv-LV"/>
              </w:rPr>
            </w:pPr>
            <w:r w:rsidRPr="006D431D">
              <w:rPr>
                <w:rFonts w:ascii="Times New Roman" w:eastAsia="Times New Roman" w:hAnsi="Times New Roman" w:cs="Times New Roman"/>
                <w:sz w:val="24"/>
                <w:szCs w:val="24"/>
                <w:lang w:eastAsia="lv-LV"/>
              </w:rPr>
              <w:t>-</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26793" w14:textId="77777777" w:rsidR="00C32B9F" w:rsidRPr="006D431D" w:rsidRDefault="002B39A1">
            <w:pPr>
              <w:widowControl w:val="0"/>
              <w:spacing w:after="0" w:line="240" w:lineRule="auto"/>
              <w:jc w:val="center"/>
              <w:rPr>
                <w:rFonts w:ascii="Times New Roman" w:eastAsia="Times New Roman" w:hAnsi="Times New Roman" w:cs="Times New Roman"/>
                <w:sz w:val="24"/>
                <w:szCs w:val="24"/>
                <w:lang w:eastAsia="lv-LV"/>
              </w:rPr>
            </w:pPr>
            <w:r w:rsidRPr="006D431D">
              <w:rPr>
                <w:rFonts w:ascii="Times New Roman" w:eastAsia="Times New Roman" w:hAnsi="Times New Roman" w:cs="Times New Roman"/>
                <w:sz w:val="24"/>
                <w:szCs w:val="24"/>
                <w:lang w:eastAsia="lv-LV"/>
              </w:rPr>
              <w:t>3,5</w:t>
            </w:r>
          </w:p>
        </w:tc>
      </w:tr>
    </w:tbl>
    <w:p w14:paraId="22F58870" w14:textId="77777777" w:rsidR="00C32B9F" w:rsidRPr="006D431D" w:rsidRDefault="002B39A1">
      <w:pPr>
        <w:pStyle w:val="tvhtml"/>
        <w:shd w:val="clear" w:color="auto" w:fill="FFFFFF"/>
        <w:spacing w:before="280" w:after="280" w:line="293" w:lineRule="atLeast"/>
        <w:ind w:firstLine="300"/>
        <w:jc w:val="both"/>
      </w:pPr>
      <w:r w:rsidRPr="006D431D">
        <w:t xml:space="preserve">Transporta sektorā Latvija plāno AER īpatsvara pieaugumu vismaz līdz 7% 2030.gadā (rēķinot pēc Direktīvā 2018/2001 noteiktajiem principiem), to nodrošinot gan ar moderno biodegvielu un biogāzes izmantojumu, gan veicinot elektroenerģijas izmantošanu transportā. Vienlaikus Latvija atbilstoši Direktīvā 2018/2001 noteiktajam plāno nodrošināt, ka moderno biodegvielu īpatsvars 2022.gadā veido vismaz  0,2% no kopējā AER īpatsvara transporta sektorā, tam pieaugot līdz 3,5% 2030.gadā. NEKP mērķa scenārijs – scenārijs, kas paredz visu NEKP mērķu sasniegšanu izmaksu optimālā veidā, paredz ievērojamu biometāna patēriņa pieaugumu, līdz 0, 73 PJ 2025. gadā un 1, 56 PJ 2030. gadā. Šie rādītāji ir indikatīvi un nepieciešamo AER īpatsvaru var sasniegt arī citādā ceļā – piemēram, ar lielāku moderno šķidro biodegvielu īpatsvaru. Tomēr atbilstoši NEKP </w:t>
      </w:r>
      <w:r w:rsidRPr="006D431D">
        <w:lastRenderedPageBreak/>
        <w:t xml:space="preserve">izstrādes laikā pieejamajai informācijai par nākotnes izmaksām, citi risinājumi kopumā sabiedrībai varētu izmaksāt dārgāk. </w:t>
      </w:r>
    </w:p>
    <w:p w14:paraId="407FE656" w14:textId="77777777" w:rsidR="00C32B9F" w:rsidRPr="006D431D" w:rsidRDefault="002B39A1" w:rsidP="00751126">
      <w:pPr>
        <w:pStyle w:val="tvhtml"/>
        <w:shd w:val="clear" w:color="auto" w:fill="FFFFFF"/>
        <w:spacing w:before="280" w:after="280" w:line="293" w:lineRule="atLeast"/>
        <w:ind w:firstLine="300"/>
        <w:jc w:val="both"/>
      </w:pPr>
      <w:r w:rsidRPr="006D431D">
        <w:t xml:space="preserve">Modelēšanas dati ir pastāvīgi  jāpilnveido – ņemot vērā, ka atbalsta pasākumi vēl nav uzsākti un arī tuvākajos gados nav sagaidāma biometāna izmantošana transportā tādā apmērā, kā to paredzēja modelis. Ekonomikas ministrija ir noslēgusi līgumus ar Fizikālās enerģētikas institūtu un Latvijas Universitāti par NEKP pārskatīšanai nepieciešamās analītiskās informācijas izstrādi, tajā skaitā izstrādājot un izmantojot modernākus enerģētikas un ekonomikas modelēšanas rīkus. Tāpat arī ir piešķirts Eiropas Komisijas finansējums tehniskās palīdzības projekta realizācijai, kas sniegs Latvijai atbalstu optimālas modelēšanas sistēmas izstrādē. </w:t>
      </w:r>
    </w:p>
    <w:p w14:paraId="05B44D2F" w14:textId="18F589A7" w:rsidR="00C32B9F" w:rsidRPr="00F20674" w:rsidRDefault="002B39A1">
      <w:pPr>
        <w:pStyle w:val="tvhtml"/>
        <w:shd w:val="clear" w:color="auto" w:fill="FFFFFF"/>
        <w:spacing w:before="280" w:after="280" w:line="293" w:lineRule="atLeast"/>
        <w:ind w:firstLine="300"/>
        <w:jc w:val="both"/>
      </w:pPr>
      <w:r w:rsidRPr="006D431D">
        <w:rPr>
          <w:b/>
          <w:bCs/>
        </w:rPr>
        <w:t>NEKP 4. pielikumā ir iekļauti vairāki pasākumi, kas var veicināt biometāna ražošanu un patēriņu.</w:t>
      </w:r>
      <w:r w:rsidR="00F20674">
        <w:rPr>
          <w:b/>
          <w:bCs/>
        </w:rPr>
        <w:t xml:space="preserve"> </w:t>
      </w:r>
      <w:r w:rsidR="00F20674">
        <w:t xml:space="preserve">Jāņem vērā, ka </w:t>
      </w:r>
      <w:r w:rsidR="00364474">
        <w:t xml:space="preserve">šobrīd ir skaidrs, ka visiem pasākumiem </w:t>
      </w:r>
      <w:r w:rsidR="00E54C63">
        <w:t xml:space="preserve">finansējuma nebūs, tāpēc NEKP pārskatīšanas procesā 2023. gadā pasākumi jāprecizē. </w:t>
      </w:r>
    </w:p>
    <w:p w14:paraId="7101B2AD" w14:textId="77777777" w:rsidR="00C32B9F" w:rsidRPr="006D431D" w:rsidRDefault="002B39A1">
      <w:pPr>
        <w:pStyle w:val="tvhtml"/>
        <w:shd w:val="clear" w:color="auto" w:fill="FFFFFF"/>
        <w:spacing w:before="280" w:after="280" w:line="293" w:lineRule="atLeast"/>
        <w:ind w:firstLine="300"/>
        <w:jc w:val="both"/>
      </w:pPr>
      <w:r w:rsidRPr="006D431D">
        <w:rPr>
          <w:i/>
        </w:rPr>
        <w:t>Pasākumi NEKP biometāna ražošanas atbalstam</w:t>
      </w:r>
    </w:p>
    <w:p w14:paraId="6930964C" w14:textId="77777777" w:rsidR="00C32B9F" w:rsidRPr="006D431D" w:rsidRDefault="002B39A1">
      <w:pPr>
        <w:pStyle w:val="tvhtml"/>
        <w:shd w:val="clear" w:color="auto" w:fill="FFFFFF"/>
        <w:spacing w:before="280" w:after="280" w:line="293" w:lineRule="atLeast"/>
        <w:ind w:firstLine="300"/>
        <w:jc w:val="both"/>
      </w:pPr>
      <w:r w:rsidRPr="006D431D">
        <w:t xml:space="preserve">NEKP H.5.1. punkts paredz izstrādāt tiesību aktus, lai ES struktūrfondu vai citu finansējuma avotu ietvaros periodā pēc 2021.gada nodrošinātu biogāzes ražošanas un vienlaicīgi biogāzes attīrīšanas (biometāna ražošanas) iekārtu uzstādīšanu lauksaimniecības saimniecībās (1.klastera saimniecībās – indikatīvi 35% slaucamās govis, 50% pārējie liellopi, 15% cūkas un 20% mājputni, kas atrodas 1. klastera saimniecībās), kurās vēl nenotiek biogāzes savākšana (biogāzes ražošana). Šādas atbalsta programmas izveidei NEKP paredz 30 milj. </w:t>
      </w:r>
      <w:proofErr w:type="spellStart"/>
      <w:r w:rsidRPr="006D431D">
        <w:rPr>
          <w:i/>
          <w:iCs/>
        </w:rPr>
        <w:t>euro</w:t>
      </w:r>
      <w:proofErr w:type="spellEnd"/>
      <w:r w:rsidRPr="006D431D">
        <w:t xml:space="preserve">. </w:t>
      </w:r>
    </w:p>
    <w:p w14:paraId="0802E0C4" w14:textId="77777777" w:rsidR="00C32B9F" w:rsidRPr="006D431D" w:rsidRDefault="002B39A1">
      <w:pPr>
        <w:pStyle w:val="tvhtml"/>
        <w:shd w:val="clear" w:color="auto" w:fill="FFFFFF"/>
        <w:spacing w:before="280" w:after="280" w:line="293" w:lineRule="atLeast"/>
        <w:ind w:firstLine="300"/>
        <w:jc w:val="both"/>
      </w:pPr>
      <w:r w:rsidRPr="006D431D">
        <w:t xml:space="preserve">NEKP H.5.2. punkts paredz izstrādāt tiesību aktus, lai ES struktūrfondu vai citu finansējuma avotu ietvaros periodā pēc 2021. gada ES struktūrfondu un citu finansējuma avotu ietvaros nodrošinātu biogāzes attīrīšanas (biometāna ražošanas) iekārtu uzstādīšanu. Šādas atbalsta programmas izveidei NEKP paredz 50 milj. </w:t>
      </w:r>
      <w:proofErr w:type="spellStart"/>
      <w:r w:rsidRPr="006D431D">
        <w:rPr>
          <w:i/>
          <w:iCs/>
        </w:rPr>
        <w:t>euro</w:t>
      </w:r>
      <w:proofErr w:type="spellEnd"/>
      <w:r w:rsidRPr="006D431D">
        <w:rPr>
          <w:i/>
          <w:iCs/>
        </w:rPr>
        <w:t>.</w:t>
      </w:r>
    </w:p>
    <w:p w14:paraId="71757C0B" w14:textId="77777777" w:rsidR="00C32B9F" w:rsidRPr="006D431D" w:rsidRDefault="002B39A1">
      <w:pPr>
        <w:pStyle w:val="tvhtml"/>
        <w:shd w:val="clear" w:color="auto" w:fill="FFFFFF"/>
        <w:spacing w:before="280" w:after="280" w:line="293" w:lineRule="atLeast"/>
        <w:ind w:firstLine="300"/>
        <w:jc w:val="both"/>
      </w:pPr>
      <w:r w:rsidRPr="006D431D">
        <w:t xml:space="preserve">NEKP H.5.3. punkts paredz izstrādāt tiesību aktus, lai periodā pēc 2021. gada ES struktūrfondu un citu finansējuma avotu ietvaros nodrošinātu biometāna izmantošanai transportā vai stacionārās sadedzināšanas iekārtās nepieciešamās infrastruktūras izveidi. Šādas atbalsta programmas izveidei NEKP paredz 50 milj. </w:t>
      </w:r>
      <w:proofErr w:type="spellStart"/>
      <w:r w:rsidRPr="006D431D">
        <w:rPr>
          <w:i/>
          <w:iCs/>
        </w:rPr>
        <w:t>euro</w:t>
      </w:r>
      <w:proofErr w:type="spellEnd"/>
      <w:r w:rsidRPr="006D431D">
        <w:t>.</w:t>
      </w:r>
    </w:p>
    <w:p w14:paraId="43249EB8" w14:textId="77777777" w:rsidR="00C32B9F" w:rsidRPr="006D431D" w:rsidRDefault="002B39A1">
      <w:pPr>
        <w:pStyle w:val="tvhtml"/>
        <w:shd w:val="clear" w:color="auto" w:fill="FFFFFF"/>
        <w:spacing w:before="280" w:after="280" w:line="293" w:lineRule="atLeast"/>
        <w:ind w:firstLine="300"/>
        <w:jc w:val="both"/>
      </w:pPr>
      <w:r w:rsidRPr="006D431D">
        <w:rPr>
          <w:i/>
        </w:rPr>
        <w:t xml:space="preserve">Pasākumi NEKP biometāna patēriņa veicināšanai </w:t>
      </w:r>
    </w:p>
    <w:p w14:paraId="6EE9C1E5" w14:textId="77777777" w:rsidR="00C32B9F" w:rsidRPr="006D431D" w:rsidRDefault="002B39A1" w:rsidP="005E0180">
      <w:pPr>
        <w:pStyle w:val="tvhtml"/>
        <w:shd w:val="clear" w:color="auto" w:fill="FFFFFF"/>
        <w:spacing w:before="280" w:after="280" w:line="293" w:lineRule="atLeast"/>
        <w:ind w:firstLine="300"/>
        <w:jc w:val="both"/>
      </w:pPr>
      <w:r w:rsidRPr="006D431D">
        <w:t>NEKP 5.5 punkts paredz noteikt AER realizācijas pienākumu degvielas piegādātājiem, apvienojot to ar pienākumu samazināt aprites cikla SEG emisijas uz vienu piegādāto enerģijas vienību.</w:t>
      </w:r>
    </w:p>
    <w:p w14:paraId="0139D463" w14:textId="6EC9BD42" w:rsidR="004C75A7" w:rsidRPr="006D431D" w:rsidRDefault="002B39A1" w:rsidP="00D33E59">
      <w:pPr>
        <w:ind w:firstLine="300"/>
        <w:jc w:val="both"/>
        <w:rPr>
          <w:rFonts w:ascii="Times New Roman" w:hAnsi="Times New Roman" w:cs="Times New Roman"/>
          <w:sz w:val="24"/>
          <w:szCs w:val="24"/>
        </w:rPr>
      </w:pPr>
      <w:r w:rsidRPr="006D431D">
        <w:rPr>
          <w:rFonts w:ascii="Times New Roman" w:hAnsi="Times New Roman" w:cs="Times New Roman"/>
          <w:sz w:val="24"/>
          <w:szCs w:val="24"/>
        </w:rPr>
        <w:t xml:space="preserve">NEKP 11.4. punkts paredz: 1.1. izvērtēt iespēju nodokļu politikas pamatnostādnēs periodā no 2022.gada biometānam un biodegvielām noteikt pēc iespējas zemāku akcīzes nodokļa likmi, izvērtējot iespēju diferencēt samazinātās likmes pirmās paaudzes biodegvielai un modernām biodegvielām un biogāzei; 1.2. izvērtēt iespēju periodā no 2022.gada noteikt samazinātu akcīzes </w:t>
      </w:r>
      <w:r w:rsidRPr="006D431D">
        <w:rPr>
          <w:rFonts w:ascii="Times New Roman" w:hAnsi="Times New Roman" w:cs="Times New Roman"/>
          <w:sz w:val="24"/>
          <w:szCs w:val="24"/>
        </w:rPr>
        <w:lastRenderedPageBreak/>
        <w:t>nodokļa likmi (attiecībā pret benzīna un dīzeļdegvielas likmi) citām alternatīvajām degvielā</w:t>
      </w:r>
      <w:r w:rsidR="007B6AB6">
        <w:rPr>
          <w:rFonts w:ascii="Times New Roman" w:hAnsi="Times New Roman" w:cs="Times New Roman"/>
          <w:sz w:val="24"/>
          <w:szCs w:val="24"/>
        </w:rPr>
        <w:t xml:space="preserve">m </w:t>
      </w:r>
      <w:r w:rsidRPr="006D431D">
        <w:rPr>
          <w:rFonts w:ascii="Times New Roman" w:hAnsi="Times New Roman" w:cs="Times New Roman"/>
          <w:sz w:val="24"/>
          <w:szCs w:val="24"/>
        </w:rPr>
        <w:t>izvērtējot to ražošanas izmaksas; 1.3. izvērtēt iespēju uz noteiktu laiku, bet ne ilgāk kā līdz 2025.gadam samazināt akcīzes nodokli dabasgāzei transportā; 1.4. izvērtēt iespēju diferencēt akcīzes nodokļa degvielām likmes un tās noteikt, ņemot vērā CO</w:t>
      </w:r>
      <w:r w:rsidRPr="006D431D">
        <w:rPr>
          <w:rFonts w:ascii="Times New Roman" w:hAnsi="Times New Roman" w:cs="Times New Roman"/>
          <w:sz w:val="24"/>
          <w:szCs w:val="24"/>
          <w:vertAlign w:val="subscript"/>
        </w:rPr>
        <w:t>2</w:t>
      </w:r>
      <w:r w:rsidRPr="006D431D">
        <w:rPr>
          <w:rFonts w:ascii="Times New Roman" w:hAnsi="Times New Roman" w:cs="Times New Roman"/>
          <w:sz w:val="24"/>
          <w:szCs w:val="24"/>
        </w:rPr>
        <w:t xml:space="preserve"> emisiju ietilpību un radītās gaisu piesārņojošo vielu emisijas.  </w:t>
      </w:r>
    </w:p>
    <w:p w14:paraId="3FAD83CE" w14:textId="2A779FFC" w:rsidR="004C75A7" w:rsidRPr="006D431D" w:rsidRDefault="004C75A7" w:rsidP="00D33E59">
      <w:pPr>
        <w:ind w:firstLine="300"/>
        <w:jc w:val="both"/>
        <w:rPr>
          <w:rFonts w:ascii="Times New Roman" w:hAnsi="Times New Roman" w:cs="Times New Roman"/>
          <w:sz w:val="24"/>
          <w:szCs w:val="24"/>
        </w:rPr>
      </w:pPr>
      <w:r w:rsidRPr="006D431D">
        <w:rPr>
          <w:rFonts w:ascii="Times New Roman" w:hAnsi="Times New Roman" w:cs="Times New Roman"/>
          <w:sz w:val="24"/>
          <w:szCs w:val="24"/>
        </w:rPr>
        <w:t>Ņemot vērā jauno Eiropas Komisijas priekšlikumu par Enerģijas nodokļu direktīvas pārskatīšanu, tiek paredzēts arī biometānam piemērot akcīzes nodokļa likmi zemāku, nekā fosilās izcelsmes metānam, tādejādi tiks arī nodrošināta nodokļu priekšrocība biometānam, salīdzinot ar dabasgāzi.</w:t>
      </w:r>
      <w:r w:rsidR="00D33E59">
        <w:rPr>
          <w:rFonts w:ascii="Times New Roman" w:hAnsi="Times New Roman" w:cs="Times New Roman"/>
          <w:sz w:val="24"/>
          <w:szCs w:val="24"/>
        </w:rPr>
        <w:t xml:space="preserve"> </w:t>
      </w:r>
      <w:r w:rsidRPr="006D431D">
        <w:rPr>
          <w:rFonts w:ascii="Times New Roman" w:hAnsi="Times New Roman" w:cs="Times New Roman"/>
          <w:sz w:val="24"/>
          <w:szCs w:val="24"/>
        </w:rPr>
        <w:t>Priekšlikums nodokļa likmēm par enerģijas saturu:</w:t>
      </w:r>
    </w:p>
    <w:p w14:paraId="7EA655E4" w14:textId="77777777" w:rsidR="004C75A7" w:rsidRPr="006D431D" w:rsidRDefault="004C75A7" w:rsidP="005E0180">
      <w:pPr>
        <w:spacing w:after="0"/>
        <w:jc w:val="both"/>
        <w:rPr>
          <w:rFonts w:ascii="Times New Roman" w:hAnsi="Times New Roman" w:cs="Times New Roman"/>
          <w:sz w:val="24"/>
          <w:szCs w:val="24"/>
        </w:rPr>
      </w:pPr>
      <w:r w:rsidRPr="006D431D">
        <w:rPr>
          <w:rFonts w:ascii="Times New Roman" w:hAnsi="Times New Roman" w:cs="Times New Roman"/>
          <w:sz w:val="24"/>
          <w:szCs w:val="24"/>
        </w:rPr>
        <w:t xml:space="preserve">- dabasgāze, LPG – 7,17 </w:t>
      </w:r>
      <w:proofErr w:type="spellStart"/>
      <w:r w:rsidRPr="006D431D">
        <w:rPr>
          <w:rFonts w:ascii="Times New Roman" w:hAnsi="Times New Roman" w:cs="Times New Roman"/>
          <w:sz w:val="24"/>
          <w:szCs w:val="24"/>
        </w:rPr>
        <w:t>euro</w:t>
      </w:r>
      <w:proofErr w:type="spellEnd"/>
      <w:r w:rsidRPr="006D431D">
        <w:rPr>
          <w:rFonts w:ascii="Times New Roman" w:hAnsi="Times New Roman" w:cs="Times New Roman"/>
          <w:sz w:val="24"/>
          <w:szCs w:val="24"/>
        </w:rPr>
        <w:t>/GJ;</w:t>
      </w:r>
    </w:p>
    <w:p w14:paraId="4E3A06C9" w14:textId="77777777" w:rsidR="004C75A7" w:rsidRPr="006D431D" w:rsidRDefault="004C75A7" w:rsidP="005E0180">
      <w:pPr>
        <w:spacing w:after="0"/>
        <w:jc w:val="both"/>
        <w:rPr>
          <w:rFonts w:ascii="Times New Roman" w:hAnsi="Times New Roman" w:cs="Times New Roman"/>
          <w:sz w:val="24"/>
          <w:szCs w:val="24"/>
        </w:rPr>
      </w:pPr>
      <w:r w:rsidRPr="006D431D">
        <w:rPr>
          <w:rFonts w:ascii="Times New Roman" w:hAnsi="Times New Roman" w:cs="Times New Roman"/>
          <w:sz w:val="24"/>
          <w:szCs w:val="24"/>
        </w:rPr>
        <w:t xml:space="preserve">- neilgtspējīga biogāze – 7,17 </w:t>
      </w:r>
      <w:proofErr w:type="spellStart"/>
      <w:r w:rsidRPr="006D431D">
        <w:rPr>
          <w:rFonts w:ascii="Times New Roman" w:hAnsi="Times New Roman" w:cs="Times New Roman"/>
          <w:sz w:val="24"/>
          <w:szCs w:val="24"/>
        </w:rPr>
        <w:t>euro</w:t>
      </w:r>
      <w:proofErr w:type="spellEnd"/>
      <w:r w:rsidRPr="006D431D">
        <w:rPr>
          <w:rFonts w:ascii="Times New Roman" w:hAnsi="Times New Roman" w:cs="Times New Roman"/>
          <w:sz w:val="24"/>
          <w:szCs w:val="24"/>
        </w:rPr>
        <w:t>/GJ;</w:t>
      </w:r>
    </w:p>
    <w:p w14:paraId="232329B5" w14:textId="77777777" w:rsidR="004C75A7" w:rsidRPr="006D431D" w:rsidRDefault="004C75A7" w:rsidP="005E0180">
      <w:pPr>
        <w:spacing w:after="0"/>
        <w:jc w:val="both"/>
        <w:rPr>
          <w:rFonts w:ascii="Times New Roman" w:hAnsi="Times New Roman" w:cs="Times New Roman"/>
          <w:sz w:val="24"/>
          <w:szCs w:val="24"/>
        </w:rPr>
      </w:pPr>
      <w:r w:rsidRPr="006D431D">
        <w:rPr>
          <w:rFonts w:ascii="Times New Roman" w:hAnsi="Times New Roman" w:cs="Times New Roman"/>
          <w:sz w:val="24"/>
          <w:szCs w:val="24"/>
        </w:rPr>
        <w:t xml:space="preserve">- ilgtspējīga biogāze – 5,38 </w:t>
      </w:r>
      <w:proofErr w:type="spellStart"/>
      <w:r w:rsidRPr="006D431D">
        <w:rPr>
          <w:rFonts w:ascii="Times New Roman" w:hAnsi="Times New Roman" w:cs="Times New Roman"/>
          <w:sz w:val="24"/>
          <w:szCs w:val="24"/>
        </w:rPr>
        <w:t>euro</w:t>
      </w:r>
      <w:proofErr w:type="spellEnd"/>
      <w:r w:rsidRPr="006D431D">
        <w:rPr>
          <w:rFonts w:ascii="Times New Roman" w:hAnsi="Times New Roman" w:cs="Times New Roman"/>
          <w:sz w:val="24"/>
          <w:szCs w:val="24"/>
        </w:rPr>
        <w:t>/GJ;</w:t>
      </w:r>
    </w:p>
    <w:p w14:paraId="1703D2AF" w14:textId="77777777" w:rsidR="004C75A7" w:rsidRPr="006D431D" w:rsidRDefault="004C75A7" w:rsidP="005E0180">
      <w:pPr>
        <w:jc w:val="both"/>
        <w:rPr>
          <w:rFonts w:ascii="Times New Roman" w:hAnsi="Times New Roman" w:cs="Times New Roman"/>
          <w:sz w:val="24"/>
          <w:szCs w:val="24"/>
        </w:rPr>
      </w:pPr>
      <w:r w:rsidRPr="006D431D">
        <w:rPr>
          <w:rFonts w:ascii="Times New Roman" w:hAnsi="Times New Roman" w:cs="Times New Roman"/>
          <w:sz w:val="24"/>
          <w:szCs w:val="24"/>
        </w:rPr>
        <w:t xml:space="preserve">- modernās ilgtspējīgās biogāzes – 0,15 </w:t>
      </w:r>
      <w:proofErr w:type="spellStart"/>
      <w:r w:rsidRPr="006D431D">
        <w:rPr>
          <w:rFonts w:ascii="Times New Roman" w:hAnsi="Times New Roman" w:cs="Times New Roman"/>
          <w:sz w:val="24"/>
          <w:szCs w:val="24"/>
        </w:rPr>
        <w:t>euro</w:t>
      </w:r>
      <w:proofErr w:type="spellEnd"/>
      <w:r w:rsidRPr="006D431D">
        <w:rPr>
          <w:rFonts w:ascii="Times New Roman" w:hAnsi="Times New Roman" w:cs="Times New Roman"/>
          <w:sz w:val="24"/>
          <w:szCs w:val="24"/>
        </w:rPr>
        <w:t>/GJ.</w:t>
      </w:r>
    </w:p>
    <w:p w14:paraId="29EA83EB" w14:textId="77777777" w:rsidR="00C32B9F" w:rsidRPr="006D431D" w:rsidRDefault="002B39A1">
      <w:pPr>
        <w:pStyle w:val="tvhtml"/>
        <w:shd w:val="clear" w:color="auto" w:fill="FFFFFF"/>
        <w:spacing w:before="280" w:after="280" w:line="293" w:lineRule="atLeast"/>
        <w:ind w:firstLine="300"/>
        <w:jc w:val="both"/>
      </w:pPr>
      <w:r w:rsidRPr="006D431D">
        <w:rPr>
          <w:i/>
        </w:rPr>
        <w:t>Pasākumi NEKP biometāna patēriņa veicināšanai publiskajā sektorā</w:t>
      </w:r>
    </w:p>
    <w:p w14:paraId="24D3A357" w14:textId="77777777" w:rsidR="00C32B9F" w:rsidRPr="006D431D" w:rsidRDefault="002B39A1">
      <w:pPr>
        <w:pStyle w:val="tvhtml"/>
        <w:shd w:val="clear" w:color="auto" w:fill="FFFFFF"/>
        <w:spacing w:before="280" w:after="280" w:line="293" w:lineRule="atLeast"/>
        <w:ind w:firstLine="300"/>
        <w:jc w:val="both"/>
      </w:pPr>
      <w:r w:rsidRPr="006D431D">
        <w:t xml:space="preserve">NEKP 5.3.1. punkts paredz izstrādāt nosacījumus ar pienākumu pakalpojumu sniedzējiem lielajās pilsētās, kuru izmantošanas specifika pieļauj nomaiņu vai pārbūvi uz tādiem transportlīdzekļiem, kuros tiek izmantotas alternatīvās degvielas. Tomēr šis uzdevums ir sākot ar 2025. gadu un līdz 2021-2025 neietekmēs biometāna patēriņu. </w:t>
      </w:r>
    </w:p>
    <w:p w14:paraId="662E19B1" w14:textId="77777777" w:rsidR="00C32B9F" w:rsidRPr="006D431D" w:rsidRDefault="002B39A1">
      <w:pPr>
        <w:pStyle w:val="tvhtml"/>
        <w:shd w:val="clear" w:color="auto" w:fill="FFFFFF"/>
        <w:spacing w:before="280" w:after="280" w:line="293" w:lineRule="atLeast"/>
        <w:ind w:firstLine="300"/>
        <w:jc w:val="both"/>
      </w:pPr>
      <w:r w:rsidRPr="006D431D">
        <w:t xml:space="preserve">NEKP 5.3.1. punkts paredz izstrādāt tiesību aktus, kuros noteikts, ka lielajās pilsētās līdz 2030.gadam vismaz 50% no pilsētas sabiedriskajā transportā izmantotās enerģijas ir iegūta no AER vai ir elektroenerģija, paredzot noteiktā mērķa pārskatīšanu, ja pasākums rada nesamērīgu ietekmi uz pakalpojuma cenām sabiedrībai. Šis uzdevums varētu veicināt biometāna izmantošanu sabiedriskajā transportā, bet tas stājas spēkā ar 2028. gadu. </w:t>
      </w:r>
    </w:p>
    <w:p w14:paraId="119C9A62" w14:textId="77777777" w:rsidR="00C32B9F" w:rsidRPr="006D431D" w:rsidRDefault="002B39A1">
      <w:pPr>
        <w:pStyle w:val="tvhtml"/>
        <w:shd w:val="clear" w:color="auto" w:fill="FFFFFF"/>
        <w:spacing w:before="280" w:after="280" w:line="293" w:lineRule="atLeast"/>
        <w:ind w:firstLine="300"/>
        <w:jc w:val="both"/>
      </w:pPr>
      <w:r w:rsidRPr="006D431D">
        <w:rPr>
          <w:i/>
        </w:rPr>
        <w:t>Pasākumi NEKP biometāna patēriņa veicināšanai mājsaimniecību (individuālajā) sektorā</w:t>
      </w:r>
    </w:p>
    <w:p w14:paraId="3FDB577A" w14:textId="77777777" w:rsidR="00C32B9F" w:rsidRPr="006D431D" w:rsidRDefault="002B39A1">
      <w:pPr>
        <w:pStyle w:val="tvhtml"/>
        <w:shd w:val="clear" w:color="auto" w:fill="FFFFFF"/>
        <w:spacing w:before="280" w:after="280" w:line="293" w:lineRule="atLeast"/>
        <w:ind w:firstLine="300"/>
        <w:jc w:val="both"/>
      </w:pPr>
      <w:r w:rsidRPr="006D431D">
        <w:t xml:space="preserve">NEKP 5.2.3. punkts paredz izvērtēt prasības komercbanku sektorā, lai veicinātu kvalitatīva finansējuma saņemšanu arī lietotu </w:t>
      </w:r>
      <w:proofErr w:type="spellStart"/>
      <w:r w:rsidRPr="006D431D">
        <w:t>mazemisiju</w:t>
      </w:r>
      <w:proofErr w:type="spellEnd"/>
      <w:r w:rsidRPr="006D431D">
        <w:t xml:space="preserve"> vai </w:t>
      </w:r>
      <w:proofErr w:type="spellStart"/>
      <w:r w:rsidRPr="006D431D">
        <w:t>bezemisiju</w:t>
      </w:r>
      <w:proofErr w:type="spellEnd"/>
      <w:r w:rsidRPr="006D431D">
        <w:t xml:space="preserve"> transportlīdzekļa (vecumā līdz 8 gadiem) iegādi privātpersonām un komersantiem (</w:t>
      </w:r>
      <w:proofErr w:type="spellStart"/>
      <w:r w:rsidRPr="006D431D">
        <w:t>komerctransportam</w:t>
      </w:r>
      <w:proofErr w:type="spellEnd"/>
      <w:r w:rsidRPr="006D431D">
        <w:t xml:space="preserve">). Ja šāda programma tiktu īstenota, tad tā varētu veicināt arī ar gāzi darbināmu auto pieaugumu privātajā sektorā. </w:t>
      </w:r>
    </w:p>
    <w:p w14:paraId="5CB7ADCC" w14:textId="77777777" w:rsidR="00C32B9F" w:rsidRPr="006D431D" w:rsidRDefault="002B39A1">
      <w:pPr>
        <w:pStyle w:val="tvhtml"/>
        <w:shd w:val="clear" w:color="auto" w:fill="FFFFFF"/>
        <w:spacing w:before="280" w:after="280" w:line="293" w:lineRule="atLeast"/>
        <w:ind w:firstLine="300"/>
        <w:jc w:val="both"/>
      </w:pPr>
      <w:r w:rsidRPr="006D431D">
        <w:t xml:space="preserve">NEKP izstrādes laikā nebija vēl sāktas veidot ES fondu atbalsta programmas, tāpēc nepieciešamā finansējuma aprēķini bija indikatīvi. Šobrīd ir skaidrs, ka biometāna jomā ir jārēķinās ar daudz mazāku investīciju atbalsta apmēru. </w:t>
      </w:r>
    </w:p>
    <w:p w14:paraId="0D935A15" w14:textId="77777777" w:rsidR="00C32B9F" w:rsidRPr="006D431D" w:rsidRDefault="002B39A1" w:rsidP="00BF6C6E">
      <w:pPr>
        <w:pStyle w:val="Heading2"/>
        <w:rPr>
          <w:rFonts w:ascii="Times New Roman" w:hAnsi="Times New Roman" w:cs="Times New Roman"/>
          <w:color w:val="auto"/>
          <w:sz w:val="24"/>
          <w:szCs w:val="24"/>
        </w:rPr>
      </w:pPr>
      <w:bookmarkStart w:id="8" w:name="_Toc101605176"/>
      <w:r w:rsidRPr="006D431D">
        <w:rPr>
          <w:rFonts w:ascii="Times New Roman" w:hAnsi="Times New Roman" w:cs="Times New Roman"/>
          <w:color w:val="auto"/>
          <w:sz w:val="24"/>
          <w:szCs w:val="24"/>
        </w:rPr>
        <w:t>2.4. Biometāna un saspiestās dabasgāzes izmantošana transportā</w:t>
      </w:r>
      <w:bookmarkEnd w:id="8"/>
      <w:r w:rsidRPr="006D431D">
        <w:rPr>
          <w:rFonts w:ascii="Times New Roman" w:hAnsi="Times New Roman" w:cs="Times New Roman"/>
          <w:color w:val="auto"/>
          <w:sz w:val="24"/>
          <w:szCs w:val="24"/>
        </w:rPr>
        <w:t xml:space="preserve"> </w:t>
      </w:r>
    </w:p>
    <w:p w14:paraId="68F38B7A" w14:textId="43E2B6AA" w:rsidR="00C32B9F" w:rsidRPr="006D431D" w:rsidRDefault="002B39A1">
      <w:pPr>
        <w:pStyle w:val="tvhtml"/>
        <w:shd w:val="clear" w:color="auto" w:fill="FFFFFF" w:themeFill="background1"/>
        <w:spacing w:before="280" w:after="280" w:line="293" w:lineRule="atLeast"/>
        <w:ind w:firstLine="300"/>
        <w:jc w:val="both"/>
      </w:pPr>
      <w:r w:rsidRPr="006D431D">
        <w:t xml:space="preserve">Saspiestā dabasgāze (šajā informatīvajā ziņojumā izmantos saīsinājums no angļu valodas, kas arī parasti tiek izmantos saspiestās dabas gāzes saīsinājumam latviešu valodā – CNG) ir saspiesta dabasgāze, kas galvenokārt sastāv no metāna. CNG tiek ražota saspiežot dabasgāzi līdz mazāk </w:t>
      </w:r>
      <w:r w:rsidRPr="006D431D">
        <w:lastRenderedPageBreak/>
        <w:t xml:space="preserve">nekā 1 procentam no sākotnējā tilpuma. Šādi saspiesta dabasgāze tiek turēta pie 200-230 bar spiediena un ir lietojama kā degviela automašīnu dzinējos. Saspiestajai dabasgāzei ir augstāks enerģijas saturs nekā benzīnam vai dīzeļdegvielai. Tas </w:t>
      </w:r>
      <w:r w:rsidR="006F2958" w:rsidRPr="006D431D">
        <w:t>bija</w:t>
      </w:r>
      <w:r w:rsidRPr="006D431D">
        <w:t xml:space="preserve"> lētāks un tīrāks degvielas veids, kas nodrošin</w:t>
      </w:r>
      <w:r w:rsidR="00CC30BB" w:rsidRPr="006D431D">
        <w:t>āja</w:t>
      </w:r>
      <w:r w:rsidRPr="006D431D">
        <w:t xml:space="preserve"> to pašu nobraukuma distanci (sk. 4. attēlu un 2. tabulu).</w:t>
      </w:r>
      <w:r w:rsidR="00CC30BB" w:rsidRPr="006D431D">
        <w:t xml:space="preserve"> Šobrīd situācija ir būtiski mainījusies</w:t>
      </w:r>
      <w:r w:rsidR="000B5E3E" w:rsidRPr="006D431D">
        <w:t xml:space="preserve"> un kaut arī nākotnes dabas gāzes cenas grūti prognozēt, tomēr</w:t>
      </w:r>
      <w:r w:rsidR="00B27956" w:rsidRPr="006D431D">
        <w:t xml:space="preserve">, visticamāk CNG transporta līdzekļi vairs nebūs tik izdevīgi, kā tas bija uzsākot veidot šo informatīvo ziņojumu. </w:t>
      </w:r>
      <w:r w:rsidR="00EC42FA" w:rsidRPr="006D431D">
        <w:t xml:space="preserve">Šo prognozi apstiprina ļoti būtiskā dabasgāzes cenas celšanās, kura no </w:t>
      </w:r>
      <w:r w:rsidR="00380C51" w:rsidRPr="006D431D">
        <w:t xml:space="preserve"> 28 eiro/</w:t>
      </w:r>
      <w:proofErr w:type="spellStart"/>
      <w:r w:rsidR="00380C51" w:rsidRPr="006D431D">
        <w:t>Mwh</w:t>
      </w:r>
      <w:proofErr w:type="spellEnd"/>
      <w:r w:rsidR="00380C51" w:rsidRPr="006D431D">
        <w:t xml:space="preserve"> </w:t>
      </w:r>
      <w:r w:rsidR="00EC42FA" w:rsidRPr="006D431D">
        <w:t xml:space="preserve">2021. gada </w:t>
      </w:r>
      <w:r w:rsidR="00380C51" w:rsidRPr="006D431D">
        <w:t>jūlijā līdz 115 eiro/</w:t>
      </w:r>
      <w:proofErr w:type="spellStart"/>
      <w:r w:rsidR="00380C51" w:rsidRPr="006D431D">
        <w:t>Mwh</w:t>
      </w:r>
      <w:proofErr w:type="spellEnd"/>
      <w:r w:rsidR="00380C51" w:rsidRPr="006D431D">
        <w:t xml:space="preserve"> 2022. gada janvārī. Tiesa, 2022. gada martā dabasgāzes cena ir nokritusi līdz 82 eiro/</w:t>
      </w:r>
      <w:proofErr w:type="spellStart"/>
      <w:r w:rsidR="00380C51" w:rsidRPr="006D431D">
        <w:t>Mwh</w:t>
      </w:r>
      <w:proofErr w:type="spellEnd"/>
      <w:r w:rsidR="00380C51" w:rsidRPr="006D431D">
        <w:t>, bet tik un tā šī cena ir ļoti augsta un nav arī indikāciju, ka tā varētu samazināties tuvākajā nākotnē.</w:t>
      </w:r>
    </w:p>
    <w:p w14:paraId="044556D4" w14:textId="056EE828" w:rsidR="00C32B9F" w:rsidRPr="006D431D" w:rsidRDefault="002B39A1">
      <w:pPr>
        <w:pStyle w:val="tvhtml"/>
        <w:shd w:val="clear" w:color="auto" w:fill="FFFFFF" w:themeFill="background1"/>
        <w:spacing w:before="280" w:after="280" w:line="293" w:lineRule="atLeast"/>
        <w:ind w:firstLine="300"/>
        <w:jc w:val="both"/>
      </w:pPr>
      <w:r w:rsidRPr="006D431D">
        <w:t xml:space="preserve">Transportlīdzeklis, kas darbojas ar CNG, ir tikpat ātri un viegli uzpildāms kā benzīna vai dīzeļmotora transportlīdzekļi. Saspiestās dabasgāzes automašīnā ir divu degvielu dzinējs – to darbina gan gāze, gan benzīns. Kad gāze beigusies, auto automātiski sāk izmantot benzīnu. Šādas automašīnas tiek ražotas rūpnīcās kopā ar tradicionālajiem transportlīdzekļiem. Pasaulē CNG tiek plaši izmantots sabiedriskā, kravas un privāto transportlīdzekļu sektoros </w:t>
      </w:r>
      <w:r w:rsidRPr="006D431D">
        <w:rPr>
          <w:rStyle w:val="FootnoteAnchor"/>
        </w:rPr>
        <w:footnoteReference w:id="16"/>
      </w:r>
      <w:r w:rsidRPr="006D431D">
        <w:t xml:space="preserve">.  CNG ir degviela, kas rada mazāk emisiju nekā benzīns, dīzeļdegviela un sašķidrinātā naftas gāze (sk. </w:t>
      </w:r>
      <w:r w:rsidR="00376FB3" w:rsidRPr="006D431D">
        <w:t>4</w:t>
      </w:r>
      <w:r w:rsidRPr="006D431D">
        <w:t xml:space="preserve">. attēlu). </w:t>
      </w:r>
    </w:p>
    <w:p w14:paraId="7320B1FE" w14:textId="77777777" w:rsidR="00C32B9F" w:rsidRPr="006D431D" w:rsidRDefault="002B39A1">
      <w:pPr>
        <w:pStyle w:val="tvhtml"/>
        <w:shd w:val="clear" w:color="auto" w:fill="FFFFFF" w:themeFill="background1"/>
        <w:spacing w:before="280" w:after="280" w:line="293" w:lineRule="atLeast"/>
        <w:ind w:firstLine="300"/>
        <w:jc w:val="both"/>
      </w:pPr>
      <w:r w:rsidRPr="006D431D">
        <w:rPr>
          <w:noProof/>
        </w:rPr>
        <w:drawing>
          <wp:inline distT="0" distB="0" distL="0" distR="0" wp14:anchorId="7FEE09BF" wp14:editId="69F8E7F5">
            <wp:extent cx="5760085" cy="3342005"/>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noChangeArrowheads="1"/>
                    </pic:cNvPicPr>
                  </pic:nvPicPr>
                  <pic:blipFill>
                    <a:blip r:embed="rId11"/>
                    <a:stretch>
                      <a:fillRect/>
                    </a:stretch>
                  </pic:blipFill>
                  <pic:spPr bwMode="auto">
                    <a:xfrm>
                      <a:off x="0" y="0"/>
                      <a:ext cx="5760085" cy="3342005"/>
                    </a:xfrm>
                    <a:prstGeom prst="rect">
                      <a:avLst/>
                    </a:prstGeom>
                  </pic:spPr>
                </pic:pic>
              </a:graphicData>
            </a:graphic>
          </wp:inline>
        </w:drawing>
      </w:r>
    </w:p>
    <w:p w14:paraId="48595934" w14:textId="77777777" w:rsidR="00C32B9F" w:rsidRPr="006D431D" w:rsidRDefault="002B39A1">
      <w:pPr>
        <w:pStyle w:val="tvhtml"/>
        <w:numPr>
          <w:ilvl w:val="0"/>
          <w:numId w:val="2"/>
        </w:numPr>
        <w:shd w:val="clear" w:color="auto" w:fill="FFFFFF" w:themeFill="background1"/>
        <w:spacing w:before="280" w:after="280" w:line="293" w:lineRule="atLeast"/>
        <w:jc w:val="both"/>
      </w:pPr>
      <w:r w:rsidRPr="006D431D">
        <w:rPr>
          <w:b/>
          <w:bCs/>
        </w:rPr>
        <w:t>attēls. Gaisu piesārņojošo vielu emisiju salīdzinājums ar CNG un fosilām degvielām darbināmiem transporta līdzekļiem (Avots: SIA Virši mājas lapa</w:t>
      </w:r>
      <w:r w:rsidRPr="006D431D">
        <w:rPr>
          <w:rStyle w:val="FootnoteAnchor"/>
          <w:b/>
          <w:bCs/>
        </w:rPr>
        <w:footnoteReference w:id="17"/>
      </w:r>
      <w:r w:rsidRPr="006D431D">
        <w:rPr>
          <w:b/>
          <w:bCs/>
        </w:rPr>
        <w:t xml:space="preserve">) </w:t>
      </w:r>
    </w:p>
    <w:p w14:paraId="26C00A84" w14:textId="74C26ED8" w:rsidR="00C32B9F" w:rsidRPr="006D431D" w:rsidRDefault="002B39A1">
      <w:pPr>
        <w:pStyle w:val="tvhtml"/>
        <w:shd w:val="clear" w:color="auto" w:fill="FFFFFF" w:themeFill="background1"/>
        <w:spacing w:before="280" w:after="280" w:line="293" w:lineRule="atLeast"/>
        <w:ind w:firstLine="300"/>
        <w:jc w:val="both"/>
      </w:pPr>
      <w:r w:rsidRPr="006D431D">
        <w:lastRenderedPageBreak/>
        <w:t xml:space="preserve">Attiecībā par emisiju samazinājumu CNG pret fosilo degvielu dažādi pētījumi uzrāda atšķirīgus skaitļus, taču samazinājums vienmēr ir būtisks. Pētījumā </w:t>
      </w:r>
      <w:r w:rsidRPr="006D431D">
        <w:rPr>
          <w:rStyle w:val="FootnoteAnchor"/>
        </w:rPr>
        <w:footnoteReference w:id="18"/>
      </w:r>
      <w:r w:rsidRPr="006D431D">
        <w:t xml:space="preserve"> norādīts, ka CNG transporta līdzeklim salīdzinājumā ar dīzeļdegvielu ir par 11% mazāk CO</w:t>
      </w:r>
      <w:r w:rsidRPr="006D431D">
        <w:rPr>
          <w:vertAlign w:val="subscript"/>
        </w:rPr>
        <w:t>2</w:t>
      </w:r>
      <w:r w:rsidRPr="006D431D">
        <w:t xml:space="preserve"> emisiju, par 77% mazāk smalko putekļu emisiju, bet slāpekļa oksīdu emisiju samazinājuma novērtējums sakrīt ar </w:t>
      </w:r>
      <w:r w:rsidR="00376FB3" w:rsidRPr="006D431D">
        <w:t>4</w:t>
      </w:r>
      <w:r w:rsidRPr="006D431D">
        <w:t>. attēlā norādīto. Polijas pētījumā</w:t>
      </w:r>
      <w:r w:rsidRPr="006D431D">
        <w:rPr>
          <w:rStyle w:val="FootnoteAnchor"/>
        </w:rPr>
        <w:footnoteReference w:id="19"/>
      </w:r>
      <w:r w:rsidRPr="006D431D">
        <w:t xml:space="preserve"> analizēts emisiju samazinājums pārbūvējot lietotus (atbilstošus EURO 3 standartam) ar benzīnu darbināmus transporta līdzekļus uz CNG transporta līdzekļiem samazina CO</w:t>
      </w:r>
      <w:r w:rsidRPr="006D431D">
        <w:rPr>
          <w:vertAlign w:val="subscript"/>
        </w:rPr>
        <w:t>2</w:t>
      </w:r>
      <w:r w:rsidRPr="006D431D">
        <w:t xml:space="preserve"> emisijas par 23%, bet CO emisijas par 70%. </w:t>
      </w:r>
    </w:p>
    <w:p w14:paraId="30602FA3" w14:textId="5C444004" w:rsidR="00C32B9F" w:rsidRPr="006D431D" w:rsidRDefault="002B39A1">
      <w:pPr>
        <w:pStyle w:val="tvhtml"/>
        <w:shd w:val="clear" w:color="auto" w:fill="FFFFFF" w:themeFill="background1"/>
        <w:spacing w:before="280" w:after="280" w:line="293" w:lineRule="atLeast"/>
        <w:ind w:firstLine="300"/>
        <w:jc w:val="both"/>
      </w:pPr>
      <w:r w:rsidRPr="006D431D">
        <w:t xml:space="preserve">Ņemot vērā, ka dabasgāze un biometāns ir pēc enerģētiskās vērtības produkti ar līdzīgām īpašībām, ir būtiski, cik daudz transportlīdzekļu Latvijā var patērēt dabasgāzi un attiecīgi arī biometānu. Tehnoloģiski transportlīdzekļi var būt aprīkoti tikai dabasgāzes (biometāna) izmantošanai, vai arī tas var izmantot dabasgāzi (biometānu), kopā ar citu degvielu, piemēram dīzeļdegvielu vai benzīnu. </w:t>
      </w:r>
      <w:r w:rsidR="00376FB3" w:rsidRPr="006D431D">
        <w:t>2</w:t>
      </w:r>
      <w:r w:rsidRPr="006D431D">
        <w:t xml:space="preserve">. tabulā apkopota informācija par Latvijā reģistrētiem transportlīdzekļiem, kas izmanto dabasgāzi (biometānu). Tabulā iekļauti dati </w:t>
      </w:r>
      <w:r w:rsidR="00376FB3" w:rsidRPr="006D431D">
        <w:t xml:space="preserve">arī </w:t>
      </w:r>
      <w:r w:rsidRPr="006D431D">
        <w:t xml:space="preserve">par situāciju 1.07. 2021, 1.04. 2020  un 1.01. 2018, kas ļauj analizēt šo transporta līdzekļu attīstības dinamiku pēdējos gados. </w:t>
      </w:r>
    </w:p>
    <w:p w14:paraId="75105734" w14:textId="041A286B" w:rsidR="00C32B9F" w:rsidRPr="006D431D" w:rsidRDefault="0025144A">
      <w:pPr>
        <w:pStyle w:val="tvhtml"/>
        <w:shd w:val="clear" w:color="auto" w:fill="FFFFFF"/>
        <w:spacing w:before="280" w:after="280" w:line="293" w:lineRule="atLeast"/>
        <w:ind w:firstLine="300"/>
        <w:jc w:val="right"/>
      </w:pPr>
      <w:r w:rsidRPr="006D431D">
        <w:rPr>
          <w:b/>
        </w:rPr>
        <w:t>2</w:t>
      </w:r>
      <w:r w:rsidR="002B39A1" w:rsidRPr="006D431D">
        <w:rPr>
          <w:b/>
        </w:rPr>
        <w:t>. tabula. Ceļu satiksmes drošības direkcijā reģistrēto transportlīdzekļu, kuri izmanto dabasgāzi skaits un īpatsvars no kopējā transportlīdzekļu skaita</w:t>
      </w:r>
      <w:r w:rsidR="002B39A1" w:rsidRPr="006D431D">
        <w:rPr>
          <w:rStyle w:val="FootnoteAnchor"/>
        </w:rPr>
        <w:footnoteReference w:id="20"/>
      </w:r>
      <w:r w:rsidR="002B39A1" w:rsidRPr="006D431D">
        <w:t xml:space="preserve"> </w:t>
      </w:r>
    </w:p>
    <w:tbl>
      <w:tblPr>
        <w:tblStyle w:val="TableGrid"/>
        <w:tblW w:w="9350" w:type="dxa"/>
        <w:tblLayout w:type="fixed"/>
        <w:tblLook w:val="04A0" w:firstRow="1" w:lastRow="0" w:firstColumn="1" w:lastColumn="0" w:noHBand="0" w:noVBand="1"/>
      </w:tblPr>
      <w:tblGrid>
        <w:gridCol w:w="2610"/>
        <w:gridCol w:w="803"/>
        <w:gridCol w:w="806"/>
        <w:gridCol w:w="873"/>
        <w:gridCol w:w="859"/>
        <w:gridCol w:w="802"/>
        <w:gridCol w:w="888"/>
        <w:gridCol w:w="803"/>
        <w:gridCol w:w="906"/>
      </w:tblGrid>
      <w:tr w:rsidR="00A618CA" w:rsidRPr="006D431D" w14:paraId="0FC8ADBF" w14:textId="77777777">
        <w:trPr>
          <w:trHeight w:val="260"/>
        </w:trPr>
        <w:tc>
          <w:tcPr>
            <w:tcW w:w="2609" w:type="dxa"/>
          </w:tcPr>
          <w:p w14:paraId="0EEE61AD" w14:textId="77777777" w:rsidR="00C32B9F" w:rsidRPr="006D431D" w:rsidRDefault="002B39A1">
            <w:pPr>
              <w:pStyle w:val="tvhtml"/>
              <w:shd w:val="clear" w:color="auto" w:fill="FFFFFF"/>
              <w:spacing w:after="0" w:line="293" w:lineRule="atLeast"/>
              <w:jc w:val="both"/>
              <w:rPr>
                <w:b/>
                <w:bCs/>
              </w:rPr>
            </w:pPr>
            <w:r w:rsidRPr="006D431D">
              <w:rPr>
                <w:b/>
                <w:bCs/>
              </w:rPr>
              <w:t>Degvielas veids</w:t>
            </w:r>
          </w:p>
        </w:tc>
        <w:tc>
          <w:tcPr>
            <w:tcW w:w="1609" w:type="dxa"/>
            <w:gridSpan w:val="2"/>
          </w:tcPr>
          <w:p w14:paraId="6A25E005" w14:textId="77777777" w:rsidR="00C32B9F" w:rsidRPr="006D431D" w:rsidRDefault="002B39A1">
            <w:pPr>
              <w:pStyle w:val="tvhtml"/>
              <w:shd w:val="clear" w:color="auto" w:fill="FFFFFF"/>
              <w:spacing w:after="0" w:line="293" w:lineRule="atLeast"/>
              <w:jc w:val="both"/>
              <w:rPr>
                <w:b/>
                <w:bCs/>
              </w:rPr>
            </w:pPr>
            <w:r w:rsidRPr="006D431D">
              <w:rPr>
                <w:b/>
                <w:bCs/>
              </w:rPr>
              <w:t>Kravas</w:t>
            </w:r>
          </w:p>
        </w:tc>
        <w:tc>
          <w:tcPr>
            <w:tcW w:w="1732" w:type="dxa"/>
            <w:gridSpan w:val="2"/>
          </w:tcPr>
          <w:p w14:paraId="4A10062B" w14:textId="77777777" w:rsidR="00C32B9F" w:rsidRPr="006D431D" w:rsidRDefault="002B39A1">
            <w:pPr>
              <w:pStyle w:val="tvhtml"/>
              <w:shd w:val="clear" w:color="auto" w:fill="FFFFFF"/>
              <w:spacing w:after="0" w:line="293" w:lineRule="atLeast"/>
              <w:jc w:val="both"/>
              <w:rPr>
                <w:b/>
                <w:bCs/>
              </w:rPr>
            </w:pPr>
            <w:r w:rsidRPr="006D431D">
              <w:rPr>
                <w:b/>
                <w:bCs/>
              </w:rPr>
              <w:t>Vieglais</w:t>
            </w:r>
          </w:p>
        </w:tc>
        <w:tc>
          <w:tcPr>
            <w:tcW w:w="1690" w:type="dxa"/>
            <w:gridSpan w:val="2"/>
          </w:tcPr>
          <w:p w14:paraId="63C97E1B" w14:textId="77777777" w:rsidR="00C32B9F" w:rsidRPr="006D431D" w:rsidRDefault="002B39A1">
            <w:pPr>
              <w:pStyle w:val="tvhtml"/>
              <w:shd w:val="clear" w:color="auto" w:fill="FFFFFF"/>
              <w:spacing w:after="0" w:line="293" w:lineRule="atLeast"/>
              <w:jc w:val="both"/>
              <w:rPr>
                <w:b/>
                <w:bCs/>
              </w:rPr>
            </w:pPr>
            <w:r w:rsidRPr="006D431D">
              <w:rPr>
                <w:b/>
                <w:bCs/>
              </w:rPr>
              <w:t>Autobuss</w:t>
            </w:r>
          </w:p>
        </w:tc>
        <w:tc>
          <w:tcPr>
            <w:tcW w:w="1709" w:type="dxa"/>
            <w:gridSpan w:val="2"/>
          </w:tcPr>
          <w:p w14:paraId="43F7AD85" w14:textId="77777777" w:rsidR="00C32B9F" w:rsidRPr="006D431D" w:rsidRDefault="002B39A1">
            <w:pPr>
              <w:pStyle w:val="tvhtml"/>
              <w:shd w:val="clear" w:color="auto" w:fill="FFFFFF"/>
              <w:spacing w:after="0" w:line="293" w:lineRule="atLeast"/>
              <w:jc w:val="both"/>
              <w:rPr>
                <w:b/>
                <w:bCs/>
              </w:rPr>
            </w:pPr>
            <w:r w:rsidRPr="006D431D">
              <w:rPr>
                <w:b/>
                <w:bCs/>
              </w:rPr>
              <w:t>Kopā</w:t>
            </w:r>
          </w:p>
        </w:tc>
      </w:tr>
      <w:tr w:rsidR="00A618CA" w:rsidRPr="006D431D" w14:paraId="4858C56D" w14:textId="77777777">
        <w:trPr>
          <w:trHeight w:val="260"/>
        </w:trPr>
        <w:tc>
          <w:tcPr>
            <w:tcW w:w="2609" w:type="dxa"/>
          </w:tcPr>
          <w:p w14:paraId="20BE377B" w14:textId="77777777" w:rsidR="00C32B9F" w:rsidRPr="006D431D" w:rsidRDefault="00C32B9F">
            <w:pPr>
              <w:pStyle w:val="tvhtml"/>
              <w:shd w:val="clear" w:color="auto" w:fill="FFFFFF"/>
              <w:spacing w:after="0" w:line="293" w:lineRule="atLeast"/>
              <w:jc w:val="both"/>
              <w:rPr>
                <w:b/>
                <w:bCs/>
              </w:rPr>
            </w:pPr>
          </w:p>
        </w:tc>
        <w:tc>
          <w:tcPr>
            <w:tcW w:w="803" w:type="dxa"/>
          </w:tcPr>
          <w:p w14:paraId="3C631AE9" w14:textId="77777777" w:rsidR="00C32B9F" w:rsidRPr="006D431D" w:rsidRDefault="002B39A1">
            <w:pPr>
              <w:pStyle w:val="tvhtml"/>
              <w:shd w:val="clear" w:color="auto" w:fill="FFFFFF"/>
              <w:spacing w:after="0" w:line="293" w:lineRule="atLeast"/>
              <w:jc w:val="both"/>
              <w:rPr>
                <w:b/>
                <w:bCs/>
              </w:rPr>
            </w:pPr>
            <w:r w:rsidRPr="006D431D">
              <w:rPr>
                <w:b/>
                <w:bCs/>
              </w:rPr>
              <w:t>skaits</w:t>
            </w:r>
          </w:p>
        </w:tc>
        <w:tc>
          <w:tcPr>
            <w:tcW w:w="806" w:type="dxa"/>
          </w:tcPr>
          <w:p w14:paraId="410C4372" w14:textId="77777777" w:rsidR="00C32B9F" w:rsidRPr="006D431D" w:rsidRDefault="002B39A1">
            <w:pPr>
              <w:pStyle w:val="tvhtml"/>
              <w:shd w:val="clear" w:color="auto" w:fill="FFFFFF"/>
              <w:spacing w:after="0" w:line="293" w:lineRule="atLeast"/>
              <w:jc w:val="both"/>
              <w:rPr>
                <w:b/>
                <w:bCs/>
              </w:rPr>
            </w:pPr>
            <w:r w:rsidRPr="006D431D">
              <w:rPr>
                <w:b/>
                <w:bCs/>
              </w:rPr>
              <w:t>%</w:t>
            </w:r>
          </w:p>
        </w:tc>
        <w:tc>
          <w:tcPr>
            <w:tcW w:w="873" w:type="dxa"/>
          </w:tcPr>
          <w:p w14:paraId="0E844E59" w14:textId="77777777" w:rsidR="00C32B9F" w:rsidRPr="006D431D" w:rsidRDefault="002B39A1">
            <w:pPr>
              <w:pStyle w:val="tvhtml"/>
              <w:shd w:val="clear" w:color="auto" w:fill="FFFFFF"/>
              <w:spacing w:after="0" w:line="293" w:lineRule="atLeast"/>
              <w:jc w:val="both"/>
              <w:rPr>
                <w:b/>
                <w:bCs/>
              </w:rPr>
            </w:pPr>
            <w:r w:rsidRPr="006D431D">
              <w:rPr>
                <w:b/>
                <w:bCs/>
              </w:rPr>
              <w:t>skaits</w:t>
            </w:r>
          </w:p>
        </w:tc>
        <w:tc>
          <w:tcPr>
            <w:tcW w:w="859" w:type="dxa"/>
          </w:tcPr>
          <w:p w14:paraId="04BE6F52" w14:textId="77777777" w:rsidR="00C32B9F" w:rsidRPr="006D431D" w:rsidRDefault="002B39A1">
            <w:pPr>
              <w:pStyle w:val="tvhtml"/>
              <w:shd w:val="clear" w:color="auto" w:fill="FFFFFF"/>
              <w:spacing w:after="0" w:line="293" w:lineRule="atLeast"/>
              <w:jc w:val="both"/>
              <w:rPr>
                <w:b/>
                <w:bCs/>
              </w:rPr>
            </w:pPr>
            <w:r w:rsidRPr="006D431D">
              <w:rPr>
                <w:b/>
                <w:bCs/>
              </w:rPr>
              <w:t>%</w:t>
            </w:r>
          </w:p>
        </w:tc>
        <w:tc>
          <w:tcPr>
            <w:tcW w:w="802" w:type="dxa"/>
          </w:tcPr>
          <w:p w14:paraId="18C15F1A" w14:textId="77777777" w:rsidR="00C32B9F" w:rsidRPr="006D431D" w:rsidRDefault="002B39A1">
            <w:pPr>
              <w:pStyle w:val="tvhtml"/>
              <w:shd w:val="clear" w:color="auto" w:fill="FFFFFF"/>
              <w:spacing w:after="0" w:line="293" w:lineRule="atLeast"/>
              <w:jc w:val="both"/>
              <w:rPr>
                <w:b/>
                <w:bCs/>
              </w:rPr>
            </w:pPr>
            <w:r w:rsidRPr="006D431D">
              <w:rPr>
                <w:b/>
                <w:bCs/>
              </w:rPr>
              <w:t>skaits</w:t>
            </w:r>
          </w:p>
        </w:tc>
        <w:tc>
          <w:tcPr>
            <w:tcW w:w="888" w:type="dxa"/>
          </w:tcPr>
          <w:p w14:paraId="4D6A38C5" w14:textId="77777777" w:rsidR="00C32B9F" w:rsidRPr="006D431D" w:rsidRDefault="002B39A1">
            <w:pPr>
              <w:pStyle w:val="tvhtml"/>
              <w:shd w:val="clear" w:color="auto" w:fill="FFFFFF"/>
              <w:spacing w:after="0" w:line="293" w:lineRule="atLeast"/>
              <w:jc w:val="both"/>
              <w:rPr>
                <w:b/>
                <w:bCs/>
              </w:rPr>
            </w:pPr>
            <w:r w:rsidRPr="006D431D">
              <w:rPr>
                <w:b/>
                <w:bCs/>
              </w:rPr>
              <w:t>%</w:t>
            </w:r>
          </w:p>
        </w:tc>
        <w:tc>
          <w:tcPr>
            <w:tcW w:w="803" w:type="dxa"/>
          </w:tcPr>
          <w:p w14:paraId="7F10AC9D" w14:textId="77777777" w:rsidR="00C32B9F" w:rsidRPr="006D431D" w:rsidRDefault="002B39A1">
            <w:pPr>
              <w:pStyle w:val="tvhtml"/>
              <w:shd w:val="clear" w:color="auto" w:fill="FFFFFF"/>
              <w:spacing w:after="0" w:line="293" w:lineRule="atLeast"/>
              <w:jc w:val="both"/>
              <w:rPr>
                <w:b/>
                <w:bCs/>
              </w:rPr>
            </w:pPr>
            <w:r w:rsidRPr="006D431D">
              <w:rPr>
                <w:b/>
                <w:bCs/>
              </w:rPr>
              <w:t>skaits</w:t>
            </w:r>
          </w:p>
        </w:tc>
        <w:tc>
          <w:tcPr>
            <w:tcW w:w="906" w:type="dxa"/>
          </w:tcPr>
          <w:p w14:paraId="3DBAF514" w14:textId="77777777" w:rsidR="00C32B9F" w:rsidRPr="006D431D" w:rsidRDefault="002B39A1">
            <w:pPr>
              <w:pStyle w:val="tvhtml"/>
              <w:shd w:val="clear" w:color="auto" w:fill="FFFFFF"/>
              <w:spacing w:after="0" w:line="293" w:lineRule="atLeast"/>
              <w:jc w:val="both"/>
              <w:rPr>
                <w:b/>
                <w:bCs/>
              </w:rPr>
            </w:pPr>
            <w:r w:rsidRPr="006D431D">
              <w:rPr>
                <w:b/>
                <w:bCs/>
              </w:rPr>
              <w:t>%</w:t>
            </w:r>
          </w:p>
        </w:tc>
      </w:tr>
      <w:tr w:rsidR="00A618CA" w:rsidRPr="006D431D" w14:paraId="69C86B37" w14:textId="77777777">
        <w:trPr>
          <w:trHeight w:val="260"/>
        </w:trPr>
        <w:tc>
          <w:tcPr>
            <w:tcW w:w="2609" w:type="dxa"/>
          </w:tcPr>
          <w:p w14:paraId="109AB32D" w14:textId="7A6CAE02" w:rsidR="00C32B9F" w:rsidRPr="006D431D" w:rsidRDefault="002B39A1">
            <w:pPr>
              <w:pStyle w:val="tvhtml"/>
              <w:shd w:val="clear" w:color="auto" w:fill="FFFFFF"/>
              <w:spacing w:after="0" w:line="293" w:lineRule="atLeast"/>
              <w:jc w:val="both"/>
            </w:pPr>
            <w:r w:rsidRPr="006D431D">
              <w:t>Benzīns un dabasgāze 1.</w:t>
            </w:r>
            <w:r w:rsidR="00E477D2" w:rsidRPr="006D431D">
              <w:t>01</w:t>
            </w:r>
            <w:r w:rsidRPr="006D431D">
              <w:t>.</w:t>
            </w:r>
            <w:r w:rsidR="00E477D2" w:rsidRPr="006D431D">
              <w:t>2022</w:t>
            </w:r>
          </w:p>
        </w:tc>
        <w:tc>
          <w:tcPr>
            <w:tcW w:w="803" w:type="dxa"/>
          </w:tcPr>
          <w:p w14:paraId="19D89141" w14:textId="78DE5CE0" w:rsidR="00C32B9F" w:rsidRPr="006D431D" w:rsidRDefault="00E477D2">
            <w:pPr>
              <w:pStyle w:val="tvhtml"/>
              <w:shd w:val="clear" w:color="auto" w:fill="FFFFFF"/>
              <w:spacing w:after="0" w:line="293" w:lineRule="atLeast"/>
              <w:jc w:val="both"/>
            </w:pPr>
            <w:r w:rsidRPr="006D431D">
              <w:t>23</w:t>
            </w:r>
          </w:p>
        </w:tc>
        <w:tc>
          <w:tcPr>
            <w:tcW w:w="806" w:type="dxa"/>
          </w:tcPr>
          <w:p w14:paraId="24491E2A" w14:textId="77777777" w:rsidR="00C32B9F" w:rsidRPr="006D431D" w:rsidRDefault="002B39A1">
            <w:pPr>
              <w:pStyle w:val="tvhtml"/>
              <w:shd w:val="clear" w:color="auto" w:fill="FFFFFF"/>
              <w:spacing w:after="0" w:line="293" w:lineRule="atLeast"/>
              <w:jc w:val="both"/>
            </w:pPr>
            <w:r w:rsidRPr="006D431D">
              <w:t>0,017</w:t>
            </w:r>
          </w:p>
        </w:tc>
        <w:tc>
          <w:tcPr>
            <w:tcW w:w="873" w:type="dxa"/>
          </w:tcPr>
          <w:p w14:paraId="241709E6" w14:textId="059E0047" w:rsidR="00C32B9F" w:rsidRPr="006D431D" w:rsidRDefault="00E477D2">
            <w:pPr>
              <w:pStyle w:val="tvhtml"/>
              <w:shd w:val="clear" w:color="auto" w:fill="FFFFFF"/>
              <w:spacing w:after="0" w:line="293" w:lineRule="atLeast"/>
              <w:jc w:val="both"/>
            </w:pPr>
            <w:r w:rsidRPr="006D431D">
              <w:t>232</w:t>
            </w:r>
          </w:p>
        </w:tc>
        <w:tc>
          <w:tcPr>
            <w:tcW w:w="859" w:type="dxa"/>
          </w:tcPr>
          <w:p w14:paraId="22E391D3" w14:textId="77777777" w:rsidR="00C32B9F" w:rsidRPr="006D431D" w:rsidRDefault="002B39A1">
            <w:pPr>
              <w:pStyle w:val="tvhtml"/>
              <w:shd w:val="clear" w:color="auto" w:fill="FFFFFF"/>
              <w:spacing w:after="0" w:line="293" w:lineRule="atLeast"/>
              <w:jc w:val="both"/>
            </w:pPr>
            <w:r w:rsidRPr="006D431D">
              <w:t>0,029</w:t>
            </w:r>
          </w:p>
        </w:tc>
        <w:tc>
          <w:tcPr>
            <w:tcW w:w="802" w:type="dxa"/>
          </w:tcPr>
          <w:p w14:paraId="0F5E1A41" w14:textId="77777777" w:rsidR="00C32B9F" w:rsidRPr="006D431D" w:rsidRDefault="002B39A1">
            <w:pPr>
              <w:pStyle w:val="tvhtml"/>
              <w:shd w:val="clear" w:color="auto" w:fill="FFFFFF"/>
              <w:spacing w:after="0" w:line="293" w:lineRule="atLeast"/>
              <w:jc w:val="both"/>
            </w:pPr>
            <w:r w:rsidRPr="006D431D">
              <w:t>0</w:t>
            </w:r>
          </w:p>
        </w:tc>
        <w:tc>
          <w:tcPr>
            <w:tcW w:w="888" w:type="dxa"/>
          </w:tcPr>
          <w:p w14:paraId="2821F7D9" w14:textId="77777777" w:rsidR="00C32B9F" w:rsidRPr="006D431D" w:rsidRDefault="002B39A1">
            <w:pPr>
              <w:pStyle w:val="tvhtml"/>
              <w:shd w:val="clear" w:color="auto" w:fill="FFFFFF"/>
              <w:spacing w:after="0" w:line="293" w:lineRule="atLeast"/>
              <w:jc w:val="both"/>
            </w:pPr>
            <w:r w:rsidRPr="006D431D">
              <w:t>0</w:t>
            </w:r>
          </w:p>
        </w:tc>
        <w:tc>
          <w:tcPr>
            <w:tcW w:w="803" w:type="dxa"/>
          </w:tcPr>
          <w:p w14:paraId="3A2DF734" w14:textId="39216490" w:rsidR="00C32B9F" w:rsidRPr="006D431D" w:rsidRDefault="00836E45">
            <w:pPr>
              <w:pStyle w:val="tvhtml"/>
              <w:shd w:val="clear" w:color="auto" w:fill="FFFFFF"/>
              <w:spacing w:after="0" w:line="293" w:lineRule="atLeast"/>
              <w:jc w:val="both"/>
              <w:rPr>
                <w:b/>
                <w:bCs/>
              </w:rPr>
            </w:pPr>
            <w:r w:rsidRPr="006D431D">
              <w:rPr>
                <w:b/>
                <w:bCs/>
              </w:rPr>
              <w:t>255</w:t>
            </w:r>
          </w:p>
        </w:tc>
        <w:tc>
          <w:tcPr>
            <w:tcW w:w="906" w:type="dxa"/>
          </w:tcPr>
          <w:p w14:paraId="107168A6" w14:textId="77777777" w:rsidR="00C32B9F" w:rsidRPr="006D431D" w:rsidRDefault="002B39A1">
            <w:pPr>
              <w:pStyle w:val="tvhtml"/>
              <w:shd w:val="clear" w:color="auto" w:fill="FFFFFF"/>
              <w:spacing w:after="0" w:line="293" w:lineRule="atLeast"/>
              <w:jc w:val="both"/>
              <w:rPr>
                <w:b/>
                <w:bCs/>
              </w:rPr>
            </w:pPr>
            <w:r w:rsidRPr="006D431D">
              <w:rPr>
                <w:b/>
                <w:bCs/>
              </w:rPr>
              <w:t>0,027</w:t>
            </w:r>
          </w:p>
        </w:tc>
      </w:tr>
      <w:tr w:rsidR="00A618CA" w:rsidRPr="006D431D" w14:paraId="672AE771" w14:textId="77777777">
        <w:trPr>
          <w:trHeight w:val="260"/>
        </w:trPr>
        <w:tc>
          <w:tcPr>
            <w:tcW w:w="2609" w:type="dxa"/>
          </w:tcPr>
          <w:p w14:paraId="48C5FEB0" w14:textId="05849A53" w:rsidR="00C32B9F" w:rsidRPr="006D431D" w:rsidRDefault="002B39A1">
            <w:pPr>
              <w:pStyle w:val="tvhtml"/>
              <w:shd w:val="clear" w:color="auto" w:fill="FFFFFF"/>
              <w:spacing w:after="0" w:line="293" w:lineRule="atLeast"/>
              <w:jc w:val="both"/>
            </w:pPr>
            <w:r w:rsidRPr="006D431D">
              <w:t>Benzīns un dabasgāze 1.10.2020</w:t>
            </w:r>
          </w:p>
        </w:tc>
        <w:tc>
          <w:tcPr>
            <w:tcW w:w="803" w:type="dxa"/>
          </w:tcPr>
          <w:p w14:paraId="6EC87A61" w14:textId="4B76CB65" w:rsidR="00C32B9F" w:rsidRPr="006D431D" w:rsidRDefault="002B39A1">
            <w:pPr>
              <w:pStyle w:val="tvhtml"/>
              <w:shd w:val="clear" w:color="auto" w:fill="FFFFFF"/>
              <w:spacing w:after="0" w:line="293" w:lineRule="atLeast"/>
              <w:jc w:val="both"/>
            </w:pPr>
            <w:r w:rsidRPr="006D431D">
              <w:t>15</w:t>
            </w:r>
          </w:p>
        </w:tc>
        <w:tc>
          <w:tcPr>
            <w:tcW w:w="806" w:type="dxa"/>
          </w:tcPr>
          <w:p w14:paraId="1C0BD047" w14:textId="5969D0A9" w:rsidR="00C32B9F" w:rsidRPr="006D431D" w:rsidRDefault="002B39A1">
            <w:pPr>
              <w:pStyle w:val="tvhtml"/>
              <w:shd w:val="clear" w:color="auto" w:fill="FFFFFF"/>
              <w:spacing w:after="0" w:line="293" w:lineRule="atLeast"/>
              <w:jc w:val="both"/>
            </w:pPr>
            <w:r w:rsidRPr="006D431D">
              <w:t>0,016</w:t>
            </w:r>
          </w:p>
        </w:tc>
        <w:tc>
          <w:tcPr>
            <w:tcW w:w="873" w:type="dxa"/>
          </w:tcPr>
          <w:p w14:paraId="0C420325" w14:textId="636FF729" w:rsidR="00C32B9F" w:rsidRPr="006D431D" w:rsidRDefault="002B39A1">
            <w:pPr>
              <w:pStyle w:val="tvhtml"/>
              <w:shd w:val="clear" w:color="auto" w:fill="FFFFFF"/>
              <w:spacing w:after="0" w:line="293" w:lineRule="atLeast"/>
              <w:jc w:val="both"/>
            </w:pPr>
            <w:r w:rsidRPr="006D431D">
              <w:t>183</w:t>
            </w:r>
          </w:p>
        </w:tc>
        <w:tc>
          <w:tcPr>
            <w:tcW w:w="859" w:type="dxa"/>
          </w:tcPr>
          <w:p w14:paraId="5B7F63A1" w14:textId="333A6CE2" w:rsidR="00C32B9F" w:rsidRPr="006D431D" w:rsidRDefault="002B39A1">
            <w:pPr>
              <w:pStyle w:val="tvhtml"/>
              <w:shd w:val="clear" w:color="auto" w:fill="FFFFFF"/>
              <w:spacing w:after="0" w:line="293" w:lineRule="atLeast"/>
              <w:jc w:val="both"/>
            </w:pPr>
            <w:r w:rsidRPr="006D431D">
              <w:t>0,025</w:t>
            </w:r>
          </w:p>
        </w:tc>
        <w:tc>
          <w:tcPr>
            <w:tcW w:w="802" w:type="dxa"/>
          </w:tcPr>
          <w:p w14:paraId="411DF260" w14:textId="2A20466C" w:rsidR="00C32B9F" w:rsidRPr="006D431D" w:rsidRDefault="002B39A1">
            <w:pPr>
              <w:pStyle w:val="tvhtml"/>
              <w:shd w:val="clear" w:color="auto" w:fill="FFFFFF"/>
              <w:spacing w:after="0" w:line="293" w:lineRule="atLeast"/>
              <w:jc w:val="both"/>
            </w:pPr>
            <w:r w:rsidRPr="006D431D">
              <w:t>0</w:t>
            </w:r>
          </w:p>
        </w:tc>
        <w:tc>
          <w:tcPr>
            <w:tcW w:w="888" w:type="dxa"/>
          </w:tcPr>
          <w:p w14:paraId="34E83361" w14:textId="3ADC2265" w:rsidR="00C32B9F" w:rsidRPr="006D431D" w:rsidRDefault="002B39A1">
            <w:pPr>
              <w:pStyle w:val="tvhtml"/>
              <w:shd w:val="clear" w:color="auto" w:fill="FFFFFF"/>
              <w:spacing w:after="0" w:line="293" w:lineRule="atLeast"/>
              <w:jc w:val="both"/>
            </w:pPr>
            <w:r w:rsidRPr="006D431D">
              <w:t>0</w:t>
            </w:r>
          </w:p>
        </w:tc>
        <w:tc>
          <w:tcPr>
            <w:tcW w:w="803" w:type="dxa"/>
          </w:tcPr>
          <w:p w14:paraId="4B07D64C" w14:textId="227342F3" w:rsidR="00C32B9F" w:rsidRPr="006D431D" w:rsidRDefault="002B39A1">
            <w:pPr>
              <w:pStyle w:val="tvhtml"/>
              <w:shd w:val="clear" w:color="auto" w:fill="FFFFFF"/>
              <w:spacing w:after="0" w:line="293" w:lineRule="atLeast"/>
              <w:jc w:val="both"/>
              <w:rPr>
                <w:b/>
                <w:bCs/>
              </w:rPr>
            </w:pPr>
            <w:r w:rsidRPr="006D431D">
              <w:rPr>
                <w:b/>
                <w:bCs/>
              </w:rPr>
              <w:t>198</w:t>
            </w:r>
          </w:p>
        </w:tc>
        <w:tc>
          <w:tcPr>
            <w:tcW w:w="906" w:type="dxa"/>
          </w:tcPr>
          <w:p w14:paraId="06B4F515" w14:textId="766F2F37" w:rsidR="00C32B9F" w:rsidRPr="006D431D" w:rsidRDefault="002B39A1">
            <w:pPr>
              <w:pStyle w:val="tvhtml"/>
              <w:shd w:val="clear" w:color="auto" w:fill="FFFFFF"/>
              <w:spacing w:after="0" w:line="293" w:lineRule="atLeast"/>
              <w:jc w:val="both"/>
              <w:rPr>
                <w:b/>
                <w:bCs/>
              </w:rPr>
            </w:pPr>
            <w:r w:rsidRPr="006D431D">
              <w:rPr>
                <w:b/>
                <w:bCs/>
              </w:rPr>
              <w:t>0,024</w:t>
            </w:r>
          </w:p>
        </w:tc>
      </w:tr>
      <w:tr w:rsidR="00A618CA" w:rsidRPr="006D431D" w14:paraId="22505AD2" w14:textId="77777777">
        <w:trPr>
          <w:trHeight w:val="260"/>
        </w:trPr>
        <w:tc>
          <w:tcPr>
            <w:tcW w:w="2609" w:type="dxa"/>
          </w:tcPr>
          <w:p w14:paraId="73FDB875" w14:textId="1599267F" w:rsidR="00C32B9F" w:rsidRPr="006D431D" w:rsidRDefault="002B39A1">
            <w:pPr>
              <w:pStyle w:val="tvhtml"/>
              <w:shd w:val="clear" w:color="auto" w:fill="FFFFFF"/>
              <w:spacing w:after="0" w:line="293" w:lineRule="atLeast"/>
              <w:jc w:val="both"/>
            </w:pPr>
            <w:r w:rsidRPr="006D431D">
              <w:t>Benzīns un dabasgāze 1.01.2018</w:t>
            </w:r>
          </w:p>
        </w:tc>
        <w:tc>
          <w:tcPr>
            <w:tcW w:w="803" w:type="dxa"/>
          </w:tcPr>
          <w:p w14:paraId="679A5B9C" w14:textId="39F20AE8" w:rsidR="00C32B9F" w:rsidRPr="006D431D" w:rsidRDefault="002B39A1">
            <w:pPr>
              <w:pStyle w:val="tvhtml"/>
              <w:shd w:val="clear" w:color="auto" w:fill="FFFFFF"/>
              <w:spacing w:after="0" w:line="293" w:lineRule="atLeast"/>
              <w:jc w:val="both"/>
            </w:pPr>
            <w:r w:rsidRPr="006D431D">
              <w:t>6</w:t>
            </w:r>
          </w:p>
        </w:tc>
        <w:tc>
          <w:tcPr>
            <w:tcW w:w="806" w:type="dxa"/>
          </w:tcPr>
          <w:p w14:paraId="27B95A4C" w14:textId="6B4E67D3" w:rsidR="00C32B9F" w:rsidRPr="006D431D" w:rsidRDefault="002B39A1">
            <w:pPr>
              <w:pStyle w:val="tvhtml"/>
              <w:shd w:val="clear" w:color="auto" w:fill="FFFFFF"/>
              <w:spacing w:after="0" w:line="293" w:lineRule="atLeast"/>
              <w:jc w:val="both"/>
            </w:pPr>
            <w:r w:rsidRPr="006D431D">
              <w:t>0,007</w:t>
            </w:r>
          </w:p>
        </w:tc>
        <w:tc>
          <w:tcPr>
            <w:tcW w:w="873" w:type="dxa"/>
          </w:tcPr>
          <w:p w14:paraId="0CC9DB4C" w14:textId="1DD40EF4" w:rsidR="00C32B9F" w:rsidRPr="006D431D" w:rsidRDefault="002B39A1">
            <w:pPr>
              <w:pStyle w:val="tvhtml"/>
              <w:shd w:val="clear" w:color="auto" w:fill="FFFFFF"/>
              <w:spacing w:after="0" w:line="293" w:lineRule="atLeast"/>
              <w:jc w:val="both"/>
            </w:pPr>
            <w:r w:rsidRPr="006D431D">
              <w:t>118</w:t>
            </w:r>
          </w:p>
        </w:tc>
        <w:tc>
          <w:tcPr>
            <w:tcW w:w="859" w:type="dxa"/>
          </w:tcPr>
          <w:p w14:paraId="36EEA33D" w14:textId="53A5E1CB" w:rsidR="00C32B9F" w:rsidRPr="006D431D" w:rsidRDefault="002B39A1">
            <w:pPr>
              <w:pStyle w:val="tvhtml"/>
              <w:shd w:val="clear" w:color="auto" w:fill="FFFFFF"/>
              <w:spacing w:after="0" w:line="293" w:lineRule="atLeast"/>
              <w:jc w:val="both"/>
            </w:pPr>
            <w:r w:rsidRPr="006D431D">
              <w:t>0,017</w:t>
            </w:r>
          </w:p>
        </w:tc>
        <w:tc>
          <w:tcPr>
            <w:tcW w:w="802" w:type="dxa"/>
          </w:tcPr>
          <w:p w14:paraId="7BF93093" w14:textId="02AA204D" w:rsidR="00C32B9F" w:rsidRPr="006D431D" w:rsidRDefault="002B39A1">
            <w:pPr>
              <w:pStyle w:val="tvhtml"/>
              <w:shd w:val="clear" w:color="auto" w:fill="FFFFFF"/>
              <w:spacing w:after="0" w:line="293" w:lineRule="atLeast"/>
              <w:jc w:val="both"/>
            </w:pPr>
            <w:r w:rsidRPr="006D431D">
              <w:t>0</w:t>
            </w:r>
          </w:p>
        </w:tc>
        <w:tc>
          <w:tcPr>
            <w:tcW w:w="888" w:type="dxa"/>
          </w:tcPr>
          <w:p w14:paraId="21C97A4E" w14:textId="3B889ADF" w:rsidR="00C32B9F" w:rsidRPr="006D431D" w:rsidRDefault="002B39A1">
            <w:pPr>
              <w:pStyle w:val="tvhtml"/>
              <w:shd w:val="clear" w:color="auto" w:fill="FFFFFF"/>
              <w:spacing w:after="0" w:line="293" w:lineRule="atLeast"/>
              <w:jc w:val="both"/>
            </w:pPr>
            <w:r w:rsidRPr="006D431D">
              <w:t>0</w:t>
            </w:r>
          </w:p>
        </w:tc>
        <w:tc>
          <w:tcPr>
            <w:tcW w:w="803" w:type="dxa"/>
          </w:tcPr>
          <w:p w14:paraId="4965C266" w14:textId="4CA6F16C" w:rsidR="00C32B9F" w:rsidRPr="006D431D" w:rsidRDefault="002B39A1">
            <w:pPr>
              <w:pStyle w:val="tvhtml"/>
              <w:shd w:val="clear" w:color="auto" w:fill="FFFFFF"/>
              <w:spacing w:after="0" w:line="293" w:lineRule="atLeast"/>
              <w:jc w:val="both"/>
              <w:rPr>
                <w:b/>
                <w:bCs/>
              </w:rPr>
            </w:pPr>
            <w:r w:rsidRPr="006D431D">
              <w:rPr>
                <w:b/>
                <w:bCs/>
              </w:rPr>
              <w:t>124</w:t>
            </w:r>
          </w:p>
        </w:tc>
        <w:tc>
          <w:tcPr>
            <w:tcW w:w="906" w:type="dxa"/>
          </w:tcPr>
          <w:p w14:paraId="5FDFA882" w14:textId="4B210418" w:rsidR="00C32B9F" w:rsidRPr="006D431D" w:rsidRDefault="002B39A1">
            <w:pPr>
              <w:pStyle w:val="tvhtml"/>
              <w:shd w:val="clear" w:color="auto" w:fill="FFFFFF"/>
              <w:spacing w:after="0" w:line="293" w:lineRule="atLeast"/>
              <w:jc w:val="both"/>
              <w:rPr>
                <w:b/>
                <w:bCs/>
              </w:rPr>
            </w:pPr>
            <w:r w:rsidRPr="006D431D">
              <w:rPr>
                <w:b/>
                <w:bCs/>
              </w:rPr>
              <w:t>0,016</w:t>
            </w:r>
          </w:p>
        </w:tc>
      </w:tr>
      <w:tr w:rsidR="00A618CA" w:rsidRPr="006D431D" w14:paraId="5C6D274F" w14:textId="77777777">
        <w:trPr>
          <w:trHeight w:val="260"/>
        </w:trPr>
        <w:tc>
          <w:tcPr>
            <w:tcW w:w="2609" w:type="dxa"/>
          </w:tcPr>
          <w:p w14:paraId="7FB8EAB9" w14:textId="202CD965" w:rsidR="00C32B9F" w:rsidRPr="006D431D" w:rsidRDefault="002B39A1">
            <w:pPr>
              <w:pStyle w:val="tvhtml"/>
              <w:shd w:val="clear" w:color="auto" w:fill="FFFFFF"/>
              <w:spacing w:after="0" w:line="293" w:lineRule="atLeast"/>
              <w:jc w:val="both"/>
            </w:pPr>
            <w:r w:rsidRPr="006D431D">
              <w:t>Dīzeļdegviela un dabasgāze 1.</w:t>
            </w:r>
            <w:r w:rsidR="00E477D2" w:rsidRPr="006D431D">
              <w:t>01</w:t>
            </w:r>
            <w:r w:rsidRPr="006D431D">
              <w:t>.</w:t>
            </w:r>
            <w:r w:rsidR="00E477D2" w:rsidRPr="006D431D">
              <w:t>2022</w:t>
            </w:r>
          </w:p>
        </w:tc>
        <w:tc>
          <w:tcPr>
            <w:tcW w:w="803" w:type="dxa"/>
            <w:shd w:val="clear" w:color="auto" w:fill="auto"/>
            <w:vAlign w:val="bottom"/>
          </w:tcPr>
          <w:p w14:paraId="7411C380" w14:textId="77777777" w:rsidR="00C32B9F" w:rsidRPr="006D431D" w:rsidRDefault="002B39A1">
            <w:pPr>
              <w:pStyle w:val="tvhtml"/>
              <w:shd w:val="clear" w:color="auto" w:fill="FFFFFF"/>
              <w:spacing w:after="0" w:line="293" w:lineRule="atLeast"/>
              <w:jc w:val="both"/>
            </w:pPr>
            <w:r w:rsidRPr="006D431D">
              <w:t>11</w:t>
            </w:r>
          </w:p>
        </w:tc>
        <w:tc>
          <w:tcPr>
            <w:tcW w:w="806" w:type="dxa"/>
            <w:tcBorders>
              <w:left w:val="nil"/>
            </w:tcBorders>
            <w:shd w:val="clear" w:color="auto" w:fill="auto"/>
            <w:vAlign w:val="bottom"/>
          </w:tcPr>
          <w:p w14:paraId="6885EEEC" w14:textId="77777777" w:rsidR="00C32B9F" w:rsidRPr="006D431D" w:rsidRDefault="002B39A1">
            <w:pPr>
              <w:pStyle w:val="tvhtml"/>
              <w:shd w:val="clear" w:color="auto" w:fill="FFFFFF"/>
              <w:spacing w:after="0" w:line="293" w:lineRule="atLeast"/>
              <w:jc w:val="both"/>
            </w:pPr>
            <w:r w:rsidRPr="006D431D">
              <w:t>0,012</w:t>
            </w:r>
          </w:p>
        </w:tc>
        <w:tc>
          <w:tcPr>
            <w:tcW w:w="873" w:type="dxa"/>
            <w:tcBorders>
              <w:left w:val="nil"/>
            </w:tcBorders>
            <w:shd w:val="clear" w:color="auto" w:fill="auto"/>
            <w:vAlign w:val="bottom"/>
          </w:tcPr>
          <w:p w14:paraId="752BC373" w14:textId="77777777" w:rsidR="00C32B9F" w:rsidRPr="006D431D" w:rsidRDefault="002B39A1">
            <w:pPr>
              <w:pStyle w:val="tvhtml"/>
              <w:shd w:val="clear" w:color="auto" w:fill="FFFFFF"/>
              <w:spacing w:after="0" w:line="293" w:lineRule="atLeast"/>
              <w:jc w:val="both"/>
            </w:pPr>
            <w:r w:rsidRPr="006D431D">
              <w:t>0</w:t>
            </w:r>
          </w:p>
        </w:tc>
        <w:tc>
          <w:tcPr>
            <w:tcW w:w="859" w:type="dxa"/>
            <w:tcBorders>
              <w:left w:val="nil"/>
            </w:tcBorders>
            <w:shd w:val="clear" w:color="auto" w:fill="auto"/>
            <w:vAlign w:val="bottom"/>
          </w:tcPr>
          <w:p w14:paraId="2AF60C50" w14:textId="77777777" w:rsidR="00C32B9F" w:rsidRPr="006D431D" w:rsidRDefault="002B39A1">
            <w:pPr>
              <w:pStyle w:val="tvhtml"/>
              <w:shd w:val="clear" w:color="auto" w:fill="FFFFFF"/>
              <w:spacing w:after="0" w:line="293" w:lineRule="atLeast"/>
              <w:jc w:val="both"/>
            </w:pPr>
            <w:r w:rsidRPr="006D431D">
              <w:t>0</w:t>
            </w:r>
          </w:p>
        </w:tc>
        <w:tc>
          <w:tcPr>
            <w:tcW w:w="802" w:type="dxa"/>
            <w:tcBorders>
              <w:left w:val="nil"/>
            </w:tcBorders>
            <w:shd w:val="clear" w:color="auto" w:fill="auto"/>
            <w:vAlign w:val="bottom"/>
          </w:tcPr>
          <w:p w14:paraId="3C432484" w14:textId="77777777" w:rsidR="00C32B9F" w:rsidRPr="006D431D" w:rsidRDefault="002B39A1">
            <w:pPr>
              <w:pStyle w:val="tvhtml"/>
              <w:shd w:val="clear" w:color="auto" w:fill="FFFFFF"/>
              <w:spacing w:after="0" w:line="293" w:lineRule="atLeast"/>
              <w:jc w:val="both"/>
            </w:pPr>
            <w:r w:rsidRPr="006D431D">
              <w:t>0</w:t>
            </w:r>
          </w:p>
        </w:tc>
        <w:tc>
          <w:tcPr>
            <w:tcW w:w="888" w:type="dxa"/>
            <w:tcBorders>
              <w:left w:val="nil"/>
            </w:tcBorders>
            <w:shd w:val="clear" w:color="auto" w:fill="auto"/>
            <w:vAlign w:val="bottom"/>
          </w:tcPr>
          <w:p w14:paraId="76DCB26B" w14:textId="77777777" w:rsidR="00C32B9F" w:rsidRPr="006D431D" w:rsidRDefault="002B39A1">
            <w:pPr>
              <w:pStyle w:val="tvhtml"/>
              <w:shd w:val="clear" w:color="auto" w:fill="FFFFFF"/>
              <w:spacing w:after="0" w:line="293" w:lineRule="atLeast"/>
              <w:jc w:val="both"/>
            </w:pPr>
            <w:r w:rsidRPr="006D431D">
              <w:t>0</w:t>
            </w:r>
          </w:p>
        </w:tc>
        <w:tc>
          <w:tcPr>
            <w:tcW w:w="803" w:type="dxa"/>
            <w:shd w:val="clear" w:color="auto" w:fill="auto"/>
            <w:vAlign w:val="bottom"/>
          </w:tcPr>
          <w:p w14:paraId="0BB5A43E" w14:textId="77777777" w:rsidR="00C32B9F" w:rsidRPr="006D431D" w:rsidRDefault="002B39A1">
            <w:pPr>
              <w:pStyle w:val="tvhtml"/>
              <w:shd w:val="clear" w:color="auto" w:fill="FFFFFF"/>
              <w:spacing w:after="0" w:line="293" w:lineRule="atLeast"/>
              <w:jc w:val="both"/>
              <w:rPr>
                <w:b/>
                <w:bCs/>
              </w:rPr>
            </w:pPr>
            <w:r w:rsidRPr="006D431D">
              <w:rPr>
                <w:b/>
                <w:bCs/>
              </w:rPr>
              <w:t>11</w:t>
            </w:r>
          </w:p>
        </w:tc>
        <w:tc>
          <w:tcPr>
            <w:tcW w:w="906" w:type="dxa"/>
            <w:tcBorders>
              <w:left w:val="nil"/>
            </w:tcBorders>
            <w:shd w:val="clear" w:color="auto" w:fill="auto"/>
            <w:vAlign w:val="bottom"/>
          </w:tcPr>
          <w:p w14:paraId="526A8B41" w14:textId="77777777" w:rsidR="00C32B9F" w:rsidRPr="006D431D" w:rsidRDefault="002B39A1">
            <w:pPr>
              <w:pStyle w:val="tvhtml"/>
              <w:shd w:val="clear" w:color="auto" w:fill="FFFFFF"/>
              <w:spacing w:after="0" w:line="293" w:lineRule="atLeast"/>
              <w:jc w:val="both"/>
              <w:rPr>
                <w:b/>
                <w:bCs/>
              </w:rPr>
            </w:pPr>
            <w:r w:rsidRPr="006D431D">
              <w:rPr>
                <w:b/>
                <w:bCs/>
              </w:rPr>
              <w:t>0,001</w:t>
            </w:r>
          </w:p>
        </w:tc>
      </w:tr>
      <w:tr w:rsidR="00A618CA" w:rsidRPr="006D431D" w14:paraId="06B2D6CD" w14:textId="77777777">
        <w:trPr>
          <w:trHeight w:val="260"/>
        </w:trPr>
        <w:tc>
          <w:tcPr>
            <w:tcW w:w="2609" w:type="dxa"/>
          </w:tcPr>
          <w:p w14:paraId="6289F4B6" w14:textId="65F763F6" w:rsidR="00C32B9F" w:rsidRPr="006D431D" w:rsidRDefault="002B39A1">
            <w:pPr>
              <w:pStyle w:val="tvhtml"/>
              <w:shd w:val="clear" w:color="auto" w:fill="FFFFFF"/>
              <w:spacing w:after="0" w:line="293" w:lineRule="atLeast"/>
              <w:jc w:val="both"/>
            </w:pPr>
            <w:r w:rsidRPr="006D431D">
              <w:t>Dīzeļdegviela un dabasgāze 1.10.2020</w:t>
            </w:r>
          </w:p>
        </w:tc>
        <w:tc>
          <w:tcPr>
            <w:tcW w:w="803" w:type="dxa"/>
          </w:tcPr>
          <w:p w14:paraId="617DE359" w14:textId="6EEF1B4E" w:rsidR="00C32B9F" w:rsidRPr="006D431D" w:rsidRDefault="002B39A1">
            <w:pPr>
              <w:pStyle w:val="tvhtml"/>
              <w:shd w:val="clear" w:color="auto" w:fill="FFFFFF"/>
              <w:spacing w:after="0" w:line="293" w:lineRule="atLeast"/>
              <w:jc w:val="both"/>
            </w:pPr>
            <w:r w:rsidRPr="006D431D">
              <w:t>10</w:t>
            </w:r>
          </w:p>
        </w:tc>
        <w:tc>
          <w:tcPr>
            <w:tcW w:w="806" w:type="dxa"/>
          </w:tcPr>
          <w:p w14:paraId="3587C97D" w14:textId="79167E10" w:rsidR="00C32B9F" w:rsidRPr="006D431D" w:rsidRDefault="002B39A1">
            <w:pPr>
              <w:pStyle w:val="tvhtml"/>
              <w:shd w:val="clear" w:color="auto" w:fill="FFFFFF"/>
              <w:spacing w:after="0" w:line="293" w:lineRule="atLeast"/>
              <w:jc w:val="both"/>
            </w:pPr>
            <w:r w:rsidRPr="006D431D">
              <w:t>0.011</w:t>
            </w:r>
          </w:p>
        </w:tc>
        <w:tc>
          <w:tcPr>
            <w:tcW w:w="873" w:type="dxa"/>
          </w:tcPr>
          <w:p w14:paraId="3549996D" w14:textId="4E4CF316" w:rsidR="00C32B9F" w:rsidRPr="006D431D" w:rsidRDefault="002B39A1">
            <w:pPr>
              <w:pStyle w:val="tvhtml"/>
              <w:shd w:val="clear" w:color="auto" w:fill="FFFFFF"/>
              <w:spacing w:after="0" w:line="293" w:lineRule="atLeast"/>
              <w:jc w:val="both"/>
            </w:pPr>
            <w:r w:rsidRPr="006D431D">
              <w:t>4</w:t>
            </w:r>
          </w:p>
        </w:tc>
        <w:tc>
          <w:tcPr>
            <w:tcW w:w="859" w:type="dxa"/>
          </w:tcPr>
          <w:p w14:paraId="638FBC58" w14:textId="6CE2A7D1" w:rsidR="00C32B9F" w:rsidRPr="006D431D" w:rsidRDefault="002B39A1">
            <w:pPr>
              <w:pStyle w:val="tvhtml"/>
              <w:shd w:val="clear" w:color="auto" w:fill="FFFFFF"/>
              <w:spacing w:after="0" w:line="293" w:lineRule="atLeast"/>
              <w:jc w:val="both"/>
            </w:pPr>
            <w:r w:rsidRPr="006D431D">
              <w:t>0,01</w:t>
            </w:r>
          </w:p>
        </w:tc>
        <w:tc>
          <w:tcPr>
            <w:tcW w:w="802" w:type="dxa"/>
          </w:tcPr>
          <w:p w14:paraId="1C395C54" w14:textId="5FF248E0" w:rsidR="00C32B9F" w:rsidRPr="006D431D" w:rsidRDefault="002B39A1">
            <w:pPr>
              <w:pStyle w:val="tvhtml"/>
              <w:shd w:val="clear" w:color="auto" w:fill="FFFFFF"/>
              <w:spacing w:after="0" w:line="293" w:lineRule="atLeast"/>
              <w:jc w:val="both"/>
            </w:pPr>
            <w:r w:rsidRPr="006D431D">
              <w:t>0</w:t>
            </w:r>
          </w:p>
        </w:tc>
        <w:tc>
          <w:tcPr>
            <w:tcW w:w="888" w:type="dxa"/>
          </w:tcPr>
          <w:p w14:paraId="5F97CC9E" w14:textId="41406F15" w:rsidR="00C32B9F" w:rsidRPr="006D431D" w:rsidRDefault="002B39A1">
            <w:pPr>
              <w:pStyle w:val="tvhtml"/>
              <w:shd w:val="clear" w:color="auto" w:fill="FFFFFF"/>
              <w:spacing w:after="0" w:line="293" w:lineRule="atLeast"/>
              <w:jc w:val="both"/>
            </w:pPr>
            <w:r w:rsidRPr="006D431D">
              <w:t>0</w:t>
            </w:r>
          </w:p>
        </w:tc>
        <w:tc>
          <w:tcPr>
            <w:tcW w:w="803" w:type="dxa"/>
          </w:tcPr>
          <w:p w14:paraId="5D91BBE3" w14:textId="40957899" w:rsidR="00C32B9F" w:rsidRPr="006D431D" w:rsidRDefault="002B39A1">
            <w:pPr>
              <w:pStyle w:val="tvhtml"/>
              <w:shd w:val="clear" w:color="auto" w:fill="FFFFFF"/>
              <w:spacing w:after="0" w:line="293" w:lineRule="atLeast"/>
              <w:jc w:val="both"/>
              <w:rPr>
                <w:b/>
                <w:bCs/>
              </w:rPr>
            </w:pPr>
            <w:r w:rsidRPr="006D431D">
              <w:rPr>
                <w:b/>
                <w:bCs/>
              </w:rPr>
              <w:t>14</w:t>
            </w:r>
          </w:p>
        </w:tc>
        <w:tc>
          <w:tcPr>
            <w:tcW w:w="906" w:type="dxa"/>
          </w:tcPr>
          <w:p w14:paraId="3AE1E249" w14:textId="15037468" w:rsidR="00C32B9F" w:rsidRPr="006D431D" w:rsidRDefault="002B39A1">
            <w:pPr>
              <w:pStyle w:val="tvhtml"/>
              <w:shd w:val="clear" w:color="auto" w:fill="FFFFFF"/>
              <w:spacing w:after="0" w:line="293" w:lineRule="atLeast"/>
              <w:jc w:val="both"/>
              <w:rPr>
                <w:b/>
                <w:bCs/>
              </w:rPr>
            </w:pPr>
            <w:r w:rsidRPr="006D431D">
              <w:rPr>
                <w:b/>
                <w:bCs/>
              </w:rPr>
              <w:t>0,002</w:t>
            </w:r>
          </w:p>
        </w:tc>
      </w:tr>
      <w:tr w:rsidR="00A618CA" w:rsidRPr="006D431D" w14:paraId="1EE4E046" w14:textId="77777777">
        <w:trPr>
          <w:trHeight w:val="260"/>
        </w:trPr>
        <w:tc>
          <w:tcPr>
            <w:tcW w:w="2609" w:type="dxa"/>
          </w:tcPr>
          <w:p w14:paraId="15E72681" w14:textId="18169569" w:rsidR="00C32B9F" w:rsidRPr="006D431D" w:rsidRDefault="002B39A1">
            <w:pPr>
              <w:pStyle w:val="tvhtml"/>
              <w:shd w:val="clear" w:color="auto" w:fill="FFFFFF"/>
              <w:spacing w:after="0" w:line="293" w:lineRule="atLeast"/>
              <w:jc w:val="both"/>
            </w:pPr>
            <w:r w:rsidRPr="006D431D">
              <w:t>Dīzeļdegviela un dabasgāze 1.01.2018</w:t>
            </w:r>
          </w:p>
        </w:tc>
        <w:tc>
          <w:tcPr>
            <w:tcW w:w="803" w:type="dxa"/>
          </w:tcPr>
          <w:p w14:paraId="5FBCE6E6" w14:textId="3EBAE91C" w:rsidR="00C32B9F" w:rsidRPr="006D431D" w:rsidRDefault="002B39A1">
            <w:pPr>
              <w:pStyle w:val="tvhtml"/>
              <w:shd w:val="clear" w:color="auto" w:fill="FFFFFF"/>
              <w:spacing w:after="0" w:line="293" w:lineRule="atLeast"/>
              <w:jc w:val="both"/>
            </w:pPr>
            <w:r w:rsidRPr="006D431D">
              <w:t>0</w:t>
            </w:r>
          </w:p>
        </w:tc>
        <w:tc>
          <w:tcPr>
            <w:tcW w:w="806" w:type="dxa"/>
          </w:tcPr>
          <w:p w14:paraId="6CF2DCB2" w14:textId="7CB82045" w:rsidR="00C32B9F" w:rsidRPr="006D431D" w:rsidRDefault="002B39A1">
            <w:pPr>
              <w:pStyle w:val="tvhtml"/>
              <w:shd w:val="clear" w:color="auto" w:fill="FFFFFF"/>
              <w:spacing w:after="0" w:line="293" w:lineRule="atLeast"/>
              <w:jc w:val="both"/>
            </w:pPr>
            <w:r w:rsidRPr="006D431D">
              <w:t>0</w:t>
            </w:r>
          </w:p>
        </w:tc>
        <w:tc>
          <w:tcPr>
            <w:tcW w:w="873" w:type="dxa"/>
          </w:tcPr>
          <w:p w14:paraId="3C097C05" w14:textId="3C2BF08D" w:rsidR="00C32B9F" w:rsidRPr="006D431D" w:rsidRDefault="002B39A1">
            <w:pPr>
              <w:pStyle w:val="tvhtml"/>
              <w:shd w:val="clear" w:color="auto" w:fill="FFFFFF"/>
              <w:spacing w:after="0" w:line="293" w:lineRule="atLeast"/>
              <w:jc w:val="both"/>
            </w:pPr>
            <w:r w:rsidRPr="006D431D">
              <w:t>0</w:t>
            </w:r>
          </w:p>
        </w:tc>
        <w:tc>
          <w:tcPr>
            <w:tcW w:w="859" w:type="dxa"/>
          </w:tcPr>
          <w:p w14:paraId="52E7A042" w14:textId="3295E982" w:rsidR="00C32B9F" w:rsidRPr="006D431D" w:rsidRDefault="002B39A1">
            <w:pPr>
              <w:pStyle w:val="tvhtml"/>
              <w:shd w:val="clear" w:color="auto" w:fill="FFFFFF"/>
              <w:spacing w:after="0" w:line="293" w:lineRule="atLeast"/>
              <w:jc w:val="both"/>
            </w:pPr>
            <w:r w:rsidRPr="006D431D">
              <w:t>0</w:t>
            </w:r>
          </w:p>
        </w:tc>
        <w:tc>
          <w:tcPr>
            <w:tcW w:w="802" w:type="dxa"/>
          </w:tcPr>
          <w:p w14:paraId="1AFBF904" w14:textId="160AACDA" w:rsidR="00C32B9F" w:rsidRPr="006D431D" w:rsidRDefault="002B39A1">
            <w:pPr>
              <w:pStyle w:val="tvhtml"/>
              <w:shd w:val="clear" w:color="auto" w:fill="FFFFFF"/>
              <w:spacing w:after="0" w:line="293" w:lineRule="atLeast"/>
              <w:jc w:val="both"/>
            </w:pPr>
            <w:r w:rsidRPr="006D431D">
              <w:t>0</w:t>
            </w:r>
          </w:p>
        </w:tc>
        <w:tc>
          <w:tcPr>
            <w:tcW w:w="888" w:type="dxa"/>
          </w:tcPr>
          <w:p w14:paraId="4F8CDDA7" w14:textId="76F7A891" w:rsidR="00C32B9F" w:rsidRPr="006D431D" w:rsidRDefault="002B39A1">
            <w:pPr>
              <w:pStyle w:val="tvhtml"/>
              <w:shd w:val="clear" w:color="auto" w:fill="FFFFFF"/>
              <w:spacing w:after="0" w:line="293" w:lineRule="atLeast"/>
              <w:jc w:val="both"/>
            </w:pPr>
            <w:r w:rsidRPr="006D431D">
              <w:t>0</w:t>
            </w:r>
          </w:p>
        </w:tc>
        <w:tc>
          <w:tcPr>
            <w:tcW w:w="803" w:type="dxa"/>
          </w:tcPr>
          <w:p w14:paraId="6A202948" w14:textId="73113A54" w:rsidR="00C32B9F" w:rsidRPr="006D431D" w:rsidRDefault="002B39A1">
            <w:pPr>
              <w:pStyle w:val="tvhtml"/>
              <w:shd w:val="clear" w:color="auto" w:fill="FFFFFF"/>
              <w:spacing w:after="0" w:line="293" w:lineRule="atLeast"/>
              <w:jc w:val="both"/>
              <w:rPr>
                <w:b/>
                <w:bCs/>
              </w:rPr>
            </w:pPr>
            <w:r w:rsidRPr="006D431D">
              <w:rPr>
                <w:b/>
                <w:bCs/>
              </w:rPr>
              <w:t>0</w:t>
            </w:r>
          </w:p>
        </w:tc>
        <w:tc>
          <w:tcPr>
            <w:tcW w:w="906" w:type="dxa"/>
          </w:tcPr>
          <w:p w14:paraId="6EDC9249" w14:textId="5EC2D278" w:rsidR="00C32B9F" w:rsidRPr="006D431D" w:rsidRDefault="002B39A1">
            <w:pPr>
              <w:pStyle w:val="tvhtml"/>
              <w:shd w:val="clear" w:color="auto" w:fill="FFFFFF"/>
              <w:spacing w:after="0" w:line="293" w:lineRule="atLeast"/>
              <w:jc w:val="both"/>
              <w:rPr>
                <w:b/>
                <w:bCs/>
              </w:rPr>
            </w:pPr>
            <w:r w:rsidRPr="006D431D">
              <w:rPr>
                <w:b/>
                <w:bCs/>
              </w:rPr>
              <w:t>0</w:t>
            </w:r>
          </w:p>
        </w:tc>
      </w:tr>
      <w:tr w:rsidR="00A618CA" w:rsidRPr="006D431D" w14:paraId="394D9980" w14:textId="77777777">
        <w:trPr>
          <w:trHeight w:val="260"/>
        </w:trPr>
        <w:tc>
          <w:tcPr>
            <w:tcW w:w="2609" w:type="dxa"/>
          </w:tcPr>
          <w:p w14:paraId="4D7CAAAE" w14:textId="5C5C826C" w:rsidR="00C32B9F" w:rsidRPr="006D431D" w:rsidRDefault="002B39A1">
            <w:pPr>
              <w:pStyle w:val="tvhtml"/>
              <w:shd w:val="clear" w:color="auto" w:fill="FFFFFF"/>
              <w:spacing w:after="0" w:line="293" w:lineRule="atLeast"/>
              <w:jc w:val="both"/>
            </w:pPr>
            <w:r w:rsidRPr="006D431D">
              <w:t>Dabasgāze 1.0</w:t>
            </w:r>
            <w:r w:rsidR="00E477D2" w:rsidRPr="006D431D">
              <w:t>1</w:t>
            </w:r>
            <w:r w:rsidRPr="006D431D">
              <w:t>.202</w:t>
            </w:r>
            <w:r w:rsidR="00E477D2" w:rsidRPr="006D431D">
              <w:t>2</w:t>
            </w:r>
          </w:p>
        </w:tc>
        <w:tc>
          <w:tcPr>
            <w:tcW w:w="803" w:type="dxa"/>
            <w:shd w:val="clear" w:color="auto" w:fill="auto"/>
            <w:vAlign w:val="bottom"/>
          </w:tcPr>
          <w:p w14:paraId="42ACB977" w14:textId="640446D1" w:rsidR="00C32B9F" w:rsidRPr="006D431D" w:rsidRDefault="00E477D2">
            <w:pPr>
              <w:pStyle w:val="tvhtml"/>
              <w:shd w:val="clear" w:color="auto" w:fill="FFFFFF"/>
              <w:spacing w:after="0" w:line="293" w:lineRule="atLeast"/>
              <w:jc w:val="both"/>
            </w:pPr>
            <w:r w:rsidRPr="006D431D">
              <w:t>191</w:t>
            </w:r>
          </w:p>
        </w:tc>
        <w:tc>
          <w:tcPr>
            <w:tcW w:w="806" w:type="dxa"/>
            <w:tcBorders>
              <w:left w:val="nil"/>
            </w:tcBorders>
            <w:shd w:val="clear" w:color="auto" w:fill="auto"/>
            <w:vAlign w:val="bottom"/>
          </w:tcPr>
          <w:p w14:paraId="7753E56A" w14:textId="131DBB1C" w:rsidR="00C32B9F" w:rsidRPr="006D431D" w:rsidRDefault="002B39A1">
            <w:pPr>
              <w:pStyle w:val="tvhtml"/>
              <w:shd w:val="clear" w:color="auto" w:fill="FFFFFF"/>
              <w:spacing w:after="0" w:line="293" w:lineRule="atLeast"/>
              <w:jc w:val="both"/>
            </w:pPr>
            <w:r w:rsidRPr="006D431D">
              <w:t>0,</w:t>
            </w:r>
            <w:r w:rsidR="00E477D2" w:rsidRPr="006D431D">
              <w:t>200</w:t>
            </w:r>
          </w:p>
        </w:tc>
        <w:tc>
          <w:tcPr>
            <w:tcW w:w="873" w:type="dxa"/>
            <w:tcBorders>
              <w:left w:val="nil"/>
            </w:tcBorders>
            <w:shd w:val="clear" w:color="auto" w:fill="auto"/>
            <w:vAlign w:val="bottom"/>
          </w:tcPr>
          <w:p w14:paraId="689515E2" w14:textId="769FEC52" w:rsidR="00C32B9F" w:rsidRPr="006D431D" w:rsidRDefault="00E477D2">
            <w:pPr>
              <w:pStyle w:val="tvhtml"/>
              <w:shd w:val="clear" w:color="auto" w:fill="FFFFFF"/>
              <w:spacing w:after="0" w:line="293" w:lineRule="atLeast"/>
              <w:jc w:val="both"/>
            </w:pPr>
            <w:r w:rsidRPr="006D431D">
              <w:t>138</w:t>
            </w:r>
          </w:p>
        </w:tc>
        <w:tc>
          <w:tcPr>
            <w:tcW w:w="859" w:type="dxa"/>
            <w:tcBorders>
              <w:left w:val="nil"/>
            </w:tcBorders>
            <w:shd w:val="clear" w:color="auto" w:fill="auto"/>
            <w:vAlign w:val="bottom"/>
          </w:tcPr>
          <w:p w14:paraId="3A755B0A" w14:textId="77777777" w:rsidR="00C32B9F" w:rsidRPr="006D431D" w:rsidRDefault="002B39A1">
            <w:pPr>
              <w:pStyle w:val="tvhtml"/>
              <w:shd w:val="clear" w:color="auto" w:fill="FFFFFF"/>
              <w:spacing w:after="0" w:line="293" w:lineRule="atLeast"/>
              <w:jc w:val="both"/>
            </w:pPr>
            <w:r w:rsidRPr="006D431D">
              <w:t>0,016</w:t>
            </w:r>
          </w:p>
        </w:tc>
        <w:tc>
          <w:tcPr>
            <w:tcW w:w="802" w:type="dxa"/>
            <w:tcBorders>
              <w:left w:val="nil"/>
            </w:tcBorders>
            <w:shd w:val="clear" w:color="auto" w:fill="auto"/>
            <w:vAlign w:val="bottom"/>
          </w:tcPr>
          <w:p w14:paraId="4332639A" w14:textId="77777777" w:rsidR="00C32B9F" w:rsidRPr="006D431D" w:rsidRDefault="002B39A1">
            <w:pPr>
              <w:pStyle w:val="tvhtml"/>
              <w:shd w:val="clear" w:color="auto" w:fill="FFFFFF"/>
              <w:spacing w:after="0" w:line="293" w:lineRule="atLeast"/>
              <w:jc w:val="both"/>
            </w:pPr>
            <w:r w:rsidRPr="006D431D">
              <w:t>7</w:t>
            </w:r>
          </w:p>
        </w:tc>
        <w:tc>
          <w:tcPr>
            <w:tcW w:w="888" w:type="dxa"/>
            <w:tcBorders>
              <w:left w:val="nil"/>
            </w:tcBorders>
            <w:shd w:val="clear" w:color="auto" w:fill="auto"/>
            <w:vAlign w:val="bottom"/>
          </w:tcPr>
          <w:p w14:paraId="7F23E408" w14:textId="77777777" w:rsidR="00C32B9F" w:rsidRPr="006D431D" w:rsidRDefault="002B39A1">
            <w:pPr>
              <w:pStyle w:val="tvhtml"/>
              <w:shd w:val="clear" w:color="auto" w:fill="FFFFFF"/>
              <w:spacing w:after="0" w:line="293" w:lineRule="atLeast"/>
              <w:jc w:val="both"/>
            </w:pPr>
            <w:r w:rsidRPr="006D431D">
              <w:t>0,171</w:t>
            </w:r>
          </w:p>
        </w:tc>
        <w:tc>
          <w:tcPr>
            <w:tcW w:w="803" w:type="dxa"/>
            <w:tcBorders>
              <w:left w:val="nil"/>
            </w:tcBorders>
            <w:shd w:val="clear" w:color="auto" w:fill="auto"/>
            <w:vAlign w:val="bottom"/>
          </w:tcPr>
          <w:p w14:paraId="1EF005FD" w14:textId="511BAE12" w:rsidR="00C32B9F" w:rsidRPr="006D431D" w:rsidRDefault="00836E45">
            <w:pPr>
              <w:pStyle w:val="tvhtml"/>
              <w:shd w:val="clear" w:color="auto" w:fill="FFFFFF"/>
              <w:spacing w:after="0" w:line="293" w:lineRule="atLeast"/>
              <w:jc w:val="both"/>
              <w:rPr>
                <w:b/>
                <w:bCs/>
              </w:rPr>
            </w:pPr>
            <w:r w:rsidRPr="006D431D">
              <w:rPr>
                <w:b/>
                <w:bCs/>
              </w:rPr>
              <w:t>336</w:t>
            </w:r>
          </w:p>
        </w:tc>
        <w:tc>
          <w:tcPr>
            <w:tcW w:w="906" w:type="dxa"/>
            <w:tcBorders>
              <w:left w:val="nil"/>
            </w:tcBorders>
            <w:shd w:val="clear" w:color="auto" w:fill="auto"/>
            <w:vAlign w:val="bottom"/>
          </w:tcPr>
          <w:p w14:paraId="792270C8" w14:textId="77777777" w:rsidR="00C32B9F" w:rsidRPr="006D431D" w:rsidRDefault="002B39A1">
            <w:pPr>
              <w:pStyle w:val="tvhtml"/>
              <w:shd w:val="clear" w:color="auto" w:fill="FFFFFF"/>
              <w:spacing w:after="0" w:line="293" w:lineRule="atLeast"/>
              <w:jc w:val="both"/>
              <w:rPr>
                <w:b/>
                <w:bCs/>
              </w:rPr>
            </w:pPr>
            <w:r w:rsidRPr="006D431D">
              <w:rPr>
                <w:b/>
                <w:bCs/>
              </w:rPr>
              <w:t>0,032</w:t>
            </w:r>
          </w:p>
        </w:tc>
      </w:tr>
      <w:tr w:rsidR="00A618CA" w:rsidRPr="006D431D" w14:paraId="036577A7" w14:textId="77777777">
        <w:trPr>
          <w:trHeight w:val="260"/>
        </w:trPr>
        <w:tc>
          <w:tcPr>
            <w:tcW w:w="2609" w:type="dxa"/>
          </w:tcPr>
          <w:p w14:paraId="71068C41" w14:textId="0AA2EC71" w:rsidR="00C32B9F" w:rsidRPr="006D431D" w:rsidRDefault="002B39A1">
            <w:pPr>
              <w:pStyle w:val="tvhtml"/>
              <w:shd w:val="clear" w:color="auto" w:fill="FFFFFF"/>
              <w:spacing w:after="0" w:line="293" w:lineRule="atLeast"/>
              <w:jc w:val="both"/>
            </w:pPr>
            <w:r w:rsidRPr="006D431D">
              <w:t>Dabasgāze 1.10.2020</w:t>
            </w:r>
          </w:p>
        </w:tc>
        <w:tc>
          <w:tcPr>
            <w:tcW w:w="803" w:type="dxa"/>
          </w:tcPr>
          <w:p w14:paraId="233F81C4" w14:textId="56014AE4" w:rsidR="00C32B9F" w:rsidRPr="006D431D" w:rsidRDefault="002B39A1">
            <w:pPr>
              <w:pStyle w:val="tvhtml"/>
              <w:shd w:val="clear" w:color="auto" w:fill="FFFFFF"/>
              <w:spacing w:after="0" w:line="293" w:lineRule="atLeast"/>
              <w:jc w:val="both"/>
            </w:pPr>
            <w:r w:rsidRPr="006D431D">
              <w:t>62</w:t>
            </w:r>
          </w:p>
        </w:tc>
        <w:tc>
          <w:tcPr>
            <w:tcW w:w="806" w:type="dxa"/>
          </w:tcPr>
          <w:p w14:paraId="56620243" w14:textId="116E7814" w:rsidR="00C32B9F" w:rsidRPr="006D431D" w:rsidRDefault="002B39A1">
            <w:pPr>
              <w:pStyle w:val="tvhtml"/>
              <w:shd w:val="clear" w:color="auto" w:fill="FFFFFF"/>
              <w:spacing w:after="0" w:line="293" w:lineRule="atLeast"/>
              <w:jc w:val="both"/>
            </w:pPr>
            <w:r w:rsidRPr="006D431D">
              <w:t>0,067</w:t>
            </w:r>
          </w:p>
        </w:tc>
        <w:tc>
          <w:tcPr>
            <w:tcW w:w="873" w:type="dxa"/>
          </w:tcPr>
          <w:p w14:paraId="08FD97D0" w14:textId="56F1B30A" w:rsidR="00C32B9F" w:rsidRPr="006D431D" w:rsidRDefault="002B39A1">
            <w:pPr>
              <w:pStyle w:val="tvhtml"/>
              <w:shd w:val="clear" w:color="auto" w:fill="FFFFFF"/>
              <w:spacing w:after="0" w:line="293" w:lineRule="atLeast"/>
              <w:jc w:val="both"/>
            </w:pPr>
            <w:r w:rsidRPr="006D431D">
              <w:t>81</w:t>
            </w:r>
          </w:p>
        </w:tc>
        <w:tc>
          <w:tcPr>
            <w:tcW w:w="859" w:type="dxa"/>
          </w:tcPr>
          <w:p w14:paraId="03B5C761" w14:textId="0DCEF09F" w:rsidR="00C32B9F" w:rsidRPr="006D431D" w:rsidRDefault="002B39A1">
            <w:pPr>
              <w:pStyle w:val="tvhtml"/>
              <w:shd w:val="clear" w:color="auto" w:fill="FFFFFF"/>
              <w:spacing w:after="0" w:line="293" w:lineRule="atLeast"/>
              <w:jc w:val="both"/>
            </w:pPr>
            <w:r w:rsidRPr="006D431D">
              <w:t>0,011</w:t>
            </w:r>
          </w:p>
        </w:tc>
        <w:tc>
          <w:tcPr>
            <w:tcW w:w="802" w:type="dxa"/>
          </w:tcPr>
          <w:p w14:paraId="6FAE8C48" w14:textId="6CAB970E" w:rsidR="00C32B9F" w:rsidRPr="006D431D" w:rsidRDefault="002B39A1">
            <w:pPr>
              <w:pStyle w:val="tvhtml"/>
              <w:shd w:val="clear" w:color="auto" w:fill="FFFFFF"/>
              <w:spacing w:after="0" w:line="293" w:lineRule="atLeast"/>
              <w:jc w:val="both"/>
            </w:pPr>
            <w:r w:rsidRPr="006D431D">
              <w:t>7</w:t>
            </w:r>
          </w:p>
        </w:tc>
        <w:tc>
          <w:tcPr>
            <w:tcW w:w="888" w:type="dxa"/>
          </w:tcPr>
          <w:p w14:paraId="1648A144" w14:textId="5A50E69A" w:rsidR="00C32B9F" w:rsidRPr="006D431D" w:rsidRDefault="002B39A1">
            <w:pPr>
              <w:pStyle w:val="tvhtml"/>
              <w:shd w:val="clear" w:color="auto" w:fill="FFFFFF"/>
              <w:spacing w:after="0" w:line="293" w:lineRule="atLeast"/>
              <w:jc w:val="both"/>
            </w:pPr>
            <w:r w:rsidRPr="006D431D">
              <w:t>0,160</w:t>
            </w:r>
          </w:p>
        </w:tc>
        <w:tc>
          <w:tcPr>
            <w:tcW w:w="803" w:type="dxa"/>
          </w:tcPr>
          <w:p w14:paraId="7B5F71F6" w14:textId="6DB1D54D" w:rsidR="00C32B9F" w:rsidRPr="006D431D" w:rsidRDefault="002B39A1">
            <w:pPr>
              <w:pStyle w:val="tvhtml"/>
              <w:shd w:val="clear" w:color="auto" w:fill="FFFFFF"/>
              <w:spacing w:after="0" w:line="293" w:lineRule="atLeast"/>
              <w:jc w:val="both"/>
              <w:rPr>
                <w:b/>
                <w:bCs/>
              </w:rPr>
            </w:pPr>
            <w:r w:rsidRPr="006D431D">
              <w:rPr>
                <w:b/>
                <w:bCs/>
              </w:rPr>
              <w:t>150</w:t>
            </w:r>
          </w:p>
        </w:tc>
        <w:tc>
          <w:tcPr>
            <w:tcW w:w="906" w:type="dxa"/>
          </w:tcPr>
          <w:p w14:paraId="17A3D66B" w14:textId="356E90B2" w:rsidR="00C32B9F" w:rsidRPr="006D431D" w:rsidRDefault="002B39A1">
            <w:pPr>
              <w:pStyle w:val="tvhtml"/>
              <w:shd w:val="clear" w:color="auto" w:fill="FFFFFF"/>
              <w:spacing w:after="0" w:line="293" w:lineRule="atLeast"/>
              <w:jc w:val="both"/>
              <w:rPr>
                <w:b/>
                <w:bCs/>
              </w:rPr>
            </w:pPr>
            <w:r w:rsidRPr="006D431D">
              <w:rPr>
                <w:b/>
                <w:bCs/>
              </w:rPr>
              <w:t>0,018</w:t>
            </w:r>
          </w:p>
        </w:tc>
      </w:tr>
      <w:tr w:rsidR="00A618CA" w:rsidRPr="006D431D" w14:paraId="5504701E" w14:textId="77777777">
        <w:trPr>
          <w:trHeight w:val="260"/>
        </w:trPr>
        <w:tc>
          <w:tcPr>
            <w:tcW w:w="2609" w:type="dxa"/>
          </w:tcPr>
          <w:p w14:paraId="66ABFEA8" w14:textId="5761FD72" w:rsidR="00C32B9F" w:rsidRPr="006D431D" w:rsidRDefault="002B39A1">
            <w:pPr>
              <w:pStyle w:val="tvhtml"/>
              <w:shd w:val="clear" w:color="auto" w:fill="FFFFFF"/>
              <w:spacing w:after="0" w:line="293" w:lineRule="atLeast"/>
              <w:jc w:val="both"/>
            </w:pPr>
            <w:r w:rsidRPr="006D431D">
              <w:lastRenderedPageBreak/>
              <w:t>Dabasgāze 1.01.2018</w:t>
            </w:r>
          </w:p>
        </w:tc>
        <w:tc>
          <w:tcPr>
            <w:tcW w:w="803" w:type="dxa"/>
          </w:tcPr>
          <w:p w14:paraId="6F556DB0" w14:textId="4B823C66" w:rsidR="00C32B9F" w:rsidRPr="006D431D" w:rsidRDefault="002B39A1">
            <w:pPr>
              <w:pStyle w:val="tvhtml"/>
              <w:shd w:val="clear" w:color="auto" w:fill="FFFFFF"/>
              <w:spacing w:after="0" w:line="293" w:lineRule="atLeast"/>
              <w:jc w:val="both"/>
            </w:pPr>
            <w:r w:rsidRPr="006D431D">
              <w:t>8</w:t>
            </w:r>
          </w:p>
        </w:tc>
        <w:tc>
          <w:tcPr>
            <w:tcW w:w="806" w:type="dxa"/>
          </w:tcPr>
          <w:p w14:paraId="3B5DE00A" w14:textId="4AB2E183" w:rsidR="00C32B9F" w:rsidRPr="006D431D" w:rsidRDefault="002B39A1">
            <w:pPr>
              <w:pStyle w:val="tvhtml"/>
              <w:shd w:val="clear" w:color="auto" w:fill="FFFFFF"/>
              <w:spacing w:after="0" w:line="293" w:lineRule="atLeast"/>
              <w:jc w:val="both"/>
            </w:pPr>
            <w:r w:rsidRPr="006D431D">
              <w:t>0.009</w:t>
            </w:r>
          </w:p>
        </w:tc>
        <w:tc>
          <w:tcPr>
            <w:tcW w:w="873" w:type="dxa"/>
          </w:tcPr>
          <w:p w14:paraId="1B68B714" w14:textId="313B4AD7" w:rsidR="00C32B9F" w:rsidRPr="006D431D" w:rsidRDefault="002B39A1">
            <w:pPr>
              <w:pStyle w:val="tvhtml"/>
              <w:shd w:val="clear" w:color="auto" w:fill="FFFFFF"/>
              <w:spacing w:after="0" w:line="293" w:lineRule="atLeast"/>
              <w:jc w:val="both"/>
            </w:pPr>
            <w:r w:rsidRPr="006D431D">
              <w:t>28</w:t>
            </w:r>
          </w:p>
        </w:tc>
        <w:tc>
          <w:tcPr>
            <w:tcW w:w="859" w:type="dxa"/>
          </w:tcPr>
          <w:p w14:paraId="1B442CC5" w14:textId="518D351C" w:rsidR="00C32B9F" w:rsidRPr="006D431D" w:rsidRDefault="002B39A1">
            <w:pPr>
              <w:pStyle w:val="tvhtml"/>
              <w:shd w:val="clear" w:color="auto" w:fill="FFFFFF"/>
              <w:spacing w:after="0" w:line="293" w:lineRule="atLeast"/>
              <w:jc w:val="both"/>
            </w:pPr>
            <w:r w:rsidRPr="006D431D">
              <w:t>0.004</w:t>
            </w:r>
          </w:p>
        </w:tc>
        <w:tc>
          <w:tcPr>
            <w:tcW w:w="802" w:type="dxa"/>
          </w:tcPr>
          <w:p w14:paraId="21764561" w14:textId="0B6234B8" w:rsidR="00C32B9F" w:rsidRPr="006D431D" w:rsidRDefault="002B39A1">
            <w:pPr>
              <w:pStyle w:val="tvhtml"/>
              <w:shd w:val="clear" w:color="auto" w:fill="FFFFFF"/>
              <w:spacing w:after="0" w:line="293" w:lineRule="atLeast"/>
              <w:jc w:val="both"/>
            </w:pPr>
            <w:r w:rsidRPr="006D431D">
              <w:t>0</w:t>
            </w:r>
          </w:p>
        </w:tc>
        <w:tc>
          <w:tcPr>
            <w:tcW w:w="888" w:type="dxa"/>
          </w:tcPr>
          <w:p w14:paraId="51505C79" w14:textId="7076748D" w:rsidR="00C32B9F" w:rsidRPr="006D431D" w:rsidRDefault="002B39A1">
            <w:pPr>
              <w:pStyle w:val="tvhtml"/>
              <w:shd w:val="clear" w:color="auto" w:fill="FFFFFF"/>
              <w:spacing w:after="0" w:line="293" w:lineRule="atLeast"/>
              <w:jc w:val="both"/>
            </w:pPr>
            <w:r w:rsidRPr="006D431D">
              <w:t>0</w:t>
            </w:r>
          </w:p>
        </w:tc>
        <w:tc>
          <w:tcPr>
            <w:tcW w:w="803" w:type="dxa"/>
          </w:tcPr>
          <w:p w14:paraId="12F87DAE" w14:textId="0FCAC1B8" w:rsidR="00C32B9F" w:rsidRPr="006D431D" w:rsidRDefault="002B39A1">
            <w:pPr>
              <w:pStyle w:val="tvhtml"/>
              <w:shd w:val="clear" w:color="auto" w:fill="FFFFFF"/>
              <w:spacing w:after="0" w:line="293" w:lineRule="atLeast"/>
              <w:jc w:val="both"/>
              <w:rPr>
                <w:b/>
                <w:bCs/>
              </w:rPr>
            </w:pPr>
            <w:r w:rsidRPr="006D431D">
              <w:rPr>
                <w:b/>
                <w:bCs/>
              </w:rPr>
              <w:t>36</w:t>
            </w:r>
          </w:p>
        </w:tc>
        <w:tc>
          <w:tcPr>
            <w:tcW w:w="906" w:type="dxa"/>
          </w:tcPr>
          <w:p w14:paraId="61FA2904" w14:textId="275555D6" w:rsidR="00C32B9F" w:rsidRPr="006D431D" w:rsidRDefault="002B39A1">
            <w:pPr>
              <w:pStyle w:val="tvhtml"/>
              <w:shd w:val="clear" w:color="auto" w:fill="FFFFFF"/>
              <w:spacing w:after="0" w:line="293" w:lineRule="atLeast"/>
              <w:jc w:val="both"/>
              <w:rPr>
                <w:b/>
                <w:bCs/>
              </w:rPr>
            </w:pPr>
            <w:r w:rsidRPr="006D431D">
              <w:rPr>
                <w:b/>
                <w:bCs/>
              </w:rPr>
              <w:t>0.005</w:t>
            </w:r>
          </w:p>
        </w:tc>
      </w:tr>
      <w:tr w:rsidR="00A618CA" w:rsidRPr="006D431D" w14:paraId="168B428E" w14:textId="77777777">
        <w:trPr>
          <w:trHeight w:val="260"/>
        </w:trPr>
        <w:tc>
          <w:tcPr>
            <w:tcW w:w="2609" w:type="dxa"/>
          </w:tcPr>
          <w:p w14:paraId="264E1DCB" w14:textId="7E15C6CE" w:rsidR="00C32B9F" w:rsidRPr="006D431D" w:rsidRDefault="002B39A1">
            <w:pPr>
              <w:pStyle w:val="tvhtml"/>
              <w:shd w:val="clear" w:color="auto" w:fill="FFFFFF"/>
              <w:spacing w:after="0" w:line="293" w:lineRule="atLeast"/>
              <w:jc w:val="both"/>
            </w:pPr>
            <w:r w:rsidRPr="006D431D">
              <w:t>Dabasgāze un naftas gāze 1.</w:t>
            </w:r>
            <w:r w:rsidR="00E477D2" w:rsidRPr="006D431D">
              <w:t>01</w:t>
            </w:r>
            <w:r w:rsidRPr="006D431D">
              <w:t>.</w:t>
            </w:r>
            <w:r w:rsidR="00E477D2" w:rsidRPr="006D431D">
              <w:t>2022</w:t>
            </w:r>
          </w:p>
        </w:tc>
        <w:tc>
          <w:tcPr>
            <w:tcW w:w="803" w:type="dxa"/>
            <w:shd w:val="clear" w:color="auto" w:fill="auto"/>
            <w:vAlign w:val="bottom"/>
          </w:tcPr>
          <w:p w14:paraId="1DD9C7FE" w14:textId="77777777" w:rsidR="00C32B9F" w:rsidRPr="006D431D" w:rsidRDefault="002B39A1">
            <w:pPr>
              <w:pStyle w:val="tvhtml"/>
              <w:shd w:val="clear" w:color="auto" w:fill="FFFFFF"/>
              <w:spacing w:after="0" w:line="293" w:lineRule="atLeast"/>
              <w:jc w:val="both"/>
            </w:pPr>
            <w:r w:rsidRPr="006D431D">
              <w:t>15</w:t>
            </w:r>
          </w:p>
        </w:tc>
        <w:tc>
          <w:tcPr>
            <w:tcW w:w="806" w:type="dxa"/>
            <w:tcBorders>
              <w:left w:val="nil"/>
            </w:tcBorders>
            <w:shd w:val="clear" w:color="auto" w:fill="auto"/>
            <w:vAlign w:val="bottom"/>
          </w:tcPr>
          <w:p w14:paraId="46DA2D8B" w14:textId="77777777" w:rsidR="00C32B9F" w:rsidRPr="006D431D" w:rsidRDefault="002B39A1">
            <w:pPr>
              <w:pStyle w:val="tvhtml"/>
              <w:shd w:val="clear" w:color="auto" w:fill="FFFFFF"/>
              <w:spacing w:after="0" w:line="293" w:lineRule="atLeast"/>
              <w:jc w:val="both"/>
            </w:pPr>
            <w:r w:rsidRPr="006D431D">
              <w:t>0,016</w:t>
            </w:r>
          </w:p>
        </w:tc>
        <w:tc>
          <w:tcPr>
            <w:tcW w:w="873" w:type="dxa"/>
            <w:tcBorders>
              <w:left w:val="nil"/>
            </w:tcBorders>
            <w:shd w:val="clear" w:color="auto" w:fill="auto"/>
            <w:vAlign w:val="bottom"/>
          </w:tcPr>
          <w:p w14:paraId="3B121845" w14:textId="2478D2BC" w:rsidR="00C32B9F" w:rsidRPr="006D431D" w:rsidRDefault="00E477D2">
            <w:pPr>
              <w:pStyle w:val="tvhtml"/>
              <w:shd w:val="clear" w:color="auto" w:fill="FFFFFF"/>
              <w:spacing w:after="0" w:line="293" w:lineRule="atLeast"/>
              <w:jc w:val="both"/>
            </w:pPr>
            <w:r w:rsidRPr="006D431D">
              <w:t>14</w:t>
            </w:r>
          </w:p>
        </w:tc>
        <w:tc>
          <w:tcPr>
            <w:tcW w:w="859" w:type="dxa"/>
            <w:tcBorders>
              <w:left w:val="nil"/>
            </w:tcBorders>
            <w:shd w:val="clear" w:color="auto" w:fill="auto"/>
            <w:vAlign w:val="bottom"/>
          </w:tcPr>
          <w:p w14:paraId="4039E2B0" w14:textId="77777777" w:rsidR="00C32B9F" w:rsidRPr="006D431D" w:rsidRDefault="002B39A1">
            <w:pPr>
              <w:pStyle w:val="tvhtml"/>
              <w:shd w:val="clear" w:color="auto" w:fill="FFFFFF"/>
              <w:spacing w:after="0" w:line="293" w:lineRule="atLeast"/>
              <w:jc w:val="both"/>
            </w:pPr>
            <w:r w:rsidRPr="006D431D">
              <w:t>0,002</w:t>
            </w:r>
          </w:p>
        </w:tc>
        <w:tc>
          <w:tcPr>
            <w:tcW w:w="802" w:type="dxa"/>
            <w:tcBorders>
              <w:left w:val="nil"/>
            </w:tcBorders>
            <w:shd w:val="clear" w:color="auto" w:fill="auto"/>
            <w:vAlign w:val="bottom"/>
          </w:tcPr>
          <w:p w14:paraId="07BA48B1" w14:textId="77777777" w:rsidR="00C32B9F" w:rsidRPr="006D431D" w:rsidRDefault="002B39A1">
            <w:pPr>
              <w:pStyle w:val="tvhtml"/>
              <w:shd w:val="clear" w:color="auto" w:fill="FFFFFF"/>
              <w:spacing w:after="0" w:line="293" w:lineRule="atLeast"/>
              <w:jc w:val="both"/>
            </w:pPr>
            <w:r w:rsidRPr="006D431D">
              <w:t>0</w:t>
            </w:r>
          </w:p>
        </w:tc>
        <w:tc>
          <w:tcPr>
            <w:tcW w:w="888" w:type="dxa"/>
            <w:tcBorders>
              <w:left w:val="nil"/>
            </w:tcBorders>
            <w:shd w:val="clear" w:color="auto" w:fill="auto"/>
            <w:vAlign w:val="bottom"/>
          </w:tcPr>
          <w:p w14:paraId="10835E1C" w14:textId="77777777" w:rsidR="00C32B9F" w:rsidRPr="006D431D" w:rsidRDefault="002B39A1">
            <w:pPr>
              <w:pStyle w:val="tvhtml"/>
              <w:shd w:val="clear" w:color="auto" w:fill="FFFFFF"/>
              <w:spacing w:after="0" w:line="293" w:lineRule="atLeast"/>
              <w:jc w:val="both"/>
            </w:pPr>
            <w:r w:rsidRPr="006D431D">
              <w:t>0</w:t>
            </w:r>
          </w:p>
        </w:tc>
        <w:tc>
          <w:tcPr>
            <w:tcW w:w="803" w:type="dxa"/>
            <w:tcBorders>
              <w:left w:val="nil"/>
            </w:tcBorders>
            <w:shd w:val="clear" w:color="auto" w:fill="auto"/>
            <w:vAlign w:val="bottom"/>
          </w:tcPr>
          <w:p w14:paraId="1ABE074E" w14:textId="2DF1C680" w:rsidR="00C32B9F" w:rsidRPr="006D431D" w:rsidRDefault="00836E45">
            <w:pPr>
              <w:pStyle w:val="tvhtml"/>
              <w:shd w:val="clear" w:color="auto" w:fill="FFFFFF"/>
              <w:spacing w:after="0" w:line="293" w:lineRule="atLeast"/>
              <w:jc w:val="both"/>
              <w:rPr>
                <w:b/>
                <w:bCs/>
              </w:rPr>
            </w:pPr>
            <w:r w:rsidRPr="006D431D">
              <w:rPr>
                <w:b/>
                <w:bCs/>
              </w:rPr>
              <w:t>29</w:t>
            </w:r>
          </w:p>
        </w:tc>
        <w:tc>
          <w:tcPr>
            <w:tcW w:w="906" w:type="dxa"/>
            <w:tcBorders>
              <w:left w:val="nil"/>
            </w:tcBorders>
            <w:shd w:val="clear" w:color="auto" w:fill="auto"/>
            <w:vAlign w:val="bottom"/>
          </w:tcPr>
          <w:p w14:paraId="072AF87B" w14:textId="77777777" w:rsidR="00C32B9F" w:rsidRPr="006D431D" w:rsidRDefault="002B39A1">
            <w:pPr>
              <w:pStyle w:val="tvhtml"/>
              <w:shd w:val="clear" w:color="auto" w:fill="FFFFFF"/>
              <w:spacing w:after="0" w:line="293" w:lineRule="atLeast"/>
              <w:jc w:val="both"/>
              <w:rPr>
                <w:b/>
                <w:bCs/>
              </w:rPr>
            </w:pPr>
            <w:r w:rsidRPr="006D431D">
              <w:rPr>
                <w:b/>
                <w:bCs/>
              </w:rPr>
              <w:t>0,004</w:t>
            </w:r>
          </w:p>
        </w:tc>
      </w:tr>
      <w:tr w:rsidR="00A618CA" w:rsidRPr="006D431D" w14:paraId="0CD1AE44" w14:textId="77777777">
        <w:trPr>
          <w:trHeight w:val="260"/>
        </w:trPr>
        <w:tc>
          <w:tcPr>
            <w:tcW w:w="2609" w:type="dxa"/>
          </w:tcPr>
          <w:p w14:paraId="7784FA14" w14:textId="6A0A8288" w:rsidR="00C32B9F" w:rsidRPr="006D431D" w:rsidRDefault="002B39A1">
            <w:pPr>
              <w:pStyle w:val="tvhtml"/>
              <w:shd w:val="clear" w:color="auto" w:fill="FFFFFF"/>
              <w:spacing w:after="0" w:line="293" w:lineRule="atLeast"/>
              <w:jc w:val="both"/>
            </w:pPr>
            <w:r w:rsidRPr="006D431D">
              <w:t>Dabasgāze un naftas gāze 1.10.2020</w:t>
            </w:r>
          </w:p>
        </w:tc>
        <w:tc>
          <w:tcPr>
            <w:tcW w:w="803" w:type="dxa"/>
          </w:tcPr>
          <w:p w14:paraId="437ACFD2" w14:textId="28AF5988" w:rsidR="00C32B9F" w:rsidRPr="006D431D" w:rsidRDefault="002B39A1">
            <w:pPr>
              <w:pStyle w:val="tvhtml"/>
              <w:shd w:val="clear" w:color="auto" w:fill="FFFFFF"/>
              <w:spacing w:after="0" w:line="293" w:lineRule="atLeast"/>
              <w:jc w:val="both"/>
            </w:pPr>
            <w:r w:rsidRPr="006D431D">
              <w:t>15</w:t>
            </w:r>
          </w:p>
        </w:tc>
        <w:tc>
          <w:tcPr>
            <w:tcW w:w="806" w:type="dxa"/>
          </w:tcPr>
          <w:p w14:paraId="59837D2F" w14:textId="44205D7D" w:rsidR="00C32B9F" w:rsidRPr="006D431D" w:rsidRDefault="002B39A1">
            <w:pPr>
              <w:pStyle w:val="tvhtml"/>
              <w:shd w:val="clear" w:color="auto" w:fill="FFFFFF"/>
              <w:spacing w:after="0" w:line="293" w:lineRule="atLeast"/>
              <w:jc w:val="both"/>
            </w:pPr>
            <w:r w:rsidRPr="006D431D">
              <w:t>0,016</w:t>
            </w:r>
          </w:p>
        </w:tc>
        <w:tc>
          <w:tcPr>
            <w:tcW w:w="873" w:type="dxa"/>
          </w:tcPr>
          <w:p w14:paraId="2466625F" w14:textId="00C296D0" w:rsidR="00C32B9F" w:rsidRPr="006D431D" w:rsidRDefault="002B39A1">
            <w:pPr>
              <w:pStyle w:val="tvhtml"/>
              <w:shd w:val="clear" w:color="auto" w:fill="FFFFFF"/>
              <w:spacing w:after="0" w:line="293" w:lineRule="atLeast"/>
              <w:jc w:val="both"/>
            </w:pPr>
            <w:r w:rsidRPr="006D431D">
              <w:t>14</w:t>
            </w:r>
          </w:p>
        </w:tc>
        <w:tc>
          <w:tcPr>
            <w:tcW w:w="859" w:type="dxa"/>
          </w:tcPr>
          <w:p w14:paraId="06D89861" w14:textId="04DF2CB4" w:rsidR="00C32B9F" w:rsidRPr="006D431D" w:rsidRDefault="002B39A1">
            <w:pPr>
              <w:pStyle w:val="tvhtml"/>
              <w:shd w:val="clear" w:color="auto" w:fill="FFFFFF"/>
              <w:spacing w:after="0" w:line="293" w:lineRule="atLeast"/>
              <w:jc w:val="both"/>
            </w:pPr>
            <w:r w:rsidRPr="006D431D">
              <w:t>0,002</w:t>
            </w:r>
          </w:p>
        </w:tc>
        <w:tc>
          <w:tcPr>
            <w:tcW w:w="802" w:type="dxa"/>
          </w:tcPr>
          <w:p w14:paraId="3E5A67C0" w14:textId="5D8CFD52" w:rsidR="00C32B9F" w:rsidRPr="006D431D" w:rsidRDefault="002B39A1">
            <w:pPr>
              <w:pStyle w:val="tvhtml"/>
              <w:shd w:val="clear" w:color="auto" w:fill="FFFFFF"/>
              <w:spacing w:after="0" w:line="293" w:lineRule="atLeast"/>
              <w:jc w:val="both"/>
            </w:pPr>
            <w:r w:rsidRPr="006D431D">
              <w:t>0</w:t>
            </w:r>
          </w:p>
        </w:tc>
        <w:tc>
          <w:tcPr>
            <w:tcW w:w="888" w:type="dxa"/>
          </w:tcPr>
          <w:p w14:paraId="2D4B1887" w14:textId="16588903" w:rsidR="00C32B9F" w:rsidRPr="006D431D" w:rsidRDefault="002B39A1">
            <w:pPr>
              <w:pStyle w:val="tvhtml"/>
              <w:shd w:val="clear" w:color="auto" w:fill="FFFFFF"/>
              <w:spacing w:after="0" w:line="293" w:lineRule="atLeast"/>
              <w:jc w:val="both"/>
            </w:pPr>
            <w:r w:rsidRPr="006D431D">
              <w:t>0</w:t>
            </w:r>
          </w:p>
        </w:tc>
        <w:tc>
          <w:tcPr>
            <w:tcW w:w="803" w:type="dxa"/>
          </w:tcPr>
          <w:p w14:paraId="34F8BC79" w14:textId="42216626" w:rsidR="00C32B9F" w:rsidRPr="006D431D" w:rsidRDefault="002B39A1">
            <w:pPr>
              <w:pStyle w:val="tvhtml"/>
              <w:shd w:val="clear" w:color="auto" w:fill="FFFFFF"/>
              <w:spacing w:after="0" w:line="293" w:lineRule="atLeast"/>
              <w:jc w:val="both"/>
              <w:rPr>
                <w:b/>
                <w:bCs/>
              </w:rPr>
            </w:pPr>
            <w:r w:rsidRPr="006D431D">
              <w:rPr>
                <w:b/>
                <w:bCs/>
              </w:rPr>
              <w:t>29</w:t>
            </w:r>
          </w:p>
        </w:tc>
        <w:tc>
          <w:tcPr>
            <w:tcW w:w="906" w:type="dxa"/>
          </w:tcPr>
          <w:p w14:paraId="45634819" w14:textId="0CB6211F" w:rsidR="00C32B9F" w:rsidRPr="006D431D" w:rsidRDefault="002B39A1">
            <w:pPr>
              <w:pStyle w:val="tvhtml"/>
              <w:shd w:val="clear" w:color="auto" w:fill="FFFFFF"/>
              <w:spacing w:after="0" w:line="293" w:lineRule="atLeast"/>
              <w:jc w:val="both"/>
              <w:rPr>
                <w:b/>
                <w:bCs/>
              </w:rPr>
            </w:pPr>
            <w:r w:rsidRPr="006D431D">
              <w:rPr>
                <w:b/>
                <w:bCs/>
              </w:rPr>
              <w:t>0,003</w:t>
            </w:r>
          </w:p>
        </w:tc>
      </w:tr>
      <w:tr w:rsidR="00A618CA" w:rsidRPr="006D431D" w14:paraId="46404725" w14:textId="77777777">
        <w:trPr>
          <w:trHeight w:val="260"/>
        </w:trPr>
        <w:tc>
          <w:tcPr>
            <w:tcW w:w="2609" w:type="dxa"/>
          </w:tcPr>
          <w:p w14:paraId="63172F9B" w14:textId="01C20071" w:rsidR="00C32B9F" w:rsidRPr="006D431D" w:rsidRDefault="002B39A1">
            <w:pPr>
              <w:pStyle w:val="tvhtml"/>
              <w:shd w:val="clear" w:color="auto" w:fill="FFFFFF"/>
              <w:spacing w:after="0" w:line="293" w:lineRule="atLeast"/>
              <w:jc w:val="both"/>
            </w:pPr>
            <w:r w:rsidRPr="006D431D">
              <w:t>Dabasgāze un naftas gāze 1.01.2018</w:t>
            </w:r>
          </w:p>
        </w:tc>
        <w:tc>
          <w:tcPr>
            <w:tcW w:w="803" w:type="dxa"/>
          </w:tcPr>
          <w:p w14:paraId="0B8A4366" w14:textId="64E35F0A" w:rsidR="00C32B9F" w:rsidRPr="006D431D" w:rsidRDefault="002B39A1">
            <w:pPr>
              <w:pStyle w:val="tvhtml"/>
              <w:shd w:val="clear" w:color="auto" w:fill="FFFFFF"/>
              <w:spacing w:after="0" w:line="293" w:lineRule="atLeast"/>
              <w:jc w:val="both"/>
            </w:pPr>
            <w:r w:rsidRPr="006D431D">
              <w:t>10</w:t>
            </w:r>
          </w:p>
        </w:tc>
        <w:tc>
          <w:tcPr>
            <w:tcW w:w="806" w:type="dxa"/>
          </w:tcPr>
          <w:p w14:paraId="52485DB8" w14:textId="5D9CD6A5" w:rsidR="00C32B9F" w:rsidRPr="006D431D" w:rsidRDefault="002B39A1">
            <w:pPr>
              <w:pStyle w:val="tvhtml"/>
              <w:shd w:val="clear" w:color="auto" w:fill="FFFFFF"/>
              <w:spacing w:after="0" w:line="293" w:lineRule="atLeast"/>
              <w:jc w:val="both"/>
            </w:pPr>
            <w:r w:rsidRPr="006D431D">
              <w:t>0,011</w:t>
            </w:r>
          </w:p>
        </w:tc>
        <w:tc>
          <w:tcPr>
            <w:tcW w:w="873" w:type="dxa"/>
          </w:tcPr>
          <w:p w14:paraId="3D40487E" w14:textId="44F3F222" w:rsidR="00C32B9F" w:rsidRPr="006D431D" w:rsidRDefault="002B39A1">
            <w:pPr>
              <w:pStyle w:val="tvhtml"/>
              <w:shd w:val="clear" w:color="auto" w:fill="FFFFFF"/>
              <w:spacing w:after="0" w:line="293" w:lineRule="atLeast"/>
              <w:jc w:val="both"/>
            </w:pPr>
            <w:r w:rsidRPr="006D431D">
              <w:t>8</w:t>
            </w:r>
          </w:p>
        </w:tc>
        <w:tc>
          <w:tcPr>
            <w:tcW w:w="859" w:type="dxa"/>
          </w:tcPr>
          <w:p w14:paraId="6629CBC9" w14:textId="13C9EF74" w:rsidR="00C32B9F" w:rsidRPr="006D431D" w:rsidRDefault="002B39A1">
            <w:pPr>
              <w:pStyle w:val="tvhtml"/>
              <w:shd w:val="clear" w:color="auto" w:fill="FFFFFF"/>
              <w:spacing w:after="0" w:line="293" w:lineRule="atLeast"/>
              <w:jc w:val="both"/>
            </w:pPr>
            <w:r w:rsidRPr="006D431D">
              <w:t>0,001</w:t>
            </w:r>
          </w:p>
        </w:tc>
        <w:tc>
          <w:tcPr>
            <w:tcW w:w="802" w:type="dxa"/>
          </w:tcPr>
          <w:p w14:paraId="6C7BB8D5" w14:textId="4563769B" w:rsidR="00C32B9F" w:rsidRPr="006D431D" w:rsidRDefault="002B39A1">
            <w:pPr>
              <w:pStyle w:val="tvhtml"/>
              <w:shd w:val="clear" w:color="auto" w:fill="FFFFFF"/>
              <w:spacing w:after="0" w:line="293" w:lineRule="atLeast"/>
              <w:jc w:val="both"/>
            </w:pPr>
            <w:r w:rsidRPr="006D431D">
              <w:t>0</w:t>
            </w:r>
          </w:p>
        </w:tc>
        <w:tc>
          <w:tcPr>
            <w:tcW w:w="888" w:type="dxa"/>
          </w:tcPr>
          <w:p w14:paraId="616EA2E9" w14:textId="2572EFBA" w:rsidR="00C32B9F" w:rsidRPr="006D431D" w:rsidRDefault="002B39A1">
            <w:pPr>
              <w:pStyle w:val="tvhtml"/>
              <w:shd w:val="clear" w:color="auto" w:fill="FFFFFF"/>
              <w:spacing w:after="0" w:line="293" w:lineRule="atLeast"/>
              <w:jc w:val="both"/>
            </w:pPr>
            <w:r w:rsidRPr="006D431D">
              <w:t>0</w:t>
            </w:r>
          </w:p>
        </w:tc>
        <w:tc>
          <w:tcPr>
            <w:tcW w:w="803" w:type="dxa"/>
          </w:tcPr>
          <w:p w14:paraId="6C6CB542" w14:textId="6A499F58" w:rsidR="00C32B9F" w:rsidRPr="006D431D" w:rsidRDefault="002B39A1">
            <w:pPr>
              <w:pStyle w:val="tvhtml"/>
              <w:shd w:val="clear" w:color="auto" w:fill="FFFFFF"/>
              <w:spacing w:after="0" w:line="293" w:lineRule="atLeast"/>
              <w:jc w:val="both"/>
              <w:rPr>
                <w:b/>
                <w:bCs/>
              </w:rPr>
            </w:pPr>
            <w:r w:rsidRPr="006D431D">
              <w:rPr>
                <w:b/>
                <w:bCs/>
              </w:rPr>
              <w:t>18</w:t>
            </w:r>
          </w:p>
        </w:tc>
        <w:tc>
          <w:tcPr>
            <w:tcW w:w="906" w:type="dxa"/>
          </w:tcPr>
          <w:p w14:paraId="2172A568" w14:textId="303E8A3A" w:rsidR="00C32B9F" w:rsidRPr="006D431D" w:rsidRDefault="002B39A1">
            <w:pPr>
              <w:pStyle w:val="tvhtml"/>
              <w:shd w:val="clear" w:color="auto" w:fill="FFFFFF"/>
              <w:spacing w:after="0" w:line="293" w:lineRule="atLeast"/>
              <w:jc w:val="both"/>
              <w:rPr>
                <w:b/>
                <w:bCs/>
              </w:rPr>
            </w:pPr>
            <w:r w:rsidRPr="006D431D">
              <w:rPr>
                <w:b/>
                <w:bCs/>
              </w:rPr>
              <w:t>0,002</w:t>
            </w:r>
          </w:p>
        </w:tc>
      </w:tr>
    </w:tbl>
    <w:p w14:paraId="43498846" w14:textId="77777777" w:rsidR="001C0950" w:rsidRPr="006D431D" w:rsidRDefault="001C0950">
      <w:pPr>
        <w:spacing w:line="240" w:lineRule="auto"/>
        <w:ind w:firstLine="720"/>
        <w:jc w:val="both"/>
        <w:rPr>
          <w:rFonts w:ascii="Times New Roman" w:hAnsi="Times New Roman" w:cs="Times New Roman"/>
          <w:sz w:val="24"/>
          <w:szCs w:val="24"/>
        </w:rPr>
      </w:pPr>
    </w:p>
    <w:p w14:paraId="41D229E3" w14:textId="5F5F1875" w:rsidR="00C32B9F" w:rsidRPr="006D431D" w:rsidRDefault="002B39A1">
      <w:pPr>
        <w:spacing w:line="240" w:lineRule="auto"/>
        <w:ind w:firstLine="720"/>
        <w:jc w:val="both"/>
        <w:rPr>
          <w:rFonts w:ascii="Times New Roman" w:hAnsi="Times New Roman" w:cs="Times New Roman"/>
          <w:sz w:val="24"/>
          <w:szCs w:val="24"/>
        </w:rPr>
      </w:pPr>
      <w:r w:rsidRPr="006D431D">
        <w:rPr>
          <w:rFonts w:ascii="Times New Roman" w:hAnsi="Times New Roman" w:cs="Times New Roman"/>
          <w:sz w:val="24"/>
          <w:szCs w:val="24"/>
        </w:rPr>
        <w:t xml:space="preserve">No </w:t>
      </w:r>
      <w:r w:rsidR="00E66F46" w:rsidRPr="006D431D">
        <w:rPr>
          <w:rFonts w:ascii="Times New Roman" w:hAnsi="Times New Roman" w:cs="Times New Roman"/>
          <w:sz w:val="24"/>
          <w:szCs w:val="24"/>
        </w:rPr>
        <w:t>2</w:t>
      </w:r>
      <w:r w:rsidRPr="006D431D">
        <w:rPr>
          <w:rFonts w:ascii="Times New Roman" w:hAnsi="Times New Roman" w:cs="Times New Roman"/>
          <w:sz w:val="24"/>
          <w:szCs w:val="24"/>
        </w:rPr>
        <w:t xml:space="preserve">. tabulas var secināt, ka ar dabasgāzi (un potenciāli biometānu) darbināmu transportlīdzekļu skaits pieaug, pieaugums paātrinās taču kopējais skaits joprojām ir salīdzinoši neliels. Autobusu segmentā ir tikai 7 transportlīdzekļi (Jēkabpilī). Tomēr jūtama pieauguma tendence ir kravas transporta segmentā. Saskaņā ar Latvijas 2018. gada </w:t>
      </w:r>
      <w:proofErr w:type="spellStart"/>
      <w:r w:rsidRPr="006D431D">
        <w:rPr>
          <w:rFonts w:ascii="Times New Roman" w:hAnsi="Times New Roman" w:cs="Times New Roman"/>
          <w:sz w:val="24"/>
          <w:szCs w:val="24"/>
        </w:rPr>
        <w:t>energobilanci</w:t>
      </w:r>
      <w:proofErr w:type="spellEnd"/>
      <w:r w:rsidRPr="006D431D">
        <w:rPr>
          <w:rStyle w:val="FootnoteAnchor"/>
          <w:rFonts w:ascii="Times New Roman" w:hAnsi="Times New Roman" w:cs="Times New Roman"/>
          <w:sz w:val="24"/>
          <w:szCs w:val="24"/>
        </w:rPr>
        <w:footnoteReference w:id="21"/>
      </w:r>
      <w:r w:rsidRPr="006D431D">
        <w:rPr>
          <w:rFonts w:ascii="Times New Roman" w:hAnsi="Times New Roman" w:cs="Times New Roman"/>
          <w:sz w:val="24"/>
          <w:szCs w:val="24"/>
        </w:rPr>
        <w:t xml:space="preserve"> 2018. gadā dabasgāzes patēriņš transportā bija 2 TJ jeb 0.55 </w:t>
      </w:r>
      <w:proofErr w:type="spellStart"/>
      <w:r w:rsidRPr="006D431D">
        <w:rPr>
          <w:rFonts w:ascii="Times New Roman" w:hAnsi="Times New Roman" w:cs="Times New Roman"/>
          <w:sz w:val="24"/>
          <w:szCs w:val="24"/>
        </w:rPr>
        <w:t>GWh</w:t>
      </w:r>
      <w:proofErr w:type="spellEnd"/>
      <w:r w:rsidRPr="006D431D">
        <w:rPr>
          <w:rFonts w:ascii="Times New Roman" w:hAnsi="Times New Roman" w:cs="Times New Roman"/>
          <w:sz w:val="24"/>
          <w:szCs w:val="24"/>
        </w:rPr>
        <w:t xml:space="preserve">, taču 2020. gada </w:t>
      </w:r>
      <w:proofErr w:type="spellStart"/>
      <w:r w:rsidRPr="006D431D">
        <w:rPr>
          <w:rFonts w:ascii="Times New Roman" w:hAnsi="Times New Roman" w:cs="Times New Roman"/>
          <w:sz w:val="24"/>
          <w:szCs w:val="24"/>
        </w:rPr>
        <w:t>energobilancē</w:t>
      </w:r>
      <w:proofErr w:type="spellEnd"/>
      <w:r w:rsidRPr="006D431D">
        <w:rPr>
          <w:rFonts w:ascii="Times New Roman" w:hAnsi="Times New Roman" w:cs="Times New Roman"/>
          <w:sz w:val="24"/>
          <w:szCs w:val="24"/>
        </w:rPr>
        <w:t xml:space="preserve"> dabasgāzes patēriņš transportā bija jau 22 TJ</w:t>
      </w:r>
      <w:r w:rsidR="005F25F8" w:rsidRPr="006D431D">
        <w:rPr>
          <w:rFonts w:ascii="Times New Roman" w:hAnsi="Times New Roman" w:cs="Times New Roman"/>
          <w:sz w:val="24"/>
          <w:szCs w:val="24"/>
        </w:rPr>
        <w:t xml:space="preserve"> </w:t>
      </w:r>
      <w:r w:rsidR="005F25F8" w:rsidRPr="006D431D">
        <w:rPr>
          <w:rStyle w:val="Strong"/>
          <w:rFonts w:ascii="Times New Roman" w:hAnsi="Times New Roman" w:cs="Times New Roman"/>
          <w:b w:val="0"/>
          <w:bCs w:val="0"/>
          <w:sz w:val="24"/>
          <w:szCs w:val="24"/>
        </w:rPr>
        <w:t xml:space="preserve">(5,54 </w:t>
      </w:r>
      <w:proofErr w:type="spellStart"/>
      <w:r w:rsidR="005F25F8" w:rsidRPr="006D431D">
        <w:rPr>
          <w:rStyle w:val="Strong"/>
          <w:rFonts w:ascii="Times New Roman" w:hAnsi="Times New Roman" w:cs="Times New Roman"/>
          <w:b w:val="0"/>
          <w:bCs w:val="0"/>
          <w:sz w:val="24"/>
          <w:szCs w:val="24"/>
        </w:rPr>
        <w:t>Gwh</w:t>
      </w:r>
      <w:proofErr w:type="spellEnd"/>
      <w:r w:rsidR="005F25F8" w:rsidRPr="006D431D">
        <w:rPr>
          <w:rStyle w:val="Strong"/>
          <w:rFonts w:ascii="Times New Roman" w:hAnsi="Times New Roman" w:cs="Times New Roman"/>
          <w:b w:val="0"/>
          <w:bCs w:val="0"/>
          <w:sz w:val="24"/>
          <w:szCs w:val="24"/>
        </w:rPr>
        <w:t>), kas ir 0,05 % no visas autotransportā izmantojamās enerģijas (4</w:t>
      </w:r>
      <w:r w:rsidR="001C0950" w:rsidRPr="006D431D">
        <w:rPr>
          <w:rStyle w:val="Strong"/>
          <w:rFonts w:ascii="Times New Roman" w:hAnsi="Times New Roman" w:cs="Times New Roman"/>
          <w:b w:val="0"/>
          <w:bCs w:val="0"/>
          <w:sz w:val="24"/>
          <w:szCs w:val="24"/>
        </w:rPr>
        <w:t>4</w:t>
      </w:r>
      <w:r w:rsidR="005F25F8" w:rsidRPr="006D431D">
        <w:rPr>
          <w:rStyle w:val="Strong"/>
          <w:rFonts w:ascii="Times New Roman" w:hAnsi="Times New Roman" w:cs="Times New Roman"/>
          <w:b w:val="0"/>
          <w:bCs w:val="0"/>
          <w:sz w:val="24"/>
          <w:szCs w:val="24"/>
        </w:rPr>
        <w:t> 000 TJ, jeb</w:t>
      </w:r>
      <w:r w:rsidR="001C0950" w:rsidRPr="006D431D">
        <w:rPr>
          <w:rStyle w:val="Strong"/>
          <w:rFonts w:ascii="Times New Roman" w:hAnsi="Times New Roman" w:cs="Times New Roman"/>
          <w:b w:val="0"/>
          <w:bCs w:val="0"/>
          <w:sz w:val="24"/>
          <w:szCs w:val="24"/>
        </w:rPr>
        <w:t xml:space="preserve"> </w:t>
      </w:r>
      <w:r w:rsidR="005F25F8" w:rsidRPr="006D431D">
        <w:rPr>
          <w:rStyle w:val="Strong"/>
          <w:rFonts w:ascii="Times New Roman" w:hAnsi="Times New Roman" w:cs="Times New Roman"/>
          <w:b w:val="0"/>
          <w:bCs w:val="0"/>
          <w:sz w:val="24"/>
          <w:szCs w:val="24"/>
        </w:rPr>
        <w:t xml:space="preserve">12 188 </w:t>
      </w:r>
      <w:proofErr w:type="spellStart"/>
      <w:r w:rsidR="005F25F8" w:rsidRPr="006D431D">
        <w:rPr>
          <w:rStyle w:val="Strong"/>
          <w:rFonts w:ascii="Times New Roman" w:hAnsi="Times New Roman" w:cs="Times New Roman"/>
          <w:b w:val="0"/>
          <w:bCs w:val="0"/>
          <w:sz w:val="24"/>
          <w:szCs w:val="24"/>
        </w:rPr>
        <w:t>MWh</w:t>
      </w:r>
      <w:proofErr w:type="spellEnd"/>
      <w:r w:rsidR="005F25F8" w:rsidRPr="006D431D">
        <w:rPr>
          <w:rStyle w:val="Strong"/>
          <w:rFonts w:ascii="Times New Roman" w:hAnsi="Times New Roman" w:cs="Times New Roman"/>
          <w:b w:val="0"/>
          <w:bCs w:val="0"/>
          <w:sz w:val="24"/>
          <w:szCs w:val="24"/>
        </w:rPr>
        <w:t>)</w:t>
      </w:r>
      <w:r w:rsidR="005F25F8" w:rsidRPr="006D431D">
        <w:rPr>
          <w:rStyle w:val="Strong"/>
          <w:rFonts w:ascii="Times New Roman" w:hAnsi="Times New Roman" w:cs="Times New Roman"/>
          <w:b w:val="0"/>
          <w:bCs w:val="0"/>
          <w:color w:val="000000"/>
          <w:sz w:val="24"/>
          <w:szCs w:val="24"/>
        </w:rPr>
        <w:t>.</w:t>
      </w:r>
      <w:r w:rsidRPr="006D431D">
        <w:rPr>
          <w:rFonts w:ascii="Times New Roman" w:hAnsi="Times New Roman" w:cs="Times New Roman"/>
          <w:sz w:val="24"/>
          <w:szCs w:val="24"/>
        </w:rPr>
        <w:t xml:space="preserve">Ekonomikas ministrija izsūtīja jautājumus pašvaldībām un lielākajiem sabiedriskā transporta operatoriem, ar jautājumu, vai nākotnē tiek apsvērta biometāna izmantošana transporta sektorā, tāpat arī kādi citi </w:t>
      </w:r>
      <w:proofErr w:type="spellStart"/>
      <w:r w:rsidRPr="006D431D">
        <w:rPr>
          <w:rFonts w:ascii="Times New Roman" w:hAnsi="Times New Roman" w:cs="Times New Roman"/>
          <w:sz w:val="24"/>
          <w:szCs w:val="24"/>
        </w:rPr>
        <w:t>bezizmešu</w:t>
      </w:r>
      <w:proofErr w:type="spellEnd"/>
      <w:r w:rsidRPr="006D431D">
        <w:rPr>
          <w:rFonts w:ascii="Times New Roman" w:hAnsi="Times New Roman" w:cs="Times New Roman"/>
          <w:sz w:val="24"/>
          <w:szCs w:val="24"/>
        </w:rPr>
        <w:t xml:space="preserve"> risinājumi tiek apsvērti sabiedriskā transporta jomā vai pašvaldību komunālajiem pakalpojumiem. Daudzos gadījumos atbildes netika saņemtas, no saņemtajām atbildēm izrietēja, ka vai nu šādas iespējas šobrīd netiek apsvērtas, vai arī tas tiktu apsvērts, ja būtu atbalsta programma. </w:t>
      </w:r>
      <w:r w:rsidRPr="006D431D">
        <w:rPr>
          <w:rStyle w:val="Strong"/>
          <w:rFonts w:ascii="Times New Roman" w:hAnsi="Times New Roman" w:cs="Times New Roman"/>
          <w:b w:val="0"/>
          <w:bCs w:val="0"/>
          <w:sz w:val="24"/>
          <w:szCs w:val="24"/>
          <w:shd w:val="clear" w:color="auto" w:fill="FFFFFF"/>
        </w:rPr>
        <w:t xml:space="preserve"> Detalizētāk iespējas iegādāties CNG autobusus, kurus darbinātu ar biometānu izvērtēja SIA Rīgas Satiksme. Lai gan šobrīd šādas iegādes nav plānotas, tomēr autobusu CNG iegādes, kurus darbina ar biometānu aprēķinātā hipotētiskā ietekme uz biometāna patēriņu attēlota </w:t>
      </w:r>
      <w:r w:rsidR="00376FB3" w:rsidRPr="006D431D">
        <w:rPr>
          <w:rStyle w:val="Strong"/>
          <w:rFonts w:ascii="Times New Roman" w:hAnsi="Times New Roman" w:cs="Times New Roman"/>
          <w:b w:val="0"/>
          <w:bCs w:val="0"/>
          <w:sz w:val="24"/>
          <w:szCs w:val="24"/>
          <w:shd w:val="clear" w:color="auto" w:fill="FFFFFF"/>
        </w:rPr>
        <w:t>3</w:t>
      </w:r>
      <w:r w:rsidRPr="006D431D">
        <w:rPr>
          <w:rStyle w:val="Strong"/>
          <w:rFonts w:ascii="Times New Roman" w:hAnsi="Times New Roman" w:cs="Times New Roman"/>
          <w:b w:val="0"/>
          <w:bCs w:val="0"/>
          <w:sz w:val="24"/>
          <w:szCs w:val="24"/>
          <w:shd w:val="clear" w:color="auto" w:fill="FFFFFF"/>
        </w:rPr>
        <w:t xml:space="preserve">. tabulā.  Maz ticams, ar biometānu darbināmus CNG autobusus nākotnē plašāk izmantos sabiedriskā transporta vajadzībām. Šie transportlīdzekļi neatbilst </w:t>
      </w:r>
      <w:proofErr w:type="spellStart"/>
      <w:r w:rsidRPr="006D431D">
        <w:rPr>
          <w:rStyle w:val="Strong"/>
          <w:rFonts w:ascii="Times New Roman" w:hAnsi="Times New Roman" w:cs="Times New Roman"/>
          <w:b w:val="0"/>
          <w:bCs w:val="0"/>
          <w:sz w:val="24"/>
          <w:szCs w:val="24"/>
          <w:shd w:val="clear" w:color="auto" w:fill="FFFFFF"/>
        </w:rPr>
        <w:t>bezemisiju</w:t>
      </w:r>
      <w:proofErr w:type="spellEnd"/>
      <w:r w:rsidRPr="006D431D">
        <w:rPr>
          <w:rStyle w:val="Strong"/>
          <w:rFonts w:ascii="Times New Roman" w:hAnsi="Times New Roman" w:cs="Times New Roman"/>
          <w:b w:val="0"/>
          <w:bCs w:val="0"/>
          <w:sz w:val="24"/>
          <w:szCs w:val="24"/>
          <w:shd w:val="clear" w:color="auto" w:fill="FFFFFF"/>
        </w:rPr>
        <w:t xml:space="preserve"> transportlīdzekļu prasībām, tādēļ priekšroka tiks dota ar elektroenerģiju un ūdeņradi darbināmiem transporta līdzekļiem. Tomēr kravas pārvadājumu jomā, piemēram atkritumu apsaimniekošanas mašīnas, CNG, ko darbina ar biometānu, varētu būt ļoti perspektīvs virziens, jo īpaši, ja biometānu ražo un uzpilda transporta līdzekļos uz vietas atkritumu poligonā. </w:t>
      </w:r>
    </w:p>
    <w:p w14:paraId="369DD1C4" w14:textId="0A2CB140" w:rsidR="00C32B9F" w:rsidRPr="006D431D" w:rsidRDefault="002B39A1">
      <w:pPr>
        <w:spacing w:line="240" w:lineRule="auto"/>
        <w:ind w:firstLine="720"/>
        <w:jc w:val="both"/>
        <w:rPr>
          <w:rFonts w:ascii="Times New Roman" w:hAnsi="Times New Roman" w:cs="Times New Roman"/>
          <w:sz w:val="24"/>
          <w:szCs w:val="24"/>
        </w:rPr>
      </w:pPr>
      <w:r w:rsidRPr="006D431D">
        <w:rPr>
          <w:rStyle w:val="Strong"/>
          <w:rFonts w:ascii="Times New Roman" w:hAnsi="Times New Roman" w:cs="Times New Roman"/>
          <w:b w:val="0"/>
          <w:bCs w:val="0"/>
          <w:sz w:val="24"/>
          <w:szCs w:val="24"/>
          <w:shd w:val="clear" w:color="auto" w:fill="FFFFFF"/>
        </w:rPr>
        <w:t xml:space="preserve">Iespējamais saražotais biometāna daudzums Latvijā no esošām iekārtām, NEKP mērķi un  iespējamais patēriņš attēlots </w:t>
      </w:r>
      <w:r w:rsidR="00376FB3" w:rsidRPr="006D431D">
        <w:rPr>
          <w:rStyle w:val="Strong"/>
          <w:rFonts w:ascii="Times New Roman" w:hAnsi="Times New Roman" w:cs="Times New Roman"/>
          <w:b w:val="0"/>
          <w:bCs w:val="0"/>
          <w:sz w:val="24"/>
          <w:szCs w:val="24"/>
          <w:shd w:val="clear" w:color="auto" w:fill="FFFFFF"/>
        </w:rPr>
        <w:t>3</w:t>
      </w:r>
      <w:r w:rsidRPr="006D431D">
        <w:rPr>
          <w:rStyle w:val="Strong"/>
          <w:rFonts w:ascii="Times New Roman" w:hAnsi="Times New Roman" w:cs="Times New Roman"/>
          <w:b w:val="0"/>
          <w:bCs w:val="0"/>
          <w:sz w:val="24"/>
          <w:szCs w:val="24"/>
          <w:shd w:val="clear" w:color="auto" w:fill="FFFFFF"/>
        </w:rPr>
        <w:t>. tabulā.</w:t>
      </w:r>
    </w:p>
    <w:p w14:paraId="5F85200C" w14:textId="77777777" w:rsidR="00C32B9F" w:rsidRPr="006D431D" w:rsidRDefault="00C32B9F">
      <w:pPr>
        <w:spacing w:line="240" w:lineRule="auto"/>
        <w:ind w:firstLine="720"/>
        <w:jc w:val="both"/>
        <w:rPr>
          <w:rFonts w:ascii="Times New Roman" w:hAnsi="Times New Roman" w:cs="Times New Roman"/>
          <w:sz w:val="24"/>
          <w:szCs w:val="24"/>
          <w:shd w:val="clear" w:color="auto" w:fill="FFFFFF"/>
        </w:rPr>
      </w:pPr>
    </w:p>
    <w:p w14:paraId="112B5004" w14:textId="16DE81F9" w:rsidR="00C32B9F" w:rsidRPr="006D431D" w:rsidRDefault="005A03D2" w:rsidP="00486348">
      <w:pPr>
        <w:spacing w:line="240" w:lineRule="auto"/>
        <w:ind w:firstLine="720"/>
        <w:jc w:val="center"/>
        <w:rPr>
          <w:rFonts w:ascii="Times New Roman" w:hAnsi="Times New Roman" w:cs="Times New Roman"/>
          <w:sz w:val="24"/>
          <w:szCs w:val="24"/>
        </w:rPr>
      </w:pPr>
      <w:r w:rsidRPr="006D431D">
        <w:rPr>
          <w:rStyle w:val="Strong"/>
          <w:rFonts w:ascii="Times New Roman" w:hAnsi="Times New Roman" w:cs="Times New Roman"/>
          <w:sz w:val="24"/>
          <w:szCs w:val="24"/>
          <w:shd w:val="clear" w:color="auto" w:fill="FFFFFF"/>
        </w:rPr>
        <w:t>3</w:t>
      </w:r>
      <w:r w:rsidR="002B39A1" w:rsidRPr="006D431D">
        <w:rPr>
          <w:rStyle w:val="Strong"/>
          <w:rFonts w:ascii="Times New Roman" w:hAnsi="Times New Roman" w:cs="Times New Roman"/>
          <w:sz w:val="24"/>
          <w:szCs w:val="24"/>
          <w:shd w:val="clear" w:color="auto" w:fill="FFFFFF"/>
        </w:rPr>
        <w:t>. tabula. Biometāna nepieciešamais un plānotais patēriņš</w:t>
      </w:r>
    </w:p>
    <w:p w14:paraId="45A97342" w14:textId="77777777" w:rsidR="00C32B9F" w:rsidRPr="006D431D" w:rsidRDefault="00C32B9F">
      <w:pPr>
        <w:spacing w:after="0" w:line="240" w:lineRule="auto"/>
        <w:ind w:left="720"/>
        <w:contextualSpacing/>
        <w:jc w:val="center"/>
        <w:rPr>
          <w:rFonts w:ascii="Times New Roman" w:eastAsia="Calibri" w:hAnsi="Times New Roman" w:cs="Times New Roman"/>
          <w:sz w:val="24"/>
          <w:szCs w:val="24"/>
        </w:rPr>
      </w:pPr>
    </w:p>
    <w:tbl>
      <w:tblPr>
        <w:tblStyle w:val="TableGrid1"/>
        <w:tblW w:w="8341" w:type="dxa"/>
        <w:tblInd w:w="720" w:type="dxa"/>
        <w:tblLayout w:type="fixed"/>
        <w:tblLook w:val="04A0" w:firstRow="1" w:lastRow="0" w:firstColumn="1" w:lastColumn="0" w:noHBand="0" w:noVBand="1"/>
      </w:tblPr>
      <w:tblGrid>
        <w:gridCol w:w="835"/>
        <w:gridCol w:w="1920"/>
        <w:gridCol w:w="874"/>
        <w:gridCol w:w="816"/>
        <w:gridCol w:w="818"/>
        <w:gridCol w:w="3078"/>
      </w:tblGrid>
      <w:tr w:rsidR="00A618CA" w:rsidRPr="006D431D" w14:paraId="505A2A6B" w14:textId="77777777" w:rsidTr="00486348">
        <w:tc>
          <w:tcPr>
            <w:tcW w:w="835" w:type="dxa"/>
          </w:tcPr>
          <w:p w14:paraId="10B78199" w14:textId="77777777" w:rsidR="00C32B9F" w:rsidRPr="006D431D" w:rsidRDefault="002B39A1">
            <w:pPr>
              <w:spacing w:after="0" w:line="240" w:lineRule="auto"/>
              <w:contextualSpacing/>
              <w:jc w:val="center"/>
              <w:rPr>
                <w:rFonts w:ascii="Times New Roman" w:eastAsia="Calibri" w:hAnsi="Times New Roman" w:cs="Times New Roman"/>
                <w:b/>
                <w:bCs/>
                <w:sz w:val="24"/>
                <w:szCs w:val="24"/>
              </w:rPr>
            </w:pPr>
            <w:r w:rsidRPr="006D431D">
              <w:rPr>
                <w:rFonts w:ascii="Times New Roman" w:eastAsia="Calibri" w:hAnsi="Times New Roman" w:cs="Times New Roman"/>
                <w:b/>
                <w:bCs/>
                <w:sz w:val="24"/>
                <w:szCs w:val="24"/>
              </w:rPr>
              <w:t>Nr. p.k.</w:t>
            </w:r>
          </w:p>
        </w:tc>
        <w:tc>
          <w:tcPr>
            <w:tcW w:w="1920" w:type="dxa"/>
          </w:tcPr>
          <w:p w14:paraId="6AF37D28" w14:textId="77777777" w:rsidR="00C32B9F" w:rsidRPr="006D431D" w:rsidRDefault="002B39A1">
            <w:pPr>
              <w:spacing w:after="0" w:line="240" w:lineRule="auto"/>
              <w:contextualSpacing/>
              <w:jc w:val="center"/>
              <w:rPr>
                <w:rFonts w:ascii="Times New Roman" w:eastAsia="Calibri" w:hAnsi="Times New Roman" w:cs="Times New Roman"/>
                <w:b/>
                <w:bCs/>
                <w:sz w:val="24"/>
                <w:szCs w:val="24"/>
              </w:rPr>
            </w:pPr>
            <w:r w:rsidRPr="006D431D">
              <w:rPr>
                <w:rFonts w:ascii="Times New Roman" w:eastAsia="Calibri" w:hAnsi="Times New Roman" w:cs="Times New Roman"/>
                <w:b/>
                <w:bCs/>
                <w:sz w:val="24"/>
                <w:szCs w:val="24"/>
              </w:rPr>
              <w:t xml:space="preserve">Saražotais vai patērētais biometāns </w:t>
            </w:r>
            <w:proofErr w:type="spellStart"/>
            <w:r w:rsidRPr="006D431D">
              <w:rPr>
                <w:rFonts w:ascii="Times New Roman" w:eastAsia="Calibri" w:hAnsi="Times New Roman" w:cs="Times New Roman"/>
                <w:b/>
                <w:bCs/>
                <w:sz w:val="24"/>
                <w:szCs w:val="24"/>
              </w:rPr>
              <w:t>Gwh</w:t>
            </w:r>
            <w:proofErr w:type="spellEnd"/>
          </w:p>
        </w:tc>
        <w:tc>
          <w:tcPr>
            <w:tcW w:w="874" w:type="dxa"/>
          </w:tcPr>
          <w:p w14:paraId="1A1558AD" w14:textId="77777777" w:rsidR="00C32B9F" w:rsidRPr="006D431D" w:rsidRDefault="002B39A1">
            <w:pPr>
              <w:spacing w:after="0" w:line="240" w:lineRule="auto"/>
              <w:contextualSpacing/>
              <w:jc w:val="center"/>
              <w:rPr>
                <w:rFonts w:ascii="Times New Roman" w:eastAsia="Calibri" w:hAnsi="Times New Roman" w:cs="Times New Roman"/>
                <w:b/>
                <w:bCs/>
                <w:sz w:val="24"/>
                <w:szCs w:val="24"/>
              </w:rPr>
            </w:pPr>
            <w:r w:rsidRPr="006D431D">
              <w:rPr>
                <w:rFonts w:ascii="Times New Roman" w:eastAsia="Calibri" w:hAnsi="Times New Roman" w:cs="Times New Roman"/>
                <w:b/>
                <w:bCs/>
                <w:sz w:val="24"/>
                <w:szCs w:val="24"/>
              </w:rPr>
              <w:t>2022. gads</w:t>
            </w:r>
          </w:p>
        </w:tc>
        <w:tc>
          <w:tcPr>
            <w:tcW w:w="816" w:type="dxa"/>
          </w:tcPr>
          <w:p w14:paraId="3FF7A31D" w14:textId="77777777" w:rsidR="00C32B9F" w:rsidRPr="006D431D" w:rsidRDefault="002B39A1">
            <w:pPr>
              <w:spacing w:after="0" w:line="240" w:lineRule="auto"/>
              <w:contextualSpacing/>
              <w:jc w:val="center"/>
              <w:rPr>
                <w:rFonts w:ascii="Times New Roman" w:eastAsia="Calibri" w:hAnsi="Times New Roman" w:cs="Times New Roman"/>
                <w:b/>
                <w:bCs/>
                <w:sz w:val="24"/>
                <w:szCs w:val="24"/>
              </w:rPr>
            </w:pPr>
            <w:r w:rsidRPr="006D431D">
              <w:rPr>
                <w:rFonts w:ascii="Times New Roman" w:eastAsia="Calibri" w:hAnsi="Times New Roman" w:cs="Times New Roman"/>
                <w:b/>
                <w:bCs/>
                <w:sz w:val="24"/>
                <w:szCs w:val="24"/>
              </w:rPr>
              <w:t>2025. gads</w:t>
            </w:r>
          </w:p>
        </w:tc>
        <w:tc>
          <w:tcPr>
            <w:tcW w:w="818" w:type="dxa"/>
          </w:tcPr>
          <w:p w14:paraId="1A396734" w14:textId="77777777" w:rsidR="00C32B9F" w:rsidRPr="006D431D" w:rsidRDefault="002B39A1">
            <w:pPr>
              <w:spacing w:after="0" w:line="240" w:lineRule="auto"/>
              <w:contextualSpacing/>
              <w:jc w:val="center"/>
              <w:rPr>
                <w:rFonts w:ascii="Times New Roman" w:eastAsia="Calibri" w:hAnsi="Times New Roman" w:cs="Times New Roman"/>
                <w:b/>
                <w:bCs/>
                <w:sz w:val="24"/>
                <w:szCs w:val="24"/>
              </w:rPr>
            </w:pPr>
            <w:r w:rsidRPr="006D431D">
              <w:rPr>
                <w:rFonts w:ascii="Times New Roman" w:eastAsia="Calibri" w:hAnsi="Times New Roman" w:cs="Times New Roman"/>
                <w:b/>
                <w:bCs/>
                <w:sz w:val="24"/>
                <w:szCs w:val="24"/>
              </w:rPr>
              <w:t>2030. gads</w:t>
            </w:r>
          </w:p>
        </w:tc>
        <w:tc>
          <w:tcPr>
            <w:tcW w:w="3078" w:type="dxa"/>
          </w:tcPr>
          <w:p w14:paraId="2738FD4D" w14:textId="77777777" w:rsidR="00C32B9F" w:rsidRPr="006D431D" w:rsidRDefault="002B39A1">
            <w:pPr>
              <w:spacing w:after="0" w:line="240" w:lineRule="auto"/>
              <w:contextualSpacing/>
              <w:jc w:val="center"/>
              <w:rPr>
                <w:rFonts w:ascii="Times New Roman" w:eastAsia="Calibri" w:hAnsi="Times New Roman" w:cs="Times New Roman"/>
                <w:b/>
                <w:bCs/>
                <w:sz w:val="24"/>
                <w:szCs w:val="24"/>
              </w:rPr>
            </w:pPr>
            <w:r w:rsidRPr="006D431D">
              <w:rPr>
                <w:rFonts w:ascii="Times New Roman" w:eastAsia="Calibri" w:hAnsi="Times New Roman" w:cs="Times New Roman"/>
                <w:b/>
                <w:bCs/>
                <w:sz w:val="24"/>
                <w:szCs w:val="24"/>
              </w:rPr>
              <w:t>Piezīmes</w:t>
            </w:r>
          </w:p>
        </w:tc>
      </w:tr>
      <w:tr w:rsidR="00A618CA" w:rsidRPr="006D431D" w14:paraId="71F19EC3" w14:textId="77777777" w:rsidTr="00486348">
        <w:tc>
          <w:tcPr>
            <w:tcW w:w="835" w:type="dxa"/>
          </w:tcPr>
          <w:p w14:paraId="2E1A3499" w14:textId="77777777" w:rsidR="00C32B9F" w:rsidRPr="006D431D" w:rsidRDefault="002B39A1">
            <w:pPr>
              <w:spacing w:after="0" w:line="240" w:lineRule="auto"/>
              <w:contextualSpacing/>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1.</w:t>
            </w:r>
          </w:p>
        </w:tc>
        <w:tc>
          <w:tcPr>
            <w:tcW w:w="1920" w:type="dxa"/>
          </w:tcPr>
          <w:p w14:paraId="3E60905F" w14:textId="77777777" w:rsidR="00C32B9F" w:rsidRPr="006D431D" w:rsidRDefault="002B39A1">
            <w:pPr>
              <w:spacing w:after="0" w:line="240" w:lineRule="auto"/>
              <w:contextualSpacing/>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 xml:space="preserve">Potenciāli saražojamais biometāns no </w:t>
            </w:r>
            <w:r w:rsidRPr="006D431D">
              <w:rPr>
                <w:rFonts w:ascii="Times New Roman" w:eastAsia="Calibri" w:hAnsi="Times New Roman" w:cs="Times New Roman"/>
                <w:sz w:val="24"/>
                <w:szCs w:val="24"/>
              </w:rPr>
              <w:lastRenderedPageBreak/>
              <w:t>esošām biogāzes iekārtām</w:t>
            </w:r>
          </w:p>
        </w:tc>
        <w:tc>
          <w:tcPr>
            <w:tcW w:w="874" w:type="dxa"/>
          </w:tcPr>
          <w:p w14:paraId="198F6E98" w14:textId="77777777" w:rsidR="00C32B9F" w:rsidRPr="006D431D" w:rsidRDefault="002B39A1">
            <w:pPr>
              <w:spacing w:after="0" w:line="240" w:lineRule="auto"/>
              <w:contextualSpacing/>
              <w:jc w:val="center"/>
              <w:rPr>
                <w:rFonts w:ascii="Times New Roman" w:eastAsia="Calibri" w:hAnsi="Times New Roman" w:cs="Times New Roman"/>
                <w:sz w:val="24"/>
                <w:szCs w:val="24"/>
              </w:rPr>
            </w:pPr>
            <w:proofErr w:type="spellStart"/>
            <w:r w:rsidRPr="006D431D">
              <w:rPr>
                <w:rFonts w:ascii="Times New Roman" w:eastAsia="Calibri" w:hAnsi="Times New Roman" w:cs="Times New Roman"/>
                <w:sz w:val="24"/>
                <w:szCs w:val="24"/>
              </w:rPr>
              <w:lastRenderedPageBreak/>
              <w:t>n.a</w:t>
            </w:r>
            <w:proofErr w:type="spellEnd"/>
          </w:p>
        </w:tc>
        <w:tc>
          <w:tcPr>
            <w:tcW w:w="816" w:type="dxa"/>
          </w:tcPr>
          <w:p w14:paraId="2E928E25" w14:textId="77777777" w:rsidR="00C32B9F" w:rsidRPr="006D431D" w:rsidRDefault="002B39A1">
            <w:pPr>
              <w:spacing w:after="0" w:line="240" w:lineRule="auto"/>
              <w:contextualSpacing/>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315</w:t>
            </w:r>
          </w:p>
        </w:tc>
        <w:tc>
          <w:tcPr>
            <w:tcW w:w="818" w:type="dxa"/>
          </w:tcPr>
          <w:p w14:paraId="4763DB83" w14:textId="77777777" w:rsidR="00C32B9F" w:rsidRPr="006D431D" w:rsidRDefault="002B39A1">
            <w:pPr>
              <w:spacing w:after="0" w:line="240" w:lineRule="auto"/>
              <w:contextualSpacing/>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315</w:t>
            </w:r>
          </w:p>
        </w:tc>
        <w:tc>
          <w:tcPr>
            <w:tcW w:w="3078" w:type="dxa"/>
          </w:tcPr>
          <w:p w14:paraId="5CE901A9" w14:textId="77777777" w:rsidR="00C32B9F" w:rsidRPr="006D431D" w:rsidRDefault="002B39A1">
            <w:pPr>
              <w:spacing w:after="0" w:line="240" w:lineRule="auto"/>
              <w:contextualSpacing/>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 xml:space="preserve">Atbilstoši Latvijas Biogāzes asociācijas pieņēmumam (sk. </w:t>
            </w:r>
            <w:r w:rsidRPr="006D431D">
              <w:rPr>
                <w:rFonts w:ascii="Times New Roman" w:eastAsia="Calibri" w:hAnsi="Times New Roman" w:cs="Times New Roman"/>
                <w:sz w:val="24"/>
                <w:szCs w:val="24"/>
              </w:rPr>
              <w:lastRenderedPageBreak/>
              <w:t>tekstā detalizētāku skaidrojumu)</w:t>
            </w:r>
          </w:p>
        </w:tc>
      </w:tr>
      <w:tr w:rsidR="00A618CA" w:rsidRPr="006D431D" w14:paraId="53CE7D67" w14:textId="77777777" w:rsidTr="00486348">
        <w:tc>
          <w:tcPr>
            <w:tcW w:w="835" w:type="dxa"/>
          </w:tcPr>
          <w:p w14:paraId="5D648E08" w14:textId="77777777" w:rsidR="00C32B9F" w:rsidRPr="006D431D" w:rsidRDefault="00C32B9F">
            <w:pPr>
              <w:numPr>
                <w:ilvl w:val="0"/>
                <w:numId w:val="4"/>
              </w:numPr>
              <w:spacing w:after="0" w:line="240" w:lineRule="auto"/>
              <w:contextualSpacing/>
              <w:jc w:val="center"/>
              <w:rPr>
                <w:rFonts w:ascii="Times New Roman" w:eastAsia="Calibri" w:hAnsi="Times New Roman" w:cs="Times New Roman"/>
                <w:sz w:val="24"/>
                <w:szCs w:val="24"/>
              </w:rPr>
            </w:pPr>
          </w:p>
        </w:tc>
        <w:tc>
          <w:tcPr>
            <w:tcW w:w="1920" w:type="dxa"/>
          </w:tcPr>
          <w:p w14:paraId="75A9B806" w14:textId="77777777" w:rsidR="00C32B9F" w:rsidRPr="006D431D" w:rsidRDefault="002B39A1">
            <w:pPr>
              <w:spacing w:after="0" w:line="240" w:lineRule="auto"/>
              <w:contextualSpacing/>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Biometāns transportā – NEKP mērķa scenārijs (FEI)</w:t>
            </w:r>
          </w:p>
        </w:tc>
        <w:tc>
          <w:tcPr>
            <w:tcW w:w="874" w:type="dxa"/>
          </w:tcPr>
          <w:p w14:paraId="0B05A655" w14:textId="77777777" w:rsidR="00C32B9F" w:rsidRPr="006D431D" w:rsidRDefault="002B39A1">
            <w:pPr>
              <w:spacing w:after="0" w:line="240" w:lineRule="auto"/>
              <w:contextualSpacing/>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50</w:t>
            </w:r>
          </w:p>
        </w:tc>
        <w:tc>
          <w:tcPr>
            <w:tcW w:w="816" w:type="dxa"/>
          </w:tcPr>
          <w:p w14:paraId="72CAD0EF" w14:textId="77777777" w:rsidR="00C32B9F" w:rsidRPr="006D431D" w:rsidRDefault="002B39A1">
            <w:pPr>
              <w:spacing w:after="0" w:line="240" w:lineRule="auto"/>
              <w:contextualSpacing/>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203</w:t>
            </w:r>
          </w:p>
        </w:tc>
        <w:tc>
          <w:tcPr>
            <w:tcW w:w="818" w:type="dxa"/>
          </w:tcPr>
          <w:p w14:paraId="69BE5AA8" w14:textId="77777777" w:rsidR="00C32B9F" w:rsidRPr="006D431D" w:rsidRDefault="002B39A1">
            <w:pPr>
              <w:spacing w:after="0" w:line="240" w:lineRule="auto"/>
              <w:contextualSpacing/>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433</w:t>
            </w:r>
          </w:p>
        </w:tc>
        <w:tc>
          <w:tcPr>
            <w:tcW w:w="3078" w:type="dxa"/>
          </w:tcPr>
          <w:p w14:paraId="46A8C65B" w14:textId="77777777" w:rsidR="00C32B9F" w:rsidRPr="006D431D" w:rsidRDefault="002B39A1">
            <w:pPr>
              <w:spacing w:after="0" w:line="240" w:lineRule="auto"/>
              <w:contextualSpacing/>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Šeit nav ņemts vērā dubultās ieskaitīšanas koeficients, tātad modernais biometāns ir nepieciešams 2 reizes mazāk.</w:t>
            </w:r>
          </w:p>
        </w:tc>
      </w:tr>
      <w:tr w:rsidR="00A618CA" w:rsidRPr="006D431D" w14:paraId="21FBC448" w14:textId="77777777" w:rsidTr="00486348">
        <w:tc>
          <w:tcPr>
            <w:tcW w:w="835" w:type="dxa"/>
          </w:tcPr>
          <w:p w14:paraId="33ADCB49" w14:textId="77777777" w:rsidR="00C32B9F" w:rsidRPr="006D431D" w:rsidRDefault="00C32B9F">
            <w:pPr>
              <w:numPr>
                <w:ilvl w:val="0"/>
                <w:numId w:val="4"/>
              </w:numPr>
              <w:spacing w:after="0" w:line="240" w:lineRule="auto"/>
              <w:contextualSpacing/>
              <w:jc w:val="center"/>
              <w:rPr>
                <w:rFonts w:ascii="Times New Roman" w:eastAsia="Calibri" w:hAnsi="Times New Roman" w:cs="Times New Roman"/>
                <w:sz w:val="24"/>
                <w:szCs w:val="24"/>
              </w:rPr>
            </w:pPr>
          </w:p>
        </w:tc>
        <w:tc>
          <w:tcPr>
            <w:tcW w:w="1920" w:type="dxa"/>
          </w:tcPr>
          <w:p w14:paraId="2D5C7474" w14:textId="77777777" w:rsidR="00C32B9F" w:rsidRPr="006D431D" w:rsidRDefault="002B39A1">
            <w:pPr>
              <w:spacing w:after="0" w:line="240" w:lineRule="auto"/>
              <w:contextualSpacing/>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 xml:space="preserve">Biometāns transportā WAM scenārijs (FEI) </w:t>
            </w:r>
          </w:p>
        </w:tc>
        <w:tc>
          <w:tcPr>
            <w:tcW w:w="874" w:type="dxa"/>
          </w:tcPr>
          <w:p w14:paraId="4EEC642D" w14:textId="77777777" w:rsidR="00C32B9F" w:rsidRPr="006D431D" w:rsidRDefault="002B39A1">
            <w:pPr>
              <w:spacing w:after="0" w:line="240" w:lineRule="auto"/>
              <w:contextualSpacing/>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0</w:t>
            </w:r>
          </w:p>
        </w:tc>
        <w:tc>
          <w:tcPr>
            <w:tcW w:w="816" w:type="dxa"/>
          </w:tcPr>
          <w:p w14:paraId="5DCBEA9D" w14:textId="77777777" w:rsidR="00C32B9F" w:rsidRPr="006D431D" w:rsidRDefault="002B39A1">
            <w:pPr>
              <w:spacing w:after="0" w:line="240" w:lineRule="auto"/>
              <w:contextualSpacing/>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83</w:t>
            </w:r>
          </w:p>
        </w:tc>
        <w:tc>
          <w:tcPr>
            <w:tcW w:w="818" w:type="dxa"/>
          </w:tcPr>
          <w:p w14:paraId="72F461D3" w14:textId="77777777" w:rsidR="00C32B9F" w:rsidRPr="006D431D" w:rsidRDefault="002B39A1">
            <w:pPr>
              <w:spacing w:after="0" w:line="240" w:lineRule="auto"/>
              <w:contextualSpacing/>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278</w:t>
            </w:r>
          </w:p>
        </w:tc>
        <w:tc>
          <w:tcPr>
            <w:tcW w:w="3078" w:type="dxa"/>
          </w:tcPr>
          <w:p w14:paraId="2459BEDC" w14:textId="77777777" w:rsidR="00C32B9F" w:rsidRPr="006D431D" w:rsidRDefault="002B39A1">
            <w:pPr>
              <w:spacing w:after="0" w:line="240" w:lineRule="auto"/>
              <w:contextualSpacing/>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 xml:space="preserve">Šis scenārijs ir veidots gadu vēlāk un ar nedaudz citu metodoloģiju, modernais biometāns tāpat nepieciešams 2 reizes mazāk. </w:t>
            </w:r>
          </w:p>
        </w:tc>
      </w:tr>
      <w:tr w:rsidR="00A618CA" w:rsidRPr="006D431D" w14:paraId="3BC26D65" w14:textId="77777777" w:rsidTr="00486348">
        <w:tc>
          <w:tcPr>
            <w:tcW w:w="835" w:type="dxa"/>
          </w:tcPr>
          <w:p w14:paraId="52A5C723" w14:textId="77777777" w:rsidR="00C32B9F" w:rsidRPr="006D431D" w:rsidRDefault="00C32B9F">
            <w:pPr>
              <w:numPr>
                <w:ilvl w:val="0"/>
                <w:numId w:val="4"/>
              </w:numPr>
              <w:spacing w:after="0" w:line="240" w:lineRule="auto"/>
              <w:contextualSpacing/>
              <w:jc w:val="center"/>
              <w:rPr>
                <w:rFonts w:ascii="Times New Roman" w:eastAsia="Calibri" w:hAnsi="Times New Roman" w:cs="Times New Roman"/>
                <w:sz w:val="24"/>
                <w:szCs w:val="24"/>
              </w:rPr>
            </w:pPr>
          </w:p>
        </w:tc>
        <w:tc>
          <w:tcPr>
            <w:tcW w:w="1920" w:type="dxa"/>
          </w:tcPr>
          <w:p w14:paraId="3CD56068" w14:textId="77777777" w:rsidR="00C32B9F" w:rsidRPr="006D431D" w:rsidRDefault="002B39A1">
            <w:pPr>
              <w:spacing w:after="0" w:line="240" w:lineRule="auto"/>
              <w:contextualSpacing/>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 xml:space="preserve">Moderno biodegvielu mērķis (NEKP un TEL) </w:t>
            </w:r>
          </w:p>
        </w:tc>
        <w:tc>
          <w:tcPr>
            <w:tcW w:w="874" w:type="dxa"/>
          </w:tcPr>
          <w:p w14:paraId="60E055B0" w14:textId="77777777" w:rsidR="00C32B9F" w:rsidRPr="006D431D" w:rsidRDefault="002B39A1">
            <w:pPr>
              <w:spacing w:after="0" w:line="240" w:lineRule="auto"/>
              <w:contextualSpacing/>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24</w:t>
            </w:r>
          </w:p>
        </w:tc>
        <w:tc>
          <w:tcPr>
            <w:tcW w:w="816" w:type="dxa"/>
          </w:tcPr>
          <w:p w14:paraId="19442DF6" w14:textId="77777777" w:rsidR="00C32B9F" w:rsidRPr="006D431D" w:rsidRDefault="002B39A1">
            <w:pPr>
              <w:spacing w:after="0" w:line="240" w:lineRule="auto"/>
              <w:contextualSpacing/>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117</w:t>
            </w:r>
          </w:p>
        </w:tc>
        <w:tc>
          <w:tcPr>
            <w:tcW w:w="818" w:type="dxa"/>
          </w:tcPr>
          <w:p w14:paraId="67A3F4DB" w14:textId="77777777" w:rsidR="00C32B9F" w:rsidRPr="006D431D" w:rsidRDefault="002B39A1">
            <w:pPr>
              <w:spacing w:after="0" w:line="240" w:lineRule="auto"/>
              <w:contextualSpacing/>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359</w:t>
            </w:r>
          </w:p>
        </w:tc>
        <w:tc>
          <w:tcPr>
            <w:tcW w:w="3078" w:type="dxa"/>
          </w:tcPr>
          <w:p w14:paraId="17F56222" w14:textId="77777777" w:rsidR="00C32B9F" w:rsidRPr="006D431D" w:rsidRDefault="002B39A1">
            <w:pPr>
              <w:spacing w:after="0" w:line="240" w:lineRule="auto"/>
              <w:contextualSpacing/>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Enerģētiskās vērtībās, neņemot vērā koeficientu 2 (transporta enerģijas patēriņš gala patēriņā – atbilstoši FEI VAM scenārijam</w:t>
            </w:r>
          </w:p>
        </w:tc>
      </w:tr>
      <w:tr w:rsidR="00A618CA" w:rsidRPr="006D431D" w14:paraId="397E2D08" w14:textId="77777777" w:rsidTr="00486348">
        <w:tc>
          <w:tcPr>
            <w:tcW w:w="835" w:type="dxa"/>
          </w:tcPr>
          <w:p w14:paraId="2CEB9AA1" w14:textId="77777777" w:rsidR="00C32B9F" w:rsidRPr="006D431D" w:rsidRDefault="002B39A1">
            <w:pPr>
              <w:spacing w:after="0" w:line="240" w:lineRule="auto"/>
              <w:contextualSpacing/>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5.</w:t>
            </w:r>
          </w:p>
        </w:tc>
        <w:tc>
          <w:tcPr>
            <w:tcW w:w="1920" w:type="dxa"/>
          </w:tcPr>
          <w:p w14:paraId="6597CB48" w14:textId="77777777" w:rsidR="00C32B9F" w:rsidRPr="006D431D" w:rsidRDefault="002B39A1">
            <w:pPr>
              <w:spacing w:after="0" w:line="240" w:lineRule="auto"/>
              <w:contextualSpacing/>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 xml:space="preserve">Moderno biodegvielu mērķis (NEKP un TEL) </w:t>
            </w:r>
          </w:p>
        </w:tc>
        <w:tc>
          <w:tcPr>
            <w:tcW w:w="874" w:type="dxa"/>
          </w:tcPr>
          <w:p w14:paraId="0B5E7D39" w14:textId="77777777" w:rsidR="00C32B9F" w:rsidRPr="006D431D" w:rsidRDefault="002B39A1">
            <w:pPr>
              <w:spacing w:after="0" w:line="240" w:lineRule="auto"/>
              <w:contextualSpacing/>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12</w:t>
            </w:r>
          </w:p>
        </w:tc>
        <w:tc>
          <w:tcPr>
            <w:tcW w:w="816" w:type="dxa"/>
          </w:tcPr>
          <w:p w14:paraId="42F6B50B" w14:textId="77777777" w:rsidR="00C32B9F" w:rsidRPr="006D431D" w:rsidRDefault="002B39A1">
            <w:pPr>
              <w:spacing w:after="0" w:line="240" w:lineRule="auto"/>
              <w:contextualSpacing/>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59</w:t>
            </w:r>
          </w:p>
        </w:tc>
        <w:tc>
          <w:tcPr>
            <w:tcW w:w="818" w:type="dxa"/>
          </w:tcPr>
          <w:p w14:paraId="0D8C4FD3" w14:textId="77777777" w:rsidR="00C32B9F" w:rsidRPr="006D431D" w:rsidRDefault="002B39A1">
            <w:pPr>
              <w:spacing w:after="0" w:line="240" w:lineRule="auto"/>
              <w:contextualSpacing/>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180</w:t>
            </w:r>
          </w:p>
        </w:tc>
        <w:tc>
          <w:tcPr>
            <w:tcW w:w="3078" w:type="dxa"/>
          </w:tcPr>
          <w:p w14:paraId="5ADF098C" w14:textId="77777777" w:rsidR="00C32B9F" w:rsidRPr="006D431D" w:rsidRDefault="002B39A1">
            <w:pPr>
              <w:spacing w:after="0" w:line="240" w:lineRule="auto"/>
              <w:contextualSpacing/>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Enerģētiskās vērtībās, ņemot vērā koeficientu 2 (transporta enerģijas patēriņš gala patēriņā – atbilstoši FEI VAM scenārijam</w:t>
            </w:r>
          </w:p>
        </w:tc>
      </w:tr>
      <w:tr w:rsidR="00A618CA" w:rsidRPr="006D431D" w14:paraId="2582CC41" w14:textId="77777777" w:rsidTr="00486348">
        <w:tc>
          <w:tcPr>
            <w:tcW w:w="835" w:type="dxa"/>
          </w:tcPr>
          <w:p w14:paraId="38925855" w14:textId="77777777" w:rsidR="00C32B9F" w:rsidRPr="006D431D" w:rsidRDefault="002B39A1">
            <w:pPr>
              <w:spacing w:after="0" w:line="240" w:lineRule="auto"/>
              <w:contextualSpacing/>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 xml:space="preserve">6. </w:t>
            </w:r>
          </w:p>
        </w:tc>
        <w:tc>
          <w:tcPr>
            <w:tcW w:w="1920" w:type="dxa"/>
          </w:tcPr>
          <w:p w14:paraId="61539935" w14:textId="77777777" w:rsidR="00C32B9F" w:rsidRPr="006D431D" w:rsidRDefault="002B39A1">
            <w:pPr>
              <w:spacing w:after="0" w:line="240" w:lineRule="auto"/>
              <w:contextualSpacing/>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Rīgas Satiksmes biometāna gala patēriņš nopērkot 125 autobusus</w:t>
            </w:r>
          </w:p>
        </w:tc>
        <w:tc>
          <w:tcPr>
            <w:tcW w:w="874" w:type="dxa"/>
          </w:tcPr>
          <w:p w14:paraId="5F296869" w14:textId="77777777" w:rsidR="00C32B9F" w:rsidRPr="006D431D" w:rsidRDefault="002B39A1">
            <w:pPr>
              <w:spacing w:after="0" w:line="240" w:lineRule="auto"/>
              <w:contextualSpacing/>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0</w:t>
            </w:r>
          </w:p>
        </w:tc>
        <w:tc>
          <w:tcPr>
            <w:tcW w:w="816" w:type="dxa"/>
          </w:tcPr>
          <w:p w14:paraId="52975C09" w14:textId="77777777" w:rsidR="00C32B9F" w:rsidRPr="006D431D" w:rsidRDefault="002B39A1">
            <w:pPr>
              <w:spacing w:after="0" w:line="240" w:lineRule="auto"/>
              <w:contextualSpacing/>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39</w:t>
            </w:r>
          </w:p>
        </w:tc>
        <w:tc>
          <w:tcPr>
            <w:tcW w:w="818" w:type="dxa"/>
          </w:tcPr>
          <w:p w14:paraId="13B2A196" w14:textId="77777777" w:rsidR="00C32B9F" w:rsidRPr="006D431D" w:rsidRDefault="002B39A1">
            <w:pPr>
              <w:spacing w:after="0" w:line="240" w:lineRule="auto"/>
              <w:contextualSpacing/>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42</w:t>
            </w:r>
          </w:p>
        </w:tc>
        <w:tc>
          <w:tcPr>
            <w:tcW w:w="3078" w:type="dxa"/>
          </w:tcPr>
          <w:p w14:paraId="46EDA293" w14:textId="77777777" w:rsidR="00C32B9F" w:rsidRPr="006D431D" w:rsidRDefault="002B39A1">
            <w:pPr>
              <w:spacing w:after="0" w:line="240" w:lineRule="auto"/>
              <w:contextualSpacing/>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Rīgas Satiksmes aprēķins, neņemot vērā koeficientu 2 biometāna ieskaitīšanai gala patēriņā</w:t>
            </w:r>
          </w:p>
        </w:tc>
      </w:tr>
      <w:tr w:rsidR="00A618CA" w:rsidRPr="006D431D" w14:paraId="64A4513D" w14:textId="77777777" w:rsidTr="00486348">
        <w:tc>
          <w:tcPr>
            <w:tcW w:w="835" w:type="dxa"/>
          </w:tcPr>
          <w:p w14:paraId="25E28DD7" w14:textId="77777777" w:rsidR="00C32B9F" w:rsidRPr="006D431D" w:rsidRDefault="002B39A1">
            <w:pPr>
              <w:spacing w:after="0" w:line="240" w:lineRule="auto"/>
              <w:contextualSpacing/>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7.</w:t>
            </w:r>
          </w:p>
        </w:tc>
        <w:tc>
          <w:tcPr>
            <w:tcW w:w="1920" w:type="dxa"/>
          </w:tcPr>
          <w:p w14:paraId="7F683BBB" w14:textId="77777777" w:rsidR="00C32B9F" w:rsidRPr="006D431D" w:rsidRDefault="002B39A1">
            <w:pPr>
              <w:spacing w:after="0" w:line="240" w:lineRule="auto"/>
              <w:contextualSpacing/>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Rīgas Satiksmes biometāna gala patēriņš nopērkot 125 autobusus</w:t>
            </w:r>
          </w:p>
        </w:tc>
        <w:tc>
          <w:tcPr>
            <w:tcW w:w="874" w:type="dxa"/>
          </w:tcPr>
          <w:p w14:paraId="5CC871D6" w14:textId="77777777" w:rsidR="00C32B9F" w:rsidRPr="006D431D" w:rsidRDefault="002B39A1">
            <w:pPr>
              <w:spacing w:after="0" w:line="240" w:lineRule="auto"/>
              <w:contextualSpacing/>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0</w:t>
            </w:r>
          </w:p>
        </w:tc>
        <w:tc>
          <w:tcPr>
            <w:tcW w:w="816" w:type="dxa"/>
          </w:tcPr>
          <w:p w14:paraId="10C41728" w14:textId="77777777" w:rsidR="00C32B9F" w:rsidRPr="006D431D" w:rsidRDefault="002B39A1">
            <w:pPr>
              <w:spacing w:after="0" w:line="240" w:lineRule="auto"/>
              <w:contextualSpacing/>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78</w:t>
            </w:r>
          </w:p>
        </w:tc>
        <w:tc>
          <w:tcPr>
            <w:tcW w:w="818" w:type="dxa"/>
          </w:tcPr>
          <w:p w14:paraId="4DB90909" w14:textId="77777777" w:rsidR="00C32B9F" w:rsidRPr="006D431D" w:rsidRDefault="002B39A1">
            <w:pPr>
              <w:spacing w:after="0" w:line="240" w:lineRule="auto"/>
              <w:contextualSpacing/>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84</w:t>
            </w:r>
          </w:p>
        </w:tc>
        <w:tc>
          <w:tcPr>
            <w:tcW w:w="3078" w:type="dxa"/>
          </w:tcPr>
          <w:p w14:paraId="4E9C7E41" w14:textId="77777777" w:rsidR="00C32B9F" w:rsidRPr="006D431D" w:rsidRDefault="002B39A1">
            <w:pPr>
              <w:spacing w:after="0" w:line="240" w:lineRule="auto"/>
              <w:contextualSpacing/>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Rīgas Satiksmes aprēķins, koriģējot ar  koeficientu 2 modernās biodegvielas gala patēriņa aprēķinā</w:t>
            </w:r>
          </w:p>
        </w:tc>
      </w:tr>
    </w:tbl>
    <w:p w14:paraId="0632BF78" w14:textId="77777777" w:rsidR="00C32B9F" w:rsidRPr="006D431D" w:rsidRDefault="00C32B9F">
      <w:pPr>
        <w:spacing w:line="240" w:lineRule="auto"/>
        <w:ind w:firstLine="720"/>
        <w:jc w:val="both"/>
        <w:rPr>
          <w:rFonts w:ascii="Times New Roman" w:hAnsi="Times New Roman" w:cs="Times New Roman"/>
          <w:sz w:val="24"/>
          <w:szCs w:val="24"/>
          <w:shd w:val="clear" w:color="auto" w:fill="FFFFFF"/>
        </w:rPr>
      </w:pPr>
    </w:p>
    <w:p w14:paraId="63E824BA" w14:textId="77777777" w:rsidR="00C32B9F" w:rsidRPr="006D431D" w:rsidRDefault="002B39A1" w:rsidP="00591923">
      <w:pPr>
        <w:spacing w:after="0" w:line="240" w:lineRule="auto"/>
        <w:ind w:firstLine="360"/>
        <w:rPr>
          <w:rFonts w:ascii="Times New Roman" w:hAnsi="Times New Roman" w:cs="Times New Roman"/>
          <w:sz w:val="24"/>
          <w:szCs w:val="24"/>
        </w:rPr>
      </w:pPr>
      <w:r w:rsidRPr="006D431D">
        <w:rPr>
          <w:rFonts w:ascii="Times New Roman" w:eastAsia="Calibri" w:hAnsi="Times New Roman" w:cs="Times New Roman"/>
          <w:sz w:val="24"/>
          <w:szCs w:val="24"/>
        </w:rPr>
        <w:t>Potenciāli saražojamais biometāns aprēķināts no sekojošiem Latvijas biogāzes asociācijas pieņēmumiem:</w:t>
      </w:r>
    </w:p>
    <w:p w14:paraId="5BD5CE02" w14:textId="77777777" w:rsidR="00C32B9F" w:rsidRPr="006D431D" w:rsidRDefault="002B39A1">
      <w:pPr>
        <w:numPr>
          <w:ilvl w:val="0"/>
          <w:numId w:val="5"/>
        </w:numPr>
        <w:spacing w:after="0" w:line="240" w:lineRule="auto"/>
        <w:contextualSpacing/>
        <w:rPr>
          <w:rFonts w:ascii="Times New Roman" w:hAnsi="Times New Roman" w:cs="Times New Roman"/>
          <w:sz w:val="24"/>
          <w:szCs w:val="24"/>
        </w:rPr>
      </w:pPr>
      <w:r w:rsidRPr="006D431D">
        <w:rPr>
          <w:rFonts w:ascii="Times New Roman" w:eastAsia="Calibri" w:hAnsi="Times New Roman" w:cs="Times New Roman"/>
          <w:sz w:val="24"/>
          <w:szCs w:val="24"/>
        </w:rPr>
        <w:t xml:space="preserve">2018. gadā saražots 347,93 </w:t>
      </w:r>
      <w:proofErr w:type="spellStart"/>
      <w:r w:rsidRPr="006D431D">
        <w:rPr>
          <w:rFonts w:ascii="Times New Roman" w:eastAsia="Calibri" w:hAnsi="Times New Roman" w:cs="Times New Roman"/>
          <w:sz w:val="24"/>
          <w:szCs w:val="24"/>
        </w:rPr>
        <w:t>GWh</w:t>
      </w:r>
      <w:proofErr w:type="spellEnd"/>
      <w:r w:rsidRPr="006D431D">
        <w:rPr>
          <w:rFonts w:ascii="Times New Roman" w:eastAsia="Calibri" w:hAnsi="Times New Roman" w:cs="Times New Roman"/>
          <w:sz w:val="24"/>
          <w:szCs w:val="24"/>
        </w:rPr>
        <w:t xml:space="preserve"> </w:t>
      </w:r>
      <w:proofErr w:type="spellStart"/>
      <w:r w:rsidRPr="006D431D">
        <w:rPr>
          <w:rFonts w:ascii="Times New Roman" w:eastAsia="Calibri" w:hAnsi="Times New Roman" w:cs="Times New Roman"/>
          <w:sz w:val="24"/>
          <w:szCs w:val="24"/>
        </w:rPr>
        <w:t>elektronerģijas</w:t>
      </w:r>
      <w:proofErr w:type="spellEnd"/>
      <w:r w:rsidRPr="006D431D">
        <w:rPr>
          <w:rFonts w:ascii="Times New Roman" w:eastAsia="Calibri" w:hAnsi="Times New Roman" w:cs="Times New Roman"/>
          <w:sz w:val="24"/>
          <w:szCs w:val="24"/>
        </w:rPr>
        <w:t>;</w:t>
      </w:r>
    </w:p>
    <w:p w14:paraId="344D05C8" w14:textId="77777777" w:rsidR="00C32B9F" w:rsidRPr="006D431D" w:rsidRDefault="002B39A1">
      <w:pPr>
        <w:numPr>
          <w:ilvl w:val="0"/>
          <w:numId w:val="5"/>
        </w:numPr>
        <w:spacing w:after="0" w:line="240" w:lineRule="auto"/>
        <w:contextualSpacing/>
        <w:rPr>
          <w:rFonts w:ascii="Times New Roman" w:hAnsi="Times New Roman" w:cs="Times New Roman"/>
          <w:sz w:val="24"/>
          <w:szCs w:val="24"/>
        </w:rPr>
      </w:pPr>
      <w:r w:rsidRPr="006D431D">
        <w:rPr>
          <w:rFonts w:ascii="Times New Roman" w:eastAsia="Calibri" w:hAnsi="Times New Roman" w:cs="Times New Roman"/>
          <w:sz w:val="24"/>
          <w:szCs w:val="24"/>
        </w:rPr>
        <w:t>Elektroenerģijas ražošanā patērēts ap 153 milj. m3 biogāzes;</w:t>
      </w:r>
    </w:p>
    <w:p w14:paraId="09E3A872" w14:textId="77777777" w:rsidR="00C32B9F" w:rsidRPr="006D431D" w:rsidRDefault="002B39A1">
      <w:pPr>
        <w:numPr>
          <w:ilvl w:val="0"/>
          <w:numId w:val="5"/>
        </w:numPr>
        <w:spacing w:after="0" w:line="240" w:lineRule="auto"/>
        <w:contextualSpacing/>
        <w:rPr>
          <w:rFonts w:ascii="Times New Roman" w:hAnsi="Times New Roman" w:cs="Times New Roman"/>
          <w:sz w:val="24"/>
          <w:szCs w:val="24"/>
        </w:rPr>
      </w:pPr>
      <w:r w:rsidRPr="006D431D">
        <w:rPr>
          <w:rFonts w:ascii="Times New Roman" w:eastAsia="Calibri" w:hAnsi="Times New Roman" w:cs="Times New Roman"/>
          <w:sz w:val="24"/>
          <w:szCs w:val="24"/>
        </w:rPr>
        <w:t>Šis biogāzes daudzums atbilst 81-84 milj. m3 biometāna;</w:t>
      </w:r>
    </w:p>
    <w:p w14:paraId="7DC1C845" w14:textId="77777777" w:rsidR="00C32B9F" w:rsidRPr="006D431D" w:rsidRDefault="002B39A1">
      <w:pPr>
        <w:numPr>
          <w:ilvl w:val="0"/>
          <w:numId w:val="5"/>
        </w:numPr>
        <w:spacing w:after="0" w:line="240" w:lineRule="auto"/>
        <w:contextualSpacing/>
        <w:rPr>
          <w:rFonts w:ascii="Times New Roman" w:hAnsi="Times New Roman" w:cs="Times New Roman"/>
          <w:sz w:val="24"/>
          <w:szCs w:val="24"/>
        </w:rPr>
      </w:pPr>
      <w:r w:rsidRPr="006D431D">
        <w:rPr>
          <w:rFonts w:ascii="Times New Roman" w:eastAsia="Calibri" w:hAnsi="Times New Roman" w:cs="Times New Roman"/>
          <w:sz w:val="24"/>
          <w:szCs w:val="24"/>
        </w:rPr>
        <w:t>Biogāzes ražošanas siltuma nodrošināšanai –pašpatēriņš 20 milj. m3 biometāna;</w:t>
      </w:r>
    </w:p>
    <w:p w14:paraId="0E2CFB60" w14:textId="77777777" w:rsidR="00C32B9F" w:rsidRPr="006D431D" w:rsidRDefault="002B39A1">
      <w:pPr>
        <w:numPr>
          <w:ilvl w:val="0"/>
          <w:numId w:val="5"/>
        </w:numPr>
        <w:spacing w:after="0" w:line="240" w:lineRule="auto"/>
        <w:contextualSpacing/>
        <w:rPr>
          <w:rFonts w:ascii="Times New Roman" w:hAnsi="Times New Roman" w:cs="Times New Roman"/>
          <w:sz w:val="24"/>
          <w:szCs w:val="24"/>
        </w:rPr>
      </w:pPr>
      <w:r w:rsidRPr="006D431D">
        <w:rPr>
          <w:rFonts w:ascii="Times New Roman" w:eastAsia="Calibri" w:hAnsi="Times New Roman" w:cs="Times New Roman"/>
          <w:sz w:val="24"/>
          <w:szCs w:val="24"/>
        </w:rPr>
        <w:t>Maksimāli izmantojamais biometāna daudzums –64 milj. m3 gadā, ja biogāzi nekur citur nelietotu;</w:t>
      </w:r>
    </w:p>
    <w:p w14:paraId="6EB45289" w14:textId="77777777" w:rsidR="00C32B9F" w:rsidRPr="006D431D" w:rsidRDefault="002B39A1">
      <w:pPr>
        <w:numPr>
          <w:ilvl w:val="0"/>
          <w:numId w:val="5"/>
        </w:numPr>
        <w:spacing w:after="0" w:line="240" w:lineRule="auto"/>
        <w:contextualSpacing/>
        <w:rPr>
          <w:rFonts w:ascii="Times New Roman" w:hAnsi="Times New Roman" w:cs="Times New Roman"/>
          <w:sz w:val="24"/>
          <w:szCs w:val="24"/>
        </w:rPr>
      </w:pPr>
      <w:r w:rsidRPr="006D431D">
        <w:rPr>
          <w:rFonts w:ascii="Times New Roman" w:eastAsia="Calibri" w:hAnsi="Times New Roman" w:cs="Times New Roman"/>
          <w:sz w:val="24"/>
          <w:szCs w:val="24"/>
        </w:rPr>
        <w:t>Pieņēmumi: Biogāzes ražošana tuvāko 3 gadu laikā nepaplašinās, bet tieši otrādi: sarūk par 30%:</w:t>
      </w:r>
    </w:p>
    <w:p w14:paraId="16CF489C" w14:textId="77777777" w:rsidR="00C32B9F" w:rsidRPr="006D431D" w:rsidRDefault="002B39A1">
      <w:pPr>
        <w:numPr>
          <w:ilvl w:val="0"/>
          <w:numId w:val="5"/>
        </w:numPr>
        <w:spacing w:after="0" w:line="240" w:lineRule="auto"/>
        <w:contextualSpacing/>
        <w:rPr>
          <w:rFonts w:ascii="Times New Roman" w:hAnsi="Times New Roman" w:cs="Times New Roman"/>
          <w:sz w:val="24"/>
          <w:szCs w:val="24"/>
        </w:rPr>
      </w:pPr>
      <w:r w:rsidRPr="006D431D">
        <w:rPr>
          <w:rFonts w:ascii="Times New Roman" w:eastAsia="Calibri" w:hAnsi="Times New Roman" w:cs="Times New Roman"/>
          <w:sz w:val="24"/>
          <w:szCs w:val="24"/>
        </w:rPr>
        <w:t>Gadā saražos 107 milj. m3 biogāzes;</w:t>
      </w:r>
    </w:p>
    <w:p w14:paraId="29213F72" w14:textId="77777777" w:rsidR="00C32B9F" w:rsidRPr="006D431D" w:rsidRDefault="002B39A1">
      <w:pPr>
        <w:numPr>
          <w:ilvl w:val="0"/>
          <w:numId w:val="5"/>
        </w:numPr>
        <w:spacing w:after="0" w:line="240" w:lineRule="auto"/>
        <w:contextualSpacing/>
        <w:rPr>
          <w:rFonts w:ascii="Times New Roman" w:hAnsi="Times New Roman" w:cs="Times New Roman"/>
          <w:sz w:val="24"/>
          <w:szCs w:val="24"/>
        </w:rPr>
      </w:pPr>
      <w:r w:rsidRPr="006D431D">
        <w:rPr>
          <w:rFonts w:ascii="Times New Roman" w:eastAsia="Calibri" w:hAnsi="Times New Roman" w:cs="Times New Roman"/>
          <w:sz w:val="24"/>
          <w:szCs w:val="24"/>
        </w:rPr>
        <w:t>Ja arī nākotnē 50% no biogāzes turpinātu izmantot elektroenerģijas ražošanā, tad citiem mērķiem varētu izmantot ap 29-30 milj. m3 biometāna gadā;</w:t>
      </w:r>
    </w:p>
    <w:p w14:paraId="7B8BC9C8" w14:textId="77777777" w:rsidR="00C32B9F" w:rsidRPr="006D431D" w:rsidRDefault="002B39A1">
      <w:pPr>
        <w:numPr>
          <w:ilvl w:val="0"/>
          <w:numId w:val="5"/>
        </w:numPr>
        <w:spacing w:after="0" w:line="240" w:lineRule="auto"/>
        <w:contextualSpacing/>
        <w:rPr>
          <w:rFonts w:ascii="Times New Roman" w:hAnsi="Times New Roman" w:cs="Times New Roman"/>
          <w:sz w:val="24"/>
          <w:szCs w:val="24"/>
        </w:rPr>
      </w:pPr>
      <w:r w:rsidRPr="006D431D">
        <w:rPr>
          <w:rFonts w:ascii="Times New Roman" w:eastAsia="Calibri" w:hAnsi="Times New Roman" w:cs="Times New Roman"/>
          <w:sz w:val="24"/>
          <w:szCs w:val="24"/>
        </w:rPr>
        <w:t xml:space="preserve">Tas ļautu aizvietot dabasgāzi 304-315 </w:t>
      </w:r>
      <w:proofErr w:type="spellStart"/>
      <w:r w:rsidRPr="006D431D">
        <w:rPr>
          <w:rFonts w:ascii="Times New Roman" w:eastAsia="Calibri" w:hAnsi="Times New Roman" w:cs="Times New Roman"/>
          <w:sz w:val="24"/>
          <w:szCs w:val="24"/>
        </w:rPr>
        <w:t>GWh</w:t>
      </w:r>
      <w:proofErr w:type="spellEnd"/>
      <w:r w:rsidRPr="006D431D">
        <w:rPr>
          <w:rFonts w:ascii="Times New Roman" w:eastAsia="Calibri" w:hAnsi="Times New Roman" w:cs="Times New Roman"/>
          <w:sz w:val="24"/>
          <w:szCs w:val="24"/>
        </w:rPr>
        <w:t xml:space="preserve"> apjomā vai ap 27 tūkst. t., dīzeļdegvielas (iespējams aizvietot 3% no kopējā degvielu patēriņa LV, 8% dīzeļdegvielas),</w:t>
      </w:r>
    </w:p>
    <w:p w14:paraId="3CC907E6" w14:textId="77777777" w:rsidR="00C32B9F" w:rsidRPr="006D431D" w:rsidRDefault="002B39A1" w:rsidP="00591923">
      <w:pPr>
        <w:spacing w:after="0" w:line="240" w:lineRule="auto"/>
        <w:ind w:firstLine="360"/>
        <w:jc w:val="both"/>
        <w:rPr>
          <w:rFonts w:ascii="Times New Roman" w:hAnsi="Times New Roman" w:cs="Times New Roman"/>
          <w:sz w:val="24"/>
          <w:szCs w:val="24"/>
        </w:rPr>
      </w:pPr>
      <w:r w:rsidRPr="006D431D">
        <w:rPr>
          <w:rFonts w:ascii="Times New Roman" w:eastAsia="Calibri" w:hAnsi="Times New Roman" w:cs="Times New Roman"/>
          <w:sz w:val="24"/>
          <w:szCs w:val="24"/>
        </w:rPr>
        <w:lastRenderedPageBreak/>
        <w:t xml:space="preserve">Minētos pieņēmumus var uzskatīt par konservatīviem, jo nav ekonomiska pamata ilgākā laika periodā turpināt ražot elektroenerģiju. Tāpēc 2025. gada saražotā biometāna prognozi 4. tabulā var uzskatīt par pamatotu, bet 2030. gadā biometānam vajadzētu būt vairāk, arī ņemot vērā 2. attēlā novērtēto potenciālu. </w:t>
      </w:r>
    </w:p>
    <w:p w14:paraId="0740E158" w14:textId="01A78806" w:rsidR="00C32B9F" w:rsidRPr="006D431D" w:rsidRDefault="002B39A1">
      <w:pPr>
        <w:spacing w:line="240" w:lineRule="auto"/>
        <w:ind w:firstLine="720"/>
        <w:jc w:val="both"/>
        <w:rPr>
          <w:rFonts w:ascii="Times New Roman" w:hAnsi="Times New Roman" w:cs="Times New Roman"/>
          <w:sz w:val="24"/>
          <w:szCs w:val="24"/>
        </w:rPr>
      </w:pPr>
      <w:r w:rsidRPr="006D431D">
        <w:rPr>
          <w:rFonts w:ascii="Times New Roman" w:eastAsia="Calibri" w:hAnsi="Times New Roman" w:cs="Times New Roman"/>
          <w:sz w:val="24"/>
          <w:szCs w:val="24"/>
        </w:rPr>
        <w:t xml:space="preserve">Jāņem vērā, ka moderno biodegvielu mērķis neattiecas tikai uz biometānu – šī mērķa ietvarā konkurē biometāns un modernās biodegvielas. 4. tabulā norādītais koeficients 2 nozīmē, ka moderno biometānu, aprēķinot transporta mērķus, atbilstoši ES Direktīvas 2018/2001 nosacījumiem, ieskaita dubultā apmērā. </w:t>
      </w:r>
      <w:r w:rsidR="00FB4521" w:rsidRPr="006D431D">
        <w:rPr>
          <w:rFonts w:ascii="Times New Roman" w:eastAsia="Calibri" w:hAnsi="Times New Roman" w:cs="Times New Roman"/>
          <w:sz w:val="24"/>
          <w:szCs w:val="24"/>
        </w:rPr>
        <w:t>3</w:t>
      </w:r>
      <w:r w:rsidRPr="006D431D">
        <w:rPr>
          <w:rFonts w:ascii="Times New Roman" w:eastAsia="Calibri" w:hAnsi="Times New Roman" w:cs="Times New Roman"/>
          <w:sz w:val="24"/>
          <w:szCs w:val="24"/>
        </w:rPr>
        <w:t xml:space="preserve">. tabulā norādītais Fizikālās enerģētikas institūta WAM scenārijs – ir klimata prognožu vajadzībām modelēts scenārijs ar papildus pasākumiem. Šis scenārijs atšķiras no NEKP mērķa scenārija, bet ir jaunāks un tāpēc tas tiek izmantots prognozēs. Jāņem vērā, ka realitātē transporta enerģijas gala patēriņš var atšķirties no prognozētā, tāpēc </w:t>
      </w:r>
      <w:r w:rsidR="00FB4521" w:rsidRPr="006D431D">
        <w:rPr>
          <w:rFonts w:ascii="Times New Roman" w:eastAsia="Calibri" w:hAnsi="Times New Roman" w:cs="Times New Roman"/>
          <w:sz w:val="24"/>
          <w:szCs w:val="24"/>
        </w:rPr>
        <w:t>3</w:t>
      </w:r>
      <w:r w:rsidRPr="006D431D">
        <w:rPr>
          <w:rFonts w:ascii="Times New Roman" w:eastAsia="Calibri" w:hAnsi="Times New Roman" w:cs="Times New Roman"/>
          <w:sz w:val="24"/>
          <w:szCs w:val="24"/>
        </w:rPr>
        <w:t xml:space="preserve">.tabulas rādītāji ir tikai indikatīvi. </w:t>
      </w:r>
    </w:p>
    <w:p w14:paraId="5F1197D3" w14:textId="131A0AA6" w:rsidR="00C32B9F" w:rsidRPr="006D431D" w:rsidRDefault="002B39A1">
      <w:pPr>
        <w:spacing w:line="240" w:lineRule="auto"/>
        <w:ind w:firstLine="720"/>
        <w:jc w:val="both"/>
        <w:rPr>
          <w:rFonts w:ascii="Times New Roman" w:hAnsi="Times New Roman" w:cs="Times New Roman"/>
          <w:sz w:val="24"/>
          <w:szCs w:val="24"/>
        </w:rPr>
      </w:pPr>
      <w:r w:rsidRPr="006D431D">
        <w:rPr>
          <w:rFonts w:ascii="Times New Roman" w:eastAsia="Calibri" w:hAnsi="Times New Roman" w:cs="Times New Roman"/>
          <w:sz w:val="24"/>
          <w:szCs w:val="24"/>
        </w:rPr>
        <w:t xml:space="preserve">Būtiskākais secinājums no </w:t>
      </w:r>
      <w:r w:rsidR="00FB4521" w:rsidRPr="006D431D">
        <w:rPr>
          <w:rFonts w:ascii="Times New Roman" w:eastAsia="Calibri" w:hAnsi="Times New Roman" w:cs="Times New Roman"/>
          <w:sz w:val="24"/>
          <w:szCs w:val="24"/>
        </w:rPr>
        <w:t>3</w:t>
      </w:r>
      <w:r w:rsidRPr="006D431D">
        <w:rPr>
          <w:rFonts w:ascii="Times New Roman" w:eastAsia="Calibri" w:hAnsi="Times New Roman" w:cs="Times New Roman"/>
          <w:sz w:val="24"/>
          <w:szCs w:val="24"/>
        </w:rPr>
        <w:t xml:space="preserve">. tabulas ir, ka Latvijā potenciāli var saražot vairāk biometāna, nekā tas ir nepieciešams 2025. gada NEKP mērķu sasniegšanai. Tāpēc arī degvielas tirgotāju pienākumu shēma, ja vien tās mērķi nav būtiski augstāki, kā tas šobrīd ietverts NEKP un TEL projektā, bez citiem pasākumiem nenodrošina nepieciešamo biometāna patēriņu, kas būtu nepieciešams, lai saglabātu biogāzes ražošanu, atsakoties no OIK. </w:t>
      </w:r>
    </w:p>
    <w:p w14:paraId="40FA75F5" w14:textId="77777777" w:rsidR="00C32B9F" w:rsidRPr="006D431D" w:rsidRDefault="002B39A1">
      <w:pPr>
        <w:spacing w:line="240" w:lineRule="auto"/>
        <w:ind w:firstLine="720"/>
        <w:jc w:val="both"/>
        <w:rPr>
          <w:rFonts w:ascii="Times New Roman" w:hAnsi="Times New Roman" w:cs="Times New Roman"/>
          <w:sz w:val="24"/>
          <w:szCs w:val="24"/>
        </w:rPr>
      </w:pPr>
      <w:r w:rsidRPr="006D431D">
        <w:rPr>
          <w:rFonts w:ascii="Times New Roman" w:eastAsia="Calibri" w:hAnsi="Times New Roman" w:cs="Times New Roman"/>
          <w:sz w:val="24"/>
          <w:szCs w:val="24"/>
        </w:rPr>
        <w:t xml:space="preserve">Savukārt, ja Rīgas Satiksme nopirktu 125 autobusus, kurus darbinātu ar biometānu – šāds projekts nodrošinātu apmēram 2/3 no NEKP 2025. gada moderno biodegvielu un modernā biometāna mērķu sasniegšanas. </w:t>
      </w:r>
    </w:p>
    <w:p w14:paraId="4C0D284D" w14:textId="797D62B1" w:rsidR="00C32B9F" w:rsidRDefault="002B39A1" w:rsidP="00CC4C9B">
      <w:pPr>
        <w:pStyle w:val="Heading2"/>
        <w:ind w:firstLine="720"/>
        <w:rPr>
          <w:rFonts w:ascii="Times New Roman" w:hAnsi="Times New Roman" w:cs="Times New Roman"/>
          <w:color w:val="auto"/>
          <w:sz w:val="24"/>
          <w:szCs w:val="24"/>
        </w:rPr>
      </w:pPr>
      <w:bookmarkStart w:id="9" w:name="_Toc101605177"/>
      <w:r w:rsidRPr="006D431D">
        <w:rPr>
          <w:rFonts w:ascii="Times New Roman" w:hAnsi="Times New Roman" w:cs="Times New Roman"/>
          <w:color w:val="auto"/>
          <w:sz w:val="24"/>
          <w:szCs w:val="24"/>
        </w:rPr>
        <w:t>2.5. Plānotā nodokļu politika</w:t>
      </w:r>
      <w:bookmarkEnd w:id="9"/>
      <w:r w:rsidRPr="006D431D">
        <w:rPr>
          <w:rFonts w:ascii="Times New Roman" w:hAnsi="Times New Roman" w:cs="Times New Roman"/>
          <w:color w:val="auto"/>
          <w:sz w:val="24"/>
          <w:szCs w:val="24"/>
        </w:rPr>
        <w:t xml:space="preserve"> </w:t>
      </w:r>
    </w:p>
    <w:p w14:paraId="5A40188F" w14:textId="77777777" w:rsidR="004C3AD0" w:rsidRPr="004C3AD0" w:rsidRDefault="004C3AD0" w:rsidP="004C3AD0"/>
    <w:p w14:paraId="0D9656B8" w14:textId="0B5C6709" w:rsidR="00FB5344" w:rsidRPr="006D431D" w:rsidRDefault="002B39A1" w:rsidP="004C3AD0">
      <w:pPr>
        <w:ind w:firstLine="720"/>
        <w:jc w:val="both"/>
        <w:rPr>
          <w:rFonts w:ascii="Times New Roman" w:hAnsi="Times New Roman" w:cs="Times New Roman"/>
          <w:sz w:val="24"/>
          <w:szCs w:val="24"/>
        </w:rPr>
      </w:pPr>
      <w:r w:rsidRPr="006D431D">
        <w:rPr>
          <w:rFonts w:ascii="Times New Roman" w:hAnsi="Times New Roman" w:cs="Times New Roman"/>
          <w:sz w:val="24"/>
          <w:szCs w:val="24"/>
        </w:rPr>
        <w:t>Ministru Kabinets ir apstiprinājis Informatīvo ziņojumu "Par nodokļu politikas attīstības virzieniem, valsts sociālās ilgtspējas un ekonomikas konkurētspējas veicināšanai"</w:t>
      </w:r>
      <w:r w:rsidRPr="006D431D">
        <w:rPr>
          <w:rStyle w:val="FootnoteAnchor"/>
          <w:rFonts w:ascii="Times New Roman" w:hAnsi="Times New Roman" w:cs="Times New Roman"/>
          <w:sz w:val="24"/>
          <w:szCs w:val="24"/>
        </w:rPr>
        <w:footnoteReference w:id="22"/>
      </w:r>
      <w:r w:rsidRPr="006D431D">
        <w:rPr>
          <w:rFonts w:ascii="Times New Roman" w:hAnsi="Times New Roman" w:cs="Times New Roman"/>
          <w:sz w:val="24"/>
          <w:szCs w:val="24"/>
        </w:rPr>
        <w:t xml:space="preserve">, kurā noteikts:  “Lai veicinātu dabasgāzes uzpildes punktu izveidi Latvijas teritorijā transportlīdzekļiem, kuros kā degvielu izmanto dabasgāzi, un siltumnīcefekta gāzu emisiju samazināšanu transportā, kā arī lai veicinātu pakāpenisku pāreju uz videi draudzīgākas un gaisa kvalitāti mazāk ietekmējošas degvielas izmantošanu, nepieciešams terminēti līdz 2025.gadam (ieskaitot) samazināt akcīzes nodokli dabasgāzei, kuru izmanto transportā, paredzot, ka no 2021.gada līdz 2025.gadam akcīzes nodokli likme dabasgāzei kā degvielai ir 1,91 </w:t>
      </w:r>
      <w:proofErr w:type="spellStart"/>
      <w:r w:rsidRPr="006D431D">
        <w:rPr>
          <w:rFonts w:ascii="Times New Roman" w:hAnsi="Times New Roman" w:cs="Times New Roman"/>
          <w:i/>
          <w:iCs/>
          <w:sz w:val="24"/>
          <w:szCs w:val="24"/>
        </w:rPr>
        <w:t>euro</w:t>
      </w:r>
      <w:proofErr w:type="spellEnd"/>
      <w:r w:rsidRPr="006D431D">
        <w:rPr>
          <w:rFonts w:ascii="Times New Roman" w:hAnsi="Times New Roman" w:cs="Times New Roman"/>
          <w:sz w:val="24"/>
          <w:szCs w:val="24"/>
        </w:rPr>
        <w:t xml:space="preserve"> par 1 </w:t>
      </w:r>
      <w:proofErr w:type="spellStart"/>
      <w:r w:rsidRPr="006D431D">
        <w:rPr>
          <w:rFonts w:ascii="Times New Roman" w:hAnsi="Times New Roman" w:cs="Times New Roman"/>
          <w:sz w:val="24"/>
          <w:szCs w:val="24"/>
        </w:rPr>
        <w:t>MWh</w:t>
      </w:r>
      <w:proofErr w:type="spellEnd"/>
      <w:r w:rsidRPr="006D431D">
        <w:rPr>
          <w:rFonts w:ascii="Times New Roman" w:hAnsi="Times New Roman" w:cs="Times New Roman"/>
          <w:sz w:val="24"/>
          <w:szCs w:val="24"/>
        </w:rPr>
        <w:t xml:space="preserve">, jeb 20 </w:t>
      </w:r>
      <w:proofErr w:type="spellStart"/>
      <w:r w:rsidRPr="006D431D">
        <w:rPr>
          <w:rFonts w:ascii="Times New Roman" w:hAnsi="Times New Roman" w:cs="Times New Roman"/>
          <w:i/>
          <w:iCs/>
          <w:sz w:val="24"/>
          <w:szCs w:val="24"/>
        </w:rPr>
        <w:t>euro</w:t>
      </w:r>
      <w:proofErr w:type="spellEnd"/>
      <w:r w:rsidRPr="006D431D">
        <w:rPr>
          <w:rFonts w:ascii="Times New Roman" w:hAnsi="Times New Roman" w:cs="Times New Roman"/>
          <w:sz w:val="24"/>
          <w:szCs w:val="24"/>
        </w:rPr>
        <w:t xml:space="preserve"> par 1000 m3, vienlaikus paredzot, ka no 2026.gada akcīzes nodokli likme dabasgāzei (izmantošanai par degvielu) tiktu palielināta uz 10</w:t>
      </w:r>
      <w:r w:rsidRPr="006D431D">
        <w:rPr>
          <w:rFonts w:ascii="Times New Roman" w:hAnsi="Times New Roman" w:cs="Times New Roman"/>
          <w:i/>
          <w:iCs/>
          <w:sz w:val="24"/>
          <w:szCs w:val="24"/>
        </w:rPr>
        <w:t xml:space="preserve"> </w:t>
      </w:r>
      <w:proofErr w:type="spellStart"/>
      <w:r w:rsidRPr="006D431D">
        <w:rPr>
          <w:rFonts w:ascii="Times New Roman" w:hAnsi="Times New Roman" w:cs="Times New Roman"/>
          <w:i/>
          <w:iCs/>
          <w:sz w:val="24"/>
          <w:szCs w:val="24"/>
        </w:rPr>
        <w:t>euro</w:t>
      </w:r>
      <w:proofErr w:type="spellEnd"/>
      <w:r w:rsidRPr="006D431D">
        <w:rPr>
          <w:rFonts w:ascii="Times New Roman" w:hAnsi="Times New Roman" w:cs="Times New Roman"/>
          <w:sz w:val="24"/>
          <w:szCs w:val="24"/>
        </w:rPr>
        <w:t xml:space="preserve"> par 1 </w:t>
      </w:r>
      <w:proofErr w:type="spellStart"/>
      <w:r w:rsidRPr="006D431D">
        <w:rPr>
          <w:rFonts w:ascii="Times New Roman" w:hAnsi="Times New Roman" w:cs="Times New Roman"/>
          <w:sz w:val="24"/>
          <w:szCs w:val="24"/>
        </w:rPr>
        <w:t>MWh</w:t>
      </w:r>
      <w:proofErr w:type="spellEnd"/>
      <w:r w:rsidRPr="006D431D">
        <w:rPr>
          <w:rFonts w:ascii="Times New Roman" w:hAnsi="Times New Roman" w:cs="Times New Roman"/>
          <w:sz w:val="24"/>
          <w:szCs w:val="24"/>
        </w:rPr>
        <w:t xml:space="preserve"> jeb 105 </w:t>
      </w:r>
      <w:proofErr w:type="spellStart"/>
      <w:r w:rsidRPr="006D431D">
        <w:rPr>
          <w:rFonts w:ascii="Times New Roman" w:hAnsi="Times New Roman" w:cs="Times New Roman"/>
          <w:i/>
          <w:iCs/>
          <w:sz w:val="24"/>
          <w:szCs w:val="24"/>
        </w:rPr>
        <w:t>euro</w:t>
      </w:r>
      <w:proofErr w:type="spellEnd"/>
      <w:r w:rsidRPr="006D431D">
        <w:rPr>
          <w:rFonts w:ascii="Times New Roman" w:hAnsi="Times New Roman" w:cs="Times New Roman"/>
          <w:i/>
          <w:iCs/>
          <w:sz w:val="24"/>
          <w:szCs w:val="24"/>
        </w:rPr>
        <w:t xml:space="preserve"> </w:t>
      </w:r>
      <w:r w:rsidRPr="006D431D">
        <w:rPr>
          <w:rFonts w:ascii="Times New Roman" w:hAnsi="Times New Roman" w:cs="Times New Roman"/>
          <w:sz w:val="24"/>
          <w:szCs w:val="24"/>
        </w:rPr>
        <w:t xml:space="preserve">par 1000 m3. </w:t>
      </w:r>
      <w:r w:rsidR="00A1434A" w:rsidRPr="006D431D">
        <w:rPr>
          <w:rFonts w:ascii="Times New Roman" w:hAnsi="Times New Roman" w:cs="Times New Roman"/>
          <w:sz w:val="24"/>
          <w:szCs w:val="24"/>
        </w:rPr>
        <w:t xml:space="preserve">Lai veicinātu biometāna un moderno biodegvielu ražošanu un izmantošanu, tām līdz 2030. gadam būtu jānosaka 0 </w:t>
      </w:r>
      <w:proofErr w:type="spellStart"/>
      <w:r w:rsidR="00A1434A" w:rsidRPr="006D431D">
        <w:rPr>
          <w:rFonts w:ascii="Times New Roman" w:hAnsi="Times New Roman" w:cs="Times New Roman"/>
          <w:sz w:val="24"/>
          <w:szCs w:val="24"/>
        </w:rPr>
        <w:t>euro</w:t>
      </w:r>
      <w:proofErr w:type="spellEnd"/>
      <w:r w:rsidR="00A1434A" w:rsidRPr="006D431D">
        <w:rPr>
          <w:rFonts w:ascii="Times New Roman" w:hAnsi="Times New Roman" w:cs="Times New Roman"/>
          <w:sz w:val="24"/>
          <w:szCs w:val="24"/>
        </w:rPr>
        <w:t xml:space="preserve"> par 1 </w:t>
      </w:r>
      <w:proofErr w:type="spellStart"/>
      <w:r w:rsidR="00A1434A" w:rsidRPr="006D431D">
        <w:rPr>
          <w:rFonts w:ascii="Times New Roman" w:hAnsi="Times New Roman" w:cs="Times New Roman"/>
          <w:sz w:val="24"/>
          <w:szCs w:val="24"/>
        </w:rPr>
        <w:t>MWh</w:t>
      </w:r>
      <w:proofErr w:type="spellEnd"/>
      <w:r w:rsidR="00A1434A" w:rsidRPr="006D431D">
        <w:rPr>
          <w:rFonts w:ascii="Times New Roman" w:hAnsi="Times New Roman" w:cs="Times New Roman"/>
          <w:sz w:val="24"/>
          <w:szCs w:val="24"/>
        </w:rPr>
        <w:t xml:space="preserve"> akcīzes nodokļa likme.</w:t>
      </w:r>
      <w:r w:rsidR="00A1434A" w:rsidRPr="006D431D" w:rsidDel="00A1434A">
        <w:rPr>
          <w:rFonts w:ascii="Times New Roman" w:hAnsi="Times New Roman" w:cs="Times New Roman"/>
          <w:sz w:val="24"/>
          <w:szCs w:val="24"/>
        </w:rPr>
        <w:t xml:space="preserve"> </w:t>
      </w:r>
      <w:r w:rsidR="000D28C6" w:rsidRPr="006D431D">
        <w:rPr>
          <w:rFonts w:ascii="Times New Roman" w:hAnsi="Times New Roman" w:cs="Times New Roman"/>
          <w:sz w:val="24"/>
          <w:szCs w:val="24"/>
        </w:rPr>
        <w:t xml:space="preserve">Te jāpiezīmē, ka akcīzes nodokļa likme par 1 </w:t>
      </w:r>
      <w:proofErr w:type="spellStart"/>
      <w:r w:rsidR="000D28C6" w:rsidRPr="006D431D">
        <w:rPr>
          <w:rFonts w:ascii="Times New Roman" w:hAnsi="Times New Roman" w:cs="Times New Roman"/>
          <w:sz w:val="24"/>
          <w:szCs w:val="24"/>
        </w:rPr>
        <w:t>MWh</w:t>
      </w:r>
      <w:proofErr w:type="spellEnd"/>
      <w:r w:rsidR="000D28C6" w:rsidRPr="006D431D">
        <w:rPr>
          <w:rFonts w:ascii="Times New Roman" w:hAnsi="Times New Roman" w:cs="Times New Roman"/>
          <w:sz w:val="24"/>
          <w:szCs w:val="24"/>
        </w:rPr>
        <w:t xml:space="preserve"> tiek piemērota, ņemot vērā dabasgāzes augstāko siltumspēju.</w:t>
      </w:r>
      <w:r w:rsidRPr="006D431D">
        <w:rPr>
          <w:rFonts w:ascii="Times New Roman" w:hAnsi="Times New Roman" w:cs="Times New Roman"/>
          <w:sz w:val="24"/>
          <w:szCs w:val="24"/>
        </w:rPr>
        <w:t xml:space="preserve"> Tomēr salīdzinot ar potenciālo biometāna tirgus cenu šāda nodokļu atlaide ir nebūtiska un nenodrošina biometāna augstāku konkurētspēju salīdzinājumā ar dabasgāzi. Citi šajā ziņojumā apskatītie atbalsta pasākumi ir daudz nozīmīgāki. </w:t>
      </w:r>
      <w:r w:rsidR="00FB5344" w:rsidRPr="006D431D">
        <w:rPr>
          <w:rFonts w:ascii="Times New Roman" w:hAnsi="Times New Roman" w:cs="Times New Roman"/>
          <w:sz w:val="24"/>
          <w:szCs w:val="24"/>
        </w:rPr>
        <w:t>Tāpat arī būs jāņem vērā, ka pārskatāmās Enerģijas nodokļu direktīvas (2003/96/EK) normas visticamāk neparedzēs iespēju piemērot 0 nodokļa likmi biogāzei.</w:t>
      </w:r>
    </w:p>
    <w:p w14:paraId="59DAD699" w14:textId="77777777" w:rsidR="00C32B9F" w:rsidRPr="006D431D" w:rsidRDefault="002B39A1" w:rsidP="00FB5344">
      <w:pPr>
        <w:pStyle w:val="tvhtml"/>
        <w:shd w:val="clear" w:color="auto" w:fill="FFFFFF"/>
        <w:spacing w:before="280" w:after="280" w:line="293" w:lineRule="atLeast"/>
        <w:ind w:firstLine="720"/>
        <w:jc w:val="both"/>
      </w:pPr>
      <w:r w:rsidRPr="006D431D">
        <w:lastRenderedPageBreak/>
        <w:t>2.6. Biogāze atkritumu sektorā</w:t>
      </w:r>
    </w:p>
    <w:p w14:paraId="3B67A15F" w14:textId="157610A0" w:rsidR="00C32B9F" w:rsidRPr="006D431D" w:rsidRDefault="002B39A1">
      <w:pPr>
        <w:pStyle w:val="tvhtml"/>
        <w:shd w:val="clear" w:color="auto" w:fill="FFFFFF"/>
        <w:spacing w:before="280" w:after="280" w:line="293" w:lineRule="atLeast"/>
        <w:ind w:firstLine="300"/>
        <w:jc w:val="both"/>
      </w:pPr>
      <w:r w:rsidRPr="006D431D">
        <w:t xml:space="preserve">Vides aizsardzības un reģionālās attīstība ministrija (turpmāk -VARAM) informē, ka pārskats par atkritumu poligonu turpmākajiem attīstības plāniem tiks sagatavotas pētījuma “Investīciju vajadzību </w:t>
      </w:r>
      <w:proofErr w:type="spellStart"/>
      <w:r w:rsidRPr="006D431D">
        <w:t>izvērtējums</w:t>
      </w:r>
      <w:proofErr w:type="spellEnd"/>
      <w:r w:rsidRPr="006D431D">
        <w:t xml:space="preserve"> atkritumu apsaimniekošanas valsts plāna 2021. - 2028. gadam izstrādei”</w:t>
      </w:r>
      <w:r w:rsidR="00FF5AA4" w:rsidRPr="006D431D">
        <w:t xml:space="preserve"> ir sagatavots 2020. gadā un kalpo par pamatu Atkritumu apsaimniekošanas plānam 2021.-2028. gadam, kas apstiprināts Ministru kabinetā 2021. gada 21. janvārī.</w:t>
      </w:r>
      <w:r w:rsidRPr="006D431D">
        <w:t xml:space="preserve"> Vienlaikus, jau 2014. – 2020.gada ES fondu plānošanas perioda ietvaros 5.2.1.2. pasākuma "Atkritumu pārstrādes veicināšana" ietvaros tiek sniegts atbalsts bioloģiski noārdāmo atkritumu pārstrādes iekārtu izveidei, kā arī šobrīd atbalsta virzienu plānots turpināt arī nākošajā ES fondu</w:t>
      </w:r>
      <w:r w:rsidR="005A0689" w:rsidRPr="006D431D">
        <w:t xml:space="preserve"> </w:t>
      </w:r>
      <w:r w:rsidRPr="006D431D">
        <w:t>plānošanas periodā. Tomēr šo VARAM atbildībā esošo ES fondu investīciju</w:t>
      </w:r>
      <w:r w:rsidR="005A0689" w:rsidRPr="006D431D">
        <w:t xml:space="preserve"> ietvaros</w:t>
      </w:r>
      <w:r w:rsidRPr="006D431D">
        <w:t xml:space="preserve"> atbalsts tiek sniegts tikai atkritumu pārstrādei, tādejādi nodrošinot demarkāciju ar biometāna ražošanas iekārtu uzstādīšanas atbalsta programmām. </w:t>
      </w:r>
    </w:p>
    <w:p w14:paraId="11A681AC" w14:textId="77777777" w:rsidR="00C32B9F" w:rsidRPr="006D431D" w:rsidRDefault="002B39A1">
      <w:pPr>
        <w:pStyle w:val="tvhtml"/>
        <w:shd w:val="clear" w:color="auto" w:fill="FFFFFF"/>
        <w:spacing w:before="280" w:after="280" w:line="293" w:lineRule="atLeast"/>
        <w:ind w:firstLine="300"/>
        <w:jc w:val="both"/>
      </w:pPr>
      <w:r w:rsidRPr="006D431D">
        <w:t xml:space="preserve">VARAM informē arī, ka ir saņēmusi indikācijas, ka atsevišķi sadzīves atkritumu poligonu operatori, piemēram, SIA “ZAAO” un SIA “Getliņi EKO”, varētu būt ieinteresēti biometāna ražošanas iekārtu uzstādīšanā. VARAM rosina Ekonomikas ministriju sazināties ar tiem sadzīves atkritumu poligonu operatoriem, kuru apsaimniekotajos sadzīves atkritumu poligonos pašlaik jau ir uzstādītas biogāzes koģenerācijas stacijas, lai saņemtu informāciju par nepieciešamajiem atbalsta pasākumiem biometāna ražošanas iekārtu iegādei un uzstādīšanai, kā arī transportēšanas sistēmas izveidei. Nozīmīgākais biogāzes apjoms šobrīd tiek iegūts SIA “Getliņi EKO” ar kuras vadību ir pārrunātas tālākas attīstības iespējas – ja šo biogāzi bagātinātu par biometānu, ar to teorētiski varētu darbināt 200 autobusus. SIA “Getliņi EKO” OIK atbalsts beigsies 2027. gadā, tāpēc komersants varētu ieinteresēts izmantot biogāzi citiem mērķiem. Interesi par biometāna ražošanu izrāda arī SIA “ZAAO” pārstāvji, tomēr pašlaik tur iegūtais biogāzes apjoms ir neliels. No atkritumiem iegūtu biometānu varētu atkritumu poligonā izmantot atkritumu transportēšanas mašīnu </w:t>
      </w:r>
      <w:proofErr w:type="spellStart"/>
      <w:r w:rsidRPr="006D431D">
        <w:t>uzpildei</w:t>
      </w:r>
      <w:proofErr w:type="spellEnd"/>
      <w:r w:rsidRPr="006D431D">
        <w:t xml:space="preserve">, ja tiktu iegādāti atbilstoši transportlīdzekļi. Tomēr no atkritumiem iegūtam biometānam var būt nepieciešami papildus attīrīšanas pasākumi, lai sasniegtu nepieciešamo biometāna kvalitāti. </w:t>
      </w:r>
    </w:p>
    <w:p w14:paraId="3BC953E3" w14:textId="77777777" w:rsidR="00C32B9F" w:rsidRPr="006D431D" w:rsidRDefault="002B39A1">
      <w:pPr>
        <w:pStyle w:val="tvhtml"/>
        <w:shd w:val="clear" w:color="auto" w:fill="FFFFFF"/>
        <w:spacing w:before="280" w:after="280" w:line="293" w:lineRule="atLeast"/>
        <w:ind w:firstLine="300"/>
        <w:jc w:val="both"/>
      </w:pPr>
      <w:r w:rsidRPr="006D431D">
        <w:t xml:space="preserve">ES metāna samazināšanas stratēģijā </w:t>
      </w:r>
      <w:r w:rsidRPr="006D431D">
        <w:rPr>
          <w:rStyle w:val="FootnoteAnchor"/>
        </w:rPr>
        <w:footnoteReference w:id="23"/>
      </w:r>
      <w:r w:rsidRPr="006D431D">
        <w:t xml:space="preserve"> biogāzes un potenciāli arī biometāna ražošanai paredzēta būtiska loma aprites ekonomikas veicināšanā un metāna emisiju samazināšanā. </w:t>
      </w:r>
    </w:p>
    <w:p w14:paraId="35A41258" w14:textId="1D5142FB" w:rsidR="00C32B9F" w:rsidRPr="006D431D" w:rsidRDefault="002B39A1">
      <w:pPr>
        <w:pStyle w:val="tvhtml"/>
        <w:shd w:val="clear" w:color="auto" w:fill="FFFFFF"/>
        <w:spacing w:before="280" w:after="280" w:line="293" w:lineRule="atLeast"/>
        <w:ind w:firstLine="300"/>
        <w:jc w:val="both"/>
      </w:pPr>
      <w:proofErr w:type="spellStart"/>
      <w:r w:rsidRPr="006D431D">
        <w:t>Nereciklējamas</w:t>
      </w:r>
      <w:proofErr w:type="spellEnd"/>
      <w:r w:rsidRPr="006D431D">
        <w:t xml:space="preserve"> cilvēka </w:t>
      </w:r>
      <w:proofErr w:type="spellStart"/>
      <w:r w:rsidRPr="006D431D">
        <w:t>izvadproduktu</w:t>
      </w:r>
      <w:proofErr w:type="spellEnd"/>
      <w:r w:rsidRPr="006D431D">
        <w:t xml:space="preserve"> un lauksaimniecības atkritumu (t. i., kūtsmēslu) un atlikumu plūsmas var izmantot </w:t>
      </w:r>
      <w:proofErr w:type="spellStart"/>
      <w:r w:rsidRPr="006D431D">
        <w:t>anaerobiskajos</w:t>
      </w:r>
      <w:proofErr w:type="spellEnd"/>
      <w:r w:rsidRPr="006D431D">
        <w:t xml:space="preserve"> </w:t>
      </w:r>
      <w:proofErr w:type="spellStart"/>
      <w:r w:rsidRPr="006D431D">
        <w:t>digesteros</w:t>
      </w:r>
      <w:proofErr w:type="spellEnd"/>
      <w:r w:rsidRPr="006D431D">
        <w:t xml:space="preserve"> biogāzes ražošanai vai </w:t>
      </w:r>
      <w:proofErr w:type="spellStart"/>
      <w:r w:rsidRPr="006D431D">
        <w:t>biorafinētavās</w:t>
      </w:r>
      <w:proofErr w:type="spellEnd"/>
      <w:r w:rsidRPr="006D431D">
        <w:t xml:space="preserve"> </w:t>
      </w:r>
      <w:proofErr w:type="spellStart"/>
      <w:r w:rsidRPr="006D431D">
        <w:t>biomateriālu</w:t>
      </w:r>
      <w:proofErr w:type="spellEnd"/>
      <w:r w:rsidRPr="006D431D">
        <w:t xml:space="preserve"> un </w:t>
      </w:r>
      <w:proofErr w:type="spellStart"/>
      <w:r w:rsidRPr="006D431D">
        <w:t>bioķimikāliju</w:t>
      </w:r>
      <w:proofErr w:type="spellEnd"/>
      <w:r w:rsidRPr="006D431D">
        <w:t xml:space="preserve"> starpproduktu ražošanai. Ja šādus izejmateriālus izmanto biogāzes ražošanai, tie var ievērojami palīdzēt samazināt metāna emisijas no </w:t>
      </w:r>
      <w:proofErr w:type="spellStart"/>
      <w:r w:rsidRPr="006D431D">
        <w:t>anaerobiskajiem</w:t>
      </w:r>
      <w:proofErr w:type="spellEnd"/>
      <w:r w:rsidRPr="006D431D">
        <w:t xml:space="preserve"> sadalīšanās procesiem, kas notiek dabā. Turklāt biogāzes ražošana var nodrošināt papildu ieņēmumu plūsmas lauksaimniekiem un pavērt attīstības un investīciju iespējas lauku apvidos. Tālab katrā ziņā jāsadarbojas ar lauksaimniekiem un vietējām kopienām (un tiem jāsadarbojas savā starpā), izmantojot izdevības uzlabot vietējo ekonomiku un sekmēt aprit</w:t>
      </w:r>
      <w:r w:rsidR="008340B7" w:rsidRPr="006D431D">
        <w:t>i</w:t>
      </w:r>
      <w:r w:rsidR="005F57F6" w:rsidRPr="006D431D">
        <w:t>.</w:t>
      </w:r>
      <w:r w:rsidRPr="006D431D">
        <w:t xml:space="preserve"> Šī pieeja</w:t>
      </w:r>
      <w:r w:rsidR="005F57F6" w:rsidRPr="006D431D">
        <w:t>,</w:t>
      </w:r>
      <w:r w:rsidRPr="006D431D">
        <w:t xml:space="preserve"> nolūkā pavērt jaunas </w:t>
      </w:r>
      <w:r w:rsidRPr="006D431D">
        <w:lastRenderedPageBreak/>
        <w:t>iespējas lauku apvidiem</w:t>
      </w:r>
      <w:r w:rsidR="005F57F6" w:rsidRPr="006D431D">
        <w:t>,</w:t>
      </w:r>
      <w:r w:rsidRPr="006D431D">
        <w:t xml:space="preserve"> tiks iekļauta arī ilgtermiņa redzējumā par lauku apvidiem, ar ko Komisija nāks klajā 2021. gadā. Ūdenssaimniecības sektorā ir potenciāls būtiski palielināt biogāzes un attiecīgi arī biometāna ražošanu, un Latvijas Ūdensapgādes un kanalizācijas uzņēmumu asociācija šobrīd strādā pie detalizētākiem plāniem.</w:t>
      </w:r>
    </w:p>
    <w:p w14:paraId="7A954617" w14:textId="3B742DB0" w:rsidR="00C32B9F" w:rsidRDefault="002B39A1" w:rsidP="005F53CE">
      <w:pPr>
        <w:pStyle w:val="Heading2"/>
        <w:ind w:firstLine="300"/>
        <w:rPr>
          <w:rFonts w:ascii="Times New Roman" w:hAnsi="Times New Roman" w:cs="Times New Roman"/>
          <w:color w:val="auto"/>
          <w:sz w:val="24"/>
          <w:szCs w:val="24"/>
        </w:rPr>
      </w:pPr>
      <w:bookmarkStart w:id="10" w:name="_Toc101605178"/>
      <w:r w:rsidRPr="006D431D">
        <w:rPr>
          <w:rFonts w:ascii="Times New Roman" w:hAnsi="Times New Roman" w:cs="Times New Roman"/>
          <w:color w:val="auto"/>
          <w:sz w:val="24"/>
          <w:szCs w:val="24"/>
        </w:rPr>
        <w:t>2.7. Biogāze lauksaimniecības sektorā</w:t>
      </w:r>
      <w:bookmarkEnd w:id="10"/>
      <w:r w:rsidRPr="006D431D">
        <w:rPr>
          <w:rFonts w:ascii="Times New Roman" w:hAnsi="Times New Roman" w:cs="Times New Roman"/>
          <w:color w:val="auto"/>
          <w:sz w:val="24"/>
          <w:szCs w:val="24"/>
        </w:rPr>
        <w:t xml:space="preserve"> </w:t>
      </w:r>
    </w:p>
    <w:p w14:paraId="73098F8D" w14:textId="77777777" w:rsidR="005F53CE" w:rsidRPr="005F53CE" w:rsidRDefault="005F53CE" w:rsidP="005F53CE"/>
    <w:p w14:paraId="4BAEC97B" w14:textId="4A16025B" w:rsidR="00C32B9F" w:rsidRPr="006D431D" w:rsidRDefault="002B39A1" w:rsidP="005F53CE">
      <w:pPr>
        <w:ind w:firstLine="300"/>
        <w:jc w:val="both"/>
        <w:rPr>
          <w:rFonts w:ascii="Times New Roman" w:hAnsi="Times New Roman" w:cs="Times New Roman"/>
          <w:sz w:val="24"/>
          <w:szCs w:val="24"/>
        </w:rPr>
      </w:pPr>
      <w:r w:rsidRPr="006D431D">
        <w:rPr>
          <w:rFonts w:ascii="Times New Roman" w:hAnsi="Times New Roman" w:cs="Times New Roman"/>
          <w:sz w:val="24"/>
          <w:szCs w:val="24"/>
        </w:rPr>
        <w:t>Latvijas biogāzes asociācijas (</w:t>
      </w:r>
      <w:r w:rsidR="00376FB3" w:rsidRPr="006D431D">
        <w:rPr>
          <w:rFonts w:ascii="Times New Roman" w:hAnsi="Times New Roman" w:cs="Times New Roman"/>
          <w:sz w:val="24"/>
          <w:szCs w:val="24"/>
        </w:rPr>
        <w:t>4</w:t>
      </w:r>
      <w:r w:rsidRPr="006D431D">
        <w:rPr>
          <w:rFonts w:ascii="Times New Roman" w:hAnsi="Times New Roman" w:cs="Times New Roman"/>
          <w:sz w:val="24"/>
          <w:szCs w:val="24"/>
        </w:rPr>
        <w:t xml:space="preserve">. tabula) un Zemkopības ministrijas  sniegtie dati norāda, ka būtiska daļa no šobrīd biogāzi ražojošām iekārtām izmanto kūtsmēslus. </w:t>
      </w:r>
      <w:r w:rsidRPr="006D431D">
        <w:rPr>
          <w:rFonts w:ascii="Times New Roman" w:eastAsia="Times New Roman" w:hAnsi="Times New Roman" w:cs="Times New Roman"/>
          <w:sz w:val="24"/>
          <w:szCs w:val="24"/>
        </w:rPr>
        <w:t>Pašlaik, j</w:t>
      </w:r>
      <w:r w:rsidRPr="006D431D">
        <w:rPr>
          <w:rFonts w:ascii="Times New Roman" w:hAnsi="Times New Roman" w:cs="Times New Roman"/>
          <w:sz w:val="24"/>
          <w:szCs w:val="24"/>
        </w:rPr>
        <w:t>a biometāna ražošanu (</w:t>
      </w:r>
      <w:r w:rsidRPr="006D431D">
        <w:rPr>
          <w:rFonts w:ascii="Times New Roman" w:eastAsia="Times New Roman" w:hAnsi="Times New Roman" w:cs="Times New Roman"/>
          <w:sz w:val="24"/>
          <w:szCs w:val="24"/>
        </w:rPr>
        <w:t>pārejot no elektroenerģijas ražošanas uz biometāna ražošanu</w:t>
      </w:r>
      <w:r w:rsidRPr="006D431D">
        <w:rPr>
          <w:rFonts w:ascii="Times New Roman" w:hAnsi="Times New Roman" w:cs="Times New Roman"/>
          <w:sz w:val="24"/>
          <w:szCs w:val="24"/>
        </w:rPr>
        <w:t xml:space="preserve">) uzsāktu biogāzes stacijas </w:t>
      </w:r>
      <w:r w:rsidRPr="006D431D">
        <w:rPr>
          <w:rFonts w:ascii="Times New Roman" w:eastAsia="Times New Roman" w:hAnsi="Times New Roman" w:cs="Times New Roman"/>
          <w:sz w:val="24"/>
          <w:szCs w:val="24"/>
        </w:rPr>
        <w:t>ar dominējošu lauksaimniecības izejvielu izmantošanu un</w:t>
      </w:r>
      <w:r w:rsidRPr="006D431D">
        <w:rPr>
          <w:rFonts w:ascii="Times New Roman" w:hAnsi="Times New Roman" w:cs="Times New Roman"/>
          <w:sz w:val="24"/>
          <w:szCs w:val="24"/>
        </w:rPr>
        <w:t xml:space="preserve"> to iepriekš uzstādīto elektrisko jaudu</w:t>
      </w:r>
      <w:r w:rsidRPr="006D431D">
        <w:rPr>
          <w:rFonts w:ascii="Times New Roman" w:eastAsia="Times New Roman" w:hAnsi="Times New Roman" w:cs="Times New Roman"/>
          <w:sz w:val="24"/>
          <w:szCs w:val="24"/>
        </w:rPr>
        <w:t xml:space="preserve">, aprēķināts, ka stacijas varētu saražot – 300 000 </w:t>
      </w:r>
      <w:proofErr w:type="spellStart"/>
      <w:r w:rsidRPr="006D431D">
        <w:rPr>
          <w:rFonts w:ascii="Times New Roman" w:eastAsia="Times New Roman" w:hAnsi="Times New Roman" w:cs="Times New Roman"/>
          <w:sz w:val="24"/>
          <w:szCs w:val="24"/>
        </w:rPr>
        <w:t>MWh</w:t>
      </w:r>
      <w:proofErr w:type="spellEnd"/>
      <w:r w:rsidRPr="006D431D">
        <w:rPr>
          <w:rFonts w:ascii="Times New Roman" w:eastAsia="Times New Roman" w:hAnsi="Times New Roman" w:cs="Times New Roman"/>
          <w:sz w:val="24"/>
          <w:szCs w:val="24"/>
        </w:rPr>
        <w:t xml:space="preserve"> biometāna.</w:t>
      </w:r>
      <w:r w:rsidRPr="006D431D">
        <w:rPr>
          <w:rFonts w:ascii="Times New Roman" w:hAnsi="Times New Roman" w:cs="Times New Roman"/>
          <w:sz w:val="24"/>
          <w:szCs w:val="24"/>
        </w:rPr>
        <w:t xml:space="preserve"> </w:t>
      </w:r>
    </w:p>
    <w:p w14:paraId="0B744788" w14:textId="77777777" w:rsidR="00C32B9F" w:rsidRPr="006D431D" w:rsidRDefault="00C32B9F">
      <w:pPr>
        <w:jc w:val="both"/>
        <w:rPr>
          <w:rFonts w:ascii="Times New Roman" w:hAnsi="Times New Roman" w:cs="Times New Roman"/>
          <w:sz w:val="24"/>
          <w:szCs w:val="24"/>
        </w:rPr>
      </w:pPr>
    </w:p>
    <w:p w14:paraId="06E8E9B4" w14:textId="518368C8" w:rsidR="00C32B9F" w:rsidRPr="006D431D" w:rsidRDefault="005A03D2">
      <w:pPr>
        <w:jc w:val="right"/>
        <w:rPr>
          <w:rFonts w:ascii="Times New Roman" w:hAnsi="Times New Roman" w:cs="Times New Roman"/>
          <w:sz w:val="24"/>
          <w:szCs w:val="24"/>
        </w:rPr>
      </w:pPr>
      <w:r w:rsidRPr="006D431D">
        <w:rPr>
          <w:rFonts w:ascii="Times New Roman" w:hAnsi="Times New Roman" w:cs="Times New Roman"/>
          <w:b/>
          <w:bCs/>
          <w:sz w:val="24"/>
          <w:szCs w:val="24"/>
        </w:rPr>
        <w:t>4</w:t>
      </w:r>
      <w:r w:rsidR="002B39A1" w:rsidRPr="006D431D">
        <w:rPr>
          <w:rFonts w:ascii="Times New Roman" w:hAnsi="Times New Roman" w:cs="Times New Roman"/>
          <w:b/>
          <w:bCs/>
          <w:sz w:val="24"/>
          <w:szCs w:val="24"/>
        </w:rPr>
        <w:t>. tabula. Dažādu izejvielu īpatsvars biogāzes ražošanā  (avots LBA dati)</w:t>
      </w:r>
    </w:p>
    <w:tbl>
      <w:tblPr>
        <w:tblW w:w="4615" w:type="dxa"/>
        <w:tblInd w:w="1691" w:type="dxa"/>
        <w:tblLayout w:type="fixed"/>
        <w:tblLook w:val="04A0" w:firstRow="1" w:lastRow="0" w:firstColumn="1" w:lastColumn="0" w:noHBand="0" w:noVBand="1"/>
      </w:tblPr>
      <w:tblGrid>
        <w:gridCol w:w="2683"/>
        <w:gridCol w:w="1056"/>
        <w:gridCol w:w="876"/>
      </w:tblGrid>
      <w:tr w:rsidR="00A618CA" w:rsidRPr="006D431D" w14:paraId="7815398A" w14:textId="77777777">
        <w:trPr>
          <w:trHeight w:val="870"/>
        </w:trPr>
        <w:tc>
          <w:tcPr>
            <w:tcW w:w="26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05A41D5" w14:textId="77777777" w:rsidR="00C32B9F" w:rsidRPr="006D431D" w:rsidRDefault="002B39A1">
            <w:pPr>
              <w:widowControl w:val="0"/>
              <w:spacing w:after="0" w:line="240" w:lineRule="auto"/>
              <w:ind w:left="840" w:hanging="840"/>
              <w:jc w:val="center"/>
              <w:rPr>
                <w:rFonts w:ascii="Times New Roman" w:eastAsia="Times New Roman" w:hAnsi="Times New Roman" w:cs="Times New Roman"/>
                <w:sz w:val="24"/>
                <w:szCs w:val="24"/>
              </w:rPr>
            </w:pPr>
            <w:r w:rsidRPr="006D431D">
              <w:rPr>
                <w:rFonts w:ascii="Times New Roman" w:eastAsia="Times New Roman" w:hAnsi="Times New Roman" w:cs="Times New Roman"/>
                <w:sz w:val="24"/>
                <w:szCs w:val="24"/>
              </w:rPr>
              <w:t> </w:t>
            </w:r>
          </w:p>
        </w:tc>
        <w:tc>
          <w:tcPr>
            <w:tcW w:w="1056" w:type="dxa"/>
            <w:tcBorders>
              <w:top w:val="single" w:sz="4" w:space="0" w:color="000000"/>
              <w:bottom w:val="single" w:sz="4" w:space="0" w:color="000000"/>
              <w:right w:val="single" w:sz="4" w:space="0" w:color="000000"/>
            </w:tcBorders>
            <w:shd w:val="clear" w:color="auto" w:fill="auto"/>
            <w:vAlign w:val="bottom"/>
          </w:tcPr>
          <w:p w14:paraId="119C5F00" w14:textId="77777777" w:rsidR="00C32B9F" w:rsidRPr="006D431D" w:rsidRDefault="002B39A1">
            <w:pPr>
              <w:widowControl w:val="0"/>
              <w:spacing w:after="0" w:line="240" w:lineRule="auto"/>
              <w:ind w:left="840" w:hanging="840"/>
              <w:jc w:val="center"/>
              <w:rPr>
                <w:rFonts w:ascii="Times New Roman" w:eastAsia="Times New Roman" w:hAnsi="Times New Roman" w:cs="Times New Roman"/>
                <w:b/>
                <w:bCs/>
                <w:sz w:val="24"/>
                <w:szCs w:val="24"/>
              </w:rPr>
            </w:pPr>
            <w:r w:rsidRPr="006D431D">
              <w:rPr>
                <w:rFonts w:ascii="Times New Roman" w:eastAsia="Times New Roman" w:hAnsi="Times New Roman" w:cs="Times New Roman"/>
                <w:b/>
                <w:bCs/>
                <w:sz w:val="24"/>
                <w:szCs w:val="24"/>
              </w:rPr>
              <w:t>tonnas</w:t>
            </w:r>
          </w:p>
        </w:tc>
        <w:tc>
          <w:tcPr>
            <w:tcW w:w="876" w:type="dxa"/>
            <w:tcBorders>
              <w:top w:val="single" w:sz="4" w:space="0" w:color="000000"/>
              <w:bottom w:val="single" w:sz="4" w:space="0" w:color="000000"/>
              <w:right w:val="single" w:sz="4" w:space="0" w:color="000000"/>
            </w:tcBorders>
            <w:shd w:val="clear" w:color="auto" w:fill="auto"/>
            <w:vAlign w:val="bottom"/>
          </w:tcPr>
          <w:p w14:paraId="36F53594" w14:textId="77777777" w:rsidR="00C32B9F" w:rsidRPr="006D431D" w:rsidRDefault="002B39A1">
            <w:pPr>
              <w:widowControl w:val="0"/>
              <w:spacing w:after="0" w:line="240" w:lineRule="auto"/>
              <w:ind w:left="840" w:hanging="840"/>
              <w:rPr>
                <w:rFonts w:ascii="Times New Roman" w:eastAsia="Times New Roman" w:hAnsi="Times New Roman" w:cs="Times New Roman"/>
                <w:b/>
                <w:bCs/>
                <w:sz w:val="24"/>
                <w:szCs w:val="24"/>
              </w:rPr>
            </w:pPr>
            <w:r w:rsidRPr="006D431D">
              <w:rPr>
                <w:rFonts w:ascii="Times New Roman" w:eastAsia="Times New Roman" w:hAnsi="Times New Roman" w:cs="Times New Roman"/>
                <w:b/>
                <w:bCs/>
                <w:sz w:val="24"/>
                <w:szCs w:val="24"/>
              </w:rPr>
              <w:t xml:space="preserve">% </w:t>
            </w:r>
          </w:p>
        </w:tc>
      </w:tr>
      <w:tr w:rsidR="00A618CA" w:rsidRPr="006D431D" w14:paraId="5CC842F6" w14:textId="77777777">
        <w:trPr>
          <w:trHeight w:val="380"/>
        </w:trPr>
        <w:tc>
          <w:tcPr>
            <w:tcW w:w="26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14D6DF9" w14:textId="77777777" w:rsidR="00C32B9F" w:rsidRPr="006D431D" w:rsidRDefault="002B39A1">
            <w:pPr>
              <w:widowControl w:val="0"/>
              <w:spacing w:after="0" w:line="240" w:lineRule="auto"/>
              <w:ind w:left="840" w:hanging="840"/>
              <w:jc w:val="center"/>
              <w:rPr>
                <w:rFonts w:ascii="Times New Roman" w:eastAsia="Times New Roman" w:hAnsi="Times New Roman" w:cs="Times New Roman"/>
                <w:sz w:val="24"/>
                <w:szCs w:val="24"/>
              </w:rPr>
            </w:pPr>
            <w:r w:rsidRPr="006D431D">
              <w:rPr>
                <w:rFonts w:ascii="Times New Roman" w:eastAsia="Times New Roman" w:hAnsi="Times New Roman" w:cs="Times New Roman"/>
                <w:sz w:val="24"/>
                <w:szCs w:val="24"/>
              </w:rPr>
              <w:t>Kūtsmēsli kopā</w:t>
            </w:r>
          </w:p>
        </w:tc>
        <w:tc>
          <w:tcPr>
            <w:tcW w:w="1056" w:type="dxa"/>
            <w:tcBorders>
              <w:bottom w:val="single" w:sz="4" w:space="0" w:color="000000"/>
              <w:right w:val="single" w:sz="4" w:space="0" w:color="000000"/>
            </w:tcBorders>
            <w:shd w:val="clear" w:color="auto" w:fill="auto"/>
            <w:vAlign w:val="bottom"/>
          </w:tcPr>
          <w:p w14:paraId="7280D99F" w14:textId="77777777" w:rsidR="00C32B9F" w:rsidRPr="006D431D" w:rsidRDefault="002B39A1">
            <w:pPr>
              <w:widowControl w:val="0"/>
              <w:spacing w:after="0" w:line="240" w:lineRule="auto"/>
              <w:ind w:left="840" w:hanging="840"/>
              <w:jc w:val="center"/>
              <w:rPr>
                <w:rFonts w:ascii="Times New Roman" w:eastAsia="Times New Roman" w:hAnsi="Times New Roman" w:cs="Times New Roman"/>
                <w:sz w:val="24"/>
                <w:szCs w:val="24"/>
              </w:rPr>
            </w:pPr>
            <w:r w:rsidRPr="006D431D">
              <w:rPr>
                <w:rFonts w:ascii="Times New Roman" w:eastAsia="Times New Roman" w:hAnsi="Times New Roman" w:cs="Times New Roman"/>
                <w:sz w:val="24"/>
                <w:szCs w:val="24"/>
              </w:rPr>
              <w:t>1084515</w:t>
            </w:r>
          </w:p>
        </w:tc>
        <w:tc>
          <w:tcPr>
            <w:tcW w:w="876" w:type="dxa"/>
            <w:tcBorders>
              <w:bottom w:val="single" w:sz="4" w:space="0" w:color="000000"/>
              <w:right w:val="single" w:sz="4" w:space="0" w:color="000000"/>
            </w:tcBorders>
            <w:shd w:val="clear" w:color="auto" w:fill="auto"/>
            <w:vAlign w:val="bottom"/>
          </w:tcPr>
          <w:p w14:paraId="5429A5BE" w14:textId="77777777" w:rsidR="00C32B9F" w:rsidRPr="006D431D" w:rsidRDefault="002B39A1">
            <w:pPr>
              <w:widowControl w:val="0"/>
              <w:spacing w:after="0" w:line="240" w:lineRule="auto"/>
              <w:ind w:left="840" w:hanging="840"/>
              <w:jc w:val="right"/>
              <w:rPr>
                <w:rFonts w:ascii="Times New Roman" w:eastAsia="Times New Roman" w:hAnsi="Times New Roman" w:cs="Times New Roman"/>
                <w:sz w:val="24"/>
                <w:szCs w:val="24"/>
              </w:rPr>
            </w:pPr>
            <w:r w:rsidRPr="006D431D">
              <w:rPr>
                <w:rFonts w:ascii="Times New Roman" w:eastAsia="Times New Roman" w:hAnsi="Times New Roman" w:cs="Times New Roman"/>
                <w:sz w:val="24"/>
                <w:szCs w:val="24"/>
              </w:rPr>
              <w:t>57,69</w:t>
            </w:r>
          </w:p>
        </w:tc>
      </w:tr>
      <w:tr w:rsidR="00A618CA" w:rsidRPr="006D431D" w14:paraId="45B788B2" w14:textId="77777777">
        <w:trPr>
          <w:trHeight w:val="540"/>
        </w:trPr>
        <w:tc>
          <w:tcPr>
            <w:tcW w:w="26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BDC883" w14:textId="77777777" w:rsidR="00C32B9F" w:rsidRPr="006D431D" w:rsidRDefault="002B39A1">
            <w:pPr>
              <w:widowControl w:val="0"/>
              <w:spacing w:after="0" w:line="240" w:lineRule="auto"/>
              <w:ind w:left="840" w:hanging="840"/>
              <w:jc w:val="center"/>
              <w:rPr>
                <w:rFonts w:ascii="Times New Roman" w:eastAsia="Times New Roman" w:hAnsi="Times New Roman" w:cs="Times New Roman"/>
                <w:sz w:val="24"/>
                <w:szCs w:val="24"/>
              </w:rPr>
            </w:pPr>
            <w:r w:rsidRPr="006D431D">
              <w:rPr>
                <w:rFonts w:ascii="Times New Roman" w:eastAsia="Times New Roman" w:hAnsi="Times New Roman" w:cs="Times New Roman"/>
                <w:sz w:val="24"/>
                <w:szCs w:val="24"/>
              </w:rPr>
              <w:t>Lauksaimniecības atkritumprodukti</w:t>
            </w:r>
          </w:p>
        </w:tc>
        <w:tc>
          <w:tcPr>
            <w:tcW w:w="1056" w:type="dxa"/>
            <w:tcBorders>
              <w:bottom w:val="single" w:sz="4" w:space="0" w:color="000000"/>
              <w:right w:val="single" w:sz="4" w:space="0" w:color="000000"/>
            </w:tcBorders>
            <w:shd w:val="clear" w:color="auto" w:fill="auto"/>
            <w:vAlign w:val="bottom"/>
          </w:tcPr>
          <w:p w14:paraId="50C207B4" w14:textId="77777777" w:rsidR="00C32B9F" w:rsidRPr="006D431D" w:rsidRDefault="002B39A1">
            <w:pPr>
              <w:widowControl w:val="0"/>
              <w:spacing w:after="0" w:line="240" w:lineRule="auto"/>
              <w:ind w:left="840" w:hanging="840"/>
              <w:jc w:val="center"/>
              <w:rPr>
                <w:rFonts w:ascii="Times New Roman" w:eastAsia="Times New Roman" w:hAnsi="Times New Roman" w:cs="Times New Roman"/>
                <w:sz w:val="24"/>
                <w:szCs w:val="24"/>
              </w:rPr>
            </w:pPr>
            <w:r w:rsidRPr="006D431D">
              <w:rPr>
                <w:rFonts w:ascii="Times New Roman" w:eastAsia="Times New Roman" w:hAnsi="Times New Roman" w:cs="Times New Roman"/>
                <w:sz w:val="24"/>
                <w:szCs w:val="24"/>
              </w:rPr>
              <w:t>91285</w:t>
            </w:r>
          </w:p>
        </w:tc>
        <w:tc>
          <w:tcPr>
            <w:tcW w:w="876" w:type="dxa"/>
            <w:tcBorders>
              <w:bottom w:val="single" w:sz="4" w:space="0" w:color="000000"/>
              <w:right w:val="single" w:sz="4" w:space="0" w:color="000000"/>
            </w:tcBorders>
            <w:shd w:val="clear" w:color="auto" w:fill="auto"/>
            <w:vAlign w:val="bottom"/>
          </w:tcPr>
          <w:p w14:paraId="3EAE747C" w14:textId="77777777" w:rsidR="00C32B9F" w:rsidRPr="006D431D" w:rsidRDefault="002B39A1">
            <w:pPr>
              <w:widowControl w:val="0"/>
              <w:spacing w:after="0" w:line="240" w:lineRule="auto"/>
              <w:ind w:left="840" w:hanging="840"/>
              <w:jc w:val="right"/>
              <w:rPr>
                <w:rFonts w:ascii="Times New Roman" w:eastAsia="Times New Roman" w:hAnsi="Times New Roman" w:cs="Times New Roman"/>
                <w:sz w:val="24"/>
                <w:szCs w:val="24"/>
              </w:rPr>
            </w:pPr>
            <w:r w:rsidRPr="006D431D">
              <w:rPr>
                <w:rFonts w:ascii="Times New Roman" w:eastAsia="Times New Roman" w:hAnsi="Times New Roman" w:cs="Times New Roman"/>
                <w:sz w:val="24"/>
                <w:szCs w:val="24"/>
              </w:rPr>
              <w:t>4,86</w:t>
            </w:r>
          </w:p>
        </w:tc>
      </w:tr>
      <w:tr w:rsidR="00A618CA" w:rsidRPr="006D431D" w14:paraId="77BA24D6" w14:textId="77777777">
        <w:trPr>
          <w:trHeight w:val="500"/>
        </w:trPr>
        <w:tc>
          <w:tcPr>
            <w:tcW w:w="26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D03F1BA" w14:textId="77777777" w:rsidR="00C32B9F" w:rsidRPr="006D431D" w:rsidRDefault="002B39A1">
            <w:pPr>
              <w:widowControl w:val="0"/>
              <w:spacing w:after="0" w:line="240" w:lineRule="auto"/>
              <w:ind w:left="840" w:hanging="840"/>
              <w:jc w:val="center"/>
              <w:rPr>
                <w:rFonts w:ascii="Times New Roman" w:eastAsia="Times New Roman" w:hAnsi="Times New Roman" w:cs="Times New Roman"/>
                <w:sz w:val="24"/>
                <w:szCs w:val="24"/>
              </w:rPr>
            </w:pPr>
            <w:r w:rsidRPr="006D431D">
              <w:rPr>
                <w:rFonts w:ascii="Times New Roman" w:eastAsia="Times New Roman" w:hAnsi="Times New Roman" w:cs="Times New Roman"/>
                <w:sz w:val="24"/>
                <w:szCs w:val="24"/>
              </w:rPr>
              <w:t>Pārtikas atkritumi</w:t>
            </w:r>
          </w:p>
        </w:tc>
        <w:tc>
          <w:tcPr>
            <w:tcW w:w="1056" w:type="dxa"/>
            <w:tcBorders>
              <w:bottom w:val="single" w:sz="4" w:space="0" w:color="000000"/>
              <w:right w:val="single" w:sz="4" w:space="0" w:color="000000"/>
            </w:tcBorders>
            <w:shd w:val="clear" w:color="auto" w:fill="auto"/>
            <w:vAlign w:val="bottom"/>
          </w:tcPr>
          <w:p w14:paraId="0B5D36FA" w14:textId="77777777" w:rsidR="00C32B9F" w:rsidRPr="006D431D" w:rsidRDefault="002B39A1">
            <w:pPr>
              <w:widowControl w:val="0"/>
              <w:spacing w:after="0" w:line="240" w:lineRule="auto"/>
              <w:ind w:left="840" w:hanging="840"/>
              <w:jc w:val="center"/>
              <w:rPr>
                <w:rFonts w:ascii="Times New Roman" w:eastAsia="Times New Roman" w:hAnsi="Times New Roman" w:cs="Times New Roman"/>
                <w:sz w:val="24"/>
                <w:szCs w:val="24"/>
              </w:rPr>
            </w:pPr>
            <w:r w:rsidRPr="006D431D">
              <w:rPr>
                <w:rFonts w:ascii="Times New Roman" w:eastAsia="Times New Roman" w:hAnsi="Times New Roman" w:cs="Times New Roman"/>
                <w:sz w:val="24"/>
                <w:szCs w:val="24"/>
              </w:rPr>
              <w:t>313025</w:t>
            </w:r>
          </w:p>
        </w:tc>
        <w:tc>
          <w:tcPr>
            <w:tcW w:w="876" w:type="dxa"/>
            <w:tcBorders>
              <w:bottom w:val="single" w:sz="4" w:space="0" w:color="000000"/>
              <w:right w:val="single" w:sz="4" w:space="0" w:color="000000"/>
            </w:tcBorders>
            <w:shd w:val="clear" w:color="auto" w:fill="auto"/>
            <w:vAlign w:val="bottom"/>
          </w:tcPr>
          <w:p w14:paraId="1212D676" w14:textId="77777777" w:rsidR="00C32B9F" w:rsidRPr="006D431D" w:rsidRDefault="002B39A1">
            <w:pPr>
              <w:widowControl w:val="0"/>
              <w:spacing w:after="0" w:line="240" w:lineRule="auto"/>
              <w:ind w:left="840" w:hanging="840"/>
              <w:jc w:val="right"/>
              <w:rPr>
                <w:rFonts w:ascii="Times New Roman" w:eastAsia="Times New Roman" w:hAnsi="Times New Roman" w:cs="Times New Roman"/>
                <w:sz w:val="24"/>
                <w:szCs w:val="24"/>
              </w:rPr>
            </w:pPr>
            <w:r w:rsidRPr="006D431D">
              <w:rPr>
                <w:rFonts w:ascii="Times New Roman" w:eastAsia="Times New Roman" w:hAnsi="Times New Roman" w:cs="Times New Roman"/>
                <w:sz w:val="24"/>
                <w:szCs w:val="24"/>
              </w:rPr>
              <w:t>16,65</w:t>
            </w:r>
          </w:p>
        </w:tc>
      </w:tr>
      <w:tr w:rsidR="00A618CA" w:rsidRPr="006D431D" w14:paraId="238B6C9D" w14:textId="77777777">
        <w:trPr>
          <w:trHeight w:val="370"/>
        </w:trPr>
        <w:tc>
          <w:tcPr>
            <w:tcW w:w="26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B2419E2" w14:textId="77777777" w:rsidR="00C32B9F" w:rsidRPr="006D431D" w:rsidRDefault="002B39A1">
            <w:pPr>
              <w:widowControl w:val="0"/>
              <w:spacing w:after="0" w:line="240" w:lineRule="auto"/>
              <w:ind w:left="840" w:hanging="840"/>
              <w:jc w:val="center"/>
              <w:rPr>
                <w:rFonts w:ascii="Times New Roman" w:eastAsia="Times New Roman" w:hAnsi="Times New Roman" w:cs="Times New Roman"/>
                <w:sz w:val="24"/>
                <w:szCs w:val="24"/>
              </w:rPr>
            </w:pPr>
            <w:r w:rsidRPr="006D431D">
              <w:rPr>
                <w:rFonts w:ascii="Times New Roman" w:eastAsia="Times New Roman" w:hAnsi="Times New Roman" w:cs="Times New Roman"/>
                <w:sz w:val="24"/>
                <w:szCs w:val="24"/>
              </w:rPr>
              <w:t>Zaļā masa</w:t>
            </w:r>
          </w:p>
        </w:tc>
        <w:tc>
          <w:tcPr>
            <w:tcW w:w="1056" w:type="dxa"/>
            <w:tcBorders>
              <w:bottom w:val="single" w:sz="4" w:space="0" w:color="000000"/>
              <w:right w:val="single" w:sz="4" w:space="0" w:color="000000"/>
            </w:tcBorders>
            <w:shd w:val="clear" w:color="auto" w:fill="auto"/>
            <w:vAlign w:val="bottom"/>
          </w:tcPr>
          <w:p w14:paraId="7301BB8E" w14:textId="77777777" w:rsidR="00C32B9F" w:rsidRPr="006D431D" w:rsidRDefault="002B39A1">
            <w:pPr>
              <w:widowControl w:val="0"/>
              <w:spacing w:after="0" w:line="240" w:lineRule="auto"/>
              <w:ind w:left="840" w:hanging="840"/>
              <w:jc w:val="center"/>
              <w:rPr>
                <w:rFonts w:ascii="Times New Roman" w:eastAsia="Times New Roman" w:hAnsi="Times New Roman" w:cs="Times New Roman"/>
                <w:sz w:val="24"/>
                <w:szCs w:val="24"/>
              </w:rPr>
            </w:pPr>
            <w:r w:rsidRPr="006D431D">
              <w:rPr>
                <w:rFonts w:ascii="Times New Roman" w:eastAsia="Times New Roman" w:hAnsi="Times New Roman" w:cs="Times New Roman"/>
                <w:sz w:val="24"/>
                <w:szCs w:val="24"/>
              </w:rPr>
              <w:t>319980</w:t>
            </w:r>
          </w:p>
        </w:tc>
        <w:tc>
          <w:tcPr>
            <w:tcW w:w="876" w:type="dxa"/>
            <w:tcBorders>
              <w:bottom w:val="single" w:sz="4" w:space="0" w:color="000000"/>
              <w:right w:val="single" w:sz="4" w:space="0" w:color="000000"/>
            </w:tcBorders>
            <w:shd w:val="clear" w:color="auto" w:fill="auto"/>
            <w:vAlign w:val="bottom"/>
          </w:tcPr>
          <w:p w14:paraId="2485293A" w14:textId="77777777" w:rsidR="00C32B9F" w:rsidRPr="006D431D" w:rsidRDefault="002B39A1">
            <w:pPr>
              <w:widowControl w:val="0"/>
              <w:spacing w:after="0" w:line="240" w:lineRule="auto"/>
              <w:ind w:left="840" w:hanging="840"/>
              <w:jc w:val="right"/>
              <w:rPr>
                <w:rFonts w:ascii="Times New Roman" w:eastAsia="Times New Roman" w:hAnsi="Times New Roman" w:cs="Times New Roman"/>
                <w:sz w:val="24"/>
                <w:szCs w:val="24"/>
              </w:rPr>
            </w:pPr>
            <w:r w:rsidRPr="006D431D">
              <w:rPr>
                <w:rFonts w:ascii="Times New Roman" w:eastAsia="Times New Roman" w:hAnsi="Times New Roman" w:cs="Times New Roman"/>
                <w:sz w:val="24"/>
                <w:szCs w:val="24"/>
              </w:rPr>
              <w:t>17,02</w:t>
            </w:r>
          </w:p>
        </w:tc>
      </w:tr>
      <w:tr w:rsidR="00A618CA" w:rsidRPr="006D431D" w14:paraId="652C66AF" w14:textId="77777777">
        <w:trPr>
          <w:trHeight w:val="300"/>
        </w:trPr>
        <w:tc>
          <w:tcPr>
            <w:tcW w:w="26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6D29502" w14:textId="77777777" w:rsidR="00C32B9F" w:rsidRPr="006D431D" w:rsidRDefault="002B39A1">
            <w:pPr>
              <w:widowControl w:val="0"/>
              <w:spacing w:after="0" w:line="240" w:lineRule="auto"/>
              <w:ind w:left="840" w:hanging="840"/>
              <w:jc w:val="center"/>
              <w:rPr>
                <w:rFonts w:ascii="Times New Roman" w:eastAsia="Times New Roman" w:hAnsi="Times New Roman" w:cs="Times New Roman"/>
                <w:sz w:val="24"/>
                <w:szCs w:val="24"/>
              </w:rPr>
            </w:pPr>
            <w:r w:rsidRPr="006D431D">
              <w:rPr>
                <w:rFonts w:ascii="Times New Roman" w:eastAsia="Times New Roman" w:hAnsi="Times New Roman" w:cs="Times New Roman"/>
                <w:sz w:val="24"/>
                <w:szCs w:val="24"/>
              </w:rPr>
              <w:t>Cits</w:t>
            </w:r>
          </w:p>
        </w:tc>
        <w:tc>
          <w:tcPr>
            <w:tcW w:w="1056" w:type="dxa"/>
            <w:tcBorders>
              <w:bottom w:val="single" w:sz="4" w:space="0" w:color="000000"/>
              <w:right w:val="single" w:sz="4" w:space="0" w:color="000000"/>
            </w:tcBorders>
            <w:shd w:val="clear" w:color="auto" w:fill="auto"/>
            <w:vAlign w:val="bottom"/>
          </w:tcPr>
          <w:p w14:paraId="47AB3CA0" w14:textId="77777777" w:rsidR="00C32B9F" w:rsidRPr="006D431D" w:rsidRDefault="002B39A1">
            <w:pPr>
              <w:widowControl w:val="0"/>
              <w:spacing w:after="0" w:line="240" w:lineRule="auto"/>
              <w:ind w:left="840" w:hanging="840"/>
              <w:jc w:val="center"/>
              <w:rPr>
                <w:rFonts w:ascii="Times New Roman" w:eastAsia="Times New Roman" w:hAnsi="Times New Roman" w:cs="Times New Roman"/>
                <w:sz w:val="24"/>
                <w:szCs w:val="24"/>
              </w:rPr>
            </w:pPr>
            <w:r w:rsidRPr="006D431D">
              <w:rPr>
                <w:rFonts w:ascii="Times New Roman" w:eastAsia="Times New Roman" w:hAnsi="Times New Roman" w:cs="Times New Roman"/>
                <w:sz w:val="24"/>
                <w:szCs w:val="24"/>
              </w:rPr>
              <w:t>71078,5</w:t>
            </w:r>
          </w:p>
        </w:tc>
        <w:tc>
          <w:tcPr>
            <w:tcW w:w="876" w:type="dxa"/>
            <w:tcBorders>
              <w:bottom w:val="single" w:sz="4" w:space="0" w:color="000000"/>
              <w:right w:val="single" w:sz="4" w:space="0" w:color="000000"/>
            </w:tcBorders>
            <w:shd w:val="clear" w:color="auto" w:fill="auto"/>
            <w:vAlign w:val="bottom"/>
          </w:tcPr>
          <w:p w14:paraId="0F41AA3C" w14:textId="77777777" w:rsidR="00C32B9F" w:rsidRPr="006D431D" w:rsidRDefault="002B39A1">
            <w:pPr>
              <w:widowControl w:val="0"/>
              <w:spacing w:after="0" w:line="240" w:lineRule="auto"/>
              <w:ind w:left="840" w:hanging="840"/>
              <w:jc w:val="right"/>
              <w:rPr>
                <w:rFonts w:ascii="Times New Roman" w:eastAsia="Times New Roman" w:hAnsi="Times New Roman" w:cs="Times New Roman"/>
                <w:sz w:val="24"/>
                <w:szCs w:val="24"/>
              </w:rPr>
            </w:pPr>
            <w:r w:rsidRPr="006D431D">
              <w:rPr>
                <w:rFonts w:ascii="Times New Roman" w:eastAsia="Times New Roman" w:hAnsi="Times New Roman" w:cs="Times New Roman"/>
                <w:sz w:val="24"/>
                <w:szCs w:val="24"/>
              </w:rPr>
              <w:t>3,78</w:t>
            </w:r>
          </w:p>
        </w:tc>
      </w:tr>
      <w:tr w:rsidR="00C32B9F" w:rsidRPr="006D431D" w14:paraId="5E351EB9" w14:textId="77777777">
        <w:trPr>
          <w:trHeight w:val="310"/>
        </w:trPr>
        <w:tc>
          <w:tcPr>
            <w:tcW w:w="26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6C2BD3" w14:textId="77777777" w:rsidR="00C32B9F" w:rsidRPr="006D431D" w:rsidRDefault="002B39A1">
            <w:pPr>
              <w:widowControl w:val="0"/>
              <w:spacing w:after="0" w:line="240" w:lineRule="auto"/>
              <w:ind w:left="840" w:hanging="840"/>
              <w:jc w:val="center"/>
              <w:rPr>
                <w:rFonts w:ascii="Times New Roman" w:eastAsia="Times New Roman" w:hAnsi="Times New Roman" w:cs="Times New Roman"/>
                <w:b/>
                <w:bCs/>
                <w:sz w:val="24"/>
                <w:szCs w:val="24"/>
              </w:rPr>
            </w:pPr>
            <w:r w:rsidRPr="006D431D">
              <w:rPr>
                <w:rFonts w:ascii="Times New Roman" w:eastAsia="Times New Roman" w:hAnsi="Times New Roman" w:cs="Times New Roman"/>
                <w:b/>
                <w:bCs/>
                <w:sz w:val="24"/>
                <w:szCs w:val="24"/>
              </w:rPr>
              <w:t>Kopā</w:t>
            </w:r>
          </w:p>
        </w:tc>
        <w:tc>
          <w:tcPr>
            <w:tcW w:w="1056" w:type="dxa"/>
            <w:tcBorders>
              <w:bottom w:val="single" w:sz="4" w:space="0" w:color="000000"/>
              <w:right w:val="single" w:sz="4" w:space="0" w:color="000000"/>
            </w:tcBorders>
            <w:shd w:val="clear" w:color="auto" w:fill="auto"/>
            <w:vAlign w:val="bottom"/>
          </w:tcPr>
          <w:p w14:paraId="17DA3F35" w14:textId="77777777" w:rsidR="00C32B9F" w:rsidRPr="006D431D" w:rsidRDefault="002B39A1">
            <w:pPr>
              <w:widowControl w:val="0"/>
              <w:spacing w:after="0" w:line="240" w:lineRule="auto"/>
              <w:ind w:left="840" w:hanging="840"/>
              <w:jc w:val="center"/>
              <w:rPr>
                <w:rFonts w:ascii="Times New Roman" w:eastAsia="Times New Roman" w:hAnsi="Times New Roman" w:cs="Times New Roman"/>
                <w:b/>
                <w:bCs/>
                <w:sz w:val="24"/>
                <w:szCs w:val="24"/>
              </w:rPr>
            </w:pPr>
            <w:r w:rsidRPr="006D431D">
              <w:rPr>
                <w:rFonts w:ascii="Times New Roman" w:eastAsia="Times New Roman" w:hAnsi="Times New Roman" w:cs="Times New Roman"/>
                <w:b/>
                <w:bCs/>
                <w:sz w:val="24"/>
                <w:szCs w:val="24"/>
              </w:rPr>
              <w:t>1879883</w:t>
            </w:r>
          </w:p>
        </w:tc>
        <w:tc>
          <w:tcPr>
            <w:tcW w:w="876" w:type="dxa"/>
            <w:tcBorders>
              <w:bottom w:val="single" w:sz="4" w:space="0" w:color="000000"/>
              <w:right w:val="single" w:sz="4" w:space="0" w:color="000000"/>
            </w:tcBorders>
            <w:shd w:val="clear" w:color="auto" w:fill="auto"/>
            <w:vAlign w:val="bottom"/>
          </w:tcPr>
          <w:p w14:paraId="2AB789FB" w14:textId="77777777" w:rsidR="00C32B9F" w:rsidRPr="006D431D" w:rsidRDefault="002B39A1">
            <w:pPr>
              <w:widowControl w:val="0"/>
              <w:spacing w:after="0" w:line="240" w:lineRule="auto"/>
              <w:ind w:left="840" w:hanging="840"/>
              <w:jc w:val="right"/>
              <w:rPr>
                <w:rFonts w:ascii="Times New Roman" w:eastAsia="Times New Roman" w:hAnsi="Times New Roman" w:cs="Times New Roman"/>
                <w:b/>
                <w:bCs/>
                <w:sz w:val="24"/>
                <w:szCs w:val="24"/>
              </w:rPr>
            </w:pPr>
            <w:r w:rsidRPr="006D431D">
              <w:rPr>
                <w:rFonts w:ascii="Times New Roman" w:eastAsia="Times New Roman" w:hAnsi="Times New Roman" w:cs="Times New Roman"/>
                <w:b/>
                <w:bCs/>
                <w:sz w:val="24"/>
                <w:szCs w:val="24"/>
              </w:rPr>
              <w:t>100,00</w:t>
            </w:r>
          </w:p>
        </w:tc>
      </w:tr>
    </w:tbl>
    <w:p w14:paraId="36E8966B" w14:textId="77777777" w:rsidR="00C32B9F" w:rsidRPr="006D431D" w:rsidRDefault="00C32B9F">
      <w:pPr>
        <w:jc w:val="both"/>
        <w:rPr>
          <w:rFonts w:ascii="Times New Roman" w:eastAsia="Times New Roman" w:hAnsi="Times New Roman" w:cs="Times New Roman"/>
          <w:sz w:val="24"/>
          <w:szCs w:val="24"/>
        </w:rPr>
      </w:pPr>
    </w:p>
    <w:p w14:paraId="13DF6057" w14:textId="77777777" w:rsidR="00C32B9F" w:rsidRPr="006D431D" w:rsidRDefault="002B39A1" w:rsidP="005F53CE">
      <w:pPr>
        <w:ind w:firstLine="720"/>
        <w:jc w:val="both"/>
        <w:rPr>
          <w:rFonts w:ascii="Times New Roman" w:hAnsi="Times New Roman" w:cs="Times New Roman"/>
          <w:sz w:val="24"/>
          <w:szCs w:val="24"/>
        </w:rPr>
      </w:pPr>
      <w:r w:rsidRPr="006D431D">
        <w:rPr>
          <w:rFonts w:ascii="Times New Roman" w:eastAsia="Times New Roman" w:hAnsi="Times New Roman" w:cs="Times New Roman"/>
          <w:sz w:val="24"/>
          <w:szCs w:val="24"/>
        </w:rPr>
        <w:t>Zemkopības ministrija aptaujājot biogāzes ražotājus norāda, ka šobrīd tikai 5 stacijas būtu gatavas apsvērt domu par biometāna ražošanu. Galvenais biogāzes ražotāju arguments ir neskaidrā situācija – nav skaidri zināmi nosacījumi nākotnei, kādas būs izmaksas par biometāna saspiešanu, kurš būs biometāna noņēmējs. Ir jāveic detalizēti aprēķini un iespējams, ka jāveic padziļināts pētījums, lai saprastu, kāds būs ekonomiskais izdevīgums, piemēram, lai pārietu uz traktortehnikas darbināšanu ar biometānu.  Veikts provizorisks aprēķins - traktortehnikas (patēriņš līdz 60% biometāns un 40% dīzeļdegviela) pārbūves izmaksas – 3 500 </w:t>
      </w:r>
      <w:proofErr w:type="spellStart"/>
      <w:r w:rsidRPr="006D431D">
        <w:rPr>
          <w:rFonts w:ascii="Times New Roman" w:eastAsia="Times New Roman" w:hAnsi="Times New Roman" w:cs="Times New Roman"/>
          <w:i/>
          <w:iCs/>
          <w:sz w:val="24"/>
          <w:szCs w:val="24"/>
        </w:rPr>
        <w:t>euro</w:t>
      </w:r>
      <w:proofErr w:type="spellEnd"/>
      <w:r w:rsidRPr="006D431D">
        <w:rPr>
          <w:rFonts w:ascii="Times New Roman" w:eastAsia="Times New Roman" w:hAnsi="Times New Roman" w:cs="Times New Roman"/>
          <w:sz w:val="24"/>
          <w:szCs w:val="24"/>
        </w:rPr>
        <w:t xml:space="preserve">/vienai vienībai, papildus moduļu sistēma uzstādīšana  – gāzes baloni - 3 000 </w:t>
      </w:r>
      <w:proofErr w:type="spellStart"/>
      <w:r w:rsidRPr="006D431D">
        <w:rPr>
          <w:rFonts w:ascii="Times New Roman" w:eastAsia="Times New Roman" w:hAnsi="Times New Roman" w:cs="Times New Roman"/>
          <w:i/>
          <w:iCs/>
          <w:sz w:val="24"/>
          <w:szCs w:val="24"/>
        </w:rPr>
        <w:t>euro</w:t>
      </w:r>
      <w:proofErr w:type="spellEnd"/>
      <w:r w:rsidRPr="006D431D">
        <w:rPr>
          <w:rFonts w:ascii="Times New Roman" w:eastAsia="Times New Roman" w:hAnsi="Times New Roman" w:cs="Times New Roman"/>
          <w:sz w:val="24"/>
          <w:szCs w:val="24"/>
        </w:rPr>
        <w:t>/vienai vienībai. Investīcijas jāveic vēl paredzot uzpildīšanas iekārtu un citus papildus izdevumus, līdz ar to biometāna patēriņā saskatām daudz ieguldījumu un virzīties uz drošu tā nākotni ir riskanti, kamēr nav skaidras atbildes.</w:t>
      </w:r>
    </w:p>
    <w:p w14:paraId="7B7F986F" w14:textId="77777777" w:rsidR="00C32B9F" w:rsidRPr="006D431D" w:rsidRDefault="002B39A1" w:rsidP="005F53CE">
      <w:pPr>
        <w:ind w:firstLine="300"/>
        <w:jc w:val="both"/>
        <w:rPr>
          <w:rFonts w:ascii="Times New Roman" w:hAnsi="Times New Roman" w:cs="Times New Roman"/>
          <w:sz w:val="24"/>
          <w:szCs w:val="24"/>
        </w:rPr>
      </w:pPr>
      <w:r w:rsidRPr="006D431D">
        <w:rPr>
          <w:rFonts w:ascii="Times New Roman" w:hAnsi="Times New Roman" w:cs="Times New Roman"/>
          <w:sz w:val="24"/>
          <w:szCs w:val="24"/>
        </w:rPr>
        <w:t xml:space="preserve">Atkarībā no pieejamā investīciju atbalsta lieluma un turpmāk noteiktās iespējamās biometāna pārdošanas cenas,  biometāna ražošana ir teorētiski iespējama stacijās  jau ar  vismaz 0,5 MW elektrisko jaudu biogāzes stacijas pārveidošanu, taču ir pierādīts, ka, jo lielākas jauda stacija, jo stabilāka ir tās rentabilitāte. </w:t>
      </w:r>
    </w:p>
    <w:p w14:paraId="6907C851" w14:textId="31A668C6" w:rsidR="00C32B9F" w:rsidRPr="006D431D" w:rsidRDefault="002B39A1">
      <w:pPr>
        <w:pStyle w:val="tvhtml"/>
        <w:shd w:val="clear" w:color="auto" w:fill="FFFFFF"/>
        <w:spacing w:before="280" w:after="280" w:line="293" w:lineRule="atLeast"/>
        <w:ind w:firstLine="300"/>
        <w:jc w:val="both"/>
      </w:pPr>
      <w:r w:rsidRPr="006D431D">
        <w:lastRenderedPageBreak/>
        <w:t>Ņemot vērā to, ka lauksaimniecība ir otrs lielākais SEG emisiju avots Latvijā, SEG un amonjaka emisijas samazinājumu var panākt biogāzes stacijās pārstrādājot kūtsmēslus. To apliecina Latvijas Lauksaimniecības universitātes pētījums “Latvijas lauksaimniecības siltumnīcefekta gāzu un amonjaka emisijas, kā arī CO</w:t>
      </w:r>
      <w:r w:rsidRPr="006D431D">
        <w:rPr>
          <w:vertAlign w:val="subscript"/>
        </w:rPr>
        <w:t xml:space="preserve">2 </w:t>
      </w:r>
      <w:r w:rsidRPr="006D431D">
        <w:t xml:space="preserve">piesaistes (aramzemēs un zālājos) </w:t>
      </w:r>
      <w:proofErr w:type="spellStart"/>
      <w:r w:rsidRPr="006D431D">
        <w:t>robežsamazinājuma</w:t>
      </w:r>
      <w:proofErr w:type="spellEnd"/>
      <w:r w:rsidRPr="006D431D">
        <w:t xml:space="preserve"> izmaksu līkņu pielāgošana izmantošanai lauksaimniecības, vides un klimata politikas veidošanā”</w:t>
      </w:r>
      <w:r w:rsidRPr="006D431D">
        <w:rPr>
          <w:rStyle w:val="FootnoteAnchor"/>
        </w:rPr>
        <w:footnoteReference w:id="24"/>
      </w:r>
      <w:r w:rsidRPr="006D431D">
        <w:t xml:space="preserve">. Pētījuma rezultāti parāda, ka pasākumam "Biogāzes ražošanas veicināšana" ir ietekme uz SEG un amonjaka emisiju samazinājumu un tā izmaksu efektivitāti. Tāpēc biogāzes ražošanas veicināšana ir noteikta "Gaisa piesārņojuma samazināšanas rīcības plānā 2020.-2030.gadam" kā amonjaka emisiju samazinošs pasākums un "Nacionālajā klimata un enerģētikas plānā no 2021.gada līdz 2030.gadam" kā SEG emisiju samazinošs pasākums. Saskaņā ar šobrīd spēkā esošajiem normatīvajiem aktiem, atbalsts biogāzes ražošanas stacijām beigsies dažādos laikos. Vairākos gadījumos ātrāk elektroenerģijas obligātā iepirkuma atbalsts beigsies stacijām, kas pārstrādā nozīmīgu daudzumu kūtsmēslu. Ja AS „Conexus Baltic Grid” pētījumā identificētais Iecavas klasteris pilnībā pārietu uz biometāna ražošanu, tad aprēķināts, ka tas 2024. gadā (gads izvēlēts ar aplēsi, ka līdz tam varētu tikt pilnībā īstenoti projekti pārejai uz biometānu) samazinātu OIK slogu par 7,4 milj. </w:t>
      </w:r>
      <w:proofErr w:type="spellStart"/>
      <w:r w:rsidRPr="006D431D">
        <w:rPr>
          <w:i/>
          <w:iCs/>
        </w:rPr>
        <w:t>euro</w:t>
      </w:r>
      <w:proofErr w:type="spellEnd"/>
      <w:r w:rsidRPr="006D431D">
        <w:rPr>
          <w:i/>
          <w:iCs/>
        </w:rPr>
        <w:t xml:space="preserve">. </w:t>
      </w:r>
      <w:r w:rsidRPr="006D431D">
        <w:t xml:space="preserve">Tomēr biometāna ražošanai tāpat ir nepieciešami valsts atbalsta pasākumi. </w:t>
      </w:r>
    </w:p>
    <w:p w14:paraId="6A9CBE24" w14:textId="77777777" w:rsidR="00C32B9F" w:rsidRPr="006D431D" w:rsidRDefault="002B39A1">
      <w:pPr>
        <w:pStyle w:val="tvhtml"/>
        <w:shd w:val="clear" w:color="auto" w:fill="FFFFFF"/>
        <w:spacing w:before="280" w:after="280" w:line="293" w:lineRule="atLeast"/>
        <w:ind w:firstLine="300"/>
        <w:jc w:val="both"/>
      </w:pPr>
      <w:r w:rsidRPr="006D431D">
        <w:t>Ministru kabinets uzdeva Ekonomikas ministrijai sadarbībā ar Zemkopības ministriju un Vides aizsardzības un reģionālās attīstības ministriju izvērtēt iespēju izstrādāt pasākumus biogāzes elektrostaciju darbam ārpus obligātā iepirkuma sistēmas, tostarp tādus, kas veicinātu komersantiem sev piederošas vai saistītas saimniecības apgādi ar no atjaunojamiem energoresursiem saražotu elektroenerģiju.</w:t>
      </w:r>
    </w:p>
    <w:p w14:paraId="1A374871" w14:textId="77777777" w:rsidR="00C32B9F" w:rsidRPr="006D431D" w:rsidRDefault="002B39A1">
      <w:pPr>
        <w:pStyle w:val="tvhtml"/>
        <w:shd w:val="clear" w:color="auto" w:fill="FFFFFF"/>
        <w:spacing w:before="280" w:after="280" w:line="293" w:lineRule="atLeast"/>
        <w:ind w:firstLine="300"/>
        <w:jc w:val="both"/>
      </w:pPr>
      <w:r w:rsidRPr="006D431D">
        <w:t>Elektroenerģijas tirgus likums paredz iespēju, ja komersantam nav izdevīgi elektroenerģiju pārdot tirgotājam vai biržā, ka šādā situācijā var izmantot tiešo līniju ar patērētāju, ja izpildās SPRK uzliktās tiešās līnijas ieviešanas prasības</w:t>
      </w:r>
      <w:r w:rsidRPr="006D431D">
        <w:rPr>
          <w:rStyle w:val="FootnoteAnchor"/>
        </w:rPr>
        <w:footnoteReference w:id="25"/>
      </w:r>
      <w:r w:rsidRPr="006D431D">
        <w:t xml:space="preserve">. Risinājumi, kas samazinātu biogāzes stacijām kādus no tarifa komponentiem (piemēram, </w:t>
      </w:r>
      <w:proofErr w:type="spellStart"/>
      <w:r w:rsidRPr="006D431D">
        <w:t>pieslēguma</w:t>
      </w:r>
      <w:proofErr w:type="spellEnd"/>
      <w:r w:rsidRPr="006D431D">
        <w:t xml:space="preserve"> maksas) faktiski būtu subsīdija uz citu elektroenerģijas patērētāju rēķina, tāpēc šāda veida risinājumi nebūtu atbalstāmi. </w:t>
      </w:r>
    </w:p>
    <w:p w14:paraId="55E2D6F7" w14:textId="77777777" w:rsidR="00C32B9F" w:rsidRPr="006D431D" w:rsidRDefault="002B39A1">
      <w:pPr>
        <w:pStyle w:val="tvhtml"/>
        <w:shd w:val="clear" w:color="auto" w:fill="FFFFFF"/>
        <w:spacing w:before="280" w:after="280" w:line="293" w:lineRule="atLeast"/>
        <w:ind w:firstLine="300"/>
        <w:jc w:val="both"/>
      </w:pPr>
      <w:bookmarkStart w:id="11" w:name="_Hlk99530624"/>
      <w:r w:rsidRPr="006D431D">
        <w:t xml:space="preserve">Vienlaikus Ekonomikas ministrija šobrīd turpina darbu pie grozījumiem Elektroenerģijas tirgus likumā, kas cita starpā paredz paplašināt pašreizējo elektroenerģijas neto sistēmu, attiecinot to arī uz juridiskajiem </w:t>
      </w:r>
      <w:proofErr w:type="spellStart"/>
      <w:r w:rsidRPr="006D431D">
        <w:t>pašpatērētājiem</w:t>
      </w:r>
      <w:proofErr w:type="spellEnd"/>
      <w:r w:rsidRPr="006D431D">
        <w:t>, kā arī citus uzlabojumus, kam būtu jāveicina saimnieciskās  darbības veicēju interese izmantot no atjaunojamajiem energoresursiem saražotu elektroenerģiju pašpatēriņam. Par konkrētiem neto sistēmas darbības nosacījumiem vēl turpinās diskusijas starp iesaistītajām ministrijām un uzņēmēju asociācijām.</w:t>
      </w:r>
    </w:p>
    <w:p w14:paraId="73CCE5B8" w14:textId="77777777" w:rsidR="00C32B9F" w:rsidRPr="006D431D" w:rsidRDefault="002B39A1" w:rsidP="00BC2A58">
      <w:pPr>
        <w:pStyle w:val="Heading2"/>
        <w:ind w:firstLine="300"/>
        <w:rPr>
          <w:rFonts w:ascii="Times New Roman" w:hAnsi="Times New Roman" w:cs="Times New Roman"/>
          <w:color w:val="auto"/>
          <w:sz w:val="24"/>
          <w:szCs w:val="24"/>
        </w:rPr>
      </w:pPr>
      <w:bookmarkStart w:id="12" w:name="_Toc101605179"/>
      <w:bookmarkEnd w:id="11"/>
      <w:r w:rsidRPr="006D431D">
        <w:rPr>
          <w:rFonts w:ascii="Times New Roman" w:hAnsi="Times New Roman" w:cs="Times New Roman"/>
          <w:color w:val="auto"/>
          <w:sz w:val="24"/>
          <w:szCs w:val="24"/>
        </w:rPr>
        <w:lastRenderedPageBreak/>
        <w:t>2.8.  Biometāna izmantošana enerģētikā</w:t>
      </w:r>
      <w:bookmarkEnd w:id="12"/>
      <w:r w:rsidRPr="006D431D">
        <w:rPr>
          <w:rFonts w:ascii="Times New Roman" w:hAnsi="Times New Roman" w:cs="Times New Roman"/>
          <w:color w:val="auto"/>
          <w:sz w:val="24"/>
          <w:szCs w:val="24"/>
        </w:rPr>
        <w:t xml:space="preserve"> </w:t>
      </w:r>
    </w:p>
    <w:p w14:paraId="532249E3" w14:textId="77777777" w:rsidR="00BC2A58" w:rsidRDefault="00BC2A58" w:rsidP="006D431D">
      <w:pPr>
        <w:jc w:val="both"/>
        <w:rPr>
          <w:rFonts w:ascii="Times New Roman" w:hAnsi="Times New Roman" w:cs="Times New Roman"/>
          <w:sz w:val="24"/>
          <w:szCs w:val="24"/>
        </w:rPr>
      </w:pPr>
    </w:p>
    <w:p w14:paraId="1D9088FF" w14:textId="21ABB3ED" w:rsidR="00223D9F" w:rsidRPr="006D431D" w:rsidRDefault="002B39A1" w:rsidP="00BC2A58">
      <w:pPr>
        <w:ind w:firstLine="300"/>
        <w:jc w:val="both"/>
        <w:rPr>
          <w:rFonts w:ascii="Times New Roman" w:hAnsi="Times New Roman" w:cs="Times New Roman"/>
          <w:sz w:val="24"/>
          <w:szCs w:val="24"/>
        </w:rPr>
      </w:pPr>
      <w:r w:rsidRPr="006D431D">
        <w:rPr>
          <w:rFonts w:ascii="Times New Roman" w:hAnsi="Times New Roman" w:cs="Times New Roman"/>
          <w:sz w:val="24"/>
          <w:szCs w:val="24"/>
        </w:rPr>
        <w:t xml:space="preserve">Izcelsmes apliecinājumu sistēma ļauj dabasgāzes tīklā ievadīto biometānu nogādāt līdz jebkurai sadedzināšanas iekārtai, līdz ar to biometāns, ja tas aizstāj dabasgāzes sadedzināšanu ETS sektorā ļautu ietaupīt ETS kvotas izmaksas. </w:t>
      </w:r>
      <w:r w:rsidR="00223D9F" w:rsidRPr="006D431D">
        <w:rPr>
          <w:rFonts w:ascii="Times New Roman" w:hAnsi="Times New Roman" w:cs="Times New Roman"/>
          <w:sz w:val="24"/>
          <w:szCs w:val="24"/>
        </w:rPr>
        <w:t xml:space="preserve">"Emisijas kvotu cena pēdējo mēnešu laikā  ir ievērojami pieaugusi, šī gada februārī sasniedzot un pārsniedzot pat 90 </w:t>
      </w:r>
      <w:proofErr w:type="spellStart"/>
      <w:r w:rsidR="00223D9F" w:rsidRPr="006D431D">
        <w:rPr>
          <w:rFonts w:ascii="Times New Roman" w:hAnsi="Times New Roman" w:cs="Times New Roman"/>
          <w:sz w:val="24"/>
          <w:szCs w:val="24"/>
        </w:rPr>
        <w:t>euro</w:t>
      </w:r>
      <w:proofErr w:type="spellEnd"/>
      <w:r w:rsidR="00223D9F" w:rsidRPr="006D431D">
        <w:rPr>
          <w:rFonts w:ascii="Times New Roman" w:hAnsi="Times New Roman" w:cs="Times New Roman"/>
          <w:sz w:val="24"/>
          <w:szCs w:val="24"/>
        </w:rPr>
        <w:t xml:space="preserve"> t/CO2,  un prognozes liecina, ka tā varētu pieaugt arī nākotnē. Saskaņā ar starptautiskās enerģētikas biržas cenām, emisijas kvotu cena sāka strauji pieaugt 2021. gada novembrī, lielāko izcenojumu  97,51 </w:t>
      </w:r>
      <w:proofErr w:type="spellStart"/>
      <w:r w:rsidR="00223D9F" w:rsidRPr="006D431D">
        <w:rPr>
          <w:rFonts w:ascii="Times New Roman" w:hAnsi="Times New Roman" w:cs="Times New Roman"/>
          <w:sz w:val="24"/>
          <w:szCs w:val="24"/>
        </w:rPr>
        <w:t>euro</w:t>
      </w:r>
      <w:proofErr w:type="spellEnd"/>
      <w:r w:rsidR="00223D9F" w:rsidRPr="006D431D">
        <w:rPr>
          <w:rFonts w:ascii="Times New Roman" w:hAnsi="Times New Roman" w:cs="Times New Roman"/>
          <w:sz w:val="24"/>
          <w:szCs w:val="24"/>
        </w:rPr>
        <w:t xml:space="preserve"> t/CO</w:t>
      </w:r>
      <w:r w:rsidR="00223D9F" w:rsidRPr="00857D30">
        <w:rPr>
          <w:rFonts w:ascii="Times New Roman" w:hAnsi="Times New Roman" w:cs="Times New Roman"/>
          <w:sz w:val="24"/>
          <w:szCs w:val="24"/>
          <w:vertAlign w:val="subscript"/>
        </w:rPr>
        <w:t>2</w:t>
      </w:r>
      <w:r w:rsidR="00223D9F" w:rsidRPr="006D431D">
        <w:rPr>
          <w:rFonts w:ascii="Times New Roman" w:hAnsi="Times New Roman" w:cs="Times New Roman"/>
          <w:sz w:val="24"/>
          <w:szCs w:val="24"/>
        </w:rPr>
        <w:t xml:space="preserve"> sasniedzot 2022. gada 8. februārī. Turpmāk emisijas kvotu cena ir bijusi svārstīga, tomēr, salīdzinot ar šī gada pirmajiem mēnešiem, vērojams cenu samazinājums, un patreiz tā ir 80,76 </w:t>
      </w:r>
      <w:proofErr w:type="spellStart"/>
      <w:r w:rsidR="00223D9F" w:rsidRPr="006D431D">
        <w:rPr>
          <w:rFonts w:ascii="Times New Roman" w:hAnsi="Times New Roman" w:cs="Times New Roman"/>
          <w:sz w:val="24"/>
          <w:szCs w:val="24"/>
        </w:rPr>
        <w:t>euro</w:t>
      </w:r>
      <w:proofErr w:type="spellEnd"/>
      <w:r w:rsidR="00223D9F" w:rsidRPr="006D431D">
        <w:rPr>
          <w:rFonts w:ascii="Times New Roman" w:hAnsi="Times New Roman" w:cs="Times New Roman"/>
          <w:sz w:val="24"/>
          <w:szCs w:val="24"/>
        </w:rPr>
        <w:t xml:space="preserve"> t/CO</w:t>
      </w:r>
      <w:r w:rsidR="00223D9F" w:rsidRPr="00726D7B">
        <w:rPr>
          <w:rFonts w:ascii="Times New Roman" w:hAnsi="Times New Roman" w:cs="Times New Roman"/>
          <w:sz w:val="24"/>
          <w:szCs w:val="24"/>
          <w:vertAlign w:val="subscript"/>
        </w:rPr>
        <w:t xml:space="preserve">2 </w:t>
      </w:r>
      <w:r w:rsidR="00223D9F" w:rsidRPr="006D431D">
        <w:rPr>
          <w:rFonts w:ascii="Times New Roman" w:hAnsi="Times New Roman" w:cs="Times New Roman"/>
          <w:sz w:val="24"/>
          <w:szCs w:val="24"/>
        </w:rPr>
        <w:t>(28.03.2022).</w:t>
      </w:r>
    </w:p>
    <w:p w14:paraId="1695A9F9" w14:textId="432E7240" w:rsidR="00C32B9F" w:rsidRPr="006D431D" w:rsidRDefault="002B39A1" w:rsidP="00486348">
      <w:pPr>
        <w:pStyle w:val="tvhtml"/>
        <w:shd w:val="clear" w:color="auto" w:fill="FFFFFF"/>
        <w:spacing w:before="280" w:after="280" w:line="293" w:lineRule="atLeast"/>
        <w:ind w:firstLine="720"/>
        <w:jc w:val="both"/>
      </w:pPr>
      <w:r w:rsidRPr="006D431D">
        <w:t>Tomēr ja dabasgāzes emisijas faktors ir 0,202 tCO</w:t>
      </w:r>
      <w:r w:rsidRPr="006D431D">
        <w:rPr>
          <w:vertAlign w:val="subscript"/>
        </w:rPr>
        <w:t>2</w:t>
      </w:r>
      <w:r w:rsidRPr="006D431D">
        <w:t>/</w:t>
      </w:r>
      <w:proofErr w:type="spellStart"/>
      <w:r w:rsidRPr="006D431D">
        <w:t>MWh</w:t>
      </w:r>
      <w:proofErr w:type="spellEnd"/>
      <w:r w:rsidRPr="006D431D">
        <w:t xml:space="preserve">, tad pie </w:t>
      </w:r>
      <w:r w:rsidR="001022B5" w:rsidRPr="006D431D">
        <w:t xml:space="preserve">vidējās </w:t>
      </w:r>
      <w:r w:rsidR="00FF5B4D" w:rsidRPr="006D431D">
        <w:t xml:space="preserve">ETS cenas </w:t>
      </w:r>
      <w:r w:rsidRPr="006D431D">
        <w:t xml:space="preserve">60 EUR/t kvotas tonnas izmaksas sastāda 12,12 EUR, kas </w:t>
      </w:r>
      <w:r w:rsidR="00425271" w:rsidRPr="006D431D">
        <w:t xml:space="preserve">pie augstas </w:t>
      </w:r>
      <w:r w:rsidRPr="006D431D">
        <w:t>dabasgāzes cenas</w:t>
      </w:r>
      <w:r w:rsidR="00E00808" w:rsidRPr="006D431D">
        <w:t xml:space="preserve"> un augstas ETS cenas varētu kļūt par ekonomiski pamatotu risinājumu</w:t>
      </w:r>
      <w:r w:rsidRPr="006D431D">
        <w:t xml:space="preserve">. </w:t>
      </w:r>
    </w:p>
    <w:p w14:paraId="06A67F1E" w14:textId="4D08CF6E" w:rsidR="00C32B9F" w:rsidRPr="006D431D" w:rsidRDefault="002B39A1">
      <w:pPr>
        <w:ind w:firstLine="720"/>
        <w:jc w:val="both"/>
        <w:rPr>
          <w:rFonts w:ascii="Times New Roman" w:hAnsi="Times New Roman" w:cs="Times New Roman"/>
          <w:sz w:val="24"/>
          <w:szCs w:val="24"/>
        </w:rPr>
      </w:pPr>
      <w:r w:rsidRPr="006D431D">
        <w:rPr>
          <w:rFonts w:ascii="Times New Roman" w:hAnsi="Times New Roman" w:cs="Times New Roman"/>
          <w:sz w:val="24"/>
          <w:szCs w:val="24"/>
        </w:rPr>
        <w:t>Ja varētu  ņemt vērā visu biometāna aprites cikla emisiju ietaupījumu un izteikt no naudas vienībās (</w:t>
      </w:r>
      <w:r w:rsidR="00376FB3" w:rsidRPr="006D431D">
        <w:rPr>
          <w:rFonts w:ascii="Times New Roman" w:hAnsi="Times New Roman" w:cs="Times New Roman"/>
          <w:sz w:val="24"/>
          <w:szCs w:val="24"/>
        </w:rPr>
        <w:t>5</w:t>
      </w:r>
      <w:r w:rsidRPr="006D431D">
        <w:rPr>
          <w:rFonts w:ascii="Times New Roman" w:hAnsi="Times New Roman" w:cs="Times New Roman"/>
          <w:sz w:val="24"/>
          <w:szCs w:val="24"/>
        </w:rPr>
        <w:t xml:space="preserve">. attēls), tad dabasgāzes aizstāšana ar biometānu, atmaksātos. Tomēr šobrīd aprites cikla emisijas ETS sistēmā ņemt vērā nav paredzēts.  </w:t>
      </w:r>
    </w:p>
    <w:p w14:paraId="3C674437" w14:textId="77777777" w:rsidR="00C32B9F" w:rsidRPr="006D431D" w:rsidRDefault="00C32B9F">
      <w:pPr>
        <w:rPr>
          <w:rFonts w:ascii="Times New Roman" w:hAnsi="Times New Roman" w:cs="Times New Roman"/>
          <w:sz w:val="24"/>
          <w:szCs w:val="24"/>
        </w:rPr>
      </w:pPr>
    </w:p>
    <w:p w14:paraId="60B0D329" w14:textId="77777777" w:rsidR="00C32B9F" w:rsidRPr="006D431D" w:rsidRDefault="002B39A1">
      <w:pPr>
        <w:rPr>
          <w:rFonts w:ascii="Times New Roman" w:hAnsi="Times New Roman" w:cs="Times New Roman"/>
          <w:sz w:val="24"/>
          <w:szCs w:val="24"/>
        </w:rPr>
      </w:pPr>
      <w:r w:rsidRPr="006D431D">
        <w:rPr>
          <w:rFonts w:ascii="Times New Roman" w:hAnsi="Times New Roman" w:cs="Times New Roman"/>
          <w:noProof/>
          <w:sz w:val="24"/>
          <w:szCs w:val="24"/>
        </w:rPr>
        <w:drawing>
          <wp:inline distT="0" distB="0" distL="0" distR="0" wp14:anchorId="0CE7A0B6" wp14:editId="2D0D1F84">
            <wp:extent cx="5760085" cy="345757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noChangeArrowheads="1"/>
                    </pic:cNvPicPr>
                  </pic:nvPicPr>
                  <pic:blipFill>
                    <a:blip r:embed="rId12"/>
                    <a:stretch>
                      <a:fillRect/>
                    </a:stretch>
                  </pic:blipFill>
                  <pic:spPr bwMode="auto">
                    <a:xfrm>
                      <a:off x="0" y="0"/>
                      <a:ext cx="5760085" cy="3457575"/>
                    </a:xfrm>
                    <a:prstGeom prst="rect">
                      <a:avLst/>
                    </a:prstGeom>
                  </pic:spPr>
                </pic:pic>
              </a:graphicData>
            </a:graphic>
          </wp:inline>
        </w:drawing>
      </w:r>
    </w:p>
    <w:p w14:paraId="7AA1BC49" w14:textId="77777777" w:rsidR="00C32B9F" w:rsidRPr="006D431D" w:rsidRDefault="00C32B9F">
      <w:pPr>
        <w:rPr>
          <w:rFonts w:ascii="Times New Roman" w:hAnsi="Times New Roman" w:cs="Times New Roman"/>
          <w:sz w:val="24"/>
          <w:szCs w:val="24"/>
        </w:rPr>
      </w:pPr>
    </w:p>
    <w:p w14:paraId="29C1280B" w14:textId="69C07428" w:rsidR="00C32B9F" w:rsidRPr="006D431D" w:rsidRDefault="005A03D2">
      <w:pPr>
        <w:ind w:firstLine="720"/>
        <w:rPr>
          <w:rFonts w:ascii="Times New Roman" w:hAnsi="Times New Roman" w:cs="Times New Roman"/>
          <w:sz w:val="24"/>
          <w:szCs w:val="24"/>
        </w:rPr>
      </w:pPr>
      <w:r w:rsidRPr="006D431D">
        <w:rPr>
          <w:rFonts w:ascii="Times New Roman" w:hAnsi="Times New Roman" w:cs="Times New Roman"/>
          <w:b/>
          <w:bCs/>
          <w:sz w:val="24"/>
          <w:szCs w:val="24"/>
        </w:rPr>
        <w:t>5</w:t>
      </w:r>
      <w:r w:rsidR="002B39A1" w:rsidRPr="006D431D">
        <w:rPr>
          <w:rFonts w:ascii="Times New Roman" w:hAnsi="Times New Roman" w:cs="Times New Roman"/>
          <w:b/>
          <w:bCs/>
          <w:sz w:val="24"/>
          <w:szCs w:val="24"/>
        </w:rPr>
        <w:t xml:space="preserve">. attēls. Ietaupījums uz 1 </w:t>
      </w:r>
      <w:proofErr w:type="spellStart"/>
      <w:r w:rsidR="002B39A1" w:rsidRPr="006D431D">
        <w:rPr>
          <w:rFonts w:ascii="Times New Roman" w:hAnsi="Times New Roman" w:cs="Times New Roman"/>
          <w:b/>
          <w:bCs/>
          <w:sz w:val="24"/>
          <w:szCs w:val="24"/>
        </w:rPr>
        <w:t>MWh</w:t>
      </w:r>
      <w:proofErr w:type="spellEnd"/>
      <w:r w:rsidR="002B39A1" w:rsidRPr="006D431D">
        <w:rPr>
          <w:rFonts w:ascii="Times New Roman" w:hAnsi="Times New Roman" w:cs="Times New Roman"/>
          <w:b/>
          <w:bCs/>
          <w:sz w:val="24"/>
          <w:szCs w:val="24"/>
        </w:rPr>
        <w:t>, ja dabasgāzi aizstāj ar biometānu, pie dažādām biometāna aprites cikla emisijām un CO</w:t>
      </w:r>
      <w:r w:rsidR="002B39A1" w:rsidRPr="006D431D">
        <w:rPr>
          <w:rFonts w:ascii="Times New Roman" w:hAnsi="Times New Roman" w:cs="Times New Roman"/>
          <w:b/>
          <w:bCs/>
          <w:sz w:val="24"/>
          <w:szCs w:val="24"/>
          <w:vertAlign w:val="subscript"/>
        </w:rPr>
        <w:t>2</w:t>
      </w:r>
      <w:r w:rsidR="002B39A1" w:rsidRPr="006D431D">
        <w:rPr>
          <w:rFonts w:ascii="Times New Roman" w:hAnsi="Times New Roman" w:cs="Times New Roman"/>
          <w:b/>
          <w:bCs/>
          <w:sz w:val="24"/>
          <w:szCs w:val="24"/>
        </w:rPr>
        <w:t xml:space="preserve"> cenu 60 EUR/t</w:t>
      </w:r>
    </w:p>
    <w:p w14:paraId="7229FAA5" w14:textId="67E1C761" w:rsidR="00C32B9F" w:rsidRPr="006D431D" w:rsidRDefault="002B39A1">
      <w:pPr>
        <w:ind w:firstLine="720"/>
        <w:jc w:val="both"/>
        <w:rPr>
          <w:rFonts w:ascii="Times New Roman" w:hAnsi="Times New Roman" w:cs="Times New Roman"/>
          <w:sz w:val="24"/>
          <w:szCs w:val="24"/>
        </w:rPr>
      </w:pPr>
      <w:r w:rsidRPr="006D431D">
        <w:rPr>
          <w:rFonts w:ascii="Times New Roman" w:hAnsi="Times New Roman" w:cs="Times New Roman"/>
          <w:sz w:val="24"/>
          <w:szCs w:val="24"/>
        </w:rPr>
        <w:lastRenderedPageBreak/>
        <w:t xml:space="preserve">Tīru kūtsmēslu gadījumā un ja ir uzstādīta </w:t>
      </w:r>
      <w:proofErr w:type="spellStart"/>
      <w:r w:rsidRPr="006D431D">
        <w:rPr>
          <w:rFonts w:ascii="Times New Roman" w:hAnsi="Times New Roman" w:cs="Times New Roman"/>
          <w:sz w:val="24"/>
          <w:szCs w:val="24"/>
        </w:rPr>
        <w:t>pēcfermentācija</w:t>
      </w:r>
      <w:proofErr w:type="spellEnd"/>
      <w:r w:rsidRPr="006D431D">
        <w:rPr>
          <w:rFonts w:ascii="Times New Roman" w:hAnsi="Times New Roman" w:cs="Times New Roman"/>
          <w:sz w:val="24"/>
          <w:szCs w:val="24"/>
        </w:rPr>
        <w:t xml:space="preserve">, ir iespējams panākt līdz pat 37 EUR ietaupījumu uz </w:t>
      </w:r>
      <w:proofErr w:type="spellStart"/>
      <w:r w:rsidRPr="006D431D">
        <w:rPr>
          <w:rFonts w:ascii="Times New Roman" w:hAnsi="Times New Roman" w:cs="Times New Roman"/>
          <w:sz w:val="24"/>
          <w:szCs w:val="24"/>
        </w:rPr>
        <w:t>MWh</w:t>
      </w:r>
      <w:proofErr w:type="spellEnd"/>
      <w:r w:rsidRPr="006D431D">
        <w:rPr>
          <w:rFonts w:ascii="Times New Roman" w:hAnsi="Times New Roman" w:cs="Times New Roman"/>
          <w:sz w:val="24"/>
          <w:szCs w:val="24"/>
        </w:rPr>
        <w:t xml:space="preserve">. </w:t>
      </w:r>
    </w:p>
    <w:p w14:paraId="4F81852D" w14:textId="1679295C" w:rsidR="00C32B9F" w:rsidRPr="006D431D" w:rsidRDefault="002B39A1" w:rsidP="0069619E">
      <w:pPr>
        <w:ind w:firstLine="720"/>
        <w:jc w:val="both"/>
        <w:rPr>
          <w:rFonts w:ascii="Times New Roman" w:hAnsi="Times New Roman" w:cs="Times New Roman"/>
          <w:sz w:val="24"/>
          <w:szCs w:val="24"/>
        </w:rPr>
      </w:pPr>
      <w:r w:rsidRPr="006D431D">
        <w:rPr>
          <w:rFonts w:ascii="Times New Roman" w:hAnsi="Times New Roman" w:cs="Times New Roman"/>
          <w:sz w:val="24"/>
          <w:szCs w:val="24"/>
        </w:rPr>
        <w:t>Ņemot vērā minētos apsvērumus,</w:t>
      </w:r>
      <w:r w:rsidR="0069619E">
        <w:rPr>
          <w:rFonts w:ascii="Times New Roman" w:hAnsi="Times New Roman" w:cs="Times New Roman"/>
          <w:sz w:val="24"/>
          <w:szCs w:val="24"/>
        </w:rPr>
        <w:t xml:space="preserve"> </w:t>
      </w:r>
      <w:r w:rsidR="00AE7ACF">
        <w:rPr>
          <w:rFonts w:ascii="Times New Roman" w:hAnsi="Times New Roman" w:cs="Times New Roman"/>
          <w:sz w:val="24"/>
          <w:szCs w:val="24"/>
        </w:rPr>
        <w:t>biometānu, ciktāl to nebūs iespējams izmantot transporta sektorā, iespējams arī izmantot enerģētikā</w:t>
      </w:r>
      <w:r w:rsidRPr="006D431D">
        <w:rPr>
          <w:rFonts w:ascii="Times New Roman" w:hAnsi="Times New Roman" w:cs="Times New Roman"/>
          <w:sz w:val="24"/>
          <w:szCs w:val="24"/>
        </w:rPr>
        <w:t>.</w:t>
      </w:r>
    </w:p>
    <w:p w14:paraId="200F2ED6" w14:textId="77777777" w:rsidR="00C32B9F" w:rsidRPr="006D431D" w:rsidRDefault="002B39A1" w:rsidP="0098041A">
      <w:pPr>
        <w:pStyle w:val="Heading2"/>
        <w:ind w:firstLine="720"/>
        <w:rPr>
          <w:rFonts w:ascii="Times New Roman" w:hAnsi="Times New Roman" w:cs="Times New Roman"/>
          <w:color w:val="auto"/>
          <w:sz w:val="24"/>
          <w:szCs w:val="24"/>
        </w:rPr>
      </w:pPr>
      <w:bookmarkStart w:id="13" w:name="_Toc101605180"/>
      <w:r w:rsidRPr="006D431D">
        <w:rPr>
          <w:rFonts w:ascii="Times New Roman" w:hAnsi="Times New Roman" w:cs="Times New Roman"/>
          <w:color w:val="auto"/>
          <w:sz w:val="24"/>
          <w:szCs w:val="24"/>
        </w:rPr>
        <w:t>2.9. Citu valstu pieeja biometāna ražošanas un patēriņa atbalstam</w:t>
      </w:r>
      <w:bookmarkEnd w:id="13"/>
    </w:p>
    <w:p w14:paraId="01849140" w14:textId="63604369" w:rsidR="00C32B9F" w:rsidRPr="006D431D" w:rsidRDefault="002B39A1">
      <w:pPr>
        <w:pStyle w:val="tvhtml"/>
        <w:shd w:val="clear" w:color="auto" w:fill="FFFFFF"/>
        <w:spacing w:before="280" w:after="280" w:line="293" w:lineRule="atLeast"/>
        <w:ind w:firstLine="720"/>
        <w:jc w:val="both"/>
      </w:pPr>
      <w:r w:rsidRPr="006D431D">
        <w:t>ES politika, normatīvais regulējums un perspektīvas dažādu biodegvielu jomā apkopot</w:t>
      </w:r>
      <w:r w:rsidR="008340B7" w:rsidRPr="006D431D">
        <w:t>a</w:t>
      </w:r>
      <w:r w:rsidRPr="006D431D">
        <w:t xml:space="preserve">s publikācijā </w:t>
      </w:r>
      <w:r w:rsidRPr="006D431D">
        <w:rPr>
          <w:rStyle w:val="FootnoteAnchor"/>
        </w:rPr>
        <w:footnoteReference w:id="26"/>
      </w:r>
      <w:r w:rsidRPr="006D431D">
        <w:t xml:space="preserve">. No šīs publikācijas izriet, ka biometānam saspiestā un sašķidrinātā formā būs loma gan kravas, gan vieglo transportlīdzekļu segmentā, gan arī kā jūras transportlīdzekļu degvielai. Sašķidrināta biometāna kā kuģu degvielas iespējas nākotnē nepieciešams izpētīt detalizētāk arī Latvijā, jo šajā jomā biometāna iespējas var saglabāties ilgāk, kā ceļu transporta gadījumā, kur notiek aktīva pāreja uz </w:t>
      </w:r>
      <w:proofErr w:type="spellStart"/>
      <w:r w:rsidRPr="006D431D">
        <w:t>elektromobilitāti</w:t>
      </w:r>
      <w:proofErr w:type="spellEnd"/>
      <w:r w:rsidRPr="006D431D">
        <w:t xml:space="preserve"> un ūdeņradi. </w:t>
      </w:r>
    </w:p>
    <w:p w14:paraId="55C4FEFE" w14:textId="3E76A367" w:rsidR="00C32B9F" w:rsidRPr="006D431D" w:rsidRDefault="002B39A1">
      <w:pPr>
        <w:pStyle w:val="tvhtml"/>
        <w:shd w:val="clear" w:color="auto" w:fill="FFFFFF"/>
        <w:spacing w:before="280" w:after="280" w:line="293" w:lineRule="atLeast"/>
        <w:ind w:firstLine="720"/>
        <w:jc w:val="both"/>
      </w:pPr>
      <w:r w:rsidRPr="006D431D">
        <w:t xml:space="preserve">Daudzās Eiropas valstīs pastāv kompleksas atbalsta programmas biogāzes un biometāna ražošanai un patēriņam. Pārskats par atbalsta pasākumiem apkopots </w:t>
      </w:r>
      <w:r w:rsidR="00376FB3" w:rsidRPr="006D431D">
        <w:t>5</w:t>
      </w:r>
      <w:r w:rsidRPr="006D431D">
        <w:t>. tabulā.</w:t>
      </w:r>
    </w:p>
    <w:p w14:paraId="01773FB4" w14:textId="1734FF98" w:rsidR="00C32B9F" w:rsidRPr="006D431D" w:rsidRDefault="005A03D2">
      <w:pPr>
        <w:pStyle w:val="tvhtml"/>
        <w:shd w:val="clear" w:color="auto" w:fill="FFFFFF"/>
        <w:spacing w:before="280" w:after="280" w:line="293" w:lineRule="atLeast"/>
        <w:jc w:val="right"/>
      </w:pPr>
      <w:r w:rsidRPr="006D431D">
        <w:rPr>
          <w:b/>
          <w:bCs/>
        </w:rPr>
        <w:t>5</w:t>
      </w:r>
      <w:r w:rsidR="002B39A1" w:rsidRPr="006D431D">
        <w:rPr>
          <w:b/>
          <w:bCs/>
        </w:rPr>
        <w:t>.tabula. Atbalsta pasākumi biogāzei un biometānam Eiropas valstīs</w:t>
      </w:r>
      <w:r w:rsidR="002B39A1" w:rsidRPr="006D431D">
        <w:t xml:space="preserve"> </w:t>
      </w:r>
      <w:r w:rsidR="002B39A1" w:rsidRPr="006D431D">
        <w:rPr>
          <w:rStyle w:val="FootnoteAnchor"/>
        </w:rPr>
        <w:footnoteReference w:id="27"/>
      </w:r>
    </w:p>
    <w:tbl>
      <w:tblPr>
        <w:tblStyle w:val="TableGrid"/>
        <w:tblW w:w="9781" w:type="dxa"/>
        <w:tblInd w:w="-5" w:type="dxa"/>
        <w:tblLayout w:type="fixed"/>
        <w:tblLook w:val="04A0" w:firstRow="1" w:lastRow="0" w:firstColumn="1" w:lastColumn="0" w:noHBand="0" w:noVBand="1"/>
      </w:tblPr>
      <w:tblGrid>
        <w:gridCol w:w="2410"/>
        <w:gridCol w:w="709"/>
        <w:gridCol w:w="850"/>
        <w:gridCol w:w="709"/>
        <w:gridCol w:w="709"/>
        <w:gridCol w:w="709"/>
        <w:gridCol w:w="850"/>
        <w:gridCol w:w="709"/>
        <w:gridCol w:w="709"/>
        <w:gridCol w:w="708"/>
        <w:gridCol w:w="709"/>
      </w:tblGrid>
      <w:tr w:rsidR="005F57F6" w:rsidRPr="006D431D" w14:paraId="0C7E0F8C" w14:textId="7EBD9EEF" w:rsidTr="00486348">
        <w:tc>
          <w:tcPr>
            <w:tcW w:w="2410" w:type="dxa"/>
          </w:tcPr>
          <w:p w14:paraId="56D38AC5" w14:textId="77777777" w:rsidR="005F57F6" w:rsidRPr="006D431D" w:rsidRDefault="005F57F6" w:rsidP="00225044">
            <w:pPr>
              <w:pStyle w:val="tvhtml"/>
              <w:spacing w:after="0" w:line="293" w:lineRule="atLeast"/>
              <w:jc w:val="both"/>
              <w:rPr>
                <w:b/>
                <w:bCs/>
              </w:rPr>
            </w:pPr>
            <w:r w:rsidRPr="006D431D">
              <w:rPr>
                <w:b/>
                <w:bCs/>
              </w:rPr>
              <w:t>Atbalsta pasākums</w:t>
            </w:r>
          </w:p>
        </w:tc>
        <w:tc>
          <w:tcPr>
            <w:tcW w:w="709" w:type="dxa"/>
          </w:tcPr>
          <w:p w14:paraId="0C7F921E" w14:textId="77777777" w:rsidR="005F57F6" w:rsidRPr="006D431D" w:rsidRDefault="005F57F6" w:rsidP="00225044">
            <w:pPr>
              <w:pStyle w:val="tvhtml"/>
              <w:spacing w:after="0" w:line="293" w:lineRule="atLeast"/>
              <w:jc w:val="both"/>
              <w:rPr>
                <w:b/>
                <w:bCs/>
              </w:rPr>
            </w:pPr>
            <w:r w:rsidRPr="006D431D">
              <w:rPr>
                <w:b/>
                <w:bCs/>
              </w:rPr>
              <w:t>Vācija</w:t>
            </w:r>
          </w:p>
        </w:tc>
        <w:tc>
          <w:tcPr>
            <w:tcW w:w="850" w:type="dxa"/>
          </w:tcPr>
          <w:p w14:paraId="15155315" w14:textId="77777777" w:rsidR="005F57F6" w:rsidRPr="006D431D" w:rsidRDefault="005F57F6" w:rsidP="00225044">
            <w:pPr>
              <w:pStyle w:val="tvhtml"/>
              <w:spacing w:after="0" w:line="293" w:lineRule="atLeast"/>
              <w:jc w:val="both"/>
              <w:rPr>
                <w:b/>
                <w:bCs/>
              </w:rPr>
            </w:pPr>
            <w:r w:rsidRPr="006D431D">
              <w:rPr>
                <w:b/>
                <w:bCs/>
              </w:rPr>
              <w:t>Lielbritānija</w:t>
            </w:r>
          </w:p>
        </w:tc>
        <w:tc>
          <w:tcPr>
            <w:tcW w:w="709" w:type="dxa"/>
          </w:tcPr>
          <w:p w14:paraId="6E20F95C" w14:textId="77777777" w:rsidR="005F57F6" w:rsidRPr="006D431D" w:rsidRDefault="005F57F6" w:rsidP="00225044">
            <w:pPr>
              <w:pStyle w:val="tvhtml"/>
              <w:spacing w:after="0" w:line="293" w:lineRule="atLeast"/>
              <w:jc w:val="both"/>
              <w:rPr>
                <w:b/>
                <w:bCs/>
              </w:rPr>
            </w:pPr>
            <w:r w:rsidRPr="006D431D">
              <w:rPr>
                <w:b/>
                <w:bCs/>
              </w:rPr>
              <w:t>Zviedrija</w:t>
            </w:r>
          </w:p>
        </w:tc>
        <w:tc>
          <w:tcPr>
            <w:tcW w:w="709" w:type="dxa"/>
          </w:tcPr>
          <w:p w14:paraId="020B2920" w14:textId="77777777" w:rsidR="005F57F6" w:rsidRPr="006D431D" w:rsidRDefault="005F57F6" w:rsidP="00225044">
            <w:pPr>
              <w:pStyle w:val="tvhtml"/>
              <w:spacing w:after="0" w:line="293" w:lineRule="atLeast"/>
              <w:jc w:val="both"/>
              <w:rPr>
                <w:b/>
                <w:bCs/>
              </w:rPr>
            </w:pPr>
            <w:r w:rsidRPr="006D431D">
              <w:rPr>
                <w:b/>
                <w:bCs/>
              </w:rPr>
              <w:t>Šveice</w:t>
            </w:r>
          </w:p>
        </w:tc>
        <w:tc>
          <w:tcPr>
            <w:tcW w:w="709" w:type="dxa"/>
          </w:tcPr>
          <w:p w14:paraId="013556EB" w14:textId="77777777" w:rsidR="005F57F6" w:rsidRPr="006D431D" w:rsidRDefault="005F57F6" w:rsidP="00225044">
            <w:pPr>
              <w:pStyle w:val="tvhtml"/>
              <w:spacing w:after="0" w:line="293" w:lineRule="atLeast"/>
              <w:jc w:val="both"/>
              <w:rPr>
                <w:b/>
                <w:bCs/>
              </w:rPr>
            </w:pPr>
            <w:r w:rsidRPr="006D431D">
              <w:rPr>
                <w:b/>
                <w:bCs/>
              </w:rPr>
              <w:t>Francija</w:t>
            </w:r>
          </w:p>
        </w:tc>
        <w:tc>
          <w:tcPr>
            <w:tcW w:w="850" w:type="dxa"/>
          </w:tcPr>
          <w:p w14:paraId="765421E1" w14:textId="77777777" w:rsidR="005F57F6" w:rsidRPr="006D431D" w:rsidRDefault="005F57F6" w:rsidP="00225044">
            <w:pPr>
              <w:pStyle w:val="tvhtml"/>
              <w:spacing w:after="0" w:line="293" w:lineRule="atLeast"/>
              <w:jc w:val="both"/>
              <w:rPr>
                <w:b/>
                <w:bCs/>
              </w:rPr>
            </w:pPr>
            <w:r w:rsidRPr="006D431D">
              <w:rPr>
                <w:b/>
                <w:bCs/>
              </w:rPr>
              <w:t>Nīderlande</w:t>
            </w:r>
          </w:p>
        </w:tc>
        <w:tc>
          <w:tcPr>
            <w:tcW w:w="709" w:type="dxa"/>
          </w:tcPr>
          <w:p w14:paraId="14A4A188" w14:textId="77777777" w:rsidR="005F57F6" w:rsidRPr="006D431D" w:rsidRDefault="005F57F6" w:rsidP="00225044">
            <w:pPr>
              <w:pStyle w:val="tvhtml"/>
              <w:spacing w:after="0" w:line="293" w:lineRule="atLeast"/>
              <w:jc w:val="both"/>
              <w:rPr>
                <w:b/>
                <w:bCs/>
              </w:rPr>
            </w:pPr>
            <w:r w:rsidRPr="006D431D">
              <w:rPr>
                <w:b/>
                <w:bCs/>
              </w:rPr>
              <w:t>Dānija</w:t>
            </w:r>
          </w:p>
        </w:tc>
        <w:tc>
          <w:tcPr>
            <w:tcW w:w="709" w:type="dxa"/>
          </w:tcPr>
          <w:p w14:paraId="0AD59B54" w14:textId="77777777" w:rsidR="005F57F6" w:rsidRPr="006D431D" w:rsidRDefault="005F57F6" w:rsidP="00225044">
            <w:pPr>
              <w:pStyle w:val="tvhtml"/>
              <w:spacing w:after="0" w:line="293" w:lineRule="atLeast"/>
              <w:jc w:val="both"/>
              <w:rPr>
                <w:b/>
                <w:bCs/>
              </w:rPr>
            </w:pPr>
            <w:r w:rsidRPr="006D431D">
              <w:rPr>
                <w:b/>
                <w:bCs/>
              </w:rPr>
              <w:t>Īrija</w:t>
            </w:r>
          </w:p>
        </w:tc>
        <w:tc>
          <w:tcPr>
            <w:tcW w:w="708" w:type="dxa"/>
          </w:tcPr>
          <w:p w14:paraId="3FB48C7B" w14:textId="77777777" w:rsidR="005F57F6" w:rsidRPr="006D431D" w:rsidRDefault="005F57F6" w:rsidP="00225044">
            <w:pPr>
              <w:pStyle w:val="tvhtml"/>
              <w:spacing w:after="0" w:line="293" w:lineRule="atLeast"/>
              <w:jc w:val="both"/>
              <w:rPr>
                <w:b/>
                <w:bCs/>
              </w:rPr>
            </w:pPr>
            <w:r w:rsidRPr="006D431D">
              <w:rPr>
                <w:b/>
                <w:bCs/>
              </w:rPr>
              <w:t>Igaunija</w:t>
            </w:r>
          </w:p>
        </w:tc>
        <w:tc>
          <w:tcPr>
            <w:tcW w:w="709" w:type="dxa"/>
            <w:shd w:val="clear" w:color="auto" w:fill="auto"/>
          </w:tcPr>
          <w:p w14:paraId="3905768C" w14:textId="7A077A03" w:rsidR="005F57F6" w:rsidRPr="006D431D" w:rsidRDefault="005F57F6" w:rsidP="00225044">
            <w:pPr>
              <w:pStyle w:val="tvhtml"/>
              <w:spacing w:after="0" w:line="293" w:lineRule="atLeast"/>
              <w:jc w:val="both"/>
              <w:rPr>
                <w:b/>
                <w:bCs/>
              </w:rPr>
            </w:pPr>
            <w:r w:rsidRPr="006D431D">
              <w:rPr>
                <w:b/>
                <w:bCs/>
              </w:rPr>
              <w:t>Lietuva</w:t>
            </w:r>
          </w:p>
        </w:tc>
      </w:tr>
      <w:tr w:rsidR="005F57F6" w:rsidRPr="006D431D" w14:paraId="6D4205A4" w14:textId="1B03D3FD" w:rsidTr="00486348">
        <w:tc>
          <w:tcPr>
            <w:tcW w:w="2410" w:type="dxa"/>
          </w:tcPr>
          <w:p w14:paraId="5B271E90" w14:textId="77777777" w:rsidR="005F57F6" w:rsidRPr="006D431D" w:rsidRDefault="005F57F6" w:rsidP="00225044">
            <w:pPr>
              <w:pStyle w:val="tvhtml"/>
              <w:spacing w:after="0" w:line="293" w:lineRule="atLeast"/>
              <w:jc w:val="both"/>
              <w:rPr>
                <w:i/>
                <w:iCs/>
              </w:rPr>
            </w:pPr>
            <w:r w:rsidRPr="006D431D">
              <w:rPr>
                <w:i/>
                <w:iCs/>
              </w:rPr>
              <w:t>Ražošanas atbalsts</w:t>
            </w:r>
          </w:p>
        </w:tc>
        <w:tc>
          <w:tcPr>
            <w:tcW w:w="709" w:type="dxa"/>
          </w:tcPr>
          <w:p w14:paraId="06CC56B4" w14:textId="77777777" w:rsidR="005F57F6" w:rsidRPr="006D431D" w:rsidRDefault="005F57F6" w:rsidP="00225044">
            <w:pPr>
              <w:pStyle w:val="tvhtml"/>
              <w:spacing w:after="0" w:line="293" w:lineRule="atLeast"/>
              <w:jc w:val="both"/>
            </w:pPr>
          </w:p>
        </w:tc>
        <w:tc>
          <w:tcPr>
            <w:tcW w:w="850" w:type="dxa"/>
          </w:tcPr>
          <w:p w14:paraId="6826E971" w14:textId="77777777" w:rsidR="005F57F6" w:rsidRPr="006D431D" w:rsidRDefault="005F57F6" w:rsidP="00225044">
            <w:pPr>
              <w:pStyle w:val="tvhtml"/>
              <w:spacing w:after="0" w:line="293" w:lineRule="atLeast"/>
              <w:jc w:val="both"/>
            </w:pPr>
          </w:p>
        </w:tc>
        <w:tc>
          <w:tcPr>
            <w:tcW w:w="709" w:type="dxa"/>
          </w:tcPr>
          <w:p w14:paraId="37D67AC7" w14:textId="77777777" w:rsidR="005F57F6" w:rsidRPr="006D431D" w:rsidRDefault="005F57F6" w:rsidP="00225044">
            <w:pPr>
              <w:pStyle w:val="tvhtml"/>
              <w:spacing w:after="0" w:line="293" w:lineRule="atLeast"/>
              <w:jc w:val="both"/>
            </w:pPr>
          </w:p>
        </w:tc>
        <w:tc>
          <w:tcPr>
            <w:tcW w:w="709" w:type="dxa"/>
          </w:tcPr>
          <w:p w14:paraId="3A30FF42" w14:textId="77777777" w:rsidR="005F57F6" w:rsidRPr="006D431D" w:rsidRDefault="005F57F6" w:rsidP="00225044">
            <w:pPr>
              <w:pStyle w:val="tvhtml"/>
              <w:spacing w:after="0" w:line="293" w:lineRule="atLeast"/>
              <w:jc w:val="both"/>
            </w:pPr>
          </w:p>
        </w:tc>
        <w:tc>
          <w:tcPr>
            <w:tcW w:w="709" w:type="dxa"/>
          </w:tcPr>
          <w:p w14:paraId="04BD4E16" w14:textId="77777777" w:rsidR="005F57F6" w:rsidRPr="006D431D" w:rsidRDefault="005F57F6" w:rsidP="00225044">
            <w:pPr>
              <w:pStyle w:val="tvhtml"/>
              <w:spacing w:after="0" w:line="293" w:lineRule="atLeast"/>
              <w:jc w:val="both"/>
            </w:pPr>
          </w:p>
        </w:tc>
        <w:tc>
          <w:tcPr>
            <w:tcW w:w="850" w:type="dxa"/>
          </w:tcPr>
          <w:p w14:paraId="6D6963ED" w14:textId="77777777" w:rsidR="005F57F6" w:rsidRPr="006D431D" w:rsidRDefault="005F57F6" w:rsidP="00225044">
            <w:pPr>
              <w:pStyle w:val="tvhtml"/>
              <w:spacing w:after="0" w:line="293" w:lineRule="atLeast"/>
              <w:jc w:val="both"/>
            </w:pPr>
          </w:p>
        </w:tc>
        <w:tc>
          <w:tcPr>
            <w:tcW w:w="709" w:type="dxa"/>
          </w:tcPr>
          <w:p w14:paraId="7F2B754D" w14:textId="77777777" w:rsidR="005F57F6" w:rsidRPr="006D431D" w:rsidRDefault="005F57F6" w:rsidP="00225044">
            <w:pPr>
              <w:pStyle w:val="tvhtml"/>
              <w:spacing w:after="0" w:line="293" w:lineRule="atLeast"/>
              <w:jc w:val="both"/>
            </w:pPr>
          </w:p>
        </w:tc>
        <w:tc>
          <w:tcPr>
            <w:tcW w:w="709" w:type="dxa"/>
          </w:tcPr>
          <w:p w14:paraId="41401511" w14:textId="77777777" w:rsidR="005F57F6" w:rsidRPr="006D431D" w:rsidRDefault="005F57F6" w:rsidP="00225044">
            <w:pPr>
              <w:pStyle w:val="tvhtml"/>
              <w:spacing w:after="0" w:line="293" w:lineRule="atLeast"/>
              <w:jc w:val="both"/>
            </w:pPr>
          </w:p>
        </w:tc>
        <w:tc>
          <w:tcPr>
            <w:tcW w:w="708" w:type="dxa"/>
          </w:tcPr>
          <w:p w14:paraId="5274FE06" w14:textId="77777777" w:rsidR="005F57F6" w:rsidRPr="006D431D" w:rsidRDefault="005F57F6" w:rsidP="00225044">
            <w:pPr>
              <w:pStyle w:val="tvhtml"/>
              <w:spacing w:after="0" w:line="293" w:lineRule="atLeast"/>
              <w:jc w:val="both"/>
            </w:pPr>
          </w:p>
        </w:tc>
        <w:tc>
          <w:tcPr>
            <w:tcW w:w="709" w:type="dxa"/>
          </w:tcPr>
          <w:p w14:paraId="51884343" w14:textId="77777777" w:rsidR="005F57F6" w:rsidRPr="006D431D" w:rsidRDefault="005F57F6" w:rsidP="00225044">
            <w:pPr>
              <w:pStyle w:val="tvhtml"/>
              <w:spacing w:after="0" w:line="293" w:lineRule="atLeast"/>
              <w:jc w:val="both"/>
            </w:pPr>
          </w:p>
        </w:tc>
      </w:tr>
      <w:tr w:rsidR="005F57F6" w:rsidRPr="006D431D" w14:paraId="28871425" w14:textId="76DEECC3" w:rsidTr="00486348">
        <w:tc>
          <w:tcPr>
            <w:tcW w:w="2410" w:type="dxa"/>
          </w:tcPr>
          <w:p w14:paraId="18DF6023" w14:textId="77777777" w:rsidR="005F57F6" w:rsidRPr="006D431D" w:rsidRDefault="005F57F6" w:rsidP="00225044">
            <w:pPr>
              <w:pStyle w:val="tvhtml"/>
              <w:spacing w:after="0" w:line="293" w:lineRule="atLeast"/>
              <w:jc w:val="both"/>
            </w:pPr>
            <w:r w:rsidRPr="006D431D">
              <w:t>Investīciju subsīdijas ražotājiem</w:t>
            </w:r>
          </w:p>
        </w:tc>
        <w:tc>
          <w:tcPr>
            <w:tcW w:w="709" w:type="dxa"/>
          </w:tcPr>
          <w:p w14:paraId="4C77E66C" w14:textId="77777777" w:rsidR="005F57F6" w:rsidRPr="006D431D" w:rsidRDefault="005F57F6" w:rsidP="00225044">
            <w:pPr>
              <w:pStyle w:val="tvhtml"/>
              <w:spacing w:after="0" w:line="293" w:lineRule="atLeast"/>
              <w:jc w:val="center"/>
            </w:pPr>
            <w:r w:rsidRPr="006D431D">
              <w:t>+</w:t>
            </w:r>
          </w:p>
        </w:tc>
        <w:tc>
          <w:tcPr>
            <w:tcW w:w="850" w:type="dxa"/>
          </w:tcPr>
          <w:p w14:paraId="2ECF908E" w14:textId="77777777" w:rsidR="005F57F6" w:rsidRPr="006D431D" w:rsidRDefault="005F57F6" w:rsidP="00225044">
            <w:pPr>
              <w:pStyle w:val="tvhtml"/>
              <w:spacing w:after="0" w:line="293" w:lineRule="atLeast"/>
              <w:jc w:val="center"/>
            </w:pPr>
            <w:r w:rsidRPr="006D431D">
              <w:t>+</w:t>
            </w:r>
          </w:p>
        </w:tc>
        <w:tc>
          <w:tcPr>
            <w:tcW w:w="709" w:type="dxa"/>
          </w:tcPr>
          <w:p w14:paraId="6BE970D3" w14:textId="77777777" w:rsidR="005F57F6" w:rsidRPr="006D431D" w:rsidRDefault="005F57F6" w:rsidP="00225044">
            <w:pPr>
              <w:pStyle w:val="tvhtml"/>
              <w:spacing w:after="0" w:line="293" w:lineRule="atLeast"/>
              <w:jc w:val="center"/>
            </w:pPr>
            <w:r w:rsidRPr="006D431D">
              <w:t>+</w:t>
            </w:r>
          </w:p>
        </w:tc>
        <w:tc>
          <w:tcPr>
            <w:tcW w:w="709" w:type="dxa"/>
          </w:tcPr>
          <w:p w14:paraId="759A354D" w14:textId="77777777" w:rsidR="005F57F6" w:rsidRPr="006D431D" w:rsidRDefault="005F57F6" w:rsidP="00225044">
            <w:pPr>
              <w:pStyle w:val="tvhtml"/>
              <w:spacing w:after="0" w:line="293" w:lineRule="atLeast"/>
              <w:jc w:val="center"/>
            </w:pPr>
            <w:r w:rsidRPr="006D431D">
              <w:t>+</w:t>
            </w:r>
          </w:p>
        </w:tc>
        <w:tc>
          <w:tcPr>
            <w:tcW w:w="709" w:type="dxa"/>
          </w:tcPr>
          <w:p w14:paraId="37FBC57B" w14:textId="77777777" w:rsidR="005F57F6" w:rsidRPr="006D431D" w:rsidRDefault="005F57F6" w:rsidP="00225044">
            <w:pPr>
              <w:pStyle w:val="tvhtml"/>
              <w:spacing w:after="0" w:line="293" w:lineRule="atLeast"/>
              <w:jc w:val="center"/>
            </w:pPr>
            <w:r w:rsidRPr="006D431D">
              <w:t>+</w:t>
            </w:r>
          </w:p>
        </w:tc>
        <w:tc>
          <w:tcPr>
            <w:tcW w:w="850" w:type="dxa"/>
          </w:tcPr>
          <w:p w14:paraId="50D3D8EC" w14:textId="77777777" w:rsidR="005F57F6" w:rsidRPr="006D431D" w:rsidRDefault="005F57F6" w:rsidP="00225044">
            <w:pPr>
              <w:pStyle w:val="tvhtml"/>
              <w:spacing w:after="0" w:line="293" w:lineRule="atLeast"/>
              <w:jc w:val="center"/>
            </w:pPr>
          </w:p>
        </w:tc>
        <w:tc>
          <w:tcPr>
            <w:tcW w:w="709" w:type="dxa"/>
          </w:tcPr>
          <w:p w14:paraId="6A35BC62" w14:textId="77777777" w:rsidR="005F57F6" w:rsidRPr="006D431D" w:rsidRDefault="005F57F6" w:rsidP="00225044">
            <w:pPr>
              <w:pStyle w:val="tvhtml"/>
              <w:spacing w:after="0" w:line="293" w:lineRule="atLeast"/>
              <w:jc w:val="center"/>
            </w:pPr>
          </w:p>
        </w:tc>
        <w:tc>
          <w:tcPr>
            <w:tcW w:w="709" w:type="dxa"/>
          </w:tcPr>
          <w:p w14:paraId="2A88F5F6" w14:textId="77777777" w:rsidR="005F57F6" w:rsidRPr="006D431D" w:rsidRDefault="005F57F6" w:rsidP="00225044">
            <w:pPr>
              <w:pStyle w:val="tvhtml"/>
              <w:spacing w:after="0" w:line="293" w:lineRule="atLeast"/>
              <w:jc w:val="center"/>
            </w:pPr>
          </w:p>
        </w:tc>
        <w:tc>
          <w:tcPr>
            <w:tcW w:w="708" w:type="dxa"/>
          </w:tcPr>
          <w:p w14:paraId="6350A998" w14:textId="77777777" w:rsidR="005F57F6" w:rsidRPr="006D431D" w:rsidRDefault="005F57F6" w:rsidP="00225044">
            <w:pPr>
              <w:pStyle w:val="tvhtml"/>
              <w:spacing w:after="0" w:line="293" w:lineRule="atLeast"/>
              <w:jc w:val="center"/>
            </w:pPr>
          </w:p>
        </w:tc>
        <w:tc>
          <w:tcPr>
            <w:tcW w:w="709" w:type="dxa"/>
          </w:tcPr>
          <w:p w14:paraId="7314C0DB" w14:textId="77777777" w:rsidR="005F57F6" w:rsidRPr="006D431D" w:rsidRDefault="005F57F6" w:rsidP="00225044">
            <w:pPr>
              <w:pStyle w:val="tvhtml"/>
              <w:spacing w:after="0" w:line="293" w:lineRule="atLeast"/>
              <w:jc w:val="center"/>
            </w:pPr>
          </w:p>
        </w:tc>
      </w:tr>
      <w:tr w:rsidR="005F57F6" w:rsidRPr="006D431D" w14:paraId="5335982A" w14:textId="3907D0CC" w:rsidTr="00486348">
        <w:tc>
          <w:tcPr>
            <w:tcW w:w="2410" w:type="dxa"/>
          </w:tcPr>
          <w:p w14:paraId="611CA6CE" w14:textId="77777777" w:rsidR="005F57F6" w:rsidRPr="006D431D" w:rsidRDefault="005F57F6" w:rsidP="00225044">
            <w:pPr>
              <w:pStyle w:val="tvhtml"/>
              <w:spacing w:after="0" w:line="293" w:lineRule="atLeast"/>
              <w:jc w:val="both"/>
            </w:pPr>
            <w:r w:rsidRPr="006D431D">
              <w:t>Specializēti investīciju aizdevumi</w:t>
            </w:r>
          </w:p>
        </w:tc>
        <w:tc>
          <w:tcPr>
            <w:tcW w:w="709" w:type="dxa"/>
          </w:tcPr>
          <w:p w14:paraId="23382519" w14:textId="77777777" w:rsidR="005F57F6" w:rsidRPr="006D431D" w:rsidRDefault="005F57F6" w:rsidP="00225044">
            <w:pPr>
              <w:pStyle w:val="tvhtml"/>
              <w:spacing w:after="0" w:line="293" w:lineRule="atLeast"/>
              <w:jc w:val="center"/>
            </w:pPr>
            <w:r w:rsidRPr="006D431D">
              <w:t>+</w:t>
            </w:r>
          </w:p>
        </w:tc>
        <w:tc>
          <w:tcPr>
            <w:tcW w:w="850" w:type="dxa"/>
          </w:tcPr>
          <w:p w14:paraId="3BF3F804" w14:textId="77777777" w:rsidR="005F57F6" w:rsidRPr="006D431D" w:rsidRDefault="005F57F6" w:rsidP="00225044">
            <w:pPr>
              <w:pStyle w:val="tvhtml"/>
              <w:spacing w:after="0" w:line="293" w:lineRule="atLeast"/>
              <w:jc w:val="center"/>
            </w:pPr>
            <w:r w:rsidRPr="006D431D">
              <w:t>+</w:t>
            </w:r>
          </w:p>
        </w:tc>
        <w:tc>
          <w:tcPr>
            <w:tcW w:w="709" w:type="dxa"/>
          </w:tcPr>
          <w:p w14:paraId="197E7351" w14:textId="77777777" w:rsidR="005F57F6" w:rsidRPr="006D431D" w:rsidRDefault="005F57F6" w:rsidP="00225044">
            <w:pPr>
              <w:pStyle w:val="tvhtml"/>
              <w:spacing w:after="0" w:line="293" w:lineRule="atLeast"/>
              <w:jc w:val="center"/>
            </w:pPr>
          </w:p>
        </w:tc>
        <w:tc>
          <w:tcPr>
            <w:tcW w:w="709" w:type="dxa"/>
          </w:tcPr>
          <w:p w14:paraId="231AB74E" w14:textId="77777777" w:rsidR="005F57F6" w:rsidRPr="006D431D" w:rsidRDefault="005F57F6" w:rsidP="00225044">
            <w:pPr>
              <w:pStyle w:val="tvhtml"/>
              <w:spacing w:after="0" w:line="293" w:lineRule="atLeast"/>
              <w:jc w:val="center"/>
            </w:pPr>
          </w:p>
        </w:tc>
        <w:tc>
          <w:tcPr>
            <w:tcW w:w="709" w:type="dxa"/>
          </w:tcPr>
          <w:p w14:paraId="52F6ECBF" w14:textId="77777777" w:rsidR="005F57F6" w:rsidRPr="006D431D" w:rsidRDefault="005F57F6" w:rsidP="00225044">
            <w:pPr>
              <w:pStyle w:val="tvhtml"/>
              <w:spacing w:after="0" w:line="293" w:lineRule="atLeast"/>
              <w:jc w:val="center"/>
            </w:pPr>
            <w:r w:rsidRPr="006D431D">
              <w:t>+</w:t>
            </w:r>
          </w:p>
        </w:tc>
        <w:tc>
          <w:tcPr>
            <w:tcW w:w="850" w:type="dxa"/>
          </w:tcPr>
          <w:p w14:paraId="65E54B2E" w14:textId="77777777" w:rsidR="005F57F6" w:rsidRPr="006D431D" w:rsidRDefault="005F57F6" w:rsidP="00225044">
            <w:pPr>
              <w:pStyle w:val="tvhtml"/>
              <w:spacing w:after="0" w:line="293" w:lineRule="atLeast"/>
              <w:jc w:val="center"/>
            </w:pPr>
            <w:r w:rsidRPr="006D431D">
              <w:t>+</w:t>
            </w:r>
          </w:p>
        </w:tc>
        <w:tc>
          <w:tcPr>
            <w:tcW w:w="709" w:type="dxa"/>
          </w:tcPr>
          <w:p w14:paraId="2881FDDA" w14:textId="77777777" w:rsidR="005F57F6" w:rsidRPr="006D431D" w:rsidRDefault="005F57F6" w:rsidP="00225044">
            <w:pPr>
              <w:pStyle w:val="tvhtml"/>
              <w:spacing w:after="0" w:line="293" w:lineRule="atLeast"/>
              <w:jc w:val="center"/>
            </w:pPr>
            <w:r w:rsidRPr="006D431D">
              <w:t>+</w:t>
            </w:r>
          </w:p>
        </w:tc>
        <w:tc>
          <w:tcPr>
            <w:tcW w:w="709" w:type="dxa"/>
          </w:tcPr>
          <w:p w14:paraId="1DF45B61" w14:textId="77777777" w:rsidR="005F57F6" w:rsidRPr="006D431D" w:rsidRDefault="005F57F6" w:rsidP="00225044">
            <w:pPr>
              <w:pStyle w:val="tvhtml"/>
              <w:spacing w:after="0" w:line="293" w:lineRule="atLeast"/>
              <w:jc w:val="center"/>
            </w:pPr>
          </w:p>
        </w:tc>
        <w:tc>
          <w:tcPr>
            <w:tcW w:w="708" w:type="dxa"/>
          </w:tcPr>
          <w:p w14:paraId="42626125" w14:textId="77777777" w:rsidR="005F57F6" w:rsidRPr="006D431D" w:rsidRDefault="005F57F6" w:rsidP="00225044">
            <w:pPr>
              <w:pStyle w:val="tvhtml"/>
              <w:spacing w:after="0" w:line="293" w:lineRule="atLeast"/>
              <w:jc w:val="center"/>
            </w:pPr>
          </w:p>
        </w:tc>
        <w:tc>
          <w:tcPr>
            <w:tcW w:w="709" w:type="dxa"/>
          </w:tcPr>
          <w:p w14:paraId="30732A8B" w14:textId="77777777" w:rsidR="005F57F6" w:rsidRPr="006D431D" w:rsidRDefault="005F57F6" w:rsidP="00225044">
            <w:pPr>
              <w:pStyle w:val="tvhtml"/>
              <w:spacing w:after="0" w:line="293" w:lineRule="atLeast"/>
              <w:jc w:val="center"/>
            </w:pPr>
          </w:p>
        </w:tc>
      </w:tr>
      <w:tr w:rsidR="005F57F6" w:rsidRPr="006D431D" w14:paraId="345A7E14" w14:textId="2868C0FE" w:rsidTr="00486348">
        <w:tc>
          <w:tcPr>
            <w:tcW w:w="2410" w:type="dxa"/>
          </w:tcPr>
          <w:p w14:paraId="4A1B6749" w14:textId="77777777" w:rsidR="005F57F6" w:rsidRPr="006D431D" w:rsidRDefault="005F57F6" w:rsidP="00225044">
            <w:pPr>
              <w:pStyle w:val="tvhtml"/>
              <w:spacing w:after="0" w:line="293" w:lineRule="atLeast"/>
              <w:jc w:val="both"/>
            </w:pPr>
            <w:r w:rsidRPr="006D431D">
              <w:t>Tarifu atbalsts – fiksēta iepirkumu cena - iesūknēšanai tīklā vai elektrības ražošanai</w:t>
            </w:r>
          </w:p>
        </w:tc>
        <w:tc>
          <w:tcPr>
            <w:tcW w:w="709" w:type="dxa"/>
          </w:tcPr>
          <w:p w14:paraId="1856482B" w14:textId="77777777" w:rsidR="005F57F6" w:rsidRPr="006D431D" w:rsidRDefault="005F57F6" w:rsidP="00225044">
            <w:pPr>
              <w:pStyle w:val="tvhtml"/>
              <w:spacing w:after="0" w:line="293" w:lineRule="atLeast"/>
              <w:jc w:val="center"/>
            </w:pPr>
            <w:r w:rsidRPr="006D431D">
              <w:t>+</w:t>
            </w:r>
          </w:p>
        </w:tc>
        <w:tc>
          <w:tcPr>
            <w:tcW w:w="850" w:type="dxa"/>
          </w:tcPr>
          <w:p w14:paraId="411B5BA2" w14:textId="77777777" w:rsidR="005F57F6" w:rsidRPr="006D431D" w:rsidRDefault="005F57F6" w:rsidP="00225044">
            <w:pPr>
              <w:pStyle w:val="tvhtml"/>
              <w:spacing w:after="0" w:line="293" w:lineRule="atLeast"/>
              <w:jc w:val="center"/>
            </w:pPr>
            <w:r w:rsidRPr="006D431D">
              <w:t>+</w:t>
            </w:r>
          </w:p>
        </w:tc>
        <w:tc>
          <w:tcPr>
            <w:tcW w:w="709" w:type="dxa"/>
          </w:tcPr>
          <w:p w14:paraId="519730AA" w14:textId="77777777" w:rsidR="005F57F6" w:rsidRPr="006D431D" w:rsidRDefault="005F57F6" w:rsidP="00225044">
            <w:pPr>
              <w:pStyle w:val="tvhtml"/>
              <w:spacing w:after="0" w:line="293" w:lineRule="atLeast"/>
              <w:jc w:val="center"/>
            </w:pPr>
          </w:p>
        </w:tc>
        <w:tc>
          <w:tcPr>
            <w:tcW w:w="709" w:type="dxa"/>
          </w:tcPr>
          <w:p w14:paraId="3032C94B" w14:textId="77777777" w:rsidR="005F57F6" w:rsidRPr="006D431D" w:rsidRDefault="005F57F6" w:rsidP="00225044">
            <w:pPr>
              <w:pStyle w:val="tvhtml"/>
              <w:spacing w:after="0" w:line="293" w:lineRule="atLeast"/>
              <w:jc w:val="center"/>
            </w:pPr>
            <w:r w:rsidRPr="006D431D">
              <w:t>+</w:t>
            </w:r>
          </w:p>
        </w:tc>
        <w:tc>
          <w:tcPr>
            <w:tcW w:w="709" w:type="dxa"/>
          </w:tcPr>
          <w:p w14:paraId="27610C6D" w14:textId="77777777" w:rsidR="005F57F6" w:rsidRPr="006D431D" w:rsidRDefault="005F57F6" w:rsidP="00225044">
            <w:pPr>
              <w:pStyle w:val="tvhtml"/>
              <w:spacing w:after="0" w:line="293" w:lineRule="atLeast"/>
              <w:jc w:val="center"/>
            </w:pPr>
            <w:r w:rsidRPr="006D431D">
              <w:t>+</w:t>
            </w:r>
          </w:p>
        </w:tc>
        <w:tc>
          <w:tcPr>
            <w:tcW w:w="850" w:type="dxa"/>
          </w:tcPr>
          <w:p w14:paraId="512684B1" w14:textId="77777777" w:rsidR="005F57F6" w:rsidRPr="006D431D" w:rsidRDefault="005F57F6" w:rsidP="00225044">
            <w:pPr>
              <w:pStyle w:val="tvhtml"/>
              <w:spacing w:after="0" w:line="293" w:lineRule="atLeast"/>
              <w:jc w:val="center"/>
            </w:pPr>
            <w:r w:rsidRPr="006D431D">
              <w:t>+</w:t>
            </w:r>
          </w:p>
        </w:tc>
        <w:tc>
          <w:tcPr>
            <w:tcW w:w="709" w:type="dxa"/>
          </w:tcPr>
          <w:p w14:paraId="4DBD6500" w14:textId="77777777" w:rsidR="005F57F6" w:rsidRPr="006D431D" w:rsidRDefault="005F57F6" w:rsidP="00225044">
            <w:pPr>
              <w:pStyle w:val="tvhtml"/>
              <w:spacing w:after="0" w:line="293" w:lineRule="atLeast"/>
              <w:jc w:val="center"/>
            </w:pPr>
            <w:r w:rsidRPr="006D431D">
              <w:t>+</w:t>
            </w:r>
          </w:p>
        </w:tc>
        <w:tc>
          <w:tcPr>
            <w:tcW w:w="709" w:type="dxa"/>
          </w:tcPr>
          <w:p w14:paraId="75D87DA6" w14:textId="77777777" w:rsidR="005F57F6" w:rsidRPr="006D431D" w:rsidRDefault="005F57F6" w:rsidP="00225044">
            <w:pPr>
              <w:pStyle w:val="tvhtml"/>
              <w:spacing w:after="0" w:line="293" w:lineRule="atLeast"/>
              <w:jc w:val="center"/>
            </w:pPr>
          </w:p>
        </w:tc>
        <w:tc>
          <w:tcPr>
            <w:tcW w:w="708" w:type="dxa"/>
          </w:tcPr>
          <w:p w14:paraId="0D59428B" w14:textId="77777777" w:rsidR="005F57F6" w:rsidRPr="006D431D" w:rsidRDefault="005F57F6" w:rsidP="00225044">
            <w:pPr>
              <w:pStyle w:val="tvhtml"/>
              <w:spacing w:after="0" w:line="293" w:lineRule="atLeast"/>
              <w:jc w:val="center"/>
            </w:pPr>
          </w:p>
        </w:tc>
        <w:tc>
          <w:tcPr>
            <w:tcW w:w="709" w:type="dxa"/>
          </w:tcPr>
          <w:p w14:paraId="59B24647" w14:textId="77777777" w:rsidR="005F57F6" w:rsidRPr="006D431D" w:rsidRDefault="005F57F6" w:rsidP="00225044">
            <w:pPr>
              <w:pStyle w:val="tvhtml"/>
              <w:spacing w:after="0" w:line="293" w:lineRule="atLeast"/>
              <w:jc w:val="center"/>
            </w:pPr>
          </w:p>
        </w:tc>
      </w:tr>
      <w:tr w:rsidR="005F57F6" w:rsidRPr="006D431D" w14:paraId="583602D7" w14:textId="59ACFED4" w:rsidTr="00486348">
        <w:tc>
          <w:tcPr>
            <w:tcW w:w="2410" w:type="dxa"/>
          </w:tcPr>
          <w:p w14:paraId="0EA385DB" w14:textId="77777777" w:rsidR="005F57F6" w:rsidRPr="006D431D" w:rsidRDefault="005F57F6" w:rsidP="00225044">
            <w:pPr>
              <w:pStyle w:val="tvhtml"/>
              <w:spacing w:after="0" w:line="293" w:lineRule="atLeast"/>
              <w:jc w:val="both"/>
            </w:pPr>
            <w:r w:rsidRPr="006D431D">
              <w:t>Tarifu atbalsts – piemaksa pie tirgus cenas- iesūknēšanai tīklā vai elektrības ražošanai (</w:t>
            </w:r>
            <w:proofErr w:type="spellStart"/>
            <w:r w:rsidRPr="006D431D">
              <w:t>premium</w:t>
            </w:r>
            <w:proofErr w:type="spellEnd"/>
            <w:r w:rsidRPr="006D431D">
              <w:t>)</w:t>
            </w:r>
          </w:p>
        </w:tc>
        <w:tc>
          <w:tcPr>
            <w:tcW w:w="709" w:type="dxa"/>
          </w:tcPr>
          <w:p w14:paraId="3252EC10" w14:textId="77777777" w:rsidR="005F57F6" w:rsidRPr="006D431D" w:rsidRDefault="005F57F6" w:rsidP="00225044">
            <w:pPr>
              <w:pStyle w:val="tvhtml"/>
              <w:spacing w:after="0" w:line="293" w:lineRule="atLeast"/>
              <w:jc w:val="center"/>
            </w:pPr>
            <w:r w:rsidRPr="006D431D">
              <w:t>+</w:t>
            </w:r>
          </w:p>
        </w:tc>
        <w:tc>
          <w:tcPr>
            <w:tcW w:w="850" w:type="dxa"/>
          </w:tcPr>
          <w:p w14:paraId="323702EC" w14:textId="77777777" w:rsidR="005F57F6" w:rsidRPr="006D431D" w:rsidRDefault="005F57F6" w:rsidP="00225044">
            <w:pPr>
              <w:pStyle w:val="tvhtml"/>
              <w:spacing w:after="0" w:line="293" w:lineRule="atLeast"/>
              <w:jc w:val="center"/>
            </w:pPr>
          </w:p>
        </w:tc>
        <w:tc>
          <w:tcPr>
            <w:tcW w:w="709" w:type="dxa"/>
          </w:tcPr>
          <w:p w14:paraId="0377DACD" w14:textId="77777777" w:rsidR="005F57F6" w:rsidRPr="006D431D" w:rsidRDefault="005F57F6" w:rsidP="00225044">
            <w:pPr>
              <w:pStyle w:val="tvhtml"/>
              <w:spacing w:after="0" w:line="293" w:lineRule="atLeast"/>
              <w:jc w:val="center"/>
            </w:pPr>
          </w:p>
        </w:tc>
        <w:tc>
          <w:tcPr>
            <w:tcW w:w="709" w:type="dxa"/>
          </w:tcPr>
          <w:p w14:paraId="28118D64" w14:textId="77777777" w:rsidR="005F57F6" w:rsidRPr="006D431D" w:rsidRDefault="005F57F6" w:rsidP="00225044">
            <w:pPr>
              <w:pStyle w:val="tvhtml"/>
              <w:spacing w:after="0" w:line="293" w:lineRule="atLeast"/>
              <w:jc w:val="center"/>
            </w:pPr>
          </w:p>
        </w:tc>
        <w:tc>
          <w:tcPr>
            <w:tcW w:w="709" w:type="dxa"/>
          </w:tcPr>
          <w:p w14:paraId="446A0188" w14:textId="77777777" w:rsidR="005F57F6" w:rsidRPr="006D431D" w:rsidRDefault="005F57F6" w:rsidP="00225044">
            <w:pPr>
              <w:pStyle w:val="tvhtml"/>
              <w:spacing w:after="0" w:line="293" w:lineRule="atLeast"/>
              <w:jc w:val="center"/>
            </w:pPr>
            <w:r w:rsidRPr="006D431D">
              <w:t>+</w:t>
            </w:r>
          </w:p>
        </w:tc>
        <w:tc>
          <w:tcPr>
            <w:tcW w:w="850" w:type="dxa"/>
          </w:tcPr>
          <w:p w14:paraId="31C98DD5" w14:textId="77777777" w:rsidR="005F57F6" w:rsidRPr="006D431D" w:rsidRDefault="005F57F6" w:rsidP="00225044">
            <w:pPr>
              <w:pStyle w:val="tvhtml"/>
              <w:spacing w:after="0" w:line="293" w:lineRule="atLeast"/>
              <w:jc w:val="center"/>
            </w:pPr>
            <w:r w:rsidRPr="006D431D">
              <w:t>+</w:t>
            </w:r>
          </w:p>
        </w:tc>
        <w:tc>
          <w:tcPr>
            <w:tcW w:w="709" w:type="dxa"/>
          </w:tcPr>
          <w:p w14:paraId="1C52EC8A" w14:textId="77777777" w:rsidR="005F57F6" w:rsidRPr="006D431D" w:rsidRDefault="005F57F6" w:rsidP="00225044">
            <w:pPr>
              <w:pStyle w:val="tvhtml"/>
              <w:spacing w:after="0" w:line="293" w:lineRule="atLeast"/>
              <w:jc w:val="center"/>
            </w:pPr>
            <w:r w:rsidRPr="006D431D">
              <w:t>+</w:t>
            </w:r>
          </w:p>
        </w:tc>
        <w:tc>
          <w:tcPr>
            <w:tcW w:w="709" w:type="dxa"/>
          </w:tcPr>
          <w:p w14:paraId="34491A8A" w14:textId="77777777" w:rsidR="005F57F6" w:rsidRPr="006D431D" w:rsidRDefault="005F57F6" w:rsidP="00225044">
            <w:pPr>
              <w:pStyle w:val="tvhtml"/>
              <w:spacing w:after="0" w:line="293" w:lineRule="atLeast"/>
              <w:jc w:val="center"/>
            </w:pPr>
          </w:p>
        </w:tc>
        <w:tc>
          <w:tcPr>
            <w:tcW w:w="708" w:type="dxa"/>
          </w:tcPr>
          <w:p w14:paraId="738BE0A5" w14:textId="77777777" w:rsidR="005F57F6" w:rsidRPr="006D431D" w:rsidRDefault="005F57F6" w:rsidP="00225044">
            <w:pPr>
              <w:pStyle w:val="tvhtml"/>
              <w:spacing w:after="0" w:line="293" w:lineRule="atLeast"/>
              <w:jc w:val="center"/>
            </w:pPr>
            <w:r w:rsidRPr="006D431D">
              <w:t>+</w:t>
            </w:r>
          </w:p>
        </w:tc>
        <w:tc>
          <w:tcPr>
            <w:tcW w:w="709" w:type="dxa"/>
          </w:tcPr>
          <w:p w14:paraId="37ED48F8" w14:textId="4509B998" w:rsidR="005F57F6" w:rsidRPr="006D431D" w:rsidRDefault="005F57F6" w:rsidP="00225044">
            <w:pPr>
              <w:pStyle w:val="tvhtml"/>
              <w:spacing w:after="0" w:line="293" w:lineRule="atLeast"/>
              <w:jc w:val="center"/>
            </w:pPr>
          </w:p>
        </w:tc>
      </w:tr>
      <w:tr w:rsidR="005F57F6" w:rsidRPr="006D431D" w14:paraId="096B2EC5" w14:textId="3ED118F8" w:rsidTr="00486348">
        <w:tc>
          <w:tcPr>
            <w:tcW w:w="2410" w:type="dxa"/>
          </w:tcPr>
          <w:p w14:paraId="2B17D756" w14:textId="77777777" w:rsidR="005F57F6" w:rsidRPr="006D431D" w:rsidRDefault="005F57F6" w:rsidP="00225044">
            <w:pPr>
              <w:pStyle w:val="tvhtml"/>
              <w:spacing w:after="0" w:line="293" w:lineRule="atLeast"/>
              <w:jc w:val="both"/>
            </w:pPr>
            <w:r w:rsidRPr="006D431D">
              <w:t>Papildus atbalsts mazām iekārtām</w:t>
            </w:r>
          </w:p>
        </w:tc>
        <w:tc>
          <w:tcPr>
            <w:tcW w:w="709" w:type="dxa"/>
          </w:tcPr>
          <w:p w14:paraId="4CACC0EE" w14:textId="77777777" w:rsidR="005F57F6" w:rsidRPr="006D431D" w:rsidRDefault="005F57F6" w:rsidP="00225044">
            <w:pPr>
              <w:pStyle w:val="tvhtml"/>
              <w:spacing w:after="0" w:line="293" w:lineRule="atLeast"/>
              <w:jc w:val="center"/>
            </w:pPr>
            <w:r w:rsidRPr="006D431D">
              <w:t>+</w:t>
            </w:r>
          </w:p>
        </w:tc>
        <w:tc>
          <w:tcPr>
            <w:tcW w:w="850" w:type="dxa"/>
          </w:tcPr>
          <w:p w14:paraId="1A723744" w14:textId="77777777" w:rsidR="005F57F6" w:rsidRPr="006D431D" w:rsidRDefault="005F57F6" w:rsidP="00225044">
            <w:pPr>
              <w:pStyle w:val="tvhtml"/>
              <w:spacing w:after="0" w:line="293" w:lineRule="atLeast"/>
              <w:jc w:val="center"/>
            </w:pPr>
          </w:p>
        </w:tc>
        <w:tc>
          <w:tcPr>
            <w:tcW w:w="709" w:type="dxa"/>
          </w:tcPr>
          <w:p w14:paraId="2ABEE626" w14:textId="77777777" w:rsidR="005F57F6" w:rsidRPr="006D431D" w:rsidRDefault="005F57F6" w:rsidP="00225044">
            <w:pPr>
              <w:pStyle w:val="tvhtml"/>
              <w:spacing w:after="0" w:line="293" w:lineRule="atLeast"/>
              <w:jc w:val="center"/>
            </w:pPr>
          </w:p>
        </w:tc>
        <w:tc>
          <w:tcPr>
            <w:tcW w:w="709" w:type="dxa"/>
          </w:tcPr>
          <w:p w14:paraId="78900D5A" w14:textId="77777777" w:rsidR="005F57F6" w:rsidRPr="006D431D" w:rsidRDefault="005F57F6" w:rsidP="00225044">
            <w:pPr>
              <w:pStyle w:val="tvhtml"/>
              <w:spacing w:after="0" w:line="293" w:lineRule="atLeast"/>
              <w:jc w:val="center"/>
            </w:pPr>
          </w:p>
        </w:tc>
        <w:tc>
          <w:tcPr>
            <w:tcW w:w="709" w:type="dxa"/>
          </w:tcPr>
          <w:p w14:paraId="495D35D3" w14:textId="77777777" w:rsidR="005F57F6" w:rsidRPr="006D431D" w:rsidRDefault="005F57F6" w:rsidP="00225044">
            <w:pPr>
              <w:pStyle w:val="tvhtml"/>
              <w:spacing w:after="0" w:line="293" w:lineRule="atLeast"/>
              <w:jc w:val="center"/>
            </w:pPr>
            <w:r w:rsidRPr="006D431D">
              <w:t>+</w:t>
            </w:r>
          </w:p>
        </w:tc>
        <w:tc>
          <w:tcPr>
            <w:tcW w:w="850" w:type="dxa"/>
          </w:tcPr>
          <w:p w14:paraId="17E6AA82" w14:textId="77777777" w:rsidR="005F57F6" w:rsidRPr="006D431D" w:rsidRDefault="005F57F6" w:rsidP="00225044">
            <w:pPr>
              <w:pStyle w:val="tvhtml"/>
              <w:spacing w:after="0" w:line="293" w:lineRule="atLeast"/>
              <w:jc w:val="center"/>
            </w:pPr>
            <w:r w:rsidRPr="006D431D">
              <w:t>+</w:t>
            </w:r>
          </w:p>
        </w:tc>
        <w:tc>
          <w:tcPr>
            <w:tcW w:w="709" w:type="dxa"/>
          </w:tcPr>
          <w:p w14:paraId="07280250" w14:textId="77777777" w:rsidR="005F57F6" w:rsidRPr="006D431D" w:rsidRDefault="005F57F6" w:rsidP="00225044">
            <w:pPr>
              <w:pStyle w:val="tvhtml"/>
              <w:spacing w:after="0" w:line="293" w:lineRule="atLeast"/>
              <w:jc w:val="center"/>
            </w:pPr>
          </w:p>
        </w:tc>
        <w:tc>
          <w:tcPr>
            <w:tcW w:w="709" w:type="dxa"/>
          </w:tcPr>
          <w:p w14:paraId="24ED7CAC" w14:textId="77777777" w:rsidR="005F57F6" w:rsidRPr="006D431D" w:rsidRDefault="005F57F6" w:rsidP="00225044">
            <w:pPr>
              <w:pStyle w:val="tvhtml"/>
              <w:spacing w:after="0" w:line="293" w:lineRule="atLeast"/>
              <w:jc w:val="center"/>
            </w:pPr>
          </w:p>
        </w:tc>
        <w:tc>
          <w:tcPr>
            <w:tcW w:w="708" w:type="dxa"/>
          </w:tcPr>
          <w:p w14:paraId="45D4A282" w14:textId="77777777" w:rsidR="005F57F6" w:rsidRPr="006D431D" w:rsidRDefault="005F57F6" w:rsidP="00225044">
            <w:pPr>
              <w:pStyle w:val="tvhtml"/>
              <w:spacing w:after="0" w:line="293" w:lineRule="atLeast"/>
              <w:jc w:val="center"/>
            </w:pPr>
          </w:p>
        </w:tc>
        <w:tc>
          <w:tcPr>
            <w:tcW w:w="709" w:type="dxa"/>
          </w:tcPr>
          <w:p w14:paraId="34552EC3" w14:textId="77777777" w:rsidR="005F57F6" w:rsidRPr="006D431D" w:rsidRDefault="005F57F6" w:rsidP="00225044">
            <w:pPr>
              <w:pStyle w:val="tvhtml"/>
              <w:spacing w:after="0" w:line="293" w:lineRule="atLeast"/>
              <w:jc w:val="center"/>
            </w:pPr>
          </w:p>
        </w:tc>
      </w:tr>
      <w:tr w:rsidR="005F57F6" w:rsidRPr="006D431D" w14:paraId="423E747D" w14:textId="00D71B54" w:rsidTr="00486348">
        <w:tc>
          <w:tcPr>
            <w:tcW w:w="2410" w:type="dxa"/>
          </w:tcPr>
          <w:p w14:paraId="6FEDF15D" w14:textId="77777777" w:rsidR="005F57F6" w:rsidRPr="006D431D" w:rsidRDefault="005F57F6" w:rsidP="00225044">
            <w:pPr>
              <w:pStyle w:val="tvhtml"/>
              <w:spacing w:after="0" w:line="293" w:lineRule="atLeast"/>
              <w:jc w:val="both"/>
            </w:pPr>
            <w:r w:rsidRPr="006D431D">
              <w:lastRenderedPageBreak/>
              <w:t>Papildus atbalsts ieguvei no kūtsmēsliem vai atkritumiem</w:t>
            </w:r>
          </w:p>
        </w:tc>
        <w:tc>
          <w:tcPr>
            <w:tcW w:w="709" w:type="dxa"/>
          </w:tcPr>
          <w:p w14:paraId="165166A9" w14:textId="77777777" w:rsidR="005F57F6" w:rsidRPr="006D431D" w:rsidRDefault="005F57F6" w:rsidP="00225044">
            <w:pPr>
              <w:pStyle w:val="tvhtml"/>
              <w:spacing w:after="0" w:line="293" w:lineRule="atLeast"/>
              <w:jc w:val="center"/>
            </w:pPr>
            <w:r w:rsidRPr="006D431D">
              <w:t>+</w:t>
            </w:r>
          </w:p>
        </w:tc>
        <w:tc>
          <w:tcPr>
            <w:tcW w:w="850" w:type="dxa"/>
          </w:tcPr>
          <w:p w14:paraId="4BDC2E32" w14:textId="77777777" w:rsidR="005F57F6" w:rsidRPr="006D431D" w:rsidRDefault="005F57F6" w:rsidP="00225044">
            <w:pPr>
              <w:pStyle w:val="tvhtml"/>
              <w:spacing w:after="0" w:line="293" w:lineRule="atLeast"/>
              <w:jc w:val="center"/>
            </w:pPr>
          </w:p>
        </w:tc>
        <w:tc>
          <w:tcPr>
            <w:tcW w:w="709" w:type="dxa"/>
          </w:tcPr>
          <w:p w14:paraId="58E514F8" w14:textId="77777777" w:rsidR="005F57F6" w:rsidRPr="006D431D" w:rsidRDefault="005F57F6" w:rsidP="00225044">
            <w:pPr>
              <w:pStyle w:val="tvhtml"/>
              <w:spacing w:after="0" w:line="293" w:lineRule="atLeast"/>
              <w:jc w:val="center"/>
            </w:pPr>
            <w:r w:rsidRPr="006D431D">
              <w:t>+</w:t>
            </w:r>
          </w:p>
        </w:tc>
        <w:tc>
          <w:tcPr>
            <w:tcW w:w="709" w:type="dxa"/>
          </w:tcPr>
          <w:p w14:paraId="67626201" w14:textId="77777777" w:rsidR="005F57F6" w:rsidRPr="006D431D" w:rsidRDefault="005F57F6" w:rsidP="00225044">
            <w:pPr>
              <w:pStyle w:val="tvhtml"/>
              <w:spacing w:after="0" w:line="293" w:lineRule="atLeast"/>
              <w:jc w:val="center"/>
            </w:pPr>
            <w:r w:rsidRPr="006D431D">
              <w:t>+</w:t>
            </w:r>
          </w:p>
        </w:tc>
        <w:tc>
          <w:tcPr>
            <w:tcW w:w="709" w:type="dxa"/>
          </w:tcPr>
          <w:p w14:paraId="4456C07E" w14:textId="77777777" w:rsidR="005F57F6" w:rsidRPr="006D431D" w:rsidRDefault="005F57F6" w:rsidP="00225044">
            <w:pPr>
              <w:pStyle w:val="tvhtml"/>
              <w:spacing w:after="0" w:line="293" w:lineRule="atLeast"/>
              <w:jc w:val="center"/>
            </w:pPr>
            <w:r w:rsidRPr="006D431D">
              <w:t>+</w:t>
            </w:r>
          </w:p>
        </w:tc>
        <w:tc>
          <w:tcPr>
            <w:tcW w:w="850" w:type="dxa"/>
          </w:tcPr>
          <w:p w14:paraId="4F236C7A" w14:textId="77777777" w:rsidR="005F57F6" w:rsidRPr="006D431D" w:rsidRDefault="005F57F6" w:rsidP="00225044">
            <w:pPr>
              <w:pStyle w:val="tvhtml"/>
              <w:spacing w:after="0" w:line="293" w:lineRule="atLeast"/>
              <w:jc w:val="center"/>
            </w:pPr>
            <w:r w:rsidRPr="006D431D">
              <w:t>+</w:t>
            </w:r>
          </w:p>
        </w:tc>
        <w:tc>
          <w:tcPr>
            <w:tcW w:w="709" w:type="dxa"/>
          </w:tcPr>
          <w:p w14:paraId="1D0561D5" w14:textId="77777777" w:rsidR="005F57F6" w:rsidRPr="006D431D" w:rsidRDefault="005F57F6" w:rsidP="00225044">
            <w:pPr>
              <w:pStyle w:val="tvhtml"/>
              <w:spacing w:after="0" w:line="293" w:lineRule="atLeast"/>
              <w:jc w:val="center"/>
            </w:pPr>
          </w:p>
        </w:tc>
        <w:tc>
          <w:tcPr>
            <w:tcW w:w="709" w:type="dxa"/>
          </w:tcPr>
          <w:p w14:paraId="7286F63A" w14:textId="77777777" w:rsidR="005F57F6" w:rsidRPr="006D431D" w:rsidRDefault="005F57F6" w:rsidP="00225044">
            <w:pPr>
              <w:pStyle w:val="tvhtml"/>
              <w:spacing w:after="0" w:line="293" w:lineRule="atLeast"/>
              <w:jc w:val="center"/>
            </w:pPr>
          </w:p>
        </w:tc>
        <w:tc>
          <w:tcPr>
            <w:tcW w:w="708" w:type="dxa"/>
          </w:tcPr>
          <w:p w14:paraId="3EA104B5" w14:textId="77777777" w:rsidR="005F57F6" w:rsidRPr="006D431D" w:rsidRDefault="005F57F6" w:rsidP="00225044">
            <w:pPr>
              <w:pStyle w:val="tvhtml"/>
              <w:spacing w:after="0" w:line="293" w:lineRule="atLeast"/>
              <w:jc w:val="center"/>
            </w:pPr>
          </w:p>
        </w:tc>
        <w:tc>
          <w:tcPr>
            <w:tcW w:w="709" w:type="dxa"/>
          </w:tcPr>
          <w:p w14:paraId="0191284E" w14:textId="77777777" w:rsidR="005F57F6" w:rsidRPr="006D431D" w:rsidRDefault="005F57F6" w:rsidP="00225044">
            <w:pPr>
              <w:pStyle w:val="tvhtml"/>
              <w:spacing w:after="0" w:line="293" w:lineRule="atLeast"/>
              <w:jc w:val="center"/>
            </w:pPr>
          </w:p>
        </w:tc>
      </w:tr>
      <w:tr w:rsidR="005F57F6" w:rsidRPr="006D431D" w14:paraId="51DCD436" w14:textId="51F18F99" w:rsidTr="00486348">
        <w:tc>
          <w:tcPr>
            <w:tcW w:w="2410" w:type="dxa"/>
          </w:tcPr>
          <w:p w14:paraId="7107A5FD" w14:textId="77777777" w:rsidR="005F57F6" w:rsidRPr="006D431D" w:rsidRDefault="005F57F6" w:rsidP="00225044">
            <w:pPr>
              <w:pStyle w:val="tvhtml"/>
              <w:spacing w:after="0" w:line="293" w:lineRule="atLeast"/>
              <w:jc w:val="both"/>
              <w:rPr>
                <w:i/>
                <w:iCs/>
              </w:rPr>
            </w:pPr>
            <w:r w:rsidRPr="006D431D">
              <w:rPr>
                <w:i/>
                <w:iCs/>
              </w:rPr>
              <w:t>Atbalsts patēriņam</w:t>
            </w:r>
          </w:p>
        </w:tc>
        <w:tc>
          <w:tcPr>
            <w:tcW w:w="709" w:type="dxa"/>
          </w:tcPr>
          <w:p w14:paraId="4D77DF28" w14:textId="77777777" w:rsidR="005F57F6" w:rsidRPr="006D431D" w:rsidRDefault="005F57F6" w:rsidP="00225044">
            <w:pPr>
              <w:pStyle w:val="tvhtml"/>
              <w:spacing w:after="0" w:line="293" w:lineRule="atLeast"/>
              <w:jc w:val="center"/>
            </w:pPr>
          </w:p>
        </w:tc>
        <w:tc>
          <w:tcPr>
            <w:tcW w:w="850" w:type="dxa"/>
          </w:tcPr>
          <w:p w14:paraId="0AB8F24D" w14:textId="77777777" w:rsidR="005F57F6" w:rsidRPr="006D431D" w:rsidRDefault="005F57F6" w:rsidP="00225044">
            <w:pPr>
              <w:pStyle w:val="tvhtml"/>
              <w:spacing w:after="0" w:line="293" w:lineRule="atLeast"/>
              <w:jc w:val="center"/>
            </w:pPr>
          </w:p>
        </w:tc>
        <w:tc>
          <w:tcPr>
            <w:tcW w:w="709" w:type="dxa"/>
          </w:tcPr>
          <w:p w14:paraId="7434359B" w14:textId="77777777" w:rsidR="005F57F6" w:rsidRPr="006D431D" w:rsidRDefault="005F57F6" w:rsidP="00225044">
            <w:pPr>
              <w:pStyle w:val="tvhtml"/>
              <w:spacing w:after="0" w:line="293" w:lineRule="atLeast"/>
              <w:jc w:val="center"/>
            </w:pPr>
          </w:p>
        </w:tc>
        <w:tc>
          <w:tcPr>
            <w:tcW w:w="709" w:type="dxa"/>
          </w:tcPr>
          <w:p w14:paraId="11F98002" w14:textId="77777777" w:rsidR="005F57F6" w:rsidRPr="006D431D" w:rsidRDefault="005F57F6" w:rsidP="00225044">
            <w:pPr>
              <w:pStyle w:val="tvhtml"/>
              <w:spacing w:after="0" w:line="293" w:lineRule="atLeast"/>
              <w:jc w:val="center"/>
            </w:pPr>
          </w:p>
        </w:tc>
        <w:tc>
          <w:tcPr>
            <w:tcW w:w="709" w:type="dxa"/>
          </w:tcPr>
          <w:p w14:paraId="2BB09A94" w14:textId="77777777" w:rsidR="005F57F6" w:rsidRPr="006D431D" w:rsidRDefault="005F57F6" w:rsidP="00225044">
            <w:pPr>
              <w:pStyle w:val="tvhtml"/>
              <w:spacing w:after="0" w:line="293" w:lineRule="atLeast"/>
              <w:jc w:val="center"/>
            </w:pPr>
          </w:p>
        </w:tc>
        <w:tc>
          <w:tcPr>
            <w:tcW w:w="850" w:type="dxa"/>
          </w:tcPr>
          <w:p w14:paraId="3126EF0A" w14:textId="77777777" w:rsidR="005F57F6" w:rsidRPr="006D431D" w:rsidRDefault="005F57F6" w:rsidP="00225044">
            <w:pPr>
              <w:pStyle w:val="tvhtml"/>
              <w:spacing w:after="0" w:line="293" w:lineRule="atLeast"/>
              <w:jc w:val="center"/>
            </w:pPr>
          </w:p>
        </w:tc>
        <w:tc>
          <w:tcPr>
            <w:tcW w:w="709" w:type="dxa"/>
          </w:tcPr>
          <w:p w14:paraId="3DAD3337" w14:textId="77777777" w:rsidR="005F57F6" w:rsidRPr="006D431D" w:rsidRDefault="005F57F6" w:rsidP="00225044">
            <w:pPr>
              <w:pStyle w:val="tvhtml"/>
              <w:spacing w:after="0" w:line="293" w:lineRule="atLeast"/>
              <w:jc w:val="center"/>
            </w:pPr>
          </w:p>
        </w:tc>
        <w:tc>
          <w:tcPr>
            <w:tcW w:w="709" w:type="dxa"/>
          </w:tcPr>
          <w:p w14:paraId="3892A3FE" w14:textId="77777777" w:rsidR="005F57F6" w:rsidRPr="006D431D" w:rsidRDefault="005F57F6" w:rsidP="00225044">
            <w:pPr>
              <w:pStyle w:val="tvhtml"/>
              <w:spacing w:after="0" w:line="293" w:lineRule="atLeast"/>
              <w:jc w:val="center"/>
            </w:pPr>
          </w:p>
        </w:tc>
        <w:tc>
          <w:tcPr>
            <w:tcW w:w="708" w:type="dxa"/>
          </w:tcPr>
          <w:p w14:paraId="6CAA0709" w14:textId="77777777" w:rsidR="005F57F6" w:rsidRPr="006D431D" w:rsidRDefault="005F57F6" w:rsidP="00225044">
            <w:pPr>
              <w:pStyle w:val="tvhtml"/>
              <w:spacing w:after="0" w:line="293" w:lineRule="atLeast"/>
              <w:jc w:val="center"/>
            </w:pPr>
          </w:p>
        </w:tc>
        <w:tc>
          <w:tcPr>
            <w:tcW w:w="709" w:type="dxa"/>
          </w:tcPr>
          <w:p w14:paraId="4DDBAC03" w14:textId="77777777" w:rsidR="005F57F6" w:rsidRPr="006D431D" w:rsidRDefault="005F57F6" w:rsidP="00225044">
            <w:pPr>
              <w:pStyle w:val="tvhtml"/>
              <w:spacing w:after="0" w:line="293" w:lineRule="atLeast"/>
              <w:jc w:val="center"/>
            </w:pPr>
          </w:p>
        </w:tc>
      </w:tr>
      <w:tr w:rsidR="005F57F6" w:rsidRPr="006D431D" w14:paraId="171A1836" w14:textId="28DF04FF" w:rsidTr="00486348">
        <w:tc>
          <w:tcPr>
            <w:tcW w:w="2410" w:type="dxa"/>
          </w:tcPr>
          <w:p w14:paraId="1FC603D8" w14:textId="77777777" w:rsidR="005F57F6" w:rsidRPr="006D431D" w:rsidRDefault="005F57F6" w:rsidP="00225044">
            <w:pPr>
              <w:pStyle w:val="tvhtml"/>
              <w:spacing w:after="0" w:line="293" w:lineRule="atLeast"/>
              <w:jc w:val="both"/>
            </w:pPr>
            <w:r w:rsidRPr="006D431D">
              <w:t>Kvotas enerģētikas vai transporta jomām</w:t>
            </w:r>
          </w:p>
        </w:tc>
        <w:tc>
          <w:tcPr>
            <w:tcW w:w="709" w:type="dxa"/>
          </w:tcPr>
          <w:p w14:paraId="0A8E4259" w14:textId="77777777" w:rsidR="005F57F6" w:rsidRPr="006D431D" w:rsidRDefault="005F57F6" w:rsidP="00225044">
            <w:pPr>
              <w:pStyle w:val="tvhtml"/>
              <w:spacing w:after="0" w:line="293" w:lineRule="atLeast"/>
              <w:jc w:val="center"/>
            </w:pPr>
            <w:r w:rsidRPr="006D431D">
              <w:t>+</w:t>
            </w:r>
          </w:p>
        </w:tc>
        <w:tc>
          <w:tcPr>
            <w:tcW w:w="850" w:type="dxa"/>
          </w:tcPr>
          <w:p w14:paraId="0E9411BF" w14:textId="77777777" w:rsidR="005F57F6" w:rsidRPr="006D431D" w:rsidRDefault="005F57F6" w:rsidP="00225044">
            <w:pPr>
              <w:pStyle w:val="tvhtml"/>
              <w:spacing w:after="0" w:line="293" w:lineRule="atLeast"/>
              <w:jc w:val="center"/>
            </w:pPr>
            <w:r w:rsidRPr="006D431D">
              <w:t>+</w:t>
            </w:r>
          </w:p>
        </w:tc>
        <w:tc>
          <w:tcPr>
            <w:tcW w:w="709" w:type="dxa"/>
          </w:tcPr>
          <w:p w14:paraId="617995D1" w14:textId="77777777" w:rsidR="005F57F6" w:rsidRPr="006D431D" w:rsidRDefault="005F57F6" w:rsidP="00225044">
            <w:pPr>
              <w:pStyle w:val="tvhtml"/>
              <w:spacing w:after="0" w:line="293" w:lineRule="atLeast"/>
              <w:jc w:val="center"/>
            </w:pPr>
            <w:r w:rsidRPr="006D431D">
              <w:t>+</w:t>
            </w:r>
          </w:p>
        </w:tc>
        <w:tc>
          <w:tcPr>
            <w:tcW w:w="709" w:type="dxa"/>
          </w:tcPr>
          <w:p w14:paraId="10754D11" w14:textId="77777777" w:rsidR="005F57F6" w:rsidRPr="006D431D" w:rsidRDefault="005F57F6" w:rsidP="00225044">
            <w:pPr>
              <w:pStyle w:val="tvhtml"/>
              <w:spacing w:after="0" w:line="293" w:lineRule="atLeast"/>
              <w:jc w:val="center"/>
            </w:pPr>
          </w:p>
        </w:tc>
        <w:tc>
          <w:tcPr>
            <w:tcW w:w="709" w:type="dxa"/>
          </w:tcPr>
          <w:p w14:paraId="7F1A4C5B" w14:textId="77777777" w:rsidR="005F57F6" w:rsidRPr="006D431D" w:rsidRDefault="005F57F6" w:rsidP="00225044">
            <w:pPr>
              <w:pStyle w:val="tvhtml"/>
              <w:spacing w:after="0" w:line="293" w:lineRule="atLeast"/>
              <w:jc w:val="center"/>
            </w:pPr>
            <w:r w:rsidRPr="006D431D">
              <w:t>+</w:t>
            </w:r>
          </w:p>
        </w:tc>
        <w:tc>
          <w:tcPr>
            <w:tcW w:w="850" w:type="dxa"/>
          </w:tcPr>
          <w:p w14:paraId="2EF02E54" w14:textId="77777777" w:rsidR="005F57F6" w:rsidRPr="006D431D" w:rsidRDefault="005F57F6" w:rsidP="00225044">
            <w:pPr>
              <w:pStyle w:val="tvhtml"/>
              <w:spacing w:after="0" w:line="293" w:lineRule="atLeast"/>
              <w:jc w:val="center"/>
            </w:pPr>
            <w:r w:rsidRPr="006D431D">
              <w:t>+</w:t>
            </w:r>
          </w:p>
        </w:tc>
        <w:tc>
          <w:tcPr>
            <w:tcW w:w="709" w:type="dxa"/>
          </w:tcPr>
          <w:p w14:paraId="4F2E1C50" w14:textId="77777777" w:rsidR="005F57F6" w:rsidRPr="006D431D" w:rsidRDefault="005F57F6" w:rsidP="00225044">
            <w:pPr>
              <w:pStyle w:val="tvhtml"/>
              <w:spacing w:after="0" w:line="293" w:lineRule="atLeast"/>
              <w:jc w:val="center"/>
            </w:pPr>
            <w:r w:rsidRPr="006D431D">
              <w:t>+</w:t>
            </w:r>
          </w:p>
        </w:tc>
        <w:tc>
          <w:tcPr>
            <w:tcW w:w="709" w:type="dxa"/>
          </w:tcPr>
          <w:p w14:paraId="37011410" w14:textId="77777777" w:rsidR="005F57F6" w:rsidRPr="006D431D" w:rsidRDefault="005F57F6" w:rsidP="00225044">
            <w:pPr>
              <w:pStyle w:val="tvhtml"/>
              <w:spacing w:after="0" w:line="293" w:lineRule="atLeast"/>
              <w:jc w:val="center"/>
            </w:pPr>
            <w:r w:rsidRPr="006D431D">
              <w:t>+</w:t>
            </w:r>
          </w:p>
        </w:tc>
        <w:tc>
          <w:tcPr>
            <w:tcW w:w="708" w:type="dxa"/>
          </w:tcPr>
          <w:p w14:paraId="3F6B6BF9" w14:textId="77777777" w:rsidR="005F57F6" w:rsidRPr="006D431D" w:rsidRDefault="005F57F6" w:rsidP="00225044">
            <w:pPr>
              <w:pStyle w:val="tvhtml"/>
              <w:spacing w:after="0" w:line="293" w:lineRule="atLeast"/>
              <w:jc w:val="center"/>
            </w:pPr>
          </w:p>
        </w:tc>
        <w:tc>
          <w:tcPr>
            <w:tcW w:w="709" w:type="dxa"/>
          </w:tcPr>
          <w:p w14:paraId="0E04EA24" w14:textId="35E9C6A7" w:rsidR="005F57F6" w:rsidRPr="006D431D" w:rsidRDefault="005F57F6" w:rsidP="00225044">
            <w:pPr>
              <w:pStyle w:val="tvhtml"/>
              <w:spacing w:after="0" w:line="293" w:lineRule="atLeast"/>
              <w:jc w:val="center"/>
            </w:pPr>
            <w:r w:rsidRPr="006D431D">
              <w:t>+</w:t>
            </w:r>
          </w:p>
        </w:tc>
      </w:tr>
      <w:tr w:rsidR="005F57F6" w:rsidRPr="006D431D" w14:paraId="099785C9" w14:textId="494277B1" w:rsidTr="00486348">
        <w:tc>
          <w:tcPr>
            <w:tcW w:w="2410" w:type="dxa"/>
          </w:tcPr>
          <w:p w14:paraId="5F1F808B" w14:textId="77777777" w:rsidR="005F57F6" w:rsidRPr="006D431D" w:rsidRDefault="005F57F6" w:rsidP="00225044">
            <w:pPr>
              <w:pStyle w:val="tvhtml"/>
              <w:spacing w:after="0" w:line="293" w:lineRule="atLeast"/>
              <w:jc w:val="both"/>
            </w:pPr>
            <w:r w:rsidRPr="006D431D">
              <w:t>Subsīdijas patērētājiem siltuma vai transporta sektorā</w:t>
            </w:r>
          </w:p>
        </w:tc>
        <w:tc>
          <w:tcPr>
            <w:tcW w:w="709" w:type="dxa"/>
          </w:tcPr>
          <w:p w14:paraId="569345C9" w14:textId="77777777" w:rsidR="005F57F6" w:rsidRPr="006D431D" w:rsidRDefault="005F57F6" w:rsidP="00225044">
            <w:pPr>
              <w:pStyle w:val="tvhtml"/>
              <w:spacing w:after="0" w:line="293" w:lineRule="atLeast"/>
              <w:jc w:val="center"/>
            </w:pPr>
          </w:p>
        </w:tc>
        <w:tc>
          <w:tcPr>
            <w:tcW w:w="850" w:type="dxa"/>
          </w:tcPr>
          <w:p w14:paraId="6AE9226F" w14:textId="77777777" w:rsidR="005F57F6" w:rsidRPr="006D431D" w:rsidRDefault="005F57F6" w:rsidP="00225044">
            <w:pPr>
              <w:pStyle w:val="tvhtml"/>
              <w:spacing w:after="0" w:line="293" w:lineRule="atLeast"/>
              <w:jc w:val="center"/>
            </w:pPr>
            <w:r w:rsidRPr="006D431D">
              <w:t>+</w:t>
            </w:r>
          </w:p>
        </w:tc>
        <w:tc>
          <w:tcPr>
            <w:tcW w:w="709" w:type="dxa"/>
          </w:tcPr>
          <w:p w14:paraId="0CDAE42E" w14:textId="77777777" w:rsidR="005F57F6" w:rsidRPr="006D431D" w:rsidRDefault="005F57F6" w:rsidP="00225044">
            <w:pPr>
              <w:pStyle w:val="tvhtml"/>
              <w:spacing w:after="0" w:line="293" w:lineRule="atLeast"/>
              <w:jc w:val="center"/>
            </w:pPr>
            <w:r w:rsidRPr="006D431D">
              <w:t>+</w:t>
            </w:r>
          </w:p>
        </w:tc>
        <w:tc>
          <w:tcPr>
            <w:tcW w:w="709" w:type="dxa"/>
          </w:tcPr>
          <w:p w14:paraId="447062E5" w14:textId="77777777" w:rsidR="005F57F6" w:rsidRPr="006D431D" w:rsidRDefault="005F57F6" w:rsidP="00225044">
            <w:pPr>
              <w:pStyle w:val="tvhtml"/>
              <w:spacing w:after="0" w:line="293" w:lineRule="atLeast"/>
              <w:jc w:val="center"/>
            </w:pPr>
          </w:p>
        </w:tc>
        <w:tc>
          <w:tcPr>
            <w:tcW w:w="709" w:type="dxa"/>
          </w:tcPr>
          <w:p w14:paraId="268ECF26" w14:textId="77777777" w:rsidR="005F57F6" w:rsidRPr="006D431D" w:rsidRDefault="005F57F6" w:rsidP="00225044">
            <w:pPr>
              <w:pStyle w:val="tvhtml"/>
              <w:spacing w:after="0" w:line="293" w:lineRule="atLeast"/>
              <w:jc w:val="center"/>
            </w:pPr>
            <w:r w:rsidRPr="006D431D">
              <w:t>+</w:t>
            </w:r>
          </w:p>
        </w:tc>
        <w:tc>
          <w:tcPr>
            <w:tcW w:w="850" w:type="dxa"/>
          </w:tcPr>
          <w:p w14:paraId="4FADA41E" w14:textId="77777777" w:rsidR="005F57F6" w:rsidRPr="006D431D" w:rsidRDefault="005F57F6" w:rsidP="00225044">
            <w:pPr>
              <w:pStyle w:val="tvhtml"/>
              <w:spacing w:after="0" w:line="293" w:lineRule="atLeast"/>
              <w:jc w:val="center"/>
            </w:pPr>
            <w:r w:rsidRPr="006D431D">
              <w:t>+</w:t>
            </w:r>
          </w:p>
        </w:tc>
        <w:tc>
          <w:tcPr>
            <w:tcW w:w="709" w:type="dxa"/>
          </w:tcPr>
          <w:p w14:paraId="537DFF65" w14:textId="77777777" w:rsidR="005F57F6" w:rsidRPr="006D431D" w:rsidRDefault="005F57F6" w:rsidP="00225044">
            <w:pPr>
              <w:pStyle w:val="tvhtml"/>
              <w:spacing w:after="0" w:line="293" w:lineRule="atLeast"/>
              <w:jc w:val="center"/>
            </w:pPr>
            <w:r w:rsidRPr="006D431D">
              <w:t>+</w:t>
            </w:r>
          </w:p>
        </w:tc>
        <w:tc>
          <w:tcPr>
            <w:tcW w:w="709" w:type="dxa"/>
          </w:tcPr>
          <w:p w14:paraId="23BBA022" w14:textId="77777777" w:rsidR="005F57F6" w:rsidRPr="006D431D" w:rsidRDefault="005F57F6" w:rsidP="00225044">
            <w:pPr>
              <w:pStyle w:val="tvhtml"/>
              <w:spacing w:after="0" w:line="293" w:lineRule="atLeast"/>
              <w:jc w:val="center"/>
            </w:pPr>
            <w:r w:rsidRPr="006D431D">
              <w:t>+</w:t>
            </w:r>
          </w:p>
        </w:tc>
        <w:tc>
          <w:tcPr>
            <w:tcW w:w="708" w:type="dxa"/>
          </w:tcPr>
          <w:p w14:paraId="6FFAF50A" w14:textId="77777777" w:rsidR="005F57F6" w:rsidRPr="006D431D" w:rsidRDefault="005F57F6" w:rsidP="00225044">
            <w:pPr>
              <w:pStyle w:val="tvhtml"/>
              <w:spacing w:after="0" w:line="293" w:lineRule="atLeast"/>
              <w:jc w:val="center"/>
            </w:pPr>
            <w:r w:rsidRPr="006D431D">
              <w:t>+</w:t>
            </w:r>
          </w:p>
        </w:tc>
        <w:tc>
          <w:tcPr>
            <w:tcW w:w="709" w:type="dxa"/>
          </w:tcPr>
          <w:p w14:paraId="5B2CF0E0" w14:textId="2C7F33B5" w:rsidR="005F57F6" w:rsidRPr="006D431D" w:rsidRDefault="005F57F6" w:rsidP="00225044">
            <w:pPr>
              <w:pStyle w:val="tvhtml"/>
              <w:spacing w:after="0" w:line="293" w:lineRule="atLeast"/>
              <w:jc w:val="center"/>
            </w:pPr>
          </w:p>
        </w:tc>
      </w:tr>
      <w:tr w:rsidR="005F57F6" w:rsidRPr="006D431D" w14:paraId="5357DB0A" w14:textId="30ECA2C7" w:rsidTr="00486348">
        <w:tc>
          <w:tcPr>
            <w:tcW w:w="2410" w:type="dxa"/>
          </w:tcPr>
          <w:p w14:paraId="14F41AF5" w14:textId="77777777" w:rsidR="005F57F6" w:rsidRPr="006D431D" w:rsidRDefault="005F57F6" w:rsidP="00225044">
            <w:pPr>
              <w:pStyle w:val="tvhtml"/>
              <w:spacing w:after="0" w:line="293" w:lineRule="atLeast"/>
              <w:jc w:val="both"/>
            </w:pPr>
            <w:r w:rsidRPr="006D431D">
              <w:t>Nodokļu atvieglojumi</w:t>
            </w:r>
          </w:p>
        </w:tc>
        <w:tc>
          <w:tcPr>
            <w:tcW w:w="709" w:type="dxa"/>
          </w:tcPr>
          <w:p w14:paraId="73BADF8D" w14:textId="77777777" w:rsidR="005F57F6" w:rsidRPr="006D431D" w:rsidRDefault="005F57F6" w:rsidP="00225044">
            <w:pPr>
              <w:pStyle w:val="tvhtml"/>
              <w:spacing w:after="0" w:line="293" w:lineRule="atLeast"/>
              <w:jc w:val="center"/>
            </w:pPr>
            <w:r w:rsidRPr="006D431D">
              <w:t>+</w:t>
            </w:r>
          </w:p>
        </w:tc>
        <w:tc>
          <w:tcPr>
            <w:tcW w:w="850" w:type="dxa"/>
          </w:tcPr>
          <w:p w14:paraId="631F070D" w14:textId="77777777" w:rsidR="005F57F6" w:rsidRPr="006D431D" w:rsidRDefault="005F57F6" w:rsidP="00225044">
            <w:pPr>
              <w:pStyle w:val="tvhtml"/>
              <w:spacing w:after="0" w:line="293" w:lineRule="atLeast"/>
              <w:jc w:val="center"/>
            </w:pPr>
          </w:p>
        </w:tc>
        <w:tc>
          <w:tcPr>
            <w:tcW w:w="709" w:type="dxa"/>
          </w:tcPr>
          <w:p w14:paraId="385E6E0A" w14:textId="77777777" w:rsidR="005F57F6" w:rsidRPr="006D431D" w:rsidRDefault="005F57F6" w:rsidP="00225044">
            <w:pPr>
              <w:pStyle w:val="tvhtml"/>
              <w:spacing w:after="0" w:line="293" w:lineRule="atLeast"/>
              <w:jc w:val="center"/>
            </w:pPr>
            <w:r w:rsidRPr="006D431D">
              <w:t>+</w:t>
            </w:r>
          </w:p>
        </w:tc>
        <w:tc>
          <w:tcPr>
            <w:tcW w:w="709" w:type="dxa"/>
          </w:tcPr>
          <w:p w14:paraId="19B05A30" w14:textId="77777777" w:rsidR="005F57F6" w:rsidRPr="006D431D" w:rsidRDefault="005F57F6" w:rsidP="00225044">
            <w:pPr>
              <w:pStyle w:val="tvhtml"/>
              <w:spacing w:after="0" w:line="293" w:lineRule="atLeast"/>
              <w:jc w:val="center"/>
            </w:pPr>
            <w:r w:rsidRPr="006D431D">
              <w:t>+</w:t>
            </w:r>
          </w:p>
        </w:tc>
        <w:tc>
          <w:tcPr>
            <w:tcW w:w="709" w:type="dxa"/>
          </w:tcPr>
          <w:p w14:paraId="1D80B423" w14:textId="77777777" w:rsidR="005F57F6" w:rsidRPr="006D431D" w:rsidRDefault="005F57F6" w:rsidP="00225044">
            <w:pPr>
              <w:pStyle w:val="tvhtml"/>
              <w:spacing w:after="0" w:line="293" w:lineRule="atLeast"/>
              <w:jc w:val="center"/>
            </w:pPr>
          </w:p>
        </w:tc>
        <w:tc>
          <w:tcPr>
            <w:tcW w:w="850" w:type="dxa"/>
          </w:tcPr>
          <w:p w14:paraId="6D8B6E3D" w14:textId="77777777" w:rsidR="005F57F6" w:rsidRPr="006D431D" w:rsidRDefault="005F57F6" w:rsidP="00225044">
            <w:pPr>
              <w:pStyle w:val="tvhtml"/>
              <w:spacing w:after="0" w:line="293" w:lineRule="atLeast"/>
              <w:jc w:val="center"/>
            </w:pPr>
            <w:r w:rsidRPr="006D431D">
              <w:t>+</w:t>
            </w:r>
          </w:p>
        </w:tc>
        <w:tc>
          <w:tcPr>
            <w:tcW w:w="709" w:type="dxa"/>
          </w:tcPr>
          <w:p w14:paraId="19111DF6" w14:textId="77777777" w:rsidR="005F57F6" w:rsidRPr="006D431D" w:rsidRDefault="005F57F6" w:rsidP="00225044">
            <w:pPr>
              <w:pStyle w:val="tvhtml"/>
              <w:spacing w:after="0" w:line="293" w:lineRule="atLeast"/>
              <w:jc w:val="center"/>
            </w:pPr>
          </w:p>
        </w:tc>
        <w:tc>
          <w:tcPr>
            <w:tcW w:w="709" w:type="dxa"/>
          </w:tcPr>
          <w:p w14:paraId="40B72D53" w14:textId="77777777" w:rsidR="005F57F6" w:rsidRPr="006D431D" w:rsidRDefault="005F57F6" w:rsidP="00225044">
            <w:pPr>
              <w:pStyle w:val="tvhtml"/>
              <w:spacing w:after="0" w:line="293" w:lineRule="atLeast"/>
              <w:jc w:val="center"/>
            </w:pPr>
            <w:r w:rsidRPr="006D431D">
              <w:t>+</w:t>
            </w:r>
          </w:p>
        </w:tc>
        <w:tc>
          <w:tcPr>
            <w:tcW w:w="708" w:type="dxa"/>
          </w:tcPr>
          <w:p w14:paraId="4E52A384" w14:textId="77777777" w:rsidR="005F57F6" w:rsidRPr="006D431D" w:rsidRDefault="005F57F6" w:rsidP="00225044">
            <w:pPr>
              <w:pStyle w:val="tvhtml"/>
              <w:spacing w:after="0" w:line="293" w:lineRule="atLeast"/>
              <w:jc w:val="center"/>
            </w:pPr>
            <w:r w:rsidRPr="006D431D">
              <w:t>+</w:t>
            </w:r>
          </w:p>
        </w:tc>
        <w:tc>
          <w:tcPr>
            <w:tcW w:w="709" w:type="dxa"/>
          </w:tcPr>
          <w:p w14:paraId="32BF597B" w14:textId="6476C3CA" w:rsidR="005F57F6" w:rsidRPr="006D431D" w:rsidRDefault="005F57F6" w:rsidP="00225044">
            <w:pPr>
              <w:pStyle w:val="tvhtml"/>
              <w:spacing w:after="0" w:line="293" w:lineRule="atLeast"/>
              <w:jc w:val="center"/>
            </w:pPr>
            <w:r w:rsidRPr="006D431D">
              <w:t>+</w:t>
            </w:r>
          </w:p>
        </w:tc>
      </w:tr>
      <w:tr w:rsidR="005F57F6" w:rsidRPr="006D431D" w14:paraId="2C317702" w14:textId="47B997F7" w:rsidTr="00486348">
        <w:tc>
          <w:tcPr>
            <w:tcW w:w="2410" w:type="dxa"/>
          </w:tcPr>
          <w:p w14:paraId="6C7AF189" w14:textId="77777777" w:rsidR="005F57F6" w:rsidRPr="006D431D" w:rsidRDefault="005F57F6" w:rsidP="00225044">
            <w:pPr>
              <w:pStyle w:val="tvhtml"/>
              <w:spacing w:after="0" w:line="293" w:lineRule="atLeast"/>
              <w:jc w:val="both"/>
            </w:pPr>
            <w:r w:rsidRPr="006D431D">
              <w:t>Investīciju atbalsts gāzes uzpildes iekārtām</w:t>
            </w:r>
          </w:p>
        </w:tc>
        <w:tc>
          <w:tcPr>
            <w:tcW w:w="709" w:type="dxa"/>
          </w:tcPr>
          <w:p w14:paraId="43910BFB" w14:textId="77777777" w:rsidR="005F57F6" w:rsidRPr="006D431D" w:rsidRDefault="005F57F6" w:rsidP="00225044">
            <w:pPr>
              <w:pStyle w:val="tvhtml"/>
              <w:spacing w:after="0" w:line="293" w:lineRule="atLeast"/>
              <w:jc w:val="center"/>
            </w:pPr>
          </w:p>
        </w:tc>
        <w:tc>
          <w:tcPr>
            <w:tcW w:w="850" w:type="dxa"/>
          </w:tcPr>
          <w:p w14:paraId="2E8575B9" w14:textId="77777777" w:rsidR="005F57F6" w:rsidRPr="006D431D" w:rsidRDefault="005F57F6" w:rsidP="00225044">
            <w:pPr>
              <w:pStyle w:val="tvhtml"/>
              <w:spacing w:after="0" w:line="293" w:lineRule="atLeast"/>
              <w:jc w:val="center"/>
            </w:pPr>
          </w:p>
        </w:tc>
        <w:tc>
          <w:tcPr>
            <w:tcW w:w="709" w:type="dxa"/>
          </w:tcPr>
          <w:p w14:paraId="5102165E" w14:textId="77777777" w:rsidR="005F57F6" w:rsidRPr="006D431D" w:rsidRDefault="005F57F6" w:rsidP="00225044">
            <w:pPr>
              <w:pStyle w:val="tvhtml"/>
              <w:spacing w:after="0" w:line="293" w:lineRule="atLeast"/>
              <w:jc w:val="center"/>
            </w:pPr>
          </w:p>
        </w:tc>
        <w:tc>
          <w:tcPr>
            <w:tcW w:w="709" w:type="dxa"/>
          </w:tcPr>
          <w:p w14:paraId="5820FE05" w14:textId="77777777" w:rsidR="005F57F6" w:rsidRPr="006D431D" w:rsidRDefault="005F57F6" w:rsidP="00225044">
            <w:pPr>
              <w:pStyle w:val="tvhtml"/>
              <w:spacing w:after="0" w:line="293" w:lineRule="atLeast"/>
              <w:jc w:val="center"/>
            </w:pPr>
          </w:p>
        </w:tc>
        <w:tc>
          <w:tcPr>
            <w:tcW w:w="709" w:type="dxa"/>
          </w:tcPr>
          <w:p w14:paraId="04BDF8E9" w14:textId="77777777" w:rsidR="005F57F6" w:rsidRPr="006D431D" w:rsidRDefault="005F57F6" w:rsidP="00225044">
            <w:pPr>
              <w:pStyle w:val="tvhtml"/>
              <w:spacing w:after="0" w:line="293" w:lineRule="atLeast"/>
              <w:jc w:val="center"/>
            </w:pPr>
          </w:p>
        </w:tc>
        <w:tc>
          <w:tcPr>
            <w:tcW w:w="850" w:type="dxa"/>
          </w:tcPr>
          <w:p w14:paraId="0702B620" w14:textId="77777777" w:rsidR="005F57F6" w:rsidRPr="006D431D" w:rsidRDefault="005F57F6" w:rsidP="00225044">
            <w:pPr>
              <w:pStyle w:val="tvhtml"/>
              <w:spacing w:after="0" w:line="293" w:lineRule="atLeast"/>
              <w:jc w:val="center"/>
            </w:pPr>
          </w:p>
        </w:tc>
        <w:tc>
          <w:tcPr>
            <w:tcW w:w="709" w:type="dxa"/>
          </w:tcPr>
          <w:p w14:paraId="0E1194F0" w14:textId="77777777" w:rsidR="005F57F6" w:rsidRPr="006D431D" w:rsidRDefault="005F57F6" w:rsidP="00225044">
            <w:pPr>
              <w:pStyle w:val="tvhtml"/>
              <w:spacing w:after="0" w:line="293" w:lineRule="atLeast"/>
              <w:jc w:val="center"/>
            </w:pPr>
          </w:p>
        </w:tc>
        <w:tc>
          <w:tcPr>
            <w:tcW w:w="709" w:type="dxa"/>
          </w:tcPr>
          <w:p w14:paraId="538B6E36" w14:textId="77777777" w:rsidR="005F57F6" w:rsidRPr="006D431D" w:rsidRDefault="005F57F6" w:rsidP="00225044">
            <w:pPr>
              <w:pStyle w:val="tvhtml"/>
              <w:spacing w:after="0" w:line="293" w:lineRule="atLeast"/>
              <w:jc w:val="center"/>
            </w:pPr>
          </w:p>
        </w:tc>
        <w:tc>
          <w:tcPr>
            <w:tcW w:w="708" w:type="dxa"/>
          </w:tcPr>
          <w:p w14:paraId="27100235" w14:textId="77777777" w:rsidR="005F57F6" w:rsidRPr="006D431D" w:rsidRDefault="005F57F6" w:rsidP="00225044">
            <w:pPr>
              <w:pStyle w:val="tvhtml"/>
              <w:spacing w:after="0" w:line="293" w:lineRule="atLeast"/>
              <w:jc w:val="center"/>
            </w:pPr>
            <w:r w:rsidRPr="006D431D">
              <w:t>+</w:t>
            </w:r>
          </w:p>
        </w:tc>
        <w:tc>
          <w:tcPr>
            <w:tcW w:w="709" w:type="dxa"/>
          </w:tcPr>
          <w:p w14:paraId="1C59C3CA" w14:textId="24C38D0F" w:rsidR="005F57F6" w:rsidRPr="006D431D" w:rsidRDefault="005F57F6" w:rsidP="00225044">
            <w:pPr>
              <w:pStyle w:val="tvhtml"/>
              <w:spacing w:after="0" w:line="293" w:lineRule="atLeast"/>
              <w:jc w:val="center"/>
            </w:pPr>
          </w:p>
        </w:tc>
      </w:tr>
      <w:tr w:rsidR="005F57F6" w:rsidRPr="006D431D" w14:paraId="68415FE1" w14:textId="644013A5" w:rsidTr="00486348">
        <w:tc>
          <w:tcPr>
            <w:tcW w:w="2410" w:type="dxa"/>
          </w:tcPr>
          <w:p w14:paraId="00AF53B5" w14:textId="77777777" w:rsidR="005F57F6" w:rsidRPr="006D431D" w:rsidRDefault="005F57F6" w:rsidP="00225044">
            <w:pPr>
              <w:pStyle w:val="tvhtml"/>
              <w:spacing w:after="0" w:line="293" w:lineRule="atLeast"/>
              <w:jc w:val="both"/>
            </w:pPr>
            <w:r w:rsidRPr="006D431D">
              <w:t>Informatīvs atbalsts</w:t>
            </w:r>
          </w:p>
        </w:tc>
        <w:tc>
          <w:tcPr>
            <w:tcW w:w="709" w:type="dxa"/>
          </w:tcPr>
          <w:p w14:paraId="612B0145" w14:textId="77777777" w:rsidR="005F57F6" w:rsidRPr="006D431D" w:rsidRDefault="005F57F6" w:rsidP="00225044">
            <w:pPr>
              <w:pStyle w:val="tvhtml"/>
              <w:spacing w:after="0" w:line="293" w:lineRule="atLeast"/>
              <w:jc w:val="center"/>
            </w:pPr>
            <w:r w:rsidRPr="006D431D">
              <w:t>+</w:t>
            </w:r>
          </w:p>
        </w:tc>
        <w:tc>
          <w:tcPr>
            <w:tcW w:w="850" w:type="dxa"/>
          </w:tcPr>
          <w:p w14:paraId="49DCAEF3" w14:textId="77777777" w:rsidR="005F57F6" w:rsidRPr="006D431D" w:rsidRDefault="005F57F6" w:rsidP="00225044">
            <w:pPr>
              <w:pStyle w:val="tvhtml"/>
              <w:spacing w:after="0" w:line="293" w:lineRule="atLeast"/>
              <w:jc w:val="center"/>
            </w:pPr>
            <w:r w:rsidRPr="006D431D">
              <w:t>+</w:t>
            </w:r>
          </w:p>
        </w:tc>
        <w:tc>
          <w:tcPr>
            <w:tcW w:w="709" w:type="dxa"/>
          </w:tcPr>
          <w:p w14:paraId="32308163" w14:textId="77777777" w:rsidR="005F57F6" w:rsidRPr="006D431D" w:rsidRDefault="005F57F6" w:rsidP="00225044">
            <w:pPr>
              <w:pStyle w:val="tvhtml"/>
              <w:spacing w:after="0" w:line="293" w:lineRule="atLeast"/>
              <w:jc w:val="center"/>
            </w:pPr>
            <w:r w:rsidRPr="006D431D">
              <w:t>+</w:t>
            </w:r>
          </w:p>
        </w:tc>
        <w:tc>
          <w:tcPr>
            <w:tcW w:w="709" w:type="dxa"/>
          </w:tcPr>
          <w:p w14:paraId="09E07607" w14:textId="77777777" w:rsidR="005F57F6" w:rsidRPr="006D431D" w:rsidRDefault="005F57F6" w:rsidP="00225044">
            <w:pPr>
              <w:pStyle w:val="tvhtml"/>
              <w:spacing w:after="0" w:line="293" w:lineRule="atLeast"/>
              <w:jc w:val="center"/>
            </w:pPr>
            <w:r w:rsidRPr="006D431D">
              <w:t>+</w:t>
            </w:r>
          </w:p>
        </w:tc>
        <w:tc>
          <w:tcPr>
            <w:tcW w:w="709" w:type="dxa"/>
          </w:tcPr>
          <w:p w14:paraId="031CB3D4" w14:textId="77777777" w:rsidR="005F57F6" w:rsidRPr="006D431D" w:rsidRDefault="005F57F6" w:rsidP="00225044">
            <w:pPr>
              <w:pStyle w:val="tvhtml"/>
              <w:spacing w:after="0" w:line="293" w:lineRule="atLeast"/>
              <w:jc w:val="center"/>
            </w:pPr>
            <w:r w:rsidRPr="006D431D">
              <w:t>+</w:t>
            </w:r>
          </w:p>
        </w:tc>
        <w:tc>
          <w:tcPr>
            <w:tcW w:w="850" w:type="dxa"/>
          </w:tcPr>
          <w:p w14:paraId="7F2B71DA" w14:textId="77777777" w:rsidR="005F57F6" w:rsidRPr="006D431D" w:rsidRDefault="005F57F6" w:rsidP="00225044">
            <w:pPr>
              <w:pStyle w:val="tvhtml"/>
              <w:spacing w:after="0" w:line="293" w:lineRule="atLeast"/>
              <w:jc w:val="center"/>
            </w:pPr>
            <w:r w:rsidRPr="006D431D">
              <w:t>+</w:t>
            </w:r>
          </w:p>
        </w:tc>
        <w:tc>
          <w:tcPr>
            <w:tcW w:w="709" w:type="dxa"/>
          </w:tcPr>
          <w:p w14:paraId="40BBADFC" w14:textId="77777777" w:rsidR="005F57F6" w:rsidRPr="006D431D" w:rsidRDefault="005F57F6" w:rsidP="00225044">
            <w:pPr>
              <w:pStyle w:val="tvhtml"/>
              <w:spacing w:after="0" w:line="293" w:lineRule="atLeast"/>
              <w:jc w:val="center"/>
            </w:pPr>
            <w:r w:rsidRPr="006D431D">
              <w:t>+</w:t>
            </w:r>
          </w:p>
        </w:tc>
        <w:tc>
          <w:tcPr>
            <w:tcW w:w="709" w:type="dxa"/>
          </w:tcPr>
          <w:p w14:paraId="7B0E7BC7" w14:textId="77777777" w:rsidR="005F57F6" w:rsidRPr="006D431D" w:rsidRDefault="005F57F6" w:rsidP="00225044">
            <w:pPr>
              <w:pStyle w:val="tvhtml"/>
              <w:spacing w:after="0" w:line="293" w:lineRule="atLeast"/>
              <w:jc w:val="center"/>
            </w:pPr>
            <w:r w:rsidRPr="006D431D">
              <w:t>+</w:t>
            </w:r>
          </w:p>
        </w:tc>
        <w:tc>
          <w:tcPr>
            <w:tcW w:w="708" w:type="dxa"/>
          </w:tcPr>
          <w:p w14:paraId="75AF7C53" w14:textId="77777777" w:rsidR="005F57F6" w:rsidRPr="006D431D" w:rsidRDefault="005F57F6" w:rsidP="00225044">
            <w:pPr>
              <w:pStyle w:val="tvhtml"/>
              <w:spacing w:after="0" w:line="293" w:lineRule="atLeast"/>
              <w:jc w:val="center"/>
            </w:pPr>
            <w:r w:rsidRPr="006D431D">
              <w:t>+</w:t>
            </w:r>
          </w:p>
        </w:tc>
        <w:tc>
          <w:tcPr>
            <w:tcW w:w="709" w:type="dxa"/>
          </w:tcPr>
          <w:p w14:paraId="5ED17F2E" w14:textId="16A12CEE" w:rsidR="005F57F6" w:rsidRPr="006D431D" w:rsidRDefault="005F57F6" w:rsidP="00225044">
            <w:pPr>
              <w:pStyle w:val="tvhtml"/>
              <w:spacing w:after="0" w:line="293" w:lineRule="atLeast"/>
              <w:jc w:val="center"/>
            </w:pPr>
            <w:r w:rsidRPr="006D431D">
              <w:t>+</w:t>
            </w:r>
          </w:p>
        </w:tc>
      </w:tr>
    </w:tbl>
    <w:p w14:paraId="7745DEE2" w14:textId="4874EB4A" w:rsidR="005F57F6" w:rsidRPr="006D431D" w:rsidRDefault="005F57F6">
      <w:pPr>
        <w:pStyle w:val="tvhtml"/>
        <w:shd w:val="clear" w:color="auto" w:fill="FFFFFF"/>
        <w:spacing w:before="280" w:after="280" w:line="293" w:lineRule="atLeast"/>
        <w:ind w:firstLine="300"/>
        <w:jc w:val="both"/>
      </w:pPr>
      <w:r w:rsidRPr="006D431D">
        <w:t>Atbalsta pasākumi biogāzes un biometāna tirgus attīstībai Latvijā dotajā tabulā nav detalizēti uzrādīti, jo tie tiek izskatīti informatīvā ziņojuma kontekstā.</w:t>
      </w:r>
    </w:p>
    <w:p w14:paraId="2F0831F3" w14:textId="6434C6B8" w:rsidR="00C32B9F" w:rsidRPr="006D431D" w:rsidRDefault="002B39A1">
      <w:pPr>
        <w:pStyle w:val="tvhtml"/>
        <w:shd w:val="clear" w:color="auto" w:fill="FFFFFF"/>
        <w:spacing w:before="280" w:after="280" w:line="293" w:lineRule="atLeast"/>
        <w:ind w:firstLine="300"/>
        <w:jc w:val="both"/>
      </w:pPr>
      <w:r w:rsidRPr="006D431D">
        <w:t xml:space="preserve">Šobrīd esošas specifiskas politikas biometāna atbalstam </w:t>
      </w:r>
      <w:r w:rsidRPr="006D431D">
        <w:rPr>
          <w:rStyle w:val="FootnoteAnchor"/>
        </w:rPr>
        <w:footnoteReference w:id="28"/>
      </w:r>
      <w:r w:rsidRPr="006D431D">
        <w:t xml:space="preserve"> no ES valstīm identificētas Igaunijā un Itālijā. Igaunijā biometānam maksā subsīdiju 3 gadu periodā, kas pagarināts vēl uz 3 gadiem līdz 2023. gadam pēc formulas: 100 </w:t>
      </w:r>
      <w:proofErr w:type="spellStart"/>
      <w:r w:rsidRPr="006D431D">
        <w:rPr>
          <w:i/>
          <w:iCs/>
        </w:rPr>
        <w:t>euro</w:t>
      </w:r>
      <w:proofErr w:type="spellEnd"/>
      <w:r w:rsidRPr="006D431D">
        <w:t>/</w:t>
      </w:r>
      <w:proofErr w:type="spellStart"/>
      <w:r w:rsidRPr="006D431D">
        <w:t>MWh</w:t>
      </w:r>
      <w:proofErr w:type="spellEnd"/>
      <w:r w:rsidRPr="006D431D">
        <w:t xml:space="preserve"> – dabasgāzes tirgus cena. Itālijā subsīdiju maksā par sertificētu biogāzes vienību, kas sastāda 32,24 </w:t>
      </w:r>
      <w:proofErr w:type="spellStart"/>
      <w:r w:rsidRPr="006D431D">
        <w:rPr>
          <w:i/>
          <w:iCs/>
        </w:rPr>
        <w:t>euro</w:t>
      </w:r>
      <w:proofErr w:type="spellEnd"/>
      <w:r w:rsidRPr="006D431D">
        <w:t>/</w:t>
      </w:r>
      <w:proofErr w:type="spellStart"/>
      <w:r w:rsidRPr="006D431D">
        <w:t>MWh</w:t>
      </w:r>
      <w:proofErr w:type="spellEnd"/>
      <w:r w:rsidRPr="006D431D">
        <w:t xml:space="preserve"> parastam, bet 64,54 </w:t>
      </w:r>
      <w:proofErr w:type="spellStart"/>
      <w:r w:rsidRPr="006D431D">
        <w:rPr>
          <w:i/>
          <w:iCs/>
        </w:rPr>
        <w:t>euro</w:t>
      </w:r>
      <w:proofErr w:type="spellEnd"/>
      <w:r w:rsidRPr="006D431D">
        <w:t>/</w:t>
      </w:r>
      <w:proofErr w:type="spellStart"/>
      <w:r w:rsidRPr="006D431D">
        <w:t>MWh</w:t>
      </w:r>
      <w:proofErr w:type="spellEnd"/>
      <w:r w:rsidRPr="006D431D">
        <w:t xml:space="preserve"> modernam </w:t>
      </w:r>
      <w:proofErr w:type="spellStart"/>
      <w:r w:rsidRPr="006D431D">
        <w:t>biometānām</w:t>
      </w:r>
      <w:proofErr w:type="spellEnd"/>
      <w:r w:rsidRPr="006D431D">
        <w:t xml:space="preserve">. Atbalsta programmas šajās valstīs ir kompleksas – Igaunija ar investīciju atbalstu 50% apmērā veicina uzpildes staciju būvniecību, Itālijā ar subsīdiju atbalsta transportlīdzekļu pārbūvi vai iegādi. Aprēķinātais atbalsta apjoms un ilgums biometāna ražošanai dažādās valstīs parādīts </w:t>
      </w:r>
      <w:r w:rsidR="00376FB3" w:rsidRPr="006D431D">
        <w:t>6</w:t>
      </w:r>
      <w:r w:rsidRPr="006D431D">
        <w:t>. tabulā.</w:t>
      </w:r>
    </w:p>
    <w:p w14:paraId="687110BD" w14:textId="673E349F" w:rsidR="00C32B9F" w:rsidRPr="006D431D" w:rsidRDefault="005A03D2">
      <w:pPr>
        <w:pStyle w:val="tvhtml"/>
        <w:shd w:val="clear" w:color="auto" w:fill="FFFFFF"/>
        <w:spacing w:before="280" w:after="280" w:line="293" w:lineRule="atLeast"/>
        <w:ind w:firstLine="300"/>
        <w:jc w:val="right"/>
      </w:pPr>
      <w:r w:rsidRPr="006D431D">
        <w:rPr>
          <w:b/>
          <w:bCs/>
        </w:rPr>
        <w:t>6</w:t>
      </w:r>
      <w:r w:rsidR="002B39A1" w:rsidRPr="006D431D">
        <w:rPr>
          <w:b/>
          <w:bCs/>
        </w:rPr>
        <w:t>. tabula. Atbalsta apjoms un ilgums dažādās ES valstīs biometāna ražošanai</w:t>
      </w:r>
      <w:r w:rsidR="002B39A1" w:rsidRPr="006D431D">
        <w:rPr>
          <w:rStyle w:val="FootnoteAnchor"/>
        </w:rPr>
        <w:footnoteReference w:id="29"/>
      </w:r>
    </w:p>
    <w:tbl>
      <w:tblPr>
        <w:tblStyle w:val="TableGrid"/>
        <w:tblW w:w="9350" w:type="dxa"/>
        <w:tblLayout w:type="fixed"/>
        <w:tblLook w:val="04A0" w:firstRow="1" w:lastRow="0" w:firstColumn="1" w:lastColumn="0" w:noHBand="0" w:noVBand="1"/>
      </w:tblPr>
      <w:tblGrid>
        <w:gridCol w:w="624"/>
        <w:gridCol w:w="2161"/>
        <w:gridCol w:w="2249"/>
        <w:gridCol w:w="1440"/>
        <w:gridCol w:w="2876"/>
      </w:tblGrid>
      <w:tr w:rsidR="00A618CA" w:rsidRPr="006D431D" w14:paraId="21F45368" w14:textId="77777777">
        <w:tc>
          <w:tcPr>
            <w:tcW w:w="624" w:type="dxa"/>
          </w:tcPr>
          <w:p w14:paraId="549C1E37" w14:textId="77777777" w:rsidR="00C32B9F" w:rsidRPr="006D431D" w:rsidRDefault="002B39A1">
            <w:pPr>
              <w:spacing w:after="0" w:line="240" w:lineRule="auto"/>
              <w:rPr>
                <w:rFonts w:ascii="Times New Roman" w:eastAsia="Calibri" w:hAnsi="Times New Roman" w:cs="Times New Roman"/>
                <w:b/>
                <w:bCs/>
                <w:sz w:val="24"/>
                <w:szCs w:val="24"/>
              </w:rPr>
            </w:pPr>
            <w:proofErr w:type="spellStart"/>
            <w:r w:rsidRPr="006D431D">
              <w:rPr>
                <w:rFonts w:ascii="Times New Roman" w:eastAsia="Calibri" w:hAnsi="Times New Roman" w:cs="Times New Roman"/>
                <w:b/>
                <w:bCs/>
                <w:sz w:val="24"/>
                <w:szCs w:val="24"/>
              </w:rPr>
              <w:t>Nr</w:t>
            </w:r>
            <w:proofErr w:type="spellEnd"/>
          </w:p>
        </w:tc>
        <w:tc>
          <w:tcPr>
            <w:tcW w:w="2161" w:type="dxa"/>
          </w:tcPr>
          <w:p w14:paraId="044011FB" w14:textId="77777777" w:rsidR="00C32B9F" w:rsidRPr="006D431D" w:rsidRDefault="002B39A1">
            <w:pPr>
              <w:spacing w:after="0" w:line="240" w:lineRule="auto"/>
              <w:rPr>
                <w:rFonts w:ascii="Times New Roman" w:eastAsia="Calibri" w:hAnsi="Times New Roman" w:cs="Times New Roman"/>
                <w:b/>
                <w:bCs/>
                <w:sz w:val="24"/>
                <w:szCs w:val="24"/>
              </w:rPr>
            </w:pPr>
            <w:r w:rsidRPr="006D431D">
              <w:rPr>
                <w:rFonts w:ascii="Times New Roman" w:eastAsia="Calibri" w:hAnsi="Times New Roman" w:cs="Times New Roman"/>
                <w:b/>
                <w:bCs/>
                <w:sz w:val="24"/>
                <w:szCs w:val="24"/>
              </w:rPr>
              <w:t>Valsts</w:t>
            </w:r>
          </w:p>
        </w:tc>
        <w:tc>
          <w:tcPr>
            <w:tcW w:w="2249" w:type="dxa"/>
          </w:tcPr>
          <w:p w14:paraId="28FE702D" w14:textId="77777777" w:rsidR="00C32B9F" w:rsidRPr="006D431D" w:rsidRDefault="002B39A1">
            <w:pPr>
              <w:spacing w:after="0" w:line="240" w:lineRule="auto"/>
              <w:rPr>
                <w:rFonts w:ascii="Times New Roman" w:eastAsia="Calibri" w:hAnsi="Times New Roman" w:cs="Times New Roman"/>
                <w:b/>
                <w:bCs/>
                <w:sz w:val="24"/>
                <w:szCs w:val="24"/>
              </w:rPr>
            </w:pPr>
            <w:r w:rsidRPr="006D431D">
              <w:rPr>
                <w:rFonts w:ascii="Times New Roman" w:eastAsia="Calibri" w:hAnsi="Times New Roman" w:cs="Times New Roman"/>
                <w:b/>
                <w:bCs/>
                <w:sz w:val="24"/>
                <w:szCs w:val="24"/>
              </w:rPr>
              <w:t xml:space="preserve">Atbalsta apjoms biometānam </w:t>
            </w:r>
            <w:proofErr w:type="spellStart"/>
            <w:r w:rsidRPr="006D431D">
              <w:rPr>
                <w:rFonts w:ascii="Times New Roman" w:eastAsia="Calibri" w:hAnsi="Times New Roman" w:cs="Times New Roman"/>
                <w:b/>
                <w:bCs/>
                <w:i/>
                <w:iCs/>
                <w:sz w:val="24"/>
                <w:szCs w:val="24"/>
              </w:rPr>
              <w:t>euro</w:t>
            </w:r>
            <w:proofErr w:type="spellEnd"/>
            <w:r w:rsidRPr="006D431D">
              <w:rPr>
                <w:rFonts w:ascii="Times New Roman" w:eastAsia="Calibri" w:hAnsi="Times New Roman" w:cs="Times New Roman"/>
                <w:b/>
                <w:bCs/>
                <w:sz w:val="24"/>
                <w:szCs w:val="24"/>
              </w:rPr>
              <w:t>/</w:t>
            </w:r>
            <w:proofErr w:type="spellStart"/>
            <w:r w:rsidRPr="006D431D">
              <w:rPr>
                <w:rFonts w:ascii="Times New Roman" w:eastAsia="Calibri" w:hAnsi="Times New Roman" w:cs="Times New Roman"/>
                <w:b/>
                <w:bCs/>
                <w:sz w:val="24"/>
                <w:szCs w:val="24"/>
              </w:rPr>
              <w:t>MWh</w:t>
            </w:r>
            <w:proofErr w:type="spellEnd"/>
          </w:p>
        </w:tc>
        <w:tc>
          <w:tcPr>
            <w:tcW w:w="1440" w:type="dxa"/>
          </w:tcPr>
          <w:p w14:paraId="44222558" w14:textId="77777777" w:rsidR="00C32B9F" w:rsidRPr="006D431D" w:rsidRDefault="002B39A1">
            <w:pPr>
              <w:spacing w:after="0" w:line="240" w:lineRule="auto"/>
              <w:rPr>
                <w:rFonts w:ascii="Times New Roman" w:eastAsia="Calibri" w:hAnsi="Times New Roman" w:cs="Times New Roman"/>
                <w:b/>
                <w:bCs/>
                <w:sz w:val="24"/>
                <w:szCs w:val="24"/>
              </w:rPr>
            </w:pPr>
            <w:r w:rsidRPr="006D431D">
              <w:rPr>
                <w:rFonts w:ascii="Times New Roman" w:eastAsia="Calibri" w:hAnsi="Times New Roman" w:cs="Times New Roman"/>
                <w:b/>
                <w:bCs/>
                <w:sz w:val="24"/>
                <w:szCs w:val="24"/>
              </w:rPr>
              <w:t>Atbalsta ilgums</w:t>
            </w:r>
          </w:p>
        </w:tc>
        <w:tc>
          <w:tcPr>
            <w:tcW w:w="2876" w:type="dxa"/>
          </w:tcPr>
          <w:p w14:paraId="6CFF873E" w14:textId="77777777" w:rsidR="00C32B9F" w:rsidRPr="006D431D" w:rsidRDefault="002B39A1">
            <w:pPr>
              <w:spacing w:after="0" w:line="240" w:lineRule="auto"/>
              <w:rPr>
                <w:rFonts w:ascii="Times New Roman" w:eastAsia="Calibri" w:hAnsi="Times New Roman" w:cs="Times New Roman"/>
                <w:b/>
                <w:bCs/>
                <w:sz w:val="24"/>
                <w:szCs w:val="24"/>
              </w:rPr>
            </w:pPr>
            <w:r w:rsidRPr="006D431D">
              <w:rPr>
                <w:rFonts w:ascii="Times New Roman" w:eastAsia="Calibri" w:hAnsi="Times New Roman" w:cs="Times New Roman"/>
                <w:b/>
                <w:bCs/>
                <w:sz w:val="24"/>
                <w:szCs w:val="24"/>
              </w:rPr>
              <w:t>Piezīmes</w:t>
            </w:r>
          </w:p>
        </w:tc>
      </w:tr>
      <w:tr w:rsidR="00A618CA" w:rsidRPr="006D431D" w14:paraId="5C75429F" w14:textId="77777777">
        <w:tc>
          <w:tcPr>
            <w:tcW w:w="624" w:type="dxa"/>
          </w:tcPr>
          <w:p w14:paraId="35307641" w14:textId="77777777" w:rsidR="00C32B9F" w:rsidRPr="006D431D" w:rsidRDefault="002B39A1">
            <w:pPr>
              <w:spacing w:after="0" w:line="240" w:lineRule="auto"/>
              <w:rPr>
                <w:rFonts w:ascii="Times New Roman" w:eastAsia="Calibri" w:hAnsi="Times New Roman" w:cs="Times New Roman"/>
                <w:sz w:val="24"/>
                <w:szCs w:val="24"/>
              </w:rPr>
            </w:pPr>
            <w:r w:rsidRPr="006D431D">
              <w:rPr>
                <w:rFonts w:ascii="Times New Roman" w:eastAsia="Calibri" w:hAnsi="Times New Roman" w:cs="Times New Roman"/>
                <w:sz w:val="24"/>
                <w:szCs w:val="24"/>
              </w:rPr>
              <w:t>1.</w:t>
            </w:r>
          </w:p>
        </w:tc>
        <w:tc>
          <w:tcPr>
            <w:tcW w:w="2161" w:type="dxa"/>
          </w:tcPr>
          <w:p w14:paraId="1F355B4E" w14:textId="77777777" w:rsidR="00C32B9F" w:rsidRPr="006D431D" w:rsidRDefault="002B39A1">
            <w:pPr>
              <w:spacing w:after="0" w:line="240" w:lineRule="auto"/>
              <w:rPr>
                <w:rFonts w:ascii="Times New Roman" w:eastAsia="Calibri" w:hAnsi="Times New Roman" w:cs="Times New Roman"/>
                <w:sz w:val="24"/>
                <w:szCs w:val="24"/>
              </w:rPr>
            </w:pPr>
            <w:r w:rsidRPr="006D431D">
              <w:rPr>
                <w:rFonts w:ascii="Times New Roman" w:eastAsia="Calibri" w:hAnsi="Times New Roman" w:cs="Times New Roman"/>
                <w:sz w:val="24"/>
                <w:szCs w:val="24"/>
              </w:rPr>
              <w:t xml:space="preserve">Austrija </w:t>
            </w:r>
          </w:p>
        </w:tc>
        <w:tc>
          <w:tcPr>
            <w:tcW w:w="2249" w:type="dxa"/>
          </w:tcPr>
          <w:p w14:paraId="5CFC81F2" w14:textId="77777777" w:rsidR="00C32B9F" w:rsidRPr="006D431D" w:rsidRDefault="002B39A1">
            <w:pPr>
              <w:spacing w:after="0" w:line="240" w:lineRule="auto"/>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17</w:t>
            </w:r>
          </w:p>
        </w:tc>
        <w:tc>
          <w:tcPr>
            <w:tcW w:w="1440" w:type="dxa"/>
          </w:tcPr>
          <w:p w14:paraId="5E120D1C" w14:textId="77777777" w:rsidR="00C32B9F" w:rsidRPr="006D431D" w:rsidRDefault="002B39A1">
            <w:pPr>
              <w:spacing w:after="0" w:line="240" w:lineRule="auto"/>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15</w:t>
            </w:r>
          </w:p>
        </w:tc>
        <w:tc>
          <w:tcPr>
            <w:tcW w:w="2876" w:type="dxa"/>
          </w:tcPr>
          <w:p w14:paraId="758DD019" w14:textId="77777777" w:rsidR="00C32B9F" w:rsidRPr="006D431D" w:rsidRDefault="002B39A1">
            <w:pPr>
              <w:spacing w:after="0" w:line="240" w:lineRule="auto"/>
              <w:rPr>
                <w:rFonts w:ascii="Times New Roman" w:eastAsia="Calibri" w:hAnsi="Times New Roman" w:cs="Times New Roman"/>
                <w:sz w:val="24"/>
                <w:szCs w:val="24"/>
              </w:rPr>
            </w:pPr>
            <w:r w:rsidRPr="006D431D">
              <w:rPr>
                <w:rFonts w:ascii="Times New Roman" w:eastAsia="Calibri" w:hAnsi="Times New Roman" w:cs="Times New Roman"/>
                <w:sz w:val="24"/>
                <w:szCs w:val="24"/>
              </w:rPr>
              <w:t>Atbalsts elektroenerģijas ražošanai</w:t>
            </w:r>
          </w:p>
        </w:tc>
      </w:tr>
      <w:tr w:rsidR="00A618CA" w:rsidRPr="006D431D" w14:paraId="30B9C216" w14:textId="77777777">
        <w:tc>
          <w:tcPr>
            <w:tcW w:w="624" w:type="dxa"/>
          </w:tcPr>
          <w:p w14:paraId="1989AB33" w14:textId="77777777" w:rsidR="00C32B9F" w:rsidRPr="006D431D" w:rsidRDefault="002B39A1">
            <w:pPr>
              <w:spacing w:after="0" w:line="240" w:lineRule="auto"/>
              <w:rPr>
                <w:rFonts w:ascii="Times New Roman" w:eastAsia="Calibri" w:hAnsi="Times New Roman" w:cs="Times New Roman"/>
                <w:sz w:val="24"/>
                <w:szCs w:val="24"/>
              </w:rPr>
            </w:pPr>
            <w:r w:rsidRPr="006D431D">
              <w:rPr>
                <w:rFonts w:ascii="Times New Roman" w:eastAsia="Calibri" w:hAnsi="Times New Roman" w:cs="Times New Roman"/>
                <w:sz w:val="24"/>
                <w:szCs w:val="24"/>
              </w:rPr>
              <w:t>2.</w:t>
            </w:r>
          </w:p>
        </w:tc>
        <w:tc>
          <w:tcPr>
            <w:tcW w:w="2161" w:type="dxa"/>
          </w:tcPr>
          <w:p w14:paraId="51798A69" w14:textId="77777777" w:rsidR="00C32B9F" w:rsidRPr="006D431D" w:rsidRDefault="002B39A1">
            <w:pPr>
              <w:spacing w:after="0" w:line="240" w:lineRule="auto"/>
              <w:rPr>
                <w:rFonts w:ascii="Times New Roman" w:eastAsia="Calibri" w:hAnsi="Times New Roman" w:cs="Times New Roman"/>
                <w:sz w:val="24"/>
                <w:szCs w:val="24"/>
              </w:rPr>
            </w:pPr>
            <w:r w:rsidRPr="006D431D">
              <w:rPr>
                <w:rFonts w:ascii="Times New Roman" w:eastAsia="Calibri" w:hAnsi="Times New Roman" w:cs="Times New Roman"/>
                <w:sz w:val="24"/>
                <w:szCs w:val="24"/>
              </w:rPr>
              <w:t xml:space="preserve">Beļģija </w:t>
            </w:r>
          </w:p>
        </w:tc>
        <w:tc>
          <w:tcPr>
            <w:tcW w:w="2249" w:type="dxa"/>
          </w:tcPr>
          <w:p w14:paraId="3EBFB18A" w14:textId="77777777" w:rsidR="00C32B9F" w:rsidRPr="006D431D" w:rsidRDefault="002B39A1">
            <w:pPr>
              <w:spacing w:after="0" w:line="240" w:lineRule="auto"/>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75</w:t>
            </w:r>
          </w:p>
        </w:tc>
        <w:tc>
          <w:tcPr>
            <w:tcW w:w="1440" w:type="dxa"/>
          </w:tcPr>
          <w:p w14:paraId="5B0ADB57" w14:textId="77777777" w:rsidR="00C32B9F" w:rsidRPr="006D431D" w:rsidRDefault="002B39A1">
            <w:pPr>
              <w:spacing w:after="0" w:line="240" w:lineRule="auto"/>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20</w:t>
            </w:r>
          </w:p>
        </w:tc>
        <w:tc>
          <w:tcPr>
            <w:tcW w:w="2876" w:type="dxa"/>
          </w:tcPr>
          <w:p w14:paraId="4A8D7B23" w14:textId="77777777" w:rsidR="00C32B9F" w:rsidRPr="006D431D" w:rsidRDefault="002B39A1">
            <w:pPr>
              <w:spacing w:after="0" w:line="240" w:lineRule="auto"/>
              <w:rPr>
                <w:rFonts w:ascii="Times New Roman" w:eastAsia="Calibri" w:hAnsi="Times New Roman" w:cs="Times New Roman"/>
                <w:sz w:val="24"/>
                <w:szCs w:val="24"/>
              </w:rPr>
            </w:pPr>
            <w:r w:rsidRPr="006D431D">
              <w:rPr>
                <w:rFonts w:ascii="Times New Roman" w:eastAsia="Calibri" w:hAnsi="Times New Roman" w:cs="Times New Roman"/>
                <w:sz w:val="24"/>
                <w:szCs w:val="24"/>
              </w:rPr>
              <w:t xml:space="preserve">Attiecas uz </w:t>
            </w:r>
            <w:proofErr w:type="spellStart"/>
            <w:r w:rsidRPr="006D431D">
              <w:rPr>
                <w:rFonts w:ascii="Times New Roman" w:eastAsia="Calibri" w:hAnsi="Times New Roman" w:cs="Times New Roman"/>
                <w:sz w:val="24"/>
                <w:szCs w:val="24"/>
              </w:rPr>
              <w:t>Valoniju</w:t>
            </w:r>
            <w:proofErr w:type="spellEnd"/>
          </w:p>
        </w:tc>
      </w:tr>
      <w:tr w:rsidR="00A618CA" w:rsidRPr="006D431D" w14:paraId="0A3C83BB" w14:textId="77777777">
        <w:tc>
          <w:tcPr>
            <w:tcW w:w="624" w:type="dxa"/>
          </w:tcPr>
          <w:p w14:paraId="61578DB2" w14:textId="77777777" w:rsidR="00C32B9F" w:rsidRPr="006D431D" w:rsidRDefault="002B39A1">
            <w:pPr>
              <w:spacing w:after="0" w:line="240" w:lineRule="auto"/>
              <w:rPr>
                <w:rFonts w:ascii="Times New Roman" w:eastAsia="Calibri" w:hAnsi="Times New Roman" w:cs="Times New Roman"/>
                <w:sz w:val="24"/>
                <w:szCs w:val="24"/>
              </w:rPr>
            </w:pPr>
            <w:r w:rsidRPr="006D431D">
              <w:rPr>
                <w:rFonts w:ascii="Times New Roman" w:eastAsia="Calibri" w:hAnsi="Times New Roman" w:cs="Times New Roman"/>
                <w:sz w:val="24"/>
                <w:szCs w:val="24"/>
              </w:rPr>
              <w:t>3.</w:t>
            </w:r>
          </w:p>
        </w:tc>
        <w:tc>
          <w:tcPr>
            <w:tcW w:w="2161" w:type="dxa"/>
          </w:tcPr>
          <w:p w14:paraId="76E3DF58" w14:textId="77777777" w:rsidR="00C32B9F" w:rsidRPr="006D431D" w:rsidRDefault="002B39A1">
            <w:pPr>
              <w:spacing w:after="0" w:line="240" w:lineRule="auto"/>
              <w:rPr>
                <w:rFonts w:ascii="Times New Roman" w:eastAsia="Calibri" w:hAnsi="Times New Roman" w:cs="Times New Roman"/>
                <w:sz w:val="24"/>
                <w:szCs w:val="24"/>
              </w:rPr>
            </w:pPr>
            <w:r w:rsidRPr="006D431D">
              <w:rPr>
                <w:rFonts w:ascii="Times New Roman" w:eastAsia="Calibri" w:hAnsi="Times New Roman" w:cs="Times New Roman"/>
                <w:sz w:val="24"/>
                <w:szCs w:val="24"/>
              </w:rPr>
              <w:t xml:space="preserve">Dānija </w:t>
            </w:r>
          </w:p>
        </w:tc>
        <w:tc>
          <w:tcPr>
            <w:tcW w:w="2249" w:type="dxa"/>
          </w:tcPr>
          <w:p w14:paraId="1EFC3293" w14:textId="77777777" w:rsidR="00C32B9F" w:rsidRPr="006D431D" w:rsidRDefault="002B39A1">
            <w:pPr>
              <w:spacing w:after="0" w:line="240" w:lineRule="auto"/>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35</w:t>
            </w:r>
          </w:p>
        </w:tc>
        <w:tc>
          <w:tcPr>
            <w:tcW w:w="1440" w:type="dxa"/>
          </w:tcPr>
          <w:p w14:paraId="4C2CF1C4" w14:textId="77777777" w:rsidR="00C32B9F" w:rsidRPr="006D431D" w:rsidRDefault="002B39A1">
            <w:pPr>
              <w:spacing w:after="0" w:line="240" w:lineRule="auto"/>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20</w:t>
            </w:r>
          </w:p>
        </w:tc>
        <w:tc>
          <w:tcPr>
            <w:tcW w:w="2876" w:type="dxa"/>
          </w:tcPr>
          <w:p w14:paraId="7343C72A" w14:textId="77777777" w:rsidR="00C32B9F" w:rsidRPr="006D431D" w:rsidRDefault="00C32B9F">
            <w:pPr>
              <w:spacing w:after="0" w:line="240" w:lineRule="auto"/>
              <w:rPr>
                <w:rFonts w:ascii="Times New Roman" w:eastAsia="Calibri" w:hAnsi="Times New Roman" w:cs="Times New Roman"/>
                <w:sz w:val="24"/>
                <w:szCs w:val="24"/>
              </w:rPr>
            </w:pPr>
          </w:p>
        </w:tc>
      </w:tr>
      <w:tr w:rsidR="00A618CA" w:rsidRPr="006D431D" w14:paraId="1DB49FF5" w14:textId="77777777">
        <w:tc>
          <w:tcPr>
            <w:tcW w:w="624" w:type="dxa"/>
          </w:tcPr>
          <w:p w14:paraId="4E965EF2" w14:textId="77777777" w:rsidR="00C32B9F" w:rsidRPr="006D431D" w:rsidRDefault="002B39A1">
            <w:pPr>
              <w:spacing w:after="0" w:line="240" w:lineRule="auto"/>
              <w:rPr>
                <w:rFonts w:ascii="Times New Roman" w:eastAsia="Calibri" w:hAnsi="Times New Roman" w:cs="Times New Roman"/>
                <w:sz w:val="24"/>
                <w:szCs w:val="24"/>
              </w:rPr>
            </w:pPr>
            <w:r w:rsidRPr="006D431D">
              <w:rPr>
                <w:rFonts w:ascii="Times New Roman" w:eastAsia="Calibri" w:hAnsi="Times New Roman" w:cs="Times New Roman"/>
                <w:sz w:val="24"/>
                <w:szCs w:val="24"/>
              </w:rPr>
              <w:t>5.</w:t>
            </w:r>
          </w:p>
        </w:tc>
        <w:tc>
          <w:tcPr>
            <w:tcW w:w="2161" w:type="dxa"/>
          </w:tcPr>
          <w:p w14:paraId="79C544B9" w14:textId="77777777" w:rsidR="00C32B9F" w:rsidRPr="006D431D" w:rsidRDefault="002B39A1">
            <w:pPr>
              <w:spacing w:after="0" w:line="240" w:lineRule="auto"/>
              <w:rPr>
                <w:rFonts w:ascii="Times New Roman" w:eastAsia="Calibri" w:hAnsi="Times New Roman" w:cs="Times New Roman"/>
                <w:sz w:val="24"/>
                <w:szCs w:val="24"/>
              </w:rPr>
            </w:pPr>
            <w:r w:rsidRPr="006D431D">
              <w:rPr>
                <w:rFonts w:ascii="Times New Roman" w:eastAsia="Calibri" w:hAnsi="Times New Roman" w:cs="Times New Roman"/>
                <w:sz w:val="24"/>
                <w:szCs w:val="24"/>
              </w:rPr>
              <w:t>Igaunija</w:t>
            </w:r>
          </w:p>
        </w:tc>
        <w:tc>
          <w:tcPr>
            <w:tcW w:w="2249" w:type="dxa"/>
          </w:tcPr>
          <w:p w14:paraId="1FEA731B" w14:textId="77777777" w:rsidR="00C32B9F" w:rsidRPr="006D431D" w:rsidRDefault="002B39A1">
            <w:pPr>
              <w:spacing w:after="0" w:line="240" w:lineRule="auto"/>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80</w:t>
            </w:r>
          </w:p>
        </w:tc>
        <w:tc>
          <w:tcPr>
            <w:tcW w:w="1440" w:type="dxa"/>
          </w:tcPr>
          <w:p w14:paraId="004E9D11" w14:textId="77777777" w:rsidR="00C32B9F" w:rsidRPr="006D431D" w:rsidRDefault="002B39A1">
            <w:pPr>
              <w:spacing w:after="0" w:line="240" w:lineRule="auto"/>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5</w:t>
            </w:r>
          </w:p>
        </w:tc>
        <w:tc>
          <w:tcPr>
            <w:tcW w:w="2876" w:type="dxa"/>
          </w:tcPr>
          <w:p w14:paraId="62EC48E0" w14:textId="77777777" w:rsidR="00C32B9F" w:rsidRPr="006D431D" w:rsidRDefault="00C32B9F">
            <w:pPr>
              <w:spacing w:after="0" w:line="240" w:lineRule="auto"/>
              <w:rPr>
                <w:rFonts w:ascii="Times New Roman" w:eastAsia="Calibri" w:hAnsi="Times New Roman" w:cs="Times New Roman"/>
                <w:sz w:val="24"/>
                <w:szCs w:val="24"/>
              </w:rPr>
            </w:pPr>
          </w:p>
        </w:tc>
      </w:tr>
      <w:tr w:rsidR="00A618CA" w:rsidRPr="006D431D" w14:paraId="221EE0EA" w14:textId="77777777">
        <w:tc>
          <w:tcPr>
            <w:tcW w:w="624" w:type="dxa"/>
          </w:tcPr>
          <w:p w14:paraId="35692F0E" w14:textId="77777777" w:rsidR="00C32B9F" w:rsidRPr="006D431D" w:rsidRDefault="002B39A1">
            <w:pPr>
              <w:spacing w:after="0" w:line="240" w:lineRule="auto"/>
              <w:rPr>
                <w:rFonts w:ascii="Times New Roman" w:eastAsia="Calibri" w:hAnsi="Times New Roman" w:cs="Times New Roman"/>
                <w:sz w:val="24"/>
                <w:szCs w:val="24"/>
              </w:rPr>
            </w:pPr>
            <w:r w:rsidRPr="006D431D">
              <w:rPr>
                <w:rFonts w:ascii="Times New Roman" w:eastAsia="Calibri" w:hAnsi="Times New Roman" w:cs="Times New Roman"/>
                <w:sz w:val="24"/>
                <w:szCs w:val="24"/>
              </w:rPr>
              <w:t>5.</w:t>
            </w:r>
          </w:p>
        </w:tc>
        <w:tc>
          <w:tcPr>
            <w:tcW w:w="2161" w:type="dxa"/>
          </w:tcPr>
          <w:p w14:paraId="1F3EF6A4" w14:textId="77777777" w:rsidR="00C32B9F" w:rsidRPr="006D431D" w:rsidRDefault="002B39A1">
            <w:pPr>
              <w:spacing w:after="0" w:line="240" w:lineRule="auto"/>
              <w:rPr>
                <w:rFonts w:ascii="Times New Roman" w:eastAsia="Calibri" w:hAnsi="Times New Roman" w:cs="Times New Roman"/>
                <w:sz w:val="24"/>
                <w:szCs w:val="24"/>
              </w:rPr>
            </w:pPr>
            <w:r w:rsidRPr="006D431D">
              <w:rPr>
                <w:rFonts w:ascii="Times New Roman" w:eastAsia="Calibri" w:hAnsi="Times New Roman" w:cs="Times New Roman"/>
                <w:sz w:val="24"/>
                <w:szCs w:val="24"/>
              </w:rPr>
              <w:t>Francija</w:t>
            </w:r>
          </w:p>
        </w:tc>
        <w:tc>
          <w:tcPr>
            <w:tcW w:w="2249" w:type="dxa"/>
          </w:tcPr>
          <w:p w14:paraId="4D88C127" w14:textId="77777777" w:rsidR="00C32B9F" w:rsidRPr="006D431D" w:rsidRDefault="002B39A1">
            <w:pPr>
              <w:spacing w:after="0" w:line="240" w:lineRule="auto"/>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60-120</w:t>
            </w:r>
          </w:p>
        </w:tc>
        <w:tc>
          <w:tcPr>
            <w:tcW w:w="1440" w:type="dxa"/>
          </w:tcPr>
          <w:p w14:paraId="1266CB44" w14:textId="77777777" w:rsidR="00C32B9F" w:rsidRPr="006D431D" w:rsidRDefault="002B39A1">
            <w:pPr>
              <w:spacing w:after="0" w:line="240" w:lineRule="auto"/>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20</w:t>
            </w:r>
          </w:p>
        </w:tc>
        <w:tc>
          <w:tcPr>
            <w:tcW w:w="2876" w:type="dxa"/>
          </w:tcPr>
          <w:p w14:paraId="0C9097DE" w14:textId="77777777" w:rsidR="00C32B9F" w:rsidRPr="006D431D" w:rsidRDefault="00C32B9F">
            <w:pPr>
              <w:spacing w:after="0" w:line="240" w:lineRule="auto"/>
              <w:rPr>
                <w:rFonts w:ascii="Times New Roman" w:eastAsia="Calibri" w:hAnsi="Times New Roman" w:cs="Times New Roman"/>
                <w:sz w:val="24"/>
                <w:szCs w:val="24"/>
              </w:rPr>
            </w:pPr>
          </w:p>
        </w:tc>
      </w:tr>
      <w:tr w:rsidR="00A618CA" w:rsidRPr="006D431D" w14:paraId="32ECA2AA" w14:textId="77777777">
        <w:tc>
          <w:tcPr>
            <w:tcW w:w="624" w:type="dxa"/>
          </w:tcPr>
          <w:p w14:paraId="15A72C81" w14:textId="77777777" w:rsidR="00C32B9F" w:rsidRPr="006D431D" w:rsidRDefault="002B39A1">
            <w:pPr>
              <w:spacing w:after="0" w:line="240" w:lineRule="auto"/>
              <w:rPr>
                <w:rFonts w:ascii="Times New Roman" w:eastAsia="Calibri" w:hAnsi="Times New Roman" w:cs="Times New Roman"/>
                <w:sz w:val="24"/>
                <w:szCs w:val="24"/>
              </w:rPr>
            </w:pPr>
            <w:r w:rsidRPr="006D431D">
              <w:rPr>
                <w:rFonts w:ascii="Times New Roman" w:eastAsia="Calibri" w:hAnsi="Times New Roman" w:cs="Times New Roman"/>
                <w:sz w:val="24"/>
                <w:szCs w:val="24"/>
              </w:rPr>
              <w:lastRenderedPageBreak/>
              <w:t>6.</w:t>
            </w:r>
          </w:p>
        </w:tc>
        <w:tc>
          <w:tcPr>
            <w:tcW w:w="2161" w:type="dxa"/>
          </w:tcPr>
          <w:p w14:paraId="49630CE1" w14:textId="77777777" w:rsidR="00C32B9F" w:rsidRPr="006D431D" w:rsidRDefault="002B39A1">
            <w:pPr>
              <w:spacing w:after="0" w:line="240" w:lineRule="auto"/>
              <w:rPr>
                <w:rFonts w:ascii="Times New Roman" w:eastAsia="Calibri" w:hAnsi="Times New Roman" w:cs="Times New Roman"/>
                <w:sz w:val="24"/>
                <w:szCs w:val="24"/>
              </w:rPr>
            </w:pPr>
            <w:r w:rsidRPr="006D431D">
              <w:rPr>
                <w:rFonts w:ascii="Times New Roman" w:eastAsia="Calibri" w:hAnsi="Times New Roman" w:cs="Times New Roman"/>
                <w:sz w:val="24"/>
                <w:szCs w:val="24"/>
              </w:rPr>
              <w:t>Vācija</w:t>
            </w:r>
          </w:p>
        </w:tc>
        <w:tc>
          <w:tcPr>
            <w:tcW w:w="2249" w:type="dxa"/>
          </w:tcPr>
          <w:p w14:paraId="77F20088" w14:textId="77777777" w:rsidR="00C32B9F" w:rsidRPr="006D431D" w:rsidRDefault="002B39A1">
            <w:pPr>
              <w:spacing w:after="0" w:line="240" w:lineRule="auto"/>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56-70</w:t>
            </w:r>
          </w:p>
        </w:tc>
        <w:tc>
          <w:tcPr>
            <w:tcW w:w="1440" w:type="dxa"/>
          </w:tcPr>
          <w:p w14:paraId="1A0B57B8" w14:textId="77777777" w:rsidR="00C32B9F" w:rsidRPr="006D431D" w:rsidRDefault="002B39A1">
            <w:pPr>
              <w:spacing w:after="0" w:line="240" w:lineRule="auto"/>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20</w:t>
            </w:r>
          </w:p>
        </w:tc>
        <w:tc>
          <w:tcPr>
            <w:tcW w:w="2876" w:type="dxa"/>
          </w:tcPr>
          <w:p w14:paraId="4031007D" w14:textId="77777777" w:rsidR="00C32B9F" w:rsidRPr="006D431D" w:rsidRDefault="002B39A1">
            <w:pPr>
              <w:spacing w:after="0" w:line="240" w:lineRule="auto"/>
              <w:rPr>
                <w:rFonts w:ascii="Times New Roman" w:eastAsia="Calibri" w:hAnsi="Times New Roman" w:cs="Times New Roman"/>
                <w:sz w:val="24"/>
                <w:szCs w:val="24"/>
              </w:rPr>
            </w:pPr>
            <w:r w:rsidRPr="006D431D">
              <w:rPr>
                <w:rFonts w:ascii="Times New Roman" w:eastAsia="Calibri" w:hAnsi="Times New Roman" w:cs="Times New Roman"/>
                <w:sz w:val="24"/>
                <w:szCs w:val="24"/>
              </w:rPr>
              <w:t>Atbalsts elektroenerģijas ražošanai</w:t>
            </w:r>
          </w:p>
        </w:tc>
      </w:tr>
      <w:tr w:rsidR="00A618CA" w:rsidRPr="006D431D" w14:paraId="77F9B6E2" w14:textId="77777777">
        <w:tc>
          <w:tcPr>
            <w:tcW w:w="624" w:type="dxa"/>
          </w:tcPr>
          <w:p w14:paraId="3B2912C6" w14:textId="77777777" w:rsidR="00C32B9F" w:rsidRPr="006D431D" w:rsidRDefault="002B39A1">
            <w:pPr>
              <w:spacing w:after="0" w:line="240" w:lineRule="auto"/>
              <w:rPr>
                <w:rFonts w:ascii="Times New Roman" w:eastAsia="Calibri" w:hAnsi="Times New Roman" w:cs="Times New Roman"/>
                <w:sz w:val="24"/>
                <w:szCs w:val="24"/>
              </w:rPr>
            </w:pPr>
            <w:r w:rsidRPr="006D431D">
              <w:rPr>
                <w:rFonts w:ascii="Times New Roman" w:eastAsia="Calibri" w:hAnsi="Times New Roman" w:cs="Times New Roman"/>
                <w:sz w:val="24"/>
                <w:szCs w:val="24"/>
              </w:rPr>
              <w:t>7.</w:t>
            </w:r>
          </w:p>
        </w:tc>
        <w:tc>
          <w:tcPr>
            <w:tcW w:w="2161" w:type="dxa"/>
          </w:tcPr>
          <w:p w14:paraId="31C2068E" w14:textId="77777777" w:rsidR="00C32B9F" w:rsidRPr="006D431D" w:rsidRDefault="002B39A1">
            <w:pPr>
              <w:spacing w:after="0" w:line="240" w:lineRule="auto"/>
              <w:rPr>
                <w:rFonts w:ascii="Times New Roman" w:eastAsia="Calibri" w:hAnsi="Times New Roman" w:cs="Times New Roman"/>
                <w:sz w:val="24"/>
                <w:szCs w:val="24"/>
              </w:rPr>
            </w:pPr>
            <w:r w:rsidRPr="006D431D">
              <w:rPr>
                <w:rFonts w:ascii="Times New Roman" w:eastAsia="Calibri" w:hAnsi="Times New Roman" w:cs="Times New Roman"/>
                <w:sz w:val="24"/>
                <w:szCs w:val="24"/>
              </w:rPr>
              <w:t>Itālija</w:t>
            </w:r>
          </w:p>
        </w:tc>
        <w:tc>
          <w:tcPr>
            <w:tcW w:w="2249" w:type="dxa"/>
          </w:tcPr>
          <w:p w14:paraId="7B823A24" w14:textId="77777777" w:rsidR="00C32B9F" w:rsidRPr="006D431D" w:rsidRDefault="002B39A1">
            <w:pPr>
              <w:spacing w:after="0" w:line="240" w:lineRule="auto"/>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60</w:t>
            </w:r>
          </w:p>
        </w:tc>
        <w:tc>
          <w:tcPr>
            <w:tcW w:w="1440" w:type="dxa"/>
          </w:tcPr>
          <w:p w14:paraId="4DFD7EFF" w14:textId="77777777" w:rsidR="00C32B9F" w:rsidRPr="006D431D" w:rsidRDefault="002B39A1">
            <w:pPr>
              <w:spacing w:after="0" w:line="240" w:lineRule="auto"/>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10</w:t>
            </w:r>
          </w:p>
        </w:tc>
        <w:tc>
          <w:tcPr>
            <w:tcW w:w="2876" w:type="dxa"/>
          </w:tcPr>
          <w:p w14:paraId="10FDE9A9" w14:textId="77777777" w:rsidR="00C32B9F" w:rsidRPr="006D431D" w:rsidRDefault="00C32B9F">
            <w:pPr>
              <w:spacing w:after="0" w:line="240" w:lineRule="auto"/>
              <w:rPr>
                <w:rFonts w:ascii="Times New Roman" w:eastAsia="Calibri" w:hAnsi="Times New Roman" w:cs="Times New Roman"/>
                <w:sz w:val="24"/>
                <w:szCs w:val="24"/>
              </w:rPr>
            </w:pPr>
          </w:p>
        </w:tc>
      </w:tr>
      <w:tr w:rsidR="00A618CA" w:rsidRPr="006D431D" w14:paraId="71402F18" w14:textId="77777777">
        <w:tc>
          <w:tcPr>
            <w:tcW w:w="624" w:type="dxa"/>
          </w:tcPr>
          <w:p w14:paraId="41E9E8AC" w14:textId="77777777" w:rsidR="00C32B9F" w:rsidRPr="006D431D" w:rsidRDefault="002B39A1">
            <w:pPr>
              <w:spacing w:after="0" w:line="240" w:lineRule="auto"/>
              <w:rPr>
                <w:rFonts w:ascii="Times New Roman" w:eastAsia="Calibri" w:hAnsi="Times New Roman" w:cs="Times New Roman"/>
                <w:sz w:val="24"/>
                <w:szCs w:val="24"/>
              </w:rPr>
            </w:pPr>
            <w:r w:rsidRPr="006D431D">
              <w:rPr>
                <w:rFonts w:ascii="Times New Roman" w:eastAsia="Calibri" w:hAnsi="Times New Roman" w:cs="Times New Roman"/>
                <w:sz w:val="24"/>
                <w:szCs w:val="24"/>
              </w:rPr>
              <w:t>8.</w:t>
            </w:r>
          </w:p>
        </w:tc>
        <w:tc>
          <w:tcPr>
            <w:tcW w:w="2161" w:type="dxa"/>
          </w:tcPr>
          <w:p w14:paraId="458FEFF7" w14:textId="77777777" w:rsidR="00C32B9F" w:rsidRPr="006D431D" w:rsidRDefault="002B39A1">
            <w:pPr>
              <w:spacing w:after="0" w:line="240" w:lineRule="auto"/>
              <w:rPr>
                <w:rFonts w:ascii="Times New Roman" w:eastAsia="Calibri" w:hAnsi="Times New Roman" w:cs="Times New Roman"/>
                <w:sz w:val="24"/>
                <w:szCs w:val="24"/>
              </w:rPr>
            </w:pPr>
            <w:r w:rsidRPr="006D431D">
              <w:rPr>
                <w:rFonts w:ascii="Times New Roman" w:eastAsia="Calibri" w:hAnsi="Times New Roman" w:cs="Times New Roman"/>
                <w:sz w:val="24"/>
                <w:szCs w:val="24"/>
              </w:rPr>
              <w:t>Zviedrija</w:t>
            </w:r>
          </w:p>
        </w:tc>
        <w:tc>
          <w:tcPr>
            <w:tcW w:w="2249" w:type="dxa"/>
          </w:tcPr>
          <w:p w14:paraId="3DF5BCA2" w14:textId="77777777" w:rsidR="00C32B9F" w:rsidRPr="006D431D" w:rsidRDefault="002B39A1">
            <w:pPr>
              <w:spacing w:after="0" w:line="240" w:lineRule="auto"/>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30</w:t>
            </w:r>
          </w:p>
        </w:tc>
        <w:tc>
          <w:tcPr>
            <w:tcW w:w="1440" w:type="dxa"/>
          </w:tcPr>
          <w:p w14:paraId="17526DE4" w14:textId="77777777" w:rsidR="00C32B9F" w:rsidRPr="006D431D" w:rsidRDefault="002B39A1">
            <w:pPr>
              <w:spacing w:after="0" w:line="240" w:lineRule="auto"/>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dažādi</w:t>
            </w:r>
          </w:p>
        </w:tc>
        <w:tc>
          <w:tcPr>
            <w:tcW w:w="2876" w:type="dxa"/>
          </w:tcPr>
          <w:p w14:paraId="504E91E7" w14:textId="77777777" w:rsidR="00C32B9F" w:rsidRPr="006D431D" w:rsidRDefault="00C32B9F">
            <w:pPr>
              <w:spacing w:after="0" w:line="240" w:lineRule="auto"/>
              <w:rPr>
                <w:rFonts w:ascii="Times New Roman" w:eastAsia="Calibri" w:hAnsi="Times New Roman" w:cs="Times New Roman"/>
                <w:sz w:val="24"/>
                <w:szCs w:val="24"/>
              </w:rPr>
            </w:pPr>
          </w:p>
        </w:tc>
      </w:tr>
      <w:tr w:rsidR="00A618CA" w:rsidRPr="006D431D" w14:paraId="62EDD481" w14:textId="77777777">
        <w:tc>
          <w:tcPr>
            <w:tcW w:w="624" w:type="dxa"/>
          </w:tcPr>
          <w:p w14:paraId="465BA64D" w14:textId="77777777" w:rsidR="00C32B9F" w:rsidRPr="006D431D" w:rsidRDefault="002B39A1">
            <w:pPr>
              <w:spacing w:after="0" w:line="240" w:lineRule="auto"/>
              <w:rPr>
                <w:rFonts w:ascii="Times New Roman" w:eastAsia="Calibri" w:hAnsi="Times New Roman" w:cs="Times New Roman"/>
                <w:sz w:val="24"/>
                <w:szCs w:val="24"/>
              </w:rPr>
            </w:pPr>
            <w:r w:rsidRPr="006D431D">
              <w:rPr>
                <w:rFonts w:ascii="Times New Roman" w:eastAsia="Calibri" w:hAnsi="Times New Roman" w:cs="Times New Roman"/>
                <w:sz w:val="24"/>
                <w:szCs w:val="24"/>
              </w:rPr>
              <w:t>9.</w:t>
            </w:r>
          </w:p>
        </w:tc>
        <w:tc>
          <w:tcPr>
            <w:tcW w:w="2161" w:type="dxa"/>
          </w:tcPr>
          <w:p w14:paraId="4507B81B" w14:textId="77777777" w:rsidR="00C32B9F" w:rsidRPr="006D431D" w:rsidRDefault="002B39A1">
            <w:pPr>
              <w:spacing w:after="0" w:line="240" w:lineRule="auto"/>
              <w:rPr>
                <w:rFonts w:ascii="Times New Roman" w:eastAsia="Calibri" w:hAnsi="Times New Roman" w:cs="Times New Roman"/>
                <w:sz w:val="24"/>
                <w:szCs w:val="24"/>
              </w:rPr>
            </w:pPr>
            <w:r w:rsidRPr="006D431D">
              <w:rPr>
                <w:rFonts w:ascii="Times New Roman" w:eastAsia="Calibri" w:hAnsi="Times New Roman" w:cs="Times New Roman"/>
                <w:sz w:val="24"/>
                <w:szCs w:val="24"/>
              </w:rPr>
              <w:t>Nīderlande</w:t>
            </w:r>
          </w:p>
        </w:tc>
        <w:tc>
          <w:tcPr>
            <w:tcW w:w="2249" w:type="dxa"/>
          </w:tcPr>
          <w:p w14:paraId="542EBF5F" w14:textId="77777777" w:rsidR="00C32B9F" w:rsidRPr="006D431D" w:rsidRDefault="002B39A1">
            <w:pPr>
              <w:spacing w:after="0" w:line="240" w:lineRule="auto"/>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49-92</w:t>
            </w:r>
          </w:p>
        </w:tc>
        <w:tc>
          <w:tcPr>
            <w:tcW w:w="1440" w:type="dxa"/>
          </w:tcPr>
          <w:p w14:paraId="20707801" w14:textId="77777777" w:rsidR="00C32B9F" w:rsidRPr="006D431D" w:rsidRDefault="002B39A1">
            <w:pPr>
              <w:spacing w:after="0" w:line="240" w:lineRule="auto"/>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12</w:t>
            </w:r>
          </w:p>
        </w:tc>
        <w:tc>
          <w:tcPr>
            <w:tcW w:w="2876" w:type="dxa"/>
          </w:tcPr>
          <w:p w14:paraId="15B885B3" w14:textId="77777777" w:rsidR="00C32B9F" w:rsidRPr="006D431D" w:rsidRDefault="00C32B9F">
            <w:pPr>
              <w:spacing w:after="0" w:line="240" w:lineRule="auto"/>
              <w:rPr>
                <w:rFonts w:ascii="Times New Roman" w:eastAsia="Calibri" w:hAnsi="Times New Roman" w:cs="Times New Roman"/>
                <w:sz w:val="24"/>
                <w:szCs w:val="24"/>
              </w:rPr>
            </w:pPr>
          </w:p>
        </w:tc>
      </w:tr>
      <w:tr w:rsidR="00A618CA" w:rsidRPr="006D431D" w14:paraId="1AECDDAB" w14:textId="77777777">
        <w:tc>
          <w:tcPr>
            <w:tcW w:w="624" w:type="dxa"/>
          </w:tcPr>
          <w:p w14:paraId="58FE46B5" w14:textId="77777777" w:rsidR="00C32B9F" w:rsidRPr="006D431D" w:rsidRDefault="002B39A1">
            <w:pPr>
              <w:spacing w:after="0" w:line="240" w:lineRule="auto"/>
              <w:rPr>
                <w:rFonts w:ascii="Times New Roman" w:eastAsia="Calibri" w:hAnsi="Times New Roman" w:cs="Times New Roman"/>
                <w:sz w:val="24"/>
                <w:szCs w:val="24"/>
              </w:rPr>
            </w:pPr>
            <w:r w:rsidRPr="006D431D">
              <w:rPr>
                <w:rFonts w:ascii="Times New Roman" w:eastAsia="Calibri" w:hAnsi="Times New Roman" w:cs="Times New Roman"/>
                <w:sz w:val="24"/>
                <w:szCs w:val="24"/>
              </w:rPr>
              <w:t>10.</w:t>
            </w:r>
          </w:p>
        </w:tc>
        <w:tc>
          <w:tcPr>
            <w:tcW w:w="2161" w:type="dxa"/>
          </w:tcPr>
          <w:p w14:paraId="2DEB7289" w14:textId="77777777" w:rsidR="00C32B9F" w:rsidRPr="006D431D" w:rsidRDefault="002B39A1">
            <w:pPr>
              <w:spacing w:after="0" w:line="240" w:lineRule="auto"/>
              <w:rPr>
                <w:rFonts w:ascii="Times New Roman" w:eastAsia="Calibri" w:hAnsi="Times New Roman" w:cs="Times New Roman"/>
                <w:sz w:val="24"/>
                <w:szCs w:val="24"/>
              </w:rPr>
            </w:pPr>
            <w:r w:rsidRPr="006D431D">
              <w:rPr>
                <w:rFonts w:ascii="Times New Roman" w:eastAsia="Calibri" w:hAnsi="Times New Roman" w:cs="Times New Roman"/>
                <w:sz w:val="24"/>
                <w:szCs w:val="24"/>
              </w:rPr>
              <w:t>Lielbritānija</w:t>
            </w:r>
          </w:p>
        </w:tc>
        <w:tc>
          <w:tcPr>
            <w:tcW w:w="2249" w:type="dxa"/>
          </w:tcPr>
          <w:p w14:paraId="3C95B102" w14:textId="77777777" w:rsidR="00C32B9F" w:rsidRPr="006D431D" w:rsidRDefault="002B39A1">
            <w:pPr>
              <w:spacing w:after="0" w:line="240" w:lineRule="auto"/>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63</w:t>
            </w:r>
          </w:p>
        </w:tc>
        <w:tc>
          <w:tcPr>
            <w:tcW w:w="1440" w:type="dxa"/>
          </w:tcPr>
          <w:p w14:paraId="55B47F41" w14:textId="77777777" w:rsidR="00C32B9F" w:rsidRPr="006D431D" w:rsidRDefault="002B39A1">
            <w:pPr>
              <w:spacing w:after="0" w:line="240" w:lineRule="auto"/>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20</w:t>
            </w:r>
          </w:p>
        </w:tc>
        <w:tc>
          <w:tcPr>
            <w:tcW w:w="2876" w:type="dxa"/>
          </w:tcPr>
          <w:p w14:paraId="0882BF2D" w14:textId="77777777" w:rsidR="00C32B9F" w:rsidRPr="006D431D" w:rsidRDefault="00C32B9F">
            <w:pPr>
              <w:spacing w:after="0" w:line="240" w:lineRule="auto"/>
              <w:rPr>
                <w:rFonts w:ascii="Times New Roman" w:eastAsia="Calibri" w:hAnsi="Times New Roman" w:cs="Times New Roman"/>
                <w:sz w:val="24"/>
                <w:szCs w:val="24"/>
              </w:rPr>
            </w:pPr>
          </w:p>
        </w:tc>
      </w:tr>
    </w:tbl>
    <w:p w14:paraId="0C00A511" w14:textId="19CD55D6" w:rsidR="00C32B9F" w:rsidRPr="006D431D" w:rsidRDefault="002B39A1">
      <w:pPr>
        <w:pStyle w:val="tvhtml"/>
        <w:shd w:val="clear" w:color="auto" w:fill="FFFFFF"/>
        <w:spacing w:before="280" w:after="280" w:line="293" w:lineRule="atLeast"/>
        <w:ind w:firstLine="300"/>
        <w:jc w:val="both"/>
      </w:pPr>
      <w:r w:rsidRPr="006D431D">
        <w:t xml:space="preserve">Skatoties pēc rādītāja saražotais biometāns pret valsts iedzīvotāju skaitu, sekmīgākās atbalsta programmas realizētas Igaunijā un Dānijā. Abās valstīs biometāna ražošana un izmantošana transportā tiek subsidēta. Igaunijas gadījumā mērķis ir pēc sistēmas ieviešanas subsīdiju atcelt, taču atcelt subsīdiju un saglabāt biometāna izmantošanu var izrādīties sarežģīti, jo sākotnēji 3 gadu ilgo biometāna atbalsta programmu nācās pagarināt. Igaunijā subsīdija tiek maksāta no ES Emisiju tirdzniecības sistēmas (ETS) kvotu tirdzniecības ieņēmumiem. Nākotnē Igaunija tomēr paredz atteikties no subsīdijas. Dānijas gadījumā atbalsts ir plānots ilgtermiņā, pie tam 8. tabulā norādītais subsīdijas lielums ir ilgtermiņa mērķis, bet šobrīd subsīdijai ir vēl viena komponente, kas paredzēta, lai izlīdzinātu </w:t>
      </w:r>
      <w:r w:rsidR="00B54231" w:rsidRPr="006D431D">
        <w:t>iepriekš pastāvošo</w:t>
      </w:r>
      <w:r w:rsidRPr="006D431D">
        <w:t xml:space="preserve"> zemo dabasgāzes cenu, līdz ar to faktiski subsīdija </w:t>
      </w:r>
      <w:r w:rsidR="00D46B54" w:rsidRPr="006D431D">
        <w:t xml:space="preserve">bija </w:t>
      </w:r>
      <w:r w:rsidRPr="006D431D">
        <w:t xml:space="preserve"> virs 50 </w:t>
      </w:r>
      <w:r w:rsidRPr="006D431D">
        <w:rPr>
          <w:i/>
          <w:iCs/>
        </w:rPr>
        <w:t>e</w:t>
      </w:r>
      <w:r w:rsidR="00376FB3" w:rsidRPr="006D431D">
        <w:rPr>
          <w:i/>
          <w:iCs/>
        </w:rPr>
        <w:t>i</w:t>
      </w:r>
      <w:r w:rsidRPr="006D431D">
        <w:rPr>
          <w:i/>
          <w:iCs/>
        </w:rPr>
        <w:t>ro</w:t>
      </w:r>
      <w:r w:rsidRPr="006D431D">
        <w:t>/</w:t>
      </w:r>
      <w:proofErr w:type="spellStart"/>
      <w:r w:rsidRPr="006D431D">
        <w:t>MWh</w:t>
      </w:r>
      <w:proofErr w:type="spellEnd"/>
      <w:r w:rsidRPr="006D431D">
        <w:t xml:space="preserve">. Igaunija paredz, ka nākotnē biometāna cena, ietverot izcelsmes apliecinājumu izmaksas, varētu būt 60-75 </w:t>
      </w:r>
      <w:r w:rsidRPr="006D431D">
        <w:rPr>
          <w:i/>
          <w:iCs/>
        </w:rPr>
        <w:t>e</w:t>
      </w:r>
      <w:r w:rsidR="00376FB3" w:rsidRPr="006D431D">
        <w:rPr>
          <w:i/>
          <w:iCs/>
        </w:rPr>
        <w:t>i</w:t>
      </w:r>
      <w:r w:rsidRPr="006D431D">
        <w:rPr>
          <w:i/>
          <w:iCs/>
        </w:rPr>
        <w:t>ro/</w:t>
      </w:r>
      <w:proofErr w:type="spellStart"/>
      <w:r w:rsidRPr="006D431D">
        <w:t>MWh</w:t>
      </w:r>
      <w:proofErr w:type="spellEnd"/>
      <w:r w:rsidRPr="006D431D">
        <w:t xml:space="preserve">.  Ņemot vērā </w:t>
      </w:r>
      <w:r w:rsidR="00376FB3" w:rsidRPr="006D431D">
        <w:t>6</w:t>
      </w:r>
      <w:r w:rsidRPr="006D431D">
        <w:t>. tabulas rezultātus, Igaunijā kā perspektīvākos virzienus transporta sektora mē</w:t>
      </w:r>
      <w:r w:rsidR="008340B7" w:rsidRPr="006D431D">
        <w:t>r</w:t>
      </w:r>
      <w:r w:rsidRPr="006D431D">
        <w:t>ķu sasniegšanai atzīst biometānu un elektroenerģiju, par otrās paaudzes šķidro biodegvielu attīstību ir mazāk skaidrības.</w:t>
      </w:r>
    </w:p>
    <w:p w14:paraId="0FC93CA5" w14:textId="77777777" w:rsidR="00C32B9F" w:rsidRPr="006D431D" w:rsidRDefault="00C32B9F">
      <w:pPr>
        <w:pStyle w:val="ListParagraph"/>
        <w:spacing w:after="0" w:line="240" w:lineRule="auto"/>
        <w:jc w:val="center"/>
        <w:rPr>
          <w:rFonts w:ascii="Times New Roman" w:hAnsi="Times New Roman" w:cs="Times New Roman"/>
          <w:i/>
          <w:iCs/>
          <w:sz w:val="24"/>
          <w:szCs w:val="24"/>
        </w:rPr>
      </w:pPr>
    </w:p>
    <w:p w14:paraId="362833A6" w14:textId="7562BAD2" w:rsidR="00C32B9F" w:rsidRPr="006D431D" w:rsidRDefault="005A03D2" w:rsidP="00376FB3">
      <w:pPr>
        <w:pStyle w:val="ListParagraph"/>
        <w:jc w:val="center"/>
        <w:rPr>
          <w:rFonts w:ascii="Times New Roman" w:hAnsi="Times New Roman" w:cs="Times New Roman"/>
          <w:sz w:val="24"/>
          <w:szCs w:val="24"/>
        </w:rPr>
      </w:pPr>
      <w:r w:rsidRPr="006D431D">
        <w:rPr>
          <w:rFonts w:ascii="Times New Roman" w:hAnsi="Times New Roman" w:cs="Times New Roman"/>
          <w:b/>
          <w:bCs/>
          <w:sz w:val="24"/>
          <w:szCs w:val="24"/>
        </w:rPr>
        <w:t>7</w:t>
      </w:r>
      <w:r w:rsidR="002B39A1" w:rsidRPr="006D431D">
        <w:rPr>
          <w:rFonts w:ascii="Times New Roman" w:hAnsi="Times New Roman" w:cs="Times New Roman"/>
          <w:b/>
          <w:bCs/>
          <w:sz w:val="24"/>
          <w:szCs w:val="24"/>
        </w:rPr>
        <w:t>. tabula. Dažādu degvielas veidu izmaksu un emisiju salīdzinājums enerģētikas un klimata mērķu sasniegšanai (Igaunijas aprēķins)</w:t>
      </w:r>
      <w:r w:rsidR="00376FB3" w:rsidRPr="006D431D">
        <w:rPr>
          <w:rFonts w:ascii="Times New Roman" w:hAnsi="Times New Roman" w:cs="Times New Roman"/>
          <w:b/>
          <w:bCs/>
          <w:sz w:val="24"/>
          <w:szCs w:val="24"/>
        </w:rPr>
        <w:t>.</w:t>
      </w:r>
    </w:p>
    <w:p w14:paraId="3F523980" w14:textId="77777777" w:rsidR="00C32B9F" w:rsidRPr="006D431D" w:rsidRDefault="00C32B9F">
      <w:pPr>
        <w:pStyle w:val="ListParagraph"/>
        <w:jc w:val="center"/>
        <w:rPr>
          <w:rFonts w:ascii="Times New Roman" w:hAnsi="Times New Roman" w:cs="Times New Roman"/>
          <w:b/>
          <w:bCs/>
          <w:sz w:val="24"/>
          <w:szCs w:val="24"/>
        </w:rPr>
      </w:pPr>
    </w:p>
    <w:tbl>
      <w:tblPr>
        <w:tblStyle w:val="TableGrid"/>
        <w:tblW w:w="8341" w:type="dxa"/>
        <w:tblInd w:w="720" w:type="dxa"/>
        <w:tblLayout w:type="fixed"/>
        <w:tblLook w:val="04A0" w:firstRow="1" w:lastRow="0" w:firstColumn="1" w:lastColumn="0" w:noHBand="0" w:noVBand="1"/>
      </w:tblPr>
      <w:tblGrid>
        <w:gridCol w:w="2830"/>
        <w:gridCol w:w="2540"/>
        <w:gridCol w:w="2971"/>
      </w:tblGrid>
      <w:tr w:rsidR="00A618CA" w:rsidRPr="006D431D" w14:paraId="75BB9144" w14:textId="77777777">
        <w:tc>
          <w:tcPr>
            <w:tcW w:w="2830" w:type="dxa"/>
          </w:tcPr>
          <w:p w14:paraId="5074C74E" w14:textId="77777777" w:rsidR="00C32B9F" w:rsidRPr="006D431D" w:rsidRDefault="002B39A1">
            <w:pPr>
              <w:pStyle w:val="ListParagraph"/>
              <w:spacing w:after="0" w:line="240" w:lineRule="auto"/>
              <w:ind w:left="0"/>
              <w:jc w:val="center"/>
              <w:rPr>
                <w:rFonts w:ascii="Times New Roman" w:eastAsia="Calibri" w:hAnsi="Times New Roman" w:cs="Times New Roman"/>
                <w:b/>
                <w:bCs/>
                <w:sz w:val="24"/>
                <w:szCs w:val="24"/>
              </w:rPr>
            </w:pPr>
            <w:r w:rsidRPr="006D431D">
              <w:rPr>
                <w:rFonts w:ascii="Times New Roman" w:eastAsia="Calibri" w:hAnsi="Times New Roman" w:cs="Times New Roman"/>
                <w:b/>
                <w:bCs/>
                <w:sz w:val="24"/>
                <w:szCs w:val="24"/>
              </w:rPr>
              <w:t>Degvielas veids</w:t>
            </w:r>
          </w:p>
        </w:tc>
        <w:tc>
          <w:tcPr>
            <w:tcW w:w="2540" w:type="dxa"/>
          </w:tcPr>
          <w:p w14:paraId="2B0ED314" w14:textId="77777777" w:rsidR="00C32B9F" w:rsidRPr="006D431D" w:rsidRDefault="002B39A1">
            <w:pPr>
              <w:pStyle w:val="ListParagraph"/>
              <w:spacing w:after="0" w:line="240" w:lineRule="auto"/>
              <w:ind w:left="0"/>
              <w:jc w:val="center"/>
              <w:rPr>
                <w:rFonts w:ascii="Times New Roman" w:eastAsia="Calibri" w:hAnsi="Times New Roman" w:cs="Times New Roman"/>
                <w:b/>
                <w:bCs/>
                <w:sz w:val="24"/>
                <w:szCs w:val="24"/>
              </w:rPr>
            </w:pPr>
            <w:r w:rsidRPr="006D431D">
              <w:rPr>
                <w:rFonts w:ascii="Times New Roman" w:eastAsia="Calibri" w:hAnsi="Times New Roman" w:cs="Times New Roman"/>
                <w:b/>
                <w:bCs/>
                <w:sz w:val="24"/>
                <w:szCs w:val="24"/>
              </w:rPr>
              <w:t xml:space="preserve">Izmaksas </w:t>
            </w:r>
            <w:bookmarkStart w:id="14" w:name="_Hlk56334611"/>
            <w:r w:rsidRPr="006D431D">
              <w:rPr>
                <w:rFonts w:ascii="Times New Roman" w:eastAsia="Calibri" w:hAnsi="Times New Roman" w:cs="Times New Roman"/>
                <w:b/>
                <w:bCs/>
                <w:sz w:val="24"/>
                <w:szCs w:val="24"/>
              </w:rPr>
              <w:t xml:space="preserve">EUR/ </w:t>
            </w:r>
            <w:proofErr w:type="spellStart"/>
            <w:r w:rsidRPr="006D431D">
              <w:rPr>
                <w:rFonts w:ascii="Times New Roman" w:eastAsia="Calibri" w:hAnsi="Times New Roman" w:cs="Times New Roman"/>
                <w:b/>
                <w:bCs/>
                <w:sz w:val="24"/>
                <w:szCs w:val="24"/>
              </w:rPr>
              <w:t>MWh</w:t>
            </w:r>
            <w:bookmarkEnd w:id="14"/>
            <w:proofErr w:type="spellEnd"/>
          </w:p>
        </w:tc>
        <w:tc>
          <w:tcPr>
            <w:tcW w:w="2971" w:type="dxa"/>
          </w:tcPr>
          <w:p w14:paraId="72C474A3" w14:textId="77777777" w:rsidR="00C32B9F" w:rsidRPr="006D431D" w:rsidRDefault="002B39A1">
            <w:pPr>
              <w:pStyle w:val="ListParagraph"/>
              <w:spacing w:after="0" w:line="240" w:lineRule="auto"/>
              <w:ind w:left="0"/>
              <w:jc w:val="center"/>
              <w:rPr>
                <w:rFonts w:ascii="Times New Roman" w:eastAsia="Calibri" w:hAnsi="Times New Roman" w:cs="Times New Roman"/>
                <w:b/>
                <w:bCs/>
                <w:sz w:val="24"/>
                <w:szCs w:val="24"/>
              </w:rPr>
            </w:pPr>
            <w:r w:rsidRPr="006D431D">
              <w:rPr>
                <w:rFonts w:ascii="Times New Roman" w:eastAsia="Calibri" w:hAnsi="Times New Roman" w:cs="Times New Roman"/>
                <w:b/>
                <w:bCs/>
                <w:sz w:val="24"/>
                <w:szCs w:val="24"/>
              </w:rPr>
              <w:t>Ražošanas emisijas gCO</w:t>
            </w:r>
            <w:r w:rsidRPr="006D431D">
              <w:rPr>
                <w:rFonts w:ascii="Times New Roman" w:eastAsia="Calibri" w:hAnsi="Times New Roman" w:cs="Times New Roman"/>
                <w:b/>
                <w:bCs/>
                <w:sz w:val="24"/>
                <w:szCs w:val="24"/>
                <w:vertAlign w:val="subscript"/>
              </w:rPr>
              <w:t>2</w:t>
            </w:r>
            <w:r w:rsidRPr="006D431D">
              <w:rPr>
                <w:rFonts w:ascii="Times New Roman" w:eastAsia="Calibri" w:hAnsi="Times New Roman" w:cs="Times New Roman"/>
                <w:b/>
                <w:bCs/>
                <w:sz w:val="24"/>
                <w:szCs w:val="24"/>
              </w:rPr>
              <w:t>eqv,/ MJ</w:t>
            </w:r>
          </w:p>
        </w:tc>
      </w:tr>
      <w:tr w:rsidR="00A618CA" w:rsidRPr="006D431D" w14:paraId="05291F6A" w14:textId="77777777">
        <w:tc>
          <w:tcPr>
            <w:tcW w:w="2830" w:type="dxa"/>
          </w:tcPr>
          <w:p w14:paraId="37C0C7E1" w14:textId="77777777" w:rsidR="00C32B9F" w:rsidRPr="006D431D" w:rsidRDefault="002B39A1">
            <w:pPr>
              <w:pStyle w:val="ListParagraph"/>
              <w:spacing w:after="0" w:line="240" w:lineRule="auto"/>
              <w:ind w:left="0"/>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Biometāns</w:t>
            </w:r>
          </w:p>
        </w:tc>
        <w:tc>
          <w:tcPr>
            <w:tcW w:w="2540" w:type="dxa"/>
          </w:tcPr>
          <w:p w14:paraId="79C0C50C" w14:textId="77777777" w:rsidR="00C32B9F" w:rsidRPr="006D431D" w:rsidRDefault="002B39A1">
            <w:pPr>
              <w:pStyle w:val="ListParagraph"/>
              <w:spacing w:after="0" w:line="240" w:lineRule="auto"/>
              <w:ind w:left="0"/>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75</w:t>
            </w:r>
          </w:p>
        </w:tc>
        <w:tc>
          <w:tcPr>
            <w:tcW w:w="2971" w:type="dxa"/>
          </w:tcPr>
          <w:p w14:paraId="7354540B" w14:textId="77777777" w:rsidR="00C32B9F" w:rsidRPr="006D431D" w:rsidRDefault="002B39A1">
            <w:pPr>
              <w:pStyle w:val="ListParagraph"/>
              <w:spacing w:after="0" w:line="240" w:lineRule="auto"/>
              <w:ind w:left="0"/>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15-23</w:t>
            </w:r>
          </w:p>
        </w:tc>
      </w:tr>
      <w:tr w:rsidR="00A618CA" w:rsidRPr="006D431D" w14:paraId="579D7267" w14:textId="77777777">
        <w:tc>
          <w:tcPr>
            <w:tcW w:w="2830" w:type="dxa"/>
          </w:tcPr>
          <w:p w14:paraId="15A6CAE6" w14:textId="77777777" w:rsidR="00C32B9F" w:rsidRPr="006D431D" w:rsidRDefault="002B39A1">
            <w:pPr>
              <w:pStyle w:val="ListParagraph"/>
              <w:spacing w:after="0" w:line="240" w:lineRule="auto"/>
              <w:ind w:left="0"/>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Bioetanols</w:t>
            </w:r>
          </w:p>
        </w:tc>
        <w:tc>
          <w:tcPr>
            <w:tcW w:w="2540" w:type="dxa"/>
          </w:tcPr>
          <w:p w14:paraId="3AC2A588" w14:textId="77777777" w:rsidR="00C32B9F" w:rsidRPr="006D431D" w:rsidRDefault="002B39A1">
            <w:pPr>
              <w:pStyle w:val="ListParagraph"/>
              <w:spacing w:after="0" w:line="240" w:lineRule="auto"/>
              <w:ind w:left="0"/>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120-160</w:t>
            </w:r>
          </w:p>
        </w:tc>
        <w:tc>
          <w:tcPr>
            <w:tcW w:w="2971" w:type="dxa"/>
          </w:tcPr>
          <w:p w14:paraId="5855334A" w14:textId="77777777" w:rsidR="00C32B9F" w:rsidRPr="006D431D" w:rsidRDefault="002B39A1">
            <w:pPr>
              <w:pStyle w:val="ListParagraph"/>
              <w:spacing w:after="0" w:line="240" w:lineRule="auto"/>
              <w:ind w:left="0"/>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13-70</w:t>
            </w:r>
          </w:p>
        </w:tc>
      </w:tr>
      <w:tr w:rsidR="00A618CA" w:rsidRPr="006D431D" w14:paraId="5812C088" w14:textId="77777777">
        <w:tc>
          <w:tcPr>
            <w:tcW w:w="2830" w:type="dxa"/>
          </w:tcPr>
          <w:p w14:paraId="4E3AAF0F" w14:textId="77777777" w:rsidR="00C32B9F" w:rsidRPr="006D431D" w:rsidRDefault="002B39A1">
            <w:pPr>
              <w:pStyle w:val="ListParagraph"/>
              <w:spacing w:after="0" w:line="240" w:lineRule="auto"/>
              <w:ind w:left="0"/>
              <w:jc w:val="center"/>
              <w:rPr>
                <w:rFonts w:ascii="Times New Roman" w:eastAsia="Calibri" w:hAnsi="Times New Roman" w:cs="Times New Roman"/>
                <w:sz w:val="24"/>
                <w:szCs w:val="24"/>
              </w:rPr>
            </w:pPr>
            <w:proofErr w:type="spellStart"/>
            <w:r w:rsidRPr="006D431D">
              <w:rPr>
                <w:rFonts w:ascii="Times New Roman" w:eastAsia="Calibri" w:hAnsi="Times New Roman" w:cs="Times New Roman"/>
                <w:sz w:val="24"/>
                <w:szCs w:val="24"/>
              </w:rPr>
              <w:t>Biodīzelis</w:t>
            </w:r>
            <w:proofErr w:type="spellEnd"/>
            <w:r w:rsidRPr="006D431D">
              <w:rPr>
                <w:rFonts w:ascii="Times New Roman" w:eastAsia="Calibri" w:hAnsi="Times New Roman" w:cs="Times New Roman"/>
                <w:sz w:val="24"/>
                <w:szCs w:val="24"/>
              </w:rPr>
              <w:t xml:space="preserve"> (HVO)</w:t>
            </w:r>
          </w:p>
        </w:tc>
        <w:tc>
          <w:tcPr>
            <w:tcW w:w="2540" w:type="dxa"/>
          </w:tcPr>
          <w:p w14:paraId="3C5AC3E4" w14:textId="77777777" w:rsidR="00C32B9F" w:rsidRPr="006D431D" w:rsidRDefault="002B39A1">
            <w:pPr>
              <w:pStyle w:val="ListParagraph"/>
              <w:spacing w:after="0" w:line="240" w:lineRule="auto"/>
              <w:ind w:left="0"/>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145</w:t>
            </w:r>
          </w:p>
        </w:tc>
        <w:tc>
          <w:tcPr>
            <w:tcW w:w="2971" w:type="dxa"/>
          </w:tcPr>
          <w:p w14:paraId="0119DBD2" w14:textId="77777777" w:rsidR="00C32B9F" w:rsidRPr="006D431D" w:rsidRDefault="002B39A1">
            <w:pPr>
              <w:pStyle w:val="ListParagraph"/>
              <w:spacing w:after="0" w:line="240" w:lineRule="auto"/>
              <w:ind w:left="0"/>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29-62</w:t>
            </w:r>
          </w:p>
        </w:tc>
      </w:tr>
      <w:tr w:rsidR="00C32B9F" w:rsidRPr="006D431D" w14:paraId="11B9B567" w14:textId="77777777">
        <w:tc>
          <w:tcPr>
            <w:tcW w:w="2830" w:type="dxa"/>
          </w:tcPr>
          <w:p w14:paraId="627118EB" w14:textId="77777777" w:rsidR="00C32B9F" w:rsidRPr="006D431D" w:rsidRDefault="002B39A1">
            <w:pPr>
              <w:pStyle w:val="ListParagraph"/>
              <w:spacing w:after="0" w:line="240" w:lineRule="auto"/>
              <w:ind w:left="0"/>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Elektroenerģija</w:t>
            </w:r>
          </w:p>
        </w:tc>
        <w:tc>
          <w:tcPr>
            <w:tcW w:w="2540" w:type="dxa"/>
          </w:tcPr>
          <w:p w14:paraId="27D5C9D0" w14:textId="77777777" w:rsidR="00C32B9F" w:rsidRPr="006D431D" w:rsidRDefault="002B39A1">
            <w:pPr>
              <w:pStyle w:val="ListParagraph"/>
              <w:spacing w:after="0" w:line="240" w:lineRule="auto"/>
              <w:ind w:left="0"/>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50-110</w:t>
            </w:r>
          </w:p>
        </w:tc>
        <w:tc>
          <w:tcPr>
            <w:tcW w:w="2971" w:type="dxa"/>
          </w:tcPr>
          <w:p w14:paraId="4FABED41" w14:textId="77777777" w:rsidR="00C32B9F" w:rsidRPr="006D431D" w:rsidRDefault="002B39A1">
            <w:pPr>
              <w:pStyle w:val="ListParagraph"/>
              <w:spacing w:after="0" w:line="240" w:lineRule="auto"/>
              <w:ind w:left="0"/>
              <w:jc w:val="center"/>
              <w:rPr>
                <w:rFonts w:ascii="Times New Roman" w:eastAsia="Calibri" w:hAnsi="Times New Roman" w:cs="Times New Roman"/>
                <w:sz w:val="24"/>
                <w:szCs w:val="24"/>
              </w:rPr>
            </w:pPr>
            <w:r w:rsidRPr="006D431D">
              <w:rPr>
                <w:rFonts w:ascii="Times New Roman" w:eastAsia="Calibri" w:hAnsi="Times New Roman" w:cs="Times New Roman"/>
                <w:sz w:val="24"/>
                <w:szCs w:val="24"/>
              </w:rPr>
              <w:t>0-46</w:t>
            </w:r>
          </w:p>
        </w:tc>
      </w:tr>
    </w:tbl>
    <w:p w14:paraId="1C70DB48" w14:textId="77777777" w:rsidR="00C32B9F" w:rsidRPr="006D431D" w:rsidRDefault="00C32B9F">
      <w:pPr>
        <w:pStyle w:val="ListParagraph"/>
        <w:jc w:val="center"/>
        <w:rPr>
          <w:rFonts w:ascii="Times New Roman" w:hAnsi="Times New Roman" w:cs="Times New Roman"/>
          <w:sz w:val="24"/>
          <w:szCs w:val="24"/>
        </w:rPr>
      </w:pPr>
    </w:p>
    <w:p w14:paraId="309908BD" w14:textId="77777777" w:rsidR="00C32B9F" w:rsidRPr="006D431D" w:rsidRDefault="002B39A1">
      <w:pPr>
        <w:pStyle w:val="tvhtml"/>
        <w:shd w:val="clear" w:color="auto" w:fill="FFFFFF"/>
        <w:spacing w:before="280" w:after="280" w:line="293" w:lineRule="atLeast"/>
        <w:ind w:firstLine="300"/>
        <w:jc w:val="both"/>
      </w:pPr>
      <w:r w:rsidRPr="006D431D">
        <w:t>Igaunija paredz, ka šobrīd ir spēkā 10% biodegvielas mērķis, 2022. gadā tas kļūst 7.5%, bet no 2028. gada 8,5% (tas attiecas gan uz 1. paaudzes, gan modernajām biodegvielām). Vienlaikus 1. paaudzes biodegvielas apjoms tiek ierobežots ar maksimāli pieļaujamo apjomu – 2022. gadā 4.5%, 2023. gadā 2.5%, bet no 2024. gada – 0.5%. No tā izriet, ka moderno biodegvielu pieprasījums sastāda 2022. gadā 4 %, 2023. gadā 5%, bet 2024. gadā 7%. Salīdzinājumam Latvijai 2025. gada moderno biodegvielu mērķis ir 1%.</w:t>
      </w:r>
    </w:p>
    <w:p w14:paraId="79F0FB3F" w14:textId="77777777" w:rsidR="00C32B9F" w:rsidRPr="006D431D" w:rsidRDefault="002B39A1">
      <w:pPr>
        <w:pStyle w:val="tvhtml"/>
        <w:shd w:val="clear" w:color="auto" w:fill="FFFFFF"/>
        <w:spacing w:before="280" w:after="280" w:line="293" w:lineRule="atLeast"/>
        <w:ind w:firstLine="300"/>
        <w:jc w:val="both"/>
      </w:pPr>
      <w:r w:rsidRPr="006D431D">
        <w:t xml:space="preserve">Somija plāno kopējo biodegvielu mērķi 2030. gadā 30%, no tiem 10% moderno biodegvielu, attiecīgi paredzot kāpjošus </w:t>
      </w:r>
      <w:proofErr w:type="spellStart"/>
      <w:r w:rsidRPr="006D431D">
        <w:t>starpmērķus</w:t>
      </w:r>
      <w:proofErr w:type="spellEnd"/>
      <w:r w:rsidRPr="006D431D">
        <w:t xml:space="preserve"> katru gadu. </w:t>
      </w:r>
    </w:p>
    <w:p w14:paraId="2CE38FC2" w14:textId="77777777" w:rsidR="00C32B9F" w:rsidRPr="006D431D" w:rsidRDefault="002B39A1">
      <w:pPr>
        <w:pStyle w:val="tvhtml"/>
        <w:shd w:val="clear" w:color="auto" w:fill="FFFFFF"/>
        <w:spacing w:before="280" w:after="280" w:line="293" w:lineRule="atLeast"/>
        <w:ind w:firstLine="300"/>
        <w:jc w:val="both"/>
      </w:pPr>
      <w:r w:rsidRPr="006D431D">
        <w:lastRenderedPageBreak/>
        <w:t xml:space="preserve">Augsti kaimiņvalstu mērķi, nozīmē, ka gadījumā, ja Latvijā modernā biometāna ražošana attīstīsies ātrāk par patēriņu, pastāvēs iespēja, izmantojot izcelsmes apliecinājumus, šo biometānu eksportēt. </w:t>
      </w:r>
    </w:p>
    <w:p w14:paraId="310EC04C" w14:textId="77777777" w:rsidR="00C32B9F" w:rsidRPr="006D431D" w:rsidRDefault="002B39A1" w:rsidP="00A928C4">
      <w:pPr>
        <w:pStyle w:val="Heading1"/>
        <w:jc w:val="center"/>
        <w:rPr>
          <w:rFonts w:ascii="Times New Roman" w:hAnsi="Times New Roman" w:cs="Times New Roman"/>
          <w:b/>
          <w:bCs/>
          <w:color w:val="auto"/>
          <w:sz w:val="24"/>
          <w:szCs w:val="24"/>
        </w:rPr>
      </w:pPr>
      <w:bookmarkStart w:id="15" w:name="_Toc101605181"/>
      <w:r w:rsidRPr="006D431D">
        <w:rPr>
          <w:rFonts w:ascii="Times New Roman" w:hAnsi="Times New Roman" w:cs="Times New Roman"/>
          <w:b/>
          <w:bCs/>
          <w:color w:val="auto"/>
          <w:sz w:val="24"/>
          <w:szCs w:val="24"/>
        </w:rPr>
        <w:t>III. Piedāvātie risinājumi</w:t>
      </w:r>
      <w:bookmarkEnd w:id="15"/>
    </w:p>
    <w:p w14:paraId="1DF3EDA4" w14:textId="53EE06AC" w:rsidR="00C32B9F" w:rsidRPr="006D431D" w:rsidRDefault="00805629" w:rsidP="00AE7ACF">
      <w:pPr>
        <w:pStyle w:val="Heading2"/>
        <w:ind w:firstLine="720"/>
        <w:rPr>
          <w:rFonts w:ascii="Times New Roman" w:hAnsi="Times New Roman" w:cs="Times New Roman"/>
          <w:color w:val="auto"/>
          <w:sz w:val="24"/>
          <w:szCs w:val="24"/>
        </w:rPr>
      </w:pPr>
      <w:bookmarkStart w:id="16" w:name="_Toc101605182"/>
      <w:r w:rsidRPr="006D431D">
        <w:rPr>
          <w:rFonts w:ascii="Times New Roman" w:hAnsi="Times New Roman" w:cs="Times New Roman"/>
          <w:color w:val="auto"/>
          <w:sz w:val="24"/>
          <w:szCs w:val="24"/>
        </w:rPr>
        <w:t xml:space="preserve">3.1. </w:t>
      </w:r>
      <w:r w:rsidR="002B39A1" w:rsidRPr="006D431D">
        <w:rPr>
          <w:rFonts w:ascii="Times New Roman" w:hAnsi="Times New Roman" w:cs="Times New Roman"/>
          <w:color w:val="auto"/>
          <w:sz w:val="24"/>
          <w:szCs w:val="24"/>
        </w:rPr>
        <w:t>Potenciālie atbalsta mehānismi, kurus nepiedāvā izmantot Latvijā</w:t>
      </w:r>
      <w:bookmarkEnd w:id="16"/>
    </w:p>
    <w:p w14:paraId="31F071BD" w14:textId="77777777" w:rsidR="00C32B9F" w:rsidRPr="006D431D" w:rsidRDefault="002B39A1" w:rsidP="00AE7ACF">
      <w:pPr>
        <w:pStyle w:val="Heading3"/>
        <w:ind w:firstLine="720"/>
        <w:rPr>
          <w:rFonts w:ascii="Times New Roman" w:hAnsi="Times New Roman" w:cs="Times New Roman"/>
          <w:color w:val="auto"/>
        </w:rPr>
      </w:pPr>
      <w:bookmarkStart w:id="17" w:name="_Toc101605183"/>
      <w:r w:rsidRPr="006D431D">
        <w:rPr>
          <w:rFonts w:ascii="Times New Roman" w:hAnsi="Times New Roman" w:cs="Times New Roman"/>
          <w:color w:val="auto"/>
        </w:rPr>
        <w:t>3.1.1. Piemaksa pie tirgus cenas</w:t>
      </w:r>
      <w:bookmarkEnd w:id="17"/>
    </w:p>
    <w:p w14:paraId="70482C3C" w14:textId="4DB5DA66" w:rsidR="00C32B9F" w:rsidRPr="006D431D" w:rsidRDefault="00AA3326" w:rsidP="00AE7ACF">
      <w:pPr>
        <w:pStyle w:val="tvhtml"/>
        <w:shd w:val="clear" w:color="auto" w:fill="FFFFFF"/>
        <w:spacing w:before="280" w:after="280" w:line="293" w:lineRule="atLeast"/>
        <w:ind w:firstLine="720"/>
        <w:jc w:val="both"/>
      </w:pPr>
      <w:r w:rsidRPr="006D431D">
        <w:t>Piemaksa tiktu aprēķināta</w:t>
      </w:r>
      <w:r w:rsidR="002B39A1" w:rsidRPr="006D431D">
        <w:t xml:space="preserve">, </w:t>
      </w:r>
      <w:r w:rsidRPr="006D431D">
        <w:t>tā, lai,</w:t>
      </w:r>
      <w:r w:rsidR="002B39A1" w:rsidRPr="006D431D">
        <w:t xml:space="preserve"> biometāna cena, kas būtu jāsaņem ražotājam ir 70 </w:t>
      </w:r>
      <w:proofErr w:type="spellStart"/>
      <w:r w:rsidR="002B39A1" w:rsidRPr="006D431D">
        <w:rPr>
          <w:i/>
          <w:iCs/>
        </w:rPr>
        <w:t>euro</w:t>
      </w:r>
      <w:proofErr w:type="spellEnd"/>
      <w:r w:rsidR="002B39A1" w:rsidRPr="006D431D">
        <w:t xml:space="preserve">/ </w:t>
      </w:r>
      <w:proofErr w:type="spellStart"/>
      <w:r w:rsidR="002B39A1" w:rsidRPr="006D431D">
        <w:t>MWh</w:t>
      </w:r>
      <w:proofErr w:type="spellEnd"/>
      <w:r w:rsidR="00931794" w:rsidRPr="006D431D">
        <w:t xml:space="preserve">. </w:t>
      </w:r>
      <w:r w:rsidR="002B39A1" w:rsidRPr="006D431D">
        <w:t>Kaut arī šis risinājums būtu efektīvs, to neapskata kā atbalstāmu alternatīvu, jo tas nestimulētu tirgus mehānismu veidošanos un izmaksas</w:t>
      </w:r>
      <w:r w:rsidR="00120C18" w:rsidRPr="006D431D">
        <w:t xml:space="preserve">, gadījumā, ja gāzes cena būtu zema, </w:t>
      </w:r>
      <w:r w:rsidR="002B39A1" w:rsidRPr="006D431D">
        <w:t xml:space="preserve">  segtu visi nodokļu maksātāji. Tāpat arī jāņem vērā, ka sākotnēji atbalsta sistēmā paredzot subsīdiju ražotājam, vēlāk to ir ļoti grūti samazināt. Igaunijā subsīdija sākotnēji bija noteikti uz 3 gadiem, ar domu pēc tam pāriet uz komerciāliem pamatiem, tomēr vēlāk termiņš tika pagarināts.</w:t>
      </w:r>
    </w:p>
    <w:p w14:paraId="1141C716" w14:textId="474F1A75" w:rsidR="00C32B9F" w:rsidRPr="006D431D" w:rsidRDefault="002B39A1" w:rsidP="00A96F6F">
      <w:pPr>
        <w:pStyle w:val="Heading3"/>
        <w:ind w:firstLine="720"/>
        <w:rPr>
          <w:rFonts w:ascii="Times New Roman" w:hAnsi="Times New Roman" w:cs="Times New Roman"/>
          <w:color w:val="auto"/>
        </w:rPr>
      </w:pPr>
      <w:bookmarkStart w:id="18" w:name="_Toc101605184"/>
      <w:r w:rsidRPr="006D431D">
        <w:rPr>
          <w:rFonts w:ascii="Times New Roman" w:hAnsi="Times New Roman" w:cs="Times New Roman"/>
          <w:color w:val="auto"/>
        </w:rPr>
        <w:t>3.1.</w:t>
      </w:r>
      <w:r w:rsidR="00980A13" w:rsidRPr="006D431D">
        <w:rPr>
          <w:rFonts w:ascii="Times New Roman" w:hAnsi="Times New Roman" w:cs="Times New Roman"/>
          <w:color w:val="auto"/>
        </w:rPr>
        <w:t>2</w:t>
      </w:r>
      <w:r w:rsidRPr="006D431D">
        <w:rPr>
          <w:rFonts w:ascii="Times New Roman" w:hAnsi="Times New Roman" w:cs="Times New Roman"/>
          <w:color w:val="auto"/>
        </w:rPr>
        <w:t>. Investīciju atbalsts CNG transportlīdzekļu iegādei ar nosacījumu, ka tiek izmantots biometāns, nevis dabasgāze</w:t>
      </w:r>
      <w:bookmarkEnd w:id="18"/>
    </w:p>
    <w:p w14:paraId="237F41C7" w14:textId="77777777" w:rsidR="00C32B9F" w:rsidRPr="006D431D" w:rsidRDefault="002B39A1">
      <w:pPr>
        <w:pStyle w:val="tvhtml"/>
        <w:shd w:val="clear" w:color="auto" w:fill="FFFFFF"/>
        <w:spacing w:before="280" w:after="280" w:line="293" w:lineRule="atLeast"/>
        <w:jc w:val="both"/>
      </w:pPr>
      <w:r w:rsidRPr="006D431D">
        <w:rPr>
          <w:b/>
          <w:bCs/>
        </w:rPr>
        <w:t xml:space="preserve"> </w:t>
      </w:r>
      <w:r w:rsidRPr="006D431D">
        <w:t xml:space="preserve">Šāds investīciju atbalsta risinājums tika izskatīts iepriekšējā informatīvā ziņojuma variantā ar mērķi nodrošināt sabalansētu piedāvājumu biometāna ražošanai un patēriņam. Šāds risinājums joprojām šķiet lietderīgs, taču tam šobrīd nav finanšu resursu un arī sabiedriskajā transportā vairāk ir nepieciešams atbalstīt </w:t>
      </w:r>
      <w:proofErr w:type="spellStart"/>
      <w:r w:rsidRPr="006D431D">
        <w:t>bezemisiju</w:t>
      </w:r>
      <w:proofErr w:type="spellEnd"/>
      <w:r w:rsidRPr="006D431D">
        <w:t xml:space="preserve"> transporta līdzekļu investīciju atbalstu. </w:t>
      </w:r>
    </w:p>
    <w:p w14:paraId="640B3E44" w14:textId="76BDBC1B" w:rsidR="00C32B9F" w:rsidRPr="006D431D" w:rsidRDefault="00805629" w:rsidP="00A96F6F">
      <w:pPr>
        <w:pStyle w:val="Heading3"/>
        <w:ind w:firstLine="300"/>
        <w:rPr>
          <w:rFonts w:ascii="Times New Roman" w:hAnsi="Times New Roman" w:cs="Times New Roman"/>
          <w:color w:val="auto"/>
        </w:rPr>
      </w:pPr>
      <w:bookmarkStart w:id="19" w:name="_Toc101605185"/>
      <w:r w:rsidRPr="006D431D">
        <w:rPr>
          <w:rFonts w:ascii="Times New Roman" w:hAnsi="Times New Roman" w:cs="Times New Roman"/>
          <w:color w:val="auto"/>
        </w:rPr>
        <w:t xml:space="preserve">3.1.3. </w:t>
      </w:r>
      <w:r w:rsidR="002B39A1" w:rsidRPr="006D431D">
        <w:rPr>
          <w:rFonts w:ascii="Times New Roman" w:hAnsi="Times New Roman" w:cs="Times New Roman"/>
          <w:color w:val="auto"/>
        </w:rPr>
        <w:t>Atbalsts infrastruktūras ieviešanai</w:t>
      </w:r>
      <w:bookmarkEnd w:id="19"/>
    </w:p>
    <w:p w14:paraId="1E60A1C7" w14:textId="77777777" w:rsidR="00C32B9F" w:rsidRPr="006D431D" w:rsidRDefault="002B39A1">
      <w:pPr>
        <w:pStyle w:val="tvhtml"/>
        <w:shd w:val="clear" w:color="auto" w:fill="FFFFFF"/>
        <w:spacing w:before="280" w:after="280" w:line="293" w:lineRule="atLeast"/>
        <w:ind w:firstLine="300"/>
        <w:jc w:val="both"/>
      </w:pPr>
      <w:r w:rsidRPr="006D431D">
        <w:t>Infrastruktūras ieviešana: Atbilstoši Eiropas Parlamenta un Padomes Direktīvas 2014/94/ES (2014. gada 22. oktobris) par alternatīvo degvielu infrastruktūras ieviešanu</w:t>
      </w:r>
      <w:r w:rsidRPr="006D431D">
        <w:rPr>
          <w:rStyle w:val="FootnoteAnchor"/>
        </w:rPr>
        <w:footnoteReference w:id="30"/>
      </w:r>
      <w:r w:rsidRPr="006D431D">
        <w:t xml:space="preserve"> 41. punktam:</w:t>
      </w:r>
    </w:p>
    <w:p w14:paraId="7C2B186B" w14:textId="548863F4" w:rsidR="00C32B9F" w:rsidRPr="006D431D" w:rsidRDefault="002B39A1">
      <w:pPr>
        <w:pStyle w:val="tvhtml"/>
        <w:shd w:val="clear" w:color="auto" w:fill="FFFFFF"/>
        <w:spacing w:before="280" w:after="280" w:line="293" w:lineRule="atLeast"/>
        <w:ind w:left="300"/>
        <w:jc w:val="both"/>
      </w:pPr>
      <w:r w:rsidRPr="006D431D">
        <w:t>“Dalībvalstīm ar savu valsts politikas regulējumu būtu jānodrošina, ka tiek izbūvēts atbilstošs skaits publiski pieejamu uzpildes punktu mehānisko transportlīdzekļu apgādei ar CNG vai saspiesto biometānu, lai panāktu, ka CNG mehāniskie transportlīdzekļi var cirkulēt pilsētu/piepilsētu aglomerācijās un citās blīvi apdzīvotās vietās, kā arī visā Savienībā, vismaz pastāvošajā TEN-T pamattīklā. Veidojot CNG piegādes tīklus mehāniskajiem transportlīdzekļiem, dalībvalstīm būtu jānodrošina, ka publiski pieejami uzpildes punkti tiek izbūvēti, ņemot vērā CNG mehānisko transportlīdzekļu  minimālo darbības diapazonu. Kā norāde – vidējam attālumam starp uzpildes punktiem vajadzētu būt aptuveni 150 km. Lai nodrošinātu tirgus darbību un savstarpēju savietojamību, visos mehāniskajiem transportlīdzekļiem paredzētajos CNG uzpildes punktos būtu jānodrošina tādas kvalitātes gāze, kāda transportlīdzekļu izmantošanai esošo un jaunāko tehnoloģiju CNG transportlīdzekļus.” Saskaņā ar ES nosacījumiem Latvijā nepieciešamas vismaz 5 CNG uzpildes stacijas. Tomēr, lai šis degvielas veids būtu pietiekami ērts patērētājiem, staciju skaitam ir jābūt ievērojami lielākam, kā tas jau šobrīd ir gan Igaunijā, gan Lietuvā. Pamatā paredzams, ka uzpildes staciju tīkla attīstību nodrošina privātais sektors.</w:t>
      </w:r>
      <w:r w:rsidR="009F3EA9" w:rsidRPr="006D431D">
        <w:t xml:space="preserve"> </w:t>
      </w:r>
      <w:r w:rsidRPr="006D431D">
        <w:t xml:space="preserve">SIA Virši </w:t>
      </w:r>
      <w:r w:rsidR="009F3EA9" w:rsidRPr="006D431D">
        <w:t>8</w:t>
      </w:r>
      <w:r w:rsidRPr="006D431D">
        <w:t xml:space="preserve"> CNG stacijas darbojas (Krustpilī, Lubānas</w:t>
      </w:r>
      <w:r w:rsidR="009F3EA9" w:rsidRPr="006D431D">
        <w:t xml:space="preserve"> un Katrīnas</w:t>
      </w:r>
      <w:r w:rsidRPr="006D431D">
        <w:t xml:space="preserve"> iela Rīgā, Babītē, Rēzeknē, Jaunolainē, Brocēnos</w:t>
      </w:r>
      <w:r w:rsidR="009F3EA9" w:rsidRPr="006D431D">
        <w:t xml:space="preserve"> un Liepājā</w:t>
      </w:r>
      <w:r w:rsidRPr="006D431D">
        <w:t>). Šobrīd būvniecības stadijā ir</w:t>
      </w:r>
      <w:r w:rsidR="009F3EA9" w:rsidRPr="006D431D">
        <w:t xml:space="preserve"> vēl</w:t>
      </w:r>
      <w:r w:rsidRPr="006D431D">
        <w:t xml:space="preserve"> 2 stacijas</w:t>
      </w:r>
      <w:r w:rsidR="009F3EA9" w:rsidRPr="006D431D">
        <w:t>, tādējādi 2022. gadā kopējais CNG staciju tīkls Latvijā ietvers vismaz 10 stacijas.</w:t>
      </w:r>
      <w:r w:rsidRPr="006D431D">
        <w:t xml:space="preserve"> </w:t>
      </w:r>
      <w:r w:rsidR="009F3EA9" w:rsidRPr="006D431D">
        <w:t xml:space="preserve">No </w:t>
      </w:r>
      <w:r w:rsidRPr="006D431D">
        <w:t xml:space="preserve"> 2022.gadā </w:t>
      </w:r>
      <w:r w:rsidR="009F3EA9" w:rsidRPr="006D431D">
        <w:t xml:space="preserve">SIA </w:t>
      </w:r>
      <w:r w:rsidRPr="006D431D">
        <w:t>Virši plāno</w:t>
      </w:r>
      <w:r w:rsidR="009F3EA9" w:rsidRPr="006D431D">
        <w:t xml:space="preserve">tajām stacijām </w:t>
      </w:r>
      <w:r w:rsidRPr="006D431D">
        <w:t xml:space="preserve"> viena  noteikti būs </w:t>
      </w:r>
      <w:r w:rsidRPr="006D431D">
        <w:lastRenderedPageBreak/>
        <w:t xml:space="preserve">Daugavpilī, jo atbilstoši iepirkuma rezultātiem Virši piegādās CNG Daugavpils autobusu parkam un vienlaikus nodrošinās arī publisko uzpildi. </w:t>
      </w:r>
    </w:p>
    <w:p w14:paraId="1C54CBDE" w14:textId="77777777" w:rsidR="00C32B9F" w:rsidRPr="006D431D" w:rsidRDefault="002B39A1">
      <w:pPr>
        <w:pStyle w:val="tvhtml"/>
        <w:shd w:val="clear" w:color="auto" w:fill="FFFFFF"/>
        <w:spacing w:before="280" w:after="280" w:line="293" w:lineRule="atLeast"/>
        <w:ind w:firstLine="300"/>
        <w:jc w:val="both"/>
      </w:pPr>
      <w:r w:rsidRPr="006D431D">
        <w:t xml:space="preserve">Papildus Viršu publiskās uzpildes tīklam pastāv lokālais uzņēmumu tīkls, lielākais no tiem ir GASO tīkls, kur vairākos iecirkņos tiek veiktas GASO transportlīdzekļu uzpildes. Darbību uzsācis arī  mobilās CNG uzpildes nodrošinātājs </w:t>
      </w:r>
      <w:proofErr w:type="spellStart"/>
      <w:r w:rsidRPr="006D431D">
        <w:t>GasOn</w:t>
      </w:r>
      <w:proofErr w:type="spellEnd"/>
      <w:r w:rsidRPr="006D431D">
        <w:rPr>
          <w:rStyle w:val="FootnoteAnchor"/>
        </w:rPr>
        <w:footnoteReference w:id="31"/>
      </w:r>
      <w:r w:rsidRPr="006D431D">
        <w:t>.</w:t>
      </w:r>
    </w:p>
    <w:p w14:paraId="7C1DB506" w14:textId="77777777" w:rsidR="00C32B9F" w:rsidRPr="006D431D" w:rsidRDefault="002B39A1">
      <w:pPr>
        <w:pStyle w:val="tvhtml"/>
        <w:shd w:val="clear" w:color="auto" w:fill="FFFFFF"/>
        <w:spacing w:before="280" w:after="280" w:line="293" w:lineRule="atLeast"/>
        <w:ind w:firstLine="300"/>
        <w:jc w:val="both"/>
      </w:pPr>
      <w:r w:rsidRPr="006D431D">
        <w:t xml:space="preserve">Tāpēc Latvijā nav plānota valsts atbalsta sistēma CNG infrastruktūras izveidei, paredzot, ka to pilnībā nodrošina privātais sektors. </w:t>
      </w:r>
    </w:p>
    <w:p w14:paraId="1AB69BEC" w14:textId="61E3C56C" w:rsidR="00C32B9F" w:rsidRPr="006D431D" w:rsidRDefault="002B39A1" w:rsidP="0066464D">
      <w:pPr>
        <w:pStyle w:val="Heading2"/>
        <w:numPr>
          <w:ilvl w:val="1"/>
          <w:numId w:val="10"/>
        </w:numPr>
        <w:rPr>
          <w:rFonts w:ascii="Times New Roman" w:hAnsi="Times New Roman" w:cs="Times New Roman"/>
          <w:color w:val="auto"/>
          <w:sz w:val="24"/>
          <w:szCs w:val="24"/>
        </w:rPr>
      </w:pPr>
      <w:bookmarkStart w:id="20" w:name="_Toc101605186"/>
      <w:r w:rsidRPr="006D431D">
        <w:rPr>
          <w:rFonts w:ascii="Times New Roman" w:hAnsi="Times New Roman" w:cs="Times New Roman"/>
          <w:color w:val="auto"/>
          <w:sz w:val="24"/>
          <w:szCs w:val="24"/>
        </w:rPr>
        <w:t xml:space="preserve">Informatīvajā ziņojumā piedāvātie </w:t>
      </w:r>
      <w:r w:rsidR="00E12378" w:rsidRPr="006D431D">
        <w:rPr>
          <w:rFonts w:ascii="Times New Roman" w:hAnsi="Times New Roman" w:cs="Times New Roman"/>
          <w:color w:val="auto"/>
          <w:sz w:val="24"/>
          <w:szCs w:val="24"/>
        </w:rPr>
        <w:t>biometāna veicināšanas</w:t>
      </w:r>
      <w:r w:rsidRPr="006D431D">
        <w:rPr>
          <w:rFonts w:ascii="Times New Roman" w:hAnsi="Times New Roman" w:cs="Times New Roman"/>
          <w:color w:val="auto"/>
          <w:sz w:val="24"/>
          <w:szCs w:val="24"/>
        </w:rPr>
        <w:t xml:space="preserve"> mehānismi</w:t>
      </w:r>
      <w:bookmarkEnd w:id="20"/>
      <w:r w:rsidRPr="006D431D">
        <w:rPr>
          <w:rFonts w:ascii="Times New Roman" w:hAnsi="Times New Roman" w:cs="Times New Roman"/>
          <w:color w:val="auto"/>
          <w:sz w:val="24"/>
          <w:szCs w:val="24"/>
        </w:rPr>
        <w:t xml:space="preserve"> </w:t>
      </w:r>
    </w:p>
    <w:p w14:paraId="6A886035" w14:textId="0ECAB9DB" w:rsidR="00C32B9F" w:rsidRPr="006D431D" w:rsidRDefault="002B39A1" w:rsidP="0066464D">
      <w:pPr>
        <w:pStyle w:val="Heading3"/>
        <w:numPr>
          <w:ilvl w:val="2"/>
          <w:numId w:val="10"/>
        </w:numPr>
        <w:rPr>
          <w:rFonts w:ascii="Times New Roman" w:hAnsi="Times New Roman" w:cs="Times New Roman"/>
          <w:color w:val="auto"/>
        </w:rPr>
      </w:pPr>
      <w:bookmarkStart w:id="21" w:name="_Toc101605187"/>
      <w:r w:rsidRPr="006D431D">
        <w:rPr>
          <w:rFonts w:ascii="Times New Roman" w:hAnsi="Times New Roman" w:cs="Times New Roman"/>
          <w:color w:val="auto"/>
        </w:rPr>
        <w:t>Izcelsmes apliecinājumu sistēmas izveide</w:t>
      </w:r>
      <w:bookmarkEnd w:id="21"/>
      <w:r w:rsidRPr="006D431D">
        <w:rPr>
          <w:rFonts w:ascii="Times New Roman" w:hAnsi="Times New Roman" w:cs="Times New Roman"/>
          <w:color w:val="auto"/>
        </w:rPr>
        <w:t xml:space="preserve"> </w:t>
      </w:r>
    </w:p>
    <w:p w14:paraId="0CDFC94B" w14:textId="13D0721F" w:rsidR="00C32B9F" w:rsidRPr="006D431D" w:rsidRDefault="002B39A1" w:rsidP="009A1389">
      <w:pPr>
        <w:pStyle w:val="tvhtml"/>
        <w:shd w:val="clear" w:color="auto" w:fill="FFFFFF"/>
        <w:spacing w:before="100" w:after="100" w:line="293" w:lineRule="atLeast"/>
        <w:ind w:firstLine="300"/>
        <w:jc w:val="both"/>
      </w:pPr>
      <w:r w:rsidRPr="006D431D">
        <w:t xml:space="preserve">Atbilstoši Direktīvas 2018/2001 19. panta nosacījumiem ES dalībvalstis ievieš izcelsmes apliecinājumus atjaunojamai enerģijai. Elektroenerģijai šādi izcelsmes apliecinājumi jāievieš obligāti, bet dalībvalstis tādus var ieviest arī citiem enerģijas veidiem, tai skaitā gāzei. Izcelsmes apliecinājumā norāda uz kādu enerģijas veidu (piemēram, elektroenerģiju, gāzi, siltumapgādei izmantoto enerģiju), informāciju par enerģijas ražošanas iekārtu, informāciju par iekārtas uzstādīšanai vai energoresursa saražošanai izmantoto valsts atbalstu. Šobrīd ir sagatavoti grozījumi Enerģētikas likumā, kas paredz izcelsmes apliecinājumu sistēmas ieviešanu, paralēli ir jāizstrādā nepieciešamie Ministru kabineta noteikumi  un jāveic sistēmas ieviešana. Paredzēts, ka izcelsmes apliecinājumus izdos AS </w:t>
      </w:r>
      <w:r w:rsidR="009B73CB" w:rsidRPr="006D431D">
        <w:t>“</w:t>
      </w:r>
      <w:r w:rsidRPr="006D431D">
        <w:t>Conexus Baltic Grid</w:t>
      </w:r>
      <w:r w:rsidR="009B73CB" w:rsidRPr="006D431D">
        <w:t>”, kas būs</w:t>
      </w:r>
      <w:r w:rsidRPr="006D431D">
        <w:t xml:space="preserve"> atlīdzināmi ar sabiedrisko pakalpojumu tarifu palīdzību.</w:t>
      </w:r>
    </w:p>
    <w:p w14:paraId="0039F547" w14:textId="7CD68B99" w:rsidR="00C32B9F" w:rsidRPr="006D431D" w:rsidRDefault="002B39A1" w:rsidP="00B81E10">
      <w:pPr>
        <w:pStyle w:val="Heading3"/>
        <w:numPr>
          <w:ilvl w:val="2"/>
          <w:numId w:val="10"/>
        </w:numPr>
        <w:rPr>
          <w:rFonts w:ascii="Times New Roman" w:hAnsi="Times New Roman" w:cs="Times New Roman"/>
          <w:color w:val="auto"/>
        </w:rPr>
      </w:pPr>
      <w:bookmarkStart w:id="22" w:name="_Toc101605188"/>
      <w:r w:rsidRPr="006D431D">
        <w:rPr>
          <w:rFonts w:ascii="Times New Roman" w:hAnsi="Times New Roman" w:cs="Times New Roman"/>
          <w:color w:val="auto"/>
        </w:rPr>
        <w:t>Ilgtspējas kritēriji un atbilstība moderno biodegvielu prasībām</w:t>
      </w:r>
      <w:bookmarkEnd w:id="22"/>
    </w:p>
    <w:p w14:paraId="4A834CA8" w14:textId="77777777" w:rsidR="00C32B9F" w:rsidRPr="006D431D" w:rsidRDefault="002B39A1">
      <w:pPr>
        <w:pStyle w:val="tvhtml"/>
        <w:shd w:val="clear" w:color="auto" w:fill="FFFFFF"/>
        <w:spacing w:before="280" w:after="280" w:line="293" w:lineRule="atLeast"/>
        <w:ind w:firstLine="300"/>
        <w:jc w:val="both"/>
      </w:pPr>
      <w:r w:rsidRPr="006D431D">
        <w:t xml:space="preserve">Biodegvielas ilgtspējas kritērijus un sertifikācijas sistēmu nosaka Direktīvas 2018/2001 29. un 30. pants un Komisijas deleģētā regula 2019/807. Komercdarbības atbalsts ir pieļaujams vienīgi sertificētai biodegvielai. </w:t>
      </w:r>
    </w:p>
    <w:p w14:paraId="2A2094C9" w14:textId="77777777" w:rsidR="00C32B9F" w:rsidRPr="006D431D" w:rsidRDefault="002B39A1">
      <w:pPr>
        <w:pStyle w:val="tvhtml"/>
        <w:shd w:val="clear" w:color="auto" w:fill="FFFFFF"/>
        <w:spacing w:before="280" w:after="280" w:line="293" w:lineRule="atLeast"/>
        <w:ind w:firstLine="300"/>
        <w:jc w:val="both"/>
      </w:pPr>
      <w:r w:rsidRPr="006D431D">
        <w:t xml:space="preserve">Atbilstību moderno biodegvielu prasībām tiek noteikta atbilstoši Direktīvas 2018/2001 IX pielikuma A daļai ( TEL projekts). Biometāns, kas iegūts no lauksaimniecības kultūrām, neatbildīs modernā biometāna prasībām un līdz ar to nedos pozitīvu ietekmi AER transporta mērķa sasniegšanā. Veidojot atbalsta programmas biometāna iegūšanai, valsts atbalsts attiecināms tikai uz moderno biometānu. </w:t>
      </w:r>
    </w:p>
    <w:p w14:paraId="3EF8BD62" w14:textId="4FC52F57" w:rsidR="00C32B9F" w:rsidRPr="006D431D" w:rsidRDefault="002B39A1" w:rsidP="00B81E10">
      <w:pPr>
        <w:pStyle w:val="Heading3"/>
        <w:numPr>
          <w:ilvl w:val="2"/>
          <w:numId w:val="10"/>
        </w:numPr>
        <w:rPr>
          <w:rFonts w:ascii="Times New Roman" w:hAnsi="Times New Roman" w:cs="Times New Roman"/>
          <w:color w:val="auto"/>
        </w:rPr>
      </w:pPr>
      <w:bookmarkStart w:id="23" w:name="_Toc101605189"/>
      <w:r w:rsidRPr="006D431D">
        <w:rPr>
          <w:rFonts w:ascii="Times New Roman" w:hAnsi="Times New Roman" w:cs="Times New Roman"/>
          <w:color w:val="auto"/>
        </w:rPr>
        <w:t>Pienākuma shēma degvielas tirgotājiem</w:t>
      </w:r>
      <w:bookmarkEnd w:id="23"/>
    </w:p>
    <w:p w14:paraId="678634B0" w14:textId="77777777" w:rsidR="00C32B9F" w:rsidRPr="006D431D" w:rsidRDefault="002B39A1">
      <w:pPr>
        <w:pStyle w:val="tvhtml"/>
        <w:shd w:val="clear" w:color="auto" w:fill="FFFFFF"/>
        <w:spacing w:before="280" w:after="280" w:line="293" w:lineRule="atLeast"/>
        <w:ind w:firstLine="300"/>
        <w:jc w:val="both"/>
      </w:pPr>
      <w:r w:rsidRPr="006D431D">
        <w:t xml:space="preserve">TEL projekts paredz atjaunojamās enerģijas pienākumu, kas  ir sistēma, kurā enerģijas piegādātājiem jāpanāk, ka noteikta piegādātās enerģijas daļa ir no AER iegūta enerģija. Saskaņā ar šo likumprojektu degvielas piegādātājam jānodod </w:t>
      </w:r>
      <w:proofErr w:type="spellStart"/>
      <w:r w:rsidRPr="006D431D">
        <w:t>galapatēriņam</w:t>
      </w:r>
      <w:proofErr w:type="spellEnd"/>
      <w:r w:rsidRPr="006D431D">
        <w:t xml:space="preserve"> transportā moderno </w:t>
      </w:r>
      <w:r w:rsidRPr="006D431D">
        <w:lastRenderedPageBreak/>
        <w:t xml:space="preserve">biodegvielu un biogāzi (biometānu), lai to īpatsvars  ņemot vērā visu konkrētā degvielas piegādātāja </w:t>
      </w:r>
      <w:proofErr w:type="spellStart"/>
      <w:r w:rsidRPr="006D431D">
        <w:t>galapatēriņam</w:t>
      </w:r>
      <w:proofErr w:type="spellEnd"/>
      <w:r w:rsidRPr="006D431D">
        <w:t xml:space="preserve"> transportā realizēto  transporta enerģijas apjomu veido: </w:t>
      </w:r>
    </w:p>
    <w:p w14:paraId="22A026D8" w14:textId="46E6F1E7" w:rsidR="00C32B9F" w:rsidRPr="006D431D" w:rsidRDefault="002B39A1" w:rsidP="00376FB3">
      <w:pPr>
        <w:pStyle w:val="tvhtml"/>
        <w:shd w:val="clear" w:color="auto" w:fill="FFFFFF"/>
        <w:spacing w:beforeAutospacing="0" w:after="100"/>
        <w:ind w:firstLine="300"/>
        <w:jc w:val="both"/>
      </w:pPr>
      <w:r w:rsidRPr="006D431D">
        <w:t>1) no 202</w:t>
      </w:r>
      <w:r w:rsidR="008E6941" w:rsidRPr="006D431D">
        <w:t>3</w:t>
      </w:r>
      <w:r w:rsidRPr="006D431D">
        <w:t xml:space="preserve">gada 1.janvāra līdz 2024.gada 31.decembrim – ne mazāk kā 0,2%; </w:t>
      </w:r>
    </w:p>
    <w:p w14:paraId="74FEFD50" w14:textId="77777777" w:rsidR="00C32B9F" w:rsidRPr="006D431D" w:rsidRDefault="002B39A1" w:rsidP="00376FB3">
      <w:pPr>
        <w:pStyle w:val="tvhtml"/>
        <w:shd w:val="clear" w:color="auto" w:fill="FFFFFF"/>
        <w:spacing w:beforeAutospacing="0" w:after="100"/>
        <w:ind w:firstLine="300"/>
        <w:jc w:val="both"/>
      </w:pPr>
      <w:r w:rsidRPr="006D431D">
        <w:t xml:space="preserve">2) no 2025.gada 1.janvāra līdz 2028.gada 31.decembrim – ne mazāk kā 1%; </w:t>
      </w:r>
    </w:p>
    <w:p w14:paraId="7548E5E3" w14:textId="42DAC8EB" w:rsidR="00C32B9F" w:rsidRPr="006D431D" w:rsidRDefault="002B39A1" w:rsidP="00376FB3">
      <w:pPr>
        <w:pStyle w:val="tvhtml"/>
        <w:shd w:val="clear" w:color="auto" w:fill="FFFFFF"/>
        <w:spacing w:beforeAutospacing="0" w:after="100"/>
        <w:ind w:firstLine="300"/>
        <w:jc w:val="both"/>
      </w:pPr>
      <w:r w:rsidRPr="006D431D">
        <w:t xml:space="preserve">3)  sākot no 2030.gada 1.janvāra – ne mazāk kā </w:t>
      </w:r>
      <w:r w:rsidR="00500C5C" w:rsidRPr="006D431D">
        <w:t>2</w:t>
      </w:r>
      <w:r w:rsidRPr="006D431D">
        <w:t xml:space="preserve">,5%. </w:t>
      </w:r>
    </w:p>
    <w:p w14:paraId="08A8312D" w14:textId="77777777" w:rsidR="00C32B9F" w:rsidRPr="006D431D" w:rsidRDefault="002B39A1">
      <w:pPr>
        <w:pStyle w:val="tvhtml"/>
        <w:shd w:val="clear" w:color="auto" w:fill="FFFFFF"/>
        <w:spacing w:before="280" w:after="280" w:line="293" w:lineRule="atLeast"/>
        <w:ind w:firstLine="300"/>
        <w:jc w:val="both"/>
      </w:pPr>
      <w:r w:rsidRPr="006D431D">
        <w:t xml:space="preserve">Tomēr jāņem vērā, ka ES plāno šos mērķus precizēt - līdz 0,5 % 2025. gadā un 2,2 % 2030. gadā, taču atsakoties no multiplikatora 2, tāpēc 2,2% bez multiplikatora ir vairāk, kā 3,5% ar multiplikatoru,  paredzot arī  atsevišķu mērķi (2,6%) sintētiskajām degvielām. </w:t>
      </w:r>
      <w:r w:rsidRPr="006D431D">
        <w:rPr>
          <w:rStyle w:val="FootnoteAnchor"/>
        </w:rPr>
        <w:footnoteReference w:id="32"/>
      </w:r>
    </w:p>
    <w:p w14:paraId="37733AA1" w14:textId="76285820" w:rsidR="00C32B9F" w:rsidRPr="006D431D" w:rsidRDefault="002B39A1">
      <w:pPr>
        <w:pStyle w:val="tvhtml"/>
        <w:shd w:val="clear" w:color="auto" w:fill="FFFFFF"/>
        <w:spacing w:before="280" w:after="280" w:line="293" w:lineRule="atLeast"/>
        <w:jc w:val="both"/>
      </w:pPr>
      <w:r w:rsidRPr="006D431D">
        <w:t>Ja degvielas piegādātājs gala</w:t>
      </w:r>
      <w:r w:rsidR="00F27544" w:rsidRPr="006D431D">
        <w:t xml:space="preserve"> </w:t>
      </w:r>
      <w:r w:rsidRPr="006D431D">
        <w:t>patēriņam transportā realizē modernās biodegvielas vai biogāzi un kuras izcelsmi degvielas piegādātājs var attiecīgi pamatot, tad no minēto moderno biodegvielu un biogāzes iegūto enerģijas daudzumu uzskata par divkāršu.</w:t>
      </w:r>
    </w:p>
    <w:p w14:paraId="5A9CFD91" w14:textId="77777777" w:rsidR="00C32B9F" w:rsidRPr="006D431D" w:rsidRDefault="002B39A1">
      <w:pPr>
        <w:pStyle w:val="tvhtml"/>
        <w:shd w:val="clear" w:color="auto" w:fill="FFFFFF"/>
        <w:spacing w:before="280" w:after="280" w:line="293" w:lineRule="atLeast"/>
        <w:jc w:val="both"/>
      </w:pPr>
      <w:r w:rsidRPr="006D431D">
        <w:t xml:space="preserve">Šāds nosacījums garantētu moderno biodegvielu un biogāzes patēriņu pēc aptuvenām aplēsēm, ņemot vērā  koeficientu 2, sastāda  13 </w:t>
      </w:r>
      <w:proofErr w:type="spellStart"/>
      <w:r w:rsidRPr="006D431D">
        <w:t>GWh</w:t>
      </w:r>
      <w:proofErr w:type="spellEnd"/>
      <w:r w:rsidRPr="006D431D">
        <w:t xml:space="preserve"> sākot no 2022. gada un 58 </w:t>
      </w:r>
      <w:proofErr w:type="spellStart"/>
      <w:r w:rsidRPr="006D431D">
        <w:t>GWh</w:t>
      </w:r>
      <w:proofErr w:type="spellEnd"/>
      <w:r w:rsidRPr="006D431D">
        <w:t xml:space="preserve"> sākot no 2025. gada – kas bez citiem atbalsta pasākumiem būtu nepietiekams stimuls biometāna sistēmas attīstībai. Līdzīgi kā to dara Igaunija un Somija, Latvijai ir iespēja paaugstināt pienākumu shēmā noteiktos mērķus. </w:t>
      </w:r>
    </w:p>
    <w:p w14:paraId="53B87DAA" w14:textId="77777777" w:rsidR="00C32B9F" w:rsidRPr="006D431D" w:rsidRDefault="002B39A1">
      <w:pPr>
        <w:pStyle w:val="tvhtml"/>
        <w:shd w:val="clear" w:color="auto" w:fill="FFFFFF" w:themeFill="background1"/>
        <w:spacing w:before="280" w:after="280" w:line="293" w:lineRule="atLeast"/>
        <w:jc w:val="both"/>
      </w:pPr>
      <w:r w:rsidRPr="006D431D">
        <w:t xml:space="preserve">Paplašinātā pienākumu shēma pēc detalizēta </w:t>
      </w:r>
      <w:proofErr w:type="spellStart"/>
      <w:r w:rsidRPr="006D431D">
        <w:t>izvērtējuma</w:t>
      </w:r>
      <w:proofErr w:type="spellEnd"/>
      <w:r w:rsidRPr="006D431D">
        <w:t xml:space="preserve">, grozot TEL projekta nosacījumus no 2025. gada, ļautu ekonomiski pamatotā veidā nodrošināt patēriņu. Tomēr, ja pienākumu shēmas mērķus paaugstina pārāk strauji, pastāv risks pārāk sadārdzināt kopējās transporta izmaksas. Nepieciešamā pienākumu shēma, lai tā nodrošinātu 315 </w:t>
      </w:r>
      <w:proofErr w:type="spellStart"/>
      <w:r w:rsidRPr="006D431D">
        <w:t>GWh</w:t>
      </w:r>
      <w:proofErr w:type="spellEnd"/>
      <w:r w:rsidRPr="006D431D">
        <w:t xml:space="preserve"> biometāna gala patēriņu, ņemot vērā biometāna dubultās ieskaitīšanas koeficientu, sastādītu apmēram 5% no transporta gala patēriņa 2025. gadā un 6% 2030. gadā. Pienākumu shēma tomēr pati par sevi nenodrošinās pietiekami strauju ar biometānu darbināmu transporta līdzekļu skaita pieaugumu. </w:t>
      </w:r>
    </w:p>
    <w:p w14:paraId="67B9C25D" w14:textId="77777777" w:rsidR="00C32B9F" w:rsidRPr="006D431D" w:rsidRDefault="002B39A1">
      <w:pPr>
        <w:pStyle w:val="tvhtml"/>
        <w:shd w:val="clear" w:color="auto" w:fill="FFFFFF"/>
        <w:spacing w:before="280" w:after="280" w:line="293" w:lineRule="atLeast"/>
        <w:ind w:firstLine="300"/>
        <w:jc w:val="both"/>
      </w:pPr>
      <w:r w:rsidRPr="006D431D">
        <w:t xml:space="preserve">Tāpat arī degvielas piegādātājiem saskaņā ar TEL projektu jānodrošina transporta enerģijas, izņemot elektroenerģijas, aprites cikla siltumnīcefekta gāzu emisiju uz vienu enerģijas vienību samazinājumu vismaz par sešiem procentiem attiecībā pret degvielas pamatstandartu. Šajā gadījumā iespējams izmantot arī pirmās paaudzes biometānu. </w:t>
      </w:r>
    </w:p>
    <w:p w14:paraId="5C62614B" w14:textId="5BAAD50A" w:rsidR="00C32B9F" w:rsidRDefault="002B39A1" w:rsidP="00121F07">
      <w:pPr>
        <w:pStyle w:val="Heading3"/>
        <w:numPr>
          <w:ilvl w:val="2"/>
          <w:numId w:val="10"/>
        </w:numPr>
        <w:rPr>
          <w:rFonts w:ascii="Times New Roman" w:hAnsi="Times New Roman" w:cs="Times New Roman"/>
          <w:color w:val="auto"/>
        </w:rPr>
      </w:pPr>
      <w:r w:rsidRPr="006D431D">
        <w:rPr>
          <w:rFonts w:ascii="Times New Roman" w:hAnsi="Times New Roman" w:cs="Times New Roman"/>
          <w:color w:val="auto"/>
        </w:rPr>
        <w:t xml:space="preserve"> </w:t>
      </w:r>
      <w:bookmarkStart w:id="24" w:name="_Toc101605190"/>
      <w:r w:rsidRPr="006D431D">
        <w:rPr>
          <w:rFonts w:ascii="Times New Roman" w:hAnsi="Times New Roman" w:cs="Times New Roman"/>
          <w:color w:val="auto"/>
        </w:rPr>
        <w:t>Nodokļu atlaide biometānam</w:t>
      </w:r>
      <w:bookmarkEnd w:id="24"/>
    </w:p>
    <w:p w14:paraId="43BBC3B0" w14:textId="77777777" w:rsidR="006D431D" w:rsidRPr="006D431D" w:rsidRDefault="006D431D" w:rsidP="006D431D"/>
    <w:p w14:paraId="2AEACAE1" w14:textId="27D83668" w:rsidR="005D14E2" w:rsidRPr="006D431D" w:rsidRDefault="002B39A1" w:rsidP="006D431D">
      <w:pPr>
        <w:ind w:firstLine="568"/>
        <w:jc w:val="both"/>
        <w:rPr>
          <w:rFonts w:ascii="Times New Roman" w:hAnsi="Times New Roman" w:cs="Times New Roman"/>
          <w:sz w:val="24"/>
          <w:szCs w:val="24"/>
        </w:rPr>
      </w:pPr>
      <w:r w:rsidRPr="006D431D">
        <w:rPr>
          <w:rFonts w:ascii="Times New Roman" w:hAnsi="Times New Roman" w:cs="Times New Roman"/>
          <w:sz w:val="24"/>
          <w:szCs w:val="24"/>
        </w:rPr>
        <w:t xml:space="preserve">No 2021.gada līdz 2025.gadam akcīzes nodokli likme dabasgāzei kā degvielai ir 1,91 EUR par 1 </w:t>
      </w:r>
      <w:proofErr w:type="spellStart"/>
      <w:r w:rsidRPr="006D431D">
        <w:rPr>
          <w:rFonts w:ascii="Times New Roman" w:hAnsi="Times New Roman" w:cs="Times New Roman"/>
          <w:sz w:val="24"/>
          <w:szCs w:val="24"/>
        </w:rPr>
        <w:t>MWh</w:t>
      </w:r>
      <w:proofErr w:type="spellEnd"/>
      <w:r w:rsidRPr="006D431D">
        <w:rPr>
          <w:rFonts w:ascii="Times New Roman" w:hAnsi="Times New Roman" w:cs="Times New Roman"/>
          <w:sz w:val="24"/>
          <w:szCs w:val="24"/>
        </w:rPr>
        <w:t xml:space="preserve">, jeb 20 EUR par 1000 m3, vienlaikus paredzot, ka no 2026.gada akcīzes nodokļa likme dabasgāzei (izmantošanai par degvielu) tiktu palielināta uz 10 EUR par 1 </w:t>
      </w:r>
      <w:proofErr w:type="spellStart"/>
      <w:r w:rsidRPr="006D431D">
        <w:rPr>
          <w:rFonts w:ascii="Times New Roman" w:hAnsi="Times New Roman" w:cs="Times New Roman"/>
          <w:sz w:val="24"/>
          <w:szCs w:val="24"/>
        </w:rPr>
        <w:t>MWh</w:t>
      </w:r>
      <w:proofErr w:type="spellEnd"/>
      <w:r w:rsidRPr="006D431D">
        <w:rPr>
          <w:rFonts w:ascii="Times New Roman" w:hAnsi="Times New Roman" w:cs="Times New Roman"/>
          <w:sz w:val="24"/>
          <w:szCs w:val="24"/>
        </w:rPr>
        <w:t xml:space="preserve"> jeb 105 EUR par </w:t>
      </w:r>
      <w:r w:rsidRPr="006D431D">
        <w:rPr>
          <w:rFonts w:ascii="Times New Roman" w:hAnsi="Times New Roman" w:cs="Times New Roman"/>
          <w:sz w:val="24"/>
          <w:szCs w:val="24"/>
        </w:rPr>
        <w:lastRenderedPageBreak/>
        <w:t>1000 m3. Ņemot vērā samazināto akcīzes nodokļa likmi dabasgāzei transportā līdz 2026. gadam, būtu lietderīgi piemērot 0 EUR/</w:t>
      </w:r>
      <w:proofErr w:type="spellStart"/>
      <w:r w:rsidRPr="006D431D">
        <w:rPr>
          <w:rFonts w:ascii="Times New Roman" w:hAnsi="Times New Roman" w:cs="Times New Roman"/>
          <w:sz w:val="24"/>
          <w:szCs w:val="24"/>
        </w:rPr>
        <w:t>MWh</w:t>
      </w:r>
      <w:proofErr w:type="spellEnd"/>
      <w:r w:rsidRPr="006D431D">
        <w:rPr>
          <w:rFonts w:ascii="Times New Roman" w:hAnsi="Times New Roman" w:cs="Times New Roman"/>
          <w:sz w:val="24"/>
          <w:szCs w:val="24"/>
        </w:rPr>
        <w:t xml:space="preserve"> likmi biometānam, taču tas minimāli ietekmēs biometāna konkurētspēju attiecībā pret dabasgāzi. Samazinātā akcīze dabasgāzei transporta sektorā varētu veicināt CNG transporta līdzekļu plašāku pielietojumu, kas pēc 2025. gada atvieglos iespēju paplašināt pienākumu shēmu degvielas tirgotājiem.</w:t>
      </w:r>
      <w:r w:rsidR="005D14E2" w:rsidRPr="006D431D">
        <w:rPr>
          <w:rFonts w:ascii="Times New Roman" w:hAnsi="Times New Roman" w:cs="Times New Roman"/>
          <w:sz w:val="24"/>
          <w:szCs w:val="24"/>
        </w:rPr>
        <w:t xml:space="preserve"> Tomēr veidojot nodokļu politiku būs jāņem vērā ES pārstrādātā Enerģijas nodokļa direktīva, kuras projekts paredz transportā izmantojamai dabasgāzei, kā arī neilgtspējīgai biogāzei no 01.01.2023. minimālo nodokli noteikt 7,17 EUR/GJ, kas pakāpeniski palielinās līdz 10,75 EUR/GJ 01.01.2033., savukārt ilgtspējīgai biogāzei nodoklis no 01.01.2023. tiek paredzēts 5,38 EUR/GJ (17,47 EUR/</w:t>
      </w:r>
      <w:proofErr w:type="spellStart"/>
      <w:r w:rsidR="005D14E2" w:rsidRPr="006D431D">
        <w:rPr>
          <w:rFonts w:ascii="Times New Roman" w:hAnsi="Times New Roman" w:cs="Times New Roman"/>
          <w:sz w:val="24"/>
          <w:szCs w:val="24"/>
        </w:rPr>
        <w:t>MWh</w:t>
      </w:r>
      <w:proofErr w:type="spellEnd"/>
      <w:r w:rsidR="005D14E2" w:rsidRPr="006D431D">
        <w:rPr>
          <w:rFonts w:ascii="Times New Roman" w:hAnsi="Times New Roman" w:cs="Times New Roman"/>
          <w:sz w:val="24"/>
          <w:szCs w:val="24"/>
        </w:rPr>
        <w:t xml:space="preserve"> pēc zemākas siltumspējas) un turpmāk netiek palielināts. </w:t>
      </w:r>
      <w:proofErr w:type="spellStart"/>
      <w:r w:rsidR="005D14E2" w:rsidRPr="006D431D">
        <w:rPr>
          <w:rFonts w:ascii="Times New Roman" w:hAnsi="Times New Roman" w:cs="Times New Roman"/>
          <w:sz w:val="24"/>
          <w:szCs w:val="24"/>
        </w:rPr>
        <w:t>Vislabvēlīkāis</w:t>
      </w:r>
      <w:proofErr w:type="spellEnd"/>
      <w:r w:rsidR="005D14E2" w:rsidRPr="006D431D">
        <w:rPr>
          <w:rFonts w:ascii="Times New Roman" w:hAnsi="Times New Roman" w:cs="Times New Roman"/>
          <w:sz w:val="24"/>
          <w:szCs w:val="24"/>
        </w:rPr>
        <w:t xml:space="preserve"> nodokļa režīms tiek paredzēts modernai ilgtspējīgai biogāzei no 01.01.2023., nodokli nosakot 0,15 </w:t>
      </w:r>
      <w:proofErr w:type="spellStart"/>
      <w:r w:rsidR="005D14E2" w:rsidRPr="006D431D">
        <w:rPr>
          <w:rFonts w:ascii="Times New Roman" w:hAnsi="Times New Roman" w:cs="Times New Roman"/>
          <w:sz w:val="24"/>
          <w:szCs w:val="24"/>
        </w:rPr>
        <w:t>euro</w:t>
      </w:r>
      <w:proofErr w:type="spellEnd"/>
      <w:r w:rsidR="005D14E2" w:rsidRPr="006D431D">
        <w:rPr>
          <w:rFonts w:ascii="Times New Roman" w:hAnsi="Times New Roman" w:cs="Times New Roman"/>
          <w:sz w:val="24"/>
          <w:szCs w:val="24"/>
        </w:rPr>
        <w:t>/GJ jeb 0,54 EUR/</w:t>
      </w:r>
      <w:proofErr w:type="spellStart"/>
      <w:r w:rsidR="005D14E2" w:rsidRPr="006D431D">
        <w:rPr>
          <w:rFonts w:ascii="Times New Roman" w:hAnsi="Times New Roman" w:cs="Times New Roman"/>
          <w:sz w:val="24"/>
          <w:szCs w:val="24"/>
        </w:rPr>
        <w:t>MWh</w:t>
      </w:r>
      <w:proofErr w:type="spellEnd"/>
      <w:r w:rsidR="005D14E2" w:rsidRPr="006D431D">
        <w:rPr>
          <w:rFonts w:ascii="Times New Roman" w:hAnsi="Times New Roman" w:cs="Times New Roman"/>
          <w:sz w:val="24"/>
          <w:szCs w:val="24"/>
        </w:rPr>
        <w:t xml:space="preserve"> pēc zemākas siltumspējas, un kas turpmāk netiek palielināts.</w:t>
      </w:r>
    </w:p>
    <w:p w14:paraId="453B6F95" w14:textId="0C75EBCA" w:rsidR="00C32B9F" w:rsidRPr="006D431D" w:rsidRDefault="00C32B9F">
      <w:pPr>
        <w:pStyle w:val="tvhtml"/>
        <w:shd w:val="clear" w:color="auto" w:fill="FFFFFF" w:themeFill="background1"/>
        <w:spacing w:before="280" w:after="280" w:line="293" w:lineRule="atLeast"/>
        <w:ind w:firstLine="450"/>
        <w:jc w:val="both"/>
      </w:pPr>
    </w:p>
    <w:p w14:paraId="14349234" w14:textId="279F97FE" w:rsidR="00C32B9F" w:rsidRPr="006D431D" w:rsidRDefault="002B39A1" w:rsidP="00121F07">
      <w:pPr>
        <w:pStyle w:val="Heading3"/>
        <w:numPr>
          <w:ilvl w:val="2"/>
          <w:numId w:val="10"/>
        </w:numPr>
        <w:rPr>
          <w:rFonts w:ascii="Times New Roman" w:hAnsi="Times New Roman" w:cs="Times New Roman"/>
          <w:color w:val="auto"/>
        </w:rPr>
      </w:pPr>
      <w:bookmarkStart w:id="25" w:name="_Toc101605191"/>
      <w:r w:rsidRPr="006D431D">
        <w:rPr>
          <w:rFonts w:ascii="Times New Roman" w:hAnsi="Times New Roman" w:cs="Times New Roman"/>
          <w:color w:val="auto"/>
        </w:rPr>
        <w:t>Investīciju atbalsts biometāna ražošanai</w:t>
      </w:r>
      <w:bookmarkEnd w:id="25"/>
      <w:r w:rsidRPr="006D431D">
        <w:rPr>
          <w:rFonts w:ascii="Times New Roman" w:hAnsi="Times New Roman" w:cs="Times New Roman"/>
          <w:color w:val="auto"/>
        </w:rPr>
        <w:t xml:space="preserve"> </w:t>
      </w:r>
    </w:p>
    <w:p w14:paraId="3FD99E05" w14:textId="07A86DAD" w:rsidR="00C32B9F" w:rsidRPr="006D431D" w:rsidRDefault="002B39A1" w:rsidP="0029038B">
      <w:pPr>
        <w:pStyle w:val="tvhtml"/>
        <w:shd w:val="clear" w:color="auto" w:fill="FFFFFF"/>
        <w:spacing w:before="280" w:after="280" w:line="293" w:lineRule="atLeast"/>
        <w:ind w:firstLine="567"/>
        <w:jc w:val="both"/>
      </w:pPr>
      <w:bookmarkStart w:id="26" w:name="_Hlk57880639"/>
      <w:r w:rsidRPr="006D431D">
        <w:t xml:space="preserve">Atbalsta apjomu iespējams veidot, lai nodrošinātu apjoma ziņā sabalansētu investīciju atbalstu biometāna ražošanai un pārvadei, kā arī patēriņam sabiedriskajā transportā, komunālajā transportā un lauksaimniecības transportā ar saistošu nosacījumu atbalsta saņēmējam izmantot biometānu nevis dabasgāzi. </w:t>
      </w:r>
      <w:bookmarkEnd w:id="26"/>
      <w:r w:rsidRPr="006D431D">
        <w:t xml:space="preserve">Papildus apskatāmas arī iespējamas investīcijas transportlīdzekļu uzpildes iekārtās. Lai kompensētu biometāna izmaksas, būs nepieciešams salīdzinoši augstas intensitātes investīciju atbalsts. </w:t>
      </w:r>
      <w:bookmarkStart w:id="27" w:name="_Hlk57880771"/>
      <w:r w:rsidRPr="006D431D">
        <w:t xml:space="preserve">Investīciju atbalsts biometāna ražošanai un ievadīšanai tīklā </w:t>
      </w:r>
      <w:bookmarkEnd w:id="27"/>
      <w:r w:rsidRPr="006D431D">
        <w:t>paredzēts ir 21 750 000 EUR.</w:t>
      </w:r>
      <w:r w:rsidR="00E67798" w:rsidRPr="006D431D">
        <w:t xml:space="preserve">   Šo investīciju atbalstu biometāna ražošanai plānots sniegt  komersantiem un norādītājām atbalsta aktivitātēm Eiropas Savienības kohēzijas politikas programmā 2021.–2027.gadam.</w:t>
      </w:r>
    </w:p>
    <w:p w14:paraId="1A900A73" w14:textId="77777777" w:rsidR="00C32B9F" w:rsidRPr="006D431D" w:rsidRDefault="002B39A1">
      <w:pPr>
        <w:pStyle w:val="naisc"/>
        <w:spacing w:before="60" w:after="60"/>
        <w:ind w:firstLine="720"/>
        <w:jc w:val="both"/>
      </w:pPr>
      <w:r w:rsidRPr="006D431D">
        <w:rPr>
          <w:lang w:eastAsia="en-US"/>
        </w:rPr>
        <w:t xml:space="preserve">Finansējuma saņēmējs: komersants, kas uz projekta iesniegšanas dienu ir biogāzes ražotājs, vai kam ir vismaz 5 gadu ilgtermiņa līgums (nodomu protokols) ar biogāzes ražotāju. Viens biogāzes ražotājs var slēgt piegādes līgumu tikai par tādu apjomu, kādas ir viņa faktiskās  ražošanas jaudas. Finansējuma saņēmējs nodrošina biometāna ražošanu vismaz 5 gadus no atbalsta saņemšanas dienas. </w:t>
      </w:r>
    </w:p>
    <w:p w14:paraId="22ED8F15" w14:textId="74296CC1" w:rsidR="00C32B9F" w:rsidRPr="006D431D" w:rsidRDefault="002B39A1">
      <w:pPr>
        <w:pStyle w:val="naisc"/>
        <w:spacing w:before="60" w:after="60"/>
        <w:ind w:firstLine="720"/>
        <w:jc w:val="both"/>
      </w:pPr>
      <w:r w:rsidRPr="006D431D">
        <w:rPr>
          <w:lang w:eastAsia="en-US"/>
        </w:rPr>
        <w:t xml:space="preserve">Atbalsta forma : </w:t>
      </w:r>
      <w:r w:rsidR="00A978A2" w:rsidRPr="006D431D">
        <w:rPr>
          <w:lang w:eastAsia="en-US"/>
        </w:rPr>
        <w:t xml:space="preserve">kombinētais </w:t>
      </w:r>
      <w:r w:rsidRPr="006D431D">
        <w:rPr>
          <w:lang w:eastAsia="en-US"/>
        </w:rPr>
        <w:t xml:space="preserve">finanšu instruments </w:t>
      </w:r>
      <w:r w:rsidR="00A978A2" w:rsidRPr="006D431D">
        <w:t xml:space="preserve">– kredīts ar  kapitāla atlaidi (indikatīvi 30% apmērā), kuru ieviesīs A/S “Attīstības Finanšu Institūcija </w:t>
      </w:r>
      <w:proofErr w:type="spellStart"/>
      <w:r w:rsidR="00A978A2" w:rsidRPr="006D431D">
        <w:t>Altum</w:t>
      </w:r>
      <w:proofErr w:type="spellEnd"/>
      <w:r w:rsidR="00A978A2" w:rsidRPr="006D431D">
        <w:t>”.</w:t>
      </w:r>
    </w:p>
    <w:p w14:paraId="0E96E00A" w14:textId="77777777" w:rsidR="00C32B9F" w:rsidRPr="006D431D" w:rsidRDefault="00C32B9F">
      <w:pPr>
        <w:pStyle w:val="naisc"/>
        <w:spacing w:before="60" w:after="60"/>
        <w:jc w:val="both"/>
        <w:rPr>
          <w:lang w:eastAsia="en-US"/>
        </w:rPr>
      </w:pPr>
    </w:p>
    <w:p w14:paraId="4D1D9714" w14:textId="77777777" w:rsidR="00C32B9F" w:rsidRPr="006D431D" w:rsidRDefault="002B39A1" w:rsidP="004A4540">
      <w:pPr>
        <w:pStyle w:val="naisc"/>
        <w:spacing w:before="60" w:after="60"/>
        <w:ind w:firstLine="360"/>
        <w:jc w:val="both"/>
      </w:pPr>
      <w:r w:rsidRPr="006D431D">
        <w:rPr>
          <w:lang w:eastAsia="en-US"/>
        </w:rPr>
        <w:t>Atbalstāmās aktivitātes:</w:t>
      </w:r>
    </w:p>
    <w:p w14:paraId="0339C3FE" w14:textId="77777777" w:rsidR="00C32B9F" w:rsidRPr="006D431D" w:rsidRDefault="002B39A1">
      <w:pPr>
        <w:pStyle w:val="naisc"/>
        <w:numPr>
          <w:ilvl w:val="0"/>
          <w:numId w:val="8"/>
        </w:numPr>
        <w:spacing w:before="60" w:after="60"/>
        <w:jc w:val="both"/>
      </w:pPr>
      <w:r w:rsidRPr="006D431D">
        <w:rPr>
          <w:lang w:eastAsia="en-US"/>
        </w:rPr>
        <w:t>Atbalsts modernā biometāna  ražošanas papildus iekārtu iegādei un uzstādīšanai (izbūvei) pie esošajām biogāzes stacijām, tai skaitā biometāna ražošanas klasteru izbūvei.</w:t>
      </w:r>
    </w:p>
    <w:p w14:paraId="5A20A610" w14:textId="54F9A009" w:rsidR="00C32B9F" w:rsidRPr="006D431D" w:rsidRDefault="002B39A1" w:rsidP="004A4540">
      <w:pPr>
        <w:pStyle w:val="naisc"/>
        <w:spacing w:before="60" w:after="60"/>
        <w:ind w:firstLine="720"/>
        <w:jc w:val="both"/>
        <w:rPr>
          <w:lang w:eastAsia="en-US"/>
        </w:rPr>
      </w:pPr>
      <w:r w:rsidRPr="006D431D">
        <w:rPr>
          <w:lang w:eastAsia="en-US"/>
        </w:rPr>
        <w:t xml:space="preserve">Piezīme: Netiek piešķirts atbalsts biogāzes ražošanas iekārtām.  </w:t>
      </w:r>
    </w:p>
    <w:p w14:paraId="077D6F23" w14:textId="721D3A79" w:rsidR="00362DDC" w:rsidRPr="006D431D" w:rsidRDefault="00362DDC">
      <w:pPr>
        <w:pStyle w:val="naisc"/>
        <w:spacing w:before="60" w:after="60"/>
        <w:ind w:firstLine="360"/>
        <w:jc w:val="both"/>
        <w:rPr>
          <w:lang w:eastAsia="en-US"/>
        </w:rPr>
      </w:pPr>
    </w:p>
    <w:p w14:paraId="318F95E6" w14:textId="0C660BE7" w:rsidR="00C32B9F" w:rsidRPr="006D431D" w:rsidRDefault="002B39A1">
      <w:pPr>
        <w:pStyle w:val="naisc"/>
        <w:numPr>
          <w:ilvl w:val="0"/>
          <w:numId w:val="8"/>
        </w:numPr>
        <w:spacing w:before="60" w:after="60"/>
        <w:jc w:val="both"/>
      </w:pPr>
      <w:proofErr w:type="spellStart"/>
      <w:r w:rsidRPr="006D431D">
        <w:rPr>
          <w:lang w:eastAsia="en-US"/>
        </w:rPr>
        <w:t>Pieslēgumu</w:t>
      </w:r>
      <w:proofErr w:type="spellEnd"/>
      <w:r w:rsidRPr="006D431D">
        <w:rPr>
          <w:lang w:eastAsia="en-US"/>
        </w:rPr>
        <w:t xml:space="preserve"> un pārvades tīklu, uzpildes infrastruktūras izbūvei , atbilstoši tehnoloģiskajiem un ekonomiskajiem risinājumiem, lai nodrošinātu saražotā biometāna izmantošanu. </w:t>
      </w:r>
      <w:r w:rsidR="00362DDC" w:rsidRPr="006D431D">
        <w:rPr>
          <w:lang w:eastAsia="en-US"/>
        </w:rPr>
        <w:t xml:space="preserve">Šajā sakarā līdz šī gada 1. maijam tiks pabeigta MK noteikumu Nr. 650 “Prasības biometāna un </w:t>
      </w:r>
      <w:r w:rsidR="00362DDC" w:rsidRPr="006D431D">
        <w:rPr>
          <w:lang w:eastAsia="en-US"/>
        </w:rPr>
        <w:lastRenderedPageBreak/>
        <w:t>gāzveida stāvoklī pārvērstas sašķidrinātās dabasgāzes ievadīšanai un transportēšanai dabasgāzes p</w:t>
      </w:r>
      <w:r w:rsidR="007B37D3" w:rsidRPr="006D431D">
        <w:rPr>
          <w:lang w:eastAsia="en-US"/>
        </w:rPr>
        <w:t>ā</w:t>
      </w:r>
      <w:r w:rsidR="00362DDC" w:rsidRPr="006D431D">
        <w:rPr>
          <w:lang w:eastAsia="en-US"/>
        </w:rPr>
        <w:t xml:space="preserve">rvades un sadales sistēmā” izstrāde, kuros tiks noteikti detalizēti nosacījumi biometāna ievadīšanai un transportēšanai esošajā </w:t>
      </w:r>
      <w:r w:rsidR="007B37D3" w:rsidRPr="006D431D">
        <w:rPr>
          <w:lang w:eastAsia="en-US"/>
        </w:rPr>
        <w:t>dabasgāzes pārvades un sadales sistēmā.</w:t>
      </w:r>
      <w:r w:rsidR="00362DDC" w:rsidRPr="006D431D">
        <w:rPr>
          <w:lang w:eastAsia="en-US"/>
        </w:rPr>
        <w:t xml:space="preserve"> </w:t>
      </w:r>
    </w:p>
    <w:p w14:paraId="6C765A1D" w14:textId="77777777" w:rsidR="00C32B9F" w:rsidRPr="006D431D" w:rsidRDefault="002B39A1">
      <w:pPr>
        <w:pStyle w:val="naisc"/>
        <w:numPr>
          <w:ilvl w:val="0"/>
          <w:numId w:val="8"/>
        </w:numPr>
        <w:spacing w:before="60" w:after="60"/>
        <w:jc w:val="both"/>
      </w:pPr>
      <w:r w:rsidRPr="006D431D">
        <w:rPr>
          <w:lang w:eastAsia="en-US"/>
        </w:rPr>
        <w:t>Biometāna (kā saspiestā, tā sašķidrinātā formā) pārvadāšanas moduļu iegāde, izmantošanai Latvijā.</w:t>
      </w:r>
    </w:p>
    <w:p w14:paraId="136C0845" w14:textId="02AFCCF3" w:rsidR="00C32B9F" w:rsidRPr="006D431D" w:rsidRDefault="002B39A1">
      <w:pPr>
        <w:pStyle w:val="naisc"/>
        <w:numPr>
          <w:ilvl w:val="0"/>
          <w:numId w:val="8"/>
        </w:numPr>
        <w:shd w:val="clear" w:color="auto" w:fill="FFFFFF" w:themeFill="background1"/>
        <w:spacing w:before="60" w:after="60" w:line="293" w:lineRule="atLeast"/>
        <w:jc w:val="both"/>
      </w:pPr>
      <w:r w:rsidRPr="006D431D">
        <w:rPr>
          <w:lang w:eastAsia="en-US"/>
        </w:rPr>
        <w:t>IT sistēmas izveide</w:t>
      </w:r>
      <w:r w:rsidR="00725E77" w:rsidRPr="006D431D">
        <w:rPr>
          <w:lang w:eastAsia="en-US"/>
        </w:rPr>
        <w:t>, ko veic AS “Conexus Baltic Grid”</w:t>
      </w:r>
      <w:r w:rsidRPr="006D431D">
        <w:rPr>
          <w:lang w:eastAsia="en-US"/>
        </w:rPr>
        <w:t xml:space="preserve"> – izcelsmes apliecinājuma sistēma (ne vairāk kā 200 000 EUR). </w:t>
      </w:r>
    </w:p>
    <w:p w14:paraId="48EF5B75" w14:textId="18CEAFC0" w:rsidR="00194BD3" w:rsidRPr="006D431D" w:rsidRDefault="00194BD3">
      <w:pPr>
        <w:pStyle w:val="naisc"/>
        <w:numPr>
          <w:ilvl w:val="0"/>
          <w:numId w:val="8"/>
        </w:numPr>
        <w:shd w:val="clear" w:color="auto" w:fill="FFFFFF" w:themeFill="background1"/>
        <w:spacing w:before="60" w:after="60" w:line="293" w:lineRule="atLeast"/>
        <w:jc w:val="both"/>
      </w:pPr>
      <w:r w:rsidRPr="006D431D">
        <w:t>Kā jau tika minēts, atbalsta aktivitāšu ietvarā būs pieejams programmas finansējums EUR 21 750 000 apmērā, no kura EUR 200 000 ir plānots piešķirt IT sistēmas izveidei sistēmas operatoram un EUR 21 550 000 tiks piešķirts investīciju atbalstam biometāna ražošanai un ievadīšanai tīklā.</w:t>
      </w:r>
    </w:p>
    <w:p w14:paraId="4E4D11A0" w14:textId="77777777" w:rsidR="00194BD3" w:rsidRPr="006D431D" w:rsidRDefault="00194BD3" w:rsidP="009C2829">
      <w:pPr>
        <w:pStyle w:val="naisc"/>
        <w:shd w:val="clear" w:color="auto" w:fill="FFFFFF" w:themeFill="background1"/>
        <w:spacing w:before="60" w:after="60" w:line="293" w:lineRule="atLeast"/>
        <w:jc w:val="both"/>
      </w:pPr>
    </w:p>
    <w:p w14:paraId="4C9AB11A" w14:textId="6F3C8664" w:rsidR="009B3C43" w:rsidRPr="006D431D" w:rsidRDefault="009B3C43" w:rsidP="007B53AD">
      <w:pPr>
        <w:pStyle w:val="Heading3"/>
        <w:rPr>
          <w:rFonts w:ascii="Times New Roman" w:hAnsi="Times New Roman" w:cs="Times New Roman"/>
          <w:color w:val="auto"/>
        </w:rPr>
      </w:pPr>
      <w:r w:rsidRPr="006D431D">
        <w:rPr>
          <w:rFonts w:ascii="Times New Roman" w:hAnsi="Times New Roman" w:cs="Times New Roman"/>
          <w:color w:val="auto"/>
        </w:rPr>
        <w:t xml:space="preserve"> </w:t>
      </w:r>
      <w:r w:rsidR="004A4540">
        <w:rPr>
          <w:rFonts w:ascii="Times New Roman" w:hAnsi="Times New Roman" w:cs="Times New Roman"/>
          <w:color w:val="auto"/>
        </w:rPr>
        <w:tab/>
      </w:r>
      <w:bookmarkStart w:id="28" w:name="_Toc101605192"/>
      <w:r w:rsidR="00A618CA" w:rsidRPr="006D431D">
        <w:rPr>
          <w:rFonts w:ascii="Times New Roman" w:hAnsi="Times New Roman" w:cs="Times New Roman"/>
          <w:color w:val="auto"/>
        </w:rPr>
        <w:t xml:space="preserve">3.2.6. </w:t>
      </w:r>
      <w:r w:rsidRPr="006D431D">
        <w:rPr>
          <w:rFonts w:ascii="Times New Roman" w:hAnsi="Times New Roman" w:cs="Times New Roman"/>
          <w:color w:val="auto"/>
        </w:rPr>
        <w:t>Biometāna mērķis enerģētikas sektorā un dabas gāzes tirgotāju pienākums nodrošināt noteiktu biometāna īpatsvaru dabas gāzes patēriņā</w:t>
      </w:r>
      <w:bookmarkEnd w:id="28"/>
    </w:p>
    <w:p w14:paraId="1FC281C6" w14:textId="10B47EF8" w:rsidR="0016038B" w:rsidRPr="006D431D" w:rsidRDefault="009B3C43">
      <w:pPr>
        <w:jc w:val="both"/>
        <w:rPr>
          <w:rFonts w:ascii="Times New Roman" w:hAnsi="Times New Roman" w:cs="Times New Roman"/>
          <w:sz w:val="24"/>
          <w:szCs w:val="24"/>
        </w:rPr>
      </w:pPr>
      <w:r w:rsidRPr="006D431D">
        <w:rPr>
          <w:rFonts w:ascii="Times New Roman" w:hAnsi="Times New Roman" w:cs="Times New Roman"/>
          <w:b/>
          <w:bCs/>
          <w:sz w:val="24"/>
          <w:szCs w:val="24"/>
        </w:rPr>
        <w:t xml:space="preserve"> </w:t>
      </w:r>
      <w:r w:rsidR="00B33EB1" w:rsidRPr="006D431D">
        <w:rPr>
          <w:rFonts w:ascii="Times New Roman" w:hAnsi="Times New Roman" w:cs="Times New Roman"/>
          <w:b/>
          <w:bCs/>
          <w:sz w:val="24"/>
          <w:szCs w:val="24"/>
        </w:rPr>
        <w:tab/>
      </w:r>
      <w:r w:rsidRPr="006D431D">
        <w:rPr>
          <w:rFonts w:ascii="Times New Roman" w:hAnsi="Times New Roman" w:cs="Times New Roman"/>
          <w:sz w:val="24"/>
          <w:szCs w:val="24"/>
        </w:rPr>
        <w:t>Indikatīvais mērķis ir</w:t>
      </w:r>
      <w:r w:rsidR="006F465F" w:rsidRPr="006D431D">
        <w:rPr>
          <w:rFonts w:ascii="Times New Roman" w:hAnsi="Times New Roman" w:cs="Times New Roman"/>
          <w:sz w:val="24"/>
          <w:szCs w:val="24"/>
        </w:rPr>
        <w:t xml:space="preserve"> – </w:t>
      </w:r>
      <w:r w:rsidRPr="006D431D">
        <w:rPr>
          <w:rFonts w:ascii="Times New Roman" w:hAnsi="Times New Roman" w:cs="Times New Roman"/>
          <w:sz w:val="24"/>
          <w:szCs w:val="24"/>
        </w:rPr>
        <w:t xml:space="preserve">noteikt atjaunojamās gāzes īpatsvaru patēriņā </w:t>
      </w:r>
      <w:r w:rsidR="006F465F" w:rsidRPr="006D431D">
        <w:rPr>
          <w:rFonts w:ascii="Times New Roman" w:hAnsi="Times New Roman" w:cs="Times New Roman"/>
          <w:sz w:val="24"/>
          <w:szCs w:val="24"/>
        </w:rPr>
        <w:t>līdz</w:t>
      </w:r>
      <w:r w:rsidRPr="006D431D">
        <w:rPr>
          <w:rFonts w:ascii="Times New Roman" w:hAnsi="Times New Roman" w:cs="Times New Roman"/>
          <w:sz w:val="24"/>
          <w:szCs w:val="24"/>
        </w:rPr>
        <w:t xml:space="preserve"> 10% enerģijas satura apjomā līdz 2030. gadam</w:t>
      </w:r>
      <w:r w:rsidR="009F49DC" w:rsidRPr="006D431D">
        <w:rPr>
          <w:rFonts w:ascii="Times New Roman" w:hAnsi="Times New Roman" w:cs="Times New Roman"/>
          <w:sz w:val="24"/>
          <w:szCs w:val="24"/>
        </w:rPr>
        <w:t xml:space="preserve"> </w:t>
      </w:r>
      <w:r w:rsidRPr="006D431D">
        <w:rPr>
          <w:rFonts w:ascii="Times New Roman" w:hAnsi="Times New Roman" w:cs="Times New Roman"/>
          <w:sz w:val="24"/>
          <w:szCs w:val="24"/>
        </w:rPr>
        <w:t>siltumnīcas efektu izraisošo emisiju intensitātes samazināšana 1</w:t>
      </w:r>
      <w:r w:rsidR="001363DF" w:rsidRPr="006D431D">
        <w:rPr>
          <w:rFonts w:ascii="Times New Roman" w:hAnsi="Times New Roman" w:cs="Times New Roman"/>
          <w:sz w:val="24"/>
          <w:szCs w:val="24"/>
        </w:rPr>
        <w:t>0</w:t>
      </w:r>
      <w:r w:rsidRPr="006D431D">
        <w:rPr>
          <w:rFonts w:ascii="Times New Roman" w:hAnsi="Times New Roman" w:cs="Times New Roman"/>
          <w:sz w:val="24"/>
          <w:szCs w:val="24"/>
        </w:rPr>
        <w:t>% apjomā, attiecībā uz gāzes patēriņu, salīdzinājumā ar 201</w:t>
      </w:r>
      <w:r w:rsidR="000338A2" w:rsidRPr="006D431D">
        <w:rPr>
          <w:rFonts w:ascii="Times New Roman" w:hAnsi="Times New Roman" w:cs="Times New Roman"/>
          <w:sz w:val="24"/>
          <w:szCs w:val="24"/>
        </w:rPr>
        <w:t>5</w:t>
      </w:r>
      <w:r w:rsidRPr="006D431D">
        <w:rPr>
          <w:rFonts w:ascii="Times New Roman" w:hAnsi="Times New Roman" w:cs="Times New Roman"/>
          <w:sz w:val="24"/>
          <w:szCs w:val="24"/>
        </w:rPr>
        <w:t xml:space="preserve">. gada līmeni. Mērķis ir detalizētāk jāizvērtē no resursu pieejamības viedokļa, tāpēc saistošs mērķis tiks noteikts atjaunotajā Nacionālajā Enerģētikas un klimata plānā 2023. </w:t>
      </w:r>
    </w:p>
    <w:p w14:paraId="3285EAC0" w14:textId="079FFD3B" w:rsidR="00C32B9F" w:rsidRPr="006D431D" w:rsidRDefault="009B3C43" w:rsidP="0016038B">
      <w:pPr>
        <w:ind w:firstLine="720"/>
        <w:jc w:val="both"/>
        <w:rPr>
          <w:rFonts w:ascii="Times New Roman" w:hAnsi="Times New Roman" w:cs="Times New Roman"/>
          <w:b/>
          <w:bCs/>
          <w:sz w:val="24"/>
          <w:szCs w:val="24"/>
        </w:rPr>
      </w:pPr>
      <w:r w:rsidRPr="006D431D">
        <w:rPr>
          <w:rFonts w:ascii="Times New Roman" w:hAnsi="Times New Roman" w:cs="Times New Roman"/>
          <w:sz w:val="24"/>
          <w:szCs w:val="24"/>
        </w:rPr>
        <w:t>Grozījumos Enerģētikas likumā tiks noteikta kvotu sistēmu, kas paredzētu dabasgāzes tirgotājiem nodrošināt zināmu daudzumu biometāna, kas būtu proporcionāls tirgotās dabasgāzes apjomam un nodrošinātu precizētā NEKP mērķu sasniegšanu. Ikgadējie mērķi ir jāsabalansē ar tehniski pieejamo biometāna apjomu</w:t>
      </w:r>
      <w:r w:rsidR="001D321E" w:rsidRPr="006D431D">
        <w:rPr>
          <w:rFonts w:ascii="Times New Roman" w:hAnsi="Times New Roman" w:cs="Times New Roman"/>
          <w:sz w:val="24"/>
          <w:szCs w:val="24"/>
        </w:rPr>
        <w:t>.</w:t>
      </w:r>
    </w:p>
    <w:p w14:paraId="568B9D9E" w14:textId="77777777" w:rsidR="00C32B9F" w:rsidRPr="006D431D" w:rsidRDefault="002B39A1" w:rsidP="009651D8">
      <w:pPr>
        <w:pStyle w:val="Heading1"/>
        <w:jc w:val="center"/>
        <w:rPr>
          <w:rFonts w:ascii="Times New Roman" w:hAnsi="Times New Roman" w:cs="Times New Roman"/>
          <w:b/>
          <w:bCs/>
          <w:color w:val="auto"/>
          <w:sz w:val="24"/>
          <w:szCs w:val="24"/>
        </w:rPr>
      </w:pPr>
      <w:bookmarkStart w:id="29" w:name="_Toc101605193"/>
      <w:r w:rsidRPr="006D431D">
        <w:rPr>
          <w:rFonts w:ascii="Times New Roman" w:hAnsi="Times New Roman" w:cs="Times New Roman"/>
          <w:b/>
          <w:bCs/>
          <w:color w:val="auto"/>
          <w:sz w:val="24"/>
          <w:szCs w:val="24"/>
        </w:rPr>
        <w:t>IV  Secinājumi un nepieciešamās rīcība</w:t>
      </w:r>
      <w:bookmarkEnd w:id="29"/>
    </w:p>
    <w:p w14:paraId="452A9662" w14:textId="0650A7B4" w:rsidR="00C32B9F" w:rsidRPr="006D431D" w:rsidRDefault="002B39A1">
      <w:pPr>
        <w:pStyle w:val="tvhtml"/>
        <w:shd w:val="clear" w:color="auto" w:fill="FFFFFF" w:themeFill="background1"/>
        <w:spacing w:before="280" w:after="280" w:line="293" w:lineRule="atLeast"/>
        <w:ind w:firstLine="360"/>
        <w:jc w:val="both"/>
      </w:pPr>
      <w:r w:rsidRPr="006D431D">
        <w:t>Informatīvajā ziņojumā</w:t>
      </w:r>
      <w:r w:rsidR="00574104" w:rsidRPr="006D431D">
        <w:t xml:space="preserve"> paredzēts, ka Ekonomikas Ministrija, izstrādājot atbalsta programmas biometāna izmantošanas veicināšanai, nodrošinās atbalsta programmu izstrādi, ievērojot komercdarbības atbalsta kontroles regulējuma tvērumu, kā arī</w:t>
      </w:r>
      <w:r w:rsidR="00856CE1" w:rsidRPr="006D431D">
        <w:t xml:space="preserve"> </w:t>
      </w:r>
      <w:r w:rsidRPr="006D431D">
        <w:t xml:space="preserve">visus šī ziņojuma 3.2. sadaļā minētos pasākumus, no 2025. gada pilnībā pārejot uz pienākumu shēmu degvielas tirgotājiem. </w:t>
      </w:r>
      <w:r w:rsidR="00C54E21" w:rsidRPr="006D431D">
        <w:t>Attiecīgais s</w:t>
      </w:r>
      <w:r w:rsidRPr="006D431D">
        <w:t xml:space="preserve">cenārijs </w:t>
      </w:r>
      <w:r w:rsidR="00C54E21" w:rsidRPr="006D431D">
        <w:t xml:space="preserve">balstās </w:t>
      </w:r>
      <w:proofErr w:type="spellStart"/>
      <w:r w:rsidR="00C54E21" w:rsidRPr="006D431D">
        <w:t>pienēmumā</w:t>
      </w:r>
      <w:proofErr w:type="spellEnd"/>
      <w:r w:rsidRPr="006D431D">
        <w:t>, ka līdz 2025. gadam būs izveidojies</w:t>
      </w:r>
      <w:r w:rsidR="00777FF4" w:rsidRPr="006D431D">
        <w:t xml:space="preserve"> kopējais Eiropas</w:t>
      </w:r>
      <w:r w:rsidRPr="006D431D">
        <w:t xml:space="preserve"> biometāna tirgus, ņemot vērā izcelsmes apliecinājumu pārrobežu tirdzniecīb</w:t>
      </w:r>
      <w:r w:rsidR="00C54E21" w:rsidRPr="006D431D">
        <w:t>as iecerēto attīstību</w:t>
      </w:r>
      <w:r w:rsidRPr="006D431D">
        <w:t xml:space="preserve">. Vienlaikus biometāna ražošanas konkurētspējīgas cenas </w:t>
      </w:r>
      <w:r w:rsidR="00141AC7" w:rsidRPr="006D431D">
        <w:t xml:space="preserve">veidošanas nosacījuma </w:t>
      </w:r>
      <w:r w:rsidRPr="006D431D">
        <w:t xml:space="preserve">nozīme pieaugs, jo biometāna </w:t>
      </w:r>
      <w:r w:rsidR="00141AC7" w:rsidRPr="006D431D">
        <w:t xml:space="preserve">mazumtirdzniecības noieta </w:t>
      </w:r>
      <w:r w:rsidRPr="006D431D">
        <w:t>cen</w:t>
      </w:r>
      <w:r w:rsidR="00141AC7" w:rsidRPr="006D431D">
        <w:t>as</w:t>
      </w:r>
      <w:r w:rsidRPr="006D431D">
        <w:t xml:space="preserve"> </w:t>
      </w:r>
      <w:r w:rsidR="00F0005B" w:rsidRPr="006D431D">
        <w:t>v</w:t>
      </w:r>
      <w:r w:rsidR="00141AC7" w:rsidRPr="006D431D">
        <w:t xml:space="preserve">eidosies minētā reģionālā tirgus ietvaros, kas padarīs to līmeņa </w:t>
      </w:r>
      <w:r w:rsidR="00EF61B7" w:rsidRPr="006D431D">
        <w:t xml:space="preserve">un tā </w:t>
      </w:r>
      <w:r w:rsidR="00141AC7" w:rsidRPr="006D431D">
        <w:t>vidējā termiņa svārstības atkarīgas no pieprasījuma un piedāvājuma apjomu</w:t>
      </w:r>
      <w:r w:rsidR="00E974B3" w:rsidRPr="006D431D">
        <w:t xml:space="preserve"> līdzsvara, kas veidojies komerciālās konkurences apstākļos jaundibināt</w:t>
      </w:r>
      <w:r w:rsidR="00EF61B7" w:rsidRPr="006D431D">
        <w:t>ā</w:t>
      </w:r>
      <w:r w:rsidR="00E974B3" w:rsidRPr="006D431D">
        <w:t xml:space="preserve"> tirgus funkcionēšanas kontekstā.</w:t>
      </w:r>
    </w:p>
    <w:p w14:paraId="04BB29CE" w14:textId="5F326677" w:rsidR="007659AA" w:rsidRPr="006D431D" w:rsidRDefault="007659AA" w:rsidP="007659AA">
      <w:pPr>
        <w:ind w:firstLine="360"/>
        <w:jc w:val="both"/>
        <w:rPr>
          <w:rFonts w:ascii="Times New Roman" w:hAnsi="Times New Roman" w:cs="Times New Roman"/>
          <w:sz w:val="24"/>
          <w:szCs w:val="24"/>
        </w:rPr>
      </w:pPr>
      <w:r w:rsidRPr="006D431D">
        <w:rPr>
          <w:rFonts w:ascii="Times New Roman" w:hAnsi="Times New Roman" w:cs="Times New Roman"/>
          <w:sz w:val="24"/>
          <w:szCs w:val="24"/>
        </w:rPr>
        <w:t xml:space="preserve">3.2.1.-3.2.3. un 3.2.5.-3.2.6.punktā minētie pasākumi biometāna ražošanas un izmantošanas veicināšanai tiks nodrošināti Ekonomikas ministrijai piešķirto līdzekļu un Eiropas Savienības struktūrfondu un </w:t>
      </w:r>
      <w:r w:rsidR="000357B6" w:rsidRPr="006D431D">
        <w:rPr>
          <w:rFonts w:ascii="Times New Roman" w:hAnsi="Times New Roman" w:cs="Times New Roman"/>
          <w:sz w:val="24"/>
          <w:szCs w:val="24"/>
        </w:rPr>
        <w:t xml:space="preserve">Eiropas Savienības </w:t>
      </w:r>
      <w:r w:rsidRPr="006D431D">
        <w:rPr>
          <w:rFonts w:ascii="Times New Roman" w:hAnsi="Times New Roman" w:cs="Times New Roman"/>
          <w:sz w:val="24"/>
          <w:szCs w:val="24"/>
        </w:rPr>
        <w:t>Kohēzijas</w:t>
      </w:r>
      <w:r w:rsidR="000357B6" w:rsidRPr="006D431D">
        <w:rPr>
          <w:rFonts w:ascii="Times New Roman" w:hAnsi="Times New Roman" w:cs="Times New Roman"/>
          <w:sz w:val="24"/>
          <w:szCs w:val="24"/>
        </w:rPr>
        <w:t xml:space="preserve"> politikas programmas</w:t>
      </w:r>
      <w:r w:rsidRPr="006D431D">
        <w:rPr>
          <w:rFonts w:ascii="Times New Roman" w:hAnsi="Times New Roman" w:cs="Times New Roman"/>
          <w:sz w:val="24"/>
          <w:szCs w:val="24"/>
        </w:rPr>
        <w:t xml:space="preserve"> 2021.–2027.gada plānošanas perioda darbības programmas ietvaros.</w:t>
      </w:r>
    </w:p>
    <w:p w14:paraId="0DD7FB3B" w14:textId="7AEEC6C0" w:rsidR="00C32B9F" w:rsidRPr="006D431D" w:rsidRDefault="002B39A1">
      <w:pPr>
        <w:pStyle w:val="tvhtml"/>
        <w:shd w:val="clear" w:color="auto" w:fill="FFFFFF" w:themeFill="background1"/>
        <w:spacing w:before="280" w:after="280" w:line="293" w:lineRule="atLeast"/>
        <w:ind w:firstLine="360"/>
        <w:jc w:val="both"/>
      </w:pPr>
      <w:r w:rsidRPr="006D431D">
        <w:lastRenderedPageBreak/>
        <w:t xml:space="preserve">Ņemot vērā, Eiropas Savienības Zaļā kursā definētos ambiciozus dekarbonizācijas mērķus, kā arī Latvijai noteiktos specifiskos sasniedzamos klimata izmaiņu apkarošanas un atjaunojamo energoresursu izmantošanas rādītājus, secināms, ka to sasniegšana varētu būt </w:t>
      </w:r>
      <w:r w:rsidR="00777FF4" w:rsidRPr="006D431D">
        <w:t>iza</w:t>
      </w:r>
      <w:r w:rsidR="008340B7" w:rsidRPr="006D431D">
        <w:t>i</w:t>
      </w:r>
      <w:r w:rsidRPr="006D431D">
        <w:t>cinoša</w:t>
      </w:r>
      <w:r w:rsidR="00F07843" w:rsidRPr="006D431D">
        <w:t xml:space="preserve"> no tautsaimniecības veiktspējas saglabāšanas un </w:t>
      </w:r>
      <w:proofErr w:type="spellStart"/>
      <w:r w:rsidR="00F07843" w:rsidRPr="006D431D">
        <w:t>atjaunīgo</w:t>
      </w:r>
      <w:proofErr w:type="spellEnd"/>
      <w:r w:rsidR="00F07843" w:rsidRPr="006D431D">
        <w:t xml:space="preserve"> energoresursu izmantošanas iekšējos tirgos esošā brieduma līmeņa skatupunkta</w:t>
      </w:r>
      <w:r w:rsidRPr="006D431D">
        <w:t xml:space="preserve">, tai skaitā transporta līdzekļu radīto piesārņojošu emisiju jomā. Viens no reālistiskākiem, efektīvākiem un tirgus </w:t>
      </w:r>
      <w:r w:rsidR="001C084F" w:rsidRPr="006D431D">
        <w:t xml:space="preserve">konkurences </w:t>
      </w:r>
      <w:r w:rsidRPr="006D431D">
        <w:t>mehānismu relatīvi balstītiem risinājumiem būtu Transporta enerģijas likuma grozījumu projektā definēto saistošo biodegvielas integrēšanas lielumu pieņemšana, kas iekļautu siltumnīcas efekta izrisošo emisiju mazinošo piemaisījumu saistošo līmeni tradicionālām degvielām. Attiecīgo saistošo pienākumu definēšana sekmē</w:t>
      </w:r>
      <w:r w:rsidR="001C084F" w:rsidRPr="006D431D">
        <w:t>šot</w:t>
      </w:r>
      <w:r w:rsidRPr="006D431D">
        <w:t xml:space="preserve"> pieprasījuma pēc vietējā biometāna pieaugumu, īpaši smagā </w:t>
      </w:r>
      <w:r w:rsidR="001D0F80" w:rsidRPr="006D431D">
        <w:t xml:space="preserve">un dienesta </w:t>
      </w:r>
      <w:r w:rsidRPr="006D431D">
        <w:t>autotransporta</w:t>
      </w:r>
      <w:r w:rsidR="001D0F80" w:rsidRPr="006D431D">
        <w:t>, kā arī</w:t>
      </w:r>
      <w:r w:rsidRPr="006D431D">
        <w:t xml:space="preserve"> lauksaimniecības tehnikas degvielas </w:t>
      </w:r>
      <w:r w:rsidR="001D0F80" w:rsidRPr="006D431D">
        <w:t xml:space="preserve">transporta nozares </w:t>
      </w:r>
      <w:r w:rsidRPr="006D431D">
        <w:t xml:space="preserve">segmentos, ņemot vērā pastāvošo tautsaimniecisko izveidi, valdošās tirgus tendences un importēto biodegvielu </w:t>
      </w:r>
      <w:r w:rsidR="001D0F80" w:rsidRPr="006D431D">
        <w:t xml:space="preserve">iekšzemes noieta </w:t>
      </w:r>
      <w:r w:rsidRPr="006D431D">
        <w:t>gala cenas.</w:t>
      </w:r>
    </w:p>
    <w:p w14:paraId="31CDC0CE" w14:textId="42F9BC19" w:rsidR="00C32B9F" w:rsidRPr="006D431D" w:rsidRDefault="002B39A1">
      <w:pPr>
        <w:pStyle w:val="tvhtml"/>
        <w:shd w:val="clear" w:color="auto" w:fill="FFFFFF" w:themeFill="background1"/>
        <w:spacing w:before="280" w:after="280" w:line="293" w:lineRule="atLeast"/>
        <w:ind w:firstLine="360"/>
        <w:jc w:val="both"/>
      </w:pPr>
      <w:r w:rsidRPr="006D431D">
        <w:t xml:space="preserve">Šobrīd </w:t>
      </w:r>
      <w:r w:rsidR="00B75394" w:rsidRPr="006D431D">
        <w:t>padziļinātās kvantitatīvās analīzes veikšanai</w:t>
      </w:r>
      <w:r w:rsidRPr="006D431D">
        <w:t xml:space="preserve"> nav </w:t>
      </w:r>
      <w:r w:rsidR="00B75394" w:rsidRPr="006D431D">
        <w:t xml:space="preserve">pieejama </w:t>
      </w:r>
      <w:r w:rsidRPr="006D431D">
        <w:t>visa nepieciešamā informācija, kas ļautu precīzi noteikt rīcības, kā sasniegt pārskatītos ES enerģētikas un klimata mērķus, arī transporta un specifiski biometāna</w:t>
      </w:r>
      <w:r w:rsidR="00556EFE" w:rsidRPr="006D431D">
        <w:t xml:space="preserve"> ekonomisku</w:t>
      </w:r>
      <w:r w:rsidRPr="006D431D">
        <w:t xml:space="preserve"> </w:t>
      </w:r>
      <w:r w:rsidR="006F3689" w:rsidRPr="006D431D">
        <w:t xml:space="preserve">nišu līmeņa </w:t>
      </w:r>
      <w:r w:rsidR="00B75394" w:rsidRPr="006D431D">
        <w:t xml:space="preserve">izmantošanas </w:t>
      </w:r>
      <w:r w:rsidRPr="006D431D">
        <w:t xml:space="preserve">jomās. </w:t>
      </w:r>
      <w:r w:rsidR="00556EFE" w:rsidRPr="006D431D">
        <w:t>Minētie a</w:t>
      </w:r>
      <w:r w:rsidRPr="006D431D">
        <w:t xml:space="preserve">mbiciozie </w:t>
      </w:r>
      <w:r w:rsidR="00556EFE" w:rsidRPr="006D431D">
        <w:t>ES enerģētikas un klimata</w:t>
      </w:r>
      <w:r w:rsidR="008340B7" w:rsidRPr="006D431D">
        <w:t xml:space="preserve"> mērķi</w:t>
      </w:r>
      <w:r w:rsidRPr="006D431D">
        <w:t xml:space="preserve"> jāsasniedz, ņemot vērā </w:t>
      </w:r>
      <w:r w:rsidR="00556EFE" w:rsidRPr="006D431D">
        <w:t>arī cita</w:t>
      </w:r>
      <w:r w:rsidR="008340B7" w:rsidRPr="006D431D">
        <w:t>s</w:t>
      </w:r>
      <w:r w:rsidR="00556EFE" w:rsidRPr="006D431D">
        <w:t xml:space="preserve"> Valsts </w:t>
      </w:r>
      <w:r w:rsidRPr="006D431D">
        <w:t xml:space="preserve">prioritātes – </w:t>
      </w:r>
      <w:r w:rsidR="00556EFE" w:rsidRPr="006D431D">
        <w:t xml:space="preserve">aizsardzības un drošības izaicinājumus, </w:t>
      </w:r>
      <w:r w:rsidRPr="006D431D">
        <w:t>tautsaimniecības attīstību, sociālos mērķus</w:t>
      </w:r>
      <w:r w:rsidR="00556EFE" w:rsidRPr="006D431D">
        <w:t>,</w:t>
      </w:r>
      <w:r w:rsidRPr="006D431D">
        <w:t xml:space="preserve"> tajā skaitā</w:t>
      </w:r>
      <w:r w:rsidR="00556EFE" w:rsidRPr="006D431D">
        <w:t xml:space="preserve"> </w:t>
      </w:r>
      <w:r w:rsidRPr="006D431D">
        <w:t>enerģētiskās nabadzības mazināšanu,</w:t>
      </w:r>
      <w:r w:rsidR="008340B7" w:rsidRPr="006D431D">
        <w:t xml:space="preserve"> kā arī veicinot valsts un reģiona enerģētisko neatkarību</w:t>
      </w:r>
      <w:r w:rsidRPr="006D431D">
        <w:t xml:space="preserve"> tāpat ņemot vērā bioloģiskās daudzveidības saglabāšan</w:t>
      </w:r>
      <w:r w:rsidR="00556EFE" w:rsidRPr="006D431D">
        <w:t>as</w:t>
      </w:r>
      <w:r w:rsidRPr="006D431D">
        <w:t xml:space="preserve"> un gaisa kvalitātes uzlabošan</w:t>
      </w:r>
      <w:r w:rsidR="00556EFE" w:rsidRPr="006D431D">
        <w:t>as</w:t>
      </w:r>
      <w:r w:rsidRPr="006D431D">
        <w:t>, jo īpaši pilsētās</w:t>
      </w:r>
      <w:r w:rsidR="00556EFE" w:rsidRPr="006D431D">
        <w:t>, svarīgumu.</w:t>
      </w:r>
      <w:r w:rsidRPr="006D431D">
        <w:t xml:space="preserve"> </w:t>
      </w:r>
    </w:p>
    <w:p w14:paraId="3D6A656B" w14:textId="29D7555A" w:rsidR="00C32B9F" w:rsidRPr="006D431D" w:rsidRDefault="002B39A1">
      <w:pPr>
        <w:pStyle w:val="tvhtml"/>
        <w:shd w:val="clear" w:color="auto" w:fill="FFFFFF" w:themeFill="background1"/>
        <w:spacing w:before="280" w:after="280" w:line="293" w:lineRule="atLeast"/>
        <w:ind w:firstLine="360"/>
        <w:jc w:val="both"/>
      </w:pPr>
      <w:r w:rsidRPr="006D431D">
        <w:t xml:space="preserve">Lai kompleksi izvērtētu visu </w:t>
      </w:r>
      <w:r w:rsidR="00EE31E3" w:rsidRPr="006D431D">
        <w:t xml:space="preserve">iepriekš minēto </w:t>
      </w:r>
      <w:r w:rsidRPr="006D431D">
        <w:t>mērķu sasniegšanu</w:t>
      </w:r>
      <w:r w:rsidR="00EE31E3" w:rsidRPr="006D431D">
        <w:t>, kvantificēt to mijiedarbības</w:t>
      </w:r>
      <w:r w:rsidRPr="006D431D">
        <w:t xml:space="preserve"> </w:t>
      </w:r>
      <w:r w:rsidR="00EE31E3" w:rsidRPr="006D431D">
        <w:t xml:space="preserve">ietekmi </w:t>
      </w:r>
      <w:r w:rsidRPr="006D431D">
        <w:t xml:space="preserve">un </w:t>
      </w:r>
      <w:r w:rsidR="00EE31E3" w:rsidRPr="006D431D">
        <w:t>tās tautsaimnieciskās savstarpējās papildi</w:t>
      </w:r>
      <w:r w:rsidR="00A462ED" w:rsidRPr="006D431D">
        <w:t>nātības pakāp</w:t>
      </w:r>
      <w:r w:rsidR="00580E73" w:rsidRPr="006D431D">
        <w:t>i</w:t>
      </w:r>
      <w:r w:rsidR="00A462ED" w:rsidRPr="006D431D">
        <w:t xml:space="preserve"> minēto procesu</w:t>
      </w:r>
      <w:r w:rsidR="00EE31E3" w:rsidRPr="006D431D">
        <w:t xml:space="preserve"> </w:t>
      </w:r>
      <w:r w:rsidRPr="006D431D">
        <w:t xml:space="preserve">ietekmes </w:t>
      </w:r>
      <w:r w:rsidR="00A462ED" w:rsidRPr="006D431D">
        <w:t xml:space="preserve">aplēšanas kontekstā, </w:t>
      </w:r>
      <w:r w:rsidRPr="006D431D">
        <w:t>Ekonomikas ministrija ir noslēgusi 3 gadu līgumus ar Fizikālās enerģētikas institūtu un Latvijas Universitāti, kā arī ir apstiprināts EK tehniskās palīdzības projekts “Enerģētikas un klimata modelēšana un enerģētikas sistēmu integrācija Latvijā”. Ekonomikas ministrija koordinē šos projektus ciešā sadarbībā ar iesaistītajām ministrijām un valdības sociālajiem partneriem, kā arī regulāri informēs sabiedrību</w:t>
      </w:r>
      <w:r w:rsidR="00201AEC" w:rsidRPr="006D431D">
        <w:t xml:space="preserve"> par panākto progresu, tai skaitā nodibināto Nacionālās enerģētikas un klimata padomes darba grupu tikšanos ietvaros</w:t>
      </w:r>
      <w:r w:rsidRPr="006D431D">
        <w:t xml:space="preserve">. </w:t>
      </w:r>
    </w:p>
    <w:p w14:paraId="1BD31BFB" w14:textId="0F6F6CDF" w:rsidR="00890B73" w:rsidRPr="006D431D" w:rsidRDefault="00890B73">
      <w:pPr>
        <w:pStyle w:val="tvhtml"/>
        <w:shd w:val="clear" w:color="auto" w:fill="FFFFFF" w:themeFill="background1"/>
        <w:spacing w:before="280" w:after="280" w:line="293" w:lineRule="atLeast"/>
        <w:ind w:firstLine="360"/>
        <w:jc w:val="both"/>
      </w:pPr>
      <w:r w:rsidRPr="006D431D">
        <w:t xml:space="preserve">Attiecībā par Ministru kabineta uzdevumu Ekonomikas ministrijai sadarbībā ar Zemkopības ministriju un Vides aizsardzības un reģionālās attīstības ministriju izvērtēt iespēju izstrādāt pasākumus biogāzes elektrostaciju darbam ārpus obligātā iepirkuma sistēmas, tostarp tādus, kas veicinātu komersantiem sev piederošas vai saistītas saimniecības apgādi ar no </w:t>
      </w:r>
      <w:proofErr w:type="spellStart"/>
      <w:r w:rsidR="009D683D" w:rsidRPr="006D431D">
        <w:t>atjaunīgiem</w:t>
      </w:r>
      <w:proofErr w:type="spellEnd"/>
      <w:r w:rsidRPr="006D431D">
        <w:t xml:space="preserve"> energoresursiem saražotu elektroenerģiju</w:t>
      </w:r>
      <w:r w:rsidR="00D515E5" w:rsidRPr="006D431D">
        <w:t xml:space="preserve">, Ekonomikas ministrijas </w:t>
      </w:r>
      <w:r w:rsidR="00C151AF" w:rsidRPr="006D431D">
        <w:t>uzskata,</w:t>
      </w:r>
      <w:r w:rsidR="00D515E5" w:rsidRPr="006D431D">
        <w:t xml:space="preserve"> ka </w:t>
      </w:r>
      <w:r w:rsidR="00D23A49" w:rsidRPr="006D431D">
        <w:t>atsevišķ</w:t>
      </w:r>
      <w:r w:rsidR="00C151AF" w:rsidRPr="006D431D">
        <w:t>u</w:t>
      </w:r>
      <w:r w:rsidR="00D515E5" w:rsidRPr="006D431D">
        <w:t xml:space="preserve"> </w:t>
      </w:r>
      <w:proofErr w:type="spellStart"/>
      <w:r w:rsidR="00C151AF" w:rsidRPr="006D431D">
        <w:t>rīcībpolitikas</w:t>
      </w:r>
      <w:proofErr w:type="spellEnd"/>
      <w:r w:rsidR="00C151AF" w:rsidRPr="006D431D">
        <w:t xml:space="preserve"> </w:t>
      </w:r>
      <w:proofErr w:type="spellStart"/>
      <w:r w:rsidR="00D515E5" w:rsidRPr="006D431D">
        <w:t>pasākum</w:t>
      </w:r>
      <w:r w:rsidR="00C151AF" w:rsidRPr="006D431D">
        <w:t>u</w:t>
      </w:r>
      <w:r w:rsidR="00D515E5" w:rsidRPr="006D431D">
        <w:t>i</w:t>
      </w:r>
      <w:proofErr w:type="spellEnd"/>
      <w:r w:rsidR="00D515E5" w:rsidRPr="006D431D">
        <w:t xml:space="preserve"> </w:t>
      </w:r>
      <w:r w:rsidR="001C51E5" w:rsidRPr="006D431D">
        <w:t>ieviešana</w:t>
      </w:r>
      <w:r w:rsidR="00F32024" w:rsidRPr="006D431D">
        <w:t xml:space="preserve"> obligātā iepirkuma sistēmas ietvaros pastāvošu</w:t>
      </w:r>
      <w:r w:rsidR="001C51E5" w:rsidRPr="006D431D">
        <w:t xml:space="preserve"> </w:t>
      </w:r>
      <w:r w:rsidR="00D23A49" w:rsidRPr="006D431D">
        <w:t xml:space="preserve">biogāzes </w:t>
      </w:r>
      <w:r w:rsidR="00C151AF" w:rsidRPr="006D431D">
        <w:t xml:space="preserve">staciju </w:t>
      </w:r>
      <w:r w:rsidR="001C51E5" w:rsidRPr="006D431D">
        <w:t xml:space="preserve">segmentā </w:t>
      </w:r>
      <w:r w:rsidR="00D515E5" w:rsidRPr="006D431D">
        <w:t xml:space="preserve">nav </w:t>
      </w:r>
      <w:r w:rsidR="001C51E5" w:rsidRPr="006D431D">
        <w:t xml:space="preserve">definējama kā ekonomiski </w:t>
      </w:r>
      <w:r w:rsidR="00D515E5" w:rsidRPr="006D431D">
        <w:t>lietderīg</w:t>
      </w:r>
      <w:r w:rsidR="001C51E5" w:rsidRPr="006D431D">
        <w:t>a</w:t>
      </w:r>
      <w:r w:rsidR="00C007CE" w:rsidRPr="006D431D">
        <w:t xml:space="preserve">. </w:t>
      </w:r>
      <w:r w:rsidR="00D515E5" w:rsidRPr="006D431D">
        <w:t>Ja biogāzes stacija</w:t>
      </w:r>
      <w:r w:rsidR="00F32024" w:rsidRPr="006D431D">
        <w:t>s</w:t>
      </w:r>
      <w:r w:rsidR="00D515E5" w:rsidRPr="006D431D">
        <w:t>, kur</w:t>
      </w:r>
      <w:r w:rsidR="00F32024" w:rsidRPr="006D431D">
        <w:t>s</w:t>
      </w:r>
      <w:r w:rsidR="00D515E5" w:rsidRPr="006D431D">
        <w:t xml:space="preserve"> jau ir saņēmu</w:t>
      </w:r>
      <w:r w:rsidR="00F32024" w:rsidRPr="006D431D">
        <w:t>šas</w:t>
      </w:r>
      <w:r w:rsidR="00D515E5" w:rsidRPr="006D431D">
        <w:t xml:space="preserve"> būtisku </w:t>
      </w:r>
      <w:r w:rsidR="00F32024" w:rsidRPr="006D431D">
        <w:t xml:space="preserve">tiešo </w:t>
      </w:r>
      <w:r w:rsidR="00D515E5" w:rsidRPr="006D431D">
        <w:t>valsts atbalstu</w:t>
      </w:r>
      <w:r w:rsidR="00533F00" w:rsidRPr="006D431D">
        <w:t xml:space="preserve">, nav ekonomiski pamatoti darboties </w:t>
      </w:r>
      <w:r w:rsidR="00F32024" w:rsidRPr="006D431D">
        <w:t xml:space="preserve">brīvā </w:t>
      </w:r>
      <w:r w:rsidR="00533F00" w:rsidRPr="006D431D">
        <w:t>elektroenerģijas tirgū uz vispārējiem pamatiem</w:t>
      </w:r>
      <w:r w:rsidR="00F32024" w:rsidRPr="006D431D">
        <w:t xml:space="preserve"> un veselīgas konkurences apstākļos</w:t>
      </w:r>
      <w:r w:rsidR="00533F00" w:rsidRPr="006D431D">
        <w:t xml:space="preserve">, </w:t>
      </w:r>
      <w:r w:rsidR="00F32024" w:rsidRPr="006D431D">
        <w:t>tautsaimnieciski efektīv</w:t>
      </w:r>
      <w:r w:rsidR="008E6941" w:rsidRPr="006D431D">
        <w:t>ā</w:t>
      </w:r>
      <w:r w:rsidR="00F32024" w:rsidRPr="006D431D">
        <w:t xml:space="preserve">k </w:t>
      </w:r>
      <w:r w:rsidR="00832F30" w:rsidRPr="006D431D">
        <w:t xml:space="preserve">ir pāriet uz biometāna ražošanu atbilstoši šajā informatīvajā ziņojumā noteiktajiem nosacījumiem. </w:t>
      </w:r>
    </w:p>
    <w:p w14:paraId="35C197C2" w14:textId="77777777" w:rsidR="00C32B9F" w:rsidRPr="006D431D" w:rsidRDefault="002B39A1" w:rsidP="002F3EEA">
      <w:pPr>
        <w:ind w:firstLine="360"/>
        <w:jc w:val="both"/>
        <w:rPr>
          <w:rFonts w:ascii="Times New Roman" w:hAnsi="Times New Roman" w:cs="Times New Roman"/>
          <w:sz w:val="24"/>
          <w:szCs w:val="24"/>
        </w:rPr>
      </w:pPr>
      <w:r w:rsidRPr="006D431D">
        <w:rPr>
          <w:rFonts w:ascii="Times New Roman" w:hAnsi="Times New Roman" w:cs="Times New Roman"/>
          <w:sz w:val="24"/>
          <w:szCs w:val="24"/>
        </w:rPr>
        <w:t>Nepieciešamā rīcība:</w:t>
      </w:r>
    </w:p>
    <w:p w14:paraId="7A833ADD" w14:textId="2B605E77" w:rsidR="00C32B9F" w:rsidRPr="006D431D" w:rsidRDefault="00216AEA">
      <w:pPr>
        <w:ind w:firstLine="720"/>
        <w:jc w:val="both"/>
        <w:rPr>
          <w:rFonts w:ascii="Times New Roman" w:hAnsi="Times New Roman" w:cs="Times New Roman"/>
          <w:sz w:val="24"/>
          <w:szCs w:val="24"/>
        </w:rPr>
      </w:pPr>
      <w:r w:rsidRPr="006D431D">
        <w:rPr>
          <w:rFonts w:ascii="Times New Roman" w:hAnsi="Times New Roman" w:cs="Times New Roman"/>
          <w:sz w:val="24"/>
          <w:szCs w:val="24"/>
        </w:rPr>
        <w:lastRenderedPageBreak/>
        <w:t>1</w:t>
      </w:r>
      <w:r w:rsidR="002B39A1" w:rsidRPr="006D431D">
        <w:rPr>
          <w:rFonts w:ascii="Times New Roman" w:hAnsi="Times New Roman" w:cs="Times New Roman"/>
          <w:sz w:val="24"/>
          <w:szCs w:val="24"/>
        </w:rPr>
        <w:t xml:space="preserve">. Ekonomikas ministrijai  līdz 2022. gada </w:t>
      </w:r>
      <w:r w:rsidR="00680202" w:rsidRPr="006D431D">
        <w:rPr>
          <w:rFonts w:ascii="Times New Roman" w:hAnsi="Times New Roman" w:cs="Times New Roman"/>
          <w:sz w:val="24"/>
          <w:szCs w:val="24"/>
        </w:rPr>
        <w:t>3</w:t>
      </w:r>
      <w:r w:rsidR="002B39A1" w:rsidRPr="006D431D">
        <w:rPr>
          <w:rFonts w:ascii="Times New Roman" w:hAnsi="Times New Roman" w:cs="Times New Roman"/>
          <w:sz w:val="24"/>
          <w:szCs w:val="24"/>
        </w:rPr>
        <w:t xml:space="preserve">1. decembrim nepieciešams sagatavot un </w:t>
      </w:r>
      <w:r w:rsidR="002F3EEA">
        <w:rPr>
          <w:rFonts w:ascii="Times New Roman" w:hAnsi="Times New Roman" w:cs="Times New Roman"/>
          <w:sz w:val="24"/>
          <w:szCs w:val="24"/>
        </w:rPr>
        <w:t xml:space="preserve">ekonomikas ministram </w:t>
      </w:r>
      <w:r w:rsidR="002B39A1" w:rsidRPr="006D431D">
        <w:rPr>
          <w:rFonts w:ascii="Times New Roman" w:hAnsi="Times New Roman" w:cs="Times New Roman"/>
          <w:sz w:val="24"/>
          <w:szCs w:val="24"/>
        </w:rPr>
        <w:t>iesniegt Ministru kabinetā, atbilstoši Eiropas Savienības kohēzijas</w:t>
      </w:r>
      <w:r w:rsidR="00CD27DF" w:rsidRPr="006D431D">
        <w:rPr>
          <w:rFonts w:ascii="Times New Roman" w:hAnsi="Times New Roman" w:cs="Times New Roman"/>
          <w:sz w:val="24"/>
          <w:szCs w:val="24"/>
        </w:rPr>
        <w:t xml:space="preserve"> politikas programmas</w:t>
      </w:r>
      <w:r w:rsidR="002B39A1" w:rsidRPr="006D431D">
        <w:rPr>
          <w:rFonts w:ascii="Times New Roman" w:hAnsi="Times New Roman" w:cs="Times New Roman"/>
          <w:sz w:val="24"/>
          <w:szCs w:val="24"/>
        </w:rPr>
        <w:t xml:space="preserve"> 2021-2027. gadam, atbalsta programmas noteikumus biogāzes attīrīšanas (biometāna ražošanas) iekārtu uzstādīšanai, biometāna transportēšanai nepieciešamās infrastruktūras izveidei, tai skaitā, izveidojot </w:t>
      </w:r>
      <w:proofErr w:type="spellStart"/>
      <w:r w:rsidR="002B39A1" w:rsidRPr="006D431D">
        <w:rPr>
          <w:rFonts w:ascii="Times New Roman" w:hAnsi="Times New Roman" w:cs="Times New Roman"/>
          <w:sz w:val="24"/>
          <w:szCs w:val="24"/>
        </w:rPr>
        <w:t>pieslēgumus</w:t>
      </w:r>
      <w:proofErr w:type="spellEnd"/>
      <w:r w:rsidR="002B39A1" w:rsidRPr="006D431D">
        <w:rPr>
          <w:rFonts w:ascii="Times New Roman" w:hAnsi="Times New Roman" w:cs="Times New Roman"/>
          <w:sz w:val="24"/>
          <w:szCs w:val="24"/>
        </w:rPr>
        <w:t xml:space="preserve"> pie gāzes pārvades vai sadales tīkliem.</w:t>
      </w:r>
    </w:p>
    <w:p w14:paraId="16D09094" w14:textId="46BCC26D" w:rsidR="00216AEA" w:rsidRPr="006D431D" w:rsidRDefault="00216AEA">
      <w:pPr>
        <w:ind w:firstLine="720"/>
        <w:jc w:val="both"/>
        <w:rPr>
          <w:rFonts w:ascii="Times New Roman" w:hAnsi="Times New Roman" w:cs="Times New Roman"/>
          <w:sz w:val="24"/>
          <w:szCs w:val="24"/>
        </w:rPr>
      </w:pPr>
      <w:r w:rsidRPr="006D431D">
        <w:rPr>
          <w:rFonts w:ascii="Times New Roman" w:hAnsi="Times New Roman" w:cs="Times New Roman"/>
          <w:sz w:val="24"/>
          <w:szCs w:val="24"/>
        </w:rPr>
        <w:t>2</w:t>
      </w:r>
      <w:r w:rsidR="002B39A1" w:rsidRPr="006D431D">
        <w:rPr>
          <w:rFonts w:ascii="Times New Roman" w:hAnsi="Times New Roman" w:cs="Times New Roman"/>
          <w:sz w:val="24"/>
          <w:szCs w:val="24"/>
        </w:rPr>
        <w:t xml:space="preserve">. Ekonomikas ministrijai sadarbībā ar Fizikālās enerģētikas institūtu līdz 2022. gada </w:t>
      </w:r>
      <w:r w:rsidR="002E2EC0" w:rsidRPr="006D431D">
        <w:rPr>
          <w:rFonts w:ascii="Times New Roman" w:hAnsi="Times New Roman" w:cs="Times New Roman"/>
          <w:sz w:val="24"/>
          <w:szCs w:val="24"/>
        </w:rPr>
        <w:t>31. decembrim</w:t>
      </w:r>
      <w:r w:rsidR="002B39A1" w:rsidRPr="006D431D">
        <w:rPr>
          <w:rFonts w:ascii="Times New Roman" w:hAnsi="Times New Roman" w:cs="Times New Roman"/>
          <w:sz w:val="24"/>
          <w:szCs w:val="24"/>
        </w:rPr>
        <w:t xml:space="preserve"> nepieciešams </w:t>
      </w:r>
      <w:r w:rsidR="002E2EC0" w:rsidRPr="006D431D">
        <w:rPr>
          <w:rFonts w:ascii="Times New Roman" w:hAnsi="Times New Roman" w:cs="Times New Roman"/>
          <w:sz w:val="24"/>
          <w:szCs w:val="24"/>
        </w:rPr>
        <w:t xml:space="preserve">skaitliski </w:t>
      </w:r>
      <w:r w:rsidR="002B39A1" w:rsidRPr="006D431D">
        <w:rPr>
          <w:rFonts w:ascii="Times New Roman" w:hAnsi="Times New Roman" w:cs="Times New Roman"/>
          <w:sz w:val="24"/>
          <w:szCs w:val="24"/>
        </w:rPr>
        <w:t xml:space="preserve">precizēt biogāzes un biometāna lomu 2030. gada enerģētikas un klimata mērķu sasniegšanā un tālākā virzībā uz </w:t>
      </w:r>
      <w:proofErr w:type="spellStart"/>
      <w:r w:rsidR="002B39A1" w:rsidRPr="006D431D">
        <w:rPr>
          <w:rFonts w:ascii="Times New Roman" w:hAnsi="Times New Roman" w:cs="Times New Roman"/>
          <w:sz w:val="24"/>
          <w:szCs w:val="24"/>
        </w:rPr>
        <w:t>klimatneitralitāti</w:t>
      </w:r>
      <w:proofErr w:type="spellEnd"/>
      <w:r w:rsidR="002B39A1" w:rsidRPr="006D431D">
        <w:rPr>
          <w:rFonts w:ascii="Times New Roman" w:hAnsi="Times New Roman" w:cs="Times New Roman"/>
          <w:sz w:val="24"/>
          <w:szCs w:val="24"/>
        </w:rPr>
        <w:t xml:space="preserve"> gan </w:t>
      </w:r>
      <w:r w:rsidR="002B7F74" w:rsidRPr="006D431D">
        <w:rPr>
          <w:rFonts w:ascii="Times New Roman" w:hAnsi="Times New Roman" w:cs="Times New Roman"/>
          <w:sz w:val="24"/>
          <w:szCs w:val="24"/>
        </w:rPr>
        <w:t xml:space="preserve">specifiski </w:t>
      </w:r>
      <w:r w:rsidR="002B39A1" w:rsidRPr="006D431D">
        <w:rPr>
          <w:rFonts w:ascii="Times New Roman" w:hAnsi="Times New Roman" w:cs="Times New Roman"/>
          <w:sz w:val="24"/>
          <w:szCs w:val="24"/>
        </w:rPr>
        <w:t>transporta</w:t>
      </w:r>
      <w:r w:rsidR="00B118ED" w:rsidRPr="006D431D">
        <w:rPr>
          <w:rFonts w:ascii="Times New Roman" w:hAnsi="Times New Roman" w:cs="Times New Roman"/>
          <w:sz w:val="24"/>
          <w:szCs w:val="24"/>
        </w:rPr>
        <w:t xml:space="preserve">, </w:t>
      </w:r>
      <w:r w:rsidR="008340B7" w:rsidRPr="006D431D">
        <w:rPr>
          <w:rFonts w:ascii="Times New Roman" w:hAnsi="Times New Roman" w:cs="Times New Roman"/>
          <w:sz w:val="24"/>
          <w:szCs w:val="24"/>
        </w:rPr>
        <w:t>lauksaimniecības, atkritumu apsaimniekošanas nozarēs</w:t>
      </w:r>
      <w:r w:rsidR="002B39A1" w:rsidRPr="006D431D">
        <w:rPr>
          <w:rFonts w:ascii="Times New Roman" w:hAnsi="Times New Roman" w:cs="Times New Roman"/>
          <w:sz w:val="24"/>
          <w:szCs w:val="24"/>
        </w:rPr>
        <w:t xml:space="preserve">, gan </w:t>
      </w:r>
      <w:r w:rsidR="002B7F74" w:rsidRPr="006D431D">
        <w:rPr>
          <w:rFonts w:ascii="Times New Roman" w:hAnsi="Times New Roman" w:cs="Times New Roman"/>
          <w:sz w:val="24"/>
          <w:szCs w:val="24"/>
        </w:rPr>
        <w:t xml:space="preserve">kopumā </w:t>
      </w:r>
      <w:r w:rsidR="002B39A1" w:rsidRPr="006D431D">
        <w:rPr>
          <w:rFonts w:ascii="Times New Roman" w:hAnsi="Times New Roman" w:cs="Times New Roman"/>
          <w:sz w:val="24"/>
          <w:szCs w:val="24"/>
        </w:rPr>
        <w:t xml:space="preserve">enerģētikas sektorā. </w:t>
      </w:r>
      <w:r w:rsidR="00020608" w:rsidRPr="006D431D">
        <w:rPr>
          <w:rFonts w:ascii="Times New Roman" w:hAnsi="Times New Roman" w:cs="Times New Roman"/>
          <w:sz w:val="24"/>
          <w:szCs w:val="24"/>
        </w:rPr>
        <w:t xml:space="preserve">Pamatojoties uz </w:t>
      </w:r>
      <w:r w:rsidR="005974F2" w:rsidRPr="006D431D">
        <w:rPr>
          <w:rFonts w:ascii="Times New Roman" w:hAnsi="Times New Roman" w:cs="Times New Roman"/>
          <w:sz w:val="24"/>
          <w:szCs w:val="24"/>
        </w:rPr>
        <w:t xml:space="preserve">minētās </w:t>
      </w:r>
      <w:r w:rsidR="00020608" w:rsidRPr="006D431D">
        <w:rPr>
          <w:rFonts w:ascii="Times New Roman" w:hAnsi="Times New Roman" w:cs="Times New Roman"/>
          <w:sz w:val="24"/>
          <w:szCs w:val="24"/>
        </w:rPr>
        <w:t xml:space="preserve">izpētes rezultātiem </w:t>
      </w:r>
      <w:r w:rsidR="001E14E8" w:rsidRPr="006D431D">
        <w:rPr>
          <w:rFonts w:ascii="Times New Roman" w:hAnsi="Times New Roman" w:cs="Times New Roman"/>
          <w:sz w:val="24"/>
          <w:szCs w:val="24"/>
        </w:rPr>
        <w:t xml:space="preserve">Nacionālajā enerģētikas un klimata plānā </w:t>
      </w:r>
      <w:r w:rsidR="005974F2" w:rsidRPr="006D431D">
        <w:rPr>
          <w:rFonts w:ascii="Times New Roman" w:hAnsi="Times New Roman" w:cs="Times New Roman"/>
          <w:sz w:val="24"/>
          <w:szCs w:val="24"/>
        </w:rPr>
        <w:t xml:space="preserve">tā paredzētā plānveida pārskatīšanas laikā </w:t>
      </w:r>
      <w:r w:rsidR="001E14E8" w:rsidRPr="006D431D">
        <w:rPr>
          <w:rFonts w:ascii="Times New Roman" w:hAnsi="Times New Roman" w:cs="Times New Roman"/>
          <w:sz w:val="24"/>
          <w:szCs w:val="24"/>
        </w:rPr>
        <w:t>paredz</w:t>
      </w:r>
      <w:r w:rsidRPr="006D431D">
        <w:rPr>
          <w:rFonts w:ascii="Times New Roman" w:hAnsi="Times New Roman" w:cs="Times New Roman"/>
          <w:sz w:val="24"/>
          <w:szCs w:val="24"/>
        </w:rPr>
        <w:t xml:space="preserve">ēt </w:t>
      </w:r>
      <w:r w:rsidR="005974F2" w:rsidRPr="006D431D">
        <w:rPr>
          <w:rFonts w:ascii="Times New Roman" w:hAnsi="Times New Roman" w:cs="Times New Roman"/>
          <w:sz w:val="24"/>
          <w:szCs w:val="24"/>
        </w:rPr>
        <w:t xml:space="preserve">noteikt konkrētu skaitlisku mērķi </w:t>
      </w:r>
      <w:r w:rsidRPr="006D431D">
        <w:rPr>
          <w:rFonts w:ascii="Times New Roman" w:hAnsi="Times New Roman" w:cs="Times New Roman"/>
          <w:sz w:val="24"/>
          <w:szCs w:val="24"/>
        </w:rPr>
        <w:t xml:space="preserve">biometāna </w:t>
      </w:r>
      <w:r w:rsidR="005974F2" w:rsidRPr="006D431D">
        <w:rPr>
          <w:rFonts w:ascii="Times New Roman" w:hAnsi="Times New Roman" w:cs="Times New Roman"/>
          <w:sz w:val="24"/>
          <w:szCs w:val="24"/>
        </w:rPr>
        <w:t>izmantošanai</w:t>
      </w:r>
      <w:r w:rsidRPr="006D431D">
        <w:rPr>
          <w:rFonts w:ascii="Times New Roman" w:hAnsi="Times New Roman" w:cs="Times New Roman"/>
          <w:sz w:val="24"/>
          <w:szCs w:val="24"/>
        </w:rPr>
        <w:t xml:space="preserve">. </w:t>
      </w:r>
      <w:r w:rsidR="002B39A1" w:rsidRPr="006D431D">
        <w:rPr>
          <w:rFonts w:ascii="Times New Roman" w:hAnsi="Times New Roman" w:cs="Times New Roman"/>
          <w:sz w:val="24"/>
          <w:szCs w:val="24"/>
        </w:rPr>
        <w:t xml:space="preserve">Rezultātu izstrādē un izvērtēšanā jau sākotnējā </w:t>
      </w:r>
      <w:r w:rsidR="005974F2" w:rsidRPr="006D431D">
        <w:rPr>
          <w:rFonts w:ascii="Times New Roman" w:hAnsi="Times New Roman" w:cs="Times New Roman"/>
          <w:sz w:val="24"/>
          <w:szCs w:val="24"/>
        </w:rPr>
        <w:t>posmā</w:t>
      </w:r>
      <w:r w:rsidR="002B39A1" w:rsidRPr="006D431D">
        <w:rPr>
          <w:rFonts w:ascii="Times New Roman" w:hAnsi="Times New Roman" w:cs="Times New Roman"/>
          <w:sz w:val="24"/>
          <w:szCs w:val="24"/>
        </w:rPr>
        <w:t xml:space="preserve"> aktīvi iesaistīt valdības sociālos partnerus un citas ieinteresētās puses. </w:t>
      </w:r>
    </w:p>
    <w:p w14:paraId="22FD3D2B" w14:textId="5722340B" w:rsidR="00216AEA" w:rsidRPr="006D431D" w:rsidRDefault="00B472B0">
      <w:pPr>
        <w:ind w:firstLine="720"/>
        <w:jc w:val="both"/>
        <w:rPr>
          <w:rFonts w:ascii="Times New Roman" w:hAnsi="Times New Roman" w:cs="Times New Roman"/>
          <w:sz w:val="24"/>
          <w:szCs w:val="24"/>
        </w:rPr>
      </w:pPr>
      <w:r w:rsidRPr="006D431D">
        <w:rPr>
          <w:rFonts w:ascii="Times New Roman" w:hAnsi="Times New Roman" w:cs="Times New Roman"/>
          <w:sz w:val="24"/>
          <w:szCs w:val="24"/>
        </w:rPr>
        <w:t xml:space="preserve">3. Ekonomikas ministrijai līdz </w:t>
      </w:r>
      <w:r w:rsidR="005A20D3" w:rsidRPr="006D431D">
        <w:rPr>
          <w:rFonts w:ascii="Times New Roman" w:hAnsi="Times New Roman" w:cs="Times New Roman"/>
          <w:sz w:val="24"/>
          <w:szCs w:val="24"/>
        </w:rPr>
        <w:t xml:space="preserve">2022. gada </w:t>
      </w:r>
      <w:r w:rsidR="003F1DC2" w:rsidRPr="006D431D">
        <w:rPr>
          <w:rFonts w:ascii="Times New Roman" w:hAnsi="Times New Roman" w:cs="Times New Roman"/>
          <w:sz w:val="24"/>
          <w:szCs w:val="24"/>
        </w:rPr>
        <w:t>3</w:t>
      </w:r>
      <w:r w:rsidR="005A20D3" w:rsidRPr="006D431D">
        <w:rPr>
          <w:rFonts w:ascii="Times New Roman" w:hAnsi="Times New Roman" w:cs="Times New Roman"/>
          <w:sz w:val="24"/>
          <w:szCs w:val="24"/>
        </w:rPr>
        <w:t xml:space="preserve">1. decembrim sagatavot un </w:t>
      </w:r>
      <w:r w:rsidR="00BE6EBC">
        <w:rPr>
          <w:rFonts w:ascii="Times New Roman" w:hAnsi="Times New Roman" w:cs="Times New Roman"/>
          <w:sz w:val="24"/>
          <w:szCs w:val="24"/>
        </w:rPr>
        <w:t xml:space="preserve">ekonomikas ministram </w:t>
      </w:r>
      <w:r w:rsidR="005A20D3" w:rsidRPr="006D431D">
        <w:rPr>
          <w:rFonts w:ascii="Times New Roman" w:hAnsi="Times New Roman" w:cs="Times New Roman"/>
          <w:sz w:val="24"/>
          <w:szCs w:val="24"/>
        </w:rPr>
        <w:t xml:space="preserve">iesniegt grozījumus Enerģētikas likumā, kas paredz </w:t>
      </w:r>
      <w:r w:rsidR="00B33EB1" w:rsidRPr="006D431D">
        <w:rPr>
          <w:rFonts w:ascii="Times New Roman" w:hAnsi="Times New Roman" w:cs="Times New Roman"/>
          <w:sz w:val="24"/>
          <w:szCs w:val="24"/>
        </w:rPr>
        <w:t>sākot no 202</w:t>
      </w:r>
      <w:r w:rsidR="00D55870" w:rsidRPr="006D431D">
        <w:rPr>
          <w:rFonts w:ascii="Times New Roman" w:hAnsi="Times New Roman" w:cs="Times New Roman"/>
          <w:sz w:val="24"/>
          <w:szCs w:val="24"/>
        </w:rPr>
        <w:t>5</w:t>
      </w:r>
      <w:r w:rsidR="00B33EB1" w:rsidRPr="006D431D">
        <w:rPr>
          <w:rFonts w:ascii="Times New Roman" w:hAnsi="Times New Roman" w:cs="Times New Roman"/>
          <w:sz w:val="24"/>
          <w:szCs w:val="24"/>
        </w:rPr>
        <w:t xml:space="preserve">. gada </w:t>
      </w:r>
      <w:r w:rsidR="00E118FD" w:rsidRPr="006D431D">
        <w:rPr>
          <w:rFonts w:ascii="Times New Roman" w:hAnsi="Times New Roman" w:cs="Times New Roman"/>
          <w:sz w:val="24"/>
          <w:szCs w:val="24"/>
        </w:rPr>
        <w:t xml:space="preserve">1. janvāra </w:t>
      </w:r>
      <w:r w:rsidR="00B33EB1" w:rsidRPr="006D431D">
        <w:rPr>
          <w:rFonts w:ascii="Times New Roman" w:hAnsi="Times New Roman" w:cs="Times New Roman"/>
          <w:sz w:val="24"/>
          <w:szCs w:val="24"/>
        </w:rPr>
        <w:t xml:space="preserve">noteikt </w:t>
      </w:r>
      <w:r w:rsidR="0016038B" w:rsidRPr="006D431D">
        <w:rPr>
          <w:rFonts w:ascii="Times New Roman" w:hAnsi="Times New Roman" w:cs="Times New Roman"/>
          <w:sz w:val="24"/>
          <w:szCs w:val="24"/>
        </w:rPr>
        <w:t>kvotu sistēmu, kas paredzētu dabasgāzes tirgotājiem nodrošināt zināmu daudzumu biometāna, kas būtu proporcionāls tirgotās dabasgāzes apjomam un nodrošinātu precizētā</w:t>
      </w:r>
      <w:r w:rsidR="003F1DC2" w:rsidRPr="006D431D">
        <w:rPr>
          <w:rFonts w:ascii="Times New Roman" w:hAnsi="Times New Roman" w:cs="Times New Roman"/>
          <w:sz w:val="24"/>
          <w:szCs w:val="24"/>
        </w:rPr>
        <w:t xml:space="preserve"> Nacionālajā enerģētikas un klimata plānā</w:t>
      </w:r>
      <w:r w:rsidR="0016038B" w:rsidRPr="006D431D">
        <w:rPr>
          <w:rFonts w:ascii="Times New Roman" w:hAnsi="Times New Roman" w:cs="Times New Roman"/>
          <w:sz w:val="24"/>
          <w:szCs w:val="24"/>
        </w:rPr>
        <w:t xml:space="preserve"> </w:t>
      </w:r>
      <w:r w:rsidR="003F1DC2" w:rsidRPr="006D431D">
        <w:rPr>
          <w:rFonts w:ascii="Times New Roman" w:hAnsi="Times New Roman" w:cs="Times New Roman"/>
          <w:sz w:val="24"/>
          <w:szCs w:val="24"/>
        </w:rPr>
        <w:t xml:space="preserve">pēc tā pārskatīšanas noteikto </w:t>
      </w:r>
      <w:r w:rsidR="00514A56" w:rsidRPr="006D431D">
        <w:rPr>
          <w:rFonts w:ascii="Times New Roman" w:hAnsi="Times New Roman" w:cs="Times New Roman"/>
          <w:sz w:val="24"/>
          <w:szCs w:val="24"/>
        </w:rPr>
        <w:t>biometāna</w:t>
      </w:r>
      <w:r w:rsidR="0016038B" w:rsidRPr="006D431D">
        <w:rPr>
          <w:rFonts w:ascii="Times New Roman" w:hAnsi="Times New Roman" w:cs="Times New Roman"/>
          <w:sz w:val="24"/>
          <w:szCs w:val="24"/>
        </w:rPr>
        <w:t xml:space="preserve"> </w:t>
      </w:r>
      <w:r w:rsidR="00514A56" w:rsidRPr="006D431D">
        <w:rPr>
          <w:rFonts w:ascii="Times New Roman" w:hAnsi="Times New Roman" w:cs="Times New Roman"/>
          <w:sz w:val="24"/>
          <w:szCs w:val="24"/>
        </w:rPr>
        <w:t xml:space="preserve">mērķu </w:t>
      </w:r>
      <w:r w:rsidR="0016038B" w:rsidRPr="006D431D">
        <w:rPr>
          <w:rFonts w:ascii="Times New Roman" w:hAnsi="Times New Roman" w:cs="Times New Roman"/>
          <w:sz w:val="24"/>
          <w:szCs w:val="24"/>
        </w:rPr>
        <w:t>sasniegšanu</w:t>
      </w:r>
      <w:r w:rsidR="00514A56" w:rsidRPr="006D431D">
        <w:rPr>
          <w:rFonts w:ascii="Times New Roman" w:hAnsi="Times New Roman" w:cs="Times New Roman"/>
          <w:sz w:val="24"/>
          <w:szCs w:val="24"/>
        </w:rPr>
        <w:t>, paredzot, ka minēties biometāna izmantošanas i</w:t>
      </w:r>
      <w:r w:rsidR="0016038B" w:rsidRPr="006D431D">
        <w:rPr>
          <w:rFonts w:ascii="Times New Roman" w:hAnsi="Times New Roman" w:cs="Times New Roman"/>
          <w:sz w:val="24"/>
          <w:szCs w:val="24"/>
        </w:rPr>
        <w:t xml:space="preserve">kgadējie mērķi ir </w:t>
      </w:r>
      <w:r w:rsidR="00514A56" w:rsidRPr="006D431D">
        <w:rPr>
          <w:rFonts w:ascii="Times New Roman" w:hAnsi="Times New Roman" w:cs="Times New Roman"/>
          <w:sz w:val="24"/>
          <w:szCs w:val="24"/>
        </w:rPr>
        <w:t>jāsalāgo</w:t>
      </w:r>
      <w:r w:rsidR="0016038B" w:rsidRPr="006D431D">
        <w:rPr>
          <w:rFonts w:ascii="Times New Roman" w:hAnsi="Times New Roman" w:cs="Times New Roman"/>
          <w:sz w:val="24"/>
          <w:szCs w:val="24"/>
        </w:rPr>
        <w:t xml:space="preserve"> ar </w:t>
      </w:r>
      <w:r w:rsidR="00514A56" w:rsidRPr="006D431D">
        <w:rPr>
          <w:rFonts w:ascii="Times New Roman" w:hAnsi="Times New Roman" w:cs="Times New Roman"/>
          <w:sz w:val="24"/>
          <w:szCs w:val="24"/>
        </w:rPr>
        <w:t xml:space="preserve">tirgū </w:t>
      </w:r>
      <w:r w:rsidR="0016038B" w:rsidRPr="006D431D">
        <w:rPr>
          <w:rFonts w:ascii="Times New Roman" w:hAnsi="Times New Roman" w:cs="Times New Roman"/>
          <w:sz w:val="24"/>
          <w:szCs w:val="24"/>
        </w:rPr>
        <w:t xml:space="preserve">tehniski pieejamo </w:t>
      </w:r>
      <w:r w:rsidR="00514A56" w:rsidRPr="006D431D">
        <w:rPr>
          <w:rFonts w:ascii="Times New Roman" w:hAnsi="Times New Roman" w:cs="Times New Roman"/>
          <w:sz w:val="24"/>
          <w:szCs w:val="24"/>
        </w:rPr>
        <w:t xml:space="preserve">un tautsaimnieciski pamatotu </w:t>
      </w:r>
      <w:r w:rsidR="0016038B" w:rsidRPr="006D431D">
        <w:rPr>
          <w:rFonts w:ascii="Times New Roman" w:hAnsi="Times New Roman" w:cs="Times New Roman"/>
          <w:sz w:val="24"/>
          <w:szCs w:val="24"/>
        </w:rPr>
        <w:t>biometāna apjomu.</w:t>
      </w:r>
    </w:p>
    <w:p w14:paraId="2D798E5C" w14:textId="19741EDC" w:rsidR="00C32B9F" w:rsidRPr="006D431D" w:rsidRDefault="002B39A1">
      <w:pPr>
        <w:ind w:firstLine="720"/>
        <w:jc w:val="both"/>
        <w:rPr>
          <w:rFonts w:ascii="Times New Roman" w:hAnsi="Times New Roman" w:cs="Times New Roman"/>
          <w:sz w:val="24"/>
          <w:szCs w:val="24"/>
        </w:rPr>
      </w:pPr>
      <w:r w:rsidRPr="006D431D">
        <w:rPr>
          <w:rFonts w:ascii="Times New Roman" w:hAnsi="Times New Roman" w:cs="Times New Roman"/>
          <w:sz w:val="24"/>
          <w:szCs w:val="24"/>
        </w:rPr>
        <w:tab/>
      </w:r>
    </w:p>
    <w:p w14:paraId="2B573930" w14:textId="77777777" w:rsidR="00C32B9F" w:rsidRPr="006D431D" w:rsidRDefault="002B39A1">
      <w:pPr>
        <w:spacing w:after="0"/>
        <w:jc w:val="both"/>
        <w:rPr>
          <w:rFonts w:ascii="Times New Roman" w:hAnsi="Times New Roman" w:cs="Times New Roman"/>
          <w:sz w:val="24"/>
          <w:szCs w:val="24"/>
        </w:rPr>
      </w:pPr>
      <w:r w:rsidRPr="006D431D">
        <w:rPr>
          <w:rFonts w:ascii="Times New Roman" w:hAnsi="Times New Roman" w:cs="Times New Roman"/>
          <w:bCs/>
          <w:sz w:val="24"/>
          <w:szCs w:val="24"/>
        </w:rPr>
        <w:t>Iesniedzējs:</w:t>
      </w:r>
    </w:p>
    <w:p w14:paraId="4C39B124" w14:textId="77777777" w:rsidR="00C32B9F" w:rsidRPr="006D431D" w:rsidRDefault="002B39A1">
      <w:pPr>
        <w:spacing w:after="0"/>
        <w:jc w:val="both"/>
        <w:rPr>
          <w:rFonts w:ascii="Times New Roman" w:hAnsi="Times New Roman" w:cs="Times New Roman"/>
          <w:sz w:val="24"/>
          <w:szCs w:val="24"/>
        </w:rPr>
      </w:pPr>
      <w:r w:rsidRPr="006D431D">
        <w:rPr>
          <w:rFonts w:ascii="Times New Roman" w:hAnsi="Times New Roman" w:cs="Times New Roman"/>
          <w:bCs/>
          <w:sz w:val="24"/>
          <w:szCs w:val="24"/>
        </w:rPr>
        <w:t>ekonomikas ministrs</w:t>
      </w:r>
      <w:r w:rsidRPr="006D431D">
        <w:rPr>
          <w:rFonts w:ascii="Times New Roman" w:hAnsi="Times New Roman" w:cs="Times New Roman"/>
          <w:bCs/>
          <w:sz w:val="24"/>
          <w:szCs w:val="24"/>
        </w:rPr>
        <w:tab/>
      </w:r>
      <w:r w:rsidRPr="006D431D">
        <w:rPr>
          <w:rFonts w:ascii="Times New Roman" w:hAnsi="Times New Roman" w:cs="Times New Roman"/>
          <w:bCs/>
          <w:sz w:val="24"/>
          <w:szCs w:val="24"/>
        </w:rPr>
        <w:tab/>
      </w:r>
      <w:r w:rsidRPr="006D431D">
        <w:rPr>
          <w:rFonts w:ascii="Times New Roman" w:hAnsi="Times New Roman" w:cs="Times New Roman"/>
          <w:bCs/>
          <w:sz w:val="24"/>
          <w:szCs w:val="24"/>
        </w:rPr>
        <w:tab/>
      </w:r>
      <w:r w:rsidRPr="006D431D">
        <w:rPr>
          <w:rFonts w:ascii="Times New Roman" w:hAnsi="Times New Roman" w:cs="Times New Roman"/>
          <w:bCs/>
          <w:sz w:val="24"/>
          <w:szCs w:val="24"/>
        </w:rPr>
        <w:tab/>
      </w:r>
      <w:r w:rsidRPr="006D431D">
        <w:rPr>
          <w:rFonts w:ascii="Times New Roman" w:hAnsi="Times New Roman" w:cs="Times New Roman"/>
          <w:bCs/>
          <w:sz w:val="24"/>
          <w:szCs w:val="24"/>
        </w:rPr>
        <w:tab/>
      </w:r>
      <w:r w:rsidRPr="006D431D">
        <w:rPr>
          <w:rFonts w:ascii="Times New Roman" w:hAnsi="Times New Roman" w:cs="Times New Roman"/>
          <w:bCs/>
          <w:sz w:val="24"/>
          <w:szCs w:val="24"/>
        </w:rPr>
        <w:tab/>
      </w:r>
      <w:r w:rsidRPr="006D431D">
        <w:rPr>
          <w:rFonts w:ascii="Times New Roman" w:hAnsi="Times New Roman" w:cs="Times New Roman"/>
          <w:bCs/>
          <w:sz w:val="24"/>
          <w:szCs w:val="24"/>
        </w:rPr>
        <w:tab/>
      </w:r>
      <w:r w:rsidRPr="006D431D">
        <w:rPr>
          <w:rFonts w:ascii="Times New Roman" w:hAnsi="Times New Roman" w:cs="Times New Roman"/>
          <w:bCs/>
          <w:sz w:val="24"/>
          <w:szCs w:val="24"/>
        </w:rPr>
        <w:tab/>
      </w:r>
      <w:proofErr w:type="spellStart"/>
      <w:r w:rsidRPr="006D431D">
        <w:rPr>
          <w:rFonts w:ascii="Times New Roman" w:hAnsi="Times New Roman" w:cs="Times New Roman"/>
          <w:bCs/>
          <w:sz w:val="24"/>
          <w:szCs w:val="24"/>
        </w:rPr>
        <w:t>J.Vitenbergs</w:t>
      </w:r>
      <w:proofErr w:type="spellEnd"/>
    </w:p>
    <w:p w14:paraId="5C4D8F96" w14:textId="77777777" w:rsidR="00C32B9F" w:rsidRPr="006D431D" w:rsidRDefault="00C32B9F">
      <w:pPr>
        <w:spacing w:after="0"/>
        <w:jc w:val="both"/>
        <w:rPr>
          <w:rFonts w:ascii="Times New Roman" w:hAnsi="Times New Roman" w:cs="Times New Roman"/>
          <w:bCs/>
          <w:sz w:val="24"/>
          <w:szCs w:val="24"/>
        </w:rPr>
      </w:pPr>
    </w:p>
    <w:p w14:paraId="268A61B5" w14:textId="77777777" w:rsidR="00C32B9F" w:rsidRPr="006D431D" w:rsidRDefault="002B39A1">
      <w:pPr>
        <w:spacing w:after="0"/>
        <w:jc w:val="both"/>
        <w:rPr>
          <w:rFonts w:ascii="Times New Roman" w:hAnsi="Times New Roman" w:cs="Times New Roman"/>
          <w:sz w:val="24"/>
          <w:szCs w:val="24"/>
        </w:rPr>
      </w:pPr>
      <w:r w:rsidRPr="006D431D">
        <w:rPr>
          <w:rFonts w:ascii="Times New Roman" w:hAnsi="Times New Roman" w:cs="Times New Roman"/>
          <w:bCs/>
          <w:sz w:val="24"/>
          <w:szCs w:val="24"/>
        </w:rPr>
        <w:t>Vīza:</w:t>
      </w:r>
    </w:p>
    <w:p w14:paraId="25D32C08" w14:textId="77777777" w:rsidR="00C32B9F" w:rsidRPr="006D431D" w:rsidRDefault="002B39A1">
      <w:pPr>
        <w:spacing w:after="0"/>
        <w:jc w:val="both"/>
        <w:rPr>
          <w:rFonts w:ascii="Times New Roman" w:hAnsi="Times New Roman" w:cs="Times New Roman"/>
          <w:sz w:val="24"/>
          <w:szCs w:val="24"/>
        </w:rPr>
      </w:pPr>
      <w:r w:rsidRPr="006D431D">
        <w:rPr>
          <w:rFonts w:ascii="Times New Roman" w:hAnsi="Times New Roman" w:cs="Times New Roman"/>
          <w:bCs/>
          <w:sz w:val="24"/>
          <w:szCs w:val="24"/>
        </w:rPr>
        <w:t>valsts sekretārs</w:t>
      </w:r>
      <w:r w:rsidRPr="006D431D">
        <w:rPr>
          <w:rFonts w:ascii="Times New Roman" w:hAnsi="Times New Roman" w:cs="Times New Roman"/>
          <w:sz w:val="24"/>
          <w:szCs w:val="24"/>
        </w:rPr>
        <w:tab/>
      </w:r>
      <w:r w:rsidRPr="006D431D">
        <w:rPr>
          <w:rFonts w:ascii="Times New Roman" w:hAnsi="Times New Roman" w:cs="Times New Roman"/>
          <w:sz w:val="24"/>
          <w:szCs w:val="24"/>
        </w:rPr>
        <w:tab/>
      </w:r>
      <w:r w:rsidRPr="006D431D">
        <w:rPr>
          <w:rFonts w:ascii="Times New Roman" w:hAnsi="Times New Roman" w:cs="Times New Roman"/>
          <w:sz w:val="24"/>
          <w:szCs w:val="24"/>
        </w:rPr>
        <w:tab/>
      </w:r>
      <w:r w:rsidRPr="006D431D">
        <w:rPr>
          <w:rFonts w:ascii="Times New Roman" w:hAnsi="Times New Roman" w:cs="Times New Roman"/>
          <w:sz w:val="24"/>
          <w:szCs w:val="24"/>
        </w:rPr>
        <w:tab/>
      </w:r>
      <w:r w:rsidRPr="006D431D">
        <w:rPr>
          <w:rFonts w:ascii="Times New Roman" w:hAnsi="Times New Roman" w:cs="Times New Roman"/>
          <w:sz w:val="24"/>
          <w:szCs w:val="24"/>
        </w:rPr>
        <w:tab/>
      </w:r>
      <w:r w:rsidRPr="006D431D">
        <w:rPr>
          <w:rFonts w:ascii="Times New Roman" w:hAnsi="Times New Roman" w:cs="Times New Roman"/>
          <w:sz w:val="24"/>
          <w:szCs w:val="24"/>
        </w:rPr>
        <w:tab/>
      </w:r>
      <w:r w:rsidRPr="006D431D">
        <w:rPr>
          <w:rFonts w:ascii="Times New Roman" w:hAnsi="Times New Roman" w:cs="Times New Roman"/>
          <w:sz w:val="24"/>
          <w:szCs w:val="24"/>
        </w:rPr>
        <w:tab/>
      </w:r>
      <w:r w:rsidRPr="006D431D">
        <w:rPr>
          <w:rFonts w:ascii="Times New Roman" w:hAnsi="Times New Roman" w:cs="Times New Roman"/>
          <w:sz w:val="24"/>
          <w:szCs w:val="24"/>
        </w:rPr>
        <w:tab/>
        <w:t>E. Valantis</w:t>
      </w:r>
    </w:p>
    <w:p w14:paraId="314CE920" w14:textId="77777777" w:rsidR="00C32B9F" w:rsidRPr="006D431D" w:rsidRDefault="00C32B9F">
      <w:pPr>
        <w:spacing w:after="0"/>
        <w:jc w:val="both"/>
        <w:rPr>
          <w:rFonts w:ascii="Times New Roman" w:hAnsi="Times New Roman" w:cs="Times New Roman"/>
          <w:sz w:val="24"/>
          <w:szCs w:val="24"/>
        </w:rPr>
      </w:pPr>
    </w:p>
    <w:p w14:paraId="6E984FA2" w14:textId="77777777" w:rsidR="00C32B9F" w:rsidRPr="006D431D" w:rsidRDefault="00C32B9F">
      <w:pPr>
        <w:spacing w:after="0"/>
        <w:jc w:val="both"/>
        <w:rPr>
          <w:rFonts w:ascii="Times New Roman" w:hAnsi="Times New Roman" w:cs="Times New Roman"/>
          <w:sz w:val="24"/>
          <w:szCs w:val="24"/>
        </w:rPr>
      </w:pPr>
    </w:p>
    <w:p w14:paraId="6433DFFA" w14:textId="77777777" w:rsidR="00C32B9F" w:rsidRPr="006D431D" w:rsidRDefault="00C32B9F">
      <w:pPr>
        <w:spacing w:after="0"/>
        <w:jc w:val="both"/>
        <w:rPr>
          <w:rFonts w:ascii="Times New Roman" w:hAnsi="Times New Roman" w:cs="Times New Roman"/>
          <w:sz w:val="24"/>
          <w:szCs w:val="24"/>
        </w:rPr>
      </w:pPr>
    </w:p>
    <w:p w14:paraId="352469D7" w14:textId="77777777" w:rsidR="00C32B9F" w:rsidRPr="006D431D" w:rsidRDefault="00C32B9F">
      <w:pPr>
        <w:spacing w:after="0"/>
        <w:jc w:val="both"/>
        <w:rPr>
          <w:rFonts w:ascii="Times New Roman" w:hAnsi="Times New Roman" w:cs="Times New Roman"/>
          <w:sz w:val="24"/>
          <w:szCs w:val="24"/>
        </w:rPr>
      </w:pPr>
    </w:p>
    <w:p w14:paraId="50FD25C9" w14:textId="77777777" w:rsidR="00C32B9F" w:rsidRPr="006D431D" w:rsidRDefault="002B39A1">
      <w:pPr>
        <w:spacing w:after="0"/>
        <w:ind w:firstLine="709"/>
        <w:rPr>
          <w:rFonts w:ascii="Times New Roman" w:hAnsi="Times New Roman" w:cs="Times New Roman"/>
          <w:sz w:val="24"/>
          <w:szCs w:val="24"/>
        </w:rPr>
      </w:pPr>
      <w:r w:rsidRPr="006D431D">
        <w:rPr>
          <w:rFonts w:ascii="Times New Roman" w:eastAsia="Times New Roman" w:hAnsi="Times New Roman" w:cs="Times New Roman"/>
          <w:sz w:val="24"/>
          <w:szCs w:val="24"/>
          <w:lang w:eastAsia="lv-LV"/>
        </w:rPr>
        <w:t>Cilinskis 67013040</w:t>
      </w:r>
    </w:p>
    <w:p w14:paraId="1A9F7134" w14:textId="77777777" w:rsidR="00C32B9F" w:rsidRPr="006D431D" w:rsidRDefault="002B39A1">
      <w:pPr>
        <w:spacing w:after="0"/>
        <w:ind w:firstLine="709"/>
        <w:rPr>
          <w:rFonts w:ascii="Times New Roman" w:hAnsi="Times New Roman" w:cs="Times New Roman"/>
          <w:sz w:val="24"/>
          <w:szCs w:val="24"/>
        </w:rPr>
      </w:pPr>
      <w:r w:rsidRPr="006D431D">
        <w:rPr>
          <w:rFonts w:ascii="Times New Roman" w:eastAsia="Times New Roman" w:hAnsi="Times New Roman" w:cs="Times New Roman"/>
          <w:sz w:val="24"/>
          <w:szCs w:val="24"/>
          <w:lang w:eastAsia="lv-LV"/>
        </w:rPr>
        <w:t>Einars.cilinskis@em.gov.lv</w:t>
      </w:r>
    </w:p>
    <w:p w14:paraId="71C6A1EB" w14:textId="77777777" w:rsidR="00C32B9F" w:rsidRPr="006D431D" w:rsidRDefault="00C32B9F">
      <w:pPr>
        <w:rPr>
          <w:rFonts w:ascii="Times New Roman" w:hAnsi="Times New Roman" w:cs="Times New Roman"/>
          <w:sz w:val="24"/>
          <w:szCs w:val="24"/>
        </w:rPr>
      </w:pPr>
    </w:p>
    <w:p w14:paraId="3F1CC279" w14:textId="77777777" w:rsidR="006D431D" w:rsidRPr="006D431D" w:rsidRDefault="006D431D">
      <w:pPr>
        <w:rPr>
          <w:rFonts w:ascii="Times New Roman" w:hAnsi="Times New Roman" w:cs="Times New Roman"/>
          <w:sz w:val="24"/>
          <w:szCs w:val="24"/>
        </w:rPr>
      </w:pPr>
    </w:p>
    <w:sectPr w:rsidR="006D431D" w:rsidRPr="006D431D">
      <w:headerReference w:type="default" r:id="rId13"/>
      <w:footerReference w:type="default" r:id="rId14"/>
      <w:pgSz w:w="12240" w:h="15840"/>
      <w:pgMar w:top="1440" w:right="1440" w:bottom="1440" w:left="1440" w:header="720" w:footer="72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54972" w14:textId="77777777" w:rsidR="00807F49" w:rsidRDefault="00807F49">
      <w:pPr>
        <w:spacing w:after="0" w:line="240" w:lineRule="auto"/>
      </w:pPr>
      <w:r>
        <w:separator/>
      </w:r>
    </w:p>
  </w:endnote>
  <w:endnote w:type="continuationSeparator" w:id="0">
    <w:p w14:paraId="0291F9D0" w14:textId="77777777" w:rsidR="00807F49" w:rsidRDefault="00807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824622"/>
      <w:docPartObj>
        <w:docPartGallery w:val="Page Numbers (Bottom of Page)"/>
        <w:docPartUnique/>
      </w:docPartObj>
    </w:sdtPr>
    <w:sdtEndPr/>
    <w:sdtContent>
      <w:p w14:paraId="42FEE6C2" w14:textId="77777777" w:rsidR="00CC0A56" w:rsidRDefault="00CC0A56">
        <w:pPr>
          <w:pStyle w:val="Footer"/>
          <w:jc w:val="center"/>
        </w:pPr>
        <w:r>
          <w:fldChar w:fldCharType="begin"/>
        </w:r>
        <w:r>
          <w:instrText>PAGE</w:instrText>
        </w:r>
        <w:r>
          <w:fldChar w:fldCharType="separate"/>
        </w:r>
        <w:r>
          <w:t>34</w:t>
        </w:r>
        <w:r>
          <w:fldChar w:fldCharType="end"/>
        </w:r>
      </w:p>
    </w:sdtContent>
  </w:sdt>
  <w:p w14:paraId="47E77D8A" w14:textId="77777777" w:rsidR="00CC0A56" w:rsidRDefault="00CC0A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6C640" w14:textId="77777777" w:rsidR="00807F49" w:rsidRDefault="00807F49">
      <w:pPr>
        <w:rPr>
          <w:sz w:val="12"/>
        </w:rPr>
      </w:pPr>
      <w:r>
        <w:separator/>
      </w:r>
    </w:p>
  </w:footnote>
  <w:footnote w:type="continuationSeparator" w:id="0">
    <w:p w14:paraId="7B4C4AA5" w14:textId="77777777" w:rsidR="00807F49" w:rsidRDefault="00807F49">
      <w:pPr>
        <w:rPr>
          <w:sz w:val="12"/>
        </w:rPr>
      </w:pPr>
      <w:r>
        <w:continuationSeparator/>
      </w:r>
    </w:p>
  </w:footnote>
  <w:footnote w:id="1">
    <w:p w14:paraId="3FD65FE7" w14:textId="77777777" w:rsidR="00CC0A56" w:rsidRPr="005B467D" w:rsidRDefault="00CC0A56">
      <w:pPr>
        <w:pStyle w:val="FootnoteText"/>
        <w:rPr>
          <w:rFonts w:ascii="Times New Roman" w:hAnsi="Times New Roman" w:cs="Times New Roman"/>
        </w:rPr>
      </w:pPr>
      <w:r w:rsidRPr="005B467D">
        <w:rPr>
          <w:rStyle w:val="FootnoteCharacters"/>
          <w:rFonts w:ascii="Times New Roman" w:hAnsi="Times New Roman" w:cs="Times New Roman"/>
        </w:rPr>
        <w:footnoteRef/>
      </w:r>
      <w:r w:rsidRPr="005B467D">
        <w:rPr>
          <w:rFonts w:ascii="Times New Roman" w:hAnsi="Times New Roman" w:cs="Times New Roman"/>
        </w:rPr>
        <w:t xml:space="preserve"> </w:t>
      </w:r>
      <w:hyperlink r:id="rId1">
        <w:r w:rsidRPr="005B467D">
          <w:rPr>
            <w:rStyle w:val="Hyperlink"/>
            <w:rFonts w:ascii="Times New Roman" w:hAnsi="Times New Roman" w:cs="Times New Roman"/>
          </w:rPr>
          <w:t>http://tap.mk.gov.lv/mk/tap/?pid=40499361</w:t>
        </w:r>
      </w:hyperlink>
    </w:p>
    <w:p w14:paraId="1E29EEB2" w14:textId="77777777" w:rsidR="00CC0A56" w:rsidRPr="005B467D" w:rsidRDefault="00CC0A56">
      <w:pPr>
        <w:pStyle w:val="FootnoteText"/>
        <w:rPr>
          <w:rFonts w:ascii="Times New Roman" w:hAnsi="Times New Roman" w:cs="Times New Roman"/>
        </w:rPr>
      </w:pPr>
    </w:p>
  </w:footnote>
  <w:footnote w:id="2">
    <w:p w14:paraId="7F73F9ED" w14:textId="6C7CBA5D" w:rsidR="00CC0A56" w:rsidRDefault="00CC0A56">
      <w:pPr>
        <w:pStyle w:val="FootnoteText"/>
      </w:pPr>
      <w:r>
        <w:rPr>
          <w:rStyle w:val="FootnoteReference"/>
        </w:rPr>
        <w:footnoteRef/>
      </w:r>
      <w:r>
        <w:t xml:space="preserve"> </w:t>
      </w:r>
      <w:hyperlink r:id="rId2" w:history="1">
        <w:r w:rsidRPr="004C0696">
          <w:rPr>
            <w:rStyle w:val="Hyperlink"/>
          </w:rPr>
          <w:t>https://ec.europa.eu/commission/presscorner/detail/en/ip_21_6682</w:t>
        </w:r>
      </w:hyperlink>
    </w:p>
  </w:footnote>
  <w:footnote w:id="3">
    <w:p w14:paraId="49B6EAF8" w14:textId="77777777" w:rsidR="00CC0A56" w:rsidRPr="005B467D" w:rsidRDefault="00CC0A56">
      <w:pPr>
        <w:pStyle w:val="FootnoteText"/>
        <w:rPr>
          <w:rFonts w:ascii="Times New Roman" w:hAnsi="Times New Roman" w:cs="Times New Roman"/>
        </w:rPr>
      </w:pPr>
      <w:r w:rsidRPr="005B467D">
        <w:rPr>
          <w:rStyle w:val="FootnoteCharacters"/>
          <w:rFonts w:ascii="Times New Roman" w:hAnsi="Times New Roman" w:cs="Times New Roman"/>
        </w:rPr>
        <w:footnoteRef/>
      </w:r>
      <w:r w:rsidRPr="005B467D">
        <w:rPr>
          <w:rFonts w:ascii="Times New Roman" w:hAnsi="Times New Roman" w:cs="Times New Roman"/>
        </w:rPr>
        <w:t xml:space="preserve"> COM(2021) 559 final</w:t>
      </w:r>
    </w:p>
  </w:footnote>
  <w:footnote w:id="4">
    <w:p w14:paraId="247CBCC6" w14:textId="19C1038C" w:rsidR="00CC0A56" w:rsidRPr="005B467D" w:rsidRDefault="00CC0A56">
      <w:pPr>
        <w:pStyle w:val="FootnoteText"/>
        <w:rPr>
          <w:rFonts w:ascii="Times New Roman" w:hAnsi="Times New Roman" w:cs="Times New Roman"/>
        </w:rPr>
      </w:pPr>
      <w:r w:rsidRPr="005B467D">
        <w:rPr>
          <w:rStyle w:val="FootnoteReference"/>
          <w:rFonts w:ascii="Times New Roman" w:hAnsi="Times New Roman" w:cs="Times New Roman"/>
        </w:rPr>
        <w:footnoteRef/>
      </w:r>
      <w:r w:rsidRPr="005B467D">
        <w:rPr>
          <w:rFonts w:ascii="Times New Roman" w:hAnsi="Times New Roman" w:cs="Times New Roman"/>
        </w:rPr>
        <w:t xml:space="preserve"> Deputātu iesniegums “Grozījumi Enerģētikas likumā (1339/Lp13)” </w:t>
      </w:r>
      <w:hyperlink r:id="rId3" w:history="1">
        <w:r w:rsidRPr="005B467D">
          <w:rPr>
            <w:rStyle w:val="Hyperlink"/>
            <w:rFonts w:ascii="Times New Roman" w:hAnsi="Times New Roman" w:cs="Times New Roman"/>
          </w:rPr>
          <w:t>https://titania.saeima.lv/LIVS13/saeimalivs13.nsf/webSasaiste?OpenView&amp;restricttocategory=1339/Lp13</w:t>
        </w:r>
      </w:hyperlink>
      <w:r w:rsidRPr="005B467D">
        <w:rPr>
          <w:rFonts w:ascii="Times New Roman" w:hAnsi="Times New Roman" w:cs="Times New Roman"/>
        </w:rPr>
        <w:t xml:space="preserve"> </w:t>
      </w:r>
    </w:p>
  </w:footnote>
  <w:footnote w:id="5">
    <w:p w14:paraId="096110CD" w14:textId="77777777" w:rsidR="00CC0A56" w:rsidRPr="008C6E2A" w:rsidRDefault="00CC0A56">
      <w:pPr>
        <w:pStyle w:val="FootnoteText"/>
        <w:rPr>
          <w:rFonts w:ascii="Times New Roman" w:hAnsi="Times New Roman" w:cs="Times New Roman"/>
        </w:rPr>
      </w:pPr>
      <w:r w:rsidRPr="008C6E2A">
        <w:rPr>
          <w:rStyle w:val="FootnoteCharacters"/>
          <w:rFonts w:ascii="Times New Roman" w:hAnsi="Times New Roman" w:cs="Times New Roman"/>
        </w:rPr>
        <w:footnoteRef/>
      </w:r>
      <w:r w:rsidRPr="008C6E2A">
        <w:rPr>
          <w:rFonts w:ascii="Times New Roman" w:hAnsi="Times New Roman" w:cs="Times New Roman"/>
        </w:rPr>
        <w:t xml:space="preserve"> Sk. piemēram Budzianowski, W. M., &amp; Budzianowska, D. A. (2015). Economic analysis of biomethane and bioelectricity generation from biogas using different support schemes and plant configurations. Energy, 88, 658–666.doi:10.1016/j.energy.2015.05.104</w:t>
      </w:r>
    </w:p>
  </w:footnote>
  <w:footnote w:id="6">
    <w:p w14:paraId="6BCE40BE" w14:textId="77777777" w:rsidR="00CC0A56" w:rsidRPr="008C6E2A" w:rsidRDefault="00CC0A56">
      <w:pPr>
        <w:pStyle w:val="FootnoteText"/>
        <w:rPr>
          <w:rFonts w:ascii="Times New Roman" w:hAnsi="Times New Roman" w:cs="Times New Roman"/>
        </w:rPr>
      </w:pPr>
      <w:r w:rsidRPr="008C6E2A">
        <w:rPr>
          <w:rStyle w:val="FootnoteCharacters"/>
        </w:rPr>
        <w:footnoteRef/>
      </w:r>
      <w:r w:rsidRPr="008C6E2A">
        <w:rPr>
          <w:rFonts w:ascii="Times New Roman" w:hAnsi="Times New Roman" w:cs="Times New Roman"/>
        </w:rPr>
        <w:t xml:space="preserve"> Sk. piemēram https://www.giz.de/en/downloads/GIZ_WasteToEnergy_Guidelines_2017.pdf</w:t>
      </w:r>
    </w:p>
  </w:footnote>
  <w:footnote w:id="7">
    <w:p w14:paraId="6296A2AC" w14:textId="77777777" w:rsidR="00CC0A56" w:rsidRPr="008C6E2A" w:rsidRDefault="00CC0A56">
      <w:pPr>
        <w:rPr>
          <w:rFonts w:ascii="Times New Roman" w:hAnsi="Times New Roman" w:cs="Times New Roman"/>
          <w:sz w:val="20"/>
          <w:szCs w:val="20"/>
        </w:rPr>
      </w:pPr>
      <w:r w:rsidRPr="008C6E2A">
        <w:rPr>
          <w:rStyle w:val="FootnoteCharacters"/>
          <w:rFonts w:ascii="Times New Roman" w:hAnsi="Times New Roman" w:cs="Times New Roman"/>
          <w:sz w:val="20"/>
          <w:szCs w:val="20"/>
        </w:rPr>
        <w:footnoteRef/>
      </w:r>
      <w:r w:rsidRPr="008C6E2A">
        <w:rPr>
          <w:rFonts w:ascii="Times New Roman" w:hAnsi="Times New Roman" w:cs="Times New Roman"/>
          <w:sz w:val="20"/>
          <w:szCs w:val="20"/>
        </w:rPr>
        <w:t xml:space="preserve"> </w:t>
      </w:r>
      <w:hyperlink r:id="rId4" w:tgtFrame="https://em.gov.lv/lv/nozares_politika/atjaunojama_energija_un_kogeneracija/informacija_par_izdotajiem_lemumiem_par_elektroenergijas_obligato_iepirkumu/">
        <w:r w:rsidRPr="008C6E2A">
          <w:rPr>
            <w:rStyle w:val="Hyperlink"/>
            <w:rFonts w:ascii="Times New Roman" w:hAnsi="Times New Roman" w:cs="Times New Roman"/>
            <w:sz w:val="20"/>
            <w:szCs w:val="20"/>
          </w:rPr>
          <w:t>https://em.gov.lv/lv/nozares_politika/atjaunojama_energija_un_kogeneracija/informacija_par_izdotajiem_lemumiem_par_elektroenergijas_obligato_iepirkumu/</w:t>
        </w:r>
      </w:hyperlink>
    </w:p>
    <w:p w14:paraId="47EB7ED2" w14:textId="77777777" w:rsidR="00CC0A56" w:rsidRPr="008C6E2A" w:rsidRDefault="00CC0A56">
      <w:pPr>
        <w:pStyle w:val="FootnoteText"/>
        <w:rPr>
          <w:rFonts w:ascii="Times New Roman" w:hAnsi="Times New Roman" w:cs="Times New Roman"/>
        </w:rPr>
      </w:pPr>
    </w:p>
  </w:footnote>
  <w:footnote w:id="8">
    <w:p w14:paraId="306D0C11" w14:textId="77777777" w:rsidR="00CC0A56" w:rsidRPr="008C6E2A" w:rsidRDefault="00CC0A56">
      <w:pPr>
        <w:pStyle w:val="FootnoteText"/>
        <w:rPr>
          <w:rFonts w:ascii="Times New Roman" w:hAnsi="Times New Roman" w:cs="Times New Roman"/>
        </w:rPr>
      </w:pPr>
      <w:r w:rsidRPr="008C6E2A">
        <w:rPr>
          <w:rStyle w:val="FootnoteCharacters"/>
          <w:rFonts w:ascii="Times New Roman" w:hAnsi="Times New Roman" w:cs="Times New Roman"/>
        </w:rPr>
        <w:footnoteRef/>
      </w:r>
      <w:r w:rsidRPr="008C6E2A">
        <w:rPr>
          <w:rFonts w:ascii="Times New Roman" w:hAnsi="Times New Roman" w:cs="Times New Roman"/>
        </w:rPr>
        <w:t xml:space="preserve"> Avots: Ziņojums par biogāzes nozares attīstību transporta enerģijas vajadzībām, RTU VASSI, 2020, 124.lpp</w:t>
      </w:r>
    </w:p>
  </w:footnote>
  <w:footnote w:id="9">
    <w:p w14:paraId="6274B07B" w14:textId="77777777" w:rsidR="00CC0A56" w:rsidRPr="008C6E2A" w:rsidRDefault="00CC0A56">
      <w:pPr>
        <w:pStyle w:val="FootnoteText"/>
        <w:rPr>
          <w:rFonts w:ascii="Times New Roman" w:hAnsi="Times New Roman" w:cs="Times New Roman"/>
        </w:rPr>
      </w:pPr>
      <w:r w:rsidRPr="008C6E2A">
        <w:rPr>
          <w:rStyle w:val="FootnoteCharacters"/>
          <w:rFonts w:ascii="Times New Roman" w:hAnsi="Times New Roman" w:cs="Times New Roman"/>
        </w:rPr>
        <w:footnoteRef/>
      </w:r>
      <w:r w:rsidRPr="008C6E2A">
        <w:rPr>
          <w:rFonts w:ascii="Times New Roman" w:hAnsi="Times New Roman" w:cs="Times New Roman"/>
        </w:rPr>
        <w:t xml:space="preserve"> https://eur-lex.europa.eu/legal-content/LV/TXT/HTML/?uri=CELEX:32018L2001&amp;from=EN</w:t>
      </w:r>
    </w:p>
  </w:footnote>
  <w:footnote w:id="10">
    <w:p w14:paraId="31A34363" w14:textId="77777777" w:rsidR="00CC0A56" w:rsidRPr="008C6E2A" w:rsidRDefault="00CC0A56">
      <w:pPr>
        <w:pStyle w:val="FootnoteText"/>
        <w:rPr>
          <w:rFonts w:ascii="Times New Roman" w:hAnsi="Times New Roman" w:cs="Times New Roman"/>
        </w:rPr>
      </w:pPr>
      <w:r w:rsidRPr="008C6E2A">
        <w:rPr>
          <w:rStyle w:val="FootnoteCharacters"/>
          <w:rFonts w:ascii="Times New Roman" w:hAnsi="Times New Roman" w:cs="Times New Roman"/>
        </w:rPr>
        <w:footnoteRef/>
      </w:r>
      <w:r w:rsidRPr="005B467D">
        <w:rPr>
          <w:rFonts w:ascii="Times New Roman" w:hAnsi="Times New Roman" w:cs="Times New Roman"/>
        </w:rPr>
        <w:t xml:space="preserve"> </w:t>
      </w:r>
      <w:hyperlink r:id="rId5">
        <w:r w:rsidRPr="005B467D">
          <w:rPr>
            <w:rStyle w:val="Hyperlink"/>
            <w:rFonts w:ascii="Times New Roman" w:hAnsi="Times New Roman" w:cs="Times New Roman"/>
          </w:rPr>
          <w:t>https://likumi.lv/ta/id/119463-noteikumi-par-biodegvielas-kvalitates-prasibam-atbilstibas-novertesanu-tirgus-uzraudzibu-un-pateretaju-informesanas-kartibu</w:t>
        </w:r>
      </w:hyperlink>
    </w:p>
  </w:footnote>
  <w:footnote w:id="11">
    <w:p w14:paraId="5F5D0B99" w14:textId="77777777" w:rsidR="00CC0A56" w:rsidRPr="008C6E2A" w:rsidRDefault="00CC0A56">
      <w:pPr>
        <w:pStyle w:val="FootnoteText"/>
        <w:rPr>
          <w:rFonts w:ascii="Times New Roman" w:hAnsi="Times New Roman" w:cs="Times New Roman"/>
        </w:rPr>
      </w:pPr>
      <w:r w:rsidRPr="008C6E2A">
        <w:rPr>
          <w:rStyle w:val="FootnoteCharacters"/>
          <w:rFonts w:ascii="Times New Roman" w:hAnsi="Times New Roman" w:cs="Times New Roman"/>
        </w:rPr>
        <w:footnoteRef/>
      </w:r>
      <w:r w:rsidRPr="005B467D">
        <w:rPr>
          <w:rFonts w:ascii="Times New Roman" w:hAnsi="Times New Roman" w:cs="Times New Roman"/>
        </w:rPr>
        <w:t xml:space="preserve"> </w:t>
      </w:r>
      <w:hyperlink r:id="rId6">
        <w:r w:rsidRPr="005B467D">
          <w:rPr>
            <w:rStyle w:val="Hyperlink"/>
            <w:rFonts w:ascii="Times New Roman" w:hAnsi="Times New Roman" w:cs="Times New Roman"/>
          </w:rPr>
          <w:t>https://likumi.lv/ta/id/285189-prasibas-biometana-un-gazveida-stavokli-parverstas-saskidrinatas-dabasgazes-ievadisanai-un-transportesanai-dabasgazes-parvades-...</w:t>
        </w:r>
      </w:hyperlink>
    </w:p>
  </w:footnote>
  <w:footnote w:id="12">
    <w:p w14:paraId="0F92D63C" w14:textId="77777777" w:rsidR="00CC0A56" w:rsidRPr="008C6E2A" w:rsidRDefault="00CC0A56">
      <w:pPr>
        <w:pStyle w:val="FootnoteText"/>
        <w:rPr>
          <w:rFonts w:ascii="Times New Roman" w:hAnsi="Times New Roman" w:cs="Times New Roman"/>
        </w:rPr>
      </w:pPr>
      <w:r w:rsidRPr="008C6E2A">
        <w:rPr>
          <w:rStyle w:val="FootnoteCharacters"/>
          <w:rFonts w:ascii="Times New Roman" w:hAnsi="Times New Roman" w:cs="Times New Roman"/>
        </w:rPr>
        <w:footnoteRef/>
      </w:r>
      <w:r w:rsidRPr="005B467D">
        <w:rPr>
          <w:rFonts w:ascii="Times New Roman" w:hAnsi="Times New Roman" w:cs="Times New Roman"/>
        </w:rPr>
        <w:t xml:space="preserve"> Sk. piemēram M. Prussi e.al. Review of technologies for biomethane production and assessment of EU transport share in 2030. Journal of Cleaner production 222 (2019) 565-572.</w:t>
      </w:r>
    </w:p>
  </w:footnote>
  <w:footnote w:id="13">
    <w:p w14:paraId="0F31739F" w14:textId="77777777" w:rsidR="00CC0A56" w:rsidRPr="008C6E2A" w:rsidRDefault="00CC0A56">
      <w:pPr>
        <w:pStyle w:val="FootnoteText"/>
        <w:rPr>
          <w:rFonts w:ascii="Times New Roman" w:hAnsi="Times New Roman" w:cs="Times New Roman"/>
        </w:rPr>
      </w:pPr>
      <w:r w:rsidRPr="008C6E2A">
        <w:rPr>
          <w:rStyle w:val="FootnoteCharacters"/>
          <w:rFonts w:ascii="Times New Roman" w:hAnsi="Times New Roman" w:cs="Times New Roman"/>
        </w:rPr>
        <w:footnoteRef/>
      </w:r>
      <w:r w:rsidRPr="008C6E2A">
        <w:rPr>
          <w:rFonts w:ascii="Times New Roman" w:hAnsi="Times New Roman" w:cs="Times New Roman"/>
        </w:rPr>
        <w:t xml:space="preserve"> </w:t>
      </w:r>
      <w:hyperlink r:id="rId7">
        <w:r w:rsidRPr="008C6E2A">
          <w:rPr>
            <w:rStyle w:val="Hyperlink"/>
            <w:rFonts w:ascii="Times New Roman" w:hAnsi="Times New Roman" w:cs="Times New Roman"/>
          </w:rPr>
          <w:t>https://www.aib-net.org/certification</w:t>
        </w:r>
      </w:hyperlink>
    </w:p>
    <w:p w14:paraId="772D5A99" w14:textId="77777777" w:rsidR="00CC0A56" w:rsidRPr="008C6E2A" w:rsidRDefault="00CC0A56">
      <w:pPr>
        <w:pStyle w:val="FootnoteText"/>
        <w:rPr>
          <w:rFonts w:ascii="Times New Roman" w:hAnsi="Times New Roman" w:cs="Times New Roman"/>
        </w:rPr>
      </w:pPr>
    </w:p>
  </w:footnote>
  <w:footnote w:id="14">
    <w:p w14:paraId="21F9967F" w14:textId="77777777" w:rsidR="00CC0A56" w:rsidRPr="008C6E2A" w:rsidRDefault="00CC0A56">
      <w:pPr>
        <w:pStyle w:val="FootnoteText"/>
        <w:jc w:val="both"/>
        <w:rPr>
          <w:rFonts w:ascii="Times New Roman" w:hAnsi="Times New Roman" w:cs="Times New Roman"/>
        </w:rPr>
      </w:pPr>
      <w:r w:rsidRPr="008C6E2A">
        <w:rPr>
          <w:rStyle w:val="FootnoteCharacters"/>
          <w:rFonts w:ascii="Times New Roman" w:hAnsi="Times New Roman" w:cs="Times New Roman"/>
        </w:rPr>
        <w:footnoteRef/>
      </w:r>
      <w:r w:rsidRPr="005B467D">
        <w:rPr>
          <w:rFonts w:ascii="Times New Roman" w:hAnsi="Times New Roman" w:cs="Times New Roman"/>
        </w:rPr>
        <w:t xml:space="preserve"> Direktīvas 2018/2001 25.pantā noteiktā </w:t>
      </w:r>
      <w:r w:rsidRPr="005B467D">
        <w:rPr>
          <w:rFonts w:ascii="Times New Roman" w:hAnsi="Times New Roman" w:cs="Times New Roman"/>
          <w:u w:val="single"/>
        </w:rPr>
        <w:t>minimālā</w:t>
      </w:r>
      <w:r w:rsidRPr="005B467D">
        <w:rPr>
          <w:rFonts w:ascii="Times New Roman" w:hAnsi="Times New Roman" w:cs="Times New Roman"/>
        </w:rPr>
        <w:t xml:space="preserve"> mērķa vērtība </w:t>
      </w:r>
    </w:p>
  </w:footnote>
  <w:footnote w:id="15">
    <w:p w14:paraId="7F0F43CD" w14:textId="77777777" w:rsidR="00CC0A56" w:rsidRPr="008C6E2A" w:rsidRDefault="00CC0A56">
      <w:pPr>
        <w:pStyle w:val="FootnoteText"/>
        <w:jc w:val="both"/>
        <w:rPr>
          <w:rFonts w:ascii="Times New Roman" w:hAnsi="Times New Roman" w:cs="Times New Roman"/>
        </w:rPr>
      </w:pPr>
      <w:r w:rsidRPr="008C6E2A">
        <w:rPr>
          <w:rStyle w:val="FootnoteCharacters"/>
          <w:rFonts w:ascii="Times New Roman" w:hAnsi="Times New Roman" w:cs="Times New Roman"/>
        </w:rPr>
        <w:footnoteRef/>
      </w:r>
      <w:r w:rsidRPr="005B467D">
        <w:rPr>
          <w:rFonts w:ascii="Times New Roman" w:hAnsi="Times New Roman" w:cs="Times New Roman"/>
        </w:rPr>
        <w:t xml:space="preserve"> no modernajām biodegvielām un biogāzes iegūtu enerģijas daudzumu var uzskatīt par divkāršu, ja tās iegūtas no izejvielām, kas minētas </w:t>
      </w:r>
      <w:bookmarkStart w:id="7" w:name="_Hlk432757751"/>
      <w:r w:rsidRPr="005B467D">
        <w:rPr>
          <w:rFonts w:ascii="Times New Roman" w:hAnsi="Times New Roman" w:cs="Times New Roman"/>
        </w:rPr>
        <w:t xml:space="preserve">Direktīvas 2018/2001 </w:t>
      </w:r>
      <w:bookmarkEnd w:id="7"/>
      <w:r w:rsidRPr="005B467D">
        <w:rPr>
          <w:rFonts w:ascii="Times New Roman" w:hAnsi="Times New Roman" w:cs="Times New Roman"/>
        </w:rPr>
        <w:t>IX pielikuma A un B daļā, kur B daļā minēto izejvielu izmantošanas apjoms ir ierobežots līdz 1,7% (bez divkāršās uzskaites) no transporta galapatēriņa (pēc enerģijas daudzuma)</w:t>
      </w:r>
      <w:r w:rsidRPr="008C6E2A">
        <w:rPr>
          <w:rFonts w:ascii="Times New Roman" w:hAnsi="Times New Roman" w:cs="Times New Roman"/>
        </w:rPr>
        <w:t xml:space="preserve">  </w:t>
      </w:r>
    </w:p>
  </w:footnote>
  <w:footnote w:id="16">
    <w:p w14:paraId="07A8FC1F" w14:textId="77777777" w:rsidR="00CC0A56" w:rsidRPr="008C6E2A" w:rsidRDefault="00CC0A56">
      <w:pPr>
        <w:pStyle w:val="FootnoteText"/>
        <w:rPr>
          <w:rFonts w:ascii="Times New Roman" w:hAnsi="Times New Roman" w:cs="Times New Roman"/>
        </w:rPr>
      </w:pPr>
      <w:r w:rsidRPr="008C6E2A">
        <w:rPr>
          <w:rStyle w:val="FootnoteCharacters"/>
          <w:rFonts w:ascii="Times New Roman" w:hAnsi="Times New Roman" w:cs="Times New Roman"/>
        </w:rPr>
        <w:footnoteRef/>
      </w:r>
      <w:r w:rsidRPr="008C6E2A">
        <w:rPr>
          <w:rFonts w:ascii="Times New Roman" w:hAnsi="Times New Roman" w:cs="Times New Roman"/>
        </w:rPr>
        <w:t xml:space="preserve"> </w:t>
      </w:r>
      <w:hyperlink r:id="rId8">
        <w:r w:rsidRPr="008C6E2A">
          <w:rPr>
            <w:rStyle w:val="Hyperlink"/>
            <w:rFonts w:ascii="Times New Roman" w:hAnsi="Times New Roman" w:cs="Times New Roman"/>
          </w:rPr>
          <w:t>https://ec.europa.eu/jrc/en/publication/eur-scientific-and-technical-research-reports/jec-well-wheels-report-v5</w:t>
        </w:r>
      </w:hyperlink>
    </w:p>
  </w:footnote>
  <w:footnote w:id="17">
    <w:p w14:paraId="78DCF36C" w14:textId="77777777" w:rsidR="00CC0A56" w:rsidRPr="008C6E2A" w:rsidRDefault="00CC0A56">
      <w:pPr>
        <w:pStyle w:val="FootnoteText"/>
        <w:rPr>
          <w:rFonts w:ascii="Times New Roman" w:hAnsi="Times New Roman" w:cs="Times New Roman"/>
        </w:rPr>
      </w:pPr>
      <w:r w:rsidRPr="008C6E2A">
        <w:rPr>
          <w:rStyle w:val="FootnoteCharacters"/>
          <w:rFonts w:ascii="Times New Roman" w:hAnsi="Times New Roman" w:cs="Times New Roman"/>
        </w:rPr>
        <w:footnoteRef/>
      </w:r>
      <w:r w:rsidRPr="008C6E2A">
        <w:rPr>
          <w:rFonts w:ascii="Times New Roman" w:hAnsi="Times New Roman" w:cs="Times New Roman"/>
        </w:rPr>
        <w:t xml:space="preserve"> </w:t>
      </w:r>
      <w:hyperlink r:id="rId9">
        <w:r w:rsidRPr="008C6E2A">
          <w:rPr>
            <w:rStyle w:val="Hyperlink"/>
            <w:rFonts w:ascii="Times New Roman" w:hAnsi="Times New Roman" w:cs="Times New Roman"/>
          </w:rPr>
          <w:t>https://www.virsi.lv/lv/produkti-un-pakalpojumi/cng</w:t>
        </w:r>
      </w:hyperlink>
    </w:p>
  </w:footnote>
  <w:footnote w:id="18">
    <w:p w14:paraId="4F735EFC" w14:textId="77777777" w:rsidR="00CC0A56" w:rsidRPr="008C6E2A" w:rsidRDefault="00CC0A56">
      <w:pPr>
        <w:pStyle w:val="FootnoteText"/>
        <w:rPr>
          <w:rFonts w:ascii="Times New Roman" w:hAnsi="Times New Roman" w:cs="Times New Roman"/>
        </w:rPr>
      </w:pPr>
      <w:r w:rsidRPr="008C6E2A">
        <w:rPr>
          <w:rStyle w:val="FootnoteCharacters"/>
          <w:rFonts w:ascii="Times New Roman" w:hAnsi="Times New Roman" w:cs="Times New Roman"/>
        </w:rPr>
        <w:footnoteRef/>
      </w:r>
      <w:r w:rsidRPr="008C6E2A">
        <w:rPr>
          <w:rFonts w:ascii="Times New Roman" w:hAnsi="Times New Roman" w:cs="Times New Roman"/>
        </w:rPr>
        <w:t xml:space="preserve"> </w:t>
      </w:r>
      <w:hyperlink r:id="rId10">
        <w:r w:rsidRPr="008C6E2A">
          <w:rPr>
            <w:rStyle w:val="Hyperlink"/>
            <w:rFonts w:ascii="Times New Roman" w:hAnsi="Times New Roman" w:cs="Times New Roman"/>
          </w:rPr>
          <w:t>https://www.energuide.be/en/questions-answers/are-natural-gas-cars-a-real-alternative/198/</w:t>
        </w:r>
      </w:hyperlink>
    </w:p>
  </w:footnote>
  <w:footnote w:id="19">
    <w:p w14:paraId="180FC0FE" w14:textId="77777777" w:rsidR="00CC0A56" w:rsidRPr="008C6E2A" w:rsidRDefault="00CC0A56">
      <w:pPr>
        <w:pStyle w:val="FootnoteText"/>
        <w:rPr>
          <w:rFonts w:ascii="Times New Roman" w:hAnsi="Times New Roman" w:cs="Times New Roman"/>
        </w:rPr>
      </w:pPr>
      <w:r w:rsidRPr="008C6E2A">
        <w:rPr>
          <w:rStyle w:val="FootnoteCharacters"/>
          <w:rFonts w:ascii="Times New Roman" w:hAnsi="Times New Roman" w:cs="Times New Roman"/>
        </w:rPr>
        <w:footnoteRef/>
      </w:r>
      <w:r w:rsidRPr="008C6E2A">
        <w:rPr>
          <w:rFonts w:ascii="Times New Roman" w:hAnsi="Times New Roman" w:cs="Times New Roman"/>
        </w:rPr>
        <w:t xml:space="preserve"> Lejda, K.; Jaworski, A.; Madziel, M.; Balawender, K.; Ustrzycki, A.; Savostin-Kosiak, D.Assessment of Petrol and Natural GasVehicle Carbon Oxides Emissions inthe Laboratory and On-Road Tests.Energies 2021, 14, 1631. https://</w:t>
      </w:r>
    </w:p>
    <w:p w14:paraId="2F6B82C7" w14:textId="77777777" w:rsidR="00CC0A56" w:rsidRPr="008C6E2A" w:rsidRDefault="00CC0A56">
      <w:pPr>
        <w:pStyle w:val="FootnoteText"/>
        <w:rPr>
          <w:rFonts w:ascii="Times New Roman" w:hAnsi="Times New Roman" w:cs="Times New Roman"/>
        </w:rPr>
      </w:pPr>
      <w:r w:rsidRPr="008C6E2A">
        <w:rPr>
          <w:rFonts w:ascii="Times New Roman" w:hAnsi="Times New Roman" w:cs="Times New Roman"/>
        </w:rPr>
        <w:t>doi.org/10.3390/en14061631</w:t>
      </w:r>
    </w:p>
  </w:footnote>
  <w:footnote w:id="20">
    <w:p w14:paraId="4A84D01A" w14:textId="77777777" w:rsidR="00CC0A56" w:rsidRPr="008C6E2A" w:rsidRDefault="00CC0A56">
      <w:pPr>
        <w:pStyle w:val="FootnoteText"/>
        <w:rPr>
          <w:rFonts w:ascii="Times New Roman" w:hAnsi="Times New Roman" w:cs="Times New Roman"/>
        </w:rPr>
      </w:pPr>
      <w:r w:rsidRPr="008C6E2A">
        <w:rPr>
          <w:rStyle w:val="FootnoteCharacters"/>
          <w:rFonts w:ascii="Times New Roman" w:hAnsi="Times New Roman" w:cs="Times New Roman"/>
        </w:rPr>
        <w:footnoteRef/>
      </w:r>
      <w:r w:rsidRPr="005B467D">
        <w:rPr>
          <w:rFonts w:ascii="Times New Roman" w:hAnsi="Times New Roman" w:cs="Times New Roman"/>
        </w:rPr>
        <w:t xml:space="preserve"> </w:t>
      </w:r>
      <w:hyperlink r:id="rId11">
        <w:r w:rsidRPr="005B467D">
          <w:rPr>
            <w:rStyle w:val="Hyperlink"/>
            <w:rFonts w:ascii="Times New Roman" w:hAnsi="Times New Roman" w:cs="Times New Roman"/>
          </w:rPr>
          <w:t>https://www.csdd.lv/transportlidzekli/registreto-transportlidzeklu-skait</w:t>
        </w:r>
      </w:hyperlink>
    </w:p>
  </w:footnote>
  <w:footnote w:id="21">
    <w:p w14:paraId="64305E0B" w14:textId="77777777" w:rsidR="00CC0A56" w:rsidRPr="008C6E2A" w:rsidRDefault="00CC0A56">
      <w:pPr>
        <w:pStyle w:val="FootnoteText"/>
        <w:rPr>
          <w:rFonts w:ascii="Times New Roman" w:hAnsi="Times New Roman" w:cs="Times New Roman"/>
        </w:rPr>
      </w:pPr>
      <w:r w:rsidRPr="008C6E2A">
        <w:rPr>
          <w:rStyle w:val="FootnoteCharacters"/>
          <w:rFonts w:ascii="Times New Roman" w:hAnsi="Times New Roman" w:cs="Times New Roman"/>
        </w:rPr>
        <w:footnoteRef/>
      </w:r>
      <w:r w:rsidRPr="008C6E2A">
        <w:rPr>
          <w:rFonts w:ascii="Times New Roman" w:hAnsi="Times New Roman" w:cs="Times New Roman"/>
        </w:rPr>
        <w:t xml:space="preserve"> Centrālās Statistikas pārvaldes dati</w:t>
      </w:r>
    </w:p>
  </w:footnote>
  <w:footnote w:id="22">
    <w:p w14:paraId="2E94BBB7" w14:textId="77777777" w:rsidR="00CC0A56" w:rsidRPr="008C6E2A" w:rsidRDefault="00CC0A56">
      <w:pPr>
        <w:pStyle w:val="FootnoteText"/>
        <w:rPr>
          <w:rFonts w:ascii="Times New Roman" w:hAnsi="Times New Roman" w:cs="Times New Roman"/>
        </w:rPr>
      </w:pPr>
      <w:r w:rsidRPr="008C6E2A">
        <w:rPr>
          <w:rStyle w:val="FootnoteCharacters"/>
          <w:rFonts w:ascii="Times New Roman" w:hAnsi="Times New Roman" w:cs="Times New Roman"/>
        </w:rPr>
        <w:footnoteRef/>
      </w:r>
      <w:r w:rsidRPr="008C6E2A">
        <w:rPr>
          <w:rFonts w:ascii="Times New Roman" w:hAnsi="Times New Roman" w:cs="Times New Roman"/>
        </w:rPr>
        <w:t xml:space="preserve"> </w:t>
      </w:r>
      <w:hyperlink r:id="rId12">
        <w:r w:rsidRPr="008C6E2A">
          <w:rPr>
            <w:rStyle w:val="Hyperlink"/>
            <w:rFonts w:ascii="Times New Roman" w:hAnsi="Times New Roman" w:cs="Times New Roman"/>
          </w:rPr>
          <w:t>http://tap.mk.gov.lv/mk/tap/?pid=40491503</w:t>
        </w:r>
      </w:hyperlink>
    </w:p>
    <w:p w14:paraId="1AF22EA7" w14:textId="77777777" w:rsidR="00CC0A56" w:rsidRPr="008C6E2A" w:rsidRDefault="00CC0A56">
      <w:pPr>
        <w:pStyle w:val="FootnoteText"/>
        <w:rPr>
          <w:rFonts w:ascii="Times New Roman" w:hAnsi="Times New Roman" w:cs="Times New Roman"/>
        </w:rPr>
      </w:pPr>
    </w:p>
  </w:footnote>
  <w:footnote w:id="23">
    <w:p w14:paraId="57F487F8" w14:textId="77777777" w:rsidR="00CC0A56" w:rsidRPr="008C6E2A" w:rsidRDefault="00CC0A56">
      <w:pPr>
        <w:pStyle w:val="FootnoteText"/>
        <w:rPr>
          <w:rFonts w:ascii="Times New Roman" w:hAnsi="Times New Roman" w:cs="Times New Roman"/>
        </w:rPr>
      </w:pPr>
      <w:r w:rsidRPr="008C6E2A">
        <w:rPr>
          <w:rStyle w:val="FootnoteCharacters"/>
          <w:rFonts w:ascii="Times New Roman" w:hAnsi="Times New Roman" w:cs="Times New Roman"/>
        </w:rPr>
        <w:footnoteRef/>
      </w:r>
      <w:r w:rsidRPr="008C6E2A">
        <w:rPr>
          <w:rFonts w:ascii="Times New Roman" w:hAnsi="Times New Roman" w:cs="Times New Roman"/>
        </w:rPr>
        <w:t xml:space="preserve"> </w:t>
      </w:r>
      <w:hyperlink r:id="rId13">
        <w:r w:rsidRPr="008C6E2A">
          <w:rPr>
            <w:rStyle w:val="Hyperlink"/>
            <w:rFonts w:ascii="Times New Roman" w:hAnsi="Times New Roman" w:cs="Times New Roman"/>
          </w:rPr>
          <w:t>https://eur-lex.europa.eu/legal-content/EN/TXT/?uri=COM%3A2020%3A663%3AFIN</w:t>
        </w:r>
      </w:hyperlink>
    </w:p>
    <w:p w14:paraId="5B1123FC" w14:textId="77777777" w:rsidR="00CC0A56" w:rsidRPr="008C6E2A" w:rsidRDefault="00CC0A56">
      <w:pPr>
        <w:pStyle w:val="FootnoteText"/>
        <w:rPr>
          <w:rFonts w:ascii="Times New Roman" w:hAnsi="Times New Roman" w:cs="Times New Roman"/>
        </w:rPr>
      </w:pPr>
    </w:p>
  </w:footnote>
  <w:footnote w:id="24">
    <w:p w14:paraId="3B9E7428" w14:textId="77777777" w:rsidR="00CC0A56" w:rsidRPr="008C6E2A" w:rsidRDefault="00CC0A56">
      <w:pPr>
        <w:pStyle w:val="FootnoteText"/>
        <w:rPr>
          <w:rFonts w:ascii="Times New Roman" w:hAnsi="Times New Roman" w:cs="Times New Roman"/>
        </w:rPr>
      </w:pPr>
      <w:r w:rsidRPr="008C6E2A">
        <w:rPr>
          <w:rStyle w:val="FootnoteCharacters"/>
          <w:rFonts w:ascii="Times New Roman" w:hAnsi="Times New Roman" w:cs="Times New Roman"/>
        </w:rPr>
        <w:footnoteRef/>
      </w:r>
      <w:r w:rsidRPr="008C6E2A">
        <w:rPr>
          <w:rFonts w:ascii="Times New Roman" w:hAnsi="Times New Roman" w:cs="Times New Roman"/>
        </w:rPr>
        <w:t xml:space="preserve"> </w:t>
      </w:r>
      <w:hyperlink r:id="rId14">
        <w:r w:rsidRPr="008C6E2A">
          <w:rPr>
            <w:rStyle w:val="Hyperlink"/>
            <w:rFonts w:ascii="Times New Roman" w:hAnsi="Times New Roman" w:cs="Times New Roman"/>
          </w:rPr>
          <w:t>https://www.llu.lv/lv/projekti/apstiprinatie-projekti/2019/latvijas-lauksaimniecibas-siltumnicefekta-gazu-un-amonjaka</w:t>
        </w:r>
      </w:hyperlink>
    </w:p>
  </w:footnote>
  <w:footnote w:id="25">
    <w:p w14:paraId="48DAF4CD" w14:textId="77777777" w:rsidR="00CC0A56" w:rsidRPr="008C6E2A" w:rsidRDefault="00CC0A56">
      <w:pPr>
        <w:pStyle w:val="FootnoteText"/>
        <w:rPr>
          <w:rFonts w:ascii="Times New Roman" w:hAnsi="Times New Roman" w:cs="Times New Roman"/>
        </w:rPr>
      </w:pPr>
      <w:r w:rsidRPr="008C6E2A">
        <w:rPr>
          <w:rStyle w:val="FootnoteCharacters"/>
          <w:rFonts w:ascii="Times New Roman" w:hAnsi="Times New Roman" w:cs="Times New Roman"/>
        </w:rPr>
        <w:footnoteRef/>
      </w:r>
      <w:r w:rsidRPr="008C6E2A">
        <w:rPr>
          <w:rFonts w:ascii="Times New Roman" w:hAnsi="Times New Roman" w:cs="Times New Roman"/>
        </w:rPr>
        <w:t xml:space="preserve"> </w:t>
      </w:r>
      <w:hyperlink r:id="rId15">
        <w:r w:rsidRPr="008C6E2A">
          <w:rPr>
            <w:rStyle w:val="Hyperlink"/>
            <w:rFonts w:ascii="Times New Roman" w:hAnsi="Times New Roman" w:cs="Times New Roman"/>
          </w:rPr>
          <w:t>https://likumi.lv/ta/id/287959-noteikumi-par-atlaujas-izsniegsanu-elektroenergijas-tiesas-linijas-piesleguma-ierikosanai</w:t>
        </w:r>
      </w:hyperlink>
    </w:p>
    <w:p w14:paraId="12EE4740" w14:textId="77777777" w:rsidR="00CC0A56" w:rsidRPr="008C6E2A" w:rsidRDefault="00CC0A56">
      <w:pPr>
        <w:pStyle w:val="FootnoteText"/>
        <w:rPr>
          <w:rFonts w:ascii="Times New Roman" w:hAnsi="Times New Roman" w:cs="Times New Roman"/>
        </w:rPr>
      </w:pPr>
    </w:p>
  </w:footnote>
  <w:footnote w:id="26">
    <w:p w14:paraId="5A300F81" w14:textId="77777777" w:rsidR="00CC0A56" w:rsidRPr="008C6E2A" w:rsidRDefault="00CC0A56">
      <w:pPr>
        <w:pStyle w:val="FootnoteText"/>
        <w:rPr>
          <w:rFonts w:ascii="Times New Roman" w:hAnsi="Times New Roman" w:cs="Times New Roman"/>
        </w:rPr>
      </w:pPr>
      <w:r w:rsidRPr="008C6E2A">
        <w:rPr>
          <w:rStyle w:val="FootnoteCharacters"/>
          <w:rFonts w:ascii="Times New Roman" w:hAnsi="Times New Roman" w:cs="Times New Roman"/>
        </w:rPr>
        <w:footnoteRef/>
      </w:r>
      <w:r w:rsidRPr="008C6E2A">
        <w:rPr>
          <w:rFonts w:ascii="Times New Roman" w:hAnsi="Times New Roman" w:cs="Times New Roman"/>
        </w:rPr>
        <w:t xml:space="preserve"> Panoutsou C., et.al. Advanced biofuels to decarbonise European transport by 2030: Markets,</w:t>
      </w:r>
    </w:p>
    <w:p w14:paraId="00CFBCFB" w14:textId="77777777" w:rsidR="00CC0A56" w:rsidRPr="008C6E2A" w:rsidRDefault="00CC0A56">
      <w:pPr>
        <w:pStyle w:val="FootnoteText"/>
        <w:rPr>
          <w:rFonts w:ascii="Times New Roman" w:hAnsi="Times New Roman" w:cs="Times New Roman"/>
        </w:rPr>
      </w:pPr>
      <w:r w:rsidRPr="008C6E2A">
        <w:rPr>
          <w:rFonts w:ascii="Times New Roman" w:hAnsi="Times New Roman" w:cs="Times New Roman"/>
        </w:rPr>
        <w:t>challenges, and policies that impact their successful market uptake. Energy Strategy Reviews 34 (2021) 100633</w:t>
      </w:r>
    </w:p>
  </w:footnote>
  <w:footnote w:id="27">
    <w:p w14:paraId="3C9198FD" w14:textId="77777777" w:rsidR="00CC0A56" w:rsidRPr="008C6E2A" w:rsidRDefault="00CC0A56">
      <w:pPr>
        <w:pStyle w:val="FootnoteText"/>
        <w:rPr>
          <w:rFonts w:ascii="Times New Roman" w:hAnsi="Times New Roman" w:cs="Times New Roman"/>
        </w:rPr>
      </w:pPr>
      <w:r w:rsidRPr="008C6E2A">
        <w:rPr>
          <w:rStyle w:val="FootnoteCharacters"/>
          <w:rFonts w:ascii="Times New Roman" w:hAnsi="Times New Roman" w:cs="Times New Roman"/>
        </w:rPr>
        <w:footnoteRef/>
      </w:r>
      <w:r w:rsidRPr="008C6E2A">
        <w:rPr>
          <w:rFonts w:ascii="Times New Roman" w:hAnsi="Times New Roman" w:cs="Times New Roman"/>
        </w:rPr>
        <w:t xml:space="preserve"> Zhu T., Curtis J., Clancy M. Promoting biogas and biomethane production: Lesssons from cross country studies. Renewable and Sustainable Energy Reviews 114 (2019) 109332</w:t>
      </w:r>
    </w:p>
  </w:footnote>
  <w:footnote w:id="28">
    <w:p w14:paraId="38A6F768" w14:textId="77777777" w:rsidR="00CC0A56" w:rsidRPr="008C6E2A" w:rsidRDefault="00CC0A56">
      <w:pPr>
        <w:pStyle w:val="FootnoteText"/>
        <w:rPr>
          <w:rFonts w:ascii="Times New Roman" w:hAnsi="Times New Roman" w:cs="Times New Roman"/>
        </w:rPr>
      </w:pPr>
      <w:r w:rsidRPr="008C6E2A">
        <w:rPr>
          <w:rStyle w:val="FootnoteCharacters"/>
          <w:rFonts w:ascii="Times New Roman" w:hAnsi="Times New Roman" w:cs="Times New Roman"/>
        </w:rPr>
        <w:footnoteRef/>
      </w:r>
      <w:r w:rsidRPr="005B467D">
        <w:rPr>
          <w:rFonts w:ascii="Times New Roman" w:hAnsi="Times New Roman" w:cs="Times New Roman"/>
        </w:rPr>
        <w:t xml:space="preserve"> </w:t>
      </w:r>
      <w:hyperlink r:id="rId16">
        <w:r w:rsidRPr="005B467D">
          <w:rPr>
            <w:rStyle w:val="Hyperlink"/>
            <w:rFonts w:ascii="Times New Roman" w:hAnsi="Times New Roman" w:cs="Times New Roman"/>
          </w:rPr>
          <w:t>http://www.res-legal.eu/search-by-country/</w:t>
        </w:r>
      </w:hyperlink>
    </w:p>
  </w:footnote>
  <w:footnote w:id="29">
    <w:p w14:paraId="786E1962" w14:textId="77777777" w:rsidR="00CC0A56" w:rsidRPr="008C6E2A" w:rsidRDefault="00CC0A56">
      <w:pPr>
        <w:pStyle w:val="FootnoteText"/>
        <w:rPr>
          <w:rFonts w:ascii="Times New Roman" w:hAnsi="Times New Roman" w:cs="Times New Roman"/>
        </w:rPr>
      </w:pPr>
      <w:r w:rsidRPr="008C6E2A">
        <w:rPr>
          <w:rStyle w:val="FootnoteCharacters"/>
          <w:rFonts w:ascii="Times New Roman" w:hAnsi="Times New Roman" w:cs="Times New Roman"/>
        </w:rPr>
        <w:footnoteRef/>
      </w:r>
      <w:r w:rsidRPr="005B467D">
        <w:rPr>
          <w:rFonts w:ascii="Times New Roman" w:hAnsi="Times New Roman" w:cs="Times New Roman"/>
        </w:rPr>
        <w:t xml:space="preserve"> Avots: Regatrace. D6.1 | Mapping the state of play of renewable gases in Europe </w:t>
      </w:r>
      <w:hyperlink r:id="rId17">
        <w:r w:rsidRPr="005B467D">
          <w:rPr>
            <w:rStyle w:val="Hyperlink"/>
            <w:rFonts w:ascii="Times New Roman" w:hAnsi="Times New Roman" w:cs="Times New Roman"/>
          </w:rPr>
          <w:t>https://www.regatrace.eu/wp-content/uploads/2020/02/REGATRACE-D6.1.pdf</w:t>
        </w:r>
      </w:hyperlink>
    </w:p>
    <w:p w14:paraId="32D0C52E" w14:textId="77777777" w:rsidR="00CC0A56" w:rsidRPr="008C6E2A" w:rsidRDefault="00CC0A56">
      <w:pPr>
        <w:pStyle w:val="FootnoteText"/>
        <w:rPr>
          <w:rFonts w:ascii="Times New Roman" w:hAnsi="Times New Roman" w:cs="Times New Roman"/>
        </w:rPr>
      </w:pPr>
    </w:p>
  </w:footnote>
  <w:footnote w:id="30">
    <w:p w14:paraId="0E2943DD" w14:textId="77777777" w:rsidR="00CC0A56" w:rsidRPr="00990921" w:rsidRDefault="00CC0A56">
      <w:pPr>
        <w:pStyle w:val="FootnoteText"/>
        <w:rPr>
          <w:rFonts w:ascii="Times New Roman" w:hAnsi="Times New Roman" w:cs="Times New Roman"/>
        </w:rPr>
      </w:pPr>
      <w:r w:rsidRPr="00990921">
        <w:rPr>
          <w:rStyle w:val="FootnoteCharacters"/>
          <w:rFonts w:ascii="Times New Roman" w:hAnsi="Times New Roman" w:cs="Times New Roman"/>
        </w:rPr>
        <w:footnoteRef/>
      </w:r>
      <w:r w:rsidRPr="005B467D">
        <w:rPr>
          <w:rFonts w:ascii="Times New Roman" w:hAnsi="Times New Roman" w:cs="Times New Roman"/>
        </w:rPr>
        <w:t xml:space="preserve"> </w:t>
      </w:r>
      <w:hyperlink r:id="rId18">
        <w:r w:rsidRPr="005B467D">
          <w:rPr>
            <w:rStyle w:val="Hyperlink"/>
            <w:rFonts w:ascii="Times New Roman" w:hAnsi="Times New Roman" w:cs="Times New Roman"/>
          </w:rPr>
          <w:t>https://eur-lex.europa.eu/legal-content/LV/TXT/?uri=celex:32014L0094</w:t>
        </w:r>
      </w:hyperlink>
    </w:p>
  </w:footnote>
  <w:footnote w:id="31">
    <w:p w14:paraId="601D3A11" w14:textId="77777777" w:rsidR="00CC0A56" w:rsidRPr="00990921" w:rsidRDefault="00CC0A56">
      <w:pPr>
        <w:pStyle w:val="FootnoteText"/>
        <w:rPr>
          <w:rFonts w:ascii="Times New Roman" w:hAnsi="Times New Roman" w:cs="Times New Roman"/>
        </w:rPr>
      </w:pPr>
      <w:r w:rsidRPr="00990921">
        <w:rPr>
          <w:rStyle w:val="FootnoteCharacters"/>
          <w:rFonts w:ascii="Times New Roman" w:hAnsi="Times New Roman" w:cs="Times New Roman"/>
        </w:rPr>
        <w:footnoteRef/>
      </w:r>
      <w:r w:rsidRPr="00990921">
        <w:rPr>
          <w:rFonts w:ascii="Times New Roman" w:hAnsi="Times New Roman" w:cs="Times New Roman"/>
        </w:rPr>
        <w:t xml:space="preserve"> </w:t>
      </w:r>
      <w:hyperlink r:id="rId19">
        <w:r w:rsidRPr="00990921">
          <w:rPr>
            <w:rStyle w:val="Hyperlink"/>
            <w:rFonts w:ascii="Times New Roman" w:hAnsi="Times New Roman" w:cs="Times New Roman"/>
          </w:rPr>
          <w:t>https://gason.lv/autotransports-cng/</w:t>
        </w:r>
      </w:hyperlink>
    </w:p>
  </w:footnote>
  <w:footnote w:id="32">
    <w:p w14:paraId="5C4994A3" w14:textId="77777777" w:rsidR="00CC0A56" w:rsidRPr="00A7691A" w:rsidRDefault="00CC0A56">
      <w:pPr>
        <w:pStyle w:val="FootnoteText"/>
        <w:rPr>
          <w:rFonts w:ascii="Times New Roman" w:hAnsi="Times New Roman" w:cs="Times New Roman"/>
        </w:rPr>
      </w:pPr>
      <w:r w:rsidRPr="00A7691A">
        <w:rPr>
          <w:rStyle w:val="FootnoteCharacters"/>
          <w:rFonts w:ascii="Times New Roman" w:hAnsi="Times New Roman" w:cs="Times New Roman"/>
        </w:rPr>
        <w:footnoteRef/>
      </w:r>
      <w:r w:rsidRPr="00A7691A">
        <w:rPr>
          <w:rFonts w:ascii="Times New Roman" w:hAnsi="Times New Roman" w:cs="Times New Roman"/>
        </w:rPr>
        <w:t xml:space="preserve"> Brussels, 14.7.2021 COM(2021) 557 final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60" w:type="dxa"/>
      <w:tblLayout w:type="fixed"/>
      <w:tblLook w:val="06A0" w:firstRow="1" w:lastRow="0" w:firstColumn="1" w:lastColumn="0" w:noHBand="1" w:noVBand="1"/>
    </w:tblPr>
    <w:tblGrid>
      <w:gridCol w:w="3120"/>
      <w:gridCol w:w="3120"/>
      <w:gridCol w:w="3120"/>
    </w:tblGrid>
    <w:tr w:rsidR="00CC0A56" w14:paraId="21F85B53" w14:textId="77777777">
      <w:tc>
        <w:tcPr>
          <w:tcW w:w="3120" w:type="dxa"/>
        </w:tcPr>
        <w:p w14:paraId="389FAA30" w14:textId="77777777" w:rsidR="00CC0A56" w:rsidRDefault="00CC0A56">
          <w:pPr>
            <w:pStyle w:val="Header"/>
            <w:widowControl w:val="0"/>
            <w:ind w:left="-115"/>
          </w:pPr>
        </w:p>
      </w:tc>
      <w:tc>
        <w:tcPr>
          <w:tcW w:w="3120" w:type="dxa"/>
        </w:tcPr>
        <w:p w14:paraId="6050CA0E" w14:textId="77777777" w:rsidR="00CC0A56" w:rsidRDefault="00CC0A56">
          <w:pPr>
            <w:pStyle w:val="Header"/>
            <w:widowControl w:val="0"/>
            <w:jc w:val="center"/>
          </w:pPr>
        </w:p>
      </w:tc>
      <w:tc>
        <w:tcPr>
          <w:tcW w:w="3120" w:type="dxa"/>
        </w:tcPr>
        <w:p w14:paraId="16645407" w14:textId="77777777" w:rsidR="00CC0A56" w:rsidRDefault="00CC0A56">
          <w:pPr>
            <w:pStyle w:val="Header"/>
            <w:widowControl w:val="0"/>
            <w:ind w:right="-115"/>
            <w:jc w:val="right"/>
          </w:pPr>
        </w:p>
      </w:tc>
    </w:tr>
  </w:tbl>
  <w:p w14:paraId="4FD43D44" w14:textId="77777777" w:rsidR="00CC0A56" w:rsidRDefault="00CC0A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F3E15"/>
    <w:multiLevelType w:val="hybridMultilevel"/>
    <w:tmpl w:val="696826E2"/>
    <w:lvl w:ilvl="0" w:tplc="F9888E6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 w15:restartNumberingAfterBreak="0">
    <w:nsid w:val="148B59A0"/>
    <w:multiLevelType w:val="multilevel"/>
    <w:tmpl w:val="0E402156"/>
    <w:lvl w:ilvl="0">
      <w:start w:val="3"/>
      <w:numFmt w:val="decimal"/>
      <w:lvlText w:val="%1."/>
      <w:lvlJc w:val="left"/>
      <w:pPr>
        <w:tabs>
          <w:tab w:val="num" w:pos="0"/>
        </w:tabs>
        <w:ind w:left="540" w:hanging="540"/>
      </w:pPr>
    </w:lvl>
    <w:lvl w:ilvl="1">
      <w:start w:val="2"/>
      <w:numFmt w:val="decimal"/>
      <w:lvlText w:val="%1.%2."/>
      <w:lvlJc w:val="left"/>
      <w:pPr>
        <w:tabs>
          <w:tab w:val="num" w:pos="0"/>
        </w:tabs>
        <w:ind w:left="900" w:hanging="540"/>
      </w:pPr>
    </w:lvl>
    <w:lvl w:ilvl="2">
      <w:start w:val="1"/>
      <w:numFmt w:val="decimal"/>
      <w:lvlText w:val="%1.%2.%3."/>
      <w:lvlJc w:val="left"/>
      <w:pPr>
        <w:tabs>
          <w:tab w:val="num" w:pos="-152"/>
        </w:tabs>
        <w:ind w:left="1288"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2" w15:restartNumberingAfterBreak="0">
    <w:nsid w:val="14C92038"/>
    <w:multiLevelType w:val="multilevel"/>
    <w:tmpl w:val="5A306D9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84C5BF9"/>
    <w:multiLevelType w:val="multilevel"/>
    <w:tmpl w:val="5B4850DA"/>
    <w:lvl w:ilvl="0">
      <w:start w:val="1"/>
      <w:numFmt w:val="decimal"/>
      <w:lvlText w:val="%1."/>
      <w:lvlJc w:val="left"/>
      <w:pPr>
        <w:tabs>
          <w:tab w:val="num" w:pos="0"/>
        </w:tabs>
        <w:ind w:left="720" w:hanging="360"/>
      </w:pPr>
    </w:lvl>
    <w:lvl w:ilvl="1">
      <w:start w:val="1"/>
      <w:numFmt w:val="lowerLetter"/>
      <w:lvlText w:val="%2."/>
      <w:lvlJc w:val="left"/>
      <w:pPr>
        <w:tabs>
          <w:tab w:val="num" w:pos="0"/>
        </w:tabs>
        <w:ind w:left="1800" w:hanging="72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F2D29B8"/>
    <w:multiLevelType w:val="multilevel"/>
    <w:tmpl w:val="5FF0CFCA"/>
    <w:lvl w:ilvl="0">
      <w:start w:val="13"/>
      <w:numFmt w:val="bullet"/>
      <w:lvlText w:val="-"/>
      <w:lvlJc w:val="left"/>
      <w:pPr>
        <w:tabs>
          <w:tab w:val="num" w:pos="0"/>
        </w:tabs>
        <w:ind w:left="720" w:hanging="360"/>
      </w:pPr>
      <w:rPr>
        <w:rFonts w:ascii="Times New Roman" w:eastAsiaTheme="minorHAnsi"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313A4376"/>
    <w:multiLevelType w:val="multilevel"/>
    <w:tmpl w:val="89AE55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317872BA"/>
    <w:multiLevelType w:val="multilevel"/>
    <w:tmpl w:val="29EEFEB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36301515"/>
    <w:multiLevelType w:val="multilevel"/>
    <w:tmpl w:val="151C313C"/>
    <w:lvl w:ilvl="0">
      <w:start w:val="3"/>
      <w:numFmt w:val="decimal"/>
      <w:lvlText w:val="%1."/>
      <w:lvlJc w:val="left"/>
      <w:pPr>
        <w:tabs>
          <w:tab w:val="num" w:pos="0"/>
        </w:tabs>
        <w:ind w:left="540" w:hanging="540"/>
      </w:pPr>
    </w:lvl>
    <w:lvl w:ilvl="1">
      <w:start w:val="1"/>
      <w:numFmt w:val="decimal"/>
      <w:lvlText w:val="%1.%2."/>
      <w:lvlJc w:val="left"/>
      <w:pPr>
        <w:tabs>
          <w:tab w:val="num" w:pos="0"/>
        </w:tabs>
        <w:ind w:left="900" w:hanging="540"/>
      </w:pPr>
    </w:lvl>
    <w:lvl w:ilvl="2">
      <w:start w:val="4"/>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8" w15:restartNumberingAfterBreak="0">
    <w:nsid w:val="51A9062F"/>
    <w:multiLevelType w:val="multilevel"/>
    <w:tmpl w:val="AEE03506"/>
    <w:lvl w:ilvl="0">
      <w:start w:val="3"/>
      <w:numFmt w:val="decimal"/>
      <w:lvlText w:val="%1."/>
      <w:lvlJc w:val="left"/>
      <w:pPr>
        <w:ind w:left="540" w:hanging="540"/>
      </w:pPr>
      <w:rPr>
        <w:rFonts w:hint="default"/>
        <w:i/>
      </w:rPr>
    </w:lvl>
    <w:lvl w:ilvl="1">
      <w:start w:val="1"/>
      <w:numFmt w:val="decimal"/>
      <w:lvlText w:val="%1.%2."/>
      <w:lvlJc w:val="left"/>
      <w:pPr>
        <w:ind w:left="1260" w:hanging="540"/>
      </w:pPr>
      <w:rPr>
        <w:rFonts w:hint="default"/>
        <w:i/>
      </w:rPr>
    </w:lvl>
    <w:lvl w:ilvl="2">
      <w:start w:val="3"/>
      <w:numFmt w:val="decimal"/>
      <w:lvlText w:val="%1.%2.%3."/>
      <w:lvlJc w:val="left"/>
      <w:pPr>
        <w:ind w:left="2160" w:hanging="720"/>
      </w:pPr>
      <w:rPr>
        <w:rFonts w:hint="default"/>
        <w:i/>
      </w:rPr>
    </w:lvl>
    <w:lvl w:ilvl="3">
      <w:start w:val="1"/>
      <w:numFmt w:val="decimal"/>
      <w:lvlText w:val="%1.%2.%3.%4."/>
      <w:lvlJc w:val="left"/>
      <w:pPr>
        <w:ind w:left="2880" w:hanging="720"/>
      </w:pPr>
      <w:rPr>
        <w:rFonts w:hint="default"/>
        <w:i/>
      </w:rPr>
    </w:lvl>
    <w:lvl w:ilvl="4">
      <w:start w:val="1"/>
      <w:numFmt w:val="decimal"/>
      <w:lvlText w:val="%1.%2.%3.%4.%5."/>
      <w:lvlJc w:val="left"/>
      <w:pPr>
        <w:ind w:left="3960" w:hanging="1080"/>
      </w:pPr>
      <w:rPr>
        <w:rFonts w:hint="default"/>
        <w:i/>
      </w:rPr>
    </w:lvl>
    <w:lvl w:ilvl="5">
      <w:start w:val="1"/>
      <w:numFmt w:val="decimal"/>
      <w:lvlText w:val="%1.%2.%3.%4.%5.%6."/>
      <w:lvlJc w:val="left"/>
      <w:pPr>
        <w:ind w:left="4680" w:hanging="1080"/>
      </w:pPr>
      <w:rPr>
        <w:rFonts w:hint="default"/>
        <w:i/>
      </w:rPr>
    </w:lvl>
    <w:lvl w:ilvl="6">
      <w:start w:val="1"/>
      <w:numFmt w:val="decimal"/>
      <w:lvlText w:val="%1.%2.%3.%4.%5.%6.%7."/>
      <w:lvlJc w:val="left"/>
      <w:pPr>
        <w:ind w:left="5760" w:hanging="1440"/>
      </w:pPr>
      <w:rPr>
        <w:rFonts w:hint="default"/>
        <w:i/>
      </w:rPr>
    </w:lvl>
    <w:lvl w:ilvl="7">
      <w:start w:val="1"/>
      <w:numFmt w:val="decimal"/>
      <w:lvlText w:val="%1.%2.%3.%4.%5.%6.%7.%8."/>
      <w:lvlJc w:val="left"/>
      <w:pPr>
        <w:ind w:left="6480" w:hanging="1440"/>
      </w:pPr>
      <w:rPr>
        <w:rFonts w:hint="default"/>
        <w:i/>
      </w:rPr>
    </w:lvl>
    <w:lvl w:ilvl="8">
      <w:start w:val="1"/>
      <w:numFmt w:val="decimal"/>
      <w:lvlText w:val="%1.%2.%3.%4.%5.%6.%7.%8.%9."/>
      <w:lvlJc w:val="left"/>
      <w:pPr>
        <w:ind w:left="7560" w:hanging="1800"/>
      </w:pPr>
      <w:rPr>
        <w:rFonts w:hint="default"/>
        <w:i/>
      </w:rPr>
    </w:lvl>
  </w:abstractNum>
  <w:abstractNum w:abstractNumId="9" w15:restartNumberingAfterBreak="0">
    <w:nsid w:val="56C46F63"/>
    <w:multiLevelType w:val="hybridMultilevel"/>
    <w:tmpl w:val="1EBA1A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DA37BF7"/>
    <w:multiLevelType w:val="multilevel"/>
    <w:tmpl w:val="20105132"/>
    <w:lvl w:ilvl="0">
      <w:start w:val="1"/>
      <w:numFmt w:val="decimal"/>
      <w:lvlText w:val="%1."/>
      <w:lvlJc w:val="left"/>
      <w:pPr>
        <w:tabs>
          <w:tab w:val="num" w:pos="0"/>
        </w:tabs>
        <w:ind w:left="810" w:hanging="360"/>
      </w:pPr>
    </w:lvl>
    <w:lvl w:ilvl="1">
      <w:start w:val="1"/>
      <w:numFmt w:val="decimal"/>
      <w:lvlText w:val="%1.%2."/>
      <w:lvlJc w:val="left"/>
      <w:pPr>
        <w:tabs>
          <w:tab w:val="num" w:pos="0"/>
        </w:tabs>
        <w:ind w:left="810" w:hanging="360"/>
      </w:pPr>
    </w:lvl>
    <w:lvl w:ilvl="2">
      <w:start w:val="1"/>
      <w:numFmt w:val="decimal"/>
      <w:lvlText w:val="%1.%2.%3."/>
      <w:lvlJc w:val="left"/>
      <w:pPr>
        <w:tabs>
          <w:tab w:val="num" w:pos="0"/>
        </w:tabs>
        <w:ind w:left="1146" w:hanging="720"/>
      </w:pPr>
    </w:lvl>
    <w:lvl w:ilvl="3">
      <w:start w:val="1"/>
      <w:numFmt w:val="decimal"/>
      <w:lvlText w:val="%1.%2.%3.%4."/>
      <w:lvlJc w:val="left"/>
      <w:pPr>
        <w:tabs>
          <w:tab w:val="num" w:pos="0"/>
        </w:tabs>
        <w:ind w:left="1170" w:hanging="720"/>
      </w:pPr>
    </w:lvl>
    <w:lvl w:ilvl="4">
      <w:start w:val="1"/>
      <w:numFmt w:val="decimal"/>
      <w:lvlText w:val="%1.%2.%3.%4.%5."/>
      <w:lvlJc w:val="left"/>
      <w:pPr>
        <w:tabs>
          <w:tab w:val="num" w:pos="0"/>
        </w:tabs>
        <w:ind w:left="1530" w:hanging="1080"/>
      </w:pPr>
    </w:lvl>
    <w:lvl w:ilvl="5">
      <w:start w:val="1"/>
      <w:numFmt w:val="decimal"/>
      <w:lvlText w:val="%1.%2.%3.%4.%5.%6."/>
      <w:lvlJc w:val="left"/>
      <w:pPr>
        <w:tabs>
          <w:tab w:val="num" w:pos="0"/>
        </w:tabs>
        <w:ind w:left="1530" w:hanging="1080"/>
      </w:pPr>
    </w:lvl>
    <w:lvl w:ilvl="6">
      <w:start w:val="1"/>
      <w:numFmt w:val="decimal"/>
      <w:lvlText w:val="%1.%2.%3.%4.%5.%6.%7."/>
      <w:lvlJc w:val="left"/>
      <w:pPr>
        <w:tabs>
          <w:tab w:val="num" w:pos="0"/>
        </w:tabs>
        <w:ind w:left="1890" w:hanging="1440"/>
      </w:pPr>
    </w:lvl>
    <w:lvl w:ilvl="7">
      <w:start w:val="1"/>
      <w:numFmt w:val="decimal"/>
      <w:lvlText w:val="%1.%2.%3.%4.%5.%6.%7.%8."/>
      <w:lvlJc w:val="left"/>
      <w:pPr>
        <w:tabs>
          <w:tab w:val="num" w:pos="0"/>
        </w:tabs>
        <w:ind w:left="1890" w:hanging="1440"/>
      </w:pPr>
    </w:lvl>
    <w:lvl w:ilvl="8">
      <w:start w:val="1"/>
      <w:numFmt w:val="decimal"/>
      <w:lvlText w:val="%1.%2.%3.%4.%5.%6.%7.%8.%9."/>
      <w:lvlJc w:val="left"/>
      <w:pPr>
        <w:tabs>
          <w:tab w:val="num" w:pos="0"/>
        </w:tabs>
        <w:ind w:left="2250" w:hanging="1800"/>
      </w:pPr>
    </w:lvl>
  </w:abstractNum>
  <w:abstractNum w:abstractNumId="11" w15:restartNumberingAfterBreak="0">
    <w:nsid w:val="607A6D4F"/>
    <w:multiLevelType w:val="multilevel"/>
    <w:tmpl w:val="7730EF9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7F2D249D"/>
    <w:multiLevelType w:val="multilevel"/>
    <w:tmpl w:val="C4547450"/>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3" w15:restartNumberingAfterBreak="0">
    <w:nsid w:val="7FA658E8"/>
    <w:multiLevelType w:val="multilevel"/>
    <w:tmpl w:val="13DAF9A0"/>
    <w:lvl w:ilvl="0">
      <w:start w:val="3"/>
      <w:numFmt w:val="decimal"/>
      <w:lvlText w:val="%1."/>
      <w:lvlJc w:val="left"/>
      <w:pPr>
        <w:tabs>
          <w:tab w:val="num" w:pos="0"/>
        </w:tabs>
        <w:ind w:left="36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num w:numId="1">
    <w:abstractNumId w:val="6"/>
  </w:num>
  <w:num w:numId="2">
    <w:abstractNumId w:val="10"/>
  </w:num>
  <w:num w:numId="3">
    <w:abstractNumId w:val="4"/>
  </w:num>
  <w:num w:numId="4">
    <w:abstractNumId w:val="3"/>
  </w:num>
  <w:num w:numId="5">
    <w:abstractNumId w:val="2"/>
  </w:num>
  <w:num w:numId="6">
    <w:abstractNumId w:val="13"/>
  </w:num>
  <w:num w:numId="7">
    <w:abstractNumId w:val="12"/>
  </w:num>
  <w:num w:numId="8">
    <w:abstractNumId w:val="11"/>
  </w:num>
  <w:num w:numId="9">
    <w:abstractNumId w:val="7"/>
  </w:num>
  <w:num w:numId="10">
    <w:abstractNumId w:val="1"/>
  </w:num>
  <w:num w:numId="11">
    <w:abstractNumId w:val="5"/>
  </w:num>
  <w:num w:numId="12">
    <w:abstractNumId w:val="8"/>
  </w:num>
  <w:num w:numId="13">
    <w:abstractNumId w:val="9"/>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B9F"/>
    <w:rsid w:val="0000603E"/>
    <w:rsid w:val="00011460"/>
    <w:rsid w:val="000128E5"/>
    <w:rsid w:val="00016FA9"/>
    <w:rsid w:val="00020608"/>
    <w:rsid w:val="00023E00"/>
    <w:rsid w:val="000338A2"/>
    <w:rsid w:val="000357B6"/>
    <w:rsid w:val="0003793E"/>
    <w:rsid w:val="00037F72"/>
    <w:rsid w:val="00046F32"/>
    <w:rsid w:val="0005280A"/>
    <w:rsid w:val="00060BAA"/>
    <w:rsid w:val="00065100"/>
    <w:rsid w:val="0006586A"/>
    <w:rsid w:val="00070736"/>
    <w:rsid w:val="00075FA4"/>
    <w:rsid w:val="00077256"/>
    <w:rsid w:val="000924BD"/>
    <w:rsid w:val="000B5E3E"/>
    <w:rsid w:val="000B6EDA"/>
    <w:rsid w:val="000B74DE"/>
    <w:rsid w:val="000D2337"/>
    <w:rsid w:val="000D28C6"/>
    <w:rsid w:val="000F11B7"/>
    <w:rsid w:val="001022B5"/>
    <w:rsid w:val="00120C18"/>
    <w:rsid w:val="00121448"/>
    <w:rsid w:val="00121F07"/>
    <w:rsid w:val="00126ABD"/>
    <w:rsid w:val="001363DF"/>
    <w:rsid w:val="001374AD"/>
    <w:rsid w:val="00140FD9"/>
    <w:rsid w:val="00141AC7"/>
    <w:rsid w:val="00141DA8"/>
    <w:rsid w:val="00141E48"/>
    <w:rsid w:val="00141FD5"/>
    <w:rsid w:val="00146D3B"/>
    <w:rsid w:val="0016038B"/>
    <w:rsid w:val="001935EF"/>
    <w:rsid w:val="00194BD3"/>
    <w:rsid w:val="001954BA"/>
    <w:rsid w:val="00195FA2"/>
    <w:rsid w:val="001A50C1"/>
    <w:rsid w:val="001B21AE"/>
    <w:rsid w:val="001B4128"/>
    <w:rsid w:val="001B4C91"/>
    <w:rsid w:val="001C084F"/>
    <w:rsid w:val="001C0950"/>
    <w:rsid w:val="001C35F6"/>
    <w:rsid w:val="001C51E5"/>
    <w:rsid w:val="001C7593"/>
    <w:rsid w:val="001D0F80"/>
    <w:rsid w:val="001D2F8A"/>
    <w:rsid w:val="001D321E"/>
    <w:rsid w:val="001D6B4D"/>
    <w:rsid w:val="001D7C4E"/>
    <w:rsid w:val="001E14E8"/>
    <w:rsid w:val="001E2460"/>
    <w:rsid w:val="001E4405"/>
    <w:rsid w:val="001F37AA"/>
    <w:rsid w:val="00201AEC"/>
    <w:rsid w:val="002119EC"/>
    <w:rsid w:val="00214899"/>
    <w:rsid w:val="002169B9"/>
    <w:rsid w:val="00216AEA"/>
    <w:rsid w:val="002232FB"/>
    <w:rsid w:val="00223D9F"/>
    <w:rsid w:val="00224520"/>
    <w:rsid w:val="00225044"/>
    <w:rsid w:val="00230ACF"/>
    <w:rsid w:val="0023393B"/>
    <w:rsid w:val="00247250"/>
    <w:rsid w:val="0025144A"/>
    <w:rsid w:val="00253FD0"/>
    <w:rsid w:val="0025758A"/>
    <w:rsid w:val="00280CB0"/>
    <w:rsid w:val="0028349A"/>
    <w:rsid w:val="002851F2"/>
    <w:rsid w:val="0029038B"/>
    <w:rsid w:val="002979E9"/>
    <w:rsid w:val="002A3866"/>
    <w:rsid w:val="002A6F12"/>
    <w:rsid w:val="002B39A1"/>
    <w:rsid w:val="002B7F74"/>
    <w:rsid w:val="002C551B"/>
    <w:rsid w:val="002D1D74"/>
    <w:rsid w:val="002D5F29"/>
    <w:rsid w:val="002E0568"/>
    <w:rsid w:val="002E2EC0"/>
    <w:rsid w:val="002E512D"/>
    <w:rsid w:val="002F2B7A"/>
    <w:rsid w:val="002F3EEA"/>
    <w:rsid w:val="002F6959"/>
    <w:rsid w:val="002F7B4F"/>
    <w:rsid w:val="002F7DE6"/>
    <w:rsid w:val="00300CB4"/>
    <w:rsid w:val="00305B77"/>
    <w:rsid w:val="00313BF4"/>
    <w:rsid w:val="0032229B"/>
    <w:rsid w:val="00335A8F"/>
    <w:rsid w:val="0033782C"/>
    <w:rsid w:val="00362DDC"/>
    <w:rsid w:val="00364474"/>
    <w:rsid w:val="00376FB3"/>
    <w:rsid w:val="003809E3"/>
    <w:rsid w:val="00380C51"/>
    <w:rsid w:val="003853BD"/>
    <w:rsid w:val="00395EB6"/>
    <w:rsid w:val="003A5918"/>
    <w:rsid w:val="003B7B84"/>
    <w:rsid w:val="003D2DA7"/>
    <w:rsid w:val="003E1F01"/>
    <w:rsid w:val="003E4A1F"/>
    <w:rsid w:val="003E5987"/>
    <w:rsid w:val="003F1C37"/>
    <w:rsid w:val="003F1DC2"/>
    <w:rsid w:val="003F4BC4"/>
    <w:rsid w:val="003F6896"/>
    <w:rsid w:val="00400BFE"/>
    <w:rsid w:val="00405DFD"/>
    <w:rsid w:val="00412AA9"/>
    <w:rsid w:val="00416C9C"/>
    <w:rsid w:val="004176D1"/>
    <w:rsid w:val="0042444F"/>
    <w:rsid w:val="00425271"/>
    <w:rsid w:val="004421BA"/>
    <w:rsid w:val="00443FBE"/>
    <w:rsid w:val="004560B0"/>
    <w:rsid w:val="00456575"/>
    <w:rsid w:val="00456B97"/>
    <w:rsid w:val="00483F64"/>
    <w:rsid w:val="0048480F"/>
    <w:rsid w:val="00486348"/>
    <w:rsid w:val="004A36FE"/>
    <w:rsid w:val="004A4540"/>
    <w:rsid w:val="004C3AD0"/>
    <w:rsid w:val="004C75A7"/>
    <w:rsid w:val="004D3BB8"/>
    <w:rsid w:val="004F3DF4"/>
    <w:rsid w:val="00500C5C"/>
    <w:rsid w:val="00514A56"/>
    <w:rsid w:val="00516842"/>
    <w:rsid w:val="00517260"/>
    <w:rsid w:val="005247E8"/>
    <w:rsid w:val="00533F00"/>
    <w:rsid w:val="00541FFA"/>
    <w:rsid w:val="00556EFE"/>
    <w:rsid w:val="00567609"/>
    <w:rsid w:val="00574104"/>
    <w:rsid w:val="005772E3"/>
    <w:rsid w:val="00580E73"/>
    <w:rsid w:val="00591923"/>
    <w:rsid w:val="005937DA"/>
    <w:rsid w:val="005945E5"/>
    <w:rsid w:val="005974F2"/>
    <w:rsid w:val="005A03D2"/>
    <w:rsid w:val="005A0689"/>
    <w:rsid w:val="005A20D3"/>
    <w:rsid w:val="005A4D8B"/>
    <w:rsid w:val="005B0BEF"/>
    <w:rsid w:val="005B467D"/>
    <w:rsid w:val="005C49BE"/>
    <w:rsid w:val="005C65A7"/>
    <w:rsid w:val="005D14E2"/>
    <w:rsid w:val="005D5B32"/>
    <w:rsid w:val="005E0180"/>
    <w:rsid w:val="005F25F8"/>
    <w:rsid w:val="005F53CE"/>
    <w:rsid w:val="005F57F6"/>
    <w:rsid w:val="0060017C"/>
    <w:rsid w:val="00604CDA"/>
    <w:rsid w:val="00610BDD"/>
    <w:rsid w:val="0061587F"/>
    <w:rsid w:val="00620CB5"/>
    <w:rsid w:val="006519ED"/>
    <w:rsid w:val="006560B0"/>
    <w:rsid w:val="006611D2"/>
    <w:rsid w:val="00663D40"/>
    <w:rsid w:val="0066464D"/>
    <w:rsid w:val="00680202"/>
    <w:rsid w:val="00680958"/>
    <w:rsid w:val="00681C76"/>
    <w:rsid w:val="00682F6A"/>
    <w:rsid w:val="00682F82"/>
    <w:rsid w:val="00686E00"/>
    <w:rsid w:val="00692B71"/>
    <w:rsid w:val="00694684"/>
    <w:rsid w:val="0069619E"/>
    <w:rsid w:val="006A7DAD"/>
    <w:rsid w:val="006B7624"/>
    <w:rsid w:val="006C219A"/>
    <w:rsid w:val="006C738F"/>
    <w:rsid w:val="006C7669"/>
    <w:rsid w:val="006D1036"/>
    <w:rsid w:val="006D3CC0"/>
    <w:rsid w:val="006D431D"/>
    <w:rsid w:val="006D772E"/>
    <w:rsid w:val="006F143E"/>
    <w:rsid w:val="006F2958"/>
    <w:rsid w:val="006F3689"/>
    <w:rsid w:val="006F3E3A"/>
    <w:rsid w:val="006F465F"/>
    <w:rsid w:val="006F5F98"/>
    <w:rsid w:val="007050D0"/>
    <w:rsid w:val="0072165B"/>
    <w:rsid w:val="00725E77"/>
    <w:rsid w:val="00726D7B"/>
    <w:rsid w:val="00737E4A"/>
    <w:rsid w:val="00742FA7"/>
    <w:rsid w:val="00746430"/>
    <w:rsid w:val="00751126"/>
    <w:rsid w:val="007517B4"/>
    <w:rsid w:val="0076068E"/>
    <w:rsid w:val="00765952"/>
    <w:rsid w:val="007659AA"/>
    <w:rsid w:val="00777B69"/>
    <w:rsid w:val="00777FF4"/>
    <w:rsid w:val="00781CAE"/>
    <w:rsid w:val="007954B5"/>
    <w:rsid w:val="0079552F"/>
    <w:rsid w:val="007A1F93"/>
    <w:rsid w:val="007A2B3A"/>
    <w:rsid w:val="007A5DE4"/>
    <w:rsid w:val="007B37D3"/>
    <w:rsid w:val="007B53AD"/>
    <w:rsid w:val="007B6AB6"/>
    <w:rsid w:val="007D0224"/>
    <w:rsid w:val="007D6D63"/>
    <w:rsid w:val="007E3A2D"/>
    <w:rsid w:val="007F19CA"/>
    <w:rsid w:val="007F4ABD"/>
    <w:rsid w:val="007F7B66"/>
    <w:rsid w:val="008006B1"/>
    <w:rsid w:val="0080351B"/>
    <w:rsid w:val="00803743"/>
    <w:rsid w:val="008041EF"/>
    <w:rsid w:val="008053C6"/>
    <w:rsid w:val="00805629"/>
    <w:rsid w:val="00807F49"/>
    <w:rsid w:val="00814F87"/>
    <w:rsid w:val="008305F1"/>
    <w:rsid w:val="0083181C"/>
    <w:rsid w:val="00832F30"/>
    <w:rsid w:val="008340B7"/>
    <w:rsid w:val="00836E45"/>
    <w:rsid w:val="0084241B"/>
    <w:rsid w:val="00850A53"/>
    <w:rsid w:val="008532EA"/>
    <w:rsid w:val="00856CE1"/>
    <w:rsid w:val="00857D30"/>
    <w:rsid w:val="00871A3A"/>
    <w:rsid w:val="008723CE"/>
    <w:rsid w:val="0088004D"/>
    <w:rsid w:val="00880FAF"/>
    <w:rsid w:val="00890B73"/>
    <w:rsid w:val="00892F03"/>
    <w:rsid w:val="0089411D"/>
    <w:rsid w:val="00894CC8"/>
    <w:rsid w:val="008A34F0"/>
    <w:rsid w:val="008C1219"/>
    <w:rsid w:val="008C4299"/>
    <w:rsid w:val="008C6E2A"/>
    <w:rsid w:val="008D116B"/>
    <w:rsid w:val="008D1A24"/>
    <w:rsid w:val="008D5695"/>
    <w:rsid w:val="008E6941"/>
    <w:rsid w:val="008F4570"/>
    <w:rsid w:val="008F7A6A"/>
    <w:rsid w:val="00900BF6"/>
    <w:rsid w:val="00905E8B"/>
    <w:rsid w:val="009075D1"/>
    <w:rsid w:val="00911023"/>
    <w:rsid w:val="00912E25"/>
    <w:rsid w:val="00915B01"/>
    <w:rsid w:val="009162A2"/>
    <w:rsid w:val="00921E88"/>
    <w:rsid w:val="00926CD7"/>
    <w:rsid w:val="00931794"/>
    <w:rsid w:val="00960166"/>
    <w:rsid w:val="0096129C"/>
    <w:rsid w:val="0096131B"/>
    <w:rsid w:val="00963F05"/>
    <w:rsid w:val="009651D8"/>
    <w:rsid w:val="009652DE"/>
    <w:rsid w:val="0098041A"/>
    <w:rsid w:val="00980A13"/>
    <w:rsid w:val="00983528"/>
    <w:rsid w:val="00985CFB"/>
    <w:rsid w:val="00990921"/>
    <w:rsid w:val="009A111F"/>
    <w:rsid w:val="009A1389"/>
    <w:rsid w:val="009A6AFA"/>
    <w:rsid w:val="009B192F"/>
    <w:rsid w:val="009B3C43"/>
    <w:rsid w:val="009B73CB"/>
    <w:rsid w:val="009C2829"/>
    <w:rsid w:val="009D0860"/>
    <w:rsid w:val="009D2441"/>
    <w:rsid w:val="009D683D"/>
    <w:rsid w:val="009E4E77"/>
    <w:rsid w:val="009E5D68"/>
    <w:rsid w:val="009E6BFE"/>
    <w:rsid w:val="009F104E"/>
    <w:rsid w:val="009F28CE"/>
    <w:rsid w:val="009F3EA9"/>
    <w:rsid w:val="009F4350"/>
    <w:rsid w:val="009F49DC"/>
    <w:rsid w:val="00A03EDA"/>
    <w:rsid w:val="00A1434A"/>
    <w:rsid w:val="00A17F87"/>
    <w:rsid w:val="00A24960"/>
    <w:rsid w:val="00A27461"/>
    <w:rsid w:val="00A34C86"/>
    <w:rsid w:val="00A36A15"/>
    <w:rsid w:val="00A36D32"/>
    <w:rsid w:val="00A4104B"/>
    <w:rsid w:val="00A412AC"/>
    <w:rsid w:val="00A4245E"/>
    <w:rsid w:val="00A42492"/>
    <w:rsid w:val="00A462ED"/>
    <w:rsid w:val="00A618CA"/>
    <w:rsid w:val="00A61D85"/>
    <w:rsid w:val="00A75492"/>
    <w:rsid w:val="00A7691A"/>
    <w:rsid w:val="00A85241"/>
    <w:rsid w:val="00A928C4"/>
    <w:rsid w:val="00A96F6F"/>
    <w:rsid w:val="00A978A2"/>
    <w:rsid w:val="00AA00A8"/>
    <w:rsid w:val="00AA2A7D"/>
    <w:rsid w:val="00AA3326"/>
    <w:rsid w:val="00AA364A"/>
    <w:rsid w:val="00AB4EDB"/>
    <w:rsid w:val="00AD1FA0"/>
    <w:rsid w:val="00AE59CE"/>
    <w:rsid w:val="00AE7ACF"/>
    <w:rsid w:val="00AF7085"/>
    <w:rsid w:val="00B03922"/>
    <w:rsid w:val="00B0488C"/>
    <w:rsid w:val="00B06470"/>
    <w:rsid w:val="00B067F0"/>
    <w:rsid w:val="00B076C9"/>
    <w:rsid w:val="00B10DA9"/>
    <w:rsid w:val="00B118ED"/>
    <w:rsid w:val="00B246D4"/>
    <w:rsid w:val="00B27956"/>
    <w:rsid w:val="00B33EB1"/>
    <w:rsid w:val="00B377E3"/>
    <w:rsid w:val="00B459C3"/>
    <w:rsid w:val="00B472B0"/>
    <w:rsid w:val="00B54231"/>
    <w:rsid w:val="00B654A2"/>
    <w:rsid w:val="00B662D6"/>
    <w:rsid w:val="00B75394"/>
    <w:rsid w:val="00B76B1B"/>
    <w:rsid w:val="00B81BCB"/>
    <w:rsid w:val="00B81E10"/>
    <w:rsid w:val="00B84262"/>
    <w:rsid w:val="00BA43BB"/>
    <w:rsid w:val="00BB7F78"/>
    <w:rsid w:val="00BC2A58"/>
    <w:rsid w:val="00BC4BE1"/>
    <w:rsid w:val="00BE1CFD"/>
    <w:rsid w:val="00BE28E7"/>
    <w:rsid w:val="00BE6EBC"/>
    <w:rsid w:val="00BF6C6E"/>
    <w:rsid w:val="00C007CE"/>
    <w:rsid w:val="00C036F5"/>
    <w:rsid w:val="00C04782"/>
    <w:rsid w:val="00C151AF"/>
    <w:rsid w:val="00C1587B"/>
    <w:rsid w:val="00C15DFF"/>
    <w:rsid w:val="00C279A0"/>
    <w:rsid w:val="00C32AF8"/>
    <w:rsid w:val="00C32B9F"/>
    <w:rsid w:val="00C54E21"/>
    <w:rsid w:val="00C57C71"/>
    <w:rsid w:val="00C62696"/>
    <w:rsid w:val="00C65547"/>
    <w:rsid w:val="00C74CD0"/>
    <w:rsid w:val="00C85797"/>
    <w:rsid w:val="00C9423A"/>
    <w:rsid w:val="00C942E1"/>
    <w:rsid w:val="00CA0539"/>
    <w:rsid w:val="00CA0699"/>
    <w:rsid w:val="00CB354E"/>
    <w:rsid w:val="00CC0A56"/>
    <w:rsid w:val="00CC30BB"/>
    <w:rsid w:val="00CC4488"/>
    <w:rsid w:val="00CC4C9B"/>
    <w:rsid w:val="00CC565D"/>
    <w:rsid w:val="00CD098A"/>
    <w:rsid w:val="00CD27DF"/>
    <w:rsid w:val="00CD3541"/>
    <w:rsid w:val="00CE427D"/>
    <w:rsid w:val="00CF2D77"/>
    <w:rsid w:val="00CF6AD3"/>
    <w:rsid w:val="00D0430A"/>
    <w:rsid w:val="00D1539E"/>
    <w:rsid w:val="00D21482"/>
    <w:rsid w:val="00D2177E"/>
    <w:rsid w:val="00D22836"/>
    <w:rsid w:val="00D23A49"/>
    <w:rsid w:val="00D33E59"/>
    <w:rsid w:val="00D46B54"/>
    <w:rsid w:val="00D505C7"/>
    <w:rsid w:val="00D515E5"/>
    <w:rsid w:val="00D53F28"/>
    <w:rsid w:val="00D5441B"/>
    <w:rsid w:val="00D55870"/>
    <w:rsid w:val="00D60C69"/>
    <w:rsid w:val="00D73087"/>
    <w:rsid w:val="00D743FB"/>
    <w:rsid w:val="00D820AB"/>
    <w:rsid w:val="00D82E73"/>
    <w:rsid w:val="00D84513"/>
    <w:rsid w:val="00D85599"/>
    <w:rsid w:val="00DA726D"/>
    <w:rsid w:val="00DC10BD"/>
    <w:rsid w:val="00DC26CC"/>
    <w:rsid w:val="00DC3D90"/>
    <w:rsid w:val="00DC7425"/>
    <w:rsid w:val="00DD15A2"/>
    <w:rsid w:val="00DD7844"/>
    <w:rsid w:val="00DE2927"/>
    <w:rsid w:val="00DE2D95"/>
    <w:rsid w:val="00DE4E5F"/>
    <w:rsid w:val="00DF4B0F"/>
    <w:rsid w:val="00DF4D9D"/>
    <w:rsid w:val="00E00808"/>
    <w:rsid w:val="00E118FD"/>
    <w:rsid w:val="00E12378"/>
    <w:rsid w:val="00E12E82"/>
    <w:rsid w:val="00E222F9"/>
    <w:rsid w:val="00E25715"/>
    <w:rsid w:val="00E26CBB"/>
    <w:rsid w:val="00E32A40"/>
    <w:rsid w:val="00E33943"/>
    <w:rsid w:val="00E40213"/>
    <w:rsid w:val="00E477D2"/>
    <w:rsid w:val="00E54C63"/>
    <w:rsid w:val="00E66F46"/>
    <w:rsid w:val="00E67798"/>
    <w:rsid w:val="00E85D4C"/>
    <w:rsid w:val="00E9176B"/>
    <w:rsid w:val="00E95DD2"/>
    <w:rsid w:val="00E974B3"/>
    <w:rsid w:val="00E97C1D"/>
    <w:rsid w:val="00EB46F6"/>
    <w:rsid w:val="00EB7B26"/>
    <w:rsid w:val="00EC22F9"/>
    <w:rsid w:val="00EC42FA"/>
    <w:rsid w:val="00ED6754"/>
    <w:rsid w:val="00ED69BF"/>
    <w:rsid w:val="00EE31E3"/>
    <w:rsid w:val="00EF01B9"/>
    <w:rsid w:val="00EF4CBC"/>
    <w:rsid w:val="00EF61B7"/>
    <w:rsid w:val="00F0005B"/>
    <w:rsid w:val="00F07843"/>
    <w:rsid w:val="00F172C2"/>
    <w:rsid w:val="00F20674"/>
    <w:rsid w:val="00F24013"/>
    <w:rsid w:val="00F27544"/>
    <w:rsid w:val="00F32024"/>
    <w:rsid w:val="00F54385"/>
    <w:rsid w:val="00F60251"/>
    <w:rsid w:val="00F65DB0"/>
    <w:rsid w:val="00F66D56"/>
    <w:rsid w:val="00F87FF0"/>
    <w:rsid w:val="00F90C48"/>
    <w:rsid w:val="00F912E5"/>
    <w:rsid w:val="00F92773"/>
    <w:rsid w:val="00F9503A"/>
    <w:rsid w:val="00FB4521"/>
    <w:rsid w:val="00FB5344"/>
    <w:rsid w:val="00FC1D81"/>
    <w:rsid w:val="00FD16FA"/>
    <w:rsid w:val="00FD5373"/>
    <w:rsid w:val="00FD615C"/>
    <w:rsid w:val="00FE57B2"/>
    <w:rsid w:val="00FE5C20"/>
    <w:rsid w:val="00FF5AA4"/>
    <w:rsid w:val="00FF5B4D"/>
    <w:rsid w:val="00FF6A29"/>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58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Heading1">
    <w:name w:val="heading 1"/>
    <w:basedOn w:val="Normal"/>
    <w:next w:val="Normal"/>
    <w:link w:val="Heading1Char"/>
    <w:uiPriority w:val="9"/>
    <w:qFormat/>
    <w:rsid w:val="008532E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41E4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0562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qFormat/>
    <w:rsid w:val="00C70A06"/>
    <w:rPr>
      <w:sz w:val="20"/>
      <w:szCs w:val="20"/>
    </w:rPr>
  </w:style>
  <w:style w:type="character" w:customStyle="1" w:styleId="FootnoteCharacters">
    <w:name w:val="Footnote Characters"/>
    <w:basedOn w:val="DefaultParagraphFont"/>
    <w:link w:val="FootnoteRefernece"/>
    <w:uiPriority w:val="99"/>
    <w:unhideWhenUsed/>
    <w:qFormat/>
    <w:rsid w:val="00C70A06"/>
    <w:rPr>
      <w:vertAlign w:val="superscript"/>
    </w:rPr>
  </w:style>
  <w:style w:type="character" w:customStyle="1" w:styleId="FootnoteAnchor">
    <w:name w:val="Footnote Anchor"/>
    <w:rPr>
      <w:vertAlign w:val="superscript"/>
    </w:rPr>
  </w:style>
  <w:style w:type="character" w:styleId="Hyperlink">
    <w:name w:val="Hyperlink"/>
    <w:basedOn w:val="DefaultParagraphFont"/>
    <w:uiPriority w:val="99"/>
    <w:unhideWhenUsed/>
    <w:rsid w:val="00C70A06"/>
    <w:rPr>
      <w:color w:val="0000FF"/>
      <w:u w:val="single"/>
    </w:rPr>
  </w:style>
  <w:style w:type="character" w:customStyle="1" w:styleId="BalloonTextChar">
    <w:name w:val="Balloon Text Char"/>
    <w:basedOn w:val="DefaultParagraphFont"/>
    <w:link w:val="BalloonText"/>
    <w:uiPriority w:val="99"/>
    <w:semiHidden/>
    <w:qFormat/>
    <w:rsid w:val="00FB14BC"/>
    <w:rPr>
      <w:rFonts w:ascii="Segoe UI" w:hAnsi="Segoe UI" w:cs="Segoe UI"/>
      <w:sz w:val="18"/>
      <w:szCs w:val="18"/>
    </w:rPr>
  </w:style>
  <w:style w:type="character" w:styleId="CommentReference">
    <w:name w:val="annotation reference"/>
    <w:basedOn w:val="DefaultParagraphFont"/>
    <w:uiPriority w:val="99"/>
    <w:semiHidden/>
    <w:unhideWhenUsed/>
    <w:qFormat/>
    <w:rsid w:val="00FB14BC"/>
    <w:rPr>
      <w:sz w:val="16"/>
      <w:szCs w:val="16"/>
    </w:rPr>
  </w:style>
  <w:style w:type="character" w:customStyle="1" w:styleId="CommentTextChar">
    <w:name w:val="Comment Text Char"/>
    <w:basedOn w:val="DefaultParagraphFont"/>
    <w:link w:val="CommentText"/>
    <w:uiPriority w:val="99"/>
    <w:qFormat/>
    <w:rsid w:val="00FB14BC"/>
    <w:rPr>
      <w:sz w:val="20"/>
      <w:szCs w:val="20"/>
    </w:rPr>
  </w:style>
  <w:style w:type="character" w:customStyle="1" w:styleId="CommentSubjectChar">
    <w:name w:val="Comment Subject Char"/>
    <w:basedOn w:val="CommentTextChar"/>
    <w:link w:val="CommentSubject"/>
    <w:uiPriority w:val="99"/>
    <w:semiHidden/>
    <w:qFormat/>
    <w:rsid w:val="00FB14BC"/>
    <w:rPr>
      <w:b/>
      <w:bCs/>
      <w:sz w:val="20"/>
      <w:szCs w:val="20"/>
    </w:rPr>
  </w:style>
  <w:style w:type="character" w:customStyle="1" w:styleId="HeaderChar">
    <w:name w:val="Header Char"/>
    <w:basedOn w:val="DefaultParagraphFont"/>
    <w:link w:val="Header"/>
    <w:uiPriority w:val="99"/>
    <w:qFormat/>
    <w:rsid w:val="00BF5E87"/>
  </w:style>
  <w:style w:type="character" w:customStyle="1" w:styleId="FooterChar">
    <w:name w:val="Footer Char"/>
    <w:basedOn w:val="DefaultParagraphFont"/>
    <w:link w:val="Footer"/>
    <w:uiPriority w:val="99"/>
    <w:qFormat/>
    <w:rsid w:val="00BF5E87"/>
  </w:style>
  <w:style w:type="character" w:customStyle="1" w:styleId="CaptionChar">
    <w:name w:val="Caption Char"/>
    <w:link w:val="Caption"/>
    <w:uiPriority w:val="35"/>
    <w:qFormat/>
    <w:rsid w:val="00BB1F82"/>
    <w:rPr>
      <w:rFonts w:ascii="Times New Roman" w:eastAsiaTheme="majorEastAsia" w:hAnsi="Times New Roman" w:cs="Times New Roman"/>
      <w:b/>
      <w:iCs/>
      <w:sz w:val="20"/>
      <w:szCs w:val="20"/>
    </w:rPr>
  </w:style>
  <w:style w:type="character" w:customStyle="1" w:styleId="UnresolvedMention1">
    <w:name w:val="Unresolved Mention1"/>
    <w:basedOn w:val="DefaultParagraphFont"/>
    <w:uiPriority w:val="99"/>
    <w:semiHidden/>
    <w:unhideWhenUsed/>
    <w:qFormat/>
    <w:rsid w:val="003D0950"/>
    <w:rPr>
      <w:color w:val="605E5C"/>
      <w:shd w:val="clear" w:color="auto" w:fill="E1DFDD"/>
    </w:rPr>
  </w:style>
  <w:style w:type="character" w:customStyle="1" w:styleId="UnresolvedMention2">
    <w:name w:val="Unresolved Mention2"/>
    <w:basedOn w:val="DefaultParagraphFont"/>
    <w:uiPriority w:val="99"/>
    <w:semiHidden/>
    <w:unhideWhenUsed/>
    <w:qFormat/>
    <w:rsid w:val="00826784"/>
    <w:rPr>
      <w:color w:val="605E5C"/>
      <w:shd w:val="clear" w:color="auto" w:fill="E1DFDD"/>
    </w:rPr>
  </w:style>
  <w:style w:type="character" w:styleId="Strong">
    <w:name w:val="Strong"/>
    <w:basedOn w:val="DefaultParagraphFont"/>
    <w:uiPriority w:val="22"/>
    <w:qFormat/>
    <w:rsid w:val="00006714"/>
    <w:rPr>
      <w:b/>
      <w:bCs/>
    </w:rPr>
  </w:style>
  <w:style w:type="character" w:styleId="FollowedHyperlink">
    <w:name w:val="FollowedHyperlink"/>
    <w:basedOn w:val="DefaultParagraphFont"/>
    <w:uiPriority w:val="99"/>
    <w:semiHidden/>
    <w:unhideWhenUsed/>
    <w:rsid w:val="00185405"/>
    <w:rPr>
      <w:color w:val="954F72" w:themeColor="followedHyperlink"/>
      <w:u w:val="single"/>
    </w:rPr>
  </w:style>
  <w:style w:type="character" w:customStyle="1" w:styleId="subscript">
    <w:name w:val="subscript"/>
    <w:basedOn w:val="DefaultParagraphFont"/>
    <w:qFormat/>
    <w:rsid w:val="00185405"/>
  </w:style>
  <w:style w:type="character" w:styleId="UnresolvedMention">
    <w:name w:val="Unresolved Mention"/>
    <w:basedOn w:val="DefaultParagraphFont"/>
    <w:uiPriority w:val="99"/>
    <w:semiHidden/>
    <w:unhideWhenUsed/>
    <w:qFormat/>
    <w:rsid w:val="00497106"/>
    <w:rPr>
      <w:color w:val="605E5C"/>
      <w:shd w:val="clear" w:color="auto" w:fill="E1DFDD"/>
    </w:rPr>
  </w:style>
  <w:style w:type="character" w:customStyle="1" w:styleId="ListParagraphChar">
    <w:name w:val="List Paragraph Char"/>
    <w:basedOn w:val="DefaultParagraphFont"/>
    <w:link w:val="ListParagraph"/>
    <w:uiPriority w:val="34"/>
    <w:qFormat/>
    <w:locked/>
    <w:rsid w:val="00AD408B"/>
  </w:style>
  <w:style w:type="character" w:customStyle="1" w:styleId="listparagraphchar0">
    <w:name w:val="list paragraph char"/>
    <w:basedOn w:val="DefaultParagraphFont"/>
    <w:uiPriority w:val="34"/>
    <w:qFormat/>
    <w:locked/>
    <w:rsid w:val="00FE5545"/>
  </w:style>
  <w:style w:type="character" w:customStyle="1" w:styleId="apple-converted-space">
    <w:name w:val="apple-converted-space"/>
    <w:basedOn w:val="DefaultParagraphFont"/>
    <w:qFormat/>
    <w:rsid w:val="00845004"/>
  </w:style>
  <w:style w:type="character" w:customStyle="1" w:styleId="BodyText2Char">
    <w:name w:val="Body Text 2 Char"/>
    <w:basedOn w:val="DefaultParagraphFont"/>
    <w:link w:val="BodyText2"/>
    <w:uiPriority w:val="99"/>
    <w:semiHidden/>
    <w:qFormat/>
    <w:rsid w:val="003253A7"/>
  </w:style>
  <w:style w:type="character" w:customStyle="1" w:styleId="LineNumbering">
    <w:name w:val="Line Numbering"/>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next w:val="Normal"/>
    <w:link w:val="CaptionChar"/>
    <w:uiPriority w:val="35"/>
    <w:unhideWhenUsed/>
    <w:qFormat/>
    <w:rsid w:val="00BB1F82"/>
    <w:pPr>
      <w:keepNext/>
      <w:spacing w:before="120" w:after="120" w:line="240" w:lineRule="auto"/>
      <w:jc w:val="center"/>
    </w:pPr>
    <w:rPr>
      <w:rFonts w:ascii="Times New Roman" w:eastAsiaTheme="majorEastAsia" w:hAnsi="Times New Roman" w:cs="Times New Roman"/>
      <w:b/>
      <w:iCs/>
      <w:sz w:val="20"/>
      <w:szCs w:val="20"/>
    </w:rPr>
  </w:style>
  <w:style w:type="paragraph" w:customStyle="1" w:styleId="Index">
    <w:name w:val="Index"/>
    <w:basedOn w:val="Normal"/>
    <w:qFormat/>
    <w:pPr>
      <w:suppressLineNumbers/>
    </w:pPr>
    <w:rPr>
      <w:rFonts w:cs="Lucida Sans"/>
    </w:rPr>
  </w:style>
  <w:style w:type="paragraph" w:customStyle="1" w:styleId="tvhtml">
    <w:name w:val="tv_html"/>
    <w:basedOn w:val="Normal"/>
    <w:qFormat/>
    <w:rsid w:val="00C70A06"/>
    <w:pPr>
      <w:spacing w:beforeAutospacing="1"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qFormat/>
    <w:rsid w:val="00C70A06"/>
    <w:pPr>
      <w:spacing w:after="0" w:line="240" w:lineRule="auto"/>
    </w:pPr>
    <w:rPr>
      <w:sz w:val="20"/>
      <w:szCs w:val="20"/>
    </w:rPr>
  </w:style>
  <w:style w:type="paragraph" w:styleId="BalloonText">
    <w:name w:val="Balloon Text"/>
    <w:basedOn w:val="Normal"/>
    <w:link w:val="BalloonTextChar"/>
    <w:uiPriority w:val="99"/>
    <w:semiHidden/>
    <w:unhideWhenUsed/>
    <w:qFormat/>
    <w:rsid w:val="00FB14BC"/>
    <w:pPr>
      <w:spacing w:after="0" w:line="240" w:lineRule="auto"/>
    </w:pPr>
    <w:rPr>
      <w:rFonts w:ascii="Segoe UI" w:hAnsi="Segoe UI" w:cs="Segoe UI"/>
      <w:sz w:val="18"/>
      <w:szCs w:val="18"/>
    </w:rPr>
  </w:style>
  <w:style w:type="paragraph" w:styleId="CommentText">
    <w:name w:val="annotation text"/>
    <w:basedOn w:val="Normal"/>
    <w:link w:val="CommentTextChar"/>
    <w:uiPriority w:val="99"/>
    <w:unhideWhenUsed/>
    <w:qFormat/>
    <w:rsid w:val="00FB14BC"/>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FB14BC"/>
    <w:rPr>
      <w:b/>
      <w:bCs/>
    </w:rPr>
  </w:style>
  <w:style w:type="paragraph" w:styleId="ListParagraph">
    <w:name w:val="List Paragraph"/>
    <w:basedOn w:val="Normal"/>
    <w:link w:val="ListParagraphChar"/>
    <w:uiPriority w:val="34"/>
    <w:qFormat/>
    <w:rsid w:val="007F2D1C"/>
    <w:pPr>
      <w:ind w:left="720"/>
      <w:contextualSpacing/>
    </w:pPr>
  </w:style>
  <w:style w:type="paragraph" w:customStyle="1" w:styleId="HeaderandFooter">
    <w:name w:val="Header and Footer"/>
    <w:basedOn w:val="Normal"/>
    <w:qFormat/>
  </w:style>
  <w:style w:type="paragraph" w:styleId="Header">
    <w:name w:val="header"/>
    <w:basedOn w:val="Normal"/>
    <w:link w:val="HeaderChar"/>
    <w:uiPriority w:val="99"/>
    <w:unhideWhenUsed/>
    <w:rsid w:val="00BF5E87"/>
    <w:pPr>
      <w:tabs>
        <w:tab w:val="center" w:pos="4680"/>
        <w:tab w:val="right" w:pos="9360"/>
      </w:tabs>
      <w:spacing w:after="0" w:line="240" w:lineRule="auto"/>
    </w:pPr>
  </w:style>
  <w:style w:type="paragraph" w:styleId="Footer">
    <w:name w:val="footer"/>
    <w:basedOn w:val="Normal"/>
    <w:link w:val="FooterChar"/>
    <w:uiPriority w:val="99"/>
    <w:unhideWhenUsed/>
    <w:rsid w:val="00BF5E87"/>
    <w:pPr>
      <w:tabs>
        <w:tab w:val="center" w:pos="4680"/>
        <w:tab w:val="right" w:pos="9360"/>
      </w:tabs>
      <w:spacing w:after="0" w:line="240" w:lineRule="auto"/>
    </w:pPr>
  </w:style>
  <w:style w:type="paragraph" w:customStyle="1" w:styleId="FootnoteRefernece">
    <w:name w:val="Footnote Refernece"/>
    <w:basedOn w:val="Normal"/>
    <w:next w:val="Normal"/>
    <w:link w:val="FootnoteCharacters"/>
    <w:uiPriority w:val="99"/>
    <w:qFormat/>
    <w:rsid w:val="00BB1F82"/>
    <w:pPr>
      <w:spacing w:line="240" w:lineRule="exact"/>
      <w:jc w:val="both"/>
    </w:pPr>
    <w:rPr>
      <w:vertAlign w:val="superscript"/>
    </w:rPr>
  </w:style>
  <w:style w:type="paragraph" w:styleId="NormalWeb">
    <w:name w:val="Normal (Web)"/>
    <w:basedOn w:val="Normal"/>
    <w:uiPriority w:val="99"/>
    <w:semiHidden/>
    <w:unhideWhenUsed/>
    <w:qFormat/>
    <w:rsid w:val="00826784"/>
    <w:pPr>
      <w:spacing w:beforeAutospacing="1" w:afterAutospacing="1" w:line="240" w:lineRule="auto"/>
    </w:pPr>
    <w:rPr>
      <w:rFonts w:ascii="Times New Roman" w:eastAsia="Times New Roman" w:hAnsi="Times New Roman" w:cs="Times New Roman"/>
      <w:sz w:val="24"/>
      <w:szCs w:val="24"/>
      <w:lang w:eastAsia="lv-LV"/>
    </w:rPr>
  </w:style>
  <w:style w:type="paragraph" w:customStyle="1" w:styleId="tbl-norm">
    <w:name w:val="tbl-norm"/>
    <w:basedOn w:val="Normal"/>
    <w:qFormat/>
    <w:rsid w:val="00497106"/>
    <w:pPr>
      <w:spacing w:beforeAutospacing="1" w:afterAutospacing="1" w:line="240" w:lineRule="auto"/>
    </w:pPr>
    <w:rPr>
      <w:rFonts w:ascii="Times New Roman" w:eastAsia="Times New Roman" w:hAnsi="Times New Roman" w:cs="Times New Roman"/>
      <w:sz w:val="24"/>
      <w:szCs w:val="24"/>
      <w:lang w:eastAsia="lv-LV"/>
    </w:rPr>
  </w:style>
  <w:style w:type="paragraph" w:customStyle="1" w:styleId="naisc">
    <w:name w:val="naisc"/>
    <w:basedOn w:val="Normal"/>
    <w:qFormat/>
    <w:rsid w:val="000F791D"/>
    <w:pPr>
      <w:spacing w:before="75" w:after="75" w:line="240" w:lineRule="auto"/>
      <w:jc w:val="center"/>
    </w:pPr>
    <w:rPr>
      <w:rFonts w:ascii="Times New Roman" w:eastAsia="Times New Roman" w:hAnsi="Times New Roman" w:cs="Times New Roman"/>
      <w:sz w:val="24"/>
      <w:szCs w:val="24"/>
      <w:lang w:eastAsia="lv-LV"/>
    </w:rPr>
  </w:style>
  <w:style w:type="paragraph" w:styleId="BodyText2">
    <w:name w:val="Body Text 2"/>
    <w:basedOn w:val="Normal"/>
    <w:link w:val="BodyText2Char"/>
    <w:uiPriority w:val="99"/>
    <w:semiHidden/>
    <w:unhideWhenUsed/>
    <w:qFormat/>
    <w:rsid w:val="003253A7"/>
    <w:pPr>
      <w:spacing w:after="120" w:line="480" w:lineRule="auto"/>
    </w:pPr>
  </w:style>
  <w:style w:type="table" w:styleId="TableGrid">
    <w:name w:val="Table Grid"/>
    <w:basedOn w:val="TableNormal"/>
    <w:uiPriority w:val="39"/>
    <w:rsid w:val="007F2D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A30B5"/>
    <w:rPr>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C7669"/>
    <w:pPr>
      <w:suppressAutoHyphens w:val="0"/>
    </w:pPr>
  </w:style>
  <w:style w:type="character" w:styleId="FootnoteReference">
    <w:name w:val="footnote reference"/>
    <w:basedOn w:val="DefaultParagraphFont"/>
    <w:uiPriority w:val="99"/>
    <w:semiHidden/>
    <w:unhideWhenUsed/>
    <w:qFormat/>
    <w:rsid w:val="006C7669"/>
    <w:rPr>
      <w:vertAlign w:val="superscript"/>
    </w:rPr>
  </w:style>
  <w:style w:type="character" w:customStyle="1" w:styleId="Heading1Char">
    <w:name w:val="Heading 1 Char"/>
    <w:basedOn w:val="DefaultParagraphFont"/>
    <w:link w:val="Heading1"/>
    <w:uiPriority w:val="9"/>
    <w:rsid w:val="008532EA"/>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8532EA"/>
    <w:pPr>
      <w:suppressAutoHyphens w:val="0"/>
      <w:outlineLvl w:val="9"/>
    </w:pPr>
    <w:rPr>
      <w:lang w:val="en-US"/>
    </w:rPr>
  </w:style>
  <w:style w:type="paragraph" w:styleId="TOC1">
    <w:name w:val="toc 1"/>
    <w:basedOn w:val="Normal"/>
    <w:next w:val="Normal"/>
    <w:autoRedefine/>
    <w:uiPriority w:val="39"/>
    <w:unhideWhenUsed/>
    <w:rsid w:val="00CC565D"/>
    <w:pPr>
      <w:spacing w:after="100"/>
    </w:pPr>
  </w:style>
  <w:style w:type="character" w:customStyle="1" w:styleId="Heading2Char">
    <w:name w:val="Heading 2 Char"/>
    <w:basedOn w:val="DefaultParagraphFont"/>
    <w:link w:val="Heading2"/>
    <w:uiPriority w:val="9"/>
    <w:rsid w:val="00141E4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805629"/>
    <w:rPr>
      <w:rFonts w:asciiTheme="majorHAnsi" w:eastAsiaTheme="majorEastAsia" w:hAnsiTheme="majorHAnsi" w:cstheme="majorBidi"/>
      <w:color w:val="1F4D78" w:themeColor="accent1" w:themeShade="7F"/>
      <w:sz w:val="24"/>
      <w:szCs w:val="24"/>
    </w:rPr>
  </w:style>
  <w:style w:type="paragraph" w:styleId="TOC2">
    <w:name w:val="toc 2"/>
    <w:basedOn w:val="Normal"/>
    <w:next w:val="Normal"/>
    <w:autoRedefine/>
    <w:uiPriority w:val="39"/>
    <w:unhideWhenUsed/>
    <w:rsid w:val="00DD15A2"/>
    <w:pPr>
      <w:spacing w:after="100"/>
      <w:ind w:left="220"/>
    </w:pPr>
  </w:style>
  <w:style w:type="paragraph" w:styleId="TOC3">
    <w:name w:val="toc 3"/>
    <w:basedOn w:val="Normal"/>
    <w:next w:val="Normal"/>
    <w:autoRedefine/>
    <w:uiPriority w:val="39"/>
    <w:unhideWhenUsed/>
    <w:rsid w:val="00DD15A2"/>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90067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jrc/en/publication/eur-scientific-and-technical-research-reports/jec-well-wheels-report-v5" TargetMode="External"/><Relationship Id="rId13" Type="http://schemas.openxmlformats.org/officeDocument/2006/relationships/hyperlink" Target="https://eur-lex.europa.eu/legal-content/EN/TXT/?uri=COM%3A2020%3A663%3AFIN" TargetMode="External"/><Relationship Id="rId18" Type="http://schemas.openxmlformats.org/officeDocument/2006/relationships/hyperlink" Target="https://eur-lex.europa.eu/legal-content/LV/TXT/?uri=celex:32014L0094" TargetMode="External"/><Relationship Id="rId3" Type="http://schemas.openxmlformats.org/officeDocument/2006/relationships/hyperlink" Target="https://titania.saeima.lv/LIVS13/saeimalivs13.nsf/webSasaiste?OpenView&amp;restricttocategory=1339/Lp13" TargetMode="External"/><Relationship Id="rId7" Type="http://schemas.openxmlformats.org/officeDocument/2006/relationships/hyperlink" Target="https://www.aib-net.org/certification" TargetMode="External"/><Relationship Id="rId12" Type="http://schemas.openxmlformats.org/officeDocument/2006/relationships/hyperlink" Target="http://tap.mk.gov.lv/mk/tap/?pid=40491503" TargetMode="External"/><Relationship Id="rId17" Type="http://schemas.openxmlformats.org/officeDocument/2006/relationships/hyperlink" Target="https://www.regatrace.eu/wp-content/uploads/2020/02/REGATRACE-D6.1.pdf" TargetMode="External"/><Relationship Id="rId2" Type="http://schemas.openxmlformats.org/officeDocument/2006/relationships/hyperlink" Target="https://ec.europa.eu/commission/presscorner/detail/en/ip_21_6682" TargetMode="External"/><Relationship Id="rId16" Type="http://schemas.openxmlformats.org/officeDocument/2006/relationships/hyperlink" Target="http://www.res-legal.eu/search-by-country/" TargetMode="External"/><Relationship Id="rId1" Type="http://schemas.openxmlformats.org/officeDocument/2006/relationships/hyperlink" Target="http://tap.mk.gov.lv/mk/tap/?pid=40499361" TargetMode="External"/><Relationship Id="rId6" Type="http://schemas.openxmlformats.org/officeDocument/2006/relationships/hyperlink" Target="https://likumi.lv/ta/id/285189-prasibas-biometana-un-gazveida-stavokli-parverstas-saskidrinatas-dabasgazes-ievadisanai-un-transportesanai-dabasgazes-parvades-..." TargetMode="External"/><Relationship Id="rId11" Type="http://schemas.openxmlformats.org/officeDocument/2006/relationships/hyperlink" Target="https://www.csdd.lv/transportlidzekli/registreto-transportlidzeklu-skait" TargetMode="External"/><Relationship Id="rId5" Type="http://schemas.openxmlformats.org/officeDocument/2006/relationships/hyperlink" Target="https://likumi.lv/ta/id/119463-noteikumi-par-biodegvielas-kvalitates-prasibam-atbilstibas-novertesanu-tirgus-uzraudzibu-un-pateretaju-informesanas-kartibu" TargetMode="External"/><Relationship Id="rId15" Type="http://schemas.openxmlformats.org/officeDocument/2006/relationships/hyperlink" Target="https://likumi.lv/ta/id/287959-noteikumi-par-atlaujas-izsniegsanu-elektroenergijas-tiesas-linijas-piesleguma-ierikosanai" TargetMode="External"/><Relationship Id="rId10" Type="http://schemas.openxmlformats.org/officeDocument/2006/relationships/hyperlink" Target="https://www.energuide.be/en/questions-answers/are-natural-gas-cars-a-real-alternative/198/" TargetMode="External"/><Relationship Id="rId19" Type="http://schemas.openxmlformats.org/officeDocument/2006/relationships/hyperlink" Target="https://gason.lv/autotransports-cng/" TargetMode="External"/><Relationship Id="rId4" Type="http://schemas.openxmlformats.org/officeDocument/2006/relationships/hyperlink" Target="https://em.gov.lv/lv/nozares_politika/atjaunojama_energija_un_kogeneracija/informacija_par_izdotajiem_lemumiem_par_elektroenergijas_obligato_iepirkumu/" TargetMode="External"/><Relationship Id="rId9" Type="http://schemas.openxmlformats.org/officeDocument/2006/relationships/hyperlink" Target="https://www.virsi.lv/lv/produkti-un-pakalpojumi/cng" TargetMode="External"/><Relationship Id="rId14" Type="http://schemas.openxmlformats.org/officeDocument/2006/relationships/hyperlink" Target="https://www.llu.lv/lv/projekti/apstiprinatie-projekti/2019/latvijas-lauksaimniecibas-siltumnicefekta-gazu-un-amonjaka"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c:style val="2"/>
  <c:chart>
    <c:autoTitleDeleted val="1"/>
    <c:plotArea>
      <c:layout/>
      <c:areaChart>
        <c:grouping val="stacked"/>
        <c:varyColors val="1"/>
        <c:ser>
          <c:idx val="0"/>
          <c:order val="0"/>
          <c:tx>
            <c:strRef>
              <c:f>label 0</c:f>
              <c:strCache>
                <c:ptCount val="1"/>
                <c:pt idx="0">
                  <c:v>Kūtsmēsli (B scenārijs: pārstrādājot 80 % no radītā)</c:v>
                </c:pt>
              </c:strCache>
            </c:strRef>
          </c:tx>
          <c:spPr>
            <a:solidFill>
              <a:srgbClr val="5B9BD5"/>
            </a:solidFill>
            <a:ln w="0">
              <a:noFill/>
            </a:ln>
          </c:spPr>
          <c:dLbls>
            <c:spPr>
              <a:noFill/>
              <a:ln>
                <a:noFill/>
              </a:ln>
              <a:effectLst/>
            </c:spPr>
            <c:txPr>
              <a:bodyPr wrap="square"/>
              <a:lstStyle/>
              <a:p>
                <a:pPr>
                  <a:defRPr sz="1000" b="0" strike="noStrike" spc="-1">
                    <a:solidFill>
                      <a:srgbClr val="000000"/>
                    </a:solidFill>
                    <a:latin typeface="Arial Narrow"/>
                  </a:defRPr>
                </a:pPr>
                <a:endParaRPr lang="lv-LV"/>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2"/>
                <c:pt idx="0">
                  <c:v>2020</c:v>
                </c:pt>
                <c:pt idx="1">
                  <c:v>2021</c:v>
                </c:pt>
                <c:pt idx="2">
                  <c:v>2022</c:v>
                </c:pt>
                <c:pt idx="3">
                  <c:v>2023</c:v>
                </c:pt>
                <c:pt idx="4">
                  <c:v>2024</c:v>
                </c:pt>
                <c:pt idx="5">
                  <c:v>2025</c:v>
                </c:pt>
                <c:pt idx="6">
                  <c:v>2026</c:v>
                </c:pt>
                <c:pt idx="7">
                  <c:v>2027</c:v>
                </c:pt>
                <c:pt idx="8">
                  <c:v>2028</c:v>
                </c:pt>
                <c:pt idx="9">
                  <c:v>2029</c:v>
                </c:pt>
                <c:pt idx="10">
                  <c:v>2030</c:v>
                </c:pt>
              </c:strCache>
            </c:strRef>
          </c:cat>
          <c:val>
            <c:numRef>
              <c:f>0</c:f>
              <c:numCache>
                <c:formatCode>General</c:formatCode>
                <c:ptCount val="12"/>
                <c:pt idx="0">
                  <c:v>68.551615650000002</c:v>
                </c:pt>
                <c:pt idx="1">
                  <c:v>76.701331819999993</c:v>
                </c:pt>
                <c:pt idx="2">
                  <c:v>84.851047989999998</c:v>
                </c:pt>
                <c:pt idx="3">
                  <c:v>93.000764160000003</c:v>
                </c:pt>
                <c:pt idx="4">
                  <c:v>101.15048032999999</c:v>
                </c:pt>
                <c:pt idx="5">
                  <c:v>109.3001965</c:v>
                </c:pt>
                <c:pt idx="6">
                  <c:v>111.1699634</c:v>
                </c:pt>
                <c:pt idx="7">
                  <c:v>113.0397303</c:v>
                </c:pt>
                <c:pt idx="8">
                  <c:v>114.9094972</c:v>
                </c:pt>
                <c:pt idx="9">
                  <c:v>116.77926410000001</c:v>
                </c:pt>
                <c:pt idx="10">
                  <c:v>118.64903099999999</c:v>
                </c:pt>
              </c:numCache>
            </c:numRef>
          </c:val>
          <c:extLst>
            <c:ext xmlns:c16="http://schemas.microsoft.com/office/drawing/2014/chart" uri="{C3380CC4-5D6E-409C-BE32-E72D297353CC}">
              <c16:uniqueId val="{00000000-35E6-4FCB-91DE-0DDA011E0A7D}"/>
            </c:ext>
          </c:extLst>
        </c:ser>
        <c:ser>
          <c:idx val="1"/>
          <c:order val="1"/>
          <c:tx>
            <c:strRef>
              <c:f>label 1</c:f>
              <c:strCache>
                <c:ptCount val="1"/>
                <c:pt idx="0">
                  <c:v>Kukurūza (A2 scenārijs: pakāpenisks samazinājums līdz 2030. g.)</c:v>
                </c:pt>
              </c:strCache>
            </c:strRef>
          </c:tx>
          <c:spPr>
            <a:solidFill>
              <a:srgbClr val="ED7D31"/>
            </a:solidFill>
            <a:ln w="0">
              <a:noFill/>
            </a:ln>
          </c:spPr>
          <c:dLbls>
            <c:spPr>
              <a:noFill/>
              <a:ln>
                <a:noFill/>
              </a:ln>
              <a:effectLst/>
            </c:spPr>
            <c:txPr>
              <a:bodyPr wrap="square"/>
              <a:lstStyle/>
              <a:p>
                <a:pPr>
                  <a:defRPr sz="1000" b="0" strike="noStrike" spc="-1">
                    <a:solidFill>
                      <a:srgbClr val="000000"/>
                    </a:solidFill>
                    <a:latin typeface="Arial Narrow"/>
                  </a:defRPr>
                </a:pPr>
                <a:endParaRPr lang="lv-LV"/>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2"/>
                <c:pt idx="0">
                  <c:v>2020</c:v>
                </c:pt>
                <c:pt idx="1">
                  <c:v>2021</c:v>
                </c:pt>
                <c:pt idx="2">
                  <c:v>2022</c:v>
                </c:pt>
                <c:pt idx="3">
                  <c:v>2023</c:v>
                </c:pt>
                <c:pt idx="4">
                  <c:v>2024</c:v>
                </c:pt>
                <c:pt idx="5">
                  <c:v>2025</c:v>
                </c:pt>
                <c:pt idx="6">
                  <c:v>2026</c:v>
                </c:pt>
                <c:pt idx="7">
                  <c:v>2027</c:v>
                </c:pt>
                <c:pt idx="8">
                  <c:v>2028</c:v>
                </c:pt>
                <c:pt idx="9">
                  <c:v>2029</c:v>
                </c:pt>
                <c:pt idx="10">
                  <c:v>2030</c:v>
                </c:pt>
              </c:strCache>
            </c:strRef>
          </c:cat>
          <c:val>
            <c:numRef>
              <c:f>1</c:f>
              <c:numCache>
                <c:formatCode>General</c:formatCode>
                <c:ptCount val="12"/>
                <c:pt idx="0">
                  <c:v>55.313869090909101</c:v>
                </c:pt>
                <c:pt idx="1">
                  <c:v>50.274373090909101</c:v>
                </c:pt>
                <c:pt idx="2">
                  <c:v>45.234877090909102</c:v>
                </c:pt>
                <c:pt idx="3">
                  <c:v>40.195381090909102</c:v>
                </c:pt>
                <c:pt idx="4">
                  <c:v>35.155885090909102</c:v>
                </c:pt>
                <c:pt idx="5">
                  <c:v>30.116389090909099</c:v>
                </c:pt>
                <c:pt idx="6">
                  <c:v>25.076893090909099</c:v>
                </c:pt>
                <c:pt idx="7">
                  <c:v>20.037397090909099</c:v>
                </c:pt>
                <c:pt idx="8">
                  <c:v>14.9979010909091</c:v>
                </c:pt>
                <c:pt idx="9">
                  <c:v>9.9584050909091104</c:v>
                </c:pt>
                <c:pt idx="10">
                  <c:v>0</c:v>
                </c:pt>
              </c:numCache>
            </c:numRef>
          </c:val>
          <c:extLst>
            <c:ext xmlns:c16="http://schemas.microsoft.com/office/drawing/2014/chart" uri="{C3380CC4-5D6E-409C-BE32-E72D297353CC}">
              <c16:uniqueId val="{00000001-35E6-4FCB-91DE-0DDA011E0A7D}"/>
            </c:ext>
          </c:extLst>
        </c:ser>
        <c:ser>
          <c:idx val="2"/>
          <c:order val="2"/>
          <c:tx>
            <c:strRef>
              <c:f>label 2</c:f>
              <c:strCache>
                <c:ptCount val="1"/>
                <c:pt idx="0">
                  <c:v>Lauksaimniecības augu atliekas (D scenārijs: izejvielu izmantošana 3 % ampērā no ražas)</c:v>
                </c:pt>
              </c:strCache>
            </c:strRef>
          </c:tx>
          <c:spPr>
            <a:solidFill>
              <a:srgbClr val="A5A5A5"/>
            </a:solidFill>
            <a:ln w="0">
              <a:noFill/>
            </a:ln>
          </c:spPr>
          <c:dLbls>
            <c:spPr>
              <a:noFill/>
              <a:ln>
                <a:noFill/>
              </a:ln>
              <a:effectLst/>
            </c:spPr>
            <c:txPr>
              <a:bodyPr wrap="square"/>
              <a:lstStyle/>
              <a:p>
                <a:pPr>
                  <a:defRPr sz="1000" b="0" strike="noStrike" spc="-1">
                    <a:solidFill>
                      <a:srgbClr val="000000"/>
                    </a:solidFill>
                    <a:latin typeface="Arial Narrow"/>
                  </a:defRPr>
                </a:pPr>
                <a:endParaRPr lang="lv-LV"/>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2"/>
                <c:pt idx="0">
                  <c:v>2020</c:v>
                </c:pt>
                <c:pt idx="1">
                  <c:v>2021</c:v>
                </c:pt>
                <c:pt idx="2">
                  <c:v>2022</c:v>
                </c:pt>
                <c:pt idx="3">
                  <c:v>2023</c:v>
                </c:pt>
                <c:pt idx="4">
                  <c:v>2024</c:v>
                </c:pt>
                <c:pt idx="5">
                  <c:v>2025</c:v>
                </c:pt>
                <c:pt idx="6">
                  <c:v>2026</c:v>
                </c:pt>
                <c:pt idx="7">
                  <c:v>2027</c:v>
                </c:pt>
                <c:pt idx="8">
                  <c:v>2028</c:v>
                </c:pt>
                <c:pt idx="9">
                  <c:v>2029</c:v>
                </c:pt>
                <c:pt idx="10">
                  <c:v>2030</c:v>
                </c:pt>
              </c:strCache>
            </c:strRef>
          </c:cat>
          <c:val>
            <c:numRef>
              <c:f>2</c:f>
              <c:numCache>
                <c:formatCode>General</c:formatCode>
                <c:ptCount val="12"/>
                <c:pt idx="0">
                  <c:v>3.2023284300000001</c:v>
                </c:pt>
                <c:pt idx="1">
                  <c:v>4.1007197700000004</c:v>
                </c:pt>
                <c:pt idx="2">
                  <c:v>4.9991111100000003</c:v>
                </c:pt>
                <c:pt idx="3">
                  <c:v>5.8975024500000002</c:v>
                </c:pt>
                <c:pt idx="4">
                  <c:v>6.79589379</c:v>
                </c:pt>
                <c:pt idx="5">
                  <c:v>7.6942851299999999</c:v>
                </c:pt>
                <c:pt idx="6">
                  <c:v>8.5926764700000007</c:v>
                </c:pt>
                <c:pt idx="7">
                  <c:v>9.4910678100000005</c:v>
                </c:pt>
                <c:pt idx="8">
                  <c:v>10.38945915</c:v>
                </c:pt>
                <c:pt idx="9">
                  <c:v>11.28785049</c:v>
                </c:pt>
                <c:pt idx="10">
                  <c:v>12.18624183</c:v>
                </c:pt>
              </c:numCache>
            </c:numRef>
          </c:val>
          <c:extLst>
            <c:ext xmlns:c16="http://schemas.microsoft.com/office/drawing/2014/chart" uri="{C3380CC4-5D6E-409C-BE32-E72D297353CC}">
              <c16:uniqueId val="{00000002-35E6-4FCB-91DE-0DDA011E0A7D}"/>
            </c:ext>
          </c:extLst>
        </c:ser>
        <c:ser>
          <c:idx val="3"/>
          <c:order val="3"/>
          <c:tx>
            <c:strRef>
              <c:f>label 3</c:f>
              <c:strCache>
                <c:ptCount val="1"/>
                <c:pt idx="0">
                  <c:v>Zālāji (A scenārijs: 10 % no platības)</c:v>
                </c:pt>
              </c:strCache>
            </c:strRef>
          </c:tx>
          <c:spPr>
            <a:solidFill>
              <a:srgbClr val="FFC000"/>
            </a:solidFill>
            <a:ln w="0">
              <a:noFill/>
            </a:ln>
          </c:spPr>
          <c:dLbls>
            <c:spPr>
              <a:noFill/>
              <a:ln>
                <a:noFill/>
              </a:ln>
              <a:effectLst/>
            </c:spPr>
            <c:txPr>
              <a:bodyPr wrap="square"/>
              <a:lstStyle/>
              <a:p>
                <a:pPr>
                  <a:defRPr sz="1000" b="0" strike="noStrike" spc="-1">
                    <a:solidFill>
                      <a:srgbClr val="000000"/>
                    </a:solidFill>
                    <a:latin typeface="Arial Narrow"/>
                  </a:defRPr>
                </a:pPr>
                <a:endParaRPr lang="lv-LV"/>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2"/>
                <c:pt idx="0">
                  <c:v>2020</c:v>
                </c:pt>
                <c:pt idx="1">
                  <c:v>2021</c:v>
                </c:pt>
                <c:pt idx="2">
                  <c:v>2022</c:v>
                </c:pt>
                <c:pt idx="3">
                  <c:v>2023</c:v>
                </c:pt>
                <c:pt idx="4">
                  <c:v>2024</c:v>
                </c:pt>
                <c:pt idx="5">
                  <c:v>2025</c:v>
                </c:pt>
                <c:pt idx="6">
                  <c:v>2026</c:v>
                </c:pt>
                <c:pt idx="7">
                  <c:v>2027</c:v>
                </c:pt>
                <c:pt idx="8">
                  <c:v>2028</c:v>
                </c:pt>
                <c:pt idx="9">
                  <c:v>2029</c:v>
                </c:pt>
                <c:pt idx="10">
                  <c:v>2030</c:v>
                </c:pt>
              </c:strCache>
            </c:strRef>
          </c:cat>
          <c:val>
            <c:numRef>
              <c:f>3</c:f>
              <c:numCache>
                <c:formatCode>General</c:formatCode>
                <c:ptCount val="12"/>
                <c:pt idx="0">
                  <c:v>32.046300000000002</c:v>
                </c:pt>
                <c:pt idx="1">
                  <c:v>32.046300000000002</c:v>
                </c:pt>
                <c:pt idx="2">
                  <c:v>32.046300000000002</c:v>
                </c:pt>
                <c:pt idx="3">
                  <c:v>32.046300000000002</c:v>
                </c:pt>
                <c:pt idx="4">
                  <c:v>32.046300000000002</c:v>
                </c:pt>
                <c:pt idx="5">
                  <c:v>32.046300000000002</c:v>
                </c:pt>
                <c:pt idx="6">
                  <c:v>32.046300000000002</c:v>
                </c:pt>
                <c:pt idx="7">
                  <c:v>32.046300000000002</c:v>
                </c:pt>
                <c:pt idx="8">
                  <c:v>32.046300000000002</c:v>
                </c:pt>
                <c:pt idx="9">
                  <c:v>32.046300000000002</c:v>
                </c:pt>
                <c:pt idx="10">
                  <c:v>32.046300000000002</c:v>
                </c:pt>
              </c:numCache>
            </c:numRef>
          </c:val>
          <c:extLst>
            <c:ext xmlns:c16="http://schemas.microsoft.com/office/drawing/2014/chart" uri="{C3380CC4-5D6E-409C-BE32-E72D297353CC}">
              <c16:uniqueId val="{00000003-35E6-4FCB-91DE-0DDA011E0A7D}"/>
            </c:ext>
          </c:extLst>
        </c:ser>
        <c:ser>
          <c:idx val="4"/>
          <c:order val="4"/>
          <c:tx>
            <c:strRef>
              <c:f>label 4</c:f>
              <c:strCache>
                <c:ptCount val="1"/>
                <c:pt idx="0">
                  <c:v>Bioloģiski noārdāmie atkritumi (B1 scenārijs: 30 % no pārstrādei savāktā)</c:v>
                </c:pt>
              </c:strCache>
            </c:strRef>
          </c:tx>
          <c:spPr>
            <a:solidFill>
              <a:srgbClr val="4472C4"/>
            </a:solidFill>
            <a:ln w="0">
              <a:noFill/>
            </a:ln>
          </c:spPr>
          <c:dLbls>
            <c:spPr>
              <a:noFill/>
              <a:ln>
                <a:noFill/>
              </a:ln>
              <a:effectLst/>
            </c:spPr>
            <c:txPr>
              <a:bodyPr wrap="square"/>
              <a:lstStyle/>
              <a:p>
                <a:pPr>
                  <a:defRPr sz="1000" b="0" strike="noStrike" spc="-1">
                    <a:solidFill>
                      <a:srgbClr val="000000"/>
                    </a:solidFill>
                    <a:latin typeface="Arial Narrow"/>
                  </a:defRPr>
                </a:pPr>
                <a:endParaRPr lang="lv-LV"/>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2"/>
                <c:pt idx="0">
                  <c:v>2020</c:v>
                </c:pt>
                <c:pt idx="1">
                  <c:v>2021</c:v>
                </c:pt>
                <c:pt idx="2">
                  <c:v>2022</c:v>
                </c:pt>
                <c:pt idx="3">
                  <c:v>2023</c:v>
                </c:pt>
                <c:pt idx="4">
                  <c:v>2024</c:v>
                </c:pt>
                <c:pt idx="5">
                  <c:v>2025</c:v>
                </c:pt>
                <c:pt idx="6">
                  <c:v>2026</c:v>
                </c:pt>
                <c:pt idx="7">
                  <c:v>2027</c:v>
                </c:pt>
                <c:pt idx="8">
                  <c:v>2028</c:v>
                </c:pt>
                <c:pt idx="9">
                  <c:v>2029</c:v>
                </c:pt>
                <c:pt idx="10">
                  <c:v>2030</c:v>
                </c:pt>
              </c:strCache>
            </c:strRef>
          </c:cat>
          <c:val>
            <c:numRef>
              <c:f>4</c:f>
              <c:numCache>
                <c:formatCode>General</c:formatCode>
                <c:ptCount val="12"/>
                <c:pt idx="0">
                  <c:v>16.209868499999999</c:v>
                </c:pt>
                <c:pt idx="1">
                  <c:v>17.296122374999999</c:v>
                </c:pt>
                <c:pt idx="2">
                  <c:v>18.38237625</c:v>
                </c:pt>
                <c:pt idx="3">
                  <c:v>19.468630125000001</c:v>
                </c:pt>
                <c:pt idx="4">
                  <c:v>20.554884000000001</c:v>
                </c:pt>
                <c:pt idx="5">
                  <c:v>21.641137874999998</c:v>
                </c:pt>
                <c:pt idx="6">
                  <c:v>22.727391749999999</c:v>
                </c:pt>
                <c:pt idx="7">
                  <c:v>23.813645624999999</c:v>
                </c:pt>
                <c:pt idx="8">
                  <c:v>24.8998995</c:v>
                </c:pt>
                <c:pt idx="9">
                  <c:v>25.986153375000001</c:v>
                </c:pt>
                <c:pt idx="10">
                  <c:v>27.072407250000001</c:v>
                </c:pt>
              </c:numCache>
            </c:numRef>
          </c:val>
          <c:extLst>
            <c:ext xmlns:c16="http://schemas.microsoft.com/office/drawing/2014/chart" uri="{C3380CC4-5D6E-409C-BE32-E72D297353CC}">
              <c16:uniqueId val="{00000004-35E6-4FCB-91DE-0DDA011E0A7D}"/>
            </c:ext>
          </c:extLst>
        </c:ser>
        <c:ser>
          <c:idx val="5"/>
          <c:order val="5"/>
          <c:tx>
            <c:strRef>
              <c:f>label 5</c:f>
              <c:strCache>
                <c:ptCount val="1"/>
                <c:pt idx="0">
                  <c:v>N.ū. attīrīšanas dūņas (C scenārijs: 50 % no radītā daudzuma )</c:v>
                </c:pt>
              </c:strCache>
            </c:strRef>
          </c:tx>
          <c:spPr>
            <a:solidFill>
              <a:srgbClr val="70AD47"/>
            </a:solidFill>
            <a:ln w="0">
              <a:noFill/>
            </a:ln>
          </c:spPr>
          <c:dLbls>
            <c:spPr>
              <a:noFill/>
              <a:ln>
                <a:noFill/>
              </a:ln>
              <a:effectLst/>
            </c:spPr>
            <c:txPr>
              <a:bodyPr wrap="square"/>
              <a:lstStyle/>
              <a:p>
                <a:pPr>
                  <a:defRPr sz="1000" b="0" strike="noStrike" spc="-1">
                    <a:solidFill>
                      <a:srgbClr val="000000"/>
                    </a:solidFill>
                    <a:latin typeface="Arial Narrow"/>
                  </a:defRPr>
                </a:pPr>
                <a:endParaRPr lang="lv-LV"/>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2"/>
                <c:pt idx="0">
                  <c:v>2020</c:v>
                </c:pt>
                <c:pt idx="1">
                  <c:v>2021</c:v>
                </c:pt>
                <c:pt idx="2">
                  <c:v>2022</c:v>
                </c:pt>
                <c:pt idx="3">
                  <c:v>2023</c:v>
                </c:pt>
                <c:pt idx="4">
                  <c:v>2024</c:v>
                </c:pt>
                <c:pt idx="5">
                  <c:v>2025</c:v>
                </c:pt>
                <c:pt idx="6">
                  <c:v>2026</c:v>
                </c:pt>
                <c:pt idx="7">
                  <c:v>2027</c:v>
                </c:pt>
                <c:pt idx="8">
                  <c:v>2028</c:v>
                </c:pt>
                <c:pt idx="9">
                  <c:v>2029</c:v>
                </c:pt>
                <c:pt idx="10">
                  <c:v>2030</c:v>
                </c:pt>
              </c:strCache>
            </c:strRef>
          </c:cat>
          <c:val>
            <c:numRef>
              <c:f>5</c:f>
              <c:numCache>
                <c:formatCode>General</c:formatCode>
                <c:ptCount val="12"/>
                <c:pt idx="0">
                  <c:v>4.9173749999999998</c:v>
                </c:pt>
                <c:pt idx="1">
                  <c:v>5.0157224999999999</c:v>
                </c:pt>
                <c:pt idx="2">
                  <c:v>5.1140699999999999</c:v>
                </c:pt>
                <c:pt idx="3">
                  <c:v>5.2124174999999999</c:v>
                </c:pt>
                <c:pt idx="4">
                  <c:v>5.310765</c:v>
                </c:pt>
                <c:pt idx="5">
                  <c:v>5.4091125</c:v>
                </c:pt>
                <c:pt idx="6">
                  <c:v>5.50746</c:v>
                </c:pt>
                <c:pt idx="7">
                  <c:v>5.6058075000000001</c:v>
                </c:pt>
                <c:pt idx="8">
                  <c:v>5.7041550000000001</c:v>
                </c:pt>
                <c:pt idx="9">
                  <c:v>5.8025025000000001</c:v>
                </c:pt>
                <c:pt idx="10">
                  <c:v>5.9008500000000002</c:v>
                </c:pt>
              </c:numCache>
            </c:numRef>
          </c:val>
          <c:extLst>
            <c:ext xmlns:c16="http://schemas.microsoft.com/office/drawing/2014/chart" uri="{C3380CC4-5D6E-409C-BE32-E72D297353CC}">
              <c16:uniqueId val="{00000005-35E6-4FCB-91DE-0DDA011E0A7D}"/>
            </c:ext>
          </c:extLst>
        </c:ser>
        <c:ser>
          <c:idx val="6"/>
          <c:order val="6"/>
          <c:tx>
            <c:strRef>
              <c:f>label 6</c:f>
              <c:strCache>
                <c:ptCount val="1"/>
                <c:pt idx="0">
                  <c:v>Poligonu gāze (B scenārijs: 10 % samazinājums līdz 2030. gadam</c:v>
                </c:pt>
              </c:strCache>
            </c:strRef>
          </c:tx>
          <c:spPr>
            <a:solidFill>
              <a:srgbClr val="255E91"/>
            </a:solidFill>
            <a:ln w="25560">
              <a:noFill/>
            </a:ln>
          </c:spPr>
          <c:dLbls>
            <c:spPr>
              <a:noFill/>
              <a:ln>
                <a:noFill/>
              </a:ln>
              <a:effectLst/>
            </c:spPr>
            <c:txPr>
              <a:bodyPr wrap="square"/>
              <a:lstStyle/>
              <a:p>
                <a:pPr>
                  <a:defRPr sz="1000" b="0" strike="noStrike" spc="-1">
                    <a:solidFill>
                      <a:srgbClr val="000000"/>
                    </a:solidFill>
                    <a:latin typeface="Arial Narrow"/>
                  </a:defRPr>
                </a:pPr>
                <a:endParaRPr lang="lv-LV"/>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2"/>
                <c:pt idx="0">
                  <c:v>2020</c:v>
                </c:pt>
                <c:pt idx="1">
                  <c:v>2021</c:v>
                </c:pt>
                <c:pt idx="2">
                  <c:v>2022</c:v>
                </c:pt>
                <c:pt idx="3">
                  <c:v>2023</c:v>
                </c:pt>
                <c:pt idx="4">
                  <c:v>2024</c:v>
                </c:pt>
                <c:pt idx="5">
                  <c:v>2025</c:v>
                </c:pt>
                <c:pt idx="6">
                  <c:v>2026</c:v>
                </c:pt>
                <c:pt idx="7">
                  <c:v>2027</c:v>
                </c:pt>
                <c:pt idx="8">
                  <c:v>2028</c:v>
                </c:pt>
                <c:pt idx="9">
                  <c:v>2029</c:v>
                </c:pt>
                <c:pt idx="10">
                  <c:v>2030</c:v>
                </c:pt>
              </c:strCache>
            </c:strRef>
          </c:cat>
          <c:val>
            <c:numRef>
              <c:f>6</c:f>
              <c:numCache>
                <c:formatCode>General</c:formatCode>
                <c:ptCount val="12"/>
                <c:pt idx="0">
                  <c:v>17</c:v>
                </c:pt>
                <c:pt idx="1">
                  <c:v>16.845454545454501</c:v>
                </c:pt>
                <c:pt idx="2">
                  <c:v>16.690909090909098</c:v>
                </c:pt>
                <c:pt idx="3">
                  <c:v>16.5363636363636</c:v>
                </c:pt>
                <c:pt idx="4">
                  <c:v>16.3818181818182</c:v>
                </c:pt>
                <c:pt idx="5">
                  <c:v>16.227272727272702</c:v>
                </c:pt>
                <c:pt idx="6">
                  <c:v>16.072727272727299</c:v>
                </c:pt>
                <c:pt idx="7">
                  <c:v>15.9181818181818</c:v>
                </c:pt>
                <c:pt idx="8">
                  <c:v>15.763636363636399</c:v>
                </c:pt>
                <c:pt idx="9">
                  <c:v>15.6090909090909</c:v>
                </c:pt>
                <c:pt idx="10">
                  <c:v>15.4545454545454</c:v>
                </c:pt>
              </c:numCache>
            </c:numRef>
          </c:val>
          <c:extLst>
            <c:ext xmlns:c16="http://schemas.microsoft.com/office/drawing/2014/chart" uri="{C3380CC4-5D6E-409C-BE32-E72D297353CC}">
              <c16:uniqueId val="{00000006-35E6-4FCB-91DE-0DDA011E0A7D}"/>
            </c:ext>
          </c:extLst>
        </c:ser>
        <c:dLbls>
          <c:showLegendKey val="0"/>
          <c:showVal val="0"/>
          <c:showCatName val="0"/>
          <c:showSerName val="0"/>
          <c:showPercent val="0"/>
          <c:showBubbleSize val="0"/>
        </c:dLbls>
        <c:axId val="49050105"/>
        <c:axId val="12218342"/>
      </c:areaChart>
      <c:catAx>
        <c:axId val="49050105"/>
        <c:scaling>
          <c:orientation val="minMax"/>
        </c:scaling>
        <c:delete val="0"/>
        <c:axPos val="b"/>
        <c:numFmt formatCode="General" sourceLinked="0"/>
        <c:majorTickMark val="out"/>
        <c:minorTickMark val="none"/>
        <c:tickLblPos val="nextTo"/>
        <c:spPr>
          <a:ln w="9360">
            <a:solidFill>
              <a:srgbClr val="D9D9D9"/>
            </a:solidFill>
            <a:round/>
          </a:ln>
        </c:spPr>
        <c:txPr>
          <a:bodyPr/>
          <a:lstStyle/>
          <a:p>
            <a:pPr>
              <a:defRPr sz="900" b="0" strike="noStrike" spc="-1">
                <a:solidFill>
                  <a:srgbClr val="595959"/>
                </a:solidFill>
                <a:latin typeface="Arial Narrow"/>
              </a:defRPr>
            </a:pPr>
            <a:endParaRPr lang="lv-LV"/>
          </a:p>
        </c:txPr>
        <c:crossAx val="12218342"/>
        <c:crosses val="autoZero"/>
        <c:auto val="1"/>
        <c:lblAlgn val="ctr"/>
        <c:lblOffset val="100"/>
        <c:noMultiLvlLbl val="0"/>
      </c:catAx>
      <c:valAx>
        <c:axId val="12218342"/>
        <c:scaling>
          <c:orientation val="minMax"/>
        </c:scaling>
        <c:delete val="0"/>
        <c:axPos val="l"/>
        <c:majorGridlines>
          <c:spPr>
            <a:ln w="9360">
              <a:solidFill>
                <a:srgbClr val="D9D9D9"/>
              </a:solidFill>
              <a:round/>
            </a:ln>
          </c:spPr>
        </c:majorGridlines>
        <c:title>
          <c:tx>
            <c:rich>
              <a:bodyPr rot="-5400000"/>
              <a:lstStyle/>
              <a:p>
                <a:pPr>
                  <a:defRPr lang="en-US" sz="1000" b="0" strike="noStrike" spc="-1">
                    <a:solidFill>
                      <a:srgbClr val="595959"/>
                    </a:solidFill>
                    <a:latin typeface="Arial Narrow"/>
                  </a:defRPr>
                </a:pPr>
                <a:r>
                  <a:rPr lang="en-US" sz="1000" b="0" strike="noStrike" spc="-1">
                    <a:solidFill>
                      <a:srgbClr val="595959"/>
                    </a:solidFill>
                    <a:latin typeface="Arial Narrow"/>
                  </a:rPr>
                  <a:t>Milj. m 3</a:t>
                </a:r>
              </a:p>
            </c:rich>
          </c:tx>
          <c:layout>
            <c:manualLayout>
              <c:xMode val="edge"/>
              <c:yMode val="edge"/>
              <c:x val="2.73193342229089E-2"/>
              <c:y val="0.32638784414021399"/>
            </c:manualLayout>
          </c:layout>
          <c:overlay val="0"/>
          <c:spPr>
            <a:noFill/>
            <a:ln w="0">
              <a:noFill/>
            </a:ln>
          </c:spPr>
        </c:title>
        <c:numFmt formatCode="0.0" sourceLinked="0"/>
        <c:majorTickMark val="none"/>
        <c:minorTickMark val="none"/>
        <c:tickLblPos val="nextTo"/>
        <c:spPr>
          <a:ln w="6480">
            <a:noFill/>
          </a:ln>
        </c:spPr>
        <c:txPr>
          <a:bodyPr/>
          <a:lstStyle/>
          <a:p>
            <a:pPr>
              <a:defRPr sz="900" b="0" strike="noStrike" spc="-1">
                <a:solidFill>
                  <a:srgbClr val="595959"/>
                </a:solidFill>
                <a:latin typeface="Arial Narrow"/>
              </a:defRPr>
            </a:pPr>
            <a:endParaRPr lang="lv-LV"/>
          </a:p>
        </c:txPr>
        <c:crossAx val="49050105"/>
        <c:crosses val="autoZero"/>
        <c:crossBetween val="midCat"/>
      </c:valAx>
      <c:spPr>
        <a:noFill/>
        <a:ln w="0">
          <a:noFill/>
        </a:ln>
      </c:spPr>
    </c:plotArea>
    <c:legend>
      <c:legendPos val="b"/>
      <c:overlay val="0"/>
      <c:spPr>
        <a:noFill/>
        <a:ln w="0">
          <a:noFill/>
        </a:ln>
      </c:spPr>
      <c:txPr>
        <a:bodyPr/>
        <a:lstStyle/>
        <a:p>
          <a:pPr>
            <a:defRPr sz="1000" b="0" strike="noStrike" spc="-1">
              <a:solidFill>
                <a:srgbClr val="595959"/>
              </a:solidFill>
              <a:latin typeface="Times New Roman"/>
            </a:defRPr>
          </a:pPr>
          <a:endParaRPr lang="lv-LV"/>
        </a:p>
      </c:txPr>
    </c:legend>
    <c:plotVisOnly val="1"/>
    <c:dispBlanksAs val="zero"/>
    <c:showDLblsOverMax val="1"/>
  </c:chart>
  <c:spPr>
    <a:solidFill>
      <a:srgbClr val="FFFFFF"/>
    </a:solidFill>
    <a:ln w="9360">
      <a:solidFill>
        <a:srgbClr val="D9D9D9"/>
      </a:solidFill>
      <a:round/>
    </a:ln>
  </c:spPr>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A449280E-801E-4F5C-A458-2D30F9CC1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55580</Words>
  <Characters>31681</Characters>
  <Application>Microsoft Office Word</Application>
  <DocSecurity>0</DocSecurity>
  <Lines>264</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2022-04-23T07:03:00Z</dcterms:created>
  <dcterms:modified xsi:type="dcterms:W3CDTF">2022-04-23T08:19:00Z</dcterms:modified>
  <dc:language/>
</cp:coreProperties>
</file>