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22.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4.xml" ContentType="application/vnd.openxmlformats-officedocument.themeOverride+xml"/>
  <Override PartName="/word/drawings/drawing2.xml" ContentType="application/vnd.openxmlformats-officedocument.drawingml.chartshapes+xml"/>
  <Override PartName="/word/charts/chart23.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5.xml" ContentType="application/vnd.openxmlformats-officedocument.themeOverride+xml"/>
  <Override PartName="/word/drawings/drawing3.xml" ContentType="application/vnd.openxmlformats-officedocument.drawingml.chartshapes+xml"/>
  <Override PartName="/word/charts/chart24.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6.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26221" w14:textId="77777777" w:rsidR="00043218" w:rsidRPr="002B23A5" w:rsidRDefault="00043218" w:rsidP="00043218">
      <w:pPr>
        <w:ind w:firstLine="360"/>
        <w:jc w:val="center"/>
        <w:rPr>
          <w:b/>
        </w:rPr>
      </w:pPr>
    </w:p>
    <w:p w14:paraId="232B6EAC" w14:textId="77777777" w:rsidR="00043218" w:rsidRDefault="00043218" w:rsidP="00043218">
      <w:pPr>
        <w:ind w:firstLine="360"/>
        <w:jc w:val="center"/>
        <w:rPr>
          <w:b/>
          <w:sz w:val="32"/>
          <w:szCs w:val="32"/>
        </w:rPr>
      </w:pPr>
    </w:p>
    <w:p w14:paraId="5441786D" w14:textId="77777777" w:rsidR="00043218" w:rsidRPr="000A1F10" w:rsidRDefault="00043218" w:rsidP="00043218">
      <w:pPr>
        <w:rPr>
          <w:sz w:val="32"/>
          <w:szCs w:val="32"/>
        </w:rPr>
      </w:pPr>
    </w:p>
    <w:p w14:paraId="6EB5D36C" w14:textId="77777777" w:rsidR="00043218" w:rsidRPr="000A1F10" w:rsidRDefault="00043218" w:rsidP="00043218">
      <w:pPr>
        <w:rPr>
          <w:sz w:val="32"/>
          <w:szCs w:val="32"/>
        </w:rPr>
      </w:pPr>
    </w:p>
    <w:p w14:paraId="507CD0AB" w14:textId="77777777" w:rsidR="00043218" w:rsidRPr="000A1F10" w:rsidRDefault="00043218" w:rsidP="00043218">
      <w:pPr>
        <w:rPr>
          <w:sz w:val="32"/>
          <w:szCs w:val="32"/>
        </w:rPr>
      </w:pPr>
    </w:p>
    <w:p w14:paraId="5F5E0277" w14:textId="77777777" w:rsidR="00043218" w:rsidRDefault="00043218" w:rsidP="00043218">
      <w:pPr>
        <w:ind w:firstLine="360"/>
        <w:jc w:val="center"/>
        <w:rPr>
          <w:sz w:val="32"/>
          <w:szCs w:val="32"/>
        </w:rPr>
      </w:pPr>
    </w:p>
    <w:p w14:paraId="349180F9" w14:textId="77777777" w:rsidR="00043218" w:rsidRDefault="00043218" w:rsidP="00043218">
      <w:pPr>
        <w:jc w:val="center"/>
        <w:rPr>
          <w:b/>
          <w:sz w:val="44"/>
          <w:szCs w:val="32"/>
        </w:rPr>
      </w:pPr>
    </w:p>
    <w:p w14:paraId="4D0D9FF5" w14:textId="77777777" w:rsidR="00043218" w:rsidRDefault="00043218" w:rsidP="00043218">
      <w:pPr>
        <w:jc w:val="center"/>
        <w:rPr>
          <w:b/>
          <w:sz w:val="44"/>
          <w:szCs w:val="32"/>
        </w:rPr>
      </w:pPr>
    </w:p>
    <w:p w14:paraId="1EBE4921" w14:textId="77777777" w:rsidR="00043218" w:rsidRDefault="00043218" w:rsidP="00043218">
      <w:pPr>
        <w:jc w:val="center"/>
        <w:rPr>
          <w:b/>
          <w:sz w:val="44"/>
          <w:szCs w:val="32"/>
        </w:rPr>
      </w:pPr>
    </w:p>
    <w:p w14:paraId="050849A3" w14:textId="77777777" w:rsidR="00043218" w:rsidRDefault="00043218" w:rsidP="00043218">
      <w:pPr>
        <w:jc w:val="center"/>
        <w:rPr>
          <w:b/>
          <w:sz w:val="44"/>
          <w:szCs w:val="32"/>
        </w:rPr>
      </w:pPr>
    </w:p>
    <w:p w14:paraId="29FDB31B" w14:textId="77777777" w:rsidR="00043218" w:rsidRPr="000A1F10" w:rsidRDefault="00043218" w:rsidP="00043218">
      <w:pPr>
        <w:ind w:firstLine="0"/>
        <w:jc w:val="center"/>
        <w:rPr>
          <w:b/>
          <w:sz w:val="44"/>
          <w:szCs w:val="32"/>
        </w:rPr>
      </w:pPr>
      <w:r w:rsidRPr="000A1F10">
        <w:rPr>
          <w:b/>
          <w:sz w:val="44"/>
          <w:szCs w:val="32"/>
        </w:rPr>
        <w:t>Informatīvais ziņojums</w:t>
      </w:r>
    </w:p>
    <w:p w14:paraId="04CCD1D4" w14:textId="77777777" w:rsidR="00043218" w:rsidRPr="000A1F10" w:rsidRDefault="00043218" w:rsidP="00043218">
      <w:pPr>
        <w:rPr>
          <w:b/>
          <w:sz w:val="44"/>
          <w:szCs w:val="32"/>
        </w:rPr>
      </w:pPr>
    </w:p>
    <w:p w14:paraId="409A5C47" w14:textId="2E51A6D8" w:rsidR="00043218" w:rsidRPr="00A05C07" w:rsidRDefault="00043218" w:rsidP="00043218">
      <w:pPr>
        <w:ind w:firstLine="0"/>
        <w:jc w:val="center"/>
        <w:rPr>
          <w:b/>
          <w:sz w:val="44"/>
          <w:szCs w:val="32"/>
        </w:rPr>
      </w:pPr>
      <w:r w:rsidRPr="00A05C07">
        <w:rPr>
          <w:b/>
          <w:sz w:val="44"/>
          <w:szCs w:val="32"/>
        </w:rPr>
        <w:t xml:space="preserve">„Par </w:t>
      </w:r>
      <w:r w:rsidR="00171158">
        <w:rPr>
          <w:b/>
          <w:sz w:val="44"/>
          <w:szCs w:val="32"/>
        </w:rPr>
        <w:t xml:space="preserve">aktualizētām </w:t>
      </w:r>
      <w:r w:rsidRPr="00A05C07">
        <w:rPr>
          <w:b/>
          <w:sz w:val="44"/>
          <w:szCs w:val="32"/>
        </w:rPr>
        <w:t>makroekonomisko rādītāju, ieņēmumu un vispārējās valdības budžeta bilances prognozēm 20</w:t>
      </w:r>
      <w:r w:rsidR="00AC55E4">
        <w:rPr>
          <w:b/>
          <w:sz w:val="44"/>
          <w:szCs w:val="32"/>
        </w:rPr>
        <w:t>2</w:t>
      </w:r>
      <w:r w:rsidR="00334E30">
        <w:rPr>
          <w:b/>
          <w:sz w:val="44"/>
          <w:szCs w:val="32"/>
        </w:rPr>
        <w:t>3</w:t>
      </w:r>
      <w:r w:rsidRPr="00A05C07">
        <w:rPr>
          <w:b/>
          <w:sz w:val="44"/>
          <w:szCs w:val="32"/>
        </w:rPr>
        <w:t>.-20</w:t>
      </w:r>
      <w:r w:rsidR="0013226B">
        <w:rPr>
          <w:b/>
          <w:sz w:val="44"/>
          <w:szCs w:val="32"/>
        </w:rPr>
        <w:t>2</w:t>
      </w:r>
      <w:r w:rsidR="00334E30">
        <w:rPr>
          <w:b/>
          <w:sz w:val="44"/>
          <w:szCs w:val="32"/>
        </w:rPr>
        <w:t>5</w:t>
      </w:r>
      <w:r w:rsidRPr="00A05C07">
        <w:rPr>
          <w:b/>
          <w:sz w:val="44"/>
          <w:szCs w:val="32"/>
        </w:rPr>
        <w:t>.gadā”</w:t>
      </w:r>
    </w:p>
    <w:p w14:paraId="7CD2D459" w14:textId="77777777" w:rsidR="00043218" w:rsidRPr="000A1F10" w:rsidRDefault="00043218" w:rsidP="00043218">
      <w:pPr>
        <w:rPr>
          <w:b/>
          <w:sz w:val="48"/>
          <w:szCs w:val="32"/>
        </w:rPr>
      </w:pPr>
    </w:p>
    <w:p w14:paraId="3F296241" w14:textId="77777777" w:rsidR="00043218" w:rsidRDefault="00043218" w:rsidP="00043218">
      <w:pPr>
        <w:tabs>
          <w:tab w:val="left" w:pos="2763"/>
        </w:tabs>
        <w:ind w:firstLine="360"/>
        <w:rPr>
          <w:sz w:val="32"/>
          <w:szCs w:val="32"/>
        </w:rPr>
      </w:pPr>
    </w:p>
    <w:p w14:paraId="31AB1E46" w14:textId="77777777" w:rsidR="00043218" w:rsidRDefault="00043218" w:rsidP="00043218">
      <w:pPr>
        <w:rPr>
          <w:sz w:val="32"/>
          <w:szCs w:val="32"/>
        </w:rPr>
      </w:pPr>
    </w:p>
    <w:p w14:paraId="0CB521EC" w14:textId="77777777" w:rsidR="00043218" w:rsidRPr="000A1F10" w:rsidRDefault="00043218" w:rsidP="00043218">
      <w:pPr>
        <w:rPr>
          <w:sz w:val="32"/>
          <w:szCs w:val="32"/>
        </w:rPr>
      </w:pPr>
    </w:p>
    <w:p w14:paraId="1BE320F2" w14:textId="77777777" w:rsidR="00043218" w:rsidRPr="000A1F10" w:rsidRDefault="00043218" w:rsidP="00043218">
      <w:pPr>
        <w:rPr>
          <w:sz w:val="32"/>
          <w:szCs w:val="32"/>
        </w:rPr>
      </w:pPr>
    </w:p>
    <w:p w14:paraId="73739EF4" w14:textId="77777777" w:rsidR="00043218" w:rsidRPr="000A1F10" w:rsidRDefault="00043218" w:rsidP="00043218">
      <w:pPr>
        <w:rPr>
          <w:sz w:val="32"/>
          <w:szCs w:val="32"/>
        </w:rPr>
      </w:pPr>
    </w:p>
    <w:p w14:paraId="35A5FBF0" w14:textId="77777777" w:rsidR="00043218" w:rsidRPr="000A1F10" w:rsidRDefault="00043218" w:rsidP="00043218">
      <w:pPr>
        <w:rPr>
          <w:sz w:val="32"/>
          <w:szCs w:val="32"/>
        </w:rPr>
      </w:pPr>
    </w:p>
    <w:p w14:paraId="3BBF056C" w14:textId="77777777" w:rsidR="00043218" w:rsidRPr="000A1F10" w:rsidRDefault="00043218" w:rsidP="00043218">
      <w:pPr>
        <w:rPr>
          <w:sz w:val="32"/>
          <w:szCs w:val="32"/>
        </w:rPr>
      </w:pPr>
    </w:p>
    <w:p w14:paraId="2A3FD4E8" w14:textId="77777777" w:rsidR="00043218" w:rsidRPr="000A1F10" w:rsidRDefault="00043218" w:rsidP="00043218">
      <w:pPr>
        <w:rPr>
          <w:sz w:val="32"/>
          <w:szCs w:val="32"/>
        </w:rPr>
      </w:pPr>
    </w:p>
    <w:p w14:paraId="6DD7857F" w14:textId="77777777" w:rsidR="00043218" w:rsidRDefault="00043218" w:rsidP="00043218">
      <w:pPr>
        <w:ind w:firstLine="360"/>
        <w:jc w:val="center"/>
        <w:rPr>
          <w:sz w:val="32"/>
          <w:szCs w:val="32"/>
        </w:rPr>
      </w:pPr>
    </w:p>
    <w:p w14:paraId="00294257" w14:textId="667F9D20" w:rsidR="00043218" w:rsidRPr="003714E5" w:rsidRDefault="00AC55E4" w:rsidP="00043218">
      <w:pPr>
        <w:ind w:firstLine="360"/>
        <w:jc w:val="center"/>
        <w:rPr>
          <w:sz w:val="28"/>
          <w:szCs w:val="28"/>
        </w:rPr>
      </w:pPr>
      <w:r w:rsidRPr="003714E5">
        <w:rPr>
          <w:sz w:val="28"/>
          <w:szCs w:val="28"/>
        </w:rPr>
        <w:t>Rīga, 202</w:t>
      </w:r>
      <w:r w:rsidR="00334E30" w:rsidRPr="003714E5">
        <w:rPr>
          <w:sz w:val="28"/>
          <w:szCs w:val="28"/>
        </w:rPr>
        <w:t>2</w:t>
      </w:r>
    </w:p>
    <w:p w14:paraId="49E2B7FB" w14:textId="77777777" w:rsidR="00043218" w:rsidRDefault="0096417C" w:rsidP="0096417C">
      <w:pPr>
        <w:tabs>
          <w:tab w:val="left" w:pos="3143"/>
        </w:tabs>
        <w:ind w:firstLine="0"/>
        <w:rPr>
          <w:sz w:val="32"/>
          <w:szCs w:val="32"/>
        </w:rPr>
      </w:pPr>
      <w:r>
        <w:rPr>
          <w:sz w:val="32"/>
          <w:szCs w:val="32"/>
        </w:rPr>
        <w:tab/>
      </w:r>
    </w:p>
    <w:p w14:paraId="19B8F0C1" w14:textId="77777777" w:rsidR="0096417C" w:rsidRDefault="0096417C" w:rsidP="00043218">
      <w:pPr>
        <w:ind w:firstLine="360"/>
        <w:jc w:val="center"/>
        <w:rPr>
          <w:sz w:val="32"/>
          <w:szCs w:val="32"/>
        </w:rPr>
      </w:pPr>
    </w:p>
    <w:p w14:paraId="66F8D26F" w14:textId="77777777" w:rsidR="00043218" w:rsidRPr="003714E5" w:rsidRDefault="00043218" w:rsidP="00043218">
      <w:pPr>
        <w:ind w:firstLine="360"/>
        <w:jc w:val="center"/>
        <w:rPr>
          <w:b/>
          <w:sz w:val="28"/>
          <w:szCs w:val="28"/>
        </w:rPr>
      </w:pPr>
      <w:r w:rsidRPr="003714E5">
        <w:rPr>
          <w:b/>
          <w:sz w:val="28"/>
          <w:szCs w:val="28"/>
        </w:rPr>
        <w:t xml:space="preserve"> Saturs</w:t>
      </w:r>
    </w:p>
    <w:p w14:paraId="72ADE09C" w14:textId="77777777" w:rsidR="00043218" w:rsidRPr="00D1498B" w:rsidRDefault="00043218" w:rsidP="00043218">
      <w:pPr>
        <w:rPr>
          <w:b/>
          <w:szCs w:val="28"/>
        </w:rPr>
      </w:pPr>
    </w:p>
    <w:p w14:paraId="453B9B43" w14:textId="4161B739" w:rsidR="00711547" w:rsidRDefault="00043218">
      <w:pPr>
        <w:pStyle w:val="TOC1"/>
        <w:rPr>
          <w:rFonts w:asciiTheme="minorHAnsi" w:eastAsiaTheme="minorEastAsia" w:hAnsiTheme="minorHAnsi"/>
          <w:noProof/>
          <w:sz w:val="22"/>
          <w:lang w:eastAsia="lv-LV"/>
        </w:rPr>
      </w:pPr>
      <w:r w:rsidRPr="00572A55">
        <w:rPr>
          <w:b/>
          <w:szCs w:val="24"/>
        </w:rPr>
        <w:fldChar w:fldCharType="begin"/>
      </w:r>
      <w:r w:rsidRPr="00572A55">
        <w:rPr>
          <w:b/>
          <w:szCs w:val="24"/>
        </w:rPr>
        <w:instrText xml:space="preserve"> TOC \o "1-3" \u </w:instrText>
      </w:r>
      <w:r w:rsidRPr="00572A55">
        <w:rPr>
          <w:b/>
          <w:szCs w:val="24"/>
        </w:rPr>
        <w:fldChar w:fldCharType="separate"/>
      </w:r>
      <w:r w:rsidR="00711547">
        <w:rPr>
          <w:noProof/>
        </w:rPr>
        <w:t>1.</w:t>
      </w:r>
      <w:r w:rsidR="00711547">
        <w:rPr>
          <w:rFonts w:asciiTheme="minorHAnsi" w:eastAsiaTheme="minorEastAsia" w:hAnsiTheme="minorHAnsi"/>
          <w:noProof/>
          <w:sz w:val="22"/>
          <w:lang w:eastAsia="lv-LV"/>
        </w:rPr>
        <w:tab/>
      </w:r>
      <w:r w:rsidR="00711547">
        <w:rPr>
          <w:noProof/>
        </w:rPr>
        <w:t>Galveno makroekonomisko rādītāju prognozes 2022.-2025.gadam</w:t>
      </w:r>
      <w:r w:rsidR="00711547">
        <w:rPr>
          <w:noProof/>
        </w:rPr>
        <w:tab/>
      </w:r>
      <w:r w:rsidR="00711547">
        <w:rPr>
          <w:noProof/>
        </w:rPr>
        <w:fldChar w:fldCharType="begin"/>
      </w:r>
      <w:r w:rsidR="00711547">
        <w:rPr>
          <w:noProof/>
        </w:rPr>
        <w:instrText xml:space="preserve"> PAGEREF _Toc122369559 \h </w:instrText>
      </w:r>
      <w:r w:rsidR="00711547">
        <w:rPr>
          <w:noProof/>
        </w:rPr>
      </w:r>
      <w:r w:rsidR="00711547">
        <w:rPr>
          <w:noProof/>
        </w:rPr>
        <w:fldChar w:fldCharType="separate"/>
      </w:r>
      <w:r w:rsidR="00BE7BC1">
        <w:rPr>
          <w:noProof/>
        </w:rPr>
        <w:t>3</w:t>
      </w:r>
      <w:r w:rsidR="00711547">
        <w:rPr>
          <w:noProof/>
        </w:rPr>
        <w:fldChar w:fldCharType="end"/>
      </w:r>
    </w:p>
    <w:p w14:paraId="1AC030B5" w14:textId="22E04088" w:rsidR="00711547" w:rsidRDefault="00711547">
      <w:pPr>
        <w:pStyle w:val="TOC1"/>
        <w:rPr>
          <w:rFonts w:asciiTheme="minorHAnsi" w:eastAsiaTheme="minorEastAsia" w:hAnsiTheme="minorHAnsi"/>
          <w:noProof/>
          <w:sz w:val="22"/>
          <w:lang w:eastAsia="lv-LV"/>
        </w:rPr>
      </w:pPr>
      <w:r>
        <w:rPr>
          <w:noProof/>
        </w:rPr>
        <w:t>2.</w:t>
      </w:r>
      <w:r>
        <w:rPr>
          <w:rFonts w:asciiTheme="minorHAnsi" w:eastAsiaTheme="minorEastAsia" w:hAnsiTheme="minorHAnsi"/>
          <w:noProof/>
          <w:sz w:val="22"/>
          <w:lang w:eastAsia="lv-LV"/>
        </w:rPr>
        <w:tab/>
      </w:r>
      <w:r>
        <w:rPr>
          <w:noProof/>
        </w:rPr>
        <w:t>Kopbudžeta nodokļu un valsts pamatbudžeta nenodokļu ieņēmumu prognozes 2023.-2025.gadam</w:t>
      </w:r>
      <w:r>
        <w:rPr>
          <w:noProof/>
        </w:rPr>
        <w:tab/>
      </w:r>
      <w:r>
        <w:rPr>
          <w:noProof/>
        </w:rPr>
        <w:fldChar w:fldCharType="begin"/>
      </w:r>
      <w:r>
        <w:rPr>
          <w:noProof/>
        </w:rPr>
        <w:instrText xml:space="preserve"> PAGEREF _Toc122369560 \h </w:instrText>
      </w:r>
      <w:r>
        <w:rPr>
          <w:noProof/>
        </w:rPr>
      </w:r>
      <w:r>
        <w:rPr>
          <w:noProof/>
        </w:rPr>
        <w:fldChar w:fldCharType="separate"/>
      </w:r>
      <w:r w:rsidR="00BE7BC1">
        <w:rPr>
          <w:noProof/>
        </w:rPr>
        <w:t>33</w:t>
      </w:r>
      <w:r>
        <w:rPr>
          <w:noProof/>
        </w:rPr>
        <w:fldChar w:fldCharType="end"/>
      </w:r>
    </w:p>
    <w:p w14:paraId="5A1961A6" w14:textId="138550DC" w:rsidR="00711547" w:rsidRDefault="00711547">
      <w:pPr>
        <w:pStyle w:val="TOC1"/>
        <w:rPr>
          <w:rFonts w:asciiTheme="minorHAnsi" w:eastAsiaTheme="minorEastAsia" w:hAnsiTheme="minorHAnsi"/>
          <w:noProof/>
          <w:sz w:val="22"/>
          <w:lang w:eastAsia="lv-LV"/>
        </w:rPr>
      </w:pPr>
      <w:r>
        <w:rPr>
          <w:noProof/>
        </w:rPr>
        <w:t>3.</w:t>
      </w:r>
      <w:r>
        <w:rPr>
          <w:rFonts w:asciiTheme="minorHAnsi" w:eastAsiaTheme="minorEastAsia" w:hAnsiTheme="minorHAnsi"/>
          <w:noProof/>
          <w:sz w:val="22"/>
          <w:lang w:eastAsia="lv-LV"/>
        </w:rPr>
        <w:tab/>
      </w:r>
      <w:r>
        <w:rPr>
          <w:noProof/>
        </w:rPr>
        <w:t>Valsts pamatbudžeta un valsts speciālā budžeta bāze 2023., 2024. un 2025. gadam</w:t>
      </w:r>
      <w:r>
        <w:rPr>
          <w:noProof/>
        </w:rPr>
        <w:tab/>
      </w:r>
      <w:r>
        <w:rPr>
          <w:noProof/>
        </w:rPr>
        <w:fldChar w:fldCharType="begin"/>
      </w:r>
      <w:r>
        <w:rPr>
          <w:noProof/>
        </w:rPr>
        <w:instrText xml:space="preserve"> PAGEREF _Toc122369561 \h </w:instrText>
      </w:r>
      <w:r>
        <w:rPr>
          <w:noProof/>
        </w:rPr>
      </w:r>
      <w:r>
        <w:rPr>
          <w:noProof/>
        </w:rPr>
        <w:fldChar w:fldCharType="separate"/>
      </w:r>
      <w:r w:rsidR="00BE7BC1">
        <w:rPr>
          <w:noProof/>
        </w:rPr>
        <w:t>35</w:t>
      </w:r>
      <w:r>
        <w:rPr>
          <w:noProof/>
        </w:rPr>
        <w:fldChar w:fldCharType="end"/>
      </w:r>
    </w:p>
    <w:p w14:paraId="1AC40B9A" w14:textId="31BA0AC3" w:rsidR="00711547" w:rsidRDefault="00711547">
      <w:pPr>
        <w:pStyle w:val="TOC1"/>
        <w:rPr>
          <w:rFonts w:asciiTheme="minorHAnsi" w:eastAsiaTheme="minorEastAsia" w:hAnsiTheme="minorHAnsi"/>
          <w:noProof/>
          <w:sz w:val="22"/>
          <w:lang w:eastAsia="lv-LV"/>
        </w:rPr>
      </w:pPr>
      <w:r>
        <w:rPr>
          <w:noProof/>
        </w:rPr>
        <w:t>4.</w:t>
      </w:r>
      <w:r>
        <w:rPr>
          <w:rFonts w:asciiTheme="minorHAnsi" w:eastAsiaTheme="minorEastAsia" w:hAnsiTheme="minorHAnsi"/>
          <w:noProof/>
          <w:sz w:val="22"/>
          <w:lang w:eastAsia="lv-LV"/>
        </w:rPr>
        <w:tab/>
      </w:r>
      <w:r>
        <w:rPr>
          <w:noProof/>
        </w:rPr>
        <w:t>Valdības apstiprinātie atbalsta pasākumi krīžu seku mazināšanai un to fiskālā ietekme</w:t>
      </w:r>
      <w:r>
        <w:rPr>
          <w:noProof/>
        </w:rPr>
        <w:tab/>
      </w:r>
      <w:r>
        <w:rPr>
          <w:noProof/>
        </w:rPr>
        <w:fldChar w:fldCharType="begin"/>
      </w:r>
      <w:r>
        <w:rPr>
          <w:noProof/>
        </w:rPr>
        <w:instrText xml:space="preserve"> PAGEREF _Toc122369562 \h </w:instrText>
      </w:r>
      <w:r>
        <w:rPr>
          <w:noProof/>
        </w:rPr>
      </w:r>
      <w:r>
        <w:rPr>
          <w:noProof/>
        </w:rPr>
        <w:fldChar w:fldCharType="separate"/>
      </w:r>
      <w:r w:rsidR="00BE7BC1">
        <w:rPr>
          <w:noProof/>
        </w:rPr>
        <w:t>40</w:t>
      </w:r>
      <w:r>
        <w:rPr>
          <w:noProof/>
        </w:rPr>
        <w:fldChar w:fldCharType="end"/>
      </w:r>
    </w:p>
    <w:p w14:paraId="6DFDD4CE" w14:textId="11B4D2B7" w:rsidR="00711547" w:rsidRDefault="00711547">
      <w:pPr>
        <w:pStyle w:val="TOC1"/>
        <w:rPr>
          <w:rFonts w:asciiTheme="minorHAnsi" w:eastAsiaTheme="minorEastAsia" w:hAnsiTheme="minorHAnsi"/>
          <w:noProof/>
          <w:sz w:val="22"/>
          <w:lang w:eastAsia="lv-LV"/>
        </w:rPr>
      </w:pPr>
      <w:r>
        <w:rPr>
          <w:noProof/>
        </w:rPr>
        <w:t>5.</w:t>
      </w:r>
      <w:r>
        <w:rPr>
          <w:rFonts w:asciiTheme="minorHAnsi" w:eastAsiaTheme="minorEastAsia" w:hAnsiTheme="minorHAnsi"/>
          <w:noProof/>
          <w:sz w:val="22"/>
          <w:lang w:eastAsia="lv-LV"/>
        </w:rPr>
        <w:tab/>
      </w:r>
      <w:r>
        <w:rPr>
          <w:noProof/>
        </w:rPr>
        <w:t>Vispārējās valdības budžeta bilances prognoze pie nemainīgas valdības politikas 2023.-2025. gadam</w:t>
      </w:r>
      <w:r>
        <w:rPr>
          <w:noProof/>
        </w:rPr>
        <w:tab/>
      </w:r>
      <w:r>
        <w:rPr>
          <w:noProof/>
        </w:rPr>
        <w:fldChar w:fldCharType="begin"/>
      </w:r>
      <w:r>
        <w:rPr>
          <w:noProof/>
        </w:rPr>
        <w:instrText xml:space="preserve"> PAGEREF _Toc122369563 \h </w:instrText>
      </w:r>
      <w:r>
        <w:rPr>
          <w:noProof/>
        </w:rPr>
      </w:r>
      <w:r>
        <w:rPr>
          <w:noProof/>
        </w:rPr>
        <w:fldChar w:fldCharType="separate"/>
      </w:r>
      <w:r w:rsidR="00BE7BC1">
        <w:rPr>
          <w:noProof/>
        </w:rPr>
        <w:t>45</w:t>
      </w:r>
      <w:r>
        <w:rPr>
          <w:noProof/>
        </w:rPr>
        <w:fldChar w:fldCharType="end"/>
      </w:r>
    </w:p>
    <w:p w14:paraId="3DD9D613" w14:textId="0241E398" w:rsidR="00711547" w:rsidRDefault="00711547">
      <w:pPr>
        <w:pStyle w:val="TOC1"/>
        <w:rPr>
          <w:rFonts w:asciiTheme="minorHAnsi" w:eastAsiaTheme="minorEastAsia" w:hAnsiTheme="minorHAnsi"/>
          <w:noProof/>
          <w:sz w:val="22"/>
          <w:lang w:eastAsia="lv-LV"/>
        </w:rPr>
      </w:pPr>
      <w:r>
        <w:rPr>
          <w:noProof/>
        </w:rPr>
        <w:t>6.</w:t>
      </w:r>
      <w:r>
        <w:rPr>
          <w:rFonts w:asciiTheme="minorHAnsi" w:eastAsiaTheme="minorEastAsia" w:hAnsiTheme="minorHAnsi"/>
          <w:noProof/>
          <w:sz w:val="22"/>
          <w:lang w:eastAsia="lv-LV"/>
        </w:rPr>
        <w:tab/>
      </w:r>
      <w:r>
        <w:rPr>
          <w:noProof/>
        </w:rPr>
        <w:t>Vispārējās valdības parāda prognoze pie nemainīgas valdības politikas 2023.-2025. gadam</w:t>
      </w:r>
      <w:r>
        <w:rPr>
          <w:noProof/>
        </w:rPr>
        <w:fldChar w:fldCharType="begin"/>
      </w:r>
      <w:r>
        <w:rPr>
          <w:noProof/>
        </w:rPr>
        <w:instrText xml:space="preserve"> PAGEREF _Toc122369564 \h </w:instrText>
      </w:r>
      <w:r>
        <w:rPr>
          <w:noProof/>
        </w:rPr>
      </w:r>
      <w:r>
        <w:rPr>
          <w:noProof/>
        </w:rPr>
        <w:fldChar w:fldCharType="separate"/>
      </w:r>
      <w:r w:rsidR="00BE7BC1">
        <w:rPr>
          <w:noProof/>
        </w:rPr>
        <w:t>49</w:t>
      </w:r>
      <w:r>
        <w:rPr>
          <w:noProof/>
        </w:rPr>
        <w:fldChar w:fldCharType="end"/>
      </w:r>
    </w:p>
    <w:p w14:paraId="68F67ED3" w14:textId="003A2535" w:rsidR="00711547" w:rsidRDefault="00711547">
      <w:pPr>
        <w:pStyle w:val="TOC1"/>
        <w:rPr>
          <w:rFonts w:asciiTheme="minorHAnsi" w:eastAsiaTheme="minorEastAsia" w:hAnsiTheme="minorHAnsi"/>
          <w:noProof/>
          <w:sz w:val="22"/>
          <w:lang w:eastAsia="lv-LV"/>
        </w:rPr>
      </w:pPr>
      <w:r>
        <w:rPr>
          <w:noProof/>
        </w:rPr>
        <w:t>7.</w:t>
      </w:r>
      <w:r>
        <w:rPr>
          <w:rFonts w:asciiTheme="minorHAnsi" w:eastAsiaTheme="minorEastAsia" w:hAnsiTheme="minorHAnsi"/>
          <w:noProof/>
          <w:sz w:val="22"/>
          <w:lang w:eastAsia="lv-LV"/>
        </w:rPr>
        <w:tab/>
      </w:r>
      <w:r>
        <w:rPr>
          <w:noProof/>
        </w:rPr>
        <w:t>Fiskālās politikas nosacījumi un fiskālā telpa 2023.-2025. gadam</w:t>
      </w:r>
      <w:r>
        <w:rPr>
          <w:noProof/>
        </w:rPr>
        <w:tab/>
      </w:r>
      <w:r>
        <w:rPr>
          <w:noProof/>
        </w:rPr>
        <w:fldChar w:fldCharType="begin"/>
      </w:r>
      <w:r>
        <w:rPr>
          <w:noProof/>
        </w:rPr>
        <w:instrText xml:space="preserve"> PAGEREF _Toc122369565 \h </w:instrText>
      </w:r>
      <w:r>
        <w:rPr>
          <w:noProof/>
        </w:rPr>
      </w:r>
      <w:r>
        <w:rPr>
          <w:noProof/>
        </w:rPr>
        <w:fldChar w:fldCharType="separate"/>
      </w:r>
      <w:r w:rsidR="00BE7BC1">
        <w:rPr>
          <w:noProof/>
        </w:rPr>
        <w:t>50</w:t>
      </w:r>
      <w:r>
        <w:rPr>
          <w:noProof/>
        </w:rPr>
        <w:fldChar w:fldCharType="end"/>
      </w:r>
    </w:p>
    <w:p w14:paraId="536C6262" w14:textId="3862D3D3" w:rsidR="00711547" w:rsidRDefault="00711547">
      <w:pPr>
        <w:pStyle w:val="TOC1"/>
        <w:rPr>
          <w:rFonts w:asciiTheme="minorHAnsi" w:eastAsiaTheme="minorEastAsia" w:hAnsiTheme="minorHAnsi"/>
          <w:noProof/>
          <w:sz w:val="22"/>
          <w:lang w:eastAsia="lv-LV"/>
        </w:rPr>
      </w:pPr>
      <w:r>
        <w:rPr>
          <w:noProof/>
        </w:rPr>
        <w:t>8.</w:t>
      </w:r>
      <w:r>
        <w:rPr>
          <w:rFonts w:asciiTheme="minorHAnsi" w:eastAsiaTheme="minorEastAsia" w:hAnsiTheme="minorHAnsi"/>
          <w:noProof/>
          <w:sz w:val="22"/>
          <w:lang w:eastAsia="lv-LV"/>
        </w:rPr>
        <w:tab/>
      </w:r>
      <w:r>
        <w:rPr>
          <w:noProof/>
        </w:rPr>
        <w:t>Turpmākā rīcība</w:t>
      </w:r>
      <w:r>
        <w:rPr>
          <w:noProof/>
        </w:rPr>
        <w:tab/>
      </w:r>
      <w:r>
        <w:rPr>
          <w:noProof/>
        </w:rPr>
        <w:fldChar w:fldCharType="begin"/>
      </w:r>
      <w:r>
        <w:rPr>
          <w:noProof/>
        </w:rPr>
        <w:instrText xml:space="preserve"> PAGEREF _Toc122369566 \h </w:instrText>
      </w:r>
      <w:r>
        <w:rPr>
          <w:noProof/>
        </w:rPr>
      </w:r>
      <w:r>
        <w:rPr>
          <w:noProof/>
        </w:rPr>
        <w:fldChar w:fldCharType="separate"/>
      </w:r>
      <w:r w:rsidR="00BE7BC1">
        <w:rPr>
          <w:noProof/>
        </w:rPr>
        <w:t>53</w:t>
      </w:r>
      <w:r>
        <w:rPr>
          <w:noProof/>
        </w:rPr>
        <w:fldChar w:fldCharType="end"/>
      </w:r>
    </w:p>
    <w:p w14:paraId="7A5C199C" w14:textId="00071B81" w:rsidR="00043218" w:rsidRPr="00572A55" w:rsidRDefault="00043218" w:rsidP="003714E5">
      <w:pPr>
        <w:spacing w:after="240"/>
        <w:rPr>
          <w:b/>
          <w:sz w:val="32"/>
          <w:szCs w:val="32"/>
        </w:rPr>
      </w:pPr>
      <w:r w:rsidRPr="00572A55">
        <w:rPr>
          <w:b/>
          <w:szCs w:val="24"/>
        </w:rPr>
        <w:fldChar w:fldCharType="end"/>
      </w:r>
      <w:r w:rsidRPr="00572A55">
        <w:rPr>
          <w:b/>
          <w:sz w:val="32"/>
          <w:szCs w:val="32"/>
        </w:rPr>
        <w:br w:type="page"/>
      </w:r>
    </w:p>
    <w:p w14:paraId="3A4F73A1" w14:textId="063F5D29" w:rsidR="00043218" w:rsidRDefault="00043218" w:rsidP="00A83AAD">
      <w:pPr>
        <w:pStyle w:val="Heading1"/>
        <w:ind w:left="360"/>
        <w:rPr>
          <w:sz w:val="28"/>
          <w:szCs w:val="28"/>
        </w:rPr>
      </w:pPr>
      <w:bookmarkStart w:id="0" w:name="_Toc122369559"/>
      <w:r w:rsidRPr="008C2A5C">
        <w:rPr>
          <w:sz w:val="28"/>
          <w:szCs w:val="28"/>
        </w:rPr>
        <w:lastRenderedPageBreak/>
        <w:t>Galveno makroekonomisko rādītāju</w:t>
      </w:r>
      <w:r w:rsidR="008B59AC">
        <w:rPr>
          <w:sz w:val="28"/>
          <w:szCs w:val="28"/>
        </w:rPr>
        <w:t xml:space="preserve"> </w:t>
      </w:r>
      <w:r w:rsidRPr="008C2A5C">
        <w:rPr>
          <w:sz w:val="28"/>
          <w:szCs w:val="28"/>
        </w:rPr>
        <w:t>prognozes</w:t>
      </w:r>
      <w:r w:rsidR="000550FF" w:rsidRPr="008C2A5C">
        <w:rPr>
          <w:sz w:val="28"/>
          <w:szCs w:val="28"/>
        </w:rPr>
        <w:t xml:space="preserve"> </w:t>
      </w:r>
      <w:r w:rsidRPr="008C2A5C">
        <w:rPr>
          <w:sz w:val="28"/>
          <w:szCs w:val="28"/>
        </w:rPr>
        <w:t>20</w:t>
      </w:r>
      <w:r w:rsidR="00964CAC" w:rsidRPr="008C2A5C">
        <w:rPr>
          <w:sz w:val="28"/>
          <w:szCs w:val="28"/>
        </w:rPr>
        <w:t>2</w:t>
      </w:r>
      <w:r w:rsidR="00334E30" w:rsidRPr="008C2A5C">
        <w:rPr>
          <w:sz w:val="28"/>
          <w:szCs w:val="28"/>
        </w:rPr>
        <w:t>2</w:t>
      </w:r>
      <w:r w:rsidRPr="008C2A5C">
        <w:rPr>
          <w:sz w:val="28"/>
          <w:szCs w:val="28"/>
        </w:rPr>
        <w:t>.-20</w:t>
      </w:r>
      <w:r w:rsidR="00964CAC" w:rsidRPr="008C2A5C">
        <w:rPr>
          <w:sz w:val="28"/>
          <w:szCs w:val="28"/>
        </w:rPr>
        <w:t>2</w:t>
      </w:r>
      <w:r w:rsidR="00334E30" w:rsidRPr="008C2A5C">
        <w:rPr>
          <w:sz w:val="28"/>
          <w:szCs w:val="28"/>
        </w:rPr>
        <w:t>5</w:t>
      </w:r>
      <w:r w:rsidRPr="008C2A5C">
        <w:rPr>
          <w:sz w:val="28"/>
          <w:szCs w:val="28"/>
        </w:rPr>
        <w:t>.gadam</w:t>
      </w:r>
      <w:bookmarkEnd w:id="0"/>
    </w:p>
    <w:p w14:paraId="43E339F4" w14:textId="77777777" w:rsidR="00FA2AC6" w:rsidRPr="00604A8B" w:rsidRDefault="00FA2AC6" w:rsidP="00FA2AC6">
      <w:r w:rsidRPr="00604A8B">
        <w:t xml:space="preserve">Latvijas ekonomika </w:t>
      </w:r>
      <w:r>
        <w:t>Covid</w:t>
      </w:r>
      <w:r>
        <w:noBreakHyphen/>
        <w:t>19</w:t>
      </w:r>
      <w:r w:rsidRPr="00604A8B">
        <w:t xml:space="preserve"> krīzi pārvarēja būtiski labāk nekā sākotnēji prognozēts un pēc 2,2% krituma 2020</w:t>
      </w:r>
      <w:r>
        <w:t>. g</w:t>
      </w:r>
      <w:r w:rsidRPr="00604A8B">
        <w:t>adā ekonomikas izaugsme strauji atjaunojās, 2021</w:t>
      </w:r>
      <w:r>
        <w:t>. g</w:t>
      </w:r>
      <w:r w:rsidRPr="00604A8B">
        <w:t>adā sasniedzot 4,1%. 2022</w:t>
      </w:r>
      <w:r>
        <w:t>. g</w:t>
      </w:r>
      <w:r w:rsidRPr="00604A8B">
        <w:t xml:space="preserve">adā </w:t>
      </w:r>
      <w:r w:rsidRPr="00107D07">
        <w:t>Latvijas</w:t>
      </w:r>
      <w:r w:rsidRPr="00604A8B">
        <w:t xml:space="preserve"> ekonomisko situāciju jau pilnībā noteica Krievijas uzsāktais karš Ukrainā, tirdzniecības sakaru pārtraukšana ar Krieviju un Baltkrieviju un straujais energoresursu cenu kāpums, kas vājinājis visas pasaules ekonomikas izaugsmi</w:t>
      </w:r>
      <w:r>
        <w:t>.</w:t>
      </w:r>
    </w:p>
    <w:p w14:paraId="7F331CEE" w14:textId="77777777" w:rsidR="00FA2AC6" w:rsidRPr="00604A8B" w:rsidRDefault="00FA2AC6" w:rsidP="00FA2AC6">
      <w:r w:rsidRPr="00604A8B">
        <w:t>Ekonomikas kritums 2020</w:t>
      </w:r>
      <w:r>
        <w:t>. g</w:t>
      </w:r>
      <w:r w:rsidRPr="00604A8B">
        <w:t xml:space="preserve">adā nebija tik straujš, kā tika prognozēts </w:t>
      </w:r>
      <w:r>
        <w:t>Covid</w:t>
      </w:r>
      <w:r>
        <w:noBreakHyphen/>
        <w:t>19</w:t>
      </w:r>
      <w:r w:rsidRPr="00604A8B">
        <w:t xml:space="preserve"> krīzes pašā sākumā, jo Latvijas ražošanas sektors izrādījās noturīgāks pret pandēmijas šoku un pakalpojumu sektors atguvās straujāk nekā prognozēts. Līdzīgi 2021</w:t>
      </w:r>
      <w:r>
        <w:t>. g</w:t>
      </w:r>
      <w:r w:rsidRPr="00604A8B">
        <w:t>adā ekonomikas izaugsme bija straujāka nekā prognozēts, ko nodrošināja labvēlīgā situācija ārējos tirgos un apjomīgie ekonomikas atbalsta pasākumi, ļaujot saglabāt uzņēmējdarbību un darba vietas krīzes un ierobežojumu tieši skartajās nozarēs, kā arī sniedzot atbalstu sociāli mazāk aizsargātajām iedzīvotāju grupām. 2021</w:t>
      </w:r>
      <w:r>
        <w:t>. g</w:t>
      </w:r>
      <w:r w:rsidRPr="00604A8B">
        <w:t xml:space="preserve">ada otrajā ceturksnī Latvijas ekonomika jau atgriezās </w:t>
      </w:r>
      <w:proofErr w:type="spellStart"/>
      <w:r w:rsidRPr="00604A8B">
        <w:t>pirmskrīzes</w:t>
      </w:r>
      <w:proofErr w:type="spellEnd"/>
      <w:r w:rsidRPr="00604A8B">
        <w:t>, 2019</w:t>
      </w:r>
      <w:r>
        <w:t>. g</w:t>
      </w:r>
      <w:r w:rsidRPr="00604A8B">
        <w:t>ada ceturtā ceturkšņa līmenī.</w:t>
      </w:r>
    </w:p>
    <w:p w14:paraId="66E9C7C0" w14:textId="77777777" w:rsidR="00FA2AC6" w:rsidRPr="00604A8B" w:rsidRDefault="00FA2AC6" w:rsidP="00FA2AC6">
      <w:r w:rsidRPr="00604A8B">
        <w:t>2021</w:t>
      </w:r>
      <w:r>
        <w:t>. g</w:t>
      </w:r>
      <w:r w:rsidRPr="00604A8B">
        <w:t xml:space="preserve">adā kopā lielāko devumu ekonomikas izaugsmē nodrošināja tirdzniecības, veselības aizsardzības un apstrādes rūpniecības nozares, pieaugot attiecīgi par 7,9%, 25,2% un 7,4%. Lejupslīde savukārt bija fiksēta lauksaimniecības un būvniecības nozarēs – attiecīgi par 11,7% un 9,8%. </w:t>
      </w:r>
      <w:r>
        <w:t>Covid</w:t>
      </w:r>
      <w:r>
        <w:noBreakHyphen/>
        <w:t>19</w:t>
      </w:r>
      <w:r w:rsidRPr="00604A8B">
        <w:t xml:space="preserve"> ierobežojumu vissmagāk skartā izmitināšanas un ēdināšanas nozare samazinājās par 4,6%, bet mākslas, izklaides un atpūtas nozare saruka par 3,3%.</w:t>
      </w:r>
    </w:p>
    <w:p w14:paraId="31A1032B" w14:textId="77777777" w:rsidR="00FA2AC6" w:rsidRPr="00604A8B" w:rsidRDefault="00FA2AC6" w:rsidP="00FA2AC6">
      <w:r w:rsidRPr="00604A8B">
        <w:t xml:space="preserve">No izlietojuma puses, ekonomikas izaugsmi pērn visvairāk veicināja privātā patēriņa pieaugums par 8,2%, ko nodrošināja </w:t>
      </w:r>
      <w:r>
        <w:t>Covid</w:t>
      </w:r>
      <w:r>
        <w:noBreakHyphen/>
        <w:t>19</w:t>
      </w:r>
      <w:r w:rsidRPr="00604A8B">
        <w:t xml:space="preserve"> ierobežojumu pakāpeniskā mazināšana, kā arī valsts atbalsts uzņēmumiem un mājsaimniecībām. Spēcīgi auga sabiedriskais patēriņš, salīdzinājumā ar 2020</w:t>
      </w:r>
      <w:r>
        <w:t>. g</w:t>
      </w:r>
      <w:r w:rsidRPr="00604A8B">
        <w:t>adu palielinoties par 4,4%, un investīcijas pamatkapitālā palielinājās par 2,9%. Eksportam (+5,9%) palielinoties lēnāk nekā importam (+15,3%), neto eksporta devums ekonomikas izaugsmē bija negatīvs.</w:t>
      </w:r>
    </w:p>
    <w:p w14:paraId="09034A1D" w14:textId="77777777" w:rsidR="00FA2AC6" w:rsidRPr="00604A8B" w:rsidRDefault="00FA2AC6" w:rsidP="00FA2AC6">
      <w:r w:rsidRPr="00604A8B">
        <w:t>2022</w:t>
      </w:r>
      <w:r>
        <w:t>. g</w:t>
      </w:r>
      <w:r w:rsidRPr="00604A8B">
        <w:t xml:space="preserve">ada pirmajā pusē ekonomika turpināja atgūties no pandēmijas laikā noteiktajiem ierobežojumiem, pakalpojumu nozarēm turpinot uzrādīt augstus pieauguma tempus, bet jau no otrā ceturkšņa bija jūtama arī kara un energoresursu cenu kāpuma negatīvā ietekme. Ja gada pirmajā ceturksnī iekšzemes kopprodukts (IKP), salīdzinot ar iepriekšējā gada attiecīgo ceturksni bija palielinājies par 5,6%, otrajā ceturksnī ekonomikas izaugsme noslīdēja līdz 2,9%, bet trešajā ceturksnī, salīdzinot ar iepriekšējā gada attiecīgo ceturksni, jau bija fiksēts 0,6% kritums. </w:t>
      </w:r>
    </w:p>
    <w:p w14:paraId="5E3EE492" w14:textId="77777777" w:rsidR="00FA2AC6" w:rsidRPr="00604A8B" w:rsidRDefault="00FA2AC6" w:rsidP="00FA2AC6">
      <w:r w:rsidRPr="00604A8B">
        <w:t xml:space="preserve">Noteicošā loma IKP kritumā trešajā ceturksnī bija būvniecības un vairumtirdzniecības nozaru samazinājumam attiecīgi par 13,6% un 23,0% pret pagājušā gada trešo ceturksni. Ja būvniecības nozari kā pirmo no lielākajām nozarēm </w:t>
      </w:r>
      <w:r w:rsidRPr="00604A8B">
        <w:rPr>
          <w:noProof/>
        </w:rPr>
        <w:t>ir skāris cenu kāpums, palielinot būvniecības izmaksas un kavējot darbu uzsākšanu vai liekot atteikties no jauniem</w:t>
      </w:r>
      <w:r w:rsidRPr="00604A8B">
        <w:t xml:space="preserve"> projektiem, vairumtirdzniecības nozari vistiešāk ir ietekmējusi darījumu ar Krieviju ierobežošana.</w:t>
      </w:r>
    </w:p>
    <w:p w14:paraId="2DD38B0F" w14:textId="77777777" w:rsidR="00FA2AC6" w:rsidRPr="00604A8B" w:rsidRDefault="00FA2AC6" w:rsidP="00FA2AC6">
      <w:r w:rsidRPr="00604A8B">
        <w:t>2022</w:t>
      </w:r>
      <w:r>
        <w:t>. g</w:t>
      </w:r>
      <w:r w:rsidRPr="00604A8B">
        <w:t>ada pirmajos trīs ceturkšņos kopā IKP, salīdzinot ar pagājušā gada pirmajiem trim ceturkšņiem, palielinājās par 2,4%, un ekonomikas izaugsmi nodrošināja galvenokārt pakalpojumu nozaru atgūšanās no pandēmijas laika ierobežojumiem, kā arī līdz gada vidum stabilā izaugsme apstrādes rūpniecībā. Būtiskākā ietekme bija pievienotās vērtības pieaugumam profesionālo un administratīvo pakalpojumu nozarēs par 16,2%, informācijas un komunikācijas pakalpojumu nozarē par 13,1%, izmitināšanas un ēdināšanas nozarē par 56,7% un apstrādes rūpniecībā par 3.9%. Savukārt tirdzniecības nozarē bija fiksēts 4,9% kritums, būvniecība gada pirmajos trīs ceturkšņos samazinājās par 12,9% un pārējā rūpniecība, tajā skaitā elektroenerģija un gāzes apgāde - par 11,2%.</w:t>
      </w:r>
    </w:p>
    <w:p w14:paraId="278A8602" w14:textId="77777777" w:rsidR="00FA2AC6" w:rsidRPr="00604A8B" w:rsidRDefault="00FA2AC6" w:rsidP="00FA2AC6">
      <w:r w:rsidRPr="00604A8B">
        <w:lastRenderedPageBreak/>
        <w:t>No izlietojuma puses lielākais devums ekonomikas izaugsmē bija privātā patēriņa pieaugumam par 10,0%, kamēr sabiedriskā patēriņa un investīciju pieaugums bija daudz mērenāks – attiecīgi 1,6% un 1,0%. Preču eksports 2022</w:t>
      </w:r>
      <w:r>
        <w:t>. g</w:t>
      </w:r>
      <w:r w:rsidRPr="00604A8B">
        <w:t xml:space="preserve">ada pirmajos trīs ceturkšņos palielinājās nedaudz lēnāk nekā imports – attiecīgi par 11,7% un 12,2%, un neto eksporta devums ekonomikas izaugsmē bija negatīvs. </w:t>
      </w:r>
    </w:p>
    <w:p w14:paraId="0843C01D" w14:textId="77777777" w:rsidR="00FA2AC6" w:rsidRDefault="00FA2AC6" w:rsidP="00FA2AC6">
      <w:r w:rsidRPr="00604A8B">
        <w:t>Ņemot vērā 2022</w:t>
      </w:r>
      <w:r>
        <w:t>. g</w:t>
      </w:r>
      <w:r w:rsidRPr="00604A8B">
        <w:t>ada pirmo trīs ceturkšņu datus, kā arī gaidāmo ekonomiskās izaugsmes palēnināšanos šā gada ceturtajā ceturksnī un nākamā gada sākumā, decembra sākumā tika aktualizētas makroekonomisko rādītāju prognozes 2022.-2025</w:t>
      </w:r>
      <w:r>
        <w:t>. g</w:t>
      </w:r>
      <w:r w:rsidRPr="00604A8B">
        <w:t>adam. Prognozes paredz, ka IKP salīdzināmās cenās šogad palielināsies par 1,6%, bet 2023</w:t>
      </w:r>
      <w:r>
        <w:t>. gad</w:t>
      </w:r>
      <w:r w:rsidRPr="00604A8B">
        <w:t>am tiek prognozēts IKP kritums par 0,6%. 2024. un 2025</w:t>
      </w:r>
      <w:r>
        <w:t>. g</w:t>
      </w:r>
      <w:r w:rsidRPr="00604A8B">
        <w:t>adā ekonomikas izaugsme atkal atjaunosies un sasniegs 3,0%.</w:t>
      </w:r>
    </w:p>
    <w:p w14:paraId="3B1D9392" w14:textId="77777777" w:rsidR="00FA2AC6" w:rsidRPr="000A7809" w:rsidRDefault="00FA2AC6" w:rsidP="00772992">
      <w:pPr>
        <w:spacing w:before="240"/>
        <w:rPr>
          <w:b/>
          <w:bCs/>
        </w:rPr>
      </w:pPr>
      <w:r w:rsidRPr="000A7809">
        <w:rPr>
          <w:b/>
          <w:bCs/>
        </w:rPr>
        <w:t>Ārējā vide</w:t>
      </w:r>
    </w:p>
    <w:p w14:paraId="78B32313" w14:textId="77777777" w:rsidR="00FA2AC6" w:rsidRPr="000910CA" w:rsidRDefault="00FA2AC6" w:rsidP="00FA2AC6">
      <w:r w:rsidRPr="000910CA">
        <w:t xml:space="preserve">Pasaules ekonomika pēc </w:t>
      </w:r>
      <w:r>
        <w:t>Covid</w:t>
      </w:r>
      <w:r>
        <w:noBreakHyphen/>
        <w:t>19</w:t>
      </w:r>
      <w:r w:rsidRPr="000910CA">
        <w:t xml:space="preserve"> pandēmijas izraisītā 3,</w:t>
      </w:r>
      <w:r>
        <w:t>0</w:t>
      </w:r>
      <w:r w:rsidRPr="000910CA">
        <w:t>% krituma 2020</w:t>
      </w:r>
      <w:r>
        <w:t>. gad</w:t>
      </w:r>
      <w:r w:rsidRPr="000910CA">
        <w:t>ā, pērn visai strauji atguvās, sasniedzot 6,</w:t>
      </w:r>
      <w:r>
        <w:t>0</w:t>
      </w:r>
      <w:r w:rsidRPr="000910CA">
        <w:t>% izaugsmi, bet 2022</w:t>
      </w:r>
      <w:r>
        <w:t>. gad</w:t>
      </w:r>
      <w:r w:rsidRPr="000910CA">
        <w:t xml:space="preserve">ā situāciju pasaulē jau pilnībā nosaka Krievijas uzsāktais karš Ukrainā, energoresursu cenu straujais kāpums un centrālo banku uzsāktais procentu likmju paaugstināšanas cikls, cenšoties ierobežot arvien augošo inflāciju. Šā gada laikā gan pasaules ekonomikas, gan ASV un Eiropas Savienības (ES) valstu ekonomikas izaugsmes prognozes </w:t>
      </w:r>
      <w:r>
        <w:t xml:space="preserve">gan šim, gan nākamajam gadam </w:t>
      </w:r>
      <w:r w:rsidRPr="000910CA">
        <w:t>ir tikušas pastāvīgi samazinātas, un samazinājumus veikušas visas vadošās starptautiskās institūcijas.</w:t>
      </w:r>
    </w:p>
    <w:p w14:paraId="0B558458" w14:textId="796BA101" w:rsidR="00FA2AC6" w:rsidRDefault="00FA2AC6" w:rsidP="00FA2AC6">
      <w:r w:rsidRPr="000910CA">
        <w:t>Starptautiskais Valūtas fonds</w:t>
      </w:r>
      <w:r>
        <w:t xml:space="preserve"> (SVF) ir samazinājis pasaules </w:t>
      </w:r>
      <w:r w:rsidRPr="000910CA">
        <w:t>ekonomikas izaugsmes prognozi 2022</w:t>
      </w:r>
      <w:r>
        <w:t>. gad</w:t>
      </w:r>
      <w:r w:rsidRPr="000910CA">
        <w:t>am līdz 3,2%, salīdzinot ar janvārī prognozētajiem 4,4%</w:t>
      </w:r>
      <w:r>
        <w:t>. 2023.gadā tiek prognozēta vēl tālāka izaugsmes palēnināšanās līdz 2,7%, salīdzinot ar gada sākumā prognozēto 3,8% izaugsmi.</w:t>
      </w:r>
      <w:r w:rsidRPr="000910CA">
        <w:t xml:space="preserve"> ASV ekonomikas izaugsmes prognoze </w:t>
      </w:r>
      <w:r>
        <w:t>šim gadam</w:t>
      </w:r>
      <w:r w:rsidRPr="000910CA">
        <w:t xml:space="preserve"> samazināta no 4,0% līdz </w:t>
      </w:r>
      <w:r>
        <w:t>1,6</w:t>
      </w:r>
      <w:r w:rsidRPr="000910CA">
        <w:t>%</w:t>
      </w:r>
      <w:r>
        <w:t xml:space="preserve">, bet nākamajam - </w:t>
      </w:r>
      <w:r w:rsidRPr="000910CA">
        <w:t xml:space="preserve">no </w:t>
      </w:r>
      <w:r>
        <w:t>2,6</w:t>
      </w:r>
      <w:r w:rsidRPr="000910CA">
        <w:t xml:space="preserve">% līdz </w:t>
      </w:r>
      <w:r>
        <w:t>1,0</w:t>
      </w:r>
      <w:r w:rsidRPr="000910CA">
        <w:t>%</w:t>
      </w:r>
      <w:r>
        <w:t>. Līdzīgu prognožu samazināšanu 27 Eiropas Savienības valstīm ir veikusi Eiropas Komisija (EK), pazeminot izaugsmes prognozi 2022.</w:t>
      </w:r>
      <w:r w:rsidR="00B35D8C">
        <w:t> </w:t>
      </w:r>
      <w:r>
        <w:t>gadam no 4,0% februārī līdz 3,3% oktobrī un 2023. gadam – attiecīgi no 2,8% līdz 0,3%. Jaunākās EK un SVF prognozes ES un Latvijas galvenajām ārējās tirdzniecības partnervalstīm apkopotas 1. tabulā.</w:t>
      </w:r>
    </w:p>
    <w:p w14:paraId="6AC2E1EF" w14:textId="77777777" w:rsidR="00FA2AC6" w:rsidRPr="00B4616B" w:rsidRDefault="00FA2AC6" w:rsidP="00FA2AC6">
      <w:pPr>
        <w:pStyle w:val="Tabulasvirsraksts"/>
      </w:pPr>
      <w:r w:rsidRPr="00B4616B">
        <w:t>1. tabula. IKP pieauguma prognozes 2022. un 2023. gadam</w:t>
      </w:r>
    </w:p>
    <w:tbl>
      <w:tblPr>
        <w:tblW w:w="8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6"/>
        <w:gridCol w:w="1512"/>
        <w:gridCol w:w="1365"/>
        <w:gridCol w:w="1365"/>
        <w:gridCol w:w="1365"/>
        <w:gridCol w:w="1366"/>
      </w:tblGrid>
      <w:tr w:rsidR="00FA2AC6" w:rsidRPr="00B4616B" w14:paraId="7FCC1ED0" w14:textId="77777777" w:rsidTr="00B35D8C">
        <w:trPr>
          <w:trHeight w:val="839"/>
          <w:tblHeader/>
          <w:jc w:val="center"/>
        </w:trPr>
        <w:tc>
          <w:tcPr>
            <w:tcW w:w="1896" w:type="dxa"/>
            <w:vMerge w:val="restart"/>
            <w:shd w:val="clear" w:color="auto" w:fill="BDD6EE" w:themeFill="accent1" w:themeFillTint="66"/>
            <w:vAlign w:val="center"/>
            <w:hideMark/>
          </w:tcPr>
          <w:p w14:paraId="51626FFB" w14:textId="77777777" w:rsidR="00FA2AC6" w:rsidRPr="00B4616B" w:rsidRDefault="00FA2AC6" w:rsidP="00557A0A">
            <w:pPr>
              <w:spacing w:before="0" w:after="0"/>
              <w:ind w:firstLine="0"/>
              <w:jc w:val="center"/>
              <w:rPr>
                <w:rFonts w:eastAsia="Calibri" w:cs="Times New Roman"/>
                <w:b/>
                <w:sz w:val="20"/>
                <w:szCs w:val="20"/>
                <w:lang w:eastAsia="lv-LV"/>
              </w:rPr>
            </w:pPr>
            <w:r w:rsidRPr="00B4616B">
              <w:rPr>
                <w:rFonts w:eastAsia="Calibri" w:cs="Times New Roman"/>
                <w:b/>
                <w:sz w:val="20"/>
                <w:szCs w:val="20"/>
                <w:lang w:eastAsia="lv-LV"/>
              </w:rPr>
              <w:t xml:space="preserve">Valsts </w:t>
            </w:r>
          </w:p>
        </w:tc>
        <w:tc>
          <w:tcPr>
            <w:tcW w:w="1512" w:type="dxa"/>
            <w:vMerge w:val="restart"/>
            <w:shd w:val="clear" w:color="auto" w:fill="BDD6EE" w:themeFill="accent1" w:themeFillTint="66"/>
            <w:vAlign w:val="center"/>
            <w:hideMark/>
          </w:tcPr>
          <w:p w14:paraId="486EC813" w14:textId="77777777" w:rsidR="00FA2AC6" w:rsidRPr="00B4616B" w:rsidRDefault="00FA2AC6" w:rsidP="00557A0A">
            <w:pPr>
              <w:spacing w:before="0" w:after="0"/>
              <w:ind w:firstLine="0"/>
              <w:jc w:val="center"/>
              <w:rPr>
                <w:rFonts w:eastAsia="Calibri" w:cs="Times New Roman"/>
                <w:b/>
                <w:sz w:val="20"/>
                <w:szCs w:val="20"/>
                <w:lang w:eastAsia="lv-LV"/>
              </w:rPr>
            </w:pPr>
            <w:r w:rsidRPr="00B4616B">
              <w:rPr>
                <w:rFonts w:eastAsia="Calibri" w:cs="Times New Roman"/>
                <w:b/>
                <w:sz w:val="20"/>
                <w:szCs w:val="20"/>
                <w:lang w:eastAsia="lv-LV"/>
              </w:rPr>
              <w:t>Īpatsvars Latvijas preču eksportā 202</w:t>
            </w:r>
            <w:r>
              <w:rPr>
                <w:rFonts w:eastAsia="Calibri" w:cs="Times New Roman"/>
                <w:b/>
                <w:sz w:val="20"/>
                <w:szCs w:val="20"/>
                <w:lang w:eastAsia="lv-LV"/>
              </w:rPr>
              <w:t>2</w:t>
            </w:r>
            <w:r w:rsidRPr="00B4616B">
              <w:rPr>
                <w:rFonts w:eastAsia="Calibri" w:cs="Times New Roman"/>
                <w:b/>
                <w:sz w:val="20"/>
                <w:szCs w:val="20"/>
                <w:lang w:eastAsia="lv-LV"/>
              </w:rPr>
              <w:t>. gad</w:t>
            </w:r>
            <w:r>
              <w:rPr>
                <w:rFonts w:eastAsia="Calibri" w:cs="Times New Roman"/>
                <w:b/>
                <w:sz w:val="20"/>
                <w:szCs w:val="20"/>
                <w:lang w:eastAsia="lv-LV"/>
              </w:rPr>
              <w:t>a janvārī- septembrī</w:t>
            </w:r>
          </w:p>
        </w:tc>
        <w:tc>
          <w:tcPr>
            <w:tcW w:w="2730" w:type="dxa"/>
            <w:gridSpan w:val="2"/>
            <w:shd w:val="clear" w:color="auto" w:fill="BDD6EE" w:themeFill="accent1" w:themeFillTint="66"/>
            <w:vAlign w:val="center"/>
            <w:hideMark/>
          </w:tcPr>
          <w:p w14:paraId="5CFE5D36" w14:textId="77777777" w:rsidR="00FA2AC6" w:rsidRPr="00B4616B" w:rsidRDefault="00FA2AC6" w:rsidP="00557A0A">
            <w:pPr>
              <w:spacing w:before="0" w:after="0"/>
              <w:ind w:firstLine="0"/>
              <w:jc w:val="center"/>
              <w:rPr>
                <w:rFonts w:eastAsia="Calibri" w:cs="Times New Roman"/>
                <w:b/>
                <w:sz w:val="20"/>
                <w:szCs w:val="20"/>
                <w:lang w:eastAsia="lv-LV"/>
              </w:rPr>
            </w:pPr>
            <w:r w:rsidRPr="00B4616B">
              <w:rPr>
                <w:rFonts w:eastAsia="Calibri" w:cs="Times New Roman"/>
                <w:b/>
                <w:sz w:val="20"/>
                <w:szCs w:val="20"/>
                <w:lang w:eastAsia="lv-LV"/>
              </w:rPr>
              <w:t>IKP pieauguma prognoze salīdzināmās cenās, g/g, %,</w:t>
            </w:r>
          </w:p>
          <w:p w14:paraId="254AD86E" w14:textId="77777777" w:rsidR="00FA2AC6" w:rsidRPr="00B4616B" w:rsidRDefault="00FA2AC6" w:rsidP="00557A0A">
            <w:pPr>
              <w:spacing w:before="0" w:after="0"/>
              <w:ind w:firstLine="0"/>
              <w:jc w:val="center"/>
              <w:rPr>
                <w:rFonts w:eastAsia="Calibri" w:cs="Times New Roman"/>
                <w:b/>
                <w:sz w:val="20"/>
                <w:szCs w:val="20"/>
                <w:lang w:eastAsia="lv-LV"/>
              </w:rPr>
            </w:pPr>
            <w:r w:rsidRPr="00B4616B">
              <w:rPr>
                <w:rFonts w:eastAsia="Calibri" w:cs="Times New Roman"/>
                <w:b/>
                <w:sz w:val="20"/>
                <w:szCs w:val="20"/>
                <w:lang w:eastAsia="lv-LV"/>
              </w:rPr>
              <w:t xml:space="preserve">EK, 2022. gada </w:t>
            </w:r>
            <w:r>
              <w:rPr>
                <w:rFonts w:eastAsia="Calibri" w:cs="Times New Roman"/>
                <w:b/>
                <w:sz w:val="20"/>
                <w:szCs w:val="20"/>
                <w:lang w:eastAsia="lv-LV"/>
              </w:rPr>
              <w:t>oktobris</w:t>
            </w:r>
          </w:p>
          <w:p w14:paraId="435DB872" w14:textId="77777777" w:rsidR="00FA2AC6" w:rsidRPr="00B4616B" w:rsidRDefault="00FA2AC6" w:rsidP="00557A0A">
            <w:pPr>
              <w:spacing w:before="0" w:after="0"/>
              <w:ind w:firstLine="0"/>
              <w:jc w:val="center"/>
              <w:rPr>
                <w:rFonts w:eastAsia="Calibri" w:cs="Times New Roman"/>
                <w:b/>
                <w:sz w:val="20"/>
                <w:szCs w:val="20"/>
                <w:lang w:eastAsia="lv-LV"/>
              </w:rPr>
            </w:pPr>
            <w:r w:rsidRPr="00B4616B">
              <w:rPr>
                <w:rFonts w:eastAsia="Calibri" w:cs="Times New Roman"/>
                <w:b/>
                <w:sz w:val="20"/>
                <w:szCs w:val="20"/>
                <w:lang w:eastAsia="lv-LV"/>
              </w:rPr>
              <w:t xml:space="preserve">* </w:t>
            </w:r>
            <w:r>
              <w:rPr>
                <w:rFonts w:eastAsia="Calibri" w:cs="Times New Roman"/>
                <w:b/>
                <w:sz w:val="20"/>
                <w:szCs w:val="20"/>
                <w:lang w:eastAsia="lv-LV"/>
              </w:rPr>
              <w:t xml:space="preserve">- </w:t>
            </w:r>
            <w:r w:rsidRPr="00B4616B">
              <w:rPr>
                <w:rFonts w:eastAsia="Calibri" w:cs="Times New Roman"/>
                <w:b/>
                <w:sz w:val="20"/>
                <w:szCs w:val="20"/>
                <w:lang w:eastAsia="lv-LV"/>
              </w:rPr>
              <w:t>SVF, 2022. gada</w:t>
            </w:r>
            <w:r>
              <w:rPr>
                <w:rFonts w:eastAsia="Calibri" w:cs="Times New Roman"/>
                <w:b/>
                <w:sz w:val="20"/>
                <w:szCs w:val="20"/>
                <w:lang w:eastAsia="lv-LV"/>
              </w:rPr>
              <w:t xml:space="preserve"> oktobris</w:t>
            </w:r>
          </w:p>
        </w:tc>
        <w:tc>
          <w:tcPr>
            <w:tcW w:w="2731" w:type="dxa"/>
            <w:gridSpan w:val="2"/>
            <w:shd w:val="clear" w:color="auto" w:fill="BDD6EE" w:themeFill="accent1" w:themeFillTint="66"/>
            <w:vAlign w:val="center"/>
            <w:hideMark/>
          </w:tcPr>
          <w:p w14:paraId="7D79C800" w14:textId="77777777" w:rsidR="00FA2AC6" w:rsidRPr="00B4616B" w:rsidRDefault="00FA2AC6" w:rsidP="00557A0A">
            <w:pPr>
              <w:spacing w:before="0" w:after="0"/>
              <w:ind w:firstLine="0"/>
              <w:jc w:val="center"/>
              <w:rPr>
                <w:rFonts w:eastAsia="Calibri" w:cs="Times New Roman"/>
                <w:b/>
                <w:sz w:val="20"/>
                <w:szCs w:val="20"/>
                <w:lang w:eastAsia="lv-LV"/>
              </w:rPr>
            </w:pPr>
            <w:r w:rsidRPr="00B4616B">
              <w:rPr>
                <w:rFonts w:eastAsia="Calibri" w:cs="Times New Roman"/>
                <w:b/>
                <w:sz w:val="20"/>
                <w:szCs w:val="20"/>
                <w:lang w:eastAsia="lv-LV"/>
              </w:rPr>
              <w:t>Izmaiņas pret EK 2022. gada februāra prognozēm, procentpunkti</w:t>
            </w:r>
          </w:p>
          <w:p w14:paraId="43FA98FE" w14:textId="77777777" w:rsidR="00FA2AC6" w:rsidRPr="00B4616B" w:rsidRDefault="00FA2AC6" w:rsidP="00557A0A">
            <w:pPr>
              <w:spacing w:before="0" w:after="0"/>
              <w:ind w:firstLine="0"/>
              <w:jc w:val="center"/>
              <w:rPr>
                <w:rFonts w:eastAsia="Calibri" w:cs="Times New Roman"/>
                <w:b/>
                <w:sz w:val="20"/>
                <w:szCs w:val="20"/>
                <w:lang w:eastAsia="lv-LV"/>
              </w:rPr>
            </w:pPr>
            <w:r w:rsidRPr="00B4616B">
              <w:rPr>
                <w:rFonts w:eastAsia="Calibri" w:cs="Times New Roman"/>
                <w:b/>
                <w:sz w:val="20"/>
                <w:szCs w:val="20"/>
                <w:lang w:eastAsia="lv-LV"/>
              </w:rPr>
              <w:t>* pret SVF prognozēm</w:t>
            </w:r>
          </w:p>
        </w:tc>
      </w:tr>
      <w:tr w:rsidR="00FA2AC6" w:rsidRPr="00B4616B" w14:paraId="38695A63" w14:textId="77777777" w:rsidTr="00B35D8C">
        <w:trPr>
          <w:trHeight w:val="268"/>
          <w:tblHeader/>
          <w:jc w:val="center"/>
        </w:trPr>
        <w:tc>
          <w:tcPr>
            <w:tcW w:w="1896" w:type="dxa"/>
            <w:vMerge/>
            <w:shd w:val="clear" w:color="auto" w:fill="BDD6EE" w:themeFill="accent1" w:themeFillTint="66"/>
            <w:vAlign w:val="center"/>
            <w:hideMark/>
          </w:tcPr>
          <w:p w14:paraId="54C709E5" w14:textId="77777777" w:rsidR="00FA2AC6" w:rsidRPr="00B4616B" w:rsidRDefault="00FA2AC6" w:rsidP="00557A0A">
            <w:pPr>
              <w:spacing w:before="0" w:after="0"/>
              <w:ind w:firstLine="0"/>
              <w:rPr>
                <w:rFonts w:cs="Times New Roman"/>
                <w:sz w:val="20"/>
                <w:szCs w:val="20"/>
                <w:lang w:eastAsia="lv-LV"/>
              </w:rPr>
            </w:pPr>
          </w:p>
        </w:tc>
        <w:tc>
          <w:tcPr>
            <w:tcW w:w="1512" w:type="dxa"/>
            <w:vMerge/>
            <w:shd w:val="clear" w:color="auto" w:fill="BDD6EE" w:themeFill="accent1" w:themeFillTint="66"/>
            <w:vAlign w:val="center"/>
            <w:hideMark/>
          </w:tcPr>
          <w:p w14:paraId="72D38B9A" w14:textId="77777777" w:rsidR="00FA2AC6" w:rsidRPr="00B4616B" w:rsidRDefault="00FA2AC6" w:rsidP="00557A0A">
            <w:pPr>
              <w:spacing w:before="0" w:after="0"/>
              <w:ind w:firstLine="0"/>
              <w:jc w:val="center"/>
              <w:rPr>
                <w:rFonts w:cs="Times New Roman"/>
                <w:sz w:val="20"/>
                <w:szCs w:val="20"/>
                <w:lang w:eastAsia="lv-LV"/>
              </w:rPr>
            </w:pPr>
          </w:p>
        </w:tc>
        <w:tc>
          <w:tcPr>
            <w:tcW w:w="1365" w:type="dxa"/>
            <w:shd w:val="clear" w:color="auto" w:fill="BDD6EE" w:themeFill="accent1" w:themeFillTint="66"/>
            <w:vAlign w:val="center"/>
            <w:hideMark/>
          </w:tcPr>
          <w:p w14:paraId="389F84FD" w14:textId="77777777" w:rsidR="00FA2AC6" w:rsidRPr="00B4616B" w:rsidRDefault="00FA2AC6" w:rsidP="00557A0A">
            <w:pPr>
              <w:spacing w:before="0" w:after="0"/>
              <w:ind w:firstLine="0"/>
              <w:jc w:val="center"/>
              <w:rPr>
                <w:rFonts w:cs="Times New Roman"/>
                <w:b/>
                <w:bCs/>
                <w:sz w:val="20"/>
                <w:szCs w:val="20"/>
                <w:lang w:eastAsia="lv-LV"/>
              </w:rPr>
            </w:pPr>
            <w:r w:rsidRPr="00B4616B">
              <w:rPr>
                <w:rFonts w:cs="Times New Roman"/>
                <w:b/>
                <w:bCs/>
                <w:sz w:val="20"/>
                <w:szCs w:val="20"/>
                <w:lang w:eastAsia="lv-LV"/>
              </w:rPr>
              <w:t>2022.</w:t>
            </w:r>
          </w:p>
        </w:tc>
        <w:tc>
          <w:tcPr>
            <w:tcW w:w="1365" w:type="dxa"/>
            <w:shd w:val="clear" w:color="auto" w:fill="BDD6EE" w:themeFill="accent1" w:themeFillTint="66"/>
            <w:vAlign w:val="center"/>
            <w:hideMark/>
          </w:tcPr>
          <w:p w14:paraId="5ABDA311" w14:textId="77777777" w:rsidR="00FA2AC6" w:rsidRPr="00B4616B" w:rsidRDefault="00FA2AC6" w:rsidP="00557A0A">
            <w:pPr>
              <w:spacing w:before="0" w:after="0"/>
              <w:ind w:firstLine="0"/>
              <w:jc w:val="center"/>
              <w:rPr>
                <w:rFonts w:cs="Times New Roman"/>
                <w:b/>
                <w:bCs/>
                <w:sz w:val="20"/>
                <w:szCs w:val="20"/>
                <w:lang w:eastAsia="lv-LV"/>
              </w:rPr>
            </w:pPr>
            <w:r w:rsidRPr="00B4616B">
              <w:rPr>
                <w:rFonts w:cs="Times New Roman"/>
                <w:b/>
                <w:bCs/>
                <w:sz w:val="20"/>
                <w:szCs w:val="20"/>
                <w:lang w:eastAsia="lv-LV"/>
              </w:rPr>
              <w:t>2023.</w:t>
            </w:r>
          </w:p>
        </w:tc>
        <w:tc>
          <w:tcPr>
            <w:tcW w:w="1365" w:type="dxa"/>
            <w:shd w:val="clear" w:color="auto" w:fill="BDD6EE" w:themeFill="accent1" w:themeFillTint="66"/>
            <w:vAlign w:val="center"/>
          </w:tcPr>
          <w:p w14:paraId="3825B61E" w14:textId="77777777" w:rsidR="00FA2AC6" w:rsidRPr="00B4616B" w:rsidRDefault="00FA2AC6" w:rsidP="00557A0A">
            <w:pPr>
              <w:spacing w:before="0" w:after="0"/>
              <w:ind w:firstLine="0"/>
              <w:jc w:val="center"/>
              <w:rPr>
                <w:rFonts w:cs="Times New Roman"/>
                <w:b/>
                <w:bCs/>
                <w:sz w:val="20"/>
                <w:szCs w:val="20"/>
                <w:lang w:eastAsia="lv-LV"/>
              </w:rPr>
            </w:pPr>
            <w:r w:rsidRPr="00B4616B">
              <w:rPr>
                <w:rFonts w:cs="Times New Roman"/>
                <w:b/>
                <w:bCs/>
                <w:sz w:val="20"/>
                <w:szCs w:val="20"/>
                <w:lang w:eastAsia="lv-LV"/>
              </w:rPr>
              <w:t>2022.</w:t>
            </w:r>
          </w:p>
        </w:tc>
        <w:tc>
          <w:tcPr>
            <w:tcW w:w="1366" w:type="dxa"/>
            <w:shd w:val="clear" w:color="auto" w:fill="BDD6EE" w:themeFill="accent1" w:themeFillTint="66"/>
            <w:vAlign w:val="center"/>
          </w:tcPr>
          <w:p w14:paraId="19C868CE" w14:textId="77777777" w:rsidR="00FA2AC6" w:rsidRPr="00B4616B" w:rsidRDefault="00FA2AC6" w:rsidP="00557A0A">
            <w:pPr>
              <w:spacing w:before="0" w:after="0"/>
              <w:ind w:firstLine="0"/>
              <w:jc w:val="center"/>
              <w:rPr>
                <w:rFonts w:cs="Times New Roman"/>
                <w:b/>
                <w:bCs/>
                <w:sz w:val="20"/>
                <w:szCs w:val="20"/>
                <w:lang w:eastAsia="lv-LV"/>
              </w:rPr>
            </w:pPr>
            <w:r w:rsidRPr="00B4616B">
              <w:rPr>
                <w:rFonts w:cs="Times New Roman"/>
                <w:b/>
                <w:bCs/>
                <w:sz w:val="20"/>
                <w:szCs w:val="20"/>
                <w:lang w:eastAsia="lv-LV"/>
              </w:rPr>
              <w:t>2023.</w:t>
            </w:r>
          </w:p>
        </w:tc>
      </w:tr>
      <w:tr w:rsidR="00FA2AC6" w:rsidRPr="00B4616B" w14:paraId="4082F30B" w14:textId="77777777" w:rsidTr="00557A0A">
        <w:trPr>
          <w:trHeight w:val="315"/>
          <w:jc w:val="center"/>
        </w:trPr>
        <w:tc>
          <w:tcPr>
            <w:tcW w:w="1896" w:type="dxa"/>
            <w:shd w:val="clear" w:color="auto" w:fill="auto"/>
            <w:hideMark/>
          </w:tcPr>
          <w:p w14:paraId="3CBD609B" w14:textId="77777777" w:rsidR="00FA2AC6" w:rsidRPr="00887EF6" w:rsidRDefault="00FA2AC6" w:rsidP="00557A0A">
            <w:pPr>
              <w:spacing w:before="0" w:after="0"/>
              <w:ind w:firstLine="0"/>
              <w:rPr>
                <w:sz w:val="20"/>
                <w:szCs w:val="20"/>
              </w:rPr>
            </w:pPr>
            <w:r>
              <w:rPr>
                <w:sz w:val="20"/>
                <w:szCs w:val="20"/>
              </w:rPr>
              <w:t>Lietuva</w:t>
            </w:r>
          </w:p>
        </w:tc>
        <w:tc>
          <w:tcPr>
            <w:tcW w:w="1512" w:type="dxa"/>
            <w:shd w:val="clear" w:color="auto" w:fill="auto"/>
            <w:vAlign w:val="center"/>
            <w:hideMark/>
          </w:tcPr>
          <w:p w14:paraId="482FEF94" w14:textId="77777777" w:rsidR="00FA2AC6" w:rsidRPr="00887EF6" w:rsidRDefault="00FA2AC6" w:rsidP="00557A0A">
            <w:pPr>
              <w:spacing w:before="0" w:after="0"/>
              <w:ind w:firstLine="0"/>
              <w:jc w:val="center"/>
              <w:rPr>
                <w:rFonts w:cs="Times New Roman"/>
                <w:sz w:val="20"/>
                <w:szCs w:val="20"/>
                <w:lang w:eastAsia="lv-LV"/>
              </w:rPr>
            </w:pPr>
            <w:r w:rsidRPr="00887EF6">
              <w:rPr>
                <w:sz w:val="20"/>
                <w:szCs w:val="20"/>
              </w:rPr>
              <w:t>19</w:t>
            </w:r>
            <w:r>
              <w:rPr>
                <w:sz w:val="20"/>
                <w:szCs w:val="20"/>
              </w:rPr>
              <w:t>,</w:t>
            </w:r>
            <w:r w:rsidRPr="00887EF6">
              <w:rPr>
                <w:sz w:val="20"/>
                <w:szCs w:val="20"/>
              </w:rPr>
              <w:t>3%</w:t>
            </w:r>
          </w:p>
        </w:tc>
        <w:tc>
          <w:tcPr>
            <w:tcW w:w="1365" w:type="dxa"/>
            <w:shd w:val="clear" w:color="auto" w:fill="auto"/>
            <w:noWrap/>
            <w:vAlign w:val="center"/>
            <w:hideMark/>
          </w:tcPr>
          <w:p w14:paraId="7206CF5D"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2</w:t>
            </w:r>
            <w:r>
              <w:rPr>
                <w:rFonts w:cs="Times New Roman"/>
                <w:sz w:val="20"/>
                <w:szCs w:val="20"/>
                <w:lang w:eastAsia="lv-LV"/>
              </w:rPr>
              <w:t>,</w:t>
            </w:r>
            <w:r w:rsidRPr="00887EF6">
              <w:rPr>
                <w:rFonts w:cs="Times New Roman"/>
                <w:sz w:val="20"/>
                <w:szCs w:val="20"/>
                <w:lang w:eastAsia="lv-LV"/>
              </w:rPr>
              <w:t>5</w:t>
            </w:r>
          </w:p>
        </w:tc>
        <w:tc>
          <w:tcPr>
            <w:tcW w:w="1365" w:type="dxa"/>
            <w:shd w:val="clear" w:color="auto" w:fill="auto"/>
            <w:noWrap/>
            <w:vAlign w:val="center"/>
            <w:hideMark/>
          </w:tcPr>
          <w:p w14:paraId="0A4E1162"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0</w:t>
            </w:r>
            <w:r>
              <w:rPr>
                <w:rFonts w:cs="Times New Roman"/>
                <w:sz w:val="20"/>
                <w:szCs w:val="20"/>
                <w:lang w:eastAsia="lv-LV"/>
              </w:rPr>
              <w:t>,</w:t>
            </w:r>
            <w:r w:rsidRPr="00887EF6">
              <w:rPr>
                <w:rFonts w:cs="Times New Roman"/>
                <w:sz w:val="20"/>
                <w:szCs w:val="20"/>
                <w:lang w:eastAsia="lv-LV"/>
              </w:rPr>
              <w:t>5</w:t>
            </w:r>
          </w:p>
        </w:tc>
        <w:tc>
          <w:tcPr>
            <w:tcW w:w="1365" w:type="dxa"/>
            <w:shd w:val="clear" w:color="auto" w:fill="FFFFFF" w:themeFill="background1"/>
            <w:noWrap/>
            <w:vAlign w:val="center"/>
          </w:tcPr>
          <w:p w14:paraId="6FFD93F9"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-0,9</w:t>
            </w:r>
          </w:p>
        </w:tc>
        <w:tc>
          <w:tcPr>
            <w:tcW w:w="1366" w:type="dxa"/>
            <w:shd w:val="clear" w:color="auto" w:fill="FFFFFF" w:themeFill="background1"/>
            <w:vAlign w:val="center"/>
          </w:tcPr>
          <w:p w14:paraId="6E229A36"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-2,9</w:t>
            </w:r>
          </w:p>
        </w:tc>
      </w:tr>
      <w:tr w:rsidR="00FA2AC6" w:rsidRPr="00B4616B" w14:paraId="6200938D" w14:textId="77777777" w:rsidTr="00557A0A">
        <w:trPr>
          <w:trHeight w:val="315"/>
          <w:jc w:val="center"/>
        </w:trPr>
        <w:tc>
          <w:tcPr>
            <w:tcW w:w="1896" w:type="dxa"/>
            <w:shd w:val="clear" w:color="auto" w:fill="auto"/>
            <w:hideMark/>
          </w:tcPr>
          <w:p w14:paraId="7AB2B659" w14:textId="77777777" w:rsidR="00FA2AC6" w:rsidRPr="00887EF6" w:rsidRDefault="00FA2AC6" w:rsidP="00557A0A">
            <w:pPr>
              <w:spacing w:before="0" w:after="0"/>
              <w:ind w:firstLine="0"/>
              <w:rPr>
                <w:rFonts w:cs="Times New Roman"/>
                <w:sz w:val="20"/>
                <w:szCs w:val="20"/>
                <w:lang w:eastAsia="lv-LV"/>
              </w:rPr>
            </w:pPr>
            <w:r>
              <w:rPr>
                <w:sz w:val="20"/>
                <w:szCs w:val="20"/>
              </w:rPr>
              <w:t>Igaunija</w:t>
            </w:r>
          </w:p>
        </w:tc>
        <w:tc>
          <w:tcPr>
            <w:tcW w:w="1512" w:type="dxa"/>
            <w:shd w:val="clear" w:color="auto" w:fill="auto"/>
            <w:vAlign w:val="center"/>
            <w:hideMark/>
          </w:tcPr>
          <w:p w14:paraId="350A6DDE" w14:textId="77777777" w:rsidR="00FA2AC6" w:rsidRPr="00887EF6" w:rsidRDefault="00FA2AC6" w:rsidP="00557A0A">
            <w:pPr>
              <w:spacing w:before="0" w:after="0"/>
              <w:ind w:firstLine="0"/>
              <w:jc w:val="center"/>
              <w:rPr>
                <w:rFonts w:cs="Times New Roman"/>
                <w:sz w:val="20"/>
                <w:szCs w:val="20"/>
                <w:lang w:eastAsia="lv-LV"/>
              </w:rPr>
            </w:pPr>
            <w:r w:rsidRPr="00887EF6">
              <w:rPr>
                <w:sz w:val="20"/>
                <w:szCs w:val="20"/>
              </w:rPr>
              <w:t>11</w:t>
            </w:r>
            <w:r>
              <w:rPr>
                <w:sz w:val="20"/>
                <w:szCs w:val="20"/>
              </w:rPr>
              <w:t>,</w:t>
            </w:r>
            <w:r w:rsidRPr="00887EF6">
              <w:rPr>
                <w:sz w:val="20"/>
                <w:szCs w:val="20"/>
              </w:rPr>
              <w:t>9%</w:t>
            </w:r>
          </w:p>
        </w:tc>
        <w:tc>
          <w:tcPr>
            <w:tcW w:w="1365" w:type="dxa"/>
            <w:shd w:val="clear" w:color="auto" w:fill="auto"/>
            <w:noWrap/>
            <w:vAlign w:val="center"/>
            <w:hideMark/>
          </w:tcPr>
          <w:p w14:paraId="6C25A919"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-0</w:t>
            </w:r>
            <w:r>
              <w:rPr>
                <w:rFonts w:cs="Times New Roman"/>
                <w:sz w:val="20"/>
                <w:szCs w:val="20"/>
                <w:lang w:eastAsia="lv-LV"/>
              </w:rPr>
              <w:t>,</w:t>
            </w:r>
            <w:r w:rsidRPr="00887EF6">
              <w:rPr>
                <w:rFonts w:cs="Times New Roman"/>
                <w:sz w:val="20"/>
                <w:szCs w:val="20"/>
                <w:lang w:eastAsia="lv-LV"/>
              </w:rPr>
              <w:t>1</w:t>
            </w:r>
          </w:p>
        </w:tc>
        <w:tc>
          <w:tcPr>
            <w:tcW w:w="1365" w:type="dxa"/>
            <w:shd w:val="clear" w:color="auto" w:fill="auto"/>
            <w:noWrap/>
            <w:vAlign w:val="center"/>
            <w:hideMark/>
          </w:tcPr>
          <w:p w14:paraId="7BD520E9"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0</w:t>
            </w:r>
            <w:r>
              <w:rPr>
                <w:rFonts w:cs="Times New Roman"/>
                <w:sz w:val="20"/>
                <w:szCs w:val="20"/>
                <w:lang w:eastAsia="lv-LV"/>
              </w:rPr>
              <w:t>,</w:t>
            </w:r>
            <w:r w:rsidRPr="00887EF6">
              <w:rPr>
                <w:rFonts w:cs="Times New Roman"/>
                <w:sz w:val="20"/>
                <w:szCs w:val="20"/>
                <w:lang w:eastAsia="lv-LV"/>
              </w:rPr>
              <w:t>7</w:t>
            </w:r>
          </w:p>
        </w:tc>
        <w:tc>
          <w:tcPr>
            <w:tcW w:w="1365" w:type="dxa"/>
            <w:shd w:val="clear" w:color="auto" w:fill="FFFFFF" w:themeFill="background1"/>
            <w:noWrap/>
            <w:vAlign w:val="center"/>
          </w:tcPr>
          <w:p w14:paraId="3A5C7C29"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-3,2</w:t>
            </w:r>
          </w:p>
        </w:tc>
        <w:tc>
          <w:tcPr>
            <w:tcW w:w="1366" w:type="dxa"/>
            <w:shd w:val="clear" w:color="auto" w:fill="FFFFFF" w:themeFill="background1"/>
            <w:vAlign w:val="center"/>
          </w:tcPr>
          <w:p w14:paraId="091411EE"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-3,3</w:t>
            </w:r>
          </w:p>
        </w:tc>
      </w:tr>
      <w:tr w:rsidR="00FA2AC6" w:rsidRPr="00B4616B" w14:paraId="0B732509" w14:textId="77777777" w:rsidTr="00557A0A">
        <w:trPr>
          <w:trHeight w:val="315"/>
          <w:jc w:val="center"/>
        </w:trPr>
        <w:tc>
          <w:tcPr>
            <w:tcW w:w="1896" w:type="dxa"/>
            <w:shd w:val="clear" w:color="auto" w:fill="auto"/>
            <w:hideMark/>
          </w:tcPr>
          <w:p w14:paraId="4B297BFD" w14:textId="77777777" w:rsidR="00FA2AC6" w:rsidRPr="00887EF6" w:rsidRDefault="00FA2AC6" w:rsidP="00557A0A">
            <w:pPr>
              <w:spacing w:before="0" w:after="0"/>
              <w:ind w:firstLine="0"/>
              <w:rPr>
                <w:rFonts w:cs="Times New Roman"/>
                <w:sz w:val="20"/>
                <w:szCs w:val="20"/>
                <w:lang w:eastAsia="lv-LV"/>
              </w:rPr>
            </w:pPr>
            <w:r>
              <w:rPr>
                <w:sz w:val="20"/>
                <w:szCs w:val="20"/>
              </w:rPr>
              <w:t>Vācija</w:t>
            </w:r>
          </w:p>
        </w:tc>
        <w:tc>
          <w:tcPr>
            <w:tcW w:w="1512" w:type="dxa"/>
            <w:shd w:val="clear" w:color="auto" w:fill="auto"/>
            <w:vAlign w:val="center"/>
            <w:hideMark/>
          </w:tcPr>
          <w:p w14:paraId="118664BE" w14:textId="77777777" w:rsidR="00FA2AC6" w:rsidRPr="00887EF6" w:rsidRDefault="00FA2AC6" w:rsidP="00557A0A">
            <w:pPr>
              <w:spacing w:before="0" w:after="0"/>
              <w:ind w:firstLine="0"/>
              <w:jc w:val="center"/>
              <w:rPr>
                <w:rFonts w:cs="Times New Roman"/>
                <w:sz w:val="20"/>
                <w:szCs w:val="20"/>
                <w:lang w:eastAsia="lv-LV"/>
              </w:rPr>
            </w:pPr>
            <w:r w:rsidRPr="00887EF6">
              <w:rPr>
                <w:sz w:val="20"/>
                <w:szCs w:val="20"/>
              </w:rPr>
              <w:t>7</w:t>
            </w:r>
            <w:r>
              <w:rPr>
                <w:sz w:val="20"/>
                <w:szCs w:val="20"/>
              </w:rPr>
              <w:t>,</w:t>
            </w:r>
            <w:r w:rsidRPr="00887EF6">
              <w:rPr>
                <w:sz w:val="20"/>
                <w:szCs w:val="20"/>
              </w:rPr>
              <w:t>2%</w:t>
            </w:r>
          </w:p>
        </w:tc>
        <w:tc>
          <w:tcPr>
            <w:tcW w:w="1365" w:type="dxa"/>
            <w:shd w:val="clear" w:color="auto" w:fill="auto"/>
            <w:noWrap/>
            <w:vAlign w:val="center"/>
            <w:hideMark/>
          </w:tcPr>
          <w:p w14:paraId="6BD3799A"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1</w:t>
            </w:r>
            <w:r>
              <w:rPr>
                <w:rFonts w:cs="Times New Roman"/>
                <w:sz w:val="20"/>
                <w:szCs w:val="20"/>
                <w:lang w:eastAsia="lv-LV"/>
              </w:rPr>
              <w:t>,</w:t>
            </w:r>
            <w:r w:rsidRPr="00887EF6">
              <w:rPr>
                <w:rFonts w:cs="Times New Roman"/>
                <w:sz w:val="20"/>
                <w:szCs w:val="20"/>
                <w:lang w:eastAsia="lv-LV"/>
              </w:rPr>
              <w:t>6</w:t>
            </w:r>
          </w:p>
        </w:tc>
        <w:tc>
          <w:tcPr>
            <w:tcW w:w="1365" w:type="dxa"/>
            <w:shd w:val="clear" w:color="auto" w:fill="auto"/>
            <w:noWrap/>
            <w:vAlign w:val="center"/>
            <w:hideMark/>
          </w:tcPr>
          <w:p w14:paraId="2AED0C12"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-0</w:t>
            </w:r>
            <w:r>
              <w:rPr>
                <w:rFonts w:cs="Times New Roman"/>
                <w:sz w:val="20"/>
                <w:szCs w:val="20"/>
                <w:lang w:eastAsia="lv-LV"/>
              </w:rPr>
              <w:t>,</w:t>
            </w:r>
            <w:r w:rsidRPr="00887EF6">
              <w:rPr>
                <w:rFonts w:cs="Times New Roman"/>
                <w:sz w:val="20"/>
                <w:szCs w:val="20"/>
                <w:lang w:eastAsia="lv-LV"/>
              </w:rPr>
              <w:t>6</w:t>
            </w:r>
          </w:p>
        </w:tc>
        <w:tc>
          <w:tcPr>
            <w:tcW w:w="1365" w:type="dxa"/>
            <w:shd w:val="clear" w:color="auto" w:fill="FFFFFF" w:themeFill="background1"/>
            <w:noWrap/>
            <w:vAlign w:val="center"/>
          </w:tcPr>
          <w:p w14:paraId="62F4E395"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-2,0</w:t>
            </w:r>
          </w:p>
        </w:tc>
        <w:tc>
          <w:tcPr>
            <w:tcW w:w="1366" w:type="dxa"/>
            <w:shd w:val="clear" w:color="auto" w:fill="FFFFFF" w:themeFill="background1"/>
            <w:vAlign w:val="center"/>
          </w:tcPr>
          <w:p w14:paraId="67CBAB2F"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-3,2</w:t>
            </w:r>
          </w:p>
        </w:tc>
      </w:tr>
      <w:tr w:rsidR="00FA2AC6" w:rsidRPr="00B4616B" w14:paraId="50A5459D" w14:textId="77777777" w:rsidTr="00557A0A">
        <w:trPr>
          <w:trHeight w:val="315"/>
          <w:jc w:val="center"/>
        </w:trPr>
        <w:tc>
          <w:tcPr>
            <w:tcW w:w="1896" w:type="dxa"/>
            <w:shd w:val="clear" w:color="auto" w:fill="auto"/>
            <w:hideMark/>
          </w:tcPr>
          <w:p w14:paraId="5B608084" w14:textId="77777777" w:rsidR="00FA2AC6" w:rsidRPr="00887EF6" w:rsidRDefault="00FA2AC6" w:rsidP="00557A0A">
            <w:pPr>
              <w:spacing w:before="0" w:after="0"/>
              <w:ind w:firstLine="0"/>
              <w:rPr>
                <w:rFonts w:cs="Times New Roman"/>
                <w:sz w:val="20"/>
                <w:szCs w:val="20"/>
                <w:lang w:eastAsia="lv-LV"/>
              </w:rPr>
            </w:pPr>
            <w:r>
              <w:rPr>
                <w:sz w:val="20"/>
                <w:szCs w:val="20"/>
              </w:rPr>
              <w:t>Zviedrija</w:t>
            </w:r>
          </w:p>
        </w:tc>
        <w:tc>
          <w:tcPr>
            <w:tcW w:w="1512" w:type="dxa"/>
            <w:shd w:val="clear" w:color="auto" w:fill="auto"/>
            <w:vAlign w:val="center"/>
            <w:hideMark/>
          </w:tcPr>
          <w:p w14:paraId="202F3547" w14:textId="77777777" w:rsidR="00FA2AC6" w:rsidRPr="00887EF6" w:rsidRDefault="00FA2AC6" w:rsidP="00557A0A">
            <w:pPr>
              <w:spacing w:before="0" w:after="0"/>
              <w:ind w:firstLine="0"/>
              <w:jc w:val="center"/>
              <w:rPr>
                <w:rFonts w:cs="Times New Roman"/>
                <w:sz w:val="20"/>
                <w:szCs w:val="20"/>
                <w:lang w:eastAsia="lv-LV"/>
              </w:rPr>
            </w:pPr>
            <w:r w:rsidRPr="00887EF6">
              <w:rPr>
                <w:sz w:val="20"/>
                <w:szCs w:val="20"/>
              </w:rPr>
              <w:t>5</w:t>
            </w:r>
            <w:r>
              <w:rPr>
                <w:sz w:val="20"/>
                <w:szCs w:val="20"/>
              </w:rPr>
              <w:t>,</w:t>
            </w:r>
            <w:r w:rsidRPr="00887EF6">
              <w:rPr>
                <w:sz w:val="20"/>
                <w:szCs w:val="20"/>
              </w:rPr>
              <w:t>7%</w:t>
            </w:r>
          </w:p>
        </w:tc>
        <w:tc>
          <w:tcPr>
            <w:tcW w:w="1365" w:type="dxa"/>
            <w:shd w:val="clear" w:color="auto" w:fill="auto"/>
            <w:noWrap/>
            <w:vAlign w:val="center"/>
            <w:hideMark/>
          </w:tcPr>
          <w:p w14:paraId="4E1B98CB"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2</w:t>
            </w:r>
            <w:r>
              <w:rPr>
                <w:rFonts w:cs="Times New Roman"/>
                <w:sz w:val="20"/>
                <w:szCs w:val="20"/>
                <w:lang w:eastAsia="lv-LV"/>
              </w:rPr>
              <w:t>,</w:t>
            </w:r>
            <w:r w:rsidRPr="00887EF6">
              <w:rPr>
                <w:rFonts w:cs="Times New Roman"/>
                <w:sz w:val="20"/>
                <w:szCs w:val="20"/>
                <w:lang w:eastAsia="lv-LV"/>
              </w:rPr>
              <w:t>9</w:t>
            </w:r>
          </w:p>
        </w:tc>
        <w:tc>
          <w:tcPr>
            <w:tcW w:w="1365" w:type="dxa"/>
            <w:shd w:val="clear" w:color="auto" w:fill="auto"/>
            <w:noWrap/>
            <w:vAlign w:val="center"/>
            <w:hideMark/>
          </w:tcPr>
          <w:p w14:paraId="13C17FD6"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-0</w:t>
            </w:r>
            <w:r>
              <w:rPr>
                <w:rFonts w:cs="Times New Roman"/>
                <w:sz w:val="20"/>
                <w:szCs w:val="20"/>
                <w:lang w:eastAsia="lv-LV"/>
              </w:rPr>
              <w:t>,</w:t>
            </w:r>
            <w:r w:rsidRPr="00887EF6">
              <w:rPr>
                <w:rFonts w:cs="Times New Roman"/>
                <w:sz w:val="20"/>
                <w:szCs w:val="20"/>
                <w:lang w:eastAsia="lv-LV"/>
              </w:rPr>
              <w:t>6</w:t>
            </w:r>
          </w:p>
        </w:tc>
        <w:tc>
          <w:tcPr>
            <w:tcW w:w="1365" w:type="dxa"/>
            <w:shd w:val="clear" w:color="auto" w:fill="FFFFFF" w:themeFill="background1"/>
            <w:noWrap/>
            <w:vAlign w:val="center"/>
          </w:tcPr>
          <w:p w14:paraId="0151F14A"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-0,9</w:t>
            </w:r>
          </w:p>
        </w:tc>
        <w:tc>
          <w:tcPr>
            <w:tcW w:w="1366" w:type="dxa"/>
            <w:shd w:val="clear" w:color="auto" w:fill="FFFFFF" w:themeFill="background1"/>
            <w:vAlign w:val="center"/>
          </w:tcPr>
          <w:p w14:paraId="3FA24E5E"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-2,6</w:t>
            </w:r>
          </w:p>
        </w:tc>
      </w:tr>
      <w:tr w:rsidR="00FA2AC6" w:rsidRPr="00B4616B" w14:paraId="1A514C8C" w14:textId="77777777" w:rsidTr="00557A0A">
        <w:trPr>
          <w:trHeight w:val="315"/>
          <w:jc w:val="center"/>
        </w:trPr>
        <w:tc>
          <w:tcPr>
            <w:tcW w:w="1896" w:type="dxa"/>
            <w:shd w:val="clear" w:color="auto" w:fill="auto"/>
            <w:hideMark/>
          </w:tcPr>
          <w:p w14:paraId="6F6C78B1" w14:textId="77777777" w:rsidR="00FA2AC6" w:rsidRPr="00887EF6" w:rsidRDefault="00FA2AC6" w:rsidP="00557A0A">
            <w:pPr>
              <w:spacing w:before="0" w:after="0"/>
              <w:ind w:firstLine="0"/>
              <w:rPr>
                <w:rFonts w:cs="Times New Roman"/>
                <w:sz w:val="20"/>
                <w:szCs w:val="20"/>
                <w:lang w:eastAsia="lv-LV"/>
              </w:rPr>
            </w:pPr>
            <w:r>
              <w:rPr>
                <w:sz w:val="20"/>
                <w:szCs w:val="20"/>
              </w:rPr>
              <w:t>Apvienotā Karaliste*</w:t>
            </w:r>
          </w:p>
        </w:tc>
        <w:tc>
          <w:tcPr>
            <w:tcW w:w="1512" w:type="dxa"/>
            <w:shd w:val="clear" w:color="auto" w:fill="auto"/>
            <w:vAlign w:val="center"/>
            <w:hideMark/>
          </w:tcPr>
          <w:p w14:paraId="2F5F0448" w14:textId="77777777" w:rsidR="00FA2AC6" w:rsidRPr="00887EF6" w:rsidRDefault="00FA2AC6" w:rsidP="00557A0A">
            <w:pPr>
              <w:spacing w:before="0" w:after="0"/>
              <w:ind w:firstLine="0"/>
              <w:jc w:val="center"/>
              <w:rPr>
                <w:rFonts w:cs="Times New Roman"/>
                <w:sz w:val="20"/>
                <w:szCs w:val="20"/>
                <w:lang w:eastAsia="lv-LV"/>
              </w:rPr>
            </w:pPr>
            <w:r w:rsidRPr="00887EF6">
              <w:rPr>
                <w:sz w:val="20"/>
                <w:szCs w:val="20"/>
              </w:rPr>
              <w:t>5</w:t>
            </w:r>
            <w:r>
              <w:rPr>
                <w:sz w:val="20"/>
                <w:szCs w:val="20"/>
              </w:rPr>
              <w:t>,</w:t>
            </w:r>
            <w:r w:rsidRPr="00887EF6">
              <w:rPr>
                <w:sz w:val="20"/>
                <w:szCs w:val="20"/>
              </w:rPr>
              <w:t>7%</w:t>
            </w:r>
          </w:p>
        </w:tc>
        <w:tc>
          <w:tcPr>
            <w:tcW w:w="1365" w:type="dxa"/>
            <w:shd w:val="clear" w:color="auto" w:fill="auto"/>
            <w:noWrap/>
            <w:vAlign w:val="center"/>
            <w:hideMark/>
          </w:tcPr>
          <w:p w14:paraId="6B33F9DF"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3</w:t>
            </w:r>
            <w:r>
              <w:rPr>
                <w:rFonts w:cs="Times New Roman"/>
                <w:sz w:val="20"/>
                <w:szCs w:val="20"/>
                <w:lang w:eastAsia="lv-LV"/>
              </w:rPr>
              <w:t>,</w:t>
            </w:r>
            <w:r w:rsidRPr="00887EF6">
              <w:rPr>
                <w:rFonts w:cs="Times New Roman"/>
                <w:sz w:val="20"/>
                <w:szCs w:val="20"/>
                <w:lang w:eastAsia="lv-LV"/>
              </w:rPr>
              <w:t>6</w:t>
            </w:r>
          </w:p>
        </w:tc>
        <w:tc>
          <w:tcPr>
            <w:tcW w:w="1365" w:type="dxa"/>
            <w:shd w:val="clear" w:color="auto" w:fill="auto"/>
            <w:noWrap/>
            <w:vAlign w:val="center"/>
            <w:hideMark/>
          </w:tcPr>
          <w:p w14:paraId="4405D74C"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0</w:t>
            </w:r>
            <w:r>
              <w:rPr>
                <w:rFonts w:cs="Times New Roman"/>
                <w:sz w:val="20"/>
                <w:szCs w:val="20"/>
                <w:lang w:eastAsia="lv-LV"/>
              </w:rPr>
              <w:t>,</w:t>
            </w:r>
            <w:r w:rsidRPr="00887EF6">
              <w:rPr>
                <w:rFonts w:cs="Times New Roman"/>
                <w:sz w:val="20"/>
                <w:szCs w:val="20"/>
                <w:lang w:eastAsia="lv-LV"/>
              </w:rPr>
              <w:t>3</w:t>
            </w:r>
          </w:p>
        </w:tc>
        <w:tc>
          <w:tcPr>
            <w:tcW w:w="1365" w:type="dxa"/>
            <w:shd w:val="clear" w:color="auto" w:fill="FFFFFF" w:themeFill="background1"/>
            <w:noWrap/>
            <w:vAlign w:val="center"/>
          </w:tcPr>
          <w:p w14:paraId="2F215F0B"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-1,1</w:t>
            </w:r>
          </w:p>
        </w:tc>
        <w:tc>
          <w:tcPr>
            <w:tcW w:w="1366" w:type="dxa"/>
            <w:shd w:val="clear" w:color="auto" w:fill="FFFFFF" w:themeFill="background1"/>
            <w:vAlign w:val="center"/>
          </w:tcPr>
          <w:p w14:paraId="2E47FA12"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-2,0</w:t>
            </w:r>
          </w:p>
        </w:tc>
      </w:tr>
      <w:tr w:rsidR="00FA2AC6" w:rsidRPr="00B4616B" w14:paraId="0FAA16BE" w14:textId="77777777" w:rsidTr="00557A0A">
        <w:trPr>
          <w:trHeight w:val="347"/>
          <w:jc w:val="center"/>
        </w:trPr>
        <w:tc>
          <w:tcPr>
            <w:tcW w:w="1896" w:type="dxa"/>
            <w:shd w:val="clear" w:color="auto" w:fill="auto"/>
            <w:hideMark/>
          </w:tcPr>
          <w:p w14:paraId="3BF25FB1" w14:textId="77777777" w:rsidR="00FA2AC6" w:rsidRPr="00887EF6" w:rsidRDefault="00FA2AC6" w:rsidP="00557A0A">
            <w:pPr>
              <w:spacing w:before="0" w:after="0"/>
              <w:ind w:firstLine="0"/>
              <w:rPr>
                <w:rFonts w:cs="Times New Roman"/>
                <w:sz w:val="20"/>
                <w:szCs w:val="20"/>
                <w:lang w:eastAsia="lv-LV"/>
              </w:rPr>
            </w:pPr>
            <w:r>
              <w:rPr>
                <w:sz w:val="20"/>
                <w:szCs w:val="20"/>
              </w:rPr>
              <w:t>Krievija*</w:t>
            </w:r>
          </w:p>
        </w:tc>
        <w:tc>
          <w:tcPr>
            <w:tcW w:w="1512" w:type="dxa"/>
            <w:shd w:val="clear" w:color="auto" w:fill="auto"/>
            <w:vAlign w:val="center"/>
            <w:hideMark/>
          </w:tcPr>
          <w:p w14:paraId="5C4DD20E" w14:textId="77777777" w:rsidR="00FA2AC6" w:rsidRPr="00887EF6" w:rsidRDefault="00FA2AC6" w:rsidP="00557A0A">
            <w:pPr>
              <w:spacing w:before="0" w:after="0"/>
              <w:ind w:firstLine="0"/>
              <w:jc w:val="center"/>
              <w:rPr>
                <w:rFonts w:cs="Times New Roman"/>
                <w:sz w:val="20"/>
                <w:szCs w:val="20"/>
                <w:lang w:eastAsia="lv-LV"/>
              </w:rPr>
            </w:pPr>
            <w:r w:rsidRPr="00887EF6">
              <w:rPr>
                <w:sz w:val="20"/>
                <w:szCs w:val="20"/>
              </w:rPr>
              <w:t>5</w:t>
            </w:r>
            <w:r>
              <w:rPr>
                <w:sz w:val="20"/>
                <w:szCs w:val="20"/>
              </w:rPr>
              <w:t>,</w:t>
            </w:r>
            <w:r w:rsidRPr="00887EF6">
              <w:rPr>
                <w:sz w:val="20"/>
                <w:szCs w:val="20"/>
              </w:rPr>
              <w:t>4%</w:t>
            </w:r>
          </w:p>
        </w:tc>
        <w:tc>
          <w:tcPr>
            <w:tcW w:w="1365" w:type="dxa"/>
            <w:shd w:val="clear" w:color="auto" w:fill="auto"/>
            <w:noWrap/>
            <w:vAlign w:val="center"/>
            <w:hideMark/>
          </w:tcPr>
          <w:p w14:paraId="30804B3D"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-3</w:t>
            </w:r>
            <w:r>
              <w:rPr>
                <w:rFonts w:cs="Times New Roman"/>
                <w:sz w:val="20"/>
                <w:szCs w:val="20"/>
                <w:lang w:eastAsia="lv-LV"/>
              </w:rPr>
              <w:t>,</w:t>
            </w:r>
            <w:r w:rsidRPr="00887EF6">
              <w:rPr>
                <w:rFonts w:cs="Times New Roman"/>
                <w:sz w:val="20"/>
                <w:szCs w:val="20"/>
                <w:lang w:eastAsia="lv-LV"/>
              </w:rPr>
              <w:t>4</w:t>
            </w:r>
          </w:p>
        </w:tc>
        <w:tc>
          <w:tcPr>
            <w:tcW w:w="1365" w:type="dxa"/>
            <w:shd w:val="clear" w:color="auto" w:fill="auto"/>
            <w:noWrap/>
            <w:vAlign w:val="center"/>
            <w:hideMark/>
          </w:tcPr>
          <w:p w14:paraId="44D32911"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-2</w:t>
            </w:r>
            <w:r>
              <w:rPr>
                <w:rFonts w:cs="Times New Roman"/>
                <w:sz w:val="20"/>
                <w:szCs w:val="20"/>
                <w:lang w:eastAsia="lv-LV"/>
              </w:rPr>
              <w:t>,</w:t>
            </w:r>
            <w:r w:rsidRPr="00887EF6">
              <w:rPr>
                <w:rFonts w:cs="Times New Roman"/>
                <w:sz w:val="20"/>
                <w:szCs w:val="20"/>
                <w:lang w:eastAsia="lv-LV"/>
              </w:rPr>
              <w:t>3</w:t>
            </w:r>
          </w:p>
        </w:tc>
        <w:tc>
          <w:tcPr>
            <w:tcW w:w="1365" w:type="dxa"/>
            <w:shd w:val="clear" w:color="auto" w:fill="FFFFFF" w:themeFill="background1"/>
            <w:noWrap/>
            <w:vAlign w:val="center"/>
          </w:tcPr>
          <w:p w14:paraId="73DB5D12"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-6,2</w:t>
            </w:r>
          </w:p>
        </w:tc>
        <w:tc>
          <w:tcPr>
            <w:tcW w:w="1366" w:type="dxa"/>
            <w:shd w:val="clear" w:color="auto" w:fill="FFFFFF" w:themeFill="background1"/>
            <w:vAlign w:val="center"/>
          </w:tcPr>
          <w:p w14:paraId="418E6AF5"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-4,4</w:t>
            </w:r>
          </w:p>
        </w:tc>
      </w:tr>
      <w:tr w:rsidR="00FA2AC6" w:rsidRPr="00B4616B" w14:paraId="61E38120" w14:textId="77777777" w:rsidTr="00557A0A">
        <w:trPr>
          <w:trHeight w:val="315"/>
          <w:jc w:val="center"/>
        </w:trPr>
        <w:tc>
          <w:tcPr>
            <w:tcW w:w="1896" w:type="dxa"/>
            <w:shd w:val="clear" w:color="auto" w:fill="auto"/>
            <w:hideMark/>
          </w:tcPr>
          <w:p w14:paraId="0B37336B" w14:textId="77777777" w:rsidR="00FA2AC6" w:rsidRPr="00887EF6" w:rsidRDefault="00FA2AC6" w:rsidP="00557A0A">
            <w:pPr>
              <w:spacing w:before="0" w:after="0"/>
              <w:ind w:firstLine="0"/>
              <w:rPr>
                <w:rFonts w:cs="Times New Roman"/>
                <w:sz w:val="20"/>
                <w:szCs w:val="20"/>
                <w:lang w:eastAsia="lv-LV"/>
              </w:rPr>
            </w:pPr>
            <w:r>
              <w:rPr>
                <w:sz w:val="20"/>
                <w:szCs w:val="20"/>
              </w:rPr>
              <w:t>Dānija</w:t>
            </w:r>
          </w:p>
        </w:tc>
        <w:tc>
          <w:tcPr>
            <w:tcW w:w="1512" w:type="dxa"/>
            <w:shd w:val="clear" w:color="auto" w:fill="auto"/>
            <w:vAlign w:val="center"/>
            <w:hideMark/>
          </w:tcPr>
          <w:p w14:paraId="5FBC52C8" w14:textId="77777777" w:rsidR="00FA2AC6" w:rsidRPr="00887EF6" w:rsidRDefault="00FA2AC6" w:rsidP="00557A0A">
            <w:pPr>
              <w:spacing w:before="0" w:after="0"/>
              <w:ind w:firstLine="0"/>
              <w:jc w:val="center"/>
              <w:rPr>
                <w:rFonts w:cs="Times New Roman"/>
                <w:sz w:val="20"/>
                <w:szCs w:val="20"/>
                <w:lang w:eastAsia="lv-LV"/>
              </w:rPr>
            </w:pPr>
            <w:r w:rsidRPr="00887EF6">
              <w:rPr>
                <w:sz w:val="20"/>
                <w:szCs w:val="20"/>
              </w:rPr>
              <w:t>4</w:t>
            </w:r>
            <w:r>
              <w:rPr>
                <w:sz w:val="20"/>
                <w:szCs w:val="20"/>
              </w:rPr>
              <w:t>,</w:t>
            </w:r>
            <w:r w:rsidRPr="00887EF6">
              <w:rPr>
                <w:sz w:val="20"/>
                <w:szCs w:val="20"/>
              </w:rPr>
              <w:t>0%</w:t>
            </w:r>
          </w:p>
        </w:tc>
        <w:tc>
          <w:tcPr>
            <w:tcW w:w="1365" w:type="dxa"/>
            <w:shd w:val="clear" w:color="auto" w:fill="auto"/>
            <w:noWrap/>
            <w:vAlign w:val="center"/>
            <w:hideMark/>
          </w:tcPr>
          <w:p w14:paraId="56C0A45D"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3</w:t>
            </w:r>
            <w:r>
              <w:rPr>
                <w:rFonts w:cs="Times New Roman"/>
                <w:sz w:val="20"/>
                <w:szCs w:val="20"/>
                <w:lang w:eastAsia="lv-LV"/>
              </w:rPr>
              <w:t>,</w:t>
            </w:r>
            <w:r w:rsidRPr="00887EF6">
              <w:rPr>
                <w:rFonts w:cs="Times New Roman"/>
                <w:sz w:val="20"/>
                <w:szCs w:val="20"/>
                <w:lang w:eastAsia="lv-LV"/>
              </w:rPr>
              <w:t>0</w:t>
            </w:r>
          </w:p>
        </w:tc>
        <w:tc>
          <w:tcPr>
            <w:tcW w:w="1365" w:type="dxa"/>
            <w:shd w:val="clear" w:color="auto" w:fill="auto"/>
            <w:noWrap/>
            <w:vAlign w:val="center"/>
            <w:hideMark/>
          </w:tcPr>
          <w:p w14:paraId="376E583B"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0</w:t>
            </w:r>
            <w:r>
              <w:rPr>
                <w:rFonts w:cs="Times New Roman"/>
                <w:sz w:val="20"/>
                <w:szCs w:val="20"/>
                <w:lang w:eastAsia="lv-LV"/>
              </w:rPr>
              <w:t>,</w:t>
            </w:r>
            <w:r w:rsidRPr="00887EF6">
              <w:rPr>
                <w:rFonts w:cs="Times New Roman"/>
                <w:sz w:val="20"/>
                <w:szCs w:val="20"/>
                <w:lang w:eastAsia="lv-LV"/>
              </w:rPr>
              <w:t>0</w:t>
            </w:r>
          </w:p>
        </w:tc>
        <w:tc>
          <w:tcPr>
            <w:tcW w:w="1365" w:type="dxa"/>
            <w:shd w:val="clear" w:color="auto" w:fill="FFFFFF" w:themeFill="background1"/>
            <w:noWrap/>
            <w:vAlign w:val="center"/>
          </w:tcPr>
          <w:p w14:paraId="1F3B9E1C"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0,2</w:t>
            </w:r>
          </w:p>
        </w:tc>
        <w:tc>
          <w:tcPr>
            <w:tcW w:w="1366" w:type="dxa"/>
            <w:shd w:val="clear" w:color="auto" w:fill="FFFFFF" w:themeFill="background1"/>
            <w:vAlign w:val="center"/>
          </w:tcPr>
          <w:p w14:paraId="4D2D675F"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-2,3</w:t>
            </w:r>
          </w:p>
        </w:tc>
      </w:tr>
      <w:tr w:rsidR="00FA2AC6" w:rsidRPr="00B4616B" w14:paraId="599737C2" w14:textId="77777777" w:rsidTr="00557A0A">
        <w:trPr>
          <w:trHeight w:val="315"/>
          <w:jc w:val="center"/>
        </w:trPr>
        <w:tc>
          <w:tcPr>
            <w:tcW w:w="1896" w:type="dxa"/>
            <w:shd w:val="clear" w:color="auto" w:fill="auto"/>
            <w:hideMark/>
          </w:tcPr>
          <w:p w14:paraId="6FDD8BC1" w14:textId="77777777" w:rsidR="00FA2AC6" w:rsidRPr="00887EF6" w:rsidRDefault="00FA2AC6" w:rsidP="00557A0A">
            <w:pPr>
              <w:spacing w:before="0" w:after="0"/>
              <w:ind w:firstLine="0"/>
              <w:rPr>
                <w:rFonts w:cs="Times New Roman"/>
                <w:sz w:val="20"/>
                <w:szCs w:val="20"/>
                <w:lang w:eastAsia="lv-LV"/>
              </w:rPr>
            </w:pPr>
            <w:r>
              <w:rPr>
                <w:sz w:val="20"/>
                <w:szCs w:val="20"/>
              </w:rPr>
              <w:t>Nīderlande</w:t>
            </w:r>
          </w:p>
        </w:tc>
        <w:tc>
          <w:tcPr>
            <w:tcW w:w="1512" w:type="dxa"/>
            <w:shd w:val="clear" w:color="auto" w:fill="auto"/>
            <w:vAlign w:val="center"/>
            <w:hideMark/>
          </w:tcPr>
          <w:p w14:paraId="214750DE" w14:textId="77777777" w:rsidR="00FA2AC6" w:rsidRPr="00887EF6" w:rsidRDefault="00FA2AC6" w:rsidP="00557A0A">
            <w:pPr>
              <w:spacing w:before="0" w:after="0"/>
              <w:ind w:firstLine="0"/>
              <w:jc w:val="center"/>
              <w:rPr>
                <w:rFonts w:cs="Times New Roman"/>
                <w:sz w:val="20"/>
                <w:szCs w:val="20"/>
                <w:lang w:eastAsia="lv-LV"/>
              </w:rPr>
            </w:pPr>
            <w:r w:rsidRPr="00887EF6">
              <w:rPr>
                <w:sz w:val="20"/>
                <w:szCs w:val="20"/>
              </w:rPr>
              <w:t>4</w:t>
            </w:r>
            <w:r>
              <w:rPr>
                <w:sz w:val="20"/>
                <w:szCs w:val="20"/>
              </w:rPr>
              <w:t>,</w:t>
            </w:r>
            <w:r w:rsidRPr="00887EF6">
              <w:rPr>
                <w:sz w:val="20"/>
                <w:szCs w:val="20"/>
              </w:rPr>
              <w:t>0%</w:t>
            </w:r>
          </w:p>
        </w:tc>
        <w:tc>
          <w:tcPr>
            <w:tcW w:w="1365" w:type="dxa"/>
            <w:shd w:val="clear" w:color="auto" w:fill="auto"/>
            <w:noWrap/>
            <w:vAlign w:val="center"/>
            <w:hideMark/>
          </w:tcPr>
          <w:p w14:paraId="47F621E6"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4</w:t>
            </w:r>
            <w:r>
              <w:rPr>
                <w:rFonts w:cs="Times New Roman"/>
                <w:sz w:val="20"/>
                <w:szCs w:val="20"/>
                <w:lang w:eastAsia="lv-LV"/>
              </w:rPr>
              <w:t>,</w:t>
            </w:r>
            <w:r w:rsidRPr="00887EF6">
              <w:rPr>
                <w:rFonts w:cs="Times New Roman"/>
                <w:sz w:val="20"/>
                <w:szCs w:val="20"/>
                <w:lang w:eastAsia="lv-LV"/>
              </w:rPr>
              <w:t>6</w:t>
            </w:r>
          </w:p>
        </w:tc>
        <w:tc>
          <w:tcPr>
            <w:tcW w:w="1365" w:type="dxa"/>
            <w:shd w:val="clear" w:color="auto" w:fill="auto"/>
            <w:noWrap/>
            <w:vAlign w:val="center"/>
            <w:hideMark/>
          </w:tcPr>
          <w:p w14:paraId="487F58CF"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0</w:t>
            </w:r>
            <w:r>
              <w:rPr>
                <w:rFonts w:cs="Times New Roman"/>
                <w:sz w:val="20"/>
                <w:szCs w:val="20"/>
                <w:lang w:eastAsia="lv-LV"/>
              </w:rPr>
              <w:t>,</w:t>
            </w:r>
            <w:r w:rsidRPr="00887EF6">
              <w:rPr>
                <w:rFonts w:cs="Times New Roman"/>
                <w:sz w:val="20"/>
                <w:szCs w:val="20"/>
                <w:lang w:eastAsia="lv-LV"/>
              </w:rPr>
              <w:t>6</w:t>
            </w:r>
          </w:p>
        </w:tc>
        <w:tc>
          <w:tcPr>
            <w:tcW w:w="1365" w:type="dxa"/>
            <w:shd w:val="clear" w:color="auto" w:fill="FFFFFF" w:themeFill="background1"/>
            <w:noWrap/>
            <w:vAlign w:val="center"/>
          </w:tcPr>
          <w:p w14:paraId="587ED863"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1,6</w:t>
            </w:r>
          </w:p>
        </w:tc>
        <w:tc>
          <w:tcPr>
            <w:tcW w:w="1366" w:type="dxa"/>
            <w:shd w:val="clear" w:color="auto" w:fill="FFFFFF" w:themeFill="background1"/>
            <w:vAlign w:val="center"/>
          </w:tcPr>
          <w:p w14:paraId="154029FB"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-2,1</w:t>
            </w:r>
          </w:p>
        </w:tc>
      </w:tr>
      <w:tr w:rsidR="00FA2AC6" w:rsidRPr="00B4616B" w14:paraId="781DA51D" w14:textId="77777777" w:rsidTr="00557A0A">
        <w:trPr>
          <w:trHeight w:val="315"/>
          <w:jc w:val="center"/>
        </w:trPr>
        <w:tc>
          <w:tcPr>
            <w:tcW w:w="1896" w:type="dxa"/>
            <w:shd w:val="clear" w:color="auto" w:fill="auto"/>
            <w:hideMark/>
          </w:tcPr>
          <w:p w14:paraId="1942E273" w14:textId="77777777" w:rsidR="00FA2AC6" w:rsidRPr="00887EF6" w:rsidRDefault="00FA2AC6" w:rsidP="00557A0A">
            <w:pPr>
              <w:spacing w:before="0" w:after="0"/>
              <w:ind w:firstLine="0"/>
              <w:rPr>
                <w:rFonts w:cs="Times New Roman"/>
                <w:sz w:val="20"/>
                <w:szCs w:val="20"/>
                <w:lang w:eastAsia="lv-LV"/>
              </w:rPr>
            </w:pPr>
            <w:r>
              <w:rPr>
                <w:sz w:val="20"/>
                <w:szCs w:val="20"/>
              </w:rPr>
              <w:t>Polija</w:t>
            </w:r>
          </w:p>
        </w:tc>
        <w:tc>
          <w:tcPr>
            <w:tcW w:w="1512" w:type="dxa"/>
            <w:shd w:val="clear" w:color="auto" w:fill="auto"/>
            <w:vAlign w:val="center"/>
            <w:hideMark/>
          </w:tcPr>
          <w:p w14:paraId="35F60881" w14:textId="77777777" w:rsidR="00FA2AC6" w:rsidRPr="00887EF6" w:rsidRDefault="00FA2AC6" w:rsidP="00557A0A">
            <w:pPr>
              <w:spacing w:before="0" w:after="0"/>
              <w:ind w:firstLine="0"/>
              <w:jc w:val="center"/>
              <w:rPr>
                <w:rFonts w:cs="Times New Roman"/>
                <w:sz w:val="20"/>
                <w:szCs w:val="20"/>
                <w:lang w:eastAsia="lv-LV"/>
              </w:rPr>
            </w:pPr>
            <w:r w:rsidRPr="00887EF6">
              <w:rPr>
                <w:sz w:val="20"/>
                <w:szCs w:val="20"/>
              </w:rPr>
              <w:t>3</w:t>
            </w:r>
            <w:r>
              <w:rPr>
                <w:sz w:val="20"/>
                <w:szCs w:val="20"/>
              </w:rPr>
              <w:t>,</w:t>
            </w:r>
            <w:r w:rsidRPr="00887EF6">
              <w:rPr>
                <w:sz w:val="20"/>
                <w:szCs w:val="20"/>
              </w:rPr>
              <w:t>7%</w:t>
            </w:r>
          </w:p>
        </w:tc>
        <w:tc>
          <w:tcPr>
            <w:tcW w:w="1365" w:type="dxa"/>
            <w:shd w:val="clear" w:color="auto" w:fill="auto"/>
            <w:noWrap/>
            <w:vAlign w:val="center"/>
            <w:hideMark/>
          </w:tcPr>
          <w:p w14:paraId="3AB11594"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4</w:t>
            </w:r>
            <w:r>
              <w:rPr>
                <w:rFonts w:cs="Times New Roman"/>
                <w:sz w:val="20"/>
                <w:szCs w:val="20"/>
                <w:lang w:eastAsia="lv-LV"/>
              </w:rPr>
              <w:t>,</w:t>
            </w:r>
            <w:r w:rsidRPr="00887EF6">
              <w:rPr>
                <w:rFonts w:cs="Times New Roman"/>
                <w:sz w:val="20"/>
                <w:szCs w:val="20"/>
                <w:lang w:eastAsia="lv-LV"/>
              </w:rPr>
              <w:t>0</w:t>
            </w:r>
          </w:p>
        </w:tc>
        <w:tc>
          <w:tcPr>
            <w:tcW w:w="1365" w:type="dxa"/>
            <w:shd w:val="clear" w:color="auto" w:fill="auto"/>
            <w:noWrap/>
            <w:vAlign w:val="center"/>
            <w:hideMark/>
          </w:tcPr>
          <w:p w14:paraId="3695AB01"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0</w:t>
            </w:r>
            <w:r>
              <w:rPr>
                <w:rFonts w:cs="Times New Roman"/>
                <w:sz w:val="20"/>
                <w:szCs w:val="20"/>
                <w:lang w:eastAsia="lv-LV"/>
              </w:rPr>
              <w:t>,</w:t>
            </w:r>
            <w:r w:rsidRPr="00887EF6">
              <w:rPr>
                <w:rFonts w:cs="Times New Roman"/>
                <w:sz w:val="20"/>
                <w:szCs w:val="20"/>
                <w:lang w:eastAsia="lv-LV"/>
              </w:rPr>
              <w:t>7</w:t>
            </w:r>
          </w:p>
        </w:tc>
        <w:tc>
          <w:tcPr>
            <w:tcW w:w="1365" w:type="dxa"/>
            <w:shd w:val="clear" w:color="auto" w:fill="FFFFFF" w:themeFill="background1"/>
            <w:noWrap/>
            <w:vAlign w:val="center"/>
          </w:tcPr>
          <w:p w14:paraId="26CE0FD8"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-1,5</w:t>
            </w:r>
          </w:p>
        </w:tc>
        <w:tc>
          <w:tcPr>
            <w:tcW w:w="1366" w:type="dxa"/>
            <w:shd w:val="clear" w:color="auto" w:fill="FFFFFF" w:themeFill="background1"/>
            <w:vAlign w:val="center"/>
          </w:tcPr>
          <w:p w14:paraId="4A429A13"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-3,5</w:t>
            </w:r>
          </w:p>
        </w:tc>
      </w:tr>
      <w:tr w:rsidR="00FA2AC6" w:rsidRPr="00B4616B" w14:paraId="66E9F696" w14:textId="77777777" w:rsidTr="00557A0A">
        <w:trPr>
          <w:trHeight w:val="315"/>
          <w:jc w:val="center"/>
        </w:trPr>
        <w:tc>
          <w:tcPr>
            <w:tcW w:w="1896" w:type="dxa"/>
            <w:shd w:val="clear" w:color="auto" w:fill="auto"/>
            <w:hideMark/>
          </w:tcPr>
          <w:p w14:paraId="24543E0D" w14:textId="77777777" w:rsidR="00FA2AC6" w:rsidRPr="00887EF6" w:rsidRDefault="00FA2AC6" w:rsidP="00557A0A">
            <w:pPr>
              <w:spacing w:before="0" w:after="0"/>
              <w:ind w:firstLine="0"/>
              <w:rPr>
                <w:rFonts w:cs="Times New Roman"/>
                <w:sz w:val="20"/>
                <w:szCs w:val="20"/>
                <w:lang w:eastAsia="lv-LV"/>
              </w:rPr>
            </w:pPr>
            <w:r>
              <w:rPr>
                <w:sz w:val="20"/>
                <w:szCs w:val="20"/>
              </w:rPr>
              <w:t>Somija</w:t>
            </w:r>
          </w:p>
        </w:tc>
        <w:tc>
          <w:tcPr>
            <w:tcW w:w="1512" w:type="dxa"/>
            <w:shd w:val="clear" w:color="auto" w:fill="auto"/>
            <w:vAlign w:val="center"/>
            <w:hideMark/>
          </w:tcPr>
          <w:p w14:paraId="4EDD3D95" w14:textId="77777777" w:rsidR="00FA2AC6" w:rsidRPr="00887EF6" w:rsidRDefault="00FA2AC6" w:rsidP="00557A0A">
            <w:pPr>
              <w:spacing w:before="0" w:after="0"/>
              <w:ind w:firstLine="0"/>
              <w:jc w:val="center"/>
              <w:rPr>
                <w:rFonts w:cs="Times New Roman"/>
                <w:sz w:val="20"/>
                <w:szCs w:val="20"/>
                <w:lang w:eastAsia="lv-LV"/>
              </w:rPr>
            </w:pPr>
            <w:r w:rsidRPr="00887EF6">
              <w:rPr>
                <w:sz w:val="20"/>
                <w:szCs w:val="20"/>
              </w:rPr>
              <w:t>3</w:t>
            </w:r>
            <w:r>
              <w:rPr>
                <w:sz w:val="20"/>
                <w:szCs w:val="20"/>
              </w:rPr>
              <w:t>,</w:t>
            </w:r>
            <w:r w:rsidRPr="00887EF6">
              <w:rPr>
                <w:sz w:val="20"/>
                <w:szCs w:val="20"/>
              </w:rPr>
              <w:t>6%</w:t>
            </w:r>
          </w:p>
        </w:tc>
        <w:tc>
          <w:tcPr>
            <w:tcW w:w="1365" w:type="dxa"/>
            <w:shd w:val="clear" w:color="auto" w:fill="auto"/>
            <w:noWrap/>
            <w:vAlign w:val="center"/>
            <w:hideMark/>
          </w:tcPr>
          <w:p w14:paraId="18905433"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2</w:t>
            </w:r>
            <w:r>
              <w:rPr>
                <w:rFonts w:cs="Times New Roman"/>
                <w:sz w:val="20"/>
                <w:szCs w:val="20"/>
                <w:lang w:eastAsia="lv-LV"/>
              </w:rPr>
              <w:t>,</w:t>
            </w:r>
            <w:r w:rsidRPr="00887EF6">
              <w:rPr>
                <w:rFonts w:cs="Times New Roman"/>
                <w:sz w:val="20"/>
                <w:szCs w:val="20"/>
                <w:lang w:eastAsia="lv-LV"/>
              </w:rPr>
              <w:t>3</w:t>
            </w:r>
          </w:p>
        </w:tc>
        <w:tc>
          <w:tcPr>
            <w:tcW w:w="1365" w:type="dxa"/>
            <w:shd w:val="clear" w:color="auto" w:fill="auto"/>
            <w:noWrap/>
            <w:vAlign w:val="center"/>
            <w:hideMark/>
          </w:tcPr>
          <w:p w14:paraId="73FADE8C" w14:textId="77777777" w:rsidR="00FA2AC6" w:rsidRPr="00B4616B" w:rsidRDefault="00FA2AC6" w:rsidP="00557A0A">
            <w:pPr>
              <w:spacing w:before="0" w:after="0"/>
              <w:ind w:firstLine="0"/>
              <w:jc w:val="center"/>
              <w:rPr>
                <w:rFonts w:cs="Times New Roman"/>
                <w:sz w:val="20"/>
                <w:szCs w:val="20"/>
                <w:lang w:eastAsia="lv-LV"/>
              </w:rPr>
            </w:pPr>
            <w:r w:rsidRPr="00887EF6">
              <w:rPr>
                <w:rFonts w:cs="Times New Roman"/>
                <w:sz w:val="20"/>
                <w:szCs w:val="20"/>
                <w:lang w:eastAsia="lv-LV"/>
              </w:rPr>
              <w:t>0</w:t>
            </w:r>
            <w:r>
              <w:rPr>
                <w:rFonts w:cs="Times New Roman"/>
                <w:sz w:val="20"/>
                <w:szCs w:val="20"/>
                <w:lang w:eastAsia="lv-LV"/>
              </w:rPr>
              <w:t>,</w:t>
            </w:r>
            <w:r w:rsidRPr="00887EF6">
              <w:rPr>
                <w:rFonts w:cs="Times New Roman"/>
                <w:sz w:val="20"/>
                <w:szCs w:val="20"/>
                <w:lang w:eastAsia="lv-LV"/>
              </w:rPr>
              <w:t>2</w:t>
            </w:r>
          </w:p>
        </w:tc>
        <w:tc>
          <w:tcPr>
            <w:tcW w:w="1365" w:type="dxa"/>
            <w:shd w:val="clear" w:color="auto" w:fill="auto"/>
            <w:noWrap/>
            <w:vAlign w:val="center"/>
          </w:tcPr>
          <w:p w14:paraId="7A389FA3"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-0,7</w:t>
            </w:r>
          </w:p>
        </w:tc>
        <w:tc>
          <w:tcPr>
            <w:tcW w:w="1366" w:type="dxa"/>
            <w:vAlign w:val="center"/>
          </w:tcPr>
          <w:p w14:paraId="695116F0"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-1,8</w:t>
            </w:r>
          </w:p>
        </w:tc>
      </w:tr>
      <w:tr w:rsidR="00FA2AC6" w:rsidRPr="00B4616B" w14:paraId="64DBB91E" w14:textId="77777777" w:rsidTr="00557A0A">
        <w:trPr>
          <w:jc w:val="center"/>
        </w:trPr>
        <w:tc>
          <w:tcPr>
            <w:tcW w:w="1896" w:type="dxa"/>
            <w:shd w:val="clear" w:color="auto" w:fill="auto"/>
            <w:vAlign w:val="center"/>
            <w:hideMark/>
          </w:tcPr>
          <w:p w14:paraId="38A5CCEE" w14:textId="77777777" w:rsidR="00FA2AC6" w:rsidRPr="00B4616B" w:rsidRDefault="00FA2AC6" w:rsidP="00557A0A">
            <w:pPr>
              <w:spacing w:before="0" w:after="0"/>
              <w:ind w:firstLine="0"/>
              <w:rPr>
                <w:rFonts w:cs="Times New Roman"/>
                <w:b/>
                <w:bCs/>
                <w:sz w:val="20"/>
                <w:szCs w:val="20"/>
                <w:lang w:eastAsia="lv-LV"/>
              </w:rPr>
            </w:pPr>
            <w:r w:rsidRPr="00B4616B">
              <w:rPr>
                <w:rFonts w:cs="Times New Roman"/>
                <w:b/>
                <w:bCs/>
                <w:sz w:val="20"/>
                <w:szCs w:val="20"/>
                <w:lang w:eastAsia="lv-LV"/>
              </w:rPr>
              <w:t>Kopā vidēji svērtais 10 valstīm</w:t>
            </w:r>
          </w:p>
        </w:tc>
        <w:tc>
          <w:tcPr>
            <w:tcW w:w="1512" w:type="dxa"/>
            <w:shd w:val="clear" w:color="auto" w:fill="auto"/>
            <w:vAlign w:val="center"/>
            <w:hideMark/>
          </w:tcPr>
          <w:p w14:paraId="4BB3AAA4" w14:textId="77777777" w:rsidR="00FA2AC6" w:rsidRPr="00A23F7A" w:rsidRDefault="00FA2AC6" w:rsidP="00557A0A">
            <w:pPr>
              <w:spacing w:before="0" w:after="0"/>
              <w:ind w:firstLine="0"/>
              <w:jc w:val="center"/>
              <w:rPr>
                <w:rFonts w:cs="Times New Roman"/>
                <w:b/>
                <w:bCs/>
                <w:sz w:val="20"/>
                <w:szCs w:val="20"/>
                <w:lang w:eastAsia="lv-LV"/>
              </w:rPr>
            </w:pPr>
            <w:r w:rsidRPr="00A23F7A">
              <w:rPr>
                <w:rFonts w:cs="Times New Roman"/>
                <w:b/>
                <w:bCs/>
                <w:sz w:val="20"/>
                <w:szCs w:val="20"/>
                <w:lang w:eastAsia="lv-LV"/>
              </w:rPr>
              <w:t>70,6%</w:t>
            </w:r>
          </w:p>
        </w:tc>
        <w:tc>
          <w:tcPr>
            <w:tcW w:w="1365" w:type="dxa"/>
            <w:shd w:val="clear" w:color="auto" w:fill="auto"/>
            <w:noWrap/>
            <w:vAlign w:val="center"/>
            <w:hideMark/>
          </w:tcPr>
          <w:p w14:paraId="46A629CC" w14:textId="77777777" w:rsidR="00FA2AC6" w:rsidRPr="00A23F7A" w:rsidRDefault="00FA2AC6" w:rsidP="00557A0A">
            <w:pPr>
              <w:spacing w:before="0" w:after="0"/>
              <w:ind w:firstLine="0"/>
              <w:jc w:val="center"/>
              <w:rPr>
                <w:rFonts w:cs="Times New Roman"/>
                <w:b/>
                <w:bCs/>
                <w:sz w:val="20"/>
                <w:szCs w:val="20"/>
                <w:lang w:eastAsia="lv-LV"/>
              </w:rPr>
            </w:pPr>
            <w:r w:rsidRPr="00A23F7A">
              <w:rPr>
                <w:rFonts w:cs="Times New Roman"/>
                <w:b/>
                <w:bCs/>
                <w:sz w:val="20"/>
                <w:szCs w:val="20"/>
                <w:lang w:eastAsia="lv-LV"/>
              </w:rPr>
              <w:t>1,9</w:t>
            </w:r>
          </w:p>
        </w:tc>
        <w:tc>
          <w:tcPr>
            <w:tcW w:w="1365" w:type="dxa"/>
            <w:shd w:val="clear" w:color="auto" w:fill="auto"/>
            <w:noWrap/>
            <w:vAlign w:val="center"/>
            <w:hideMark/>
          </w:tcPr>
          <w:p w14:paraId="6F9E573D" w14:textId="77777777" w:rsidR="00FA2AC6" w:rsidRPr="00A23F7A" w:rsidRDefault="00FA2AC6" w:rsidP="00557A0A">
            <w:pPr>
              <w:spacing w:before="0" w:after="0"/>
              <w:ind w:firstLine="0"/>
              <w:jc w:val="center"/>
              <w:rPr>
                <w:rFonts w:cs="Times New Roman"/>
                <w:b/>
                <w:bCs/>
                <w:sz w:val="20"/>
                <w:szCs w:val="20"/>
                <w:lang w:eastAsia="lv-LV"/>
              </w:rPr>
            </w:pPr>
            <w:r w:rsidRPr="00A23F7A">
              <w:rPr>
                <w:rFonts w:cs="Times New Roman"/>
                <w:b/>
                <w:bCs/>
                <w:sz w:val="20"/>
                <w:szCs w:val="20"/>
                <w:lang w:eastAsia="lv-LV"/>
              </w:rPr>
              <w:t>0,1</w:t>
            </w:r>
          </w:p>
        </w:tc>
        <w:tc>
          <w:tcPr>
            <w:tcW w:w="1365" w:type="dxa"/>
            <w:shd w:val="clear" w:color="auto" w:fill="auto"/>
            <w:noWrap/>
            <w:vAlign w:val="center"/>
          </w:tcPr>
          <w:p w14:paraId="2885C116" w14:textId="77777777" w:rsidR="00FA2AC6" w:rsidRPr="00A23F7A" w:rsidRDefault="00FA2AC6" w:rsidP="00557A0A">
            <w:pPr>
              <w:spacing w:before="0" w:after="0"/>
              <w:ind w:firstLine="0"/>
              <w:jc w:val="center"/>
              <w:rPr>
                <w:rFonts w:cs="Times New Roman"/>
                <w:b/>
                <w:bCs/>
                <w:sz w:val="20"/>
                <w:szCs w:val="20"/>
                <w:lang w:eastAsia="lv-LV"/>
              </w:rPr>
            </w:pPr>
            <w:r w:rsidRPr="00A23F7A">
              <w:rPr>
                <w:rFonts w:cs="Times New Roman"/>
                <w:b/>
                <w:bCs/>
                <w:sz w:val="20"/>
                <w:szCs w:val="20"/>
                <w:lang w:eastAsia="lv-LV"/>
              </w:rPr>
              <w:t>-1,6</w:t>
            </w:r>
          </w:p>
        </w:tc>
        <w:tc>
          <w:tcPr>
            <w:tcW w:w="1366" w:type="dxa"/>
            <w:vAlign w:val="center"/>
          </w:tcPr>
          <w:p w14:paraId="2E4D41A2" w14:textId="77777777" w:rsidR="00FA2AC6" w:rsidRPr="00A23F7A" w:rsidRDefault="00FA2AC6" w:rsidP="00557A0A">
            <w:pPr>
              <w:spacing w:before="0" w:after="0"/>
              <w:ind w:firstLine="0"/>
              <w:jc w:val="center"/>
              <w:rPr>
                <w:rFonts w:cs="Times New Roman"/>
                <w:b/>
                <w:bCs/>
                <w:sz w:val="20"/>
                <w:szCs w:val="20"/>
                <w:lang w:eastAsia="lv-LV"/>
              </w:rPr>
            </w:pPr>
            <w:r w:rsidRPr="00A23F7A">
              <w:rPr>
                <w:rFonts w:cs="Times New Roman"/>
                <w:b/>
                <w:bCs/>
                <w:sz w:val="20"/>
                <w:szCs w:val="20"/>
                <w:lang w:eastAsia="lv-LV"/>
              </w:rPr>
              <w:t>-2,9</w:t>
            </w:r>
          </w:p>
        </w:tc>
      </w:tr>
      <w:tr w:rsidR="00FA2AC6" w:rsidRPr="00B4616B" w14:paraId="4196378F" w14:textId="77777777" w:rsidTr="00557A0A">
        <w:trPr>
          <w:trHeight w:val="315"/>
          <w:jc w:val="center"/>
        </w:trPr>
        <w:tc>
          <w:tcPr>
            <w:tcW w:w="1896" w:type="dxa"/>
            <w:shd w:val="clear" w:color="auto" w:fill="auto"/>
            <w:vAlign w:val="center"/>
            <w:hideMark/>
          </w:tcPr>
          <w:p w14:paraId="5C59A8DC" w14:textId="77777777" w:rsidR="00FA2AC6" w:rsidRPr="00B4616B" w:rsidRDefault="00FA2AC6" w:rsidP="00557A0A">
            <w:pPr>
              <w:spacing w:before="0" w:after="0"/>
              <w:ind w:firstLine="0"/>
              <w:rPr>
                <w:rFonts w:cs="Times New Roman"/>
                <w:sz w:val="20"/>
                <w:szCs w:val="20"/>
                <w:lang w:eastAsia="lv-LV"/>
              </w:rPr>
            </w:pPr>
            <w:r w:rsidRPr="00B4616B">
              <w:rPr>
                <w:rFonts w:cs="Times New Roman"/>
                <w:sz w:val="20"/>
                <w:szCs w:val="20"/>
                <w:lang w:eastAsia="lv-LV"/>
              </w:rPr>
              <w:lastRenderedPageBreak/>
              <w:t>ES27</w:t>
            </w:r>
          </w:p>
        </w:tc>
        <w:tc>
          <w:tcPr>
            <w:tcW w:w="1512" w:type="dxa"/>
            <w:shd w:val="clear" w:color="auto" w:fill="auto"/>
            <w:vAlign w:val="center"/>
            <w:hideMark/>
          </w:tcPr>
          <w:p w14:paraId="76AFEE83" w14:textId="77777777" w:rsidR="00FA2AC6" w:rsidRPr="00B4616B" w:rsidRDefault="00FA2AC6" w:rsidP="00557A0A">
            <w:pPr>
              <w:spacing w:before="0" w:after="0"/>
              <w:ind w:firstLine="0"/>
              <w:jc w:val="center"/>
              <w:rPr>
                <w:rFonts w:cs="Times New Roman"/>
                <w:sz w:val="20"/>
                <w:szCs w:val="20"/>
                <w:lang w:eastAsia="lv-LV"/>
              </w:rPr>
            </w:pPr>
            <w:r>
              <w:rPr>
                <w:rFonts w:cs="Times New Roman"/>
                <w:sz w:val="20"/>
                <w:szCs w:val="20"/>
                <w:lang w:eastAsia="lv-LV"/>
              </w:rPr>
              <w:t>71,0</w:t>
            </w:r>
            <w:r w:rsidRPr="00B4616B">
              <w:rPr>
                <w:rFonts w:cs="Times New Roman"/>
                <w:sz w:val="20"/>
                <w:szCs w:val="20"/>
                <w:lang w:eastAsia="lv-LV"/>
              </w:rPr>
              <w:t>%</w:t>
            </w:r>
          </w:p>
        </w:tc>
        <w:tc>
          <w:tcPr>
            <w:tcW w:w="1365" w:type="dxa"/>
            <w:shd w:val="clear" w:color="auto" w:fill="auto"/>
            <w:noWrap/>
            <w:vAlign w:val="center"/>
            <w:hideMark/>
          </w:tcPr>
          <w:p w14:paraId="565E1BB0" w14:textId="77777777" w:rsidR="00FA2AC6" w:rsidRPr="00B4616B" w:rsidRDefault="00FA2AC6" w:rsidP="00557A0A">
            <w:pPr>
              <w:spacing w:before="0" w:after="0"/>
              <w:ind w:firstLine="0"/>
              <w:jc w:val="center"/>
              <w:rPr>
                <w:rFonts w:cs="Times New Roman"/>
                <w:sz w:val="20"/>
                <w:szCs w:val="20"/>
                <w:lang w:eastAsia="lv-LV"/>
              </w:rPr>
            </w:pPr>
            <w:r>
              <w:rPr>
                <w:rFonts w:cs="Times New Roman"/>
                <w:sz w:val="20"/>
                <w:szCs w:val="20"/>
                <w:lang w:eastAsia="lv-LV"/>
              </w:rPr>
              <w:t>3,3</w:t>
            </w:r>
          </w:p>
        </w:tc>
        <w:tc>
          <w:tcPr>
            <w:tcW w:w="1365" w:type="dxa"/>
            <w:shd w:val="clear" w:color="auto" w:fill="auto"/>
            <w:noWrap/>
            <w:vAlign w:val="center"/>
            <w:hideMark/>
          </w:tcPr>
          <w:p w14:paraId="735911C4" w14:textId="77777777" w:rsidR="00FA2AC6" w:rsidRPr="00B4616B" w:rsidRDefault="00FA2AC6" w:rsidP="00557A0A">
            <w:pPr>
              <w:spacing w:before="0" w:after="0"/>
              <w:ind w:firstLine="0"/>
              <w:jc w:val="center"/>
              <w:rPr>
                <w:rFonts w:cs="Times New Roman"/>
                <w:sz w:val="20"/>
                <w:szCs w:val="20"/>
                <w:lang w:eastAsia="lv-LV"/>
              </w:rPr>
            </w:pPr>
            <w:r>
              <w:rPr>
                <w:rFonts w:cs="Times New Roman"/>
                <w:sz w:val="20"/>
                <w:szCs w:val="20"/>
                <w:lang w:eastAsia="lv-LV"/>
              </w:rPr>
              <w:t>0,3</w:t>
            </w:r>
          </w:p>
        </w:tc>
        <w:tc>
          <w:tcPr>
            <w:tcW w:w="1365" w:type="dxa"/>
            <w:shd w:val="clear" w:color="auto" w:fill="auto"/>
            <w:noWrap/>
            <w:vAlign w:val="center"/>
          </w:tcPr>
          <w:p w14:paraId="3B0B7C72"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-0,7</w:t>
            </w:r>
          </w:p>
        </w:tc>
        <w:tc>
          <w:tcPr>
            <w:tcW w:w="1366" w:type="dxa"/>
            <w:vAlign w:val="center"/>
          </w:tcPr>
          <w:p w14:paraId="42B1FF26" w14:textId="77777777" w:rsidR="00FA2AC6" w:rsidRPr="00B4616B" w:rsidRDefault="00FA2AC6" w:rsidP="00557A0A">
            <w:pPr>
              <w:spacing w:before="0" w:after="0"/>
              <w:ind w:firstLine="0"/>
              <w:jc w:val="center"/>
              <w:rPr>
                <w:rFonts w:cs="Times New Roman"/>
                <w:sz w:val="20"/>
                <w:szCs w:val="20"/>
                <w:lang w:eastAsia="lv-LV"/>
              </w:rPr>
            </w:pPr>
            <w:r w:rsidRPr="00A23F7A">
              <w:rPr>
                <w:rFonts w:cs="Times New Roman"/>
                <w:sz w:val="20"/>
                <w:szCs w:val="20"/>
                <w:lang w:eastAsia="lv-LV"/>
              </w:rPr>
              <w:t>-2,5</w:t>
            </w:r>
          </w:p>
        </w:tc>
      </w:tr>
    </w:tbl>
    <w:p w14:paraId="3ADE5239" w14:textId="457E29A3" w:rsidR="00FA2AC6" w:rsidRDefault="00FA2AC6" w:rsidP="00FA2AC6">
      <w:r w:rsidRPr="000910CA">
        <w:t>Latvijas ekonomikas attīstību visbūtiskāk ietekmē situācija tās galvenajās ārējās tirdzniecības partnervalstīs, no kurām liela daļa ir starp Krievijas kara un cenu kāpuma visvairāk skartākajām valstīm. Desmit Latvijas lielāko eksporta partnervalstu – Lietuvas, Igaunijas, Vācijas, Zviedrijas,</w:t>
      </w:r>
      <w:r>
        <w:t xml:space="preserve"> </w:t>
      </w:r>
      <w:r w:rsidRPr="000910CA">
        <w:t>Apvienotās Karalistes, Krievijas, Dānijas, Nīderlandes</w:t>
      </w:r>
      <w:r>
        <w:t>,</w:t>
      </w:r>
      <w:r w:rsidRPr="000910CA">
        <w:t xml:space="preserve"> Polijas un Somijas – kopējā vidēji svērtā ekonomikas izaugsmes prognoze 2022</w:t>
      </w:r>
      <w:r>
        <w:t>. gad</w:t>
      </w:r>
      <w:r w:rsidRPr="000910CA">
        <w:t xml:space="preserve">am </w:t>
      </w:r>
      <w:r>
        <w:t xml:space="preserve">šā gada oktobrī bija </w:t>
      </w:r>
      <w:r w:rsidRPr="000910CA">
        <w:t xml:space="preserve">par </w:t>
      </w:r>
      <w:r>
        <w:t>1,6</w:t>
      </w:r>
      <w:r w:rsidRPr="000910CA">
        <w:t xml:space="preserve"> procentpunktiem zemāka nekā pirms Krievijas uzsāktā kara, veidojot 1,</w:t>
      </w:r>
      <w:r>
        <w:t>9</w:t>
      </w:r>
      <w:r w:rsidRPr="000910CA">
        <w:t>%. Šis samazinājums ir lielāks nekā ES valstīm kopumā un arī prognozētā izaugsme ir par 1,</w:t>
      </w:r>
      <w:r>
        <w:t>6</w:t>
      </w:r>
      <w:r w:rsidR="00B35D8C">
        <w:t> </w:t>
      </w:r>
      <w:r w:rsidRPr="000910CA">
        <w:t>procentpunktiem zemāka nekā ES kopā.</w:t>
      </w:r>
      <w:r>
        <w:t xml:space="preserve"> </w:t>
      </w:r>
    </w:p>
    <w:p w14:paraId="7E053669" w14:textId="77777777" w:rsidR="00FA2AC6" w:rsidRDefault="00FA2AC6" w:rsidP="00FA2AC6">
      <w:r w:rsidRPr="000910CA">
        <w:t>Līdzīgi arī 2023</w:t>
      </w:r>
      <w:r>
        <w:t>. gad</w:t>
      </w:r>
      <w:r w:rsidRPr="000910CA">
        <w:t xml:space="preserve">am Latvijas galveno ārējās tirdzniecības partnervalstu ekonomikas izaugsmes prognoze ir samazināta par </w:t>
      </w:r>
      <w:r>
        <w:t>2</w:t>
      </w:r>
      <w:r w:rsidRPr="000910CA">
        <w:t xml:space="preserve">,9 procentpunktiem līdz </w:t>
      </w:r>
      <w:r>
        <w:t>0,1</w:t>
      </w:r>
      <w:r w:rsidRPr="000910CA">
        <w:t xml:space="preserve">%, kamēr ES kopumā prognoze ir nedaudz pozitīvāka – tā ir samazināta par </w:t>
      </w:r>
      <w:r>
        <w:t>2,5</w:t>
      </w:r>
      <w:r w:rsidRPr="000910CA">
        <w:t xml:space="preserve"> procentpunkt</w:t>
      </w:r>
      <w:r>
        <w:t>iem</w:t>
      </w:r>
      <w:r w:rsidRPr="000910CA">
        <w:t xml:space="preserve"> līdz </w:t>
      </w:r>
      <w:r>
        <w:t>0,3</w:t>
      </w:r>
      <w:r w:rsidRPr="000910CA">
        <w:t>%.</w:t>
      </w:r>
    </w:p>
    <w:p w14:paraId="290554F4" w14:textId="4ADE8D9D" w:rsidR="00FA2AC6" w:rsidRDefault="00FA2AC6" w:rsidP="00FA2AC6">
      <w:r>
        <w:t>Vienlaikus jāatzīmē, ka līdz šim ekonomikas izaugsme ES valstīs 2022. gada laikā ir bijusi augstāka, nekā tika prognozēts uzreiz pēc kara sākuma un straujā energoresursu cenu lēciena, un spēcīgāka negatīvā ietekme vairāk būs jūtama 2023. gada pirmajā pusē. Gan 2022.</w:t>
      </w:r>
      <w:r w:rsidR="00B35D8C">
        <w:t> </w:t>
      </w:r>
      <w:r>
        <w:t xml:space="preserve">gada otrā, gan trešā ceturkšņa dati parādīja, ka ES valstīm pagaidām izdevies izvairīties no recesijas, iekšzemes kopproduktam pret iepriekšējo ceturksni palielinoties par 0,7% otrajā ceturksnī un par 0,4% trešajā ceturksnī. Nākamajos divos nākamajos ceturkšņos EK ir prognozējusi nelielu IKP samazināšanos ceturkšņu griezumā, bet jau no 2023. gada otrā ceturkšņa Eiropas Savienībā tiek gaidīta pakāpeniska ekonomiskās izaugsmes atjaunošanās. </w:t>
      </w:r>
    </w:p>
    <w:p w14:paraId="4C98E364" w14:textId="77777777" w:rsidR="00FA2AC6" w:rsidRDefault="00FA2AC6" w:rsidP="00FA2AC6">
      <w:r>
        <w:t xml:space="preserve">Apsteidzošie indikatori rāda, ka uzņēmēju un patērētāju pārliecības līmenis Eiropas Savienībā ir stabili samazinājies jau kopš kara sākuma, īpaši strauji krītoties patērētāju pārliecībai, kas pašlaik ir zemākā līmenī nekā Covid-19 pirmā uzliesmojuma laikā 2020. gada pavasarī. Taču pēdējos mēnešos konfidences kritums ir mazinājies un novembrī jau pat fiksēts neliels uzlabojums. </w:t>
      </w:r>
      <w:r w:rsidRPr="000910CA">
        <w:rPr>
          <w:noProof/>
        </w:rPr>
        <w:t>Eirozonas PMI indekss</w:t>
      </w:r>
      <w:r w:rsidRPr="000910CA">
        <w:t xml:space="preserve"> </w:t>
      </w:r>
      <w:r>
        <w:t>novembrī jau piekto mēnesi pēc kārtas</w:t>
      </w:r>
      <w:r w:rsidRPr="000910CA">
        <w:t xml:space="preserve"> </w:t>
      </w:r>
      <w:r>
        <w:t>atradies zem 50 atzīmes, kas norāda uz ekonomikas izlaides samazināšanos. Vienlaikus salīdzinājumā ar iepriekšējo mēnesi ir fiksēts neliels uzlabojums, indeksa vērtībai paaugstinoties no 47,3 līdz 47,8.</w:t>
      </w:r>
    </w:p>
    <w:p w14:paraId="2058497F" w14:textId="77777777" w:rsidR="00FA2AC6" w:rsidRDefault="00FA2AC6" w:rsidP="00FA2AC6">
      <w:pPr>
        <w:rPr>
          <w:noProof/>
        </w:rPr>
      </w:pPr>
      <w:r w:rsidRPr="000910CA">
        <w:t xml:space="preserve">Jau </w:t>
      </w:r>
      <w:r>
        <w:t>Covid</w:t>
      </w:r>
      <w:r>
        <w:noBreakHyphen/>
        <w:t>19</w:t>
      </w:r>
      <w:r w:rsidRPr="000910CA">
        <w:t xml:space="preserve"> pandēmija pēdējo divu gadu laikā bija izraisījusi </w:t>
      </w:r>
      <w:r>
        <w:t>krasas</w:t>
      </w:r>
      <w:r w:rsidRPr="000910CA">
        <w:t xml:space="preserve"> cenu svārstības, ko </w:t>
      </w:r>
      <w:r>
        <w:t>2022. gadā</w:t>
      </w:r>
      <w:r w:rsidRPr="000910CA">
        <w:t xml:space="preserve"> vēl tikai pastiprinājis Krievijas iebrukums Ukrainā un sekojošais straujais energoresursu cenu kāpums. Pēc cenu pieauguma tikai par 0,3% 2020</w:t>
      </w:r>
      <w:r>
        <w:t>. gad</w:t>
      </w:r>
      <w:r w:rsidRPr="000910CA">
        <w:t>ā, 2021</w:t>
      </w:r>
      <w:r>
        <w:t>. gad</w:t>
      </w:r>
      <w:r w:rsidRPr="000910CA">
        <w:t xml:space="preserve">ā </w:t>
      </w:r>
      <w:r w:rsidRPr="000910CA">
        <w:rPr>
          <w:noProof/>
        </w:rPr>
        <w:t>inflācija eirozonā paaugstinājās</w:t>
      </w:r>
      <w:r w:rsidRPr="000910CA">
        <w:t xml:space="preserve"> līdz 2,6%, bet šā gada </w:t>
      </w:r>
      <w:r>
        <w:t>oktobrī</w:t>
      </w:r>
      <w:r w:rsidRPr="000910CA">
        <w:t xml:space="preserve"> sasniedza jau </w:t>
      </w:r>
      <w:r>
        <w:t>10,6</w:t>
      </w:r>
      <w:r w:rsidRPr="000910CA">
        <w:t xml:space="preserve">%, jau </w:t>
      </w:r>
      <w:r>
        <w:t xml:space="preserve">no </w:t>
      </w:r>
      <w:r w:rsidRPr="000910CA">
        <w:t>gada sākuma saglabājoties vēsturiski augstākajā līmenī kopš eirovalūtas ieviešanas 1999</w:t>
      </w:r>
      <w:r>
        <w:t>. gad</w:t>
      </w:r>
      <w:r w:rsidRPr="000910CA">
        <w:t xml:space="preserve">ā. Inflācijas kāpumu sākotnēji bija izraisījusi gan ekonomiskās aktivitātes atjaunošanās pēc </w:t>
      </w:r>
      <w:r>
        <w:t>Covid</w:t>
      </w:r>
      <w:r>
        <w:noBreakHyphen/>
        <w:t>19</w:t>
      </w:r>
      <w:r w:rsidRPr="000910CA">
        <w:t xml:space="preserve"> pandēmijas un apjomīgie valstu valdību un centrālo banku ekonomiskās stimulēšanas pasākumi, gan piegāžu ķēžu traucējumi un resursu ierobežotā pieejamība, bet pēc Krievijas </w:t>
      </w:r>
      <w:r w:rsidRPr="000910CA">
        <w:rPr>
          <w:noProof/>
        </w:rPr>
        <w:t xml:space="preserve">iebrukuma Ukrainā energoresursu cenas sāka augt īpaši strauji, un šā gada vidējā inflācijas prognoze eirozonai ir paaugstināta līdz </w:t>
      </w:r>
      <w:r>
        <w:rPr>
          <w:noProof/>
        </w:rPr>
        <w:t>8,5</w:t>
      </w:r>
      <w:r w:rsidRPr="000910CA">
        <w:rPr>
          <w:noProof/>
        </w:rPr>
        <w:t>%. Arī 2023</w:t>
      </w:r>
      <w:r>
        <w:rPr>
          <w:noProof/>
        </w:rPr>
        <w:t>. gad</w:t>
      </w:r>
      <w:r w:rsidRPr="000910CA">
        <w:rPr>
          <w:noProof/>
        </w:rPr>
        <w:t xml:space="preserve">a inflācijas </w:t>
      </w:r>
      <w:r>
        <w:rPr>
          <w:noProof/>
        </w:rPr>
        <w:t>6,5</w:t>
      </w:r>
      <w:r w:rsidRPr="000910CA">
        <w:rPr>
          <w:noProof/>
        </w:rPr>
        <w:t xml:space="preserve">% prognoze joprojām ir </w:t>
      </w:r>
      <w:r>
        <w:rPr>
          <w:noProof/>
        </w:rPr>
        <w:t xml:space="preserve">būtiski </w:t>
      </w:r>
      <w:r w:rsidRPr="000910CA">
        <w:rPr>
          <w:noProof/>
        </w:rPr>
        <w:t>augstāka</w:t>
      </w:r>
      <w:r w:rsidRPr="000910CA">
        <w:t xml:space="preserve"> par Eiropas Centrālās bankas (ECB) definēto inflācijas mērķi, kas ir tuvu, bet nedaudz zem 2</w:t>
      </w:r>
      <w:r w:rsidRPr="000910CA">
        <w:rPr>
          <w:noProof/>
        </w:rPr>
        <w:t>%.</w:t>
      </w:r>
      <w:r>
        <w:rPr>
          <w:noProof/>
        </w:rPr>
        <w:t xml:space="preserve"> Vienlaikus paši jaunākie dati rāda, ka novembrī inflācija eirozonā ir samazinājusies līdz 10,0%, kas ir pirmais inflācijas tempa samazinājums kopš 2021. gada jūnija.</w:t>
      </w:r>
    </w:p>
    <w:p w14:paraId="760862A0" w14:textId="25A66D21" w:rsidR="00FA2AC6" w:rsidRPr="000910CA" w:rsidRDefault="00FA2AC6" w:rsidP="00FA2AC6">
      <w:pPr>
        <w:rPr>
          <w:noProof/>
        </w:rPr>
      </w:pPr>
      <w:r w:rsidRPr="000910CA">
        <w:rPr>
          <w:noProof/>
        </w:rPr>
        <w:lastRenderedPageBreak/>
        <w:t>Lai ierobežotu inflāciju, pasaules vadošās centrālās bankas ir sākušas procentu likmju paaugstināšanas ciklu. ASV Federālā rezervju sistēma 16. martā pirmo reizi kopš 2018</w:t>
      </w:r>
      <w:r>
        <w:rPr>
          <w:noProof/>
        </w:rPr>
        <w:t>. gad</w:t>
      </w:r>
      <w:r w:rsidRPr="000910CA">
        <w:rPr>
          <w:noProof/>
        </w:rPr>
        <w:t>a decembra paaugstināja bāzes procentu likmi par 0,25 procentpunktiem līdz 0,25% – 0,5%. Pēc vairākiem sekojošiem procentu likmju paaugstinājumiem</w:t>
      </w:r>
      <w:r>
        <w:rPr>
          <w:noProof/>
        </w:rPr>
        <w:t xml:space="preserve"> novembrī</w:t>
      </w:r>
      <w:r w:rsidRPr="000910CA">
        <w:rPr>
          <w:noProof/>
        </w:rPr>
        <w:t xml:space="preserve"> likme sasniedza </w:t>
      </w:r>
      <w:r>
        <w:rPr>
          <w:noProof/>
        </w:rPr>
        <w:t>3,75</w:t>
      </w:r>
      <w:r w:rsidRPr="000910CA">
        <w:rPr>
          <w:noProof/>
        </w:rPr>
        <w:t xml:space="preserve">% – </w:t>
      </w:r>
      <w:r>
        <w:rPr>
          <w:noProof/>
        </w:rPr>
        <w:t>4</w:t>
      </w:r>
      <w:r w:rsidRPr="000910CA">
        <w:rPr>
          <w:noProof/>
        </w:rPr>
        <w:t xml:space="preserve">% un turpmākajos mēnešos ir gaidāms tālāks paaugstinājums. ECB 21. jūlijā pirmo reizi pēdējos 11 gados veica procentu likmju paaugstinājumu, galveno bāzes procentlikmi palielinot par 0,5 procentpunktiem līdz 0,5%, bet </w:t>
      </w:r>
      <w:r>
        <w:rPr>
          <w:noProof/>
        </w:rPr>
        <w:t>pēc tam, vēl divas reizes paaugstinot likmi par 0,75</w:t>
      </w:r>
      <w:r w:rsidR="00B35D8C">
        <w:rPr>
          <w:noProof/>
        </w:rPr>
        <w:t> </w:t>
      </w:r>
      <w:r>
        <w:rPr>
          <w:noProof/>
        </w:rPr>
        <w:t>procentpunktiem, novembrī likme sasniedza 2%.</w:t>
      </w:r>
    </w:p>
    <w:p w14:paraId="3ABC9DFE" w14:textId="77777777" w:rsidR="00FA2AC6" w:rsidRDefault="00FA2AC6" w:rsidP="00FA2AC6">
      <w:r w:rsidRPr="000910CA">
        <w:t>Procentu likmju paaugstināšana un aizņēmumu sadārdzināšanās vienlaikus ar inflācijas mazināšanu var samazināt arī ekonomikas izaugsmi, īpaši negatīvu ietekmi atstājot uz pasaules attīstības valstīm ar augstiem parādu līmeņiem, ievērojami sadārdzinot to aizņemšanās izmaksas.</w:t>
      </w:r>
      <w:r>
        <w:t xml:space="preserve"> </w:t>
      </w:r>
      <w:r w:rsidRPr="000910CA">
        <w:t xml:space="preserve">Straujāka likmju celšana </w:t>
      </w:r>
      <w:r w:rsidRPr="000910CA">
        <w:rPr>
          <w:noProof/>
        </w:rPr>
        <w:t xml:space="preserve">ASV nekā eirozonā arī </w:t>
      </w:r>
      <w:r>
        <w:rPr>
          <w:noProof/>
        </w:rPr>
        <w:t>veicināja</w:t>
      </w:r>
      <w:r w:rsidRPr="000910CA">
        <w:rPr>
          <w:noProof/>
        </w:rPr>
        <w:t xml:space="preserve"> dolāra kursa kāpumu pret </w:t>
      </w:r>
      <w:r w:rsidRPr="00FE6063">
        <w:rPr>
          <w:i/>
          <w:iCs/>
          <w:noProof/>
        </w:rPr>
        <w:t>euro</w:t>
      </w:r>
      <w:r w:rsidRPr="000910CA">
        <w:rPr>
          <w:noProof/>
        </w:rPr>
        <w:t xml:space="preserve"> un Eiropas vienotās valūtas vērtība augusta beigās noslīdēja līdz zemākajam līmenim pēdējo 20 gadu laikā, vienam </w:t>
      </w:r>
      <w:r w:rsidRPr="00FE6063">
        <w:rPr>
          <w:i/>
          <w:iCs/>
          <w:noProof/>
        </w:rPr>
        <w:t>euro</w:t>
      </w:r>
      <w:r w:rsidRPr="000910CA">
        <w:rPr>
          <w:noProof/>
        </w:rPr>
        <w:t xml:space="preserve"> maksājot mazāk par vienu ASV dolāru</w:t>
      </w:r>
      <w:r>
        <w:rPr>
          <w:noProof/>
        </w:rPr>
        <w:t xml:space="preserve">. Pēc tam </w:t>
      </w:r>
      <w:r w:rsidRPr="00FA4ABD">
        <w:rPr>
          <w:i/>
          <w:iCs/>
          <w:noProof/>
        </w:rPr>
        <w:t>euro</w:t>
      </w:r>
      <w:r>
        <w:rPr>
          <w:noProof/>
        </w:rPr>
        <w:t xml:space="preserve"> kurss atkal pakāpeniski sāka celties, decembra sākumā atgriežoties 1,06 dolāru par </w:t>
      </w:r>
      <w:r w:rsidRPr="00FA4ABD">
        <w:rPr>
          <w:i/>
          <w:iCs/>
          <w:noProof/>
        </w:rPr>
        <w:t>euro</w:t>
      </w:r>
      <w:r>
        <w:rPr>
          <w:noProof/>
        </w:rPr>
        <w:t xml:space="preserve"> līmenī</w:t>
      </w:r>
      <w:r>
        <w:t>.</w:t>
      </w:r>
    </w:p>
    <w:p w14:paraId="0D8E62BA" w14:textId="77777777" w:rsidR="00FA2AC6" w:rsidRPr="000A7809" w:rsidRDefault="00FA2AC6" w:rsidP="00772992">
      <w:pPr>
        <w:spacing w:before="240"/>
        <w:rPr>
          <w:b/>
          <w:bCs/>
        </w:rPr>
      </w:pPr>
      <w:r w:rsidRPr="000A7809">
        <w:rPr>
          <w:b/>
          <w:bCs/>
        </w:rPr>
        <w:t>Nozaru attīstība</w:t>
      </w:r>
    </w:p>
    <w:p w14:paraId="2A6E2B8D" w14:textId="77777777" w:rsidR="00FA2AC6" w:rsidRPr="00F15ED4" w:rsidRDefault="00FA2AC6" w:rsidP="00FA2AC6">
      <w:r w:rsidRPr="00F15ED4">
        <w:rPr>
          <w:b/>
          <w:bCs/>
        </w:rPr>
        <w:t>Rūpniecības</w:t>
      </w:r>
      <w:r w:rsidRPr="00F15ED4">
        <w:t xml:space="preserve"> nozare Latvijā aizvadījusi veiksmīgu 2021</w:t>
      </w:r>
      <w:r>
        <w:t>. g</w:t>
      </w:r>
      <w:r w:rsidRPr="00F15ED4">
        <w:t>adu, līdzīgai izaugsmei turpinoties 2022</w:t>
      </w:r>
      <w:r>
        <w:t>. g</w:t>
      </w:r>
      <w:r w:rsidRPr="00F15ED4">
        <w:t>ada pirmajā pusgadā, taču otrais pusgads iesācies ar ražošanas apjomu samazinājumu.</w:t>
      </w:r>
    </w:p>
    <w:p w14:paraId="5F89799E" w14:textId="77777777" w:rsidR="00FA2AC6" w:rsidRPr="00F15ED4" w:rsidRDefault="00FA2AC6" w:rsidP="00FA2AC6">
      <w:pPr>
        <w:rPr>
          <w:noProof/>
        </w:rPr>
      </w:pPr>
      <w:r w:rsidRPr="00F15ED4">
        <w:t>Rūpniecība ir viena no lielākajām nozarēm Latvijā un 2021</w:t>
      </w:r>
      <w:r>
        <w:t>. g</w:t>
      </w:r>
      <w:r w:rsidRPr="00F15ED4">
        <w:t xml:space="preserve">adā sastādīja 16,5% no kopējās pievienotās vērtības struktūras, kas ir par 1,1 procentpunktu vairāk kā </w:t>
      </w:r>
      <w:bookmarkStart w:id="1" w:name="_Hlk114141405"/>
      <w:r w:rsidRPr="00F15ED4">
        <w:t>2020</w:t>
      </w:r>
      <w:r>
        <w:t>. g</w:t>
      </w:r>
      <w:r w:rsidRPr="00F15ED4">
        <w:t>adā</w:t>
      </w:r>
      <w:bookmarkEnd w:id="1"/>
      <w:r w:rsidRPr="00F15ED4">
        <w:t>. 2021</w:t>
      </w:r>
      <w:r>
        <w:t>. g</w:t>
      </w:r>
      <w:r w:rsidRPr="00F15ED4">
        <w:t>adā rūpniecības nozarē nodrošinātas 131,3 tūkstoši darba vietu, kas ir par 2,2% mazāk kā 2020</w:t>
      </w:r>
      <w:r>
        <w:t>. g</w:t>
      </w:r>
      <w:r w:rsidRPr="00F15ED4">
        <w:t xml:space="preserve">adā un veido 15,2% no visām darba vietām Latvijas darba tirgū. Rūpniecības nozare iedalās apstrādes rūpniecībā </w:t>
      </w:r>
      <w:r w:rsidRPr="00F15ED4">
        <w:rPr>
          <w:noProof/>
        </w:rPr>
        <w:t>ar 80,7% īpatsvaru 2021</w:t>
      </w:r>
      <w:r>
        <w:rPr>
          <w:noProof/>
        </w:rPr>
        <w:t>. g</w:t>
      </w:r>
      <w:r w:rsidRPr="00F15ED4">
        <w:rPr>
          <w:noProof/>
        </w:rPr>
        <w:t>adā, otra lielākā apakšnozare ir elektroenerģija un gāzes apgāde ar 15,8% īpatsvaru, bet mazākā ir ieguves rūpniecība un karjeru izstrāde, kas veido 3,5% no kopējās rūpniecības nozares.</w:t>
      </w:r>
    </w:p>
    <w:p w14:paraId="380B817C" w14:textId="77777777" w:rsidR="00FA2AC6" w:rsidRPr="00F15ED4" w:rsidRDefault="00FA2AC6" w:rsidP="00FA2AC6">
      <w:r w:rsidRPr="00F15ED4">
        <w:rPr>
          <w:noProof/>
        </w:rPr>
        <w:t>Rūpniecības izlaide salīdzināmās cenās 2021</w:t>
      </w:r>
      <w:r>
        <w:rPr>
          <w:noProof/>
        </w:rPr>
        <w:t>. g</w:t>
      </w:r>
      <w:r w:rsidRPr="00F15ED4">
        <w:rPr>
          <w:noProof/>
        </w:rPr>
        <w:t>adā, neskatoties uz pandēmijas</w:t>
      </w:r>
      <w:r w:rsidRPr="00F15ED4">
        <w:t xml:space="preserve"> uzliesmojumiem un augošajām elektroenerģijas cenām, bijusi par 6,5% augstāka kā gadu iepriekš, kas ir lielākais ražošanas apjomu kāpums kopš 2017</w:t>
      </w:r>
      <w:r>
        <w:t>. g</w:t>
      </w:r>
      <w:r w:rsidRPr="00F15ED4">
        <w:t>ada. Vairums Eiropas Savienības dalībvalstu uzrādījušas vēl labākus rezultātus, taču to noteica zemās bāzes efekts 2020</w:t>
      </w:r>
      <w:r>
        <w:t>. g</w:t>
      </w:r>
      <w:r w:rsidRPr="00F15ED4">
        <w:t>adā spēcīgākas pandēmiskās ietekmes rezultātā. Savukārt</w:t>
      </w:r>
      <w:r>
        <w:t xml:space="preserve"> </w:t>
      </w:r>
      <w:r w:rsidRPr="00F15ED4">
        <w:t>pandēmijas pirmā viļņa ietekme uz Latvijas rūpniecības nozari bija viena no zemākajām ES.</w:t>
      </w:r>
    </w:p>
    <w:p w14:paraId="2C7338C8" w14:textId="77777777" w:rsidR="00FA2AC6" w:rsidRPr="00F15ED4" w:rsidRDefault="00FA2AC6" w:rsidP="00FA2AC6">
      <w:r w:rsidRPr="00F15ED4">
        <w:t>Rūpniecības pieaugumu 2021</w:t>
      </w:r>
      <w:r>
        <w:t>. g</w:t>
      </w:r>
      <w:r w:rsidRPr="00F15ED4">
        <w:t>adā noteica apstrādes rūpniecības pieaugums par 7,3%, ieguves rūpniecības izlaides palielinājums par 4,7% un elektroenerģijas un gāzes apgādes kāpums par 2,9%.</w:t>
      </w:r>
    </w:p>
    <w:p w14:paraId="5B56161D" w14:textId="77777777" w:rsidR="00FA2AC6" w:rsidRDefault="00FA2AC6" w:rsidP="00FA2AC6">
      <w:r w:rsidRPr="00F15ED4">
        <w:t xml:space="preserve">Arī šā gada pirmajos desmit mēnešos kopā rūpniecības nozare saglabāja 1,0% izaugsmi, ko nodrošināja apstrādes rūpniecības pieaugums </w:t>
      </w:r>
      <w:r>
        <w:t xml:space="preserve">par </w:t>
      </w:r>
      <w:r w:rsidRPr="00F15ED4">
        <w:t xml:space="preserve">3,0%, </w:t>
      </w:r>
      <w:r>
        <w:t>bet</w:t>
      </w:r>
      <w:r w:rsidRPr="00F15ED4">
        <w:t xml:space="preserve"> negatīvu ietekmi atstāja elektroenerģijas un gāzes apgādes sarukums par 14,3%. Savukārt ieguves rūpniecībā pirmajos desmit mēnešos fiksēts 2,2% pieaugums. Lai arī rūpniecībā kopumā desmit mēnešos vērojama izaugsme, tomēr šā gada jūlijā - oktobrī jau iezīmējas ražošanas apjomu samazinājumi (1.attēls), ko izraisa dārgie energoresursi un izejvielas, kā arī parādās produkcijas pieprasījuma samazināšanās pazīmes.</w:t>
      </w:r>
    </w:p>
    <w:p w14:paraId="109B3EFD" w14:textId="77777777" w:rsidR="00FA2AC6" w:rsidRPr="00CB677E" w:rsidRDefault="00FA2AC6" w:rsidP="00FA2AC6">
      <w:pPr>
        <w:pStyle w:val="Tabulasvirsraksts"/>
        <w:rPr>
          <w:iCs w:val="0"/>
        </w:rPr>
      </w:pPr>
      <w:r>
        <w:rPr>
          <w:noProof/>
        </w:rPr>
        <w:lastRenderedPageBreak/>
        <w:drawing>
          <wp:inline distT="0" distB="0" distL="0" distR="0" wp14:anchorId="38A425D0" wp14:editId="0C4B63BF">
            <wp:extent cx="5274310" cy="2009775"/>
            <wp:effectExtent l="0" t="0" r="2540" b="0"/>
            <wp:docPr id="30" name="Chart 30">
              <a:extLst xmlns:a="http://schemas.openxmlformats.org/drawingml/2006/main">
                <a:ext uri="{FF2B5EF4-FFF2-40B4-BE49-F238E27FC236}">
                  <a16:creationId xmlns:a16="http://schemas.microsoft.com/office/drawing/2014/main" id="{00000000-0008-0000-1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CB677E">
        <w:rPr>
          <w:rFonts w:eastAsia="Calibri"/>
          <w:iCs w:val="0"/>
        </w:rPr>
        <w:t>1. attēls. Rūpniecības</w:t>
      </w:r>
      <w:r w:rsidRPr="00CB677E">
        <w:rPr>
          <w:iCs w:val="0"/>
        </w:rPr>
        <w:t xml:space="preserve"> </w:t>
      </w:r>
      <w:r w:rsidRPr="00CB677E">
        <w:rPr>
          <w:rFonts w:eastAsia="Calibri"/>
          <w:iCs w:val="0"/>
        </w:rPr>
        <w:t xml:space="preserve">produkcijas apjoma indekss </w:t>
      </w:r>
      <w:r w:rsidRPr="00CB677E">
        <w:rPr>
          <w:rFonts w:eastAsia="Calibri"/>
          <w:iCs w:val="0"/>
        </w:rPr>
        <w:br/>
        <w:t>(sezonāli izlīdzināti dati, 2015 = 100)</w:t>
      </w:r>
    </w:p>
    <w:p w14:paraId="69A710ED" w14:textId="77777777" w:rsidR="00FA2AC6" w:rsidRPr="00F15ED4" w:rsidRDefault="00FA2AC6" w:rsidP="00FA2AC6">
      <w:r w:rsidRPr="00F15ED4">
        <w:t>Līdzīgi kā 2021</w:t>
      </w:r>
      <w:r>
        <w:t>. g</w:t>
      </w:r>
      <w:r w:rsidRPr="00F15ED4">
        <w:t>adā, arī 2022</w:t>
      </w:r>
      <w:r>
        <w:t>. g</w:t>
      </w:r>
      <w:r w:rsidRPr="00F15ED4">
        <w:t xml:space="preserve">ada desmit mēnešos izaugsme turpinājās gan ieguves rūpniecībā, gan vairumā </w:t>
      </w:r>
      <w:r w:rsidRPr="00F15ED4">
        <w:rPr>
          <w:noProof/>
        </w:rPr>
        <w:t>apstrādes rūpniecības apakšnozaru (</w:t>
      </w:r>
      <w:r>
        <w:rPr>
          <w:noProof/>
        </w:rPr>
        <w:t>2</w:t>
      </w:r>
      <w:r w:rsidRPr="00F15ED4">
        <w:rPr>
          <w:noProof/>
        </w:rPr>
        <w:t>. attēls).</w:t>
      </w:r>
      <w:r w:rsidRPr="00F15ED4">
        <w:t xml:space="preserve"> Ievērojams samazinājums fiksēts vienīgi elektroenerģijas un gāzes apgādē. Ja pērn apstrādes rūpniecībā izaugsmi veicināja zemās bāzes efekts 2020</w:t>
      </w:r>
      <w:r>
        <w:t>. g</w:t>
      </w:r>
      <w:r w:rsidRPr="00F15ED4">
        <w:t xml:space="preserve">adā, tad šā gada desmit mēnešos izaugsmi nodrošināja vispārēja rūpniecības nozares izaugsme pirmajā pusgadā, atsevišķām preču grupām uzrādot augstus pieauguma </w:t>
      </w:r>
      <w:r>
        <w:t>tempus</w:t>
      </w:r>
      <w:r w:rsidRPr="00F15ED4">
        <w:t xml:space="preserve"> un saglabājoties </w:t>
      </w:r>
      <w:r>
        <w:t>spēcīgam</w:t>
      </w:r>
      <w:r w:rsidRPr="00F15ED4">
        <w:t xml:space="preserve"> ārējam pieprasījumam, bet jūlijā – oktobrī situācija nozarē </w:t>
      </w:r>
      <w:r>
        <w:t xml:space="preserve">ir </w:t>
      </w:r>
      <w:r w:rsidRPr="00F15ED4">
        <w:t>pasliktinājusies un ražošanas apjomi sarukuši līdz ar ārējā pieprasījuma mazināšanos.</w:t>
      </w:r>
    </w:p>
    <w:p w14:paraId="12245344" w14:textId="77777777" w:rsidR="00FA2AC6" w:rsidRDefault="00FA2AC6" w:rsidP="00FA2AC6">
      <w:pPr>
        <w:pStyle w:val="Tabulasvirsraksts"/>
        <w:rPr>
          <w:iCs w:val="0"/>
        </w:rPr>
      </w:pPr>
      <w:r>
        <w:rPr>
          <w:noProof/>
        </w:rPr>
        <w:drawing>
          <wp:inline distT="0" distB="0" distL="0" distR="0" wp14:anchorId="433E5F4B" wp14:editId="5FD035FF">
            <wp:extent cx="5143500" cy="3017520"/>
            <wp:effectExtent l="0" t="0" r="0" b="0"/>
            <wp:docPr id="31" name="Chart 3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8017A06" w14:textId="55257417" w:rsidR="00FA2AC6" w:rsidRDefault="00FA2AC6" w:rsidP="00FA2AC6">
      <w:pPr>
        <w:pStyle w:val="Tabulasvirsraksts"/>
        <w:rPr>
          <w:iCs w:val="0"/>
        </w:rPr>
      </w:pPr>
      <w:r>
        <w:rPr>
          <w:iCs w:val="0"/>
        </w:rPr>
        <w:t>2</w:t>
      </w:r>
      <w:r w:rsidRPr="00CB677E">
        <w:rPr>
          <w:iCs w:val="0"/>
        </w:rPr>
        <w:t xml:space="preserve">. attēls. Rūpniecības nozaru izlaides apjoma izmaiņas 2021. gadā un </w:t>
      </w:r>
      <w:r w:rsidRPr="00CB677E">
        <w:rPr>
          <w:iCs w:val="0"/>
        </w:rPr>
        <w:br/>
        <w:t xml:space="preserve">2022. gada </w:t>
      </w:r>
      <w:r w:rsidRPr="00F85E1A">
        <w:rPr>
          <w:iCs w:val="0"/>
          <w:color w:val="000000" w:themeColor="text1"/>
        </w:rPr>
        <w:t xml:space="preserve">desmit mēnešos, </w:t>
      </w:r>
      <w:r w:rsidRPr="00CB677E">
        <w:rPr>
          <w:iCs w:val="0"/>
        </w:rPr>
        <w:t>salīdzinot ar iepriekšējā gada attiecīgo laika periodu (kalendāri izlīdzināti dati,%)</w:t>
      </w:r>
    </w:p>
    <w:p w14:paraId="1BB334A3" w14:textId="77777777" w:rsidR="00FA2AC6" w:rsidRPr="00F15ED4" w:rsidRDefault="00FA2AC6" w:rsidP="00FA2AC6">
      <w:r w:rsidRPr="00F15ED4">
        <w:t xml:space="preserve">Starp apstrādes rūpniecības apakšgrupām ierasti vismazākās svārstības gada griezumā redzamas pārtikas un dzērienu ražošanā, kas šā gada desmit mēnešos augusi par 1,5% pret pērnā gada desmit mēnešiem. Pārtikas un dzērienu izlaides dinamika gan ir krasi atšķirīga. Pārtika </w:t>
      </w:r>
      <w:r w:rsidRPr="00F85E1A">
        <w:rPr>
          <w:color w:val="000000" w:themeColor="text1"/>
        </w:rPr>
        <w:t xml:space="preserve">desmit mēnešos </w:t>
      </w:r>
      <w:r w:rsidRPr="00F15ED4">
        <w:t>ražota par 1,2% mazāk kā pērn, bet dzērienu ražošana pieauga par 18,6%.</w:t>
      </w:r>
    </w:p>
    <w:p w14:paraId="44F71FBD" w14:textId="77777777" w:rsidR="00FA2AC6" w:rsidRPr="00F15ED4" w:rsidRDefault="00FA2AC6" w:rsidP="00FA2AC6">
      <w:r w:rsidRPr="00F15ED4">
        <w:t xml:space="preserve">Nozīmīgajā kokapstrādes nozarē ražošanas apjomi desmit mēnešos samazinājušies par 1,2%. </w:t>
      </w:r>
      <w:bookmarkStart w:id="2" w:name="_Hlk122084579"/>
      <w:r w:rsidRPr="00F15ED4">
        <w:t>Koksnes cenas gan Eiropā, gan ASV jau kopš</w:t>
      </w:r>
      <w:r>
        <w:t xml:space="preserve"> šā gada</w:t>
      </w:r>
      <w:r w:rsidRPr="00F15ED4">
        <w:t xml:space="preserve"> </w:t>
      </w:r>
      <w:r>
        <w:t>maija</w:t>
      </w:r>
      <w:r w:rsidRPr="00F15ED4">
        <w:t xml:space="preserve"> ir spēcīgi samazinājušās</w:t>
      </w:r>
      <w:bookmarkEnd w:id="2"/>
      <w:r w:rsidRPr="00F15ED4">
        <w:t xml:space="preserve">, </w:t>
      </w:r>
      <w:r w:rsidRPr="00F15ED4">
        <w:lastRenderedPageBreak/>
        <w:t>tajā pašā laikā energoietilpīgajā nozarē strauji aug elektroenerģijas cenas un samazinās arī vietējais pieprasījums būvniecības nozarē.</w:t>
      </w:r>
    </w:p>
    <w:p w14:paraId="57897D49" w14:textId="77777777" w:rsidR="00FA2AC6" w:rsidRPr="00F15ED4" w:rsidRDefault="00FA2AC6" w:rsidP="00FA2AC6">
      <w:r w:rsidRPr="00F15ED4">
        <w:t>Savukārt 5,4% izaugsme desmit mēnešu griezumā bija vieglajā rūpniecībā, kur 12,8% pieaugums bija ādas un tās izstrādājumu ražošanai. Papīra un to izstrādājumu ražošanā un poligrāfijā ražošanas apjomi auguši par 2,8%, lai arī papīra ražošana samazinājusies par 7,9%, ko ietekmē arī situācija kokrūpniecībā, bet poligrāfijā un ierakstu reproducēšanā apjomi auguši par 6,8%. Ķīmisko vielu un produktu ražošana šā gada desmit mēnešos sasniedza 1,4% pieaugumu, ievērojamu kāpumu uzrādot gada pirmajā ceturksnī. 10,1% pieaugums desmit mēnešos bijis arī būvmateriālu ražošanai, pārsniedzot arī 2021</w:t>
      </w:r>
      <w:r>
        <w:t>. g</w:t>
      </w:r>
      <w:r w:rsidRPr="00F15ED4">
        <w:t xml:space="preserve">ada kopējo pieaugumu. Pieaugumi šogad </w:t>
      </w:r>
      <w:r>
        <w:t>desmit</w:t>
      </w:r>
      <w:r w:rsidRPr="00F15ED4">
        <w:t xml:space="preserve"> mēnešos bija arī metālizstrādājumu ražošanā (+3,2%), mašīnbūvē (+3,4%) un mēbeļu ražošanā (+1,9%).</w:t>
      </w:r>
    </w:p>
    <w:p w14:paraId="50983B60" w14:textId="77777777" w:rsidR="00FA2AC6" w:rsidRPr="00F15ED4" w:rsidRDefault="00FA2AC6" w:rsidP="00FA2AC6">
      <w:r w:rsidRPr="00F15ED4">
        <w:t>Elektroenerģijas un gāzes apgādes izlaide šā gada desmit mēnešos samazinājās par 14,3%, kas saistīts galvenokārt ar būtiskiem samazinājumiem koģenerācijas staciju</w:t>
      </w:r>
      <w:r w:rsidRPr="00383803">
        <w:t xml:space="preserve"> </w:t>
      </w:r>
      <w:r w:rsidRPr="00F15ED4">
        <w:t>izlaidē, ko savukārt ietekmē strauji augošās degvielas, gāzes un koksnes kurināmā izmaksas. Savukārt hidroelektrostacijas ražojušas par 7,8% vairāk elektroenerģijas nekā pērn. Strauji augošās gāzes cenas arī veicina pieprasījuma samazināšanos gāzes apgādē.</w:t>
      </w:r>
    </w:p>
    <w:p w14:paraId="7B2AB441" w14:textId="77777777" w:rsidR="00FA2AC6" w:rsidRPr="009B7047" w:rsidRDefault="00FA2AC6" w:rsidP="00FA2AC6">
      <w:r w:rsidRPr="00F15ED4">
        <w:t>Vidējais apstrādes rūpniecības apgrozījuma pieaugums laika posmā no 2016. līdz 2020</w:t>
      </w:r>
      <w:r>
        <w:t>. g</w:t>
      </w:r>
      <w:r w:rsidRPr="00F15ED4">
        <w:t>adam bija 5,2% gadā. Savukārt 2021</w:t>
      </w:r>
      <w:r>
        <w:t>. g</w:t>
      </w:r>
      <w:r w:rsidRPr="00F15ED4">
        <w:t>adā apgrozījuma pieaugums sasniedza 21%, vietējā tirgus apgrozījumam augot par 16%, bet eksporta apgrozījumam palielinoties par 23,6%. Šā gada desmit mēnešos apgrozījums audzis par 19,6%, vietējā tirgus apgrozījumam palielinoties par 21,7%, bet eksporta tirgū kāpums par 18,6%. 2021</w:t>
      </w:r>
      <w:r>
        <w:t>. g</w:t>
      </w:r>
      <w:r w:rsidRPr="00F15ED4">
        <w:t>adā spēcīgo pieaugumu veicināja zemās bāzes efekts, kad 2020</w:t>
      </w:r>
      <w:r>
        <w:t>. g</w:t>
      </w:r>
      <w:r w:rsidRPr="00F15ED4">
        <w:t>adā pasaules ekonomiku pirmo reizi ietekmēja pandēmija, bet 2021</w:t>
      </w:r>
      <w:r>
        <w:t>. g</w:t>
      </w:r>
      <w:r w:rsidRPr="00F15ED4">
        <w:t xml:space="preserve">ada otrajā pusē sāka augt inflācijas rādītāji. </w:t>
      </w:r>
      <w:bookmarkStart w:id="3" w:name="_Hlk114137268"/>
      <w:r w:rsidRPr="00F15ED4">
        <w:t>2022</w:t>
      </w:r>
      <w:r>
        <w:t>. g</w:t>
      </w:r>
      <w:r w:rsidRPr="00F15ED4">
        <w:t>ada pirmajā pusgadā inflācija turpināja strauji palielināties, bet jūlijā – novembrī saglabājās augstā līmenī virs 20% atzīmes, ietekmējot arī apgrozījuma pieaugumu</w:t>
      </w:r>
      <w:bookmarkStart w:id="4" w:name="_Hlk114136419"/>
      <w:r w:rsidRPr="00F15ED4">
        <w:t xml:space="preserve">, taču turpina palielināties arī ražošanas fiziskie apjomi. </w:t>
      </w:r>
      <w:bookmarkStart w:id="5" w:name="_Hlk114758259"/>
      <w:r w:rsidRPr="00F15ED4">
        <w:t>Apgrozījums vietējā tirgū šogad ir audzis straujāk nekā pērn (</w:t>
      </w:r>
      <w:r>
        <w:t>3</w:t>
      </w:r>
      <w:r w:rsidRPr="00F15ED4">
        <w:t>. attēls), kas saistīts ar augstāku vietējo pieprasījumu Ukrainas kara izraisītā izejvielu deficīta dēļ</w:t>
      </w:r>
      <w:bookmarkEnd w:id="3"/>
      <w:bookmarkEnd w:id="4"/>
      <w:bookmarkEnd w:id="5"/>
      <w:r w:rsidRPr="00F15ED4">
        <w:t>, taču ekonomiskās situācijas pasliktināšanās Eiropas Savienībā izraisa ārējā pieprasījuma samazināšanos pēc Latvijas ražojumiem, izraisot arī eksporta apgrozījuma pieauguma samazināšanos.</w:t>
      </w:r>
    </w:p>
    <w:p w14:paraId="56FFA218" w14:textId="3DEF1210" w:rsidR="00FA2AC6" w:rsidRPr="00FA2AC6" w:rsidRDefault="00FA2AC6" w:rsidP="00FA2AC6">
      <w:pPr>
        <w:pStyle w:val="Tabulasvirsraksts"/>
        <w:rPr>
          <w:rFonts w:eastAsia="Calibri"/>
          <w:iCs w:val="0"/>
          <w:szCs w:val="28"/>
        </w:rPr>
      </w:pPr>
      <w:r>
        <w:rPr>
          <w:noProof/>
        </w:rPr>
        <w:drawing>
          <wp:inline distT="0" distB="0" distL="0" distR="0" wp14:anchorId="3DD20120" wp14:editId="3C81EEE9">
            <wp:extent cx="5274310" cy="2157095"/>
            <wp:effectExtent l="0" t="0" r="2540" b="0"/>
            <wp:docPr id="4" name="Chart 4">
              <a:extLst xmlns:a="http://schemas.openxmlformats.org/drawingml/2006/main">
                <a:ext uri="{FF2B5EF4-FFF2-40B4-BE49-F238E27FC236}">
                  <a16:creationId xmlns:a16="http://schemas.microsoft.com/office/drawing/2014/main" id="{00000000-0008-0000-06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eastAsia="Calibri"/>
          <w:iCs w:val="0"/>
        </w:rPr>
        <w:t>3</w:t>
      </w:r>
      <w:r w:rsidRPr="00CB677E">
        <w:rPr>
          <w:rFonts w:eastAsia="Calibri"/>
          <w:iCs w:val="0"/>
        </w:rPr>
        <w:t>. attēls. Apstrādes rūpniecības apgrozījuma pārmaiņas</w:t>
      </w:r>
      <w:r w:rsidRPr="00CB677E">
        <w:rPr>
          <w:rFonts w:eastAsia="Calibri"/>
          <w:iCs w:val="0"/>
        </w:rPr>
        <w:br/>
        <w:t>pret iepriekšējā gada attiecīgo mēnesi (kalendāri izlīdzināti dati, %)</w:t>
      </w:r>
    </w:p>
    <w:p w14:paraId="27FA454B" w14:textId="77777777" w:rsidR="00FA2AC6" w:rsidRPr="00F15ED4" w:rsidRDefault="00FA2AC6" w:rsidP="00FA2AC6">
      <w:r w:rsidRPr="00F15ED4">
        <w:t xml:space="preserve">Eiropas Komisijas apkopotie ekonomiskās konfidences indeksi liecina par noskaņojuma pasliktināšanos apstrādes rūpniecībā šā gada desmit mēnešos gan Eiropā, gan Latvijā. Ja šā gada februārī noskaņojums nozarē bija vērtējams kā ļoti pozitīvs, tad novembrī tas ir samazinājies zem ilgtermiņa vidējā rādītāja un atrodas starp pandēmijas pirmā un otrā viļņa zemajām atzīmēm. Noskaņojuma pasliktināšanos izraisa visu negatīvo faktoru kopums, </w:t>
      </w:r>
      <w:r w:rsidRPr="00F15ED4">
        <w:lastRenderedPageBreak/>
        <w:t>ieskaitot energoresursu cenu kāpumu, ārējā pieprasījuma samazināšanos un karadarbības Ukrainā ietekmi.</w:t>
      </w:r>
    </w:p>
    <w:p w14:paraId="4741082A" w14:textId="77777777" w:rsidR="00FA2AC6" w:rsidRDefault="00FA2AC6" w:rsidP="00FA2AC6">
      <w:r w:rsidRPr="00F15ED4">
        <w:t>Šā gada nogalē un 2023</w:t>
      </w:r>
      <w:r>
        <w:t>. g</w:t>
      </w:r>
      <w:r w:rsidRPr="00F15ED4">
        <w:t xml:space="preserve">ada ievadā apstrādes rūpniecībā situāciju noteiks augstās energoresursu cenas un uzņēmēju spēja mazināt ražošanas izmaksas. Nozīmīga loma nozarē būs arī ārējam pieprasījumam pēc Latvijas ražojumiem, uzņēmējiem aptaujās norādot uz iespējamu pieprasījuma turpmāku samazināšanos. Arī </w:t>
      </w:r>
      <w:r>
        <w:t>Covid</w:t>
      </w:r>
      <w:r>
        <w:noBreakHyphen/>
        <w:t>19</w:t>
      </w:r>
      <w:r w:rsidRPr="00F15ED4">
        <w:t xml:space="preserve"> vīruss nav pazudis un ir iespējami jauni slimības uzliesmojumi, izraisot lielāku darbinieku saslimstību nekā parasti ziemas sezonā.</w:t>
      </w:r>
    </w:p>
    <w:p w14:paraId="37D30EBA" w14:textId="77777777" w:rsidR="00FA2AC6" w:rsidRPr="00577E20" w:rsidRDefault="00FA2AC6" w:rsidP="00B73A11">
      <w:pPr>
        <w:spacing w:before="240"/>
      </w:pPr>
      <w:r w:rsidRPr="00577E20">
        <w:t xml:space="preserve">Latvijas </w:t>
      </w:r>
      <w:r w:rsidRPr="00577E20">
        <w:rPr>
          <w:b/>
          <w:bCs/>
        </w:rPr>
        <w:t>tirdzniecības nozari</w:t>
      </w:r>
      <w:r w:rsidRPr="00577E20">
        <w:t xml:space="preserve"> veido mazumtirdzniecība, vairumtirdzniecība un automobiļu un motociklu tirdzniecība un remonts, nozares īpatsvarā 2021</w:t>
      </w:r>
      <w:r>
        <w:t>. g</w:t>
      </w:r>
      <w:r w:rsidRPr="00577E20">
        <w:t>adā veidojot attiecīgi 40%, 48% un 11%. Kopējā Latvijas pievienotās vērtības struktūrā 2021</w:t>
      </w:r>
      <w:r>
        <w:t>. g</w:t>
      </w:r>
      <w:r w:rsidRPr="00577E20">
        <w:t>adā tirdzniecības nozare veidoja 15,3%, kas ir par 0,7 procentpunktiem vairāk kā 2020</w:t>
      </w:r>
      <w:r>
        <w:t>. g</w:t>
      </w:r>
      <w:r w:rsidRPr="00577E20">
        <w:t>adā.</w:t>
      </w:r>
    </w:p>
    <w:p w14:paraId="36E8BDA7" w14:textId="77777777" w:rsidR="00FA2AC6" w:rsidRPr="00577E20" w:rsidRDefault="00FA2AC6" w:rsidP="00FA2AC6">
      <w:r w:rsidRPr="00577E20">
        <w:t>Pandēmijas ierobežojumi 2021</w:t>
      </w:r>
      <w:r>
        <w:t>. g</w:t>
      </w:r>
      <w:r w:rsidRPr="00577E20">
        <w:t>adā mazumtirdzniecības nozarei netraucēja sasniegt 2,4% izaugsmi, bet šā gada desmit mēnešos pieaugums sasniedza 4,1%. Jāpiemin, ka situācija ceturkšņu griezumā ir ļoti atšķirīga. Ja 2022</w:t>
      </w:r>
      <w:r>
        <w:t>. g</w:t>
      </w:r>
      <w:r w:rsidRPr="00577E20">
        <w:t>ada pirmais ceturksnis mazumtirdzniecībā aizvadīts ar 11,6% izaugsmi, tad otrajā ceturksnī tirgoto apjomu pieaugums samazinājies līdz 1,5% (</w:t>
      </w:r>
      <w:r>
        <w:t>4</w:t>
      </w:r>
      <w:r w:rsidRPr="00577E20">
        <w:t>. attēls), bet trešajā ceturksnī izaugsme bijusi vien 0,2%. Pirmo ceturksni ietekmēja zemas bāzes efekts, 2021</w:t>
      </w:r>
      <w:r>
        <w:t>. g</w:t>
      </w:r>
      <w:r w:rsidRPr="00577E20">
        <w:t xml:space="preserve">ada sākumā valstī esot spēkā pandēmijas ierobežojumiem, bet ar šā gada jūniju un jūliju mazumtirdzniecības apjomi gandrīz vairs nepieauga iedzīvotāju pirktspējas samazināšanās dēļ, darba samaksas pieaugumam atpaliekot no cenu </w:t>
      </w:r>
      <w:r>
        <w:t>kāpuma</w:t>
      </w:r>
      <w:r w:rsidRPr="00577E20">
        <w:t xml:space="preserve"> un tajā pašā laikā mazinoties noguldījumu </w:t>
      </w:r>
      <w:r>
        <w:t xml:space="preserve">pieauguma </w:t>
      </w:r>
      <w:r w:rsidRPr="00577E20">
        <w:t>līmenim. Apkures sezonai sākoties</w:t>
      </w:r>
      <w:r>
        <w:t>,</w:t>
      </w:r>
      <w:r w:rsidRPr="00577E20">
        <w:t xml:space="preserve"> iedzīvotāju pirktspēja turpina samazināties, taču pērnā gada tirdzniecības apjomu zemās bāzes dēļ šā gada oktobrī nepārtikas preču tirdzniecībā bijis izteikts pieaugums, un līdzīgs </w:t>
      </w:r>
      <w:r>
        <w:t>kāpums</w:t>
      </w:r>
      <w:r w:rsidRPr="00577E20">
        <w:t xml:space="preserve"> sagaidāms arī novembra mazumtirdzniecības datos.</w:t>
      </w:r>
    </w:p>
    <w:p w14:paraId="19C07F78" w14:textId="77777777" w:rsidR="00FA2AC6" w:rsidRPr="00CB677E" w:rsidRDefault="00FA2AC6" w:rsidP="00FA2AC6">
      <w:pPr>
        <w:pStyle w:val="Tabulasvirsraksts"/>
        <w:rPr>
          <w:rFonts w:eastAsia="Calibri"/>
          <w:iCs w:val="0"/>
        </w:rPr>
      </w:pPr>
      <w:r w:rsidRPr="00577E20">
        <w:rPr>
          <w:noProof/>
        </w:rPr>
        <w:drawing>
          <wp:inline distT="0" distB="0" distL="0" distR="0" wp14:anchorId="5FB722A8" wp14:editId="0FB961D9">
            <wp:extent cx="5274310" cy="2619375"/>
            <wp:effectExtent l="0" t="0" r="2540" b="0"/>
            <wp:docPr id="5" name="Chart 5">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eastAsia="Calibri"/>
          <w:iCs w:val="0"/>
        </w:rPr>
        <w:t>4</w:t>
      </w:r>
      <w:r w:rsidRPr="00CB677E">
        <w:rPr>
          <w:rFonts w:eastAsia="Calibri"/>
          <w:iCs w:val="0"/>
        </w:rPr>
        <w:t xml:space="preserve">. attēls. Mazumtirdzniecības apgrozījuma pārmaiņas </w:t>
      </w:r>
      <w:r w:rsidRPr="00CB677E">
        <w:rPr>
          <w:rFonts w:eastAsia="Calibri"/>
          <w:iCs w:val="0"/>
        </w:rPr>
        <w:br/>
        <w:t>pret iepriekšējā gada attiecīgo mēnesi (%); salīdzināmās cenas</w:t>
      </w:r>
    </w:p>
    <w:p w14:paraId="1CA81099" w14:textId="77777777" w:rsidR="00FA2AC6" w:rsidRPr="00577E20" w:rsidRDefault="00FA2AC6" w:rsidP="00FA2AC6">
      <w:r w:rsidRPr="00577E20">
        <w:t xml:space="preserve">Šā gada </w:t>
      </w:r>
      <w:r>
        <w:t>desmit</w:t>
      </w:r>
      <w:r w:rsidRPr="00577E20">
        <w:t xml:space="preserve"> mēnešos 4,1% kopējo mazumtirdzniecības apgrozījuma izaugsmi salīdzināmās cenās pret pērnā gada attiecīgo periodu nodrošināja galvenokārt nepārtikas preču straujais tirdzniecības pieaugums gada sākumā</w:t>
      </w:r>
      <w:r>
        <w:t>,</w:t>
      </w:r>
      <w:r w:rsidRPr="00577E20">
        <w:t xml:space="preserve"> kā arī pārtikas preču tirdzniecības pieaugums par 1,5% desmit mēnešos. Tajā pašā laikā degviela tirgota par 0,7% mazāk nekā pērnā gada desmit mēnešos, ko noteica straujais degvielas cenu </w:t>
      </w:r>
      <w:r>
        <w:t xml:space="preserve">kāpums </w:t>
      </w:r>
      <w:r w:rsidRPr="00577E20">
        <w:t>šā gada vidū.</w:t>
      </w:r>
    </w:p>
    <w:p w14:paraId="76917FF7" w14:textId="77777777" w:rsidR="00FA2AC6" w:rsidRPr="00577E20" w:rsidRDefault="00FA2AC6" w:rsidP="00FA2AC6">
      <w:r w:rsidRPr="00577E20">
        <w:t>Vairumtirdzniecībā 2021</w:t>
      </w:r>
      <w:r>
        <w:t>. g</w:t>
      </w:r>
      <w:r w:rsidRPr="00577E20">
        <w:t xml:space="preserve">ads bijis ļoti sekmīgs, uzrādot 14,3% izaugsmi pret iepriekšējo gadu un veidojot nozīmīgu devumu kopējā ekonomikas izaugsmē. Straujā nozares </w:t>
      </w:r>
      <w:r w:rsidRPr="00577E20">
        <w:lastRenderedPageBreak/>
        <w:t xml:space="preserve">izaugsme turpinājās līdz šā gada februārim, pirmajā ceturksnī tirgotajiem apjomiem palielinoties par 15,3%, taču sākot ar aprīli vairumtirdzniecības nozarē sāka strauji samazināties apgrozījums, otrajā ceturksnī nozarei sarūkot par 15,2%, bet trešajā par 15,3%. Latvijas tirdzniecībā tieši vairumtirdzniecību visvairāk ietekmē Krievijas karš Ukrainā un noteiktās sankcijas, jo liels īpatsvars Latvijas vairumtirgotāju partneru atradās Krievijā, Baltkrievijā un Ukrainā. Neskatoties uz negatīvajām tendencēm, vairumtirdzniecības nozares vidējais apgrozījuma indekss šā gada deviņos mēnešos ir augstāks </w:t>
      </w:r>
      <w:r>
        <w:t>ne</w:t>
      </w:r>
      <w:r w:rsidRPr="00577E20">
        <w:t>kā 2019. un 2020</w:t>
      </w:r>
      <w:r>
        <w:t>. g</w:t>
      </w:r>
      <w:r w:rsidRPr="00577E20">
        <w:t>ada deviņos mēnešos.</w:t>
      </w:r>
    </w:p>
    <w:p w14:paraId="46E72463" w14:textId="77777777" w:rsidR="00FA2AC6" w:rsidRPr="00577E20" w:rsidRDefault="00FA2AC6" w:rsidP="00FA2AC6">
      <w:pPr>
        <w:rPr>
          <w:noProof/>
        </w:rPr>
      </w:pPr>
      <w:r w:rsidRPr="00577E20">
        <w:t xml:space="preserve">Savukārt mazākajā </w:t>
      </w:r>
      <w:r w:rsidRPr="00577E20">
        <w:rPr>
          <w:noProof/>
        </w:rPr>
        <w:t>tirdzniecības apakšnozarē – automobiļu un motociklu tirdzniecībā – šā gada deviņos mēnešos tirgoto apjomu samazinājums nav konstatēts. Pēc ievērojama 22,6% apjomu kāpuma 2021</w:t>
      </w:r>
      <w:r>
        <w:rPr>
          <w:noProof/>
        </w:rPr>
        <w:t>. g</w:t>
      </w:r>
      <w:r w:rsidRPr="00577E20">
        <w:rPr>
          <w:noProof/>
        </w:rPr>
        <w:t xml:space="preserve">adā, šā gada deviņos mēnešos auto un moto tehnika tirgota par 6,7% vairāk </w:t>
      </w:r>
      <w:r>
        <w:rPr>
          <w:noProof/>
        </w:rPr>
        <w:t>ne</w:t>
      </w:r>
      <w:r w:rsidRPr="00577E20">
        <w:rPr>
          <w:noProof/>
        </w:rPr>
        <w:t>kā pērn.</w:t>
      </w:r>
    </w:p>
    <w:p w14:paraId="2C6BB4F8" w14:textId="77777777" w:rsidR="00FA2AC6" w:rsidRPr="00577E20" w:rsidRDefault="00FA2AC6" w:rsidP="00FA2AC6">
      <w:r w:rsidRPr="00577E20">
        <w:rPr>
          <w:noProof/>
        </w:rPr>
        <w:t>Eiropas Komisijas apkopotie mazumtirgotāju konfidences rādītāji novembrī</w:t>
      </w:r>
      <w:r w:rsidRPr="00577E20">
        <w:t xml:space="preserve"> liecina par noskaņojuma uzlabošanos nozarē, konfidences līmenim joprojām atrodoties zem ilgtermiņa vidējā rādītāja.  </w:t>
      </w:r>
      <w:bookmarkStart w:id="6" w:name="_Hlk121768640"/>
      <w:r w:rsidRPr="00577E20">
        <w:t xml:space="preserve">Pozitīvas iezīmes uzņēmēji redz gan pēdējo mēnešu mazumtirdzniecības apjomos, gan turpmāko trīs mēnešu sagaidāmajos apjomos, turklāt nedaudz pieauguši arī preču krājumi noliktavās. </w:t>
      </w:r>
      <w:bookmarkEnd w:id="6"/>
      <w:r w:rsidRPr="00577E20">
        <w:t>Savukārt patērētāju konfidence kopš pērnā gada rudens ir strauji mazinājusies, šā gada jūnijā sasniedzot visu laiku zemāko atzīmi. Savukārt novembrī patērētāju noskaņojums ir līmenī, kād</w:t>
      </w:r>
      <w:r>
        <w:t>ā</w:t>
      </w:r>
      <w:r w:rsidRPr="00577E20">
        <w:t xml:space="preserve"> tas bija pirmā pandēmijas viļņa laikā. </w:t>
      </w:r>
      <w:bookmarkStart w:id="7" w:name="_Hlk121769550"/>
      <w:r>
        <w:t>Patērētāju</w:t>
      </w:r>
      <w:r w:rsidRPr="00577E20">
        <w:t xml:space="preserve"> noskaņojumu </w:t>
      </w:r>
      <w:r>
        <w:t xml:space="preserve">negatīvi </w:t>
      </w:r>
      <w:r w:rsidRPr="00577E20">
        <w:t>ietekmē pa</w:t>
      </w:r>
      <w:r>
        <w:t>š</w:t>
      </w:r>
      <w:r w:rsidRPr="00577E20">
        <w:t xml:space="preserve">reizējā ekonomiskā situācija Latvijā, kā arī iedzīvotāju finansiālās situācijas paredzamā pasliktināšanās, samazinoties finanšu </w:t>
      </w:r>
      <w:r>
        <w:t>uz</w:t>
      </w:r>
      <w:r w:rsidRPr="00577E20">
        <w:t>krājumiem un noguldījumiem</w:t>
      </w:r>
      <w:bookmarkEnd w:id="7"/>
      <w:r w:rsidRPr="00577E20">
        <w:t>.</w:t>
      </w:r>
    </w:p>
    <w:p w14:paraId="183C7944" w14:textId="77777777" w:rsidR="00FA2AC6" w:rsidRPr="00577E20" w:rsidRDefault="00FA2AC6" w:rsidP="00B73A11">
      <w:pPr>
        <w:spacing w:before="240"/>
        <w:rPr>
          <w:noProof/>
        </w:rPr>
      </w:pPr>
      <w:r w:rsidRPr="00577E20">
        <w:t xml:space="preserve">Pērnais gads Latvijas </w:t>
      </w:r>
      <w:r w:rsidRPr="00577E20">
        <w:rPr>
          <w:b/>
          <w:bCs/>
        </w:rPr>
        <w:t>būvniecības nozarē</w:t>
      </w:r>
      <w:r w:rsidRPr="00577E20">
        <w:t xml:space="preserve"> bijis pārbaudījumu pilns. Būvniecības apjomi 2021</w:t>
      </w:r>
      <w:r>
        <w:t>. g</w:t>
      </w:r>
      <w:r w:rsidRPr="00577E20">
        <w:t>adā salīdzināmās cenās samazinājās par 6,2% pret iepriekšējā gada attiecīgo periodu</w:t>
      </w:r>
      <w:r>
        <w:t>.</w:t>
      </w:r>
      <w:r w:rsidRPr="00577E20">
        <w:t xml:space="preserve"> 2022</w:t>
      </w:r>
      <w:r>
        <w:t>. g</w:t>
      </w:r>
      <w:r w:rsidRPr="00577E20">
        <w:t xml:space="preserve">ada deviņos mēnešos būvniecības apjomu kritums bijis vēl divas reizes lielāks, 12,5% apmērā, ko noteica </w:t>
      </w:r>
      <w:r w:rsidRPr="00577E20">
        <w:rPr>
          <w:noProof/>
        </w:rPr>
        <w:t xml:space="preserve">straujais būvizmaksu pieauguma turpinājums, kas sarežģīja esošo līgumu izpildi un būvobjektu pabeigšanu. </w:t>
      </w:r>
    </w:p>
    <w:p w14:paraId="6304F679" w14:textId="77777777" w:rsidR="00FA2AC6" w:rsidRPr="00577E20" w:rsidRDefault="00FA2AC6" w:rsidP="00FA2AC6">
      <w:pPr>
        <w:rPr>
          <w:noProof/>
        </w:rPr>
      </w:pPr>
      <w:r w:rsidRPr="00577E20">
        <w:rPr>
          <w:noProof/>
        </w:rPr>
        <w:t>Būvniecību 2021</w:t>
      </w:r>
      <w:r>
        <w:rPr>
          <w:noProof/>
        </w:rPr>
        <w:t>. g</w:t>
      </w:r>
      <w:r w:rsidRPr="00577E20">
        <w:rPr>
          <w:noProof/>
        </w:rPr>
        <w:t>adā negatīvi ietekmēja gan skarbie laikapstākļi ziemā, gan pandēmijas laikā noteiktie būvmateriālu tirdzniecības ierobežojumi 2021</w:t>
      </w:r>
      <w:r>
        <w:rPr>
          <w:noProof/>
        </w:rPr>
        <w:t>. g</w:t>
      </w:r>
      <w:r w:rsidRPr="00577E20">
        <w:rPr>
          <w:noProof/>
        </w:rPr>
        <w:t>ada sākumā un nogalē. Papildus slogs nozarei bija strauji augošās būvniecības izmaksas, kas sāka palielināties 2021</w:t>
      </w:r>
      <w:r>
        <w:rPr>
          <w:noProof/>
        </w:rPr>
        <w:t>. g</w:t>
      </w:r>
      <w:r w:rsidRPr="00577E20">
        <w:rPr>
          <w:noProof/>
        </w:rPr>
        <w:t>ada otrajā pusē. 2021</w:t>
      </w:r>
      <w:r>
        <w:rPr>
          <w:noProof/>
        </w:rPr>
        <w:t>. g</w:t>
      </w:r>
      <w:r w:rsidRPr="00577E20">
        <w:rPr>
          <w:noProof/>
        </w:rPr>
        <w:t>adā apjomu kritumu piedzīvoja visi būvniecības sektori, tostarp ēku būvniecība gada griezumā saruka par 10,5%, inženierbūvniecība samazinājās par 5,1%, bet specializētie būvdarbu apjomi bija par 2,7% mazāki kā gadu iepriekš. Savukārt 2022</w:t>
      </w:r>
      <w:r>
        <w:rPr>
          <w:noProof/>
        </w:rPr>
        <w:t>. g</w:t>
      </w:r>
      <w:r w:rsidRPr="00577E20">
        <w:rPr>
          <w:noProof/>
        </w:rPr>
        <w:t xml:space="preserve">ada deviņos mēnešos straujāko apjomu samazinājumu uzrādīja inženierbūvniecība (-14,3%), kam sekoja specializētie būvdarbi (-12,6%), bet ēku būvniecība saruka par 10,7%. </w:t>
      </w:r>
    </w:p>
    <w:p w14:paraId="507078D1" w14:textId="77777777" w:rsidR="00FA2AC6" w:rsidRPr="00CB677E" w:rsidRDefault="00FA2AC6" w:rsidP="00FA2AC6">
      <w:pPr>
        <w:pStyle w:val="Tabulasvirsraksts"/>
        <w:rPr>
          <w:iCs w:val="0"/>
        </w:rPr>
      </w:pPr>
      <w:r w:rsidRPr="00577E20">
        <w:rPr>
          <w:noProof/>
        </w:rPr>
        <w:lastRenderedPageBreak/>
        <w:drawing>
          <wp:inline distT="0" distB="0" distL="0" distR="0" wp14:anchorId="55EB7B00" wp14:editId="45DA9F8B">
            <wp:extent cx="5274310" cy="2466975"/>
            <wp:effectExtent l="0" t="0" r="2540" b="0"/>
            <wp:docPr id="6" name="Chart 6">
              <a:extLst xmlns:a="http://schemas.openxmlformats.org/drawingml/2006/main">
                <a:ext uri="{FF2B5EF4-FFF2-40B4-BE49-F238E27FC236}">
                  <a16:creationId xmlns:a16="http://schemas.microsoft.com/office/drawing/2014/main" id="{056B2CF1-DA62-BCA7-A417-FE939D26A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iCs w:val="0"/>
        </w:rPr>
        <w:t>5</w:t>
      </w:r>
      <w:r w:rsidRPr="00CB677E">
        <w:rPr>
          <w:iCs w:val="0"/>
        </w:rPr>
        <w:t>. attēls. Būvniecības nozares izlaides apjoms pa celtniecības darbu veidiem;</w:t>
      </w:r>
      <w:r w:rsidRPr="00CB677E">
        <w:rPr>
          <w:iCs w:val="0"/>
        </w:rPr>
        <w:br/>
        <w:t>indeksi salīdzināmās cenās pa ceturkšņiem un izmaiņas g/g</w:t>
      </w:r>
    </w:p>
    <w:p w14:paraId="4169E8C8" w14:textId="77777777" w:rsidR="00FA2AC6" w:rsidRPr="00577E20" w:rsidRDefault="00FA2AC6" w:rsidP="00FA2AC6">
      <w:r w:rsidRPr="00577E20">
        <w:t>2022</w:t>
      </w:r>
      <w:r>
        <w:t>. g</w:t>
      </w:r>
      <w:r w:rsidRPr="00577E20">
        <w:t>ada pirmajā pusgadā strauji turpināja palielināties būvniecības izmaksas, kopš aprīļa ik mēnesi pārsniedzot 20% pieaugumu pret pērnā gada attiecīgo mēnesi. Tik straujš izmaksu pieaugums ļoti negatīvi ietekmē būvniecības nozari. Būvniecības izmaksas šā gada pirmajā ceturksnī palielinājās par 16,7% gada griezumā, un otrajā ceturksnī izmaksu pieaugums turpinājās, sasniedzot 22% (</w:t>
      </w:r>
      <w:r>
        <w:t>6</w:t>
      </w:r>
      <w:r w:rsidRPr="00577E20">
        <w:t>. attēls)</w:t>
      </w:r>
      <w:r>
        <w:t>. Š</w:t>
      </w:r>
      <w:r w:rsidRPr="00577E20">
        <w:t>ā gada trešajā ceturksnī būvniecības izmaksu pieauguma temps ir nedaudz samazinājies līdz 20,6%, taču joprojām vērtējams kā ļoti augsts. Visstraujāk trešajā ceturksnī auga būvmateriālu izmaksas (+27,2%), ko ietekmēja Krievijai pēc iebrukuma Ukrainā noteiktās sankcijas, kuru rezultātā bija jāmeklē jauni metālu, kokmateriālu un citu būvmateriālu importa tirgi. Papildus sadārdzinājumu izraisa augošās energoresursu cenas, kas palielina būvmateriālu ražošanas izmaksas gan Latvijā, gan citur Eiropā. Par 18,1% augušas arī mašīnu un mehānismu uzturēšanas izmaksas, bet strādnieku darba samaksa palielinājusies par 10,1%. Nereti pasūtītāju un būvnieku noslēgtie līgumi darbu izpildes gaitā vairākas reizes ir jāpārskata, ko pieprasa būvniecības kompānijas, jo par līgumā norādītajiem naudas līdzekļiem būvobjektu vairs nav iespējams pabeigt. Pasūtītāji bieži vien nepiekrīt šādām izmaiņām līgumā un objekts var tikt iesaldēts uz nenoteiktu laiku. Laika gaitā vairums būvnieku ir pielāgojušies šādām cenu svārstībām, iestrādājot attiecīgus nosacījumus parakstāmajā līgumā, taču savu negatīvo ietekmi izmaksu svārstības uz nozari ir atstājušas.</w:t>
      </w:r>
    </w:p>
    <w:p w14:paraId="17141088" w14:textId="77777777" w:rsidR="00FA2AC6" w:rsidRPr="00CB677E" w:rsidRDefault="00FA2AC6" w:rsidP="00FA2AC6">
      <w:pPr>
        <w:pStyle w:val="Tabulasvirsraksts"/>
        <w:rPr>
          <w:rFonts w:eastAsia="Calibri"/>
          <w:iCs w:val="0"/>
        </w:rPr>
      </w:pPr>
      <w:r w:rsidRPr="00577E20">
        <w:rPr>
          <w:noProof/>
        </w:rPr>
        <w:drawing>
          <wp:inline distT="0" distB="0" distL="0" distR="0" wp14:anchorId="6F276A97" wp14:editId="56310D8D">
            <wp:extent cx="5274310" cy="2362200"/>
            <wp:effectExtent l="0" t="0" r="2540" b="0"/>
            <wp:docPr id="9" name="Chart 9">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eastAsia="Calibri"/>
          <w:iCs w:val="0"/>
        </w:rPr>
        <w:t>6</w:t>
      </w:r>
      <w:r w:rsidRPr="00CB677E">
        <w:rPr>
          <w:rFonts w:eastAsia="Calibri"/>
          <w:iCs w:val="0"/>
        </w:rPr>
        <w:t>. attēls. Būvniecības izmaksu pārmaiņas pret iepriekšējā gada attiecīgo ceturksni (%)</w:t>
      </w:r>
    </w:p>
    <w:p w14:paraId="41591A21" w14:textId="77777777" w:rsidR="00FA2AC6" w:rsidRPr="00577E20" w:rsidRDefault="00FA2AC6" w:rsidP="00B73A11">
      <w:r w:rsidRPr="00577E20">
        <w:t>Paredzamā platība izsniegtajās būvatļaujās 2021</w:t>
      </w:r>
      <w:r>
        <w:t>. g</w:t>
      </w:r>
      <w:r w:rsidRPr="00577E20">
        <w:t xml:space="preserve">adā pieauga par 26,6%, ko noteica straujais pieaugums trešajā ceturksnī, kad tika pieteikti daudzi publisko ēku būvniecības </w:t>
      </w:r>
      <w:r w:rsidRPr="00577E20">
        <w:lastRenderedPageBreak/>
        <w:t>projekti, savukārt 2022</w:t>
      </w:r>
      <w:r>
        <w:t>. </w:t>
      </w:r>
      <w:r>
        <w:rPr>
          <w:noProof/>
        </w:rPr>
        <w:t>g</w:t>
      </w:r>
      <w:r w:rsidRPr="00577E20">
        <w:rPr>
          <w:noProof/>
        </w:rPr>
        <w:t>ada deviņos mēnešos paredzamā platība būvatļaujās samazinājās par 34,1% (</w:t>
      </w:r>
      <w:r>
        <w:rPr>
          <w:noProof/>
        </w:rPr>
        <w:t>7</w:t>
      </w:r>
      <w:r w:rsidRPr="00577E20">
        <w:rPr>
          <w:noProof/>
        </w:rPr>
        <w:t>. attēls), kas saistīts galvenokārt ar augsto bāzi pērnā gada trešajā ceturksnī, kā arī</w:t>
      </w:r>
      <w:r>
        <w:rPr>
          <w:noProof/>
        </w:rPr>
        <w:t xml:space="preserve"> ar</w:t>
      </w:r>
      <w:r w:rsidRPr="00577E20">
        <w:rPr>
          <w:noProof/>
        </w:rPr>
        <w:t xml:space="preserve"> nestabilo situāciju būvniecības nozarē, kur būvniekiem pie tik izteiktām cenu svārstībām ir grūtības noteikt paredzamās būvniecības izmaksas jauniem projektiem. </w:t>
      </w:r>
      <w:r>
        <w:rPr>
          <w:noProof/>
        </w:rPr>
        <w:t>Šogad v</w:t>
      </w:r>
      <w:r w:rsidRPr="00577E20">
        <w:rPr>
          <w:noProof/>
        </w:rPr>
        <w:t>isvairāk sarukušas tieši ražošanas un plašizklaides pasākumu, izglītības un veselības aprūpes ēku pieteiktās platības, taču ievērojami augušas jaunajās</w:t>
      </w:r>
      <w:r w:rsidRPr="00577E20">
        <w:t xml:space="preserve"> būvatļaujās pieteiktās daudzdzīvokļu ēku platības.</w:t>
      </w:r>
    </w:p>
    <w:p w14:paraId="124C4D1E" w14:textId="77777777" w:rsidR="00FA2AC6" w:rsidRPr="0059154E" w:rsidRDefault="00FA2AC6" w:rsidP="00FA2AC6">
      <w:pPr>
        <w:pStyle w:val="Tabulasvirsraksts"/>
        <w:rPr>
          <w:rFonts w:eastAsia="Calibri"/>
          <w:iCs w:val="0"/>
          <w:vertAlign w:val="superscript"/>
        </w:rPr>
      </w:pPr>
      <w:r w:rsidRPr="0059154E">
        <w:rPr>
          <w:b w:val="0"/>
          <w:bCs/>
          <w:noProof/>
          <w:sz w:val="18"/>
          <w:szCs w:val="18"/>
        </w:rPr>
        <w:drawing>
          <wp:inline distT="0" distB="0" distL="0" distR="0" wp14:anchorId="32E1CD3D" wp14:editId="1B8B7009">
            <wp:extent cx="5274310" cy="2225675"/>
            <wp:effectExtent l="0" t="0" r="2540" b="3175"/>
            <wp:docPr id="10" name="Chart 10">
              <a:extLst xmlns:a="http://schemas.openxmlformats.org/drawingml/2006/main">
                <a:ext uri="{FF2B5EF4-FFF2-40B4-BE49-F238E27FC236}">
                  <a16:creationId xmlns:a16="http://schemas.microsoft.com/office/drawing/2014/main" id="{00000000-0008-0000-07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eastAsia="Calibri"/>
          <w:iCs w:val="0"/>
        </w:rPr>
        <w:t>7</w:t>
      </w:r>
      <w:r w:rsidRPr="0059154E">
        <w:rPr>
          <w:rFonts w:eastAsia="Calibri"/>
          <w:iCs w:val="0"/>
        </w:rPr>
        <w:t>. attēls. Izdotajās būvatļaujās paredzamā platība pa ēku veidiem (tūkst. km</w:t>
      </w:r>
      <w:r w:rsidRPr="0059154E">
        <w:rPr>
          <w:rFonts w:eastAsia="Calibri"/>
          <w:iCs w:val="0"/>
          <w:vertAlign w:val="superscript"/>
        </w:rPr>
        <w:t>2</w:t>
      </w:r>
      <w:r w:rsidRPr="0059154E">
        <w:rPr>
          <w:rFonts w:eastAsia="Calibri"/>
          <w:iCs w:val="0"/>
        </w:rPr>
        <w:t>)</w:t>
      </w:r>
    </w:p>
    <w:p w14:paraId="229EFE06" w14:textId="77777777" w:rsidR="00FA2AC6" w:rsidRPr="00577E20" w:rsidRDefault="00FA2AC6" w:rsidP="00FA2AC6">
      <w:r w:rsidRPr="00577E20">
        <w:t xml:space="preserve">Būvniecības nozarē situācija joprojām ir nestabila, taču straujais būvniecības izmaksu pieaugums pakāpeniski mazināsies un nozarei pozitīvu devumu nesīs arī Eiropas Savienības fondu līdzekļu realizācija. Pašlaik </w:t>
      </w:r>
      <w:r w:rsidRPr="00577E20">
        <w:rPr>
          <w:noProof/>
        </w:rPr>
        <w:t xml:space="preserve">turpinās </w:t>
      </w:r>
      <w:r w:rsidRPr="00577E20">
        <w:rPr>
          <w:i/>
          <w:iCs/>
          <w:noProof/>
        </w:rPr>
        <w:t>RailBaltica</w:t>
      </w:r>
      <w:r w:rsidRPr="00577E20">
        <w:rPr>
          <w:noProof/>
        </w:rPr>
        <w:t xml:space="preserve"> projekta īsten</w:t>
      </w:r>
      <w:r w:rsidRPr="00577E20">
        <w:t xml:space="preserve">ošana, vairāku daudzdzīvokļu namu kompleksu būvniecība, notiek apjomīgi būvdarbi Latvijas lielākajās slimnīcās. </w:t>
      </w:r>
      <w:bookmarkStart w:id="8" w:name="_Hlk121770599"/>
      <w:r w:rsidRPr="00577E20">
        <w:t xml:space="preserve">Taču negatīvu </w:t>
      </w:r>
      <w:r>
        <w:t>ietekmi</w:t>
      </w:r>
      <w:r w:rsidRPr="00577E20">
        <w:t xml:space="preserve"> šā gada pēdējā ceturksnī </w:t>
      </w:r>
      <w:r>
        <w:t>atstās</w:t>
      </w:r>
      <w:r w:rsidRPr="00577E20">
        <w:t xml:space="preserve"> laikapstākļi, </w:t>
      </w:r>
      <w:r>
        <w:t>kad</w:t>
      </w:r>
      <w:r w:rsidRPr="00577E20">
        <w:t xml:space="preserve"> decembra sākumā iestājoties ziemai un zemi noklājot sniega kārtai, vairums āra būvdarbu tiek apturēti.</w:t>
      </w:r>
      <w:bookmarkEnd w:id="8"/>
    </w:p>
    <w:p w14:paraId="0A1EB40E" w14:textId="77777777" w:rsidR="00FA2AC6" w:rsidRDefault="00FA2AC6" w:rsidP="00B73A11">
      <w:pPr>
        <w:spacing w:before="240"/>
      </w:pPr>
      <w:r w:rsidRPr="0075710D">
        <w:rPr>
          <w:b/>
          <w:bCs/>
        </w:rPr>
        <w:t>Transporta un uzglabāšanas nozare</w:t>
      </w:r>
      <w:r w:rsidRPr="0075710D">
        <w:t xml:space="preserve">, kas bija viena no </w:t>
      </w:r>
      <w:r>
        <w:t>Covid</w:t>
      </w:r>
      <w:r>
        <w:noBreakHyphen/>
        <w:t>19</w:t>
      </w:r>
      <w:r w:rsidRPr="0075710D">
        <w:t xml:space="preserve"> smagāk skartajām nozarēm, pēc 2020</w:t>
      </w:r>
      <w:r>
        <w:t>. gad</w:t>
      </w:r>
      <w:r w:rsidRPr="0075710D">
        <w:t xml:space="preserve">ā piedzīvotā </w:t>
      </w:r>
      <w:r>
        <w:t>20,2</w:t>
      </w:r>
      <w:r w:rsidRPr="0075710D">
        <w:t xml:space="preserve">% krituma pērn palielinājās par </w:t>
      </w:r>
      <w:r>
        <w:t>9,9</w:t>
      </w:r>
      <w:r w:rsidRPr="0075710D">
        <w:t>%, sākot atjaunoties aviopārvadājumu apjomiem, kā arī augot kravu pārvadājumiem autotransportā. Vienlaikus nozares attīstību turpināja negatīvi ietekmēt Krievijas kravu tranzīta samazināšanās caur Latvijas ostām un saruka arī pasažieru sauszemes pārvadājumi Latvijas teritorijā.</w:t>
      </w:r>
      <w:r>
        <w:t xml:space="preserve"> </w:t>
      </w:r>
    </w:p>
    <w:p w14:paraId="56EE332F" w14:textId="77777777" w:rsidR="00FA2AC6" w:rsidRPr="0075710D" w:rsidRDefault="00FA2AC6" w:rsidP="00FA2AC6">
      <w:r>
        <w:t>P</w:t>
      </w:r>
      <w:r w:rsidRPr="0075710D">
        <w:t>asažieru skaits lidostā “Rīga” 2021</w:t>
      </w:r>
      <w:r>
        <w:t>. gad</w:t>
      </w:r>
      <w:r w:rsidRPr="0075710D">
        <w:t xml:space="preserve">ā, salīdzinot ar iepriekšējo gadu, palielinājās par 17,0% un sasniedza 2,3 miljonus, tomēr joprojām bija 3,3 reizes mazāks nekā pirms </w:t>
      </w:r>
      <w:r>
        <w:t>Covid</w:t>
      </w:r>
      <w:r>
        <w:noBreakHyphen/>
        <w:t>19</w:t>
      </w:r>
      <w:r w:rsidRPr="0075710D">
        <w:t xml:space="preserve"> pandēmijas 2019</w:t>
      </w:r>
      <w:r>
        <w:t>. gad</w:t>
      </w:r>
      <w:r w:rsidRPr="0075710D">
        <w:t xml:space="preserve">ā. Kravu apgrozība autopārvadājumos pērn palielinājās par 10,2%, dodot būtisku ieguldījumu transporta nozares kopējā izaugsmē, bet pasažieru skaits sauszemes transportā </w:t>
      </w:r>
      <w:r>
        <w:t>Covid</w:t>
      </w:r>
      <w:r>
        <w:noBreakHyphen/>
        <w:t>19</w:t>
      </w:r>
      <w:r w:rsidRPr="0075710D">
        <w:t xml:space="preserve"> ietekmē saruka par 16,6%. Joprojām turpinot samazināties Krievijas kravu tranzītam, ostās pārkrauto kravu apjoms pērn kritās par 7,0%, tajā skaitā ogļu kravām sarūkot par 48,9% un naftas produktu kravām – par 25,9%. Dzelzceļā pārvadāto kravu apjoms 2021</w:t>
      </w:r>
      <w:r>
        <w:t>. gad</w:t>
      </w:r>
      <w:r w:rsidRPr="0075710D">
        <w:t>ā bija par 9,5% mazāks nekā pirms gada.</w:t>
      </w:r>
    </w:p>
    <w:p w14:paraId="0B2E7176" w14:textId="77777777" w:rsidR="00FA2AC6" w:rsidRPr="0075710D" w:rsidRDefault="00FA2AC6" w:rsidP="00FA2AC6">
      <w:r>
        <w:t>2022. gadā</w:t>
      </w:r>
      <w:r w:rsidRPr="0075710D">
        <w:t xml:space="preserve"> transporta nozares attīstību vienlaikus ietekmē gan pasažieru pārvadājumu atjaunošanās pēc pandēmijas laika </w:t>
      </w:r>
      <w:r w:rsidRPr="0075710D">
        <w:rPr>
          <w:noProof/>
        </w:rPr>
        <w:t>ierobežojumiem, gan karš Ukrainā un tirdzniecības sakaru apturēšana ar Krieviju un Baltkrieviju, gan globālā energokrīze, radot</w:t>
      </w:r>
      <w:r w:rsidRPr="0075710D">
        <w:t xml:space="preserve"> izmaiņas atsevišķu preču pieprasījumā un kravu plūsmās un virzienos</w:t>
      </w:r>
      <w:r>
        <w:t>. Gad</w:t>
      </w:r>
      <w:r w:rsidRPr="0075710D">
        <w:t xml:space="preserve">a </w:t>
      </w:r>
      <w:r>
        <w:t>pirmajos trīs ceturkšņos</w:t>
      </w:r>
      <w:r w:rsidRPr="0075710D">
        <w:t xml:space="preserve"> nozares pievienotā vērtība salīdzinājumā ar pagājušā gada attiecīgo periodu palielinājās par </w:t>
      </w:r>
      <w:r>
        <w:t>1,7</w:t>
      </w:r>
      <w:r w:rsidRPr="0075710D">
        <w:t>%, ko noteica aviosatiksmes atjaunošanās un pasažieru skaita pieaugums sauszemes transportā, kā arī neliels kravu tranzīta plūsmas palielinājums caur Latvijas ostām. Savukārt kravu autopārvadājumos bija vērojama lejupslīde, ko noteica pārvadājumu apjomu sarukums ārvalstīs, tajā skaitā nelabvēlīgāks autovadītāju darba regulējums Eiropas Savienības valstīs.</w:t>
      </w:r>
    </w:p>
    <w:p w14:paraId="0FC3781D" w14:textId="77777777" w:rsidR="00FA2AC6" w:rsidRPr="0075710D" w:rsidRDefault="00FA2AC6" w:rsidP="00FA2AC6">
      <w:r w:rsidRPr="0075710D">
        <w:lastRenderedPageBreak/>
        <w:t xml:space="preserve">Ar Krievijas tranzītu tieši saistīto naftas produktu kravu īpatsvars Latvijas ostās </w:t>
      </w:r>
      <w:r>
        <w:t>2021. gadā</w:t>
      </w:r>
      <w:r w:rsidRPr="0075710D">
        <w:t xml:space="preserve"> bija 19,5%, bet ogļu kravu īpatsvars bija sarucis līdz 4,2%. 2022</w:t>
      </w:r>
      <w:r>
        <w:t>. gad</w:t>
      </w:r>
      <w:r w:rsidRPr="0075710D">
        <w:t xml:space="preserve">a </w:t>
      </w:r>
      <w:r>
        <w:t>pirmajos desmit mēnešos kopā</w:t>
      </w:r>
      <w:r w:rsidRPr="0075710D">
        <w:t xml:space="preserve"> ogļu kravu apjomi Latvijas tranzīta koridorā </w:t>
      </w:r>
      <w:r>
        <w:t xml:space="preserve">ievērojami </w:t>
      </w:r>
      <w:r w:rsidRPr="0075710D">
        <w:t>palielinājās, ko noteica gan darījumu pabeigšana pirms Krievijai noteikto sankciju stāšanās spēkā, gan kravu plūsmas pieaugums no Vidusāzijas un augošais pieprasījums pēc oglēm Eiropas tirgū. Savukārt naftas kravu apjomi turpināja kristies. Kopumā 2022</w:t>
      </w:r>
      <w:r>
        <w:t>. gad</w:t>
      </w:r>
      <w:r w:rsidRPr="0075710D">
        <w:t>a pirmaj</w:t>
      </w:r>
      <w:r>
        <w:t>os desmit mēnešos</w:t>
      </w:r>
      <w:r w:rsidRPr="0075710D">
        <w:t xml:space="preserve"> kravu apgrozījums ostās bija par </w:t>
      </w:r>
      <w:r>
        <w:t>16</w:t>
      </w:r>
      <w:r w:rsidRPr="0075710D">
        <w:t>,</w:t>
      </w:r>
      <w:r>
        <w:t>0</w:t>
      </w:r>
      <w:r w:rsidRPr="0075710D">
        <w:t xml:space="preserve">% lielāks nekā pirms gada, bet kravu apjomi dzelzceļā bija palielinājušies par </w:t>
      </w:r>
      <w:r>
        <w:t>1,9</w:t>
      </w:r>
      <w:r w:rsidRPr="0075710D">
        <w:t>%</w:t>
      </w:r>
      <w:r>
        <w:t>. T</w:t>
      </w:r>
      <w:r w:rsidRPr="0075710D">
        <w:t>aču</w:t>
      </w:r>
      <w:r>
        <w:t xml:space="preserve"> pēdējo mēnešu dati jau uzrāda būtisku kravu apjomu kritumu dzelzceļā, kur oktobrī pārvadāto kravu apjoms bija par 44,8% mazāks nekā attiecīgajā mēnesī pirms gada.</w:t>
      </w:r>
    </w:p>
    <w:p w14:paraId="58E3A582" w14:textId="77777777" w:rsidR="00FA2AC6" w:rsidRDefault="00FA2AC6" w:rsidP="00FA2AC6">
      <w:r>
        <w:t>P</w:t>
      </w:r>
      <w:r w:rsidRPr="0075710D">
        <w:t xml:space="preserve">asažieru skaits lidostā Rīgā </w:t>
      </w:r>
      <w:r>
        <w:t>2022. gadā ievērojami pārsniedz</w:t>
      </w:r>
      <w:r w:rsidRPr="0075710D">
        <w:t xml:space="preserve"> pērnā gada līmeni – gada pirmaj</w:t>
      </w:r>
      <w:r>
        <w:t>os desmit mēnešos</w:t>
      </w:r>
      <w:r w:rsidRPr="0075710D">
        <w:t xml:space="preserve"> apkalpoti </w:t>
      </w:r>
      <w:r>
        <w:t>3,4</w:t>
      </w:r>
      <w:r w:rsidRPr="0075710D">
        <w:t xml:space="preserve"> miljoni pasažieru, kas bija </w:t>
      </w:r>
      <w:r>
        <w:t>2,5</w:t>
      </w:r>
      <w:r w:rsidRPr="0075710D">
        <w:t xml:space="preserve"> </w:t>
      </w:r>
      <w:r>
        <w:t xml:space="preserve">reizes </w:t>
      </w:r>
      <w:r w:rsidRPr="0075710D">
        <w:t>vairāk nekā 2021</w:t>
      </w:r>
      <w:r>
        <w:t>. gad</w:t>
      </w:r>
      <w:r w:rsidRPr="0075710D">
        <w:t xml:space="preserve">a </w:t>
      </w:r>
      <w:r>
        <w:t>attiecīgajā periodā</w:t>
      </w:r>
      <w:r w:rsidRPr="0075710D">
        <w:t>, bet pasažieru skaits sauszemes transportā</w:t>
      </w:r>
      <w:r>
        <w:t xml:space="preserve"> gada pirmajos trīs ceturkšņos</w:t>
      </w:r>
      <w:r w:rsidRPr="0075710D">
        <w:t xml:space="preserve"> salīdzinājumā ar </w:t>
      </w:r>
      <w:r>
        <w:t xml:space="preserve">attiecīgo periodu pirms gada </w:t>
      </w:r>
      <w:r w:rsidRPr="0075710D">
        <w:t xml:space="preserve">palielinājies par </w:t>
      </w:r>
      <w:r>
        <w:t>24,1</w:t>
      </w:r>
      <w:r w:rsidRPr="0075710D">
        <w:t>%. Nedaudz no pagājušā gada līmeņa atpaliek kravu autopārvadājumi, kur kravu apgrozība 2022</w:t>
      </w:r>
      <w:r>
        <w:t>. gad</w:t>
      </w:r>
      <w:r w:rsidRPr="0075710D">
        <w:t xml:space="preserve">a </w:t>
      </w:r>
      <w:r>
        <w:t>pirmajos trīs ceturkšņos</w:t>
      </w:r>
      <w:r w:rsidRPr="0075710D">
        <w:t xml:space="preserve"> bijusi par </w:t>
      </w:r>
      <w:r>
        <w:t>4,4</w:t>
      </w:r>
      <w:r w:rsidRPr="0075710D">
        <w:t xml:space="preserve">% mazāka nekā pirms gada. </w:t>
      </w:r>
    </w:p>
    <w:p w14:paraId="3051562D" w14:textId="77777777" w:rsidR="00FA2AC6" w:rsidRDefault="00FA2AC6" w:rsidP="00FA2AC6">
      <w:r>
        <w:t>K</w:t>
      </w:r>
      <w:r w:rsidRPr="0075710D">
        <w:t>opumā transporta nozares apjomi šogad varētu saglabāties pagājušā gada līmenī</w:t>
      </w:r>
      <w:r>
        <w:t xml:space="preserve"> un arī 2023. gadā </w:t>
      </w:r>
      <w:r>
        <w:rPr>
          <w:noProof/>
        </w:rPr>
        <w:t>nav prognozējams pieaugums. N</w:t>
      </w:r>
      <w:r w:rsidRPr="0075710D">
        <w:rPr>
          <w:noProof/>
        </w:rPr>
        <w:t xml:space="preserve">ākamajos </w:t>
      </w:r>
      <w:r>
        <w:rPr>
          <w:noProof/>
        </w:rPr>
        <w:t xml:space="preserve">divos </w:t>
      </w:r>
      <w:r w:rsidRPr="0075710D">
        <w:rPr>
          <w:noProof/>
        </w:rPr>
        <w:t>gados</w:t>
      </w:r>
      <w:r>
        <w:rPr>
          <w:noProof/>
        </w:rPr>
        <w:t>,</w:t>
      </w:r>
      <w:r w:rsidRPr="0075710D">
        <w:rPr>
          <w:noProof/>
        </w:rPr>
        <w:t xml:space="preserve"> </w:t>
      </w:r>
      <w:r>
        <w:rPr>
          <w:noProof/>
        </w:rPr>
        <w:t xml:space="preserve">ekonomikas attīstībai </w:t>
      </w:r>
      <w:r w:rsidRPr="0075710D">
        <w:rPr>
          <w:noProof/>
        </w:rPr>
        <w:t xml:space="preserve">paātrinoties, </w:t>
      </w:r>
      <w:r>
        <w:rPr>
          <w:noProof/>
        </w:rPr>
        <w:t xml:space="preserve">izaugsme transporta nozarē varētu kļūt straujāka, </w:t>
      </w:r>
      <w:r w:rsidRPr="0075710D">
        <w:rPr>
          <w:noProof/>
        </w:rPr>
        <w:t>2024</w:t>
      </w:r>
      <w:r>
        <w:rPr>
          <w:noProof/>
        </w:rPr>
        <w:t>. gad</w:t>
      </w:r>
      <w:r w:rsidRPr="0075710D">
        <w:rPr>
          <w:noProof/>
        </w:rPr>
        <w:t>ā atgriezties pirmspandēmijas</w:t>
      </w:r>
      <w:r w:rsidRPr="0075710D">
        <w:t>, 2019</w:t>
      </w:r>
      <w:r>
        <w:t>. gad</w:t>
      </w:r>
      <w:r w:rsidRPr="0075710D">
        <w:t>a līmenī.</w:t>
      </w:r>
    </w:p>
    <w:p w14:paraId="7F310BB6" w14:textId="77777777" w:rsidR="00FA2AC6" w:rsidRDefault="00FA2AC6" w:rsidP="00772992">
      <w:pPr>
        <w:spacing w:before="240"/>
      </w:pPr>
      <w:r w:rsidRPr="00E45787">
        <w:t xml:space="preserve">Pēc iepriekšējos gados </w:t>
      </w:r>
      <w:r w:rsidRPr="00E45787">
        <w:rPr>
          <w:b/>
          <w:bCs/>
        </w:rPr>
        <w:t>finanšu un apdrošināšanas nozarē</w:t>
      </w:r>
      <w:r w:rsidRPr="00E45787">
        <w:t xml:space="preserve"> vērotā pievienotās vērtības krituma, 2021</w:t>
      </w:r>
      <w:r>
        <w:t>. gad</w:t>
      </w:r>
      <w:r w:rsidRPr="00E45787">
        <w:t>s bija ievērojami labvēlīgāks. Nozares pievienotā vērtība salīdzināmās cenās palielinājās par 19,8%, un tās īpatsvars kopējā pievienotajā vērtībā pieauga līdz 3,6% pretstatā 3,1% gadu iepriekš. Līdzīga tendence saglabāj</w:t>
      </w:r>
      <w:r>
        <w:t>ā</w:t>
      </w:r>
      <w:r w:rsidRPr="00E45787">
        <w:t>s arī 2022</w:t>
      </w:r>
      <w:r>
        <w:t>. gad</w:t>
      </w:r>
      <w:r w:rsidRPr="00E45787">
        <w:t>a pirmajā pusē un pēc nozares darbības efektivitātes uzlabošanās 2021</w:t>
      </w:r>
      <w:r>
        <w:t>. gad</w:t>
      </w:r>
      <w:r w:rsidRPr="00E45787">
        <w:t>ā, sasniegtais līmenis varētu saglabāties arī 2022. un 2023</w:t>
      </w:r>
      <w:r>
        <w:t>. gad</w:t>
      </w:r>
      <w:r w:rsidRPr="00E45787">
        <w:t xml:space="preserve">ā. </w:t>
      </w:r>
    </w:p>
    <w:p w14:paraId="179B3D88" w14:textId="77777777" w:rsidR="00FA2AC6" w:rsidRPr="00E45787" w:rsidRDefault="00FA2AC6" w:rsidP="00FA2AC6">
      <w:r>
        <w:t xml:space="preserve">2022. gada pirmajos trīs ceturkšņos  </w:t>
      </w:r>
      <w:r w:rsidRPr="008B1193">
        <w:t>finanšu un apdrošināšanas nozarē</w:t>
      </w:r>
      <w:r w:rsidRPr="00E45787">
        <w:t xml:space="preserve"> </w:t>
      </w:r>
      <w:r>
        <w:t>bija</w:t>
      </w:r>
      <w:r w:rsidRPr="00E45787">
        <w:t xml:space="preserve"> neliels</w:t>
      </w:r>
      <w:r>
        <w:t xml:space="preserve"> 0,7%</w:t>
      </w:r>
      <w:r w:rsidRPr="00E45787">
        <w:t xml:space="preserve"> </w:t>
      </w:r>
      <w:r>
        <w:t>pieaugums</w:t>
      </w:r>
      <w:r w:rsidRPr="00E45787">
        <w:t xml:space="preserve"> pret 2021</w:t>
      </w:r>
      <w:r>
        <w:t>. gad</w:t>
      </w:r>
      <w:r w:rsidRPr="00E45787">
        <w:t xml:space="preserve">a </w:t>
      </w:r>
      <w:r>
        <w:t>attiecīgo periodu un v</w:t>
      </w:r>
      <w:r w:rsidRPr="00E45787">
        <w:t xml:space="preserve">ar uzskatīt, ka pēc iepriekšējo gadu lejupslīdes, ko nozarē noteica strukturālās izmaiņas, kas saistītas ar atteikšanos no riskantu nerezidentu apkalpošanas un vēlāk arī ar </w:t>
      </w:r>
      <w:r>
        <w:t>Covid</w:t>
      </w:r>
      <w:r>
        <w:noBreakHyphen/>
        <w:t>19</w:t>
      </w:r>
      <w:r w:rsidRPr="00E45787">
        <w:t xml:space="preserve"> izraisīto krīzi, nozares darbība ir stabilizējusies. Nākamie periodi būs izaicinājums turpināt nospraustos mērķus un nepieļaut atkārtotu kritumu nozarē, kas varētu būt saistīts ar Krievijas izraisīto karu Ukrainā, inflācijas kāpumu un iespējamo kredītu kvalitātes pasliktināšanos.</w:t>
      </w:r>
    </w:p>
    <w:p w14:paraId="399439FD" w14:textId="77777777" w:rsidR="00FA2AC6" w:rsidRPr="00E45787" w:rsidRDefault="00FA2AC6" w:rsidP="00FA2AC6">
      <w:r w:rsidRPr="00E45787">
        <w:t>Skatoties uz banku bilanču datiem, jāsecina, ka līdz 2022</w:t>
      </w:r>
      <w:r>
        <w:t>. gad</w:t>
      </w:r>
      <w:r w:rsidRPr="00E45787">
        <w:t xml:space="preserve">a </w:t>
      </w:r>
      <w:r>
        <w:t>oktobra beigām</w:t>
      </w:r>
      <w:r w:rsidRPr="00E45787">
        <w:t xml:space="preserve"> banku darbība ir bijusi stabila un bankas ir spējušas īstenot nospraustos mērķus. Kopš 2016</w:t>
      </w:r>
      <w:r>
        <w:t>. gad</w:t>
      </w:r>
      <w:r w:rsidRPr="00E45787">
        <w:t>a sākuma, kad nerezidentu noguldījumu apjoms bija vislielākais, tas ir turpinājis samazināties, turpretī rezidentu noguldījumu apjoms ir pastāvīgi pieaudzis (</w:t>
      </w:r>
      <w:r>
        <w:t>8. att</w:t>
      </w:r>
      <w:r w:rsidRPr="00E45787">
        <w:t>ēls)</w:t>
      </w:r>
      <w:r>
        <w:t>. g</w:t>
      </w:r>
      <w:r w:rsidRPr="00E45787">
        <w:t xml:space="preserve">an </w:t>
      </w:r>
      <w:r>
        <w:t>Covid</w:t>
      </w:r>
      <w:r>
        <w:noBreakHyphen/>
        <w:t>19</w:t>
      </w:r>
      <w:r w:rsidRPr="00E45787">
        <w:t xml:space="preserve"> krīze, gan Krievijas izraisītais karš banku nozari līdz šim ir ietekmējis minimāli. Banku 2022</w:t>
      </w:r>
      <w:r>
        <w:t>. gad</w:t>
      </w:r>
      <w:r w:rsidRPr="00E45787">
        <w:t xml:space="preserve">a </w:t>
      </w:r>
      <w:r>
        <w:t xml:space="preserve">pārskata perioda tekošie </w:t>
      </w:r>
      <w:r w:rsidRPr="00E45787">
        <w:t xml:space="preserve">peļņas rādītāji </w:t>
      </w:r>
      <w:r>
        <w:t>līdz oktobra beigām ir</w:t>
      </w:r>
      <w:r w:rsidRPr="00E45787">
        <w:t xml:space="preserve"> bijuši par aptuveni </w:t>
      </w:r>
      <w:r>
        <w:t>14</w:t>
      </w:r>
      <w:r w:rsidRPr="00E45787">
        <w:t>% lielāki nekā</w:t>
      </w:r>
      <w:r>
        <w:t xml:space="preserve"> </w:t>
      </w:r>
      <w:r w:rsidRPr="00E45787">
        <w:t>2021</w:t>
      </w:r>
      <w:r>
        <w:t>. gad</w:t>
      </w:r>
      <w:r w:rsidRPr="00E45787">
        <w:t xml:space="preserve">a </w:t>
      </w:r>
      <w:r>
        <w:t>šādā pašā periodā.</w:t>
      </w:r>
      <w:r w:rsidRPr="00E45787">
        <w:t xml:space="preserve"> </w:t>
      </w:r>
      <w:r>
        <w:t xml:space="preserve">ECB bāzes procentu likmju celšana ir nodrošinājusi bankām lielākus procentu ieņēmumus, un šie ieņēmumi var kalpot arī kā drošības spilvens uzkrājumiem nedrošiem kredītiem nākotnē. </w:t>
      </w:r>
      <w:r w:rsidRPr="00E45787">
        <w:t xml:space="preserve">Taču, ņemot vērā banku sistēmas augsto kapitalizāciju, </w:t>
      </w:r>
      <w:r>
        <w:t xml:space="preserve">iespējamam kredītu kvalitātes pasliktinājumam </w:t>
      </w:r>
      <w:r w:rsidRPr="00E45787">
        <w:t>nevajadzētu atstāt būtisku ietekmi uz banku nozares darbību kopumā ilgtermiņā.</w:t>
      </w:r>
    </w:p>
    <w:p w14:paraId="2C397B02" w14:textId="7A40C42C" w:rsidR="00FA2AC6" w:rsidRDefault="00FA2AC6" w:rsidP="00FA2AC6">
      <w:pPr>
        <w:pStyle w:val="Tabulasvirsraksts"/>
        <w:rPr>
          <w:rFonts w:eastAsia="Calibri"/>
          <w:iCs w:val="0"/>
          <w:noProof/>
        </w:rPr>
      </w:pPr>
      <w:r>
        <w:rPr>
          <w:noProof/>
        </w:rPr>
        <w:lastRenderedPageBreak/>
        <w:drawing>
          <wp:inline distT="0" distB="0" distL="0" distR="0" wp14:anchorId="4F55B8B3" wp14:editId="269B840B">
            <wp:extent cx="5029200" cy="1962484"/>
            <wp:effectExtent l="0" t="0" r="0" b="0"/>
            <wp:docPr id="11" name="Chart 11">
              <a:extLst xmlns:a="http://schemas.openxmlformats.org/drawingml/2006/main">
                <a:ext uri="{FF2B5EF4-FFF2-40B4-BE49-F238E27FC236}">
                  <a16:creationId xmlns:a16="http://schemas.microsoft.com/office/drawing/2014/main" id="{6D3B48E5-0C3F-42D3-9206-447C37108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eastAsia="Calibri"/>
          <w:i/>
        </w:rPr>
        <w:br/>
      </w:r>
      <w:r>
        <w:rPr>
          <w:rFonts w:eastAsia="Calibri"/>
          <w:iCs w:val="0"/>
        </w:rPr>
        <w:t>8</w:t>
      </w:r>
      <w:r w:rsidRPr="0059154E">
        <w:rPr>
          <w:rFonts w:eastAsia="Calibri"/>
          <w:iCs w:val="0"/>
        </w:rPr>
        <w:t>. attēls. Nerezidentu un rezidentu noguldījumi Latvijas bankās (milj</w:t>
      </w:r>
      <w:r w:rsidRPr="0059154E">
        <w:rPr>
          <w:rFonts w:eastAsia="Calibri"/>
          <w:iCs w:val="0"/>
          <w:noProof/>
        </w:rPr>
        <w:t xml:space="preserve">. </w:t>
      </w:r>
      <w:r w:rsidRPr="00985E60">
        <w:rPr>
          <w:rFonts w:eastAsia="Calibri"/>
          <w:i/>
          <w:noProof/>
        </w:rPr>
        <w:t>euro</w:t>
      </w:r>
      <w:r w:rsidRPr="0059154E">
        <w:rPr>
          <w:rFonts w:eastAsia="Calibri"/>
          <w:iCs w:val="0"/>
          <w:noProof/>
        </w:rPr>
        <w:t>)</w:t>
      </w:r>
    </w:p>
    <w:p w14:paraId="3430B679" w14:textId="77777777" w:rsidR="00FA2AC6" w:rsidRDefault="00FA2AC6" w:rsidP="00FA2AC6">
      <w:pPr>
        <w:rPr>
          <w:noProof/>
        </w:rPr>
      </w:pPr>
      <w:r w:rsidRPr="00E45787">
        <w:rPr>
          <w:noProof/>
        </w:rPr>
        <w:t xml:space="preserve">Aplūkojot jaunizsniegto kredītu segmentu, jāsecina, ka izaugsme vērojama arī tajā visu aizņēmēju kategorijās. Šā gada </w:t>
      </w:r>
      <w:r>
        <w:rPr>
          <w:noProof/>
        </w:rPr>
        <w:t>desmit</w:t>
      </w:r>
      <w:r w:rsidRPr="00E45787">
        <w:rPr>
          <w:noProof/>
        </w:rPr>
        <w:t xml:space="preserve"> mēnešos visstraujākais pieaugums ir vērojams patēriņa kredītiem mājsaimniecībām – par 5</w:t>
      </w:r>
      <w:r>
        <w:rPr>
          <w:noProof/>
        </w:rPr>
        <w:t>1</w:t>
      </w:r>
      <w:r w:rsidRPr="00E45787">
        <w:rPr>
          <w:noProof/>
        </w:rPr>
        <w:t>,5%, salīdzinot ar 2021</w:t>
      </w:r>
      <w:r>
        <w:rPr>
          <w:noProof/>
        </w:rPr>
        <w:t>. gad</w:t>
      </w:r>
      <w:r w:rsidRPr="00E45787">
        <w:rPr>
          <w:noProof/>
        </w:rPr>
        <w:t xml:space="preserve">a </w:t>
      </w:r>
      <w:r>
        <w:rPr>
          <w:noProof/>
        </w:rPr>
        <w:t>desmit</w:t>
      </w:r>
      <w:r w:rsidRPr="00E45787">
        <w:rPr>
          <w:noProof/>
        </w:rPr>
        <w:t xml:space="preserve"> mēnešiem, savukārt jaunizsniegtie mājokļa kredīti auguši tikai par </w:t>
      </w:r>
      <w:r>
        <w:rPr>
          <w:noProof/>
        </w:rPr>
        <w:t>5</w:t>
      </w:r>
      <w:r w:rsidRPr="00E45787">
        <w:rPr>
          <w:noProof/>
        </w:rPr>
        <w:t>,</w:t>
      </w:r>
      <w:r>
        <w:rPr>
          <w:noProof/>
        </w:rPr>
        <w:t>4</w:t>
      </w:r>
      <w:r w:rsidRPr="00E45787">
        <w:rPr>
          <w:noProof/>
        </w:rPr>
        <w:t>%. Arī nefinanšu sabiedrībām no jauna izsniegtie kredīti š</w:t>
      </w:r>
      <w:r>
        <w:rPr>
          <w:noProof/>
        </w:rPr>
        <w:t xml:space="preserve">ā </w:t>
      </w:r>
      <w:r w:rsidRPr="00E45787">
        <w:rPr>
          <w:noProof/>
        </w:rPr>
        <w:t>g</w:t>
      </w:r>
      <w:r>
        <w:rPr>
          <w:noProof/>
        </w:rPr>
        <w:t>ada</w:t>
      </w:r>
      <w:r w:rsidRPr="00E45787">
        <w:rPr>
          <w:noProof/>
        </w:rPr>
        <w:t xml:space="preserve"> janvārī - </w:t>
      </w:r>
      <w:r>
        <w:rPr>
          <w:noProof/>
        </w:rPr>
        <w:t>oktobrī</w:t>
      </w:r>
      <w:r w:rsidRPr="00E45787">
        <w:rPr>
          <w:noProof/>
        </w:rPr>
        <w:t xml:space="preserve"> ir auguši par </w:t>
      </w:r>
      <w:r>
        <w:rPr>
          <w:noProof/>
        </w:rPr>
        <w:t>49,7</w:t>
      </w:r>
      <w:r w:rsidRPr="00E45787">
        <w:rPr>
          <w:noProof/>
        </w:rPr>
        <w:t>%, salīdzinot ar tādu pašu periodu pērn (</w:t>
      </w:r>
      <w:r>
        <w:rPr>
          <w:noProof/>
        </w:rPr>
        <w:t>9. att</w:t>
      </w:r>
      <w:r w:rsidRPr="00E45787">
        <w:rPr>
          <w:noProof/>
        </w:rPr>
        <w:t>ēls).</w:t>
      </w:r>
      <w:bookmarkStart w:id="9" w:name="_Hlk114231898"/>
      <w:r>
        <w:rPr>
          <w:noProof/>
        </w:rPr>
        <w:t xml:space="preserve"> </w:t>
      </w:r>
    </w:p>
    <w:p w14:paraId="4BD50304" w14:textId="77777777" w:rsidR="00FA2AC6" w:rsidRPr="00E45787" w:rsidRDefault="00FA2AC6" w:rsidP="00FA2AC6">
      <w:r w:rsidRPr="00E45787">
        <w:rPr>
          <w:noProof/>
        </w:rPr>
        <w:t>Šogad nedaudz samazinājusies ir tā jaunizsniegto mājokļu kredītu daļa, kas izsniegta ar valsts attīstības finanšu institūcijas ALTUM atbalstu. Ja 2021</w:t>
      </w:r>
      <w:r>
        <w:rPr>
          <w:noProof/>
        </w:rPr>
        <w:t>.</w:t>
      </w:r>
      <w:r>
        <w:t> gad</w:t>
      </w:r>
      <w:r w:rsidRPr="00E45787">
        <w:t>ā ar ALTUM atbalstu jaunajām ģimenēm un jaunajiem speciālistiem tika izsniegti gandrīz 50% no visiem jaunajiem</w:t>
      </w:r>
      <w:r>
        <w:t xml:space="preserve"> </w:t>
      </w:r>
      <w:r w:rsidRPr="00E45787">
        <w:t>mājokļu kredītiem, tad 2022</w:t>
      </w:r>
      <w:r>
        <w:t>. gad</w:t>
      </w:r>
      <w:r w:rsidRPr="00E45787">
        <w:t>a pirmajā pusgadā šis apjoms ir samazinājies līdz 44,6%. ALTUM plāno paplašināt arī mērķprogrammu ar jaunu kategoriju mājokļu kredītiem karavīriem</w:t>
      </w:r>
      <w:bookmarkEnd w:id="9"/>
      <w:r w:rsidRPr="00167BD2">
        <w:t>.</w:t>
      </w:r>
    </w:p>
    <w:p w14:paraId="45E1A019" w14:textId="77777777" w:rsidR="00FA2AC6" w:rsidRPr="0059154E" w:rsidRDefault="00FA2AC6" w:rsidP="00FA2AC6">
      <w:pPr>
        <w:pStyle w:val="Tabulasvirsraksts"/>
        <w:rPr>
          <w:rFonts w:eastAsia="Calibri"/>
          <w:iCs w:val="0"/>
          <w:noProof/>
        </w:rPr>
      </w:pPr>
      <w:r>
        <w:rPr>
          <w:noProof/>
        </w:rPr>
        <w:drawing>
          <wp:inline distT="0" distB="0" distL="0" distR="0" wp14:anchorId="37256BBE" wp14:editId="31A33862">
            <wp:extent cx="5607050" cy="2235200"/>
            <wp:effectExtent l="0" t="0" r="0" b="0"/>
            <wp:docPr id="12" name="Chart 12">
              <a:extLst xmlns:a="http://schemas.openxmlformats.org/drawingml/2006/main">
                <a:ext uri="{FF2B5EF4-FFF2-40B4-BE49-F238E27FC236}">
                  <a16:creationId xmlns:a16="http://schemas.microsoft.com/office/drawing/2014/main" id="{7A180801-A3B9-4FB1-B4B4-A786BFE4FA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eastAsia="Calibri"/>
          <w:iCs w:val="0"/>
        </w:rPr>
        <w:t>9</w:t>
      </w:r>
      <w:r w:rsidRPr="0059154E">
        <w:rPr>
          <w:rFonts w:eastAsia="Calibri"/>
          <w:iCs w:val="0"/>
        </w:rPr>
        <w:t>. attēls. Rezidentiem izsniegtie jaunie kredīti</w:t>
      </w:r>
      <w:r>
        <w:rPr>
          <w:rFonts w:eastAsia="Calibri"/>
          <w:iCs w:val="0"/>
        </w:rPr>
        <w:t xml:space="preserve"> </w:t>
      </w:r>
      <w:r w:rsidRPr="0059154E">
        <w:rPr>
          <w:rFonts w:eastAsia="Calibri"/>
          <w:iCs w:val="0"/>
        </w:rPr>
        <w:t xml:space="preserve">(bez refinansētiem </w:t>
      </w:r>
      <w:r w:rsidRPr="0059154E">
        <w:rPr>
          <w:rFonts w:eastAsia="Calibri"/>
          <w:iCs w:val="0"/>
          <w:noProof/>
        </w:rPr>
        <w:t xml:space="preserve">kredītiem, milj. </w:t>
      </w:r>
      <w:r w:rsidRPr="00163AE4">
        <w:rPr>
          <w:rFonts w:eastAsia="Calibri"/>
          <w:i/>
          <w:noProof/>
        </w:rPr>
        <w:t>euro</w:t>
      </w:r>
      <w:r w:rsidRPr="0059154E">
        <w:rPr>
          <w:rFonts w:eastAsia="Calibri"/>
          <w:iCs w:val="0"/>
          <w:noProof/>
        </w:rPr>
        <w:t>)</w:t>
      </w:r>
    </w:p>
    <w:p w14:paraId="3602DEF2" w14:textId="77777777" w:rsidR="00FA2AC6" w:rsidRDefault="00FA2AC6" w:rsidP="00FA2AC6">
      <w:pPr>
        <w:rPr>
          <w:noProof/>
        </w:rPr>
      </w:pPr>
      <w:r w:rsidRPr="00E45787">
        <w:rPr>
          <w:noProof/>
        </w:rPr>
        <w:t>Arī apdrošināšanas nozare 2022</w:t>
      </w:r>
      <w:r>
        <w:rPr>
          <w:noProof/>
        </w:rPr>
        <w:t>. gad</w:t>
      </w:r>
      <w:r w:rsidRPr="00E45787">
        <w:rPr>
          <w:noProof/>
        </w:rPr>
        <w:t>ā darbojas stabili. Kopējo bruto parakstīto prēmiju apjoms 2022</w:t>
      </w:r>
      <w:r>
        <w:rPr>
          <w:noProof/>
        </w:rPr>
        <w:t>. gad</w:t>
      </w:r>
      <w:r w:rsidRPr="00E45787">
        <w:rPr>
          <w:noProof/>
        </w:rPr>
        <w:t xml:space="preserve">a pirmajā </w:t>
      </w:r>
      <w:r>
        <w:rPr>
          <w:noProof/>
        </w:rPr>
        <w:t>pusgadā</w:t>
      </w:r>
      <w:r w:rsidRPr="00E45787">
        <w:rPr>
          <w:noProof/>
        </w:rPr>
        <w:t xml:space="preserve"> pieauga </w:t>
      </w:r>
      <w:r>
        <w:rPr>
          <w:noProof/>
        </w:rPr>
        <w:t>par 20</w:t>
      </w:r>
      <w:r w:rsidRPr="00E45787">
        <w:rPr>
          <w:noProof/>
        </w:rPr>
        <w:t>,</w:t>
      </w:r>
      <w:r>
        <w:rPr>
          <w:noProof/>
        </w:rPr>
        <w:t>4</w:t>
      </w:r>
      <w:r w:rsidRPr="00E45787">
        <w:rPr>
          <w:noProof/>
        </w:rPr>
        <w:t xml:space="preserve">% līdz </w:t>
      </w:r>
      <w:r>
        <w:rPr>
          <w:noProof/>
        </w:rPr>
        <w:t>490</w:t>
      </w:r>
      <w:r w:rsidRPr="00E45787">
        <w:rPr>
          <w:noProof/>
        </w:rPr>
        <w:t xml:space="preserve">,0 milj. </w:t>
      </w:r>
      <w:r w:rsidRPr="00E45787">
        <w:rPr>
          <w:i/>
          <w:iCs/>
          <w:noProof/>
        </w:rPr>
        <w:t>euro</w:t>
      </w:r>
      <w:r w:rsidRPr="00E45787">
        <w:rPr>
          <w:noProof/>
        </w:rPr>
        <w:t>. To galvenokārt noteica Latvijā parakstītās prēmijas, kuru apjoms, salīdzinot ar iepriekšējā gada attiecīgo ceturksni, pieauga par 1</w:t>
      </w:r>
      <w:r>
        <w:rPr>
          <w:noProof/>
        </w:rPr>
        <w:t>8</w:t>
      </w:r>
      <w:r w:rsidRPr="00E45787">
        <w:rPr>
          <w:noProof/>
        </w:rPr>
        <w:t>,</w:t>
      </w:r>
      <w:r>
        <w:rPr>
          <w:noProof/>
        </w:rPr>
        <w:t>0</w:t>
      </w:r>
      <w:r w:rsidRPr="00E45787">
        <w:rPr>
          <w:noProof/>
        </w:rPr>
        <w:t xml:space="preserve">%, sasniedzot </w:t>
      </w:r>
      <w:r>
        <w:rPr>
          <w:noProof/>
        </w:rPr>
        <w:t>328</w:t>
      </w:r>
      <w:r w:rsidRPr="00E45787">
        <w:rPr>
          <w:noProof/>
        </w:rPr>
        <w:t xml:space="preserve"> milj. </w:t>
      </w:r>
      <w:r w:rsidRPr="00E45787">
        <w:rPr>
          <w:i/>
          <w:iCs/>
          <w:noProof/>
        </w:rPr>
        <w:t>euro</w:t>
      </w:r>
      <w:r w:rsidRPr="00E45787">
        <w:rPr>
          <w:noProof/>
        </w:rPr>
        <w:t xml:space="preserve">. </w:t>
      </w:r>
    </w:p>
    <w:p w14:paraId="272FB212" w14:textId="77777777" w:rsidR="00FA2AC6" w:rsidRDefault="00FA2AC6" w:rsidP="00FA2AC6">
      <w:r>
        <w:t>Ieguldījumu fondu nozarē 2022. gada pirmajā pusgadā, salīdzinot ar iepriekšējā gada pirmo pusgadu, bija vērojams kritums par attiecīgi 9% obligāciju, 13% jaukto un 20% akciju fondu ienesīgumā. Līdz ar to kritums pirmajā pusgadā bija vērojams arī ieguldījumu fondu kopējo aktīvu apjomā</w:t>
      </w:r>
      <w:r w:rsidRPr="00274662">
        <w:t xml:space="preserve"> </w:t>
      </w:r>
      <w:r>
        <w:t>par 24%, salīdzinot ar šādu pašu periodu pērn.</w:t>
      </w:r>
    </w:p>
    <w:p w14:paraId="06F01E37" w14:textId="77777777" w:rsidR="00FA2AC6" w:rsidRPr="00577E20" w:rsidRDefault="00FA2AC6" w:rsidP="00772992">
      <w:pPr>
        <w:spacing w:before="240"/>
      </w:pPr>
      <w:r w:rsidRPr="00577E20">
        <w:rPr>
          <w:b/>
          <w:bCs/>
        </w:rPr>
        <w:lastRenderedPageBreak/>
        <w:t xml:space="preserve">Lauksaimniecības </w:t>
      </w:r>
      <w:r w:rsidRPr="00577E20">
        <w:t>nozari veido trīs apakšgrupas: mežsaimniecība, lopkopība un augkopība, kā arī zivsaimniecība. Pusi no lauksaimniecības nozares īpatsvara 2021</w:t>
      </w:r>
      <w:r>
        <w:t>. g</w:t>
      </w:r>
      <w:r w:rsidRPr="00577E20">
        <w:t>adā aizņem lopkopība un augkopība, meža nozare aizņem 46%, bet zivsaimniecība vien 4%.</w:t>
      </w:r>
    </w:p>
    <w:p w14:paraId="44C3E697" w14:textId="77777777" w:rsidR="00FA2AC6" w:rsidRPr="00577E20" w:rsidRDefault="00FA2AC6" w:rsidP="00FA2AC6">
      <w:r w:rsidRPr="00577E20">
        <w:t>Lauksaimniecības nozarē ierasti produkcijas apjoms augkopībā ir svārstīgāks nekā lopkopībā (</w:t>
      </w:r>
      <w:r>
        <w:t>10</w:t>
      </w:r>
      <w:r w:rsidRPr="00577E20">
        <w:t>. attēls). Ja lopkopības produkciju ietekmē pieprasījums vietējā un eksporta tirgū, kā arī specifisku slimību izplatība, piemēram, cūku gripa, tad augkopība atkarīga galvenokārt no laikapstākļiem. Lopkopības produkcija kopš 2018</w:t>
      </w:r>
      <w:r>
        <w:t>. g</w:t>
      </w:r>
      <w:r w:rsidRPr="00577E20">
        <w:t>ada ik gadu nedaudz pieaug, taču augkopjiem 2020</w:t>
      </w:r>
      <w:r>
        <w:t>. g</w:t>
      </w:r>
      <w:r w:rsidRPr="00577E20">
        <w:t>ads bija ļoti pateicīgs laikapstākļu ziņā, kam sekoja 2021</w:t>
      </w:r>
      <w:r>
        <w:t>. g</w:t>
      </w:r>
      <w:r w:rsidRPr="00577E20">
        <w:t>ada vasara ar karstumu un sausumu, produkcijai esot mazākai nekā iepriekšējos divos gados, kas pazemināja arī kopējo lauksaimniecības produkcijas apmēru. Jāpiemin, ka arī 2022</w:t>
      </w:r>
      <w:r>
        <w:t>. g</w:t>
      </w:r>
      <w:r w:rsidRPr="00577E20">
        <w:t>ada vasara aizvadīta karsta un ar maz nokrišņiem.</w:t>
      </w:r>
    </w:p>
    <w:p w14:paraId="2A721B0E" w14:textId="77777777" w:rsidR="00FA2AC6" w:rsidRPr="00F96BD0" w:rsidRDefault="00FA2AC6" w:rsidP="00FA2AC6">
      <w:pPr>
        <w:pStyle w:val="Tabulasvirsraksts"/>
        <w:rPr>
          <w:rFonts w:eastAsia="Calibri"/>
          <w:iCs w:val="0"/>
        </w:rPr>
      </w:pPr>
      <w:r w:rsidRPr="00577E20">
        <w:rPr>
          <w:rFonts w:eastAsia="Calibri"/>
          <w:noProof/>
        </w:rPr>
        <w:drawing>
          <wp:inline distT="0" distB="0" distL="0" distR="0" wp14:anchorId="5DB6D1B4" wp14:editId="4997D8E1">
            <wp:extent cx="5218430" cy="1935747"/>
            <wp:effectExtent l="0" t="0" r="1270" b="7620"/>
            <wp:docPr id="20" name="Chart 2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eastAsia="Calibri"/>
          <w:iCs w:val="0"/>
        </w:rPr>
        <w:t>10</w:t>
      </w:r>
      <w:r w:rsidRPr="00F96BD0">
        <w:rPr>
          <w:rFonts w:eastAsia="Calibri"/>
          <w:iCs w:val="0"/>
        </w:rPr>
        <w:t>. attēls. Lauksaimniecības produkcijas indeksi</w:t>
      </w:r>
      <w:r>
        <w:rPr>
          <w:rFonts w:eastAsia="Calibri"/>
          <w:iCs w:val="0"/>
        </w:rPr>
        <w:t xml:space="preserve"> </w:t>
      </w:r>
      <w:r w:rsidRPr="00F96BD0">
        <w:rPr>
          <w:rFonts w:eastAsia="Calibri"/>
          <w:iCs w:val="0"/>
        </w:rPr>
        <w:t>(salīdzināmajās cenās, 2015=100)</w:t>
      </w:r>
    </w:p>
    <w:p w14:paraId="59FA21D8" w14:textId="77777777" w:rsidR="00FA2AC6" w:rsidRPr="00577E20" w:rsidRDefault="00FA2AC6" w:rsidP="00FA2AC6">
      <w:r w:rsidRPr="00577E20">
        <w:t>Lauksaimniecības produkcijas cenas 2021</w:t>
      </w:r>
      <w:r>
        <w:t>. g</w:t>
      </w:r>
      <w:r w:rsidRPr="00577E20">
        <w:t>adā uzrādīja kāpumu par 12%, tajā skaitā graudu cenas pieauga par 17,2%, lopkopības produkcija bijusi par 7,2% dārgāka, bet piena cena kāpusi par 12,8%. Savukārt šā gada pirmajos deviņos mēnešos produkcijas cenas augušas par 38,2%, graudu cenām kāpjot par 58,9%, kartupeļu cenām pieaugot par 50,7%, bet piena cenām – par 52,8% (1</w:t>
      </w:r>
      <w:r>
        <w:t>1</w:t>
      </w:r>
      <w:r w:rsidRPr="00577E20">
        <w:t>. attēls). Arī lauksaimniekus negatīvi ietekmē pašreizējā ekonomiskā situācija Latvijā un Eiropā, tajā skaitā minerālmēslojuma sadārdzināšanās un energoresursu izmaksu kāpums, īpaši ietekmējot lopkopību.</w:t>
      </w:r>
    </w:p>
    <w:p w14:paraId="6BF138E7" w14:textId="77777777" w:rsidR="00FA2AC6" w:rsidRPr="00F96BD0" w:rsidRDefault="00FA2AC6" w:rsidP="00FA2AC6">
      <w:pPr>
        <w:pStyle w:val="Tabulasvirsraksts"/>
        <w:rPr>
          <w:iCs w:val="0"/>
        </w:rPr>
      </w:pPr>
      <w:r w:rsidRPr="00577E20">
        <w:rPr>
          <w:noProof/>
        </w:rPr>
        <w:drawing>
          <wp:inline distT="0" distB="0" distL="0" distR="0" wp14:anchorId="61681E8E" wp14:editId="72692039">
            <wp:extent cx="5274310" cy="2138948"/>
            <wp:effectExtent l="0" t="0" r="2540" b="0"/>
            <wp:docPr id="32" name="Chart 32">
              <a:extLst xmlns:a="http://schemas.openxmlformats.org/drawingml/2006/main">
                <a:ext uri="{FF2B5EF4-FFF2-40B4-BE49-F238E27FC236}">
                  <a16:creationId xmlns:a16="http://schemas.microsoft.com/office/drawing/2014/main" id="{E8D40D69-9568-4B8C-B0E5-F1B2167496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Start w:id="10" w:name="_Hlk121772762"/>
      <w:r w:rsidRPr="00F96BD0">
        <w:rPr>
          <w:iCs w:val="0"/>
          <w:lang w:eastAsia="lv-LV"/>
        </w:rPr>
        <w:t>1</w:t>
      </w:r>
      <w:r>
        <w:rPr>
          <w:iCs w:val="0"/>
          <w:lang w:eastAsia="lv-LV"/>
        </w:rPr>
        <w:t>1</w:t>
      </w:r>
      <w:r w:rsidRPr="00F96BD0">
        <w:rPr>
          <w:iCs w:val="0"/>
          <w:lang w:eastAsia="lv-LV"/>
        </w:rPr>
        <w:t>. attēls. Lauksaimniecības produkcijas cenu indeksi</w:t>
      </w:r>
    </w:p>
    <w:bookmarkEnd w:id="10"/>
    <w:p w14:paraId="2020E32A" w14:textId="77777777" w:rsidR="00FA2AC6" w:rsidRPr="00577E20" w:rsidRDefault="00FA2AC6" w:rsidP="00FA2AC6"/>
    <w:p w14:paraId="28B795CE" w14:textId="77777777" w:rsidR="00FA2AC6" w:rsidRPr="00577E20" w:rsidRDefault="00FA2AC6" w:rsidP="00FA2AC6">
      <w:bookmarkStart w:id="11" w:name="_Hlk114217577"/>
      <w:bookmarkStart w:id="12" w:name="_Hlk114217673"/>
      <w:r w:rsidRPr="00577E20">
        <w:t>Meža nozares īpatsvars kopējā lauksaimniecības struktūrā 2021</w:t>
      </w:r>
      <w:r>
        <w:t>. g</w:t>
      </w:r>
      <w:r w:rsidRPr="00577E20">
        <w:t>adā audzis par vienu procentpunktu un aizņēmis 46%</w:t>
      </w:r>
      <w:bookmarkEnd w:id="11"/>
      <w:bookmarkEnd w:id="12"/>
      <w:r w:rsidRPr="00577E20">
        <w:t>. Meža nozares īpatsvars ierasti ir augstāks gada pirmajā pusē, augkopjiem darbojoties tikai siltumnīcās, taču mežizstrādei turpinot darbu arī ziemā. 2021</w:t>
      </w:r>
      <w:r>
        <w:t>. g</w:t>
      </w:r>
      <w:r w:rsidRPr="00577E20">
        <w:t xml:space="preserve">ads mežsaimniekiem bijis sekmīgs straujā apaļkoku cenu kāpuma dēļ, taču šā gada </w:t>
      </w:r>
      <w:r w:rsidRPr="00577E20">
        <w:lastRenderedPageBreak/>
        <w:t>otrajā un trešajā ceturksnī cenas strauji pazeminājās. Taču koksne paliks kā ļoti pieprasīts materiāls, kas Latvijā ir salīdzinoši pieejams.</w:t>
      </w:r>
    </w:p>
    <w:p w14:paraId="25FAC79F" w14:textId="77777777" w:rsidR="00FA2AC6" w:rsidRPr="00577E20" w:rsidRDefault="00FA2AC6" w:rsidP="00FA2AC6">
      <w:bookmarkStart w:id="13" w:name="_Hlk114217953"/>
      <w:bookmarkStart w:id="14" w:name="_Hlk114218740"/>
      <w:r w:rsidRPr="00577E20">
        <w:t>Turpmāk lauksaimniecības produkcija varētu būt pieprasītāka vietējā tirgū nekā iepriekš, samazinoties importam no Ukrainas</w:t>
      </w:r>
      <w:bookmarkEnd w:id="13"/>
      <w:r w:rsidRPr="00577E20">
        <w:t>, kas ir nozīmīgs eksportētājs uz dažādām pasaules valstīm</w:t>
      </w:r>
      <w:bookmarkEnd w:id="14"/>
      <w:r w:rsidRPr="00577E20">
        <w:t>. Līdzīgi kā vairumu nozaru, arī lauksaimniecību ietekmēs energoresursu cenu kāpums, jo īpaši lopkopību, kāpjot gan apkures, gan lopbarības cenām.</w:t>
      </w:r>
    </w:p>
    <w:p w14:paraId="53477F0E" w14:textId="77777777" w:rsidR="00FA2AC6" w:rsidRPr="000A7809" w:rsidRDefault="00FA2AC6" w:rsidP="00772992">
      <w:pPr>
        <w:spacing w:before="240"/>
        <w:rPr>
          <w:b/>
          <w:bCs/>
        </w:rPr>
      </w:pPr>
      <w:r w:rsidRPr="000A7809">
        <w:rPr>
          <w:b/>
          <w:bCs/>
        </w:rPr>
        <w:t xml:space="preserve">Ārējā tirdzniecība </w:t>
      </w:r>
    </w:p>
    <w:p w14:paraId="78E2231C" w14:textId="77777777" w:rsidR="00FA2AC6" w:rsidRDefault="00FA2AC6" w:rsidP="00FA2AC6">
      <w:r w:rsidRPr="005C2A0C">
        <w:t xml:space="preserve">Latvijas </w:t>
      </w:r>
      <w:r w:rsidRPr="005C2A0C">
        <w:rPr>
          <w:b/>
          <w:bCs/>
        </w:rPr>
        <w:t>preču un pakalpojumu ārējās tirdzniecības</w:t>
      </w:r>
      <w:r w:rsidRPr="005C2A0C">
        <w:t xml:space="preserve"> apgrozījums salīdzināmajās cenās 2021</w:t>
      </w:r>
      <w:r>
        <w:t>. gad</w:t>
      </w:r>
      <w:r w:rsidRPr="005C2A0C">
        <w:t>ā palielinājies par 1</w:t>
      </w:r>
      <w:r>
        <w:t>0,8</w:t>
      </w:r>
      <w:r w:rsidRPr="005C2A0C">
        <w:t>%, uzrādot labāko sniegumu kopš 2012</w:t>
      </w:r>
      <w:r>
        <w:t>. gad</w:t>
      </w:r>
      <w:r w:rsidRPr="005C2A0C">
        <w:t xml:space="preserve">a. Pasaules ekonomikas atkopšanās un ārējā pieprasījuma pieaugums galvenajos eksporta noieta tirgos kā ES un Apvienotā Karaliste, kā arī būtisks eksporta kāpums uz tādām valstīm kā ASV, Turcija, Japāna, Nigērija, Norvēģija pērn nodrošināja Latvijas preču un pakalpojumu eksporta pieaugumu par </w:t>
      </w:r>
      <w:r>
        <w:t>5,9</w:t>
      </w:r>
      <w:r w:rsidRPr="005C2A0C">
        <w:t xml:space="preserve">%. Savukārt Latvijas iekšējā patēriņa pieaugums un investīcijas iekārtās un tehnoloģiskajās mašīnās </w:t>
      </w:r>
      <w:r w:rsidRPr="005C2A0C">
        <w:rPr>
          <w:noProof/>
        </w:rPr>
        <w:t>veicināja kopējā preču un pakalpojumu importa kāpumu par 1</w:t>
      </w:r>
      <w:r>
        <w:rPr>
          <w:noProof/>
        </w:rPr>
        <w:t>5,3</w:t>
      </w:r>
      <w:r w:rsidRPr="005C2A0C">
        <w:rPr>
          <w:noProof/>
        </w:rPr>
        <w:t>%. Ņemot vērā, ka imports ir palielinājies straujāk par eksportu, ārējās tirdzniecības bilance 2021</w:t>
      </w:r>
      <w:r>
        <w:rPr>
          <w:noProof/>
        </w:rPr>
        <w:t>. gad</w:t>
      </w:r>
      <w:r w:rsidRPr="005C2A0C">
        <w:rPr>
          <w:noProof/>
        </w:rPr>
        <w:t>ā būtiski pasliktinājusies. 2021</w:t>
      </w:r>
      <w:r>
        <w:rPr>
          <w:noProof/>
        </w:rPr>
        <w:t>. gad</w:t>
      </w:r>
      <w:r w:rsidRPr="005C2A0C">
        <w:rPr>
          <w:noProof/>
        </w:rPr>
        <w:t xml:space="preserve">ā ārējās tirdzniecības deficīts salīdzināmajās cenās palielinājies līdz </w:t>
      </w:r>
      <w:r>
        <w:rPr>
          <w:noProof/>
        </w:rPr>
        <w:t>3128</w:t>
      </w:r>
      <w:r w:rsidRPr="005C2A0C">
        <w:rPr>
          <w:noProof/>
        </w:rPr>
        <w:t xml:space="preserve"> milj. </w:t>
      </w:r>
      <w:r w:rsidRPr="00D91E71">
        <w:rPr>
          <w:i/>
          <w:iCs/>
          <w:noProof/>
        </w:rPr>
        <w:t>euro</w:t>
      </w:r>
      <w:r w:rsidRPr="005C2A0C">
        <w:rPr>
          <w:noProof/>
        </w:rPr>
        <w:t xml:space="preserve"> pretstatā 1</w:t>
      </w:r>
      <w:r>
        <w:rPr>
          <w:noProof/>
        </w:rPr>
        <w:t>305</w:t>
      </w:r>
      <w:r w:rsidRPr="005C2A0C">
        <w:rPr>
          <w:noProof/>
        </w:rPr>
        <w:t xml:space="preserve"> milj. </w:t>
      </w:r>
      <w:r w:rsidRPr="00D91E71">
        <w:rPr>
          <w:i/>
          <w:iCs/>
          <w:noProof/>
        </w:rPr>
        <w:t>euro</w:t>
      </w:r>
      <w:r w:rsidRPr="005C2A0C">
        <w:rPr>
          <w:noProof/>
        </w:rPr>
        <w:t xml:space="preserve"> 2020</w:t>
      </w:r>
      <w:r>
        <w:rPr>
          <w:noProof/>
        </w:rPr>
        <w:t>. gad</w:t>
      </w:r>
      <w:r w:rsidRPr="005C2A0C">
        <w:rPr>
          <w:noProof/>
        </w:rPr>
        <w:t>ā. Eksporta un importa kāpums bijis straujāks nekā iekšzemes kopprodukta pieaugums par 4</w:t>
      </w:r>
      <w:r w:rsidRPr="005C2A0C">
        <w:t>,5%, līdz ar to ārējās tirdzniecības nozīme tautsaimniecībā palielinājusies. Eksporta īpatsvars IKP 2021</w:t>
      </w:r>
      <w:r>
        <w:t>. gad</w:t>
      </w:r>
      <w:r w:rsidRPr="005C2A0C">
        <w:t>ā pieauga par 1</w:t>
      </w:r>
      <w:r>
        <w:t>,1</w:t>
      </w:r>
      <w:r w:rsidRPr="005C2A0C">
        <w:t> procentpunktu un sasniedza 65</w:t>
      </w:r>
      <w:r>
        <w:t>,3</w:t>
      </w:r>
      <w:r w:rsidRPr="005C2A0C">
        <w:t xml:space="preserve">%. Savukārt importa īpatsvars valsts ekonomikā pērnajā gadā veidoja </w:t>
      </w:r>
      <w:r>
        <w:t>76,4</w:t>
      </w:r>
      <w:r w:rsidRPr="005C2A0C">
        <w:t xml:space="preserve">%, palielinoties par </w:t>
      </w:r>
      <w:r>
        <w:t>7,4</w:t>
      </w:r>
      <w:r w:rsidRPr="005C2A0C">
        <w:t xml:space="preserve"> procentpunktiem salīdzinājumā ar 2020</w:t>
      </w:r>
      <w:r>
        <w:t>. gad</w:t>
      </w:r>
      <w:r w:rsidRPr="005C2A0C">
        <w:t>u.</w:t>
      </w:r>
      <w:r>
        <w:t xml:space="preserve"> </w:t>
      </w:r>
    </w:p>
    <w:p w14:paraId="1669E003" w14:textId="77777777" w:rsidR="00FA2AC6" w:rsidRPr="00CE4533" w:rsidRDefault="00FA2AC6" w:rsidP="00FA2AC6">
      <w:pPr>
        <w:rPr>
          <w:noProof/>
        </w:rPr>
      </w:pPr>
      <w:r w:rsidRPr="00CE4533">
        <w:t>Neskatoties uz pandēmiju un ieviestajiem ierobežojumiem koronavīrusa izplatības mazināšanai gan Latvijā, gan ES un pārējos svarīgos eksporta tirgos, kuri negatīvi ietekmēja patēriņu, kā arī uz loģistikas traucējumiem, 2021</w:t>
      </w:r>
      <w:r>
        <w:t>. g</w:t>
      </w:r>
      <w:r w:rsidRPr="00CE4533">
        <w:t xml:space="preserve">adā Latvijas </w:t>
      </w:r>
      <w:r w:rsidRPr="00CE4533">
        <w:rPr>
          <w:b/>
          <w:bCs/>
        </w:rPr>
        <w:t>preču eksporta</w:t>
      </w:r>
      <w:r w:rsidRPr="00CE4533">
        <w:t xml:space="preserve"> pieaugums faktiskajās cenās bija straujākais desmitgadē. Pērn preču eksporta vērtība palielinājās vidēji par 2</w:t>
      </w:r>
      <w:r>
        <w:t>0,5</w:t>
      </w:r>
      <w:r w:rsidRPr="00CE4533">
        <w:t>%, sasniedzot 16,</w:t>
      </w:r>
      <w:r>
        <w:t>2</w:t>
      </w:r>
      <w:r w:rsidRPr="00CE4533">
        <w:t xml:space="preserve"> </w:t>
      </w:r>
      <w:r w:rsidRPr="00CE4533">
        <w:rPr>
          <w:noProof/>
        </w:rPr>
        <w:t xml:space="preserve">mljrd. </w:t>
      </w:r>
      <w:r w:rsidRPr="00CE4533">
        <w:rPr>
          <w:i/>
          <w:iCs/>
          <w:noProof/>
        </w:rPr>
        <w:t>euro</w:t>
      </w:r>
      <w:r w:rsidRPr="00CE4533">
        <w:rPr>
          <w:noProof/>
        </w:rPr>
        <w:t xml:space="preserve"> – augstāko eksporta vērtību, kopš tiek apkopoti ārējās tirdzniecības statistiskie dati. Zīmīgi, ka straujš eksporta kāpums bija vērojams praktiski visa gada garumā, un pieaugums bija visās preču grupās, kas </w:t>
      </w:r>
      <w:r w:rsidRPr="00E6463F">
        <w:rPr>
          <w:noProof/>
          <w:color w:val="000000" w:themeColor="text1"/>
        </w:rPr>
        <w:t>nozīmē, ka ārējā pieprasījuma uzlabojumu izjūt visas apstrāde</w:t>
      </w:r>
      <w:r w:rsidRPr="00027888">
        <w:rPr>
          <w:noProof/>
        </w:rPr>
        <w:t xml:space="preserve">s rūpniecības apakšnozares. Svarīgi norādīt, ka būtisku devumu tik straujā preču eksporta kāpumā pērnajā gadā nodrošināja cenu pieaugums, it īpaši energoresursiem un </w:t>
      </w:r>
      <w:r w:rsidRPr="008F3CC6">
        <w:rPr>
          <w:noProof/>
        </w:rPr>
        <w:t xml:space="preserve">koksnei, tādējādi </w:t>
      </w:r>
      <w:r>
        <w:rPr>
          <w:noProof/>
        </w:rPr>
        <w:t>palielinot</w:t>
      </w:r>
      <w:r w:rsidRPr="008F3CC6">
        <w:rPr>
          <w:noProof/>
        </w:rPr>
        <w:t xml:space="preserve"> minerālproduktu, kā arī koka un koksnes preču eksportu. Atskaitot cenu faktora ietekmi, preču eksports 2021.gadā būtu palielinājies par 5,4%. </w:t>
      </w:r>
    </w:p>
    <w:p w14:paraId="76C389DC" w14:textId="77777777" w:rsidR="00FA2AC6" w:rsidRPr="00F96EFE" w:rsidRDefault="00FA2AC6" w:rsidP="00FA2AC6">
      <w:pPr>
        <w:rPr>
          <w:b/>
          <w:bCs/>
        </w:rPr>
      </w:pPr>
      <w:r w:rsidRPr="00CE4533">
        <w:rPr>
          <w:noProof/>
        </w:rPr>
        <w:t>Ja Latvijas preču eksports 2021</w:t>
      </w:r>
      <w:r>
        <w:rPr>
          <w:noProof/>
        </w:rPr>
        <w:t>. g</w:t>
      </w:r>
      <w:r w:rsidRPr="00CE4533">
        <w:rPr>
          <w:noProof/>
        </w:rPr>
        <w:t xml:space="preserve">adā jau bija veiksmīgi pārvarējis pandēmijas negatīvo ietekmi, tad </w:t>
      </w:r>
      <w:r w:rsidRPr="00CE4533">
        <w:rPr>
          <w:b/>
          <w:bCs/>
          <w:noProof/>
        </w:rPr>
        <w:t xml:space="preserve">pakalpojumu </w:t>
      </w:r>
      <w:r w:rsidRPr="00F96EFE">
        <w:rPr>
          <w:b/>
          <w:bCs/>
          <w:noProof/>
        </w:rPr>
        <w:t xml:space="preserve">eksports </w:t>
      </w:r>
      <w:r w:rsidRPr="00F96EFE">
        <w:rPr>
          <w:noProof/>
        </w:rPr>
        <w:t>to vēl izjuta. Latvijas pakalpojumu eksporta vērtība pagājušajā gadā palielinājās par 10,</w:t>
      </w:r>
      <w:r>
        <w:rPr>
          <w:noProof/>
        </w:rPr>
        <w:t>4</w:t>
      </w:r>
      <w:r w:rsidRPr="00F96EFE">
        <w:rPr>
          <w:noProof/>
        </w:rPr>
        <w:t>%. Pakalpojumu eksporta pieaugumu labvēlīgi ietekmēja telesakaru, informācijas un datorpakalpojumu, gaisa un autotransporta pakalpojumu, kā arī finanšu pakalpojumu eksporta kāpums. Savukārt ārvalstu tūristu izdevumu apjoms samazinājās par 9,1%. Eksporta kritums bija fiksēts arī dzelzceļa un jūras tran</w:t>
      </w:r>
      <w:r w:rsidRPr="00F96EFE">
        <w:t xml:space="preserve">sporta pakalpojumiem. </w:t>
      </w:r>
    </w:p>
    <w:p w14:paraId="468CB4A8" w14:textId="77777777" w:rsidR="00FA2AC6" w:rsidRDefault="00FA2AC6" w:rsidP="00FA2AC6">
      <w:r w:rsidRPr="00F96EFE">
        <w:t>2022</w:t>
      </w:r>
      <w:r>
        <w:t>. g</w:t>
      </w:r>
      <w:r w:rsidRPr="00F96EFE">
        <w:t>adā preču eksports turpina strauji palielināties par spīti enerģētikas krīzei Eiropā un ģeopolitiskās vides pasliktinājumam, ko izraisījis Krievijas militārais iebrukums Ukrainā. Preču eksporta vērtība faktiskajās cenās 2022</w:t>
      </w:r>
      <w:r>
        <w:t>. g</w:t>
      </w:r>
      <w:r w:rsidRPr="00F96EFE">
        <w:t>ad</w:t>
      </w:r>
      <w:r>
        <w:t>a</w:t>
      </w:r>
      <w:r w:rsidRPr="00F96EFE">
        <w:t xml:space="preserve"> </w:t>
      </w:r>
      <w:r>
        <w:t>deviņos</w:t>
      </w:r>
      <w:r w:rsidRPr="00F96EFE">
        <w:t xml:space="preserve"> mēnešos pieauga par </w:t>
      </w:r>
      <w:r>
        <w:t>31,9%</w:t>
      </w:r>
      <w:r w:rsidRPr="00F96EFE">
        <w:t xml:space="preserve"> salīdzinājumā ar pērnā gada attiecīgo periodu. Šādu kāpumu var vērtēt</w:t>
      </w:r>
      <w:r w:rsidRPr="005C2A0C">
        <w:t xml:space="preserve"> kā ļoti augstu, ņemot vērā to, ka pērnā gada </w:t>
      </w:r>
      <w:r>
        <w:t>deviņos</w:t>
      </w:r>
      <w:r w:rsidRPr="005C2A0C">
        <w:t xml:space="preserve"> mēnešos preču eksporta kāpums veidoja 2</w:t>
      </w:r>
      <w:r>
        <w:t>2,3</w:t>
      </w:r>
      <w:r w:rsidRPr="005C2A0C">
        <w:t>%. Preču eksporta attīstība</w:t>
      </w:r>
      <w:r>
        <w:t xml:space="preserve"> līdz 2022. gada septembrim bija</w:t>
      </w:r>
      <w:r w:rsidRPr="005C2A0C">
        <w:t xml:space="preserve"> noturīga, jo eksporta kāpums ap 30% bija fiksēts katru mēnesi</w:t>
      </w:r>
      <w:r>
        <w:t>, t</w:t>
      </w:r>
      <w:r w:rsidRPr="005C2A0C">
        <w:t xml:space="preserve">ikai </w:t>
      </w:r>
      <w:r>
        <w:t xml:space="preserve">šā gada </w:t>
      </w:r>
      <w:r w:rsidRPr="005C2A0C">
        <w:t xml:space="preserve">jūlijā eksporta kāpums </w:t>
      </w:r>
      <w:r>
        <w:t>bija piebremzējies</w:t>
      </w:r>
      <w:r w:rsidRPr="005C2A0C">
        <w:t xml:space="preserve"> līdz 20%. Papildus tam jānorāda, ka eksports </w:t>
      </w:r>
      <w:r w:rsidRPr="005C2A0C">
        <w:rPr>
          <w:noProof/>
        </w:rPr>
        <w:t xml:space="preserve">pieauga visās preču grupās, kas nozīmē, ka ārējā pieprasījuma uzlabojumu </w:t>
      </w:r>
      <w:r w:rsidRPr="005C2A0C">
        <w:rPr>
          <w:noProof/>
        </w:rPr>
        <w:lastRenderedPageBreak/>
        <w:t>izj</w:t>
      </w:r>
      <w:r>
        <w:rPr>
          <w:noProof/>
        </w:rPr>
        <w:t>uta</w:t>
      </w:r>
      <w:r w:rsidRPr="005C2A0C">
        <w:rPr>
          <w:noProof/>
        </w:rPr>
        <w:t xml:space="preserve"> visas apstrādes rūpniecības apakšnozares. Preču</w:t>
      </w:r>
      <w:r w:rsidRPr="005C2A0C">
        <w:t xml:space="preserve"> eksporta, kā arī preču importa pārmaiņas un preču ārējās tirdzniecības bilance ir </w:t>
      </w:r>
      <w:r w:rsidRPr="00943162">
        <w:t>atspoguļota 1</w:t>
      </w:r>
      <w:r>
        <w:t>2</w:t>
      </w:r>
      <w:r w:rsidRPr="00943162">
        <w:t>. attēlā.</w:t>
      </w:r>
    </w:p>
    <w:p w14:paraId="1EFB7510" w14:textId="77777777" w:rsidR="00FA2AC6" w:rsidRPr="00F96BD0" w:rsidRDefault="00FA2AC6" w:rsidP="00FA2AC6">
      <w:pPr>
        <w:pStyle w:val="Tabulasvirsraksts"/>
        <w:rPr>
          <w:iCs w:val="0"/>
          <w:noProof/>
        </w:rPr>
      </w:pPr>
      <w:r>
        <w:rPr>
          <w:noProof/>
        </w:rPr>
        <w:drawing>
          <wp:inline distT="0" distB="0" distL="0" distR="0" wp14:anchorId="46062776" wp14:editId="7524C456">
            <wp:extent cx="5278120" cy="2395621"/>
            <wp:effectExtent l="0" t="0" r="0" b="5080"/>
            <wp:docPr id="36" name="Chart 36">
              <a:extLst xmlns:a="http://schemas.openxmlformats.org/drawingml/2006/main">
                <a:ext uri="{FF2B5EF4-FFF2-40B4-BE49-F238E27FC236}">
                  <a16:creationId xmlns:a16="http://schemas.microsoft.com/office/drawing/2014/main" id="{B9A586B3-5CD2-5115-0DA4-7C32499FE2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F96BD0">
        <w:rPr>
          <w:iCs w:val="0"/>
        </w:rPr>
        <w:t>1</w:t>
      </w:r>
      <w:r>
        <w:rPr>
          <w:iCs w:val="0"/>
        </w:rPr>
        <w:t>2</w:t>
      </w:r>
      <w:r w:rsidRPr="00F96BD0">
        <w:rPr>
          <w:iCs w:val="0"/>
        </w:rPr>
        <w:t xml:space="preserve">. attēls. Preču eksporta un preču importa vērtības pārmaiņas salīdzinājumā ar iepriekšējā gada attiecīgo mēnesi (%) un preču </w:t>
      </w:r>
      <w:r w:rsidRPr="00F96BD0">
        <w:rPr>
          <w:iCs w:val="0"/>
          <w:noProof/>
        </w:rPr>
        <w:t xml:space="preserve">ārējā tirdzniecības bilance (milj. </w:t>
      </w:r>
      <w:r w:rsidRPr="00985E60">
        <w:rPr>
          <w:i/>
          <w:noProof/>
        </w:rPr>
        <w:t>euro</w:t>
      </w:r>
      <w:r w:rsidRPr="00F96BD0">
        <w:rPr>
          <w:iCs w:val="0"/>
          <w:noProof/>
        </w:rPr>
        <w:t>)</w:t>
      </w:r>
    </w:p>
    <w:p w14:paraId="73EB5A17" w14:textId="77777777" w:rsidR="00FA2AC6" w:rsidRDefault="00FA2AC6" w:rsidP="00FA2AC6">
      <w:r w:rsidRPr="007064D1">
        <w:t xml:space="preserve">Viens no galvenajiem iemesliem tik straujai un noturīgai preču eksporta izaugsmei bija cenu kāpums. Eksporta vienības vērtības indekss šā gada </w:t>
      </w:r>
      <w:r>
        <w:t>deviņos</w:t>
      </w:r>
      <w:r w:rsidRPr="007064D1">
        <w:t xml:space="preserve"> mēnešos ir palielinājies par 2</w:t>
      </w:r>
      <w:r>
        <w:t>1,9</w:t>
      </w:r>
      <w:r w:rsidRPr="007064D1">
        <w:t>%, salīdzinot ar iepriekšēj</w:t>
      </w:r>
      <w:r>
        <w:t>ā</w:t>
      </w:r>
      <w:r w:rsidRPr="007064D1">
        <w:t xml:space="preserve"> gada attiecīgo periodu. Tas nozīmē, ka reālā izteiksmē (jeb izslēdzot cenu ietekmi) preču eksporta vērtība šā </w:t>
      </w:r>
      <w:r>
        <w:t>gada deviņos</w:t>
      </w:r>
      <w:r w:rsidRPr="007064D1">
        <w:t xml:space="preserve"> mēnešos pieau</w:t>
      </w:r>
      <w:r>
        <w:t>gtu</w:t>
      </w:r>
      <w:r w:rsidRPr="007064D1">
        <w:t xml:space="preserve"> par </w:t>
      </w:r>
      <w:r>
        <w:t>10,0</w:t>
      </w:r>
      <w:r w:rsidRPr="007064D1">
        <w:t>%</w:t>
      </w:r>
      <w:r>
        <w:t>,</w:t>
      </w:r>
      <w:r w:rsidRPr="007064D1">
        <w:t xml:space="preserve"> nevis par </w:t>
      </w:r>
      <w:r>
        <w:t>31,9</w:t>
      </w:r>
      <w:r w:rsidRPr="007064D1">
        <w:t xml:space="preserve">%. Tādējādi aptuveni </w:t>
      </w:r>
      <w:r>
        <w:t xml:space="preserve">divas trešdaļas </w:t>
      </w:r>
      <w:r w:rsidRPr="007064D1">
        <w:t xml:space="preserve">no preču eksporta kāpuma nodrošināja preču cenu pieaugums, bet ārējais pieprasījums </w:t>
      </w:r>
      <w:r>
        <w:t>deva</w:t>
      </w:r>
      <w:r w:rsidRPr="007064D1">
        <w:t xml:space="preserve"> tikai vienu </w:t>
      </w:r>
      <w:r>
        <w:t>trešdaļu</w:t>
      </w:r>
      <w:r w:rsidRPr="007064D1">
        <w:t xml:space="preserve"> no kopējā</w:t>
      </w:r>
      <w:r>
        <w:t>s</w:t>
      </w:r>
      <w:r w:rsidRPr="007064D1">
        <w:t xml:space="preserve"> preču </w:t>
      </w:r>
      <w:r>
        <w:t xml:space="preserve">eksporta </w:t>
      </w:r>
      <w:r w:rsidRPr="007064D1">
        <w:t>izaugsmes. Cenu kāpums vērojams praktiski visām izejvielām, proti, energoresursiem, pārtikai, metāliem, koksnei. Izejvielu cenu kāpums kopā ar loģistikas traucējumiem, ko ietekmē augoš</w:t>
      </w:r>
      <w:r>
        <w:t>ai</w:t>
      </w:r>
      <w:r w:rsidRPr="007064D1">
        <w:t>s globālais pieprasījums un augst</w:t>
      </w:r>
      <w:r>
        <w:t>ā</w:t>
      </w:r>
      <w:r w:rsidRPr="007064D1">
        <w:t>s degvielas cenas, sadārdzina gala preču cenu.</w:t>
      </w:r>
    </w:p>
    <w:p w14:paraId="26EC2589" w14:textId="77777777" w:rsidR="00FA2AC6" w:rsidRPr="0046170D" w:rsidRDefault="00FA2AC6" w:rsidP="00FA2AC6">
      <w:r w:rsidRPr="0046170D">
        <w:rPr>
          <w:noProof/>
        </w:rPr>
        <w:t>Lielāko devumu eksporta izaugsmē 2022</w:t>
      </w:r>
      <w:r>
        <w:rPr>
          <w:noProof/>
        </w:rPr>
        <w:t>. gad</w:t>
      </w:r>
      <w:r w:rsidRPr="0046170D">
        <w:rPr>
          <w:noProof/>
        </w:rPr>
        <w:t xml:space="preserve">a </w:t>
      </w:r>
      <w:r>
        <w:rPr>
          <w:noProof/>
        </w:rPr>
        <w:t>deviņos</w:t>
      </w:r>
      <w:r w:rsidRPr="0046170D">
        <w:rPr>
          <w:noProof/>
        </w:rPr>
        <w:t xml:space="preserve"> mēnešos nodrošināja minerālproduktu eksporta pieaugums </w:t>
      </w:r>
      <w:r>
        <w:rPr>
          <w:noProof/>
        </w:rPr>
        <w:t>gandrīz 3</w:t>
      </w:r>
      <w:r w:rsidRPr="0046170D">
        <w:rPr>
          <w:noProof/>
        </w:rPr>
        <w:t xml:space="preserve"> reizes. Šo preču grupu </w:t>
      </w:r>
      <w:r>
        <w:rPr>
          <w:noProof/>
        </w:rPr>
        <w:t xml:space="preserve">eksporta pieaugumu </w:t>
      </w:r>
      <w:r w:rsidRPr="0046170D">
        <w:rPr>
          <w:noProof/>
        </w:rPr>
        <w:t xml:space="preserve">veicināja gāzes un naftas pārstrādes produktu reeksports uz pārējām Baltijas valstīm, Somiju un Ukrainu, kā arī elektroenerģijas eksporta pieaugums uz Lietuvu. Kopējo preču eksporta vērtības pieaugumu veicināja arī lauksaimniecības un pārtikas preču eksporta kāpums par </w:t>
      </w:r>
      <w:r>
        <w:rPr>
          <w:noProof/>
        </w:rPr>
        <w:t>41,2</w:t>
      </w:r>
      <w:r w:rsidRPr="0046170D">
        <w:rPr>
          <w:noProof/>
        </w:rPr>
        <w:t>%, būtiski palielinoties graudaugu</w:t>
      </w:r>
      <w:r w:rsidRPr="0046170D">
        <w:t>, piena produktu, gaļas, eļļas eksportam.</w:t>
      </w:r>
    </w:p>
    <w:p w14:paraId="4C68B1F0" w14:textId="77777777" w:rsidR="00FA2AC6" w:rsidRDefault="00FA2AC6" w:rsidP="00FA2AC6">
      <w:pPr>
        <w:rPr>
          <w:noProof/>
        </w:rPr>
      </w:pPr>
      <w:r w:rsidRPr="0046170D">
        <w:t>Šā gada sākum</w:t>
      </w:r>
      <w:r>
        <w:t>ā</w:t>
      </w:r>
      <w:r w:rsidRPr="0046170D">
        <w:t xml:space="preserve"> galvenais preču eksporta pieauguma virzītājspēks bija koksnes un koka izstrādājumu preču grupa. Tomēr</w:t>
      </w:r>
      <w:r>
        <w:t xml:space="preserve"> šā gada jūnijā, jūlijā un augustā </w:t>
      </w:r>
      <w:r w:rsidRPr="0046170D">
        <w:t>š</w:t>
      </w:r>
      <w:r>
        <w:t>ī</w:t>
      </w:r>
      <w:r w:rsidRPr="0046170D">
        <w:t>s preču grupas eksports bija zemāks nekā pirms gad</w:t>
      </w:r>
      <w:r>
        <w:t>a</w:t>
      </w:r>
      <w:r w:rsidRPr="0046170D">
        <w:t xml:space="preserve">. </w:t>
      </w:r>
      <w:r>
        <w:t xml:space="preserve">Septembrī koka un koksnes preču eksports atkal uzrādīja pieaugumu gada griezumā 5,5%. Tomēr šāds kāpums bija būtiski mazāks salīdzinājumā ar šis preču grupas vidējo pieaugumu gada sākumā, kad koka un koksnes eksports vidēji palielinājies par 45,7% mēnesī. </w:t>
      </w:r>
      <w:r w:rsidRPr="0046170D">
        <w:t xml:space="preserve">Kopumā, koksnes un koka izstrādājumu eksports </w:t>
      </w:r>
      <w:r>
        <w:t>deviņos</w:t>
      </w:r>
      <w:r w:rsidRPr="0046170D">
        <w:t xml:space="preserve"> mēnešos pieauga par 2</w:t>
      </w:r>
      <w:r>
        <w:t>2,4</w:t>
      </w:r>
      <w:r w:rsidRPr="0046170D">
        <w:t xml:space="preserve">%. </w:t>
      </w:r>
      <w:r>
        <w:rPr>
          <w:color w:val="000000"/>
        </w:rPr>
        <w:t xml:space="preserve">Koka un koksnes izstrādājumu eksports ir pietiekoši labi diversificēts gan noieta tirgu, gan eksportēto preču ziņā. Kāpums bija fiksēts praktiski visos </w:t>
      </w:r>
      <w:r>
        <w:t xml:space="preserve">lielākajos noieta tirgos – Vācijā, Lietuvā, Zviedrijā, Nīderlandē, Igaunijā. Savukārt koksnes eksports uz lielāko eksporta tirgu jeb Apvienoto Karalisti saglabājās pērnā gada līmenī. Apvienotā Karaliste ar 23% īpatsvaru kopējā šīs grupas eksporta apjomā būtiski apsteidz citus eksporta tirgus, bet eksports uz Zviedriju, Vāciju, Igauniju veido attiecīgi 9%, 8% un 7% no kopējās koksnes eksporta vērtības. Pēdējos gados strauji pieaug </w:t>
      </w:r>
      <w:r>
        <w:rPr>
          <w:noProof/>
        </w:rPr>
        <w:t xml:space="preserve">koksnes eksports uz ASV. Šā gada deviņos mēnešos koka un koksnes eksporta vērtības kāpums uz ASV bijis otrais lielākais (+74 milj. </w:t>
      </w:r>
      <w:r w:rsidRPr="002340D5">
        <w:rPr>
          <w:i/>
          <w:iCs/>
          <w:noProof/>
        </w:rPr>
        <w:t>euro</w:t>
      </w:r>
      <w:r>
        <w:rPr>
          <w:noProof/>
        </w:rPr>
        <w:t xml:space="preserve">), ierindoties uzreiz pēc Zviedrijas (+79 milj. </w:t>
      </w:r>
      <w:r w:rsidRPr="002340D5">
        <w:rPr>
          <w:i/>
          <w:iCs/>
          <w:noProof/>
        </w:rPr>
        <w:t>euro</w:t>
      </w:r>
      <w:r>
        <w:rPr>
          <w:noProof/>
        </w:rPr>
        <w:t>). Tādējādi ASV tirgus daļa kopējā koksnes eksportā pieauga līdz 6%.</w:t>
      </w:r>
    </w:p>
    <w:p w14:paraId="677F34BA" w14:textId="77777777" w:rsidR="00FA2AC6" w:rsidRDefault="00FA2AC6" w:rsidP="00FA2AC6">
      <w:pPr>
        <w:rPr>
          <w:noProof/>
        </w:rPr>
      </w:pPr>
      <w:r>
        <w:rPr>
          <w:noProof/>
        </w:rPr>
        <w:lastRenderedPageBreak/>
        <w:t>Koka un koksnes izstrādājumu eksports ir viena no lielākajam preču grupām kopējā eksportā, kura nodrošina būtisku devumu gan apstrādes rūpniecībā, gan kopējā eksporta izaugsmē. Tieši šī preču grupa mazina preču ārējās tirdzniecības deficītu, jo tās eksports būtiski pārsniedz importa vērtību. Pārējo preču grupu eksporta vērtība ir mazāka nekā importa vērtība.</w:t>
      </w:r>
    </w:p>
    <w:p w14:paraId="1616BD08" w14:textId="65321700" w:rsidR="00FA2AC6" w:rsidRDefault="00FA2AC6" w:rsidP="00FA2AC6">
      <w:pPr>
        <w:rPr>
          <w:noProof/>
        </w:rPr>
      </w:pPr>
      <w:r>
        <w:rPr>
          <w:noProof/>
        </w:rPr>
        <w:t xml:space="preserve">Eksporta pieaugums šogad ir fiksēts arī pārējās preču grupās, bet ir būtiski zemāks nekā minerālproduktu, pārtikas un koksnes eksporta kāpums. Visu preču grupu eksporta vērtība, kā arī tās pārmaiņas ir atspoguļotas </w:t>
      </w:r>
      <w:r w:rsidRPr="00587030">
        <w:rPr>
          <w:noProof/>
        </w:rPr>
        <w:t>2. tabulā</w:t>
      </w:r>
      <w:r>
        <w:rPr>
          <w:noProof/>
        </w:rPr>
        <w:t>.</w:t>
      </w:r>
    </w:p>
    <w:p w14:paraId="015EA03F" w14:textId="77777777" w:rsidR="00FA2AC6" w:rsidRPr="00F96BD0" w:rsidRDefault="00FA2AC6" w:rsidP="00FA2AC6">
      <w:pPr>
        <w:pStyle w:val="Tabulasvirsraksts"/>
        <w:rPr>
          <w:rFonts w:eastAsia="Calibri"/>
          <w:iCs w:val="0"/>
        </w:rPr>
      </w:pPr>
      <w:r w:rsidRPr="00F96BD0">
        <w:rPr>
          <w:rFonts w:eastAsia="Calibri"/>
          <w:iCs w:val="0"/>
        </w:rPr>
        <w:t>2. tabula. Preču eksporta vērtība 2021</w:t>
      </w:r>
      <w:r w:rsidRPr="00F96BD0">
        <w:rPr>
          <w:iCs w:val="0"/>
        </w:rPr>
        <w:t>. g</w:t>
      </w:r>
      <w:r w:rsidRPr="00F96BD0">
        <w:rPr>
          <w:rFonts w:eastAsia="Calibri"/>
          <w:iCs w:val="0"/>
        </w:rPr>
        <w:t>ada un 2022</w:t>
      </w:r>
      <w:r w:rsidRPr="00F96BD0">
        <w:rPr>
          <w:iCs w:val="0"/>
        </w:rPr>
        <w:t>. g</w:t>
      </w:r>
      <w:r w:rsidRPr="00F96BD0">
        <w:rPr>
          <w:rFonts w:eastAsia="Calibri"/>
          <w:iCs w:val="0"/>
        </w:rPr>
        <w:t>ada pirmajos deviņos mēnešos (izmaiņas un preču grupu īpatsvars 2022</w:t>
      </w:r>
      <w:r w:rsidRPr="00F96BD0">
        <w:rPr>
          <w:iCs w:val="0"/>
        </w:rPr>
        <w:t>. g</w:t>
      </w:r>
      <w:r w:rsidRPr="00F96BD0">
        <w:rPr>
          <w:rFonts w:eastAsia="Calibri"/>
          <w:iCs w:val="0"/>
        </w:rPr>
        <w:t>ada deviņos mēnešos)</w:t>
      </w:r>
    </w:p>
    <w:tbl>
      <w:tblPr>
        <w:tblW w:w="8789" w:type="dxa"/>
        <w:jc w:val="center"/>
        <w:tblLook w:val="04A0" w:firstRow="1" w:lastRow="0" w:firstColumn="1" w:lastColumn="0" w:noHBand="0" w:noVBand="1"/>
      </w:tblPr>
      <w:tblGrid>
        <w:gridCol w:w="2694"/>
        <w:gridCol w:w="1134"/>
        <w:gridCol w:w="1134"/>
        <w:gridCol w:w="1134"/>
        <w:gridCol w:w="1275"/>
        <w:gridCol w:w="1418"/>
      </w:tblGrid>
      <w:tr w:rsidR="00FA2AC6" w:rsidRPr="00F96BD0" w14:paraId="43061857" w14:textId="77777777" w:rsidTr="00557A0A">
        <w:trPr>
          <w:trHeight w:val="600"/>
          <w:jc w:val="center"/>
        </w:trPr>
        <w:tc>
          <w:tcPr>
            <w:tcW w:w="2694"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2636372D" w14:textId="77777777" w:rsidR="00FA2AC6" w:rsidRPr="00F96BD0" w:rsidRDefault="00FA2AC6" w:rsidP="00557A0A">
            <w:pPr>
              <w:spacing w:before="0" w:after="0"/>
              <w:ind w:firstLine="0"/>
              <w:jc w:val="left"/>
              <w:rPr>
                <w:rFonts w:cs="Times New Roman"/>
                <w:b/>
                <w:bCs/>
                <w:sz w:val="20"/>
                <w:szCs w:val="20"/>
                <w:lang w:eastAsia="lv-LV"/>
              </w:rPr>
            </w:pPr>
            <w:r w:rsidRPr="00F96BD0">
              <w:rPr>
                <w:rFonts w:cs="Times New Roman"/>
                <w:b/>
                <w:bCs/>
                <w:sz w:val="20"/>
                <w:szCs w:val="20"/>
                <w:lang w:eastAsia="lv-LV"/>
              </w:rPr>
              <w:t>Preču grupa</w:t>
            </w:r>
          </w:p>
        </w:tc>
        <w:tc>
          <w:tcPr>
            <w:tcW w:w="1134"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08EF8C39" w14:textId="77777777" w:rsidR="00FA2AC6" w:rsidRPr="00F96BD0" w:rsidRDefault="00FA2AC6" w:rsidP="00557A0A">
            <w:pPr>
              <w:spacing w:before="0" w:after="0"/>
              <w:ind w:firstLine="0"/>
              <w:jc w:val="center"/>
              <w:rPr>
                <w:rFonts w:cs="Times New Roman"/>
                <w:b/>
                <w:bCs/>
                <w:noProof/>
                <w:sz w:val="20"/>
                <w:szCs w:val="20"/>
                <w:lang w:eastAsia="lv-LV"/>
              </w:rPr>
            </w:pPr>
            <w:r w:rsidRPr="00F96BD0">
              <w:rPr>
                <w:rFonts w:cs="Times New Roman"/>
                <w:b/>
                <w:bCs/>
                <w:noProof/>
                <w:sz w:val="20"/>
                <w:szCs w:val="20"/>
                <w:lang w:eastAsia="lv-LV"/>
              </w:rPr>
              <w:t xml:space="preserve">I-IX 2021 milj. </w:t>
            </w:r>
            <w:r w:rsidRPr="00F96BD0">
              <w:rPr>
                <w:rFonts w:cs="Times New Roman"/>
                <w:b/>
                <w:bCs/>
                <w:i/>
                <w:noProof/>
                <w:sz w:val="20"/>
                <w:szCs w:val="20"/>
                <w:lang w:eastAsia="lv-LV"/>
              </w:rPr>
              <w:t>euro</w:t>
            </w:r>
          </w:p>
        </w:tc>
        <w:tc>
          <w:tcPr>
            <w:tcW w:w="1134"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68E321A3" w14:textId="77777777" w:rsidR="00FA2AC6" w:rsidRPr="00F96BD0" w:rsidRDefault="00FA2AC6" w:rsidP="00557A0A">
            <w:pPr>
              <w:spacing w:before="0" w:after="0"/>
              <w:ind w:firstLine="0"/>
              <w:jc w:val="center"/>
              <w:rPr>
                <w:rFonts w:cs="Times New Roman"/>
                <w:b/>
                <w:bCs/>
                <w:noProof/>
                <w:sz w:val="20"/>
                <w:szCs w:val="20"/>
                <w:lang w:eastAsia="lv-LV"/>
              </w:rPr>
            </w:pPr>
            <w:r w:rsidRPr="00F96BD0">
              <w:rPr>
                <w:rFonts w:cs="Times New Roman"/>
                <w:b/>
                <w:bCs/>
                <w:noProof/>
                <w:sz w:val="20"/>
                <w:szCs w:val="20"/>
                <w:lang w:eastAsia="lv-LV"/>
              </w:rPr>
              <w:t xml:space="preserve">I-IX 2022 milj. </w:t>
            </w:r>
            <w:r w:rsidRPr="00F96BD0">
              <w:rPr>
                <w:rFonts w:cs="Times New Roman"/>
                <w:b/>
                <w:bCs/>
                <w:i/>
                <w:noProof/>
                <w:sz w:val="20"/>
                <w:szCs w:val="20"/>
                <w:lang w:eastAsia="lv-LV"/>
              </w:rPr>
              <w:t>euro</w:t>
            </w:r>
          </w:p>
        </w:tc>
        <w:tc>
          <w:tcPr>
            <w:tcW w:w="1134"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6C8E51E0" w14:textId="77777777" w:rsidR="00FA2AC6" w:rsidRPr="00F96BD0" w:rsidRDefault="00FA2AC6" w:rsidP="00557A0A">
            <w:pPr>
              <w:spacing w:before="0" w:after="0"/>
              <w:ind w:firstLine="0"/>
              <w:jc w:val="center"/>
              <w:rPr>
                <w:rFonts w:cs="Times New Roman"/>
                <w:b/>
                <w:bCs/>
                <w:noProof/>
                <w:sz w:val="20"/>
                <w:szCs w:val="20"/>
                <w:lang w:eastAsia="lv-LV"/>
              </w:rPr>
            </w:pPr>
            <w:r w:rsidRPr="00F96BD0">
              <w:rPr>
                <w:rFonts w:cs="Times New Roman"/>
                <w:b/>
                <w:bCs/>
                <w:noProof/>
                <w:sz w:val="20"/>
                <w:szCs w:val="20"/>
                <w:lang w:eastAsia="lv-LV"/>
              </w:rPr>
              <w:t>Izmaiņas, %</w:t>
            </w:r>
          </w:p>
        </w:tc>
        <w:tc>
          <w:tcPr>
            <w:tcW w:w="1275"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2AE7F6DC" w14:textId="77777777" w:rsidR="00FA2AC6" w:rsidRPr="00F96BD0" w:rsidRDefault="00FA2AC6" w:rsidP="00557A0A">
            <w:pPr>
              <w:spacing w:before="0" w:after="0"/>
              <w:ind w:firstLine="0"/>
              <w:jc w:val="center"/>
              <w:rPr>
                <w:rFonts w:cs="Times New Roman"/>
                <w:b/>
                <w:bCs/>
                <w:noProof/>
                <w:sz w:val="20"/>
                <w:szCs w:val="20"/>
                <w:lang w:eastAsia="lv-LV"/>
              </w:rPr>
            </w:pPr>
            <w:r w:rsidRPr="00F96BD0">
              <w:rPr>
                <w:rFonts w:cs="Times New Roman"/>
                <w:b/>
                <w:bCs/>
                <w:noProof/>
                <w:sz w:val="20"/>
                <w:szCs w:val="20"/>
                <w:lang w:eastAsia="lv-LV"/>
              </w:rPr>
              <w:t xml:space="preserve">Izmaiņas, milj. </w:t>
            </w:r>
            <w:r w:rsidRPr="00F96BD0">
              <w:rPr>
                <w:rFonts w:cs="Times New Roman"/>
                <w:b/>
                <w:bCs/>
                <w:i/>
                <w:noProof/>
                <w:sz w:val="20"/>
                <w:szCs w:val="20"/>
                <w:lang w:eastAsia="lv-LV"/>
              </w:rPr>
              <w:t>euro</w:t>
            </w:r>
          </w:p>
        </w:tc>
        <w:tc>
          <w:tcPr>
            <w:tcW w:w="1418"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1FF632C3" w14:textId="77777777" w:rsidR="00FA2AC6" w:rsidRPr="00F96BD0" w:rsidRDefault="00FA2AC6" w:rsidP="00557A0A">
            <w:pPr>
              <w:spacing w:before="0" w:after="0"/>
              <w:ind w:firstLine="0"/>
              <w:jc w:val="center"/>
              <w:rPr>
                <w:rFonts w:cs="Times New Roman"/>
                <w:b/>
                <w:bCs/>
                <w:noProof/>
                <w:sz w:val="20"/>
                <w:szCs w:val="20"/>
                <w:lang w:eastAsia="lv-LV"/>
              </w:rPr>
            </w:pPr>
            <w:r w:rsidRPr="00F96BD0">
              <w:rPr>
                <w:rFonts w:cs="Times New Roman"/>
                <w:b/>
                <w:bCs/>
                <w:noProof/>
                <w:sz w:val="20"/>
                <w:szCs w:val="20"/>
                <w:lang w:eastAsia="lv-LV"/>
              </w:rPr>
              <w:t>Preču grupu īpatsvars, %</w:t>
            </w:r>
          </w:p>
        </w:tc>
      </w:tr>
      <w:tr w:rsidR="00FA2AC6" w:rsidRPr="00F96BD0" w14:paraId="230711C2"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5BE08F9B"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Lauksaimniecības preces un pārtika</w:t>
            </w:r>
          </w:p>
        </w:tc>
        <w:tc>
          <w:tcPr>
            <w:tcW w:w="1134" w:type="dxa"/>
            <w:tcBorders>
              <w:top w:val="nil"/>
              <w:left w:val="nil"/>
              <w:bottom w:val="single" w:sz="4" w:space="0" w:color="auto"/>
              <w:right w:val="single" w:sz="4" w:space="0" w:color="auto"/>
            </w:tcBorders>
            <w:shd w:val="clear" w:color="auto" w:fill="auto"/>
            <w:noWrap/>
            <w:vAlign w:val="center"/>
            <w:hideMark/>
          </w:tcPr>
          <w:p w14:paraId="50F20A85"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2 114</w:t>
            </w:r>
          </w:p>
        </w:tc>
        <w:tc>
          <w:tcPr>
            <w:tcW w:w="1134" w:type="dxa"/>
            <w:tcBorders>
              <w:top w:val="nil"/>
              <w:left w:val="nil"/>
              <w:bottom w:val="single" w:sz="4" w:space="0" w:color="auto"/>
              <w:right w:val="single" w:sz="4" w:space="0" w:color="auto"/>
            </w:tcBorders>
            <w:shd w:val="clear" w:color="auto" w:fill="auto"/>
            <w:noWrap/>
            <w:vAlign w:val="center"/>
            <w:hideMark/>
          </w:tcPr>
          <w:p w14:paraId="708A68A7"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2 985</w:t>
            </w:r>
          </w:p>
        </w:tc>
        <w:tc>
          <w:tcPr>
            <w:tcW w:w="1134" w:type="dxa"/>
            <w:tcBorders>
              <w:top w:val="nil"/>
              <w:left w:val="nil"/>
              <w:bottom w:val="single" w:sz="4" w:space="0" w:color="auto"/>
              <w:right w:val="single" w:sz="4" w:space="0" w:color="auto"/>
            </w:tcBorders>
            <w:shd w:val="clear" w:color="auto" w:fill="auto"/>
            <w:noWrap/>
            <w:vAlign w:val="center"/>
            <w:hideMark/>
          </w:tcPr>
          <w:p w14:paraId="08DDD4CB"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41</w:t>
            </w:r>
          </w:p>
        </w:tc>
        <w:tc>
          <w:tcPr>
            <w:tcW w:w="1275" w:type="dxa"/>
            <w:tcBorders>
              <w:top w:val="nil"/>
              <w:left w:val="nil"/>
              <w:bottom w:val="single" w:sz="4" w:space="0" w:color="auto"/>
              <w:right w:val="single" w:sz="4" w:space="0" w:color="auto"/>
            </w:tcBorders>
            <w:shd w:val="clear" w:color="auto" w:fill="auto"/>
            <w:noWrap/>
            <w:vAlign w:val="center"/>
            <w:hideMark/>
          </w:tcPr>
          <w:p w14:paraId="4139289E"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871</w:t>
            </w:r>
          </w:p>
        </w:tc>
        <w:tc>
          <w:tcPr>
            <w:tcW w:w="1418" w:type="dxa"/>
            <w:tcBorders>
              <w:top w:val="nil"/>
              <w:left w:val="nil"/>
              <w:bottom w:val="single" w:sz="4" w:space="0" w:color="auto"/>
              <w:right w:val="single" w:sz="4" w:space="0" w:color="auto"/>
            </w:tcBorders>
            <w:shd w:val="clear" w:color="auto" w:fill="auto"/>
            <w:noWrap/>
            <w:vAlign w:val="center"/>
            <w:hideMark/>
          </w:tcPr>
          <w:p w14:paraId="48D80A11"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19</w:t>
            </w:r>
          </w:p>
        </w:tc>
      </w:tr>
      <w:tr w:rsidR="00FA2AC6" w:rsidRPr="00F96BD0" w14:paraId="17394BA2"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61410250"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Koks un koka izstrādājumi</w:t>
            </w:r>
          </w:p>
        </w:tc>
        <w:tc>
          <w:tcPr>
            <w:tcW w:w="1134" w:type="dxa"/>
            <w:tcBorders>
              <w:top w:val="nil"/>
              <w:left w:val="nil"/>
              <w:bottom w:val="single" w:sz="4" w:space="0" w:color="auto"/>
              <w:right w:val="single" w:sz="4" w:space="0" w:color="auto"/>
            </w:tcBorders>
            <w:shd w:val="clear" w:color="auto" w:fill="auto"/>
            <w:noWrap/>
            <w:vAlign w:val="center"/>
            <w:hideMark/>
          </w:tcPr>
          <w:p w14:paraId="160291CE"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2 329</w:t>
            </w:r>
          </w:p>
        </w:tc>
        <w:tc>
          <w:tcPr>
            <w:tcW w:w="1134" w:type="dxa"/>
            <w:tcBorders>
              <w:top w:val="nil"/>
              <w:left w:val="nil"/>
              <w:bottom w:val="single" w:sz="4" w:space="0" w:color="auto"/>
              <w:right w:val="single" w:sz="4" w:space="0" w:color="auto"/>
            </w:tcBorders>
            <w:shd w:val="clear" w:color="auto" w:fill="auto"/>
            <w:noWrap/>
            <w:vAlign w:val="center"/>
            <w:hideMark/>
          </w:tcPr>
          <w:p w14:paraId="7BA03E09"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2 850</w:t>
            </w:r>
          </w:p>
        </w:tc>
        <w:tc>
          <w:tcPr>
            <w:tcW w:w="1134" w:type="dxa"/>
            <w:tcBorders>
              <w:top w:val="nil"/>
              <w:left w:val="nil"/>
              <w:bottom w:val="single" w:sz="4" w:space="0" w:color="auto"/>
              <w:right w:val="single" w:sz="4" w:space="0" w:color="auto"/>
            </w:tcBorders>
            <w:shd w:val="clear" w:color="auto" w:fill="auto"/>
            <w:noWrap/>
            <w:vAlign w:val="center"/>
            <w:hideMark/>
          </w:tcPr>
          <w:p w14:paraId="4D78D3EF"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22</w:t>
            </w:r>
          </w:p>
        </w:tc>
        <w:tc>
          <w:tcPr>
            <w:tcW w:w="1275" w:type="dxa"/>
            <w:tcBorders>
              <w:top w:val="nil"/>
              <w:left w:val="nil"/>
              <w:bottom w:val="single" w:sz="4" w:space="0" w:color="auto"/>
              <w:right w:val="single" w:sz="4" w:space="0" w:color="auto"/>
            </w:tcBorders>
            <w:shd w:val="clear" w:color="auto" w:fill="auto"/>
            <w:noWrap/>
            <w:vAlign w:val="center"/>
            <w:hideMark/>
          </w:tcPr>
          <w:p w14:paraId="2F674A9F"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521</w:t>
            </w:r>
          </w:p>
        </w:tc>
        <w:tc>
          <w:tcPr>
            <w:tcW w:w="1418" w:type="dxa"/>
            <w:tcBorders>
              <w:top w:val="nil"/>
              <w:left w:val="nil"/>
              <w:bottom w:val="single" w:sz="4" w:space="0" w:color="auto"/>
              <w:right w:val="single" w:sz="4" w:space="0" w:color="auto"/>
            </w:tcBorders>
            <w:shd w:val="clear" w:color="auto" w:fill="auto"/>
            <w:noWrap/>
            <w:vAlign w:val="center"/>
            <w:hideMark/>
          </w:tcPr>
          <w:p w14:paraId="28A68497"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18</w:t>
            </w:r>
          </w:p>
        </w:tc>
      </w:tr>
      <w:tr w:rsidR="00FA2AC6" w:rsidRPr="00F96BD0" w14:paraId="1D2CCFBD"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0C1730DD"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Mehānismi un ierīces, t.sk. elektroierīces</w:t>
            </w:r>
          </w:p>
        </w:tc>
        <w:tc>
          <w:tcPr>
            <w:tcW w:w="1134" w:type="dxa"/>
            <w:tcBorders>
              <w:top w:val="nil"/>
              <w:left w:val="nil"/>
              <w:bottom w:val="single" w:sz="4" w:space="0" w:color="auto"/>
              <w:right w:val="single" w:sz="4" w:space="0" w:color="auto"/>
            </w:tcBorders>
            <w:shd w:val="clear" w:color="auto" w:fill="auto"/>
            <w:noWrap/>
            <w:vAlign w:val="center"/>
            <w:hideMark/>
          </w:tcPr>
          <w:p w14:paraId="70BA4BCC"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1 935</w:t>
            </w:r>
          </w:p>
        </w:tc>
        <w:tc>
          <w:tcPr>
            <w:tcW w:w="1134" w:type="dxa"/>
            <w:tcBorders>
              <w:top w:val="nil"/>
              <w:left w:val="nil"/>
              <w:bottom w:val="single" w:sz="4" w:space="0" w:color="auto"/>
              <w:right w:val="single" w:sz="4" w:space="0" w:color="auto"/>
            </w:tcBorders>
            <w:shd w:val="clear" w:color="auto" w:fill="auto"/>
            <w:noWrap/>
            <w:vAlign w:val="center"/>
            <w:hideMark/>
          </w:tcPr>
          <w:p w14:paraId="35FAD62F"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2 175</w:t>
            </w:r>
          </w:p>
        </w:tc>
        <w:tc>
          <w:tcPr>
            <w:tcW w:w="1134" w:type="dxa"/>
            <w:tcBorders>
              <w:top w:val="nil"/>
              <w:left w:val="nil"/>
              <w:bottom w:val="single" w:sz="4" w:space="0" w:color="auto"/>
              <w:right w:val="single" w:sz="4" w:space="0" w:color="auto"/>
            </w:tcBorders>
            <w:shd w:val="clear" w:color="auto" w:fill="auto"/>
            <w:noWrap/>
            <w:vAlign w:val="center"/>
            <w:hideMark/>
          </w:tcPr>
          <w:p w14:paraId="72F79353"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12</w:t>
            </w:r>
          </w:p>
        </w:tc>
        <w:tc>
          <w:tcPr>
            <w:tcW w:w="1275" w:type="dxa"/>
            <w:tcBorders>
              <w:top w:val="nil"/>
              <w:left w:val="nil"/>
              <w:bottom w:val="single" w:sz="4" w:space="0" w:color="auto"/>
              <w:right w:val="single" w:sz="4" w:space="0" w:color="auto"/>
            </w:tcBorders>
            <w:shd w:val="clear" w:color="auto" w:fill="auto"/>
            <w:noWrap/>
            <w:vAlign w:val="center"/>
            <w:hideMark/>
          </w:tcPr>
          <w:p w14:paraId="1EDBD795"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240</w:t>
            </w:r>
          </w:p>
        </w:tc>
        <w:tc>
          <w:tcPr>
            <w:tcW w:w="1418" w:type="dxa"/>
            <w:tcBorders>
              <w:top w:val="nil"/>
              <w:left w:val="nil"/>
              <w:bottom w:val="single" w:sz="4" w:space="0" w:color="auto"/>
              <w:right w:val="single" w:sz="4" w:space="0" w:color="auto"/>
            </w:tcBorders>
            <w:shd w:val="clear" w:color="auto" w:fill="auto"/>
            <w:noWrap/>
            <w:vAlign w:val="center"/>
            <w:hideMark/>
          </w:tcPr>
          <w:p w14:paraId="72EA2F7D"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14</w:t>
            </w:r>
          </w:p>
        </w:tc>
      </w:tr>
      <w:tr w:rsidR="00FA2AC6" w:rsidRPr="00F96BD0" w14:paraId="012E2399"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5B2A4CEA" w14:textId="77777777" w:rsidR="00FA2AC6" w:rsidRPr="00F96BD0" w:rsidRDefault="00FA2AC6" w:rsidP="00557A0A">
            <w:pPr>
              <w:spacing w:before="0" w:after="0"/>
              <w:ind w:firstLine="0"/>
              <w:jc w:val="left"/>
              <w:rPr>
                <w:rFonts w:cs="Times New Roman"/>
                <w:noProof/>
                <w:sz w:val="20"/>
                <w:szCs w:val="20"/>
                <w:lang w:eastAsia="lv-LV"/>
              </w:rPr>
            </w:pPr>
            <w:r w:rsidRPr="00F96BD0">
              <w:rPr>
                <w:rFonts w:cs="Times New Roman"/>
                <w:noProof/>
                <w:sz w:val="20"/>
                <w:szCs w:val="20"/>
                <w:lang w:eastAsia="lv-LV"/>
              </w:rPr>
              <w:t>Minerālprodukti</w:t>
            </w:r>
          </w:p>
        </w:tc>
        <w:tc>
          <w:tcPr>
            <w:tcW w:w="1134" w:type="dxa"/>
            <w:tcBorders>
              <w:top w:val="nil"/>
              <w:left w:val="nil"/>
              <w:bottom w:val="single" w:sz="4" w:space="0" w:color="auto"/>
              <w:right w:val="single" w:sz="4" w:space="0" w:color="auto"/>
            </w:tcBorders>
            <w:shd w:val="clear" w:color="auto" w:fill="auto"/>
            <w:noWrap/>
            <w:vAlign w:val="center"/>
            <w:hideMark/>
          </w:tcPr>
          <w:p w14:paraId="00D5A340"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633</w:t>
            </w:r>
          </w:p>
        </w:tc>
        <w:tc>
          <w:tcPr>
            <w:tcW w:w="1134" w:type="dxa"/>
            <w:tcBorders>
              <w:top w:val="nil"/>
              <w:left w:val="nil"/>
              <w:bottom w:val="single" w:sz="4" w:space="0" w:color="auto"/>
              <w:right w:val="single" w:sz="4" w:space="0" w:color="auto"/>
            </w:tcBorders>
            <w:shd w:val="clear" w:color="auto" w:fill="auto"/>
            <w:noWrap/>
            <w:vAlign w:val="center"/>
            <w:hideMark/>
          </w:tcPr>
          <w:p w14:paraId="1EE4737E"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1 801</w:t>
            </w:r>
          </w:p>
        </w:tc>
        <w:tc>
          <w:tcPr>
            <w:tcW w:w="1134" w:type="dxa"/>
            <w:tcBorders>
              <w:top w:val="nil"/>
              <w:left w:val="nil"/>
              <w:bottom w:val="single" w:sz="4" w:space="0" w:color="auto"/>
              <w:right w:val="single" w:sz="4" w:space="0" w:color="auto"/>
            </w:tcBorders>
            <w:shd w:val="clear" w:color="auto" w:fill="auto"/>
            <w:noWrap/>
            <w:vAlign w:val="center"/>
            <w:hideMark/>
          </w:tcPr>
          <w:p w14:paraId="3D2F66D1"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185</w:t>
            </w:r>
          </w:p>
        </w:tc>
        <w:tc>
          <w:tcPr>
            <w:tcW w:w="1275" w:type="dxa"/>
            <w:tcBorders>
              <w:top w:val="nil"/>
              <w:left w:val="nil"/>
              <w:bottom w:val="single" w:sz="4" w:space="0" w:color="auto"/>
              <w:right w:val="single" w:sz="4" w:space="0" w:color="auto"/>
            </w:tcBorders>
            <w:shd w:val="clear" w:color="auto" w:fill="auto"/>
            <w:noWrap/>
            <w:vAlign w:val="center"/>
            <w:hideMark/>
          </w:tcPr>
          <w:p w14:paraId="5E882E30"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1 168</w:t>
            </w:r>
          </w:p>
        </w:tc>
        <w:tc>
          <w:tcPr>
            <w:tcW w:w="1418" w:type="dxa"/>
            <w:tcBorders>
              <w:top w:val="nil"/>
              <w:left w:val="nil"/>
              <w:bottom w:val="single" w:sz="4" w:space="0" w:color="auto"/>
              <w:right w:val="single" w:sz="4" w:space="0" w:color="auto"/>
            </w:tcBorders>
            <w:shd w:val="clear" w:color="auto" w:fill="auto"/>
            <w:noWrap/>
            <w:vAlign w:val="center"/>
            <w:hideMark/>
          </w:tcPr>
          <w:p w14:paraId="2960C9E5"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12</w:t>
            </w:r>
          </w:p>
        </w:tc>
      </w:tr>
      <w:tr w:rsidR="00FA2AC6" w:rsidRPr="00F96BD0" w14:paraId="49832C48"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62184A0B"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Ķīmiskās rūpniecības ražojumi</w:t>
            </w:r>
          </w:p>
        </w:tc>
        <w:tc>
          <w:tcPr>
            <w:tcW w:w="1134" w:type="dxa"/>
            <w:tcBorders>
              <w:top w:val="nil"/>
              <w:left w:val="nil"/>
              <w:bottom w:val="single" w:sz="4" w:space="0" w:color="auto"/>
              <w:right w:val="single" w:sz="4" w:space="0" w:color="auto"/>
            </w:tcBorders>
            <w:shd w:val="clear" w:color="auto" w:fill="auto"/>
            <w:noWrap/>
            <w:vAlign w:val="center"/>
            <w:hideMark/>
          </w:tcPr>
          <w:p w14:paraId="58DD814E"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986</w:t>
            </w:r>
          </w:p>
        </w:tc>
        <w:tc>
          <w:tcPr>
            <w:tcW w:w="1134" w:type="dxa"/>
            <w:tcBorders>
              <w:top w:val="nil"/>
              <w:left w:val="nil"/>
              <w:bottom w:val="single" w:sz="4" w:space="0" w:color="auto"/>
              <w:right w:val="single" w:sz="4" w:space="0" w:color="auto"/>
            </w:tcBorders>
            <w:shd w:val="clear" w:color="auto" w:fill="auto"/>
            <w:noWrap/>
            <w:vAlign w:val="center"/>
            <w:hideMark/>
          </w:tcPr>
          <w:p w14:paraId="44B67590"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1 294</w:t>
            </w:r>
          </w:p>
        </w:tc>
        <w:tc>
          <w:tcPr>
            <w:tcW w:w="1134" w:type="dxa"/>
            <w:tcBorders>
              <w:top w:val="nil"/>
              <w:left w:val="nil"/>
              <w:bottom w:val="single" w:sz="4" w:space="0" w:color="auto"/>
              <w:right w:val="single" w:sz="4" w:space="0" w:color="auto"/>
            </w:tcBorders>
            <w:shd w:val="clear" w:color="auto" w:fill="auto"/>
            <w:noWrap/>
            <w:vAlign w:val="center"/>
            <w:hideMark/>
          </w:tcPr>
          <w:p w14:paraId="26C8E231"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31</w:t>
            </w:r>
          </w:p>
        </w:tc>
        <w:tc>
          <w:tcPr>
            <w:tcW w:w="1275" w:type="dxa"/>
            <w:tcBorders>
              <w:top w:val="nil"/>
              <w:left w:val="nil"/>
              <w:bottom w:val="single" w:sz="4" w:space="0" w:color="auto"/>
              <w:right w:val="single" w:sz="4" w:space="0" w:color="auto"/>
            </w:tcBorders>
            <w:shd w:val="clear" w:color="auto" w:fill="auto"/>
            <w:noWrap/>
            <w:vAlign w:val="center"/>
            <w:hideMark/>
          </w:tcPr>
          <w:p w14:paraId="039A3338"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308</w:t>
            </w:r>
          </w:p>
        </w:tc>
        <w:tc>
          <w:tcPr>
            <w:tcW w:w="1418" w:type="dxa"/>
            <w:tcBorders>
              <w:top w:val="nil"/>
              <w:left w:val="nil"/>
              <w:bottom w:val="single" w:sz="4" w:space="0" w:color="auto"/>
              <w:right w:val="single" w:sz="4" w:space="0" w:color="auto"/>
            </w:tcBorders>
            <w:shd w:val="clear" w:color="auto" w:fill="auto"/>
            <w:noWrap/>
            <w:vAlign w:val="center"/>
            <w:hideMark/>
          </w:tcPr>
          <w:p w14:paraId="4DAB8E69"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8</w:t>
            </w:r>
          </w:p>
        </w:tc>
      </w:tr>
      <w:tr w:rsidR="00FA2AC6" w:rsidRPr="00F96BD0" w14:paraId="628440C5"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4846B3B4"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Metāli un to izstrādājumi</w:t>
            </w:r>
          </w:p>
        </w:tc>
        <w:tc>
          <w:tcPr>
            <w:tcW w:w="1134" w:type="dxa"/>
            <w:tcBorders>
              <w:top w:val="nil"/>
              <w:left w:val="nil"/>
              <w:bottom w:val="single" w:sz="4" w:space="0" w:color="auto"/>
              <w:right w:val="single" w:sz="4" w:space="0" w:color="auto"/>
            </w:tcBorders>
            <w:shd w:val="clear" w:color="auto" w:fill="auto"/>
            <w:noWrap/>
            <w:vAlign w:val="center"/>
            <w:hideMark/>
          </w:tcPr>
          <w:p w14:paraId="5B68C94B"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1 144</w:t>
            </w:r>
          </w:p>
        </w:tc>
        <w:tc>
          <w:tcPr>
            <w:tcW w:w="1134" w:type="dxa"/>
            <w:tcBorders>
              <w:top w:val="nil"/>
              <w:left w:val="nil"/>
              <w:bottom w:val="single" w:sz="4" w:space="0" w:color="auto"/>
              <w:right w:val="single" w:sz="4" w:space="0" w:color="auto"/>
            </w:tcBorders>
            <w:shd w:val="clear" w:color="auto" w:fill="auto"/>
            <w:noWrap/>
            <w:vAlign w:val="center"/>
            <w:hideMark/>
          </w:tcPr>
          <w:p w14:paraId="5DFF3855"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1 143</w:t>
            </w:r>
          </w:p>
        </w:tc>
        <w:tc>
          <w:tcPr>
            <w:tcW w:w="1134" w:type="dxa"/>
            <w:tcBorders>
              <w:top w:val="nil"/>
              <w:left w:val="nil"/>
              <w:bottom w:val="single" w:sz="4" w:space="0" w:color="auto"/>
              <w:right w:val="single" w:sz="4" w:space="0" w:color="auto"/>
            </w:tcBorders>
            <w:shd w:val="clear" w:color="auto" w:fill="auto"/>
            <w:noWrap/>
            <w:vAlign w:val="center"/>
            <w:hideMark/>
          </w:tcPr>
          <w:p w14:paraId="2320F8E9"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0</w:t>
            </w:r>
          </w:p>
        </w:tc>
        <w:tc>
          <w:tcPr>
            <w:tcW w:w="1275" w:type="dxa"/>
            <w:tcBorders>
              <w:top w:val="nil"/>
              <w:left w:val="nil"/>
              <w:bottom w:val="single" w:sz="4" w:space="0" w:color="auto"/>
              <w:right w:val="single" w:sz="4" w:space="0" w:color="auto"/>
            </w:tcBorders>
            <w:shd w:val="clear" w:color="auto" w:fill="auto"/>
            <w:noWrap/>
            <w:vAlign w:val="center"/>
            <w:hideMark/>
          </w:tcPr>
          <w:p w14:paraId="42F9C8ED"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w:t>
            </w:r>
          </w:p>
        </w:tc>
        <w:tc>
          <w:tcPr>
            <w:tcW w:w="1418" w:type="dxa"/>
            <w:tcBorders>
              <w:top w:val="nil"/>
              <w:left w:val="nil"/>
              <w:bottom w:val="single" w:sz="4" w:space="0" w:color="auto"/>
              <w:right w:val="single" w:sz="4" w:space="0" w:color="auto"/>
            </w:tcBorders>
            <w:shd w:val="clear" w:color="auto" w:fill="auto"/>
            <w:noWrap/>
            <w:vAlign w:val="center"/>
            <w:hideMark/>
          </w:tcPr>
          <w:p w14:paraId="039E147A"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7</w:t>
            </w:r>
          </w:p>
        </w:tc>
      </w:tr>
      <w:tr w:rsidR="00FA2AC6" w:rsidRPr="00F96BD0" w14:paraId="085A6E6A"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06B5A51B"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 xml:space="preserve">Pārējās preces </w:t>
            </w:r>
          </w:p>
        </w:tc>
        <w:tc>
          <w:tcPr>
            <w:tcW w:w="1134" w:type="dxa"/>
            <w:tcBorders>
              <w:top w:val="nil"/>
              <w:left w:val="nil"/>
              <w:bottom w:val="single" w:sz="4" w:space="0" w:color="auto"/>
              <w:right w:val="single" w:sz="4" w:space="0" w:color="auto"/>
            </w:tcBorders>
            <w:shd w:val="clear" w:color="auto" w:fill="auto"/>
            <w:noWrap/>
            <w:vAlign w:val="center"/>
            <w:hideMark/>
          </w:tcPr>
          <w:p w14:paraId="018BA0A1"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739</w:t>
            </w:r>
          </w:p>
        </w:tc>
        <w:tc>
          <w:tcPr>
            <w:tcW w:w="1134" w:type="dxa"/>
            <w:tcBorders>
              <w:top w:val="nil"/>
              <w:left w:val="nil"/>
              <w:bottom w:val="single" w:sz="4" w:space="0" w:color="auto"/>
              <w:right w:val="single" w:sz="4" w:space="0" w:color="auto"/>
            </w:tcBorders>
            <w:shd w:val="clear" w:color="auto" w:fill="auto"/>
            <w:noWrap/>
            <w:vAlign w:val="center"/>
            <w:hideMark/>
          </w:tcPr>
          <w:p w14:paraId="649DED38"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917</w:t>
            </w:r>
          </w:p>
        </w:tc>
        <w:tc>
          <w:tcPr>
            <w:tcW w:w="1134" w:type="dxa"/>
            <w:tcBorders>
              <w:top w:val="nil"/>
              <w:left w:val="nil"/>
              <w:bottom w:val="single" w:sz="4" w:space="0" w:color="auto"/>
              <w:right w:val="single" w:sz="4" w:space="0" w:color="auto"/>
            </w:tcBorders>
            <w:shd w:val="clear" w:color="auto" w:fill="auto"/>
            <w:noWrap/>
            <w:vAlign w:val="center"/>
            <w:hideMark/>
          </w:tcPr>
          <w:p w14:paraId="19A2680C"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24</w:t>
            </w:r>
          </w:p>
        </w:tc>
        <w:tc>
          <w:tcPr>
            <w:tcW w:w="1275" w:type="dxa"/>
            <w:tcBorders>
              <w:top w:val="nil"/>
              <w:left w:val="nil"/>
              <w:bottom w:val="single" w:sz="4" w:space="0" w:color="auto"/>
              <w:right w:val="single" w:sz="4" w:space="0" w:color="auto"/>
            </w:tcBorders>
            <w:shd w:val="clear" w:color="auto" w:fill="auto"/>
            <w:noWrap/>
            <w:vAlign w:val="center"/>
            <w:hideMark/>
          </w:tcPr>
          <w:p w14:paraId="067E461E"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179</w:t>
            </w:r>
          </w:p>
        </w:tc>
        <w:tc>
          <w:tcPr>
            <w:tcW w:w="1418" w:type="dxa"/>
            <w:tcBorders>
              <w:top w:val="nil"/>
              <w:left w:val="nil"/>
              <w:bottom w:val="single" w:sz="4" w:space="0" w:color="auto"/>
              <w:right w:val="single" w:sz="4" w:space="0" w:color="auto"/>
            </w:tcBorders>
            <w:shd w:val="clear" w:color="auto" w:fill="auto"/>
            <w:noWrap/>
            <w:vAlign w:val="center"/>
            <w:hideMark/>
          </w:tcPr>
          <w:p w14:paraId="35549164"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6</w:t>
            </w:r>
          </w:p>
        </w:tc>
      </w:tr>
      <w:tr w:rsidR="00FA2AC6" w:rsidRPr="00F96BD0" w14:paraId="3861193C"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104A9E1F"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 xml:space="preserve">Satiksmes līdzekļi </w:t>
            </w:r>
          </w:p>
        </w:tc>
        <w:tc>
          <w:tcPr>
            <w:tcW w:w="1134" w:type="dxa"/>
            <w:tcBorders>
              <w:top w:val="nil"/>
              <w:left w:val="nil"/>
              <w:bottom w:val="single" w:sz="4" w:space="0" w:color="auto"/>
              <w:right w:val="single" w:sz="4" w:space="0" w:color="auto"/>
            </w:tcBorders>
            <w:shd w:val="clear" w:color="auto" w:fill="auto"/>
            <w:noWrap/>
            <w:vAlign w:val="center"/>
            <w:hideMark/>
          </w:tcPr>
          <w:p w14:paraId="19A0B4ED"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574</w:t>
            </w:r>
          </w:p>
        </w:tc>
        <w:tc>
          <w:tcPr>
            <w:tcW w:w="1134" w:type="dxa"/>
            <w:tcBorders>
              <w:top w:val="nil"/>
              <w:left w:val="nil"/>
              <w:bottom w:val="single" w:sz="4" w:space="0" w:color="auto"/>
              <w:right w:val="single" w:sz="4" w:space="0" w:color="auto"/>
            </w:tcBorders>
            <w:shd w:val="clear" w:color="auto" w:fill="auto"/>
            <w:noWrap/>
            <w:vAlign w:val="center"/>
            <w:hideMark/>
          </w:tcPr>
          <w:p w14:paraId="45499B46"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716</w:t>
            </w:r>
          </w:p>
        </w:tc>
        <w:tc>
          <w:tcPr>
            <w:tcW w:w="1134" w:type="dxa"/>
            <w:tcBorders>
              <w:top w:val="nil"/>
              <w:left w:val="nil"/>
              <w:bottom w:val="single" w:sz="4" w:space="0" w:color="auto"/>
              <w:right w:val="single" w:sz="4" w:space="0" w:color="auto"/>
            </w:tcBorders>
            <w:shd w:val="clear" w:color="auto" w:fill="auto"/>
            <w:noWrap/>
            <w:vAlign w:val="center"/>
            <w:hideMark/>
          </w:tcPr>
          <w:p w14:paraId="33D6A898"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25</w:t>
            </w:r>
          </w:p>
        </w:tc>
        <w:tc>
          <w:tcPr>
            <w:tcW w:w="1275" w:type="dxa"/>
            <w:tcBorders>
              <w:top w:val="nil"/>
              <w:left w:val="nil"/>
              <w:bottom w:val="single" w:sz="4" w:space="0" w:color="auto"/>
              <w:right w:val="single" w:sz="4" w:space="0" w:color="auto"/>
            </w:tcBorders>
            <w:shd w:val="clear" w:color="auto" w:fill="auto"/>
            <w:noWrap/>
            <w:vAlign w:val="center"/>
            <w:hideMark/>
          </w:tcPr>
          <w:p w14:paraId="4D0E92BB"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142</w:t>
            </w:r>
          </w:p>
        </w:tc>
        <w:tc>
          <w:tcPr>
            <w:tcW w:w="1418" w:type="dxa"/>
            <w:tcBorders>
              <w:top w:val="nil"/>
              <w:left w:val="nil"/>
              <w:bottom w:val="single" w:sz="4" w:space="0" w:color="auto"/>
              <w:right w:val="single" w:sz="4" w:space="0" w:color="auto"/>
            </w:tcBorders>
            <w:shd w:val="clear" w:color="auto" w:fill="auto"/>
            <w:noWrap/>
            <w:vAlign w:val="center"/>
            <w:hideMark/>
          </w:tcPr>
          <w:p w14:paraId="431FDCA9"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5</w:t>
            </w:r>
          </w:p>
        </w:tc>
      </w:tr>
      <w:tr w:rsidR="00FA2AC6" w:rsidRPr="00F96BD0" w14:paraId="02F1C83C"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0011E479"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Plastmasas, kaučuks un to izstrādājumi</w:t>
            </w:r>
          </w:p>
        </w:tc>
        <w:tc>
          <w:tcPr>
            <w:tcW w:w="1134" w:type="dxa"/>
            <w:tcBorders>
              <w:top w:val="nil"/>
              <w:left w:val="nil"/>
              <w:bottom w:val="single" w:sz="4" w:space="0" w:color="auto"/>
              <w:right w:val="single" w:sz="4" w:space="0" w:color="auto"/>
            </w:tcBorders>
            <w:shd w:val="clear" w:color="auto" w:fill="auto"/>
            <w:noWrap/>
            <w:vAlign w:val="center"/>
            <w:hideMark/>
          </w:tcPr>
          <w:p w14:paraId="4976A8FC"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416</w:t>
            </w:r>
          </w:p>
        </w:tc>
        <w:tc>
          <w:tcPr>
            <w:tcW w:w="1134" w:type="dxa"/>
            <w:tcBorders>
              <w:top w:val="nil"/>
              <w:left w:val="nil"/>
              <w:bottom w:val="single" w:sz="4" w:space="0" w:color="auto"/>
              <w:right w:val="single" w:sz="4" w:space="0" w:color="auto"/>
            </w:tcBorders>
            <w:shd w:val="clear" w:color="auto" w:fill="auto"/>
            <w:noWrap/>
            <w:vAlign w:val="center"/>
            <w:hideMark/>
          </w:tcPr>
          <w:p w14:paraId="683D99C5"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530</w:t>
            </w:r>
          </w:p>
        </w:tc>
        <w:tc>
          <w:tcPr>
            <w:tcW w:w="1134" w:type="dxa"/>
            <w:tcBorders>
              <w:top w:val="nil"/>
              <w:left w:val="nil"/>
              <w:bottom w:val="single" w:sz="4" w:space="0" w:color="auto"/>
              <w:right w:val="single" w:sz="4" w:space="0" w:color="auto"/>
            </w:tcBorders>
            <w:shd w:val="clear" w:color="auto" w:fill="auto"/>
            <w:noWrap/>
            <w:vAlign w:val="center"/>
            <w:hideMark/>
          </w:tcPr>
          <w:p w14:paraId="1E411A52"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27</w:t>
            </w:r>
          </w:p>
        </w:tc>
        <w:tc>
          <w:tcPr>
            <w:tcW w:w="1275" w:type="dxa"/>
            <w:tcBorders>
              <w:top w:val="nil"/>
              <w:left w:val="nil"/>
              <w:bottom w:val="single" w:sz="4" w:space="0" w:color="auto"/>
              <w:right w:val="single" w:sz="4" w:space="0" w:color="auto"/>
            </w:tcBorders>
            <w:shd w:val="clear" w:color="auto" w:fill="auto"/>
            <w:noWrap/>
            <w:vAlign w:val="center"/>
            <w:hideMark/>
          </w:tcPr>
          <w:p w14:paraId="429B8A04"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113</w:t>
            </w:r>
          </w:p>
        </w:tc>
        <w:tc>
          <w:tcPr>
            <w:tcW w:w="1418" w:type="dxa"/>
            <w:tcBorders>
              <w:top w:val="nil"/>
              <w:left w:val="nil"/>
              <w:bottom w:val="single" w:sz="4" w:space="0" w:color="auto"/>
              <w:right w:val="single" w:sz="4" w:space="0" w:color="auto"/>
            </w:tcBorders>
            <w:shd w:val="clear" w:color="auto" w:fill="auto"/>
            <w:noWrap/>
            <w:vAlign w:val="center"/>
            <w:hideMark/>
          </w:tcPr>
          <w:p w14:paraId="640A8734"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3</w:t>
            </w:r>
          </w:p>
        </w:tc>
      </w:tr>
      <w:tr w:rsidR="00FA2AC6" w:rsidRPr="00F96BD0" w14:paraId="516674E2"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109B6052"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Tekstilmateriāli un tekstilizstrādājumi</w:t>
            </w:r>
          </w:p>
        </w:tc>
        <w:tc>
          <w:tcPr>
            <w:tcW w:w="1134" w:type="dxa"/>
            <w:tcBorders>
              <w:top w:val="nil"/>
              <w:left w:val="nil"/>
              <w:bottom w:val="single" w:sz="4" w:space="0" w:color="auto"/>
              <w:right w:val="single" w:sz="4" w:space="0" w:color="auto"/>
            </w:tcBorders>
            <w:shd w:val="clear" w:color="auto" w:fill="auto"/>
            <w:noWrap/>
            <w:vAlign w:val="center"/>
            <w:hideMark/>
          </w:tcPr>
          <w:p w14:paraId="33CAD7F3"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318</w:t>
            </w:r>
          </w:p>
        </w:tc>
        <w:tc>
          <w:tcPr>
            <w:tcW w:w="1134" w:type="dxa"/>
            <w:tcBorders>
              <w:top w:val="nil"/>
              <w:left w:val="nil"/>
              <w:bottom w:val="single" w:sz="4" w:space="0" w:color="auto"/>
              <w:right w:val="single" w:sz="4" w:space="0" w:color="auto"/>
            </w:tcBorders>
            <w:shd w:val="clear" w:color="auto" w:fill="auto"/>
            <w:noWrap/>
            <w:vAlign w:val="center"/>
            <w:hideMark/>
          </w:tcPr>
          <w:p w14:paraId="07CB4B90"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367</w:t>
            </w:r>
          </w:p>
        </w:tc>
        <w:tc>
          <w:tcPr>
            <w:tcW w:w="1134" w:type="dxa"/>
            <w:tcBorders>
              <w:top w:val="nil"/>
              <w:left w:val="nil"/>
              <w:bottom w:val="single" w:sz="4" w:space="0" w:color="auto"/>
              <w:right w:val="single" w:sz="4" w:space="0" w:color="auto"/>
            </w:tcBorders>
            <w:shd w:val="clear" w:color="auto" w:fill="auto"/>
            <w:noWrap/>
            <w:vAlign w:val="center"/>
            <w:hideMark/>
          </w:tcPr>
          <w:p w14:paraId="1D1E9554"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16</w:t>
            </w:r>
          </w:p>
        </w:tc>
        <w:tc>
          <w:tcPr>
            <w:tcW w:w="1275" w:type="dxa"/>
            <w:tcBorders>
              <w:top w:val="nil"/>
              <w:left w:val="nil"/>
              <w:bottom w:val="single" w:sz="4" w:space="0" w:color="auto"/>
              <w:right w:val="single" w:sz="4" w:space="0" w:color="auto"/>
            </w:tcBorders>
            <w:shd w:val="clear" w:color="auto" w:fill="auto"/>
            <w:noWrap/>
            <w:vAlign w:val="center"/>
            <w:hideMark/>
          </w:tcPr>
          <w:p w14:paraId="39536BF7"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50</w:t>
            </w:r>
          </w:p>
        </w:tc>
        <w:tc>
          <w:tcPr>
            <w:tcW w:w="1418" w:type="dxa"/>
            <w:tcBorders>
              <w:top w:val="nil"/>
              <w:left w:val="nil"/>
              <w:bottom w:val="single" w:sz="4" w:space="0" w:color="auto"/>
              <w:right w:val="single" w:sz="4" w:space="0" w:color="auto"/>
            </w:tcBorders>
            <w:shd w:val="clear" w:color="auto" w:fill="auto"/>
            <w:noWrap/>
            <w:vAlign w:val="center"/>
            <w:hideMark/>
          </w:tcPr>
          <w:p w14:paraId="5061C243"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w:t>
            </w:r>
          </w:p>
        </w:tc>
      </w:tr>
      <w:tr w:rsidR="00FA2AC6" w:rsidRPr="00F96BD0" w14:paraId="2964C151"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629ED532"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Būvniecības izstrādājumi</w:t>
            </w:r>
          </w:p>
        </w:tc>
        <w:tc>
          <w:tcPr>
            <w:tcW w:w="1134" w:type="dxa"/>
            <w:tcBorders>
              <w:top w:val="nil"/>
              <w:left w:val="nil"/>
              <w:bottom w:val="single" w:sz="4" w:space="0" w:color="auto"/>
              <w:right w:val="single" w:sz="4" w:space="0" w:color="auto"/>
            </w:tcBorders>
            <w:shd w:val="clear" w:color="auto" w:fill="auto"/>
            <w:noWrap/>
            <w:vAlign w:val="center"/>
            <w:hideMark/>
          </w:tcPr>
          <w:p w14:paraId="0265C9DE"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266</w:t>
            </w:r>
          </w:p>
        </w:tc>
        <w:tc>
          <w:tcPr>
            <w:tcW w:w="1134" w:type="dxa"/>
            <w:tcBorders>
              <w:top w:val="nil"/>
              <w:left w:val="nil"/>
              <w:bottom w:val="single" w:sz="4" w:space="0" w:color="auto"/>
              <w:right w:val="single" w:sz="4" w:space="0" w:color="auto"/>
            </w:tcBorders>
            <w:shd w:val="clear" w:color="auto" w:fill="auto"/>
            <w:noWrap/>
            <w:vAlign w:val="center"/>
            <w:hideMark/>
          </w:tcPr>
          <w:p w14:paraId="15FDEFF1"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341</w:t>
            </w:r>
          </w:p>
        </w:tc>
        <w:tc>
          <w:tcPr>
            <w:tcW w:w="1134" w:type="dxa"/>
            <w:tcBorders>
              <w:top w:val="nil"/>
              <w:left w:val="nil"/>
              <w:bottom w:val="single" w:sz="4" w:space="0" w:color="auto"/>
              <w:right w:val="single" w:sz="4" w:space="0" w:color="auto"/>
            </w:tcBorders>
            <w:shd w:val="clear" w:color="auto" w:fill="auto"/>
            <w:noWrap/>
            <w:vAlign w:val="center"/>
            <w:hideMark/>
          </w:tcPr>
          <w:p w14:paraId="49EA9D0F"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28</w:t>
            </w:r>
          </w:p>
        </w:tc>
        <w:tc>
          <w:tcPr>
            <w:tcW w:w="1275" w:type="dxa"/>
            <w:tcBorders>
              <w:top w:val="nil"/>
              <w:left w:val="nil"/>
              <w:bottom w:val="single" w:sz="4" w:space="0" w:color="auto"/>
              <w:right w:val="single" w:sz="4" w:space="0" w:color="auto"/>
            </w:tcBorders>
            <w:shd w:val="clear" w:color="auto" w:fill="auto"/>
            <w:noWrap/>
            <w:vAlign w:val="center"/>
            <w:hideMark/>
          </w:tcPr>
          <w:p w14:paraId="4898353F"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75</w:t>
            </w:r>
          </w:p>
        </w:tc>
        <w:tc>
          <w:tcPr>
            <w:tcW w:w="1418" w:type="dxa"/>
            <w:tcBorders>
              <w:top w:val="nil"/>
              <w:left w:val="nil"/>
              <w:bottom w:val="single" w:sz="4" w:space="0" w:color="auto"/>
              <w:right w:val="single" w:sz="4" w:space="0" w:color="auto"/>
            </w:tcBorders>
            <w:shd w:val="clear" w:color="auto" w:fill="auto"/>
            <w:noWrap/>
            <w:vAlign w:val="center"/>
            <w:hideMark/>
          </w:tcPr>
          <w:p w14:paraId="123F81D7"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w:t>
            </w:r>
          </w:p>
        </w:tc>
      </w:tr>
      <w:tr w:rsidR="00FA2AC6" w:rsidRPr="00F96BD0" w14:paraId="6C36EB04"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1958FA59"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Papīrs, kartons un poligrāfijas izstrādājumi</w:t>
            </w:r>
          </w:p>
        </w:tc>
        <w:tc>
          <w:tcPr>
            <w:tcW w:w="1134" w:type="dxa"/>
            <w:tcBorders>
              <w:top w:val="nil"/>
              <w:left w:val="nil"/>
              <w:bottom w:val="single" w:sz="4" w:space="0" w:color="auto"/>
              <w:right w:val="single" w:sz="4" w:space="0" w:color="auto"/>
            </w:tcBorders>
            <w:shd w:val="clear" w:color="auto" w:fill="auto"/>
            <w:noWrap/>
            <w:vAlign w:val="center"/>
            <w:hideMark/>
          </w:tcPr>
          <w:p w14:paraId="0588EB79"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236</w:t>
            </w:r>
          </w:p>
        </w:tc>
        <w:tc>
          <w:tcPr>
            <w:tcW w:w="1134" w:type="dxa"/>
            <w:tcBorders>
              <w:top w:val="nil"/>
              <w:left w:val="nil"/>
              <w:bottom w:val="single" w:sz="4" w:space="0" w:color="auto"/>
              <w:right w:val="single" w:sz="4" w:space="0" w:color="auto"/>
            </w:tcBorders>
            <w:shd w:val="clear" w:color="auto" w:fill="auto"/>
            <w:noWrap/>
            <w:vAlign w:val="center"/>
            <w:hideMark/>
          </w:tcPr>
          <w:p w14:paraId="70BE2AD7"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296</w:t>
            </w:r>
          </w:p>
        </w:tc>
        <w:tc>
          <w:tcPr>
            <w:tcW w:w="1134" w:type="dxa"/>
            <w:tcBorders>
              <w:top w:val="nil"/>
              <w:left w:val="nil"/>
              <w:bottom w:val="single" w:sz="4" w:space="0" w:color="auto"/>
              <w:right w:val="single" w:sz="4" w:space="0" w:color="auto"/>
            </w:tcBorders>
            <w:shd w:val="clear" w:color="auto" w:fill="auto"/>
            <w:noWrap/>
            <w:vAlign w:val="center"/>
            <w:hideMark/>
          </w:tcPr>
          <w:p w14:paraId="4A7E688D"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25</w:t>
            </w:r>
          </w:p>
        </w:tc>
        <w:tc>
          <w:tcPr>
            <w:tcW w:w="1275" w:type="dxa"/>
            <w:tcBorders>
              <w:top w:val="nil"/>
              <w:left w:val="nil"/>
              <w:bottom w:val="single" w:sz="4" w:space="0" w:color="auto"/>
              <w:right w:val="single" w:sz="4" w:space="0" w:color="auto"/>
            </w:tcBorders>
            <w:shd w:val="clear" w:color="auto" w:fill="auto"/>
            <w:noWrap/>
            <w:vAlign w:val="center"/>
            <w:hideMark/>
          </w:tcPr>
          <w:p w14:paraId="6E7DB92B"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60</w:t>
            </w:r>
          </w:p>
        </w:tc>
        <w:tc>
          <w:tcPr>
            <w:tcW w:w="1418" w:type="dxa"/>
            <w:tcBorders>
              <w:top w:val="nil"/>
              <w:left w:val="nil"/>
              <w:bottom w:val="single" w:sz="4" w:space="0" w:color="auto"/>
              <w:right w:val="single" w:sz="4" w:space="0" w:color="auto"/>
            </w:tcBorders>
            <w:shd w:val="clear" w:color="auto" w:fill="auto"/>
            <w:noWrap/>
            <w:vAlign w:val="center"/>
            <w:hideMark/>
          </w:tcPr>
          <w:p w14:paraId="68359F8E"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2</w:t>
            </w:r>
          </w:p>
        </w:tc>
      </w:tr>
      <w:tr w:rsidR="00FA2AC6" w:rsidRPr="00F96BD0" w14:paraId="349E8465" w14:textId="77777777" w:rsidTr="00557A0A">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11E2EFE4" w14:textId="77777777" w:rsidR="00FA2AC6" w:rsidRPr="00F96BD0" w:rsidRDefault="00FA2AC6" w:rsidP="00557A0A">
            <w:pPr>
              <w:spacing w:before="0" w:after="0"/>
              <w:ind w:firstLine="0"/>
              <w:jc w:val="left"/>
              <w:rPr>
                <w:rFonts w:cs="Times New Roman"/>
                <w:sz w:val="20"/>
                <w:szCs w:val="20"/>
                <w:lang w:eastAsia="lv-LV"/>
              </w:rPr>
            </w:pPr>
            <w:r w:rsidRPr="00F96BD0">
              <w:rPr>
                <w:rFonts w:cs="Times New Roman"/>
                <w:sz w:val="20"/>
                <w:szCs w:val="20"/>
                <w:lang w:eastAsia="lv-LV"/>
              </w:rPr>
              <w:t>Kopējais preču eksports</w:t>
            </w:r>
          </w:p>
        </w:tc>
        <w:tc>
          <w:tcPr>
            <w:tcW w:w="1134" w:type="dxa"/>
            <w:tcBorders>
              <w:top w:val="nil"/>
              <w:left w:val="nil"/>
              <w:bottom w:val="single" w:sz="4" w:space="0" w:color="auto"/>
              <w:right w:val="single" w:sz="4" w:space="0" w:color="auto"/>
            </w:tcBorders>
            <w:shd w:val="clear" w:color="auto" w:fill="auto"/>
            <w:noWrap/>
            <w:vAlign w:val="center"/>
            <w:hideMark/>
          </w:tcPr>
          <w:p w14:paraId="4A19C5FC"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11 691</w:t>
            </w:r>
          </w:p>
        </w:tc>
        <w:tc>
          <w:tcPr>
            <w:tcW w:w="1134" w:type="dxa"/>
            <w:tcBorders>
              <w:top w:val="nil"/>
              <w:left w:val="nil"/>
              <w:bottom w:val="single" w:sz="4" w:space="0" w:color="auto"/>
              <w:right w:val="single" w:sz="4" w:space="0" w:color="auto"/>
            </w:tcBorders>
            <w:shd w:val="clear" w:color="auto" w:fill="auto"/>
            <w:noWrap/>
            <w:vAlign w:val="center"/>
            <w:hideMark/>
          </w:tcPr>
          <w:p w14:paraId="59CD2B50"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15 416</w:t>
            </w:r>
          </w:p>
        </w:tc>
        <w:tc>
          <w:tcPr>
            <w:tcW w:w="1134" w:type="dxa"/>
            <w:tcBorders>
              <w:top w:val="nil"/>
              <w:left w:val="nil"/>
              <w:bottom w:val="single" w:sz="4" w:space="0" w:color="auto"/>
              <w:right w:val="single" w:sz="4" w:space="0" w:color="auto"/>
            </w:tcBorders>
            <w:shd w:val="clear" w:color="auto" w:fill="auto"/>
            <w:noWrap/>
            <w:vAlign w:val="center"/>
            <w:hideMark/>
          </w:tcPr>
          <w:p w14:paraId="2F0382F1"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32</w:t>
            </w:r>
          </w:p>
        </w:tc>
        <w:tc>
          <w:tcPr>
            <w:tcW w:w="1275" w:type="dxa"/>
            <w:tcBorders>
              <w:top w:val="nil"/>
              <w:left w:val="nil"/>
              <w:bottom w:val="single" w:sz="4" w:space="0" w:color="auto"/>
              <w:right w:val="single" w:sz="4" w:space="0" w:color="auto"/>
            </w:tcBorders>
            <w:shd w:val="clear" w:color="auto" w:fill="auto"/>
            <w:noWrap/>
            <w:vAlign w:val="center"/>
            <w:hideMark/>
          </w:tcPr>
          <w:p w14:paraId="34C31A17"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3 725</w:t>
            </w:r>
          </w:p>
        </w:tc>
        <w:tc>
          <w:tcPr>
            <w:tcW w:w="1418" w:type="dxa"/>
            <w:tcBorders>
              <w:top w:val="nil"/>
              <w:left w:val="nil"/>
              <w:bottom w:val="single" w:sz="4" w:space="0" w:color="auto"/>
              <w:right w:val="single" w:sz="4" w:space="0" w:color="auto"/>
            </w:tcBorders>
            <w:shd w:val="clear" w:color="auto" w:fill="auto"/>
            <w:noWrap/>
            <w:vAlign w:val="center"/>
            <w:hideMark/>
          </w:tcPr>
          <w:p w14:paraId="3BCCA339" w14:textId="77777777" w:rsidR="00FA2AC6" w:rsidRPr="00F96BD0" w:rsidRDefault="00FA2AC6" w:rsidP="00557A0A">
            <w:pPr>
              <w:spacing w:before="0" w:after="0"/>
              <w:ind w:firstLine="0"/>
              <w:jc w:val="center"/>
              <w:rPr>
                <w:rFonts w:cs="Times New Roman"/>
                <w:sz w:val="20"/>
                <w:szCs w:val="20"/>
                <w:lang w:eastAsia="lv-LV"/>
              </w:rPr>
            </w:pPr>
            <w:r w:rsidRPr="00F96BD0">
              <w:rPr>
                <w:rFonts w:cs="Times New Roman"/>
                <w:sz w:val="20"/>
                <w:szCs w:val="20"/>
                <w:lang w:eastAsia="lv-LV"/>
              </w:rPr>
              <w:t>100</w:t>
            </w:r>
          </w:p>
        </w:tc>
      </w:tr>
    </w:tbl>
    <w:p w14:paraId="6DA93994" w14:textId="77777777" w:rsidR="00FA2AC6" w:rsidRDefault="00FA2AC6" w:rsidP="00FA2AC6">
      <w:r>
        <w:t>Pēdējā desmitgadē Latvijas preču eksports bija noturīgs pret vairākām krīzēm, kuras negatīvi ietekmēja pasaules ārējo tirdzniecību. Latvijas preču eksporta daļa pasaules preču importā veido vien 0,1%, bet tā ir stabila un pēdējos gados pat nedaudz ir palielinājusies. Vērtējot eksporta attīstības sniegumu salīdzinājumā ar Baltijas kaimiņvalstīm, jāsecina, ka Latvija diezgan veiksmīgi iekļaujas pasaules tirdzniecības ķēdēs un spēj piedāvāt konkurētspējīgu produkciju. Vienlaicīgi, ir svarīgi atzīmēt, ka eksporta nozīme Igaunijas un Lietuvas ekonomika ir būtiski augstāka nekā Latvijā, ko galvenokārt nodrošina augstāks pakalpojumu eksports. Baltijas valstu preču eksporta daļas attīstība pasaules preču importā ir atspoguļot</w:t>
      </w:r>
      <w:r w:rsidRPr="00943162">
        <w:t>a 1</w:t>
      </w:r>
      <w:r>
        <w:t>3</w:t>
      </w:r>
      <w:r w:rsidRPr="00943162">
        <w:t>. attēlā</w:t>
      </w:r>
      <w:r>
        <w:t>. Lai nezaudētu eksporta tirgus daļas, Latvijas eksportētājiem ir nepieciešams investēt ne tikai iekārtu atjaunošanā vai darbības procesu optimizācijā, bet arī jaunu augstas pievienotās vērtības produktu izstrādē un specializācijā.</w:t>
      </w:r>
    </w:p>
    <w:p w14:paraId="1012D6AF" w14:textId="77777777" w:rsidR="00FA2AC6" w:rsidRPr="00F96BD0" w:rsidRDefault="00FA2AC6" w:rsidP="00FA2AC6">
      <w:pPr>
        <w:pStyle w:val="Tabulasvirsraksts"/>
        <w:rPr>
          <w:iCs w:val="0"/>
        </w:rPr>
      </w:pPr>
      <w:r>
        <w:rPr>
          <w:noProof/>
        </w:rPr>
        <w:lastRenderedPageBreak/>
        <w:drawing>
          <wp:inline distT="0" distB="0" distL="0" distR="0" wp14:anchorId="1E8D1BB8" wp14:editId="266D1AB7">
            <wp:extent cx="5379720" cy="2659380"/>
            <wp:effectExtent l="0" t="0" r="0" b="7620"/>
            <wp:docPr id="33" name="Chart 33">
              <a:extLst xmlns:a="http://schemas.openxmlformats.org/drawingml/2006/main">
                <a:ext uri="{FF2B5EF4-FFF2-40B4-BE49-F238E27FC236}">
                  <a16:creationId xmlns:a16="http://schemas.microsoft.com/office/drawing/2014/main" id="{B32B2ED2-DD5E-7AE9-8BE3-238DE3CD26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F96BD0">
        <w:rPr>
          <w:iCs w:val="0"/>
        </w:rPr>
        <w:t>1</w:t>
      </w:r>
      <w:r>
        <w:rPr>
          <w:iCs w:val="0"/>
        </w:rPr>
        <w:t>3</w:t>
      </w:r>
      <w:r w:rsidRPr="00F96BD0">
        <w:rPr>
          <w:iCs w:val="0"/>
        </w:rPr>
        <w:t>. attēls. Baltijas valstu preču eksporta tirgus daļa pasaules importā, indekss 2015=100</w:t>
      </w:r>
    </w:p>
    <w:p w14:paraId="7028E364" w14:textId="311C6CCB" w:rsidR="00FA2AC6" w:rsidRDefault="00FA2AC6" w:rsidP="00FA2AC6">
      <w:pPr>
        <w:rPr>
          <w:noProof/>
        </w:rPr>
      </w:pPr>
      <w:r w:rsidRPr="00CC2F03">
        <w:t>Pakalpojumu eksporta izaugsme 2022</w:t>
      </w:r>
      <w:r>
        <w:t>. gad</w:t>
      </w:r>
      <w:r w:rsidRPr="00CC2F03">
        <w:t xml:space="preserve">ā ir pat straujāka </w:t>
      </w:r>
      <w:r>
        <w:t>par</w:t>
      </w:r>
      <w:r w:rsidRPr="00CC2F03">
        <w:t xml:space="preserve"> preču eksporta pieaugum</w:t>
      </w:r>
      <w:r>
        <w:t>u</w:t>
      </w:r>
      <w:r w:rsidRPr="00CC2F03">
        <w:t>. 2022</w:t>
      </w:r>
      <w:r>
        <w:t>. gad</w:t>
      </w:r>
      <w:r w:rsidRPr="00CC2F03">
        <w:t xml:space="preserve">ā pirmajos </w:t>
      </w:r>
      <w:r>
        <w:t>deviņos</w:t>
      </w:r>
      <w:r w:rsidRPr="00CC2F03">
        <w:t xml:space="preserve"> mēnešos kopējais pakalpojumu eksports faktiskajās cenās palielinājās par 3</w:t>
      </w:r>
      <w:r>
        <w:t>7,2</w:t>
      </w:r>
      <w:r w:rsidRPr="00CC2F03">
        <w:t xml:space="preserve">% salīdzinājumā ar attiecīgo </w:t>
      </w:r>
      <w:r w:rsidRPr="00CC2F03">
        <w:rPr>
          <w:noProof/>
        </w:rPr>
        <w:t xml:space="preserve">periodu pērn un veidoja </w:t>
      </w:r>
      <w:r>
        <w:rPr>
          <w:noProof/>
        </w:rPr>
        <w:t>5060</w:t>
      </w:r>
      <w:r w:rsidRPr="00CC2F03">
        <w:rPr>
          <w:noProof/>
        </w:rPr>
        <w:t xml:space="preserve"> milj. </w:t>
      </w:r>
      <w:r w:rsidRPr="00CC2F03">
        <w:rPr>
          <w:i/>
          <w:iCs/>
          <w:noProof/>
        </w:rPr>
        <w:t>euro</w:t>
      </w:r>
      <w:r w:rsidRPr="00CC2F03">
        <w:rPr>
          <w:noProof/>
        </w:rPr>
        <w:t>. Pozitīva pakalpojumu eksporta dinamika bija fiksēta vēl pērn</w:t>
      </w:r>
      <w:r>
        <w:rPr>
          <w:noProof/>
        </w:rPr>
        <w:t>aj</w:t>
      </w:r>
      <w:r w:rsidRPr="00CC2F03">
        <w:rPr>
          <w:noProof/>
        </w:rPr>
        <w:t>ā gad</w:t>
      </w:r>
      <w:r>
        <w:rPr>
          <w:noProof/>
        </w:rPr>
        <w:t>ā</w:t>
      </w:r>
      <w:r w:rsidRPr="00CC2F03">
        <w:rPr>
          <w:noProof/>
        </w:rPr>
        <w:t>, bet šogad pieaugums paātrinājies. Atšķirīb</w:t>
      </w:r>
      <w:r>
        <w:rPr>
          <w:noProof/>
        </w:rPr>
        <w:t>ā</w:t>
      </w:r>
      <w:r w:rsidRPr="00CC2F03">
        <w:rPr>
          <w:noProof/>
        </w:rPr>
        <w:t xml:space="preserve"> no preču eksporta, kurš turpināja palielināties </w:t>
      </w:r>
      <w:r>
        <w:rPr>
          <w:noProof/>
        </w:rPr>
        <w:t>arī</w:t>
      </w:r>
      <w:r w:rsidRPr="00CC2F03">
        <w:rPr>
          <w:noProof/>
        </w:rPr>
        <w:t xml:space="preserve"> 2020</w:t>
      </w:r>
      <w:r>
        <w:rPr>
          <w:noProof/>
        </w:rPr>
        <w:t>. gad</w:t>
      </w:r>
      <w:r w:rsidRPr="00CC2F03">
        <w:rPr>
          <w:noProof/>
        </w:rPr>
        <w:t>ā, kad sāk</w:t>
      </w:r>
      <w:r>
        <w:rPr>
          <w:noProof/>
        </w:rPr>
        <w:t>ā</w:t>
      </w:r>
      <w:r w:rsidRPr="00CC2F03">
        <w:rPr>
          <w:noProof/>
        </w:rPr>
        <w:t xml:space="preserve">s pandēmija, pakalpojumu eksports tikai šogad sasniedza pirmspandēmijas līmeni. Sagaidāms, ka pakalpojumu eksports turpinās palielināties arī </w:t>
      </w:r>
      <w:r>
        <w:rPr>
          <w:noProof/>
        </w:rPr>
        <w:t>2022. gada nogalē</w:t>
      </w:r>
      <w:r w:rsidRPr="00CC2F03">
        <w:rPr>
          <w:noProof/>
        </w:rPr>
        <w:t>, līdz ar to pārsniedzot pirmspandēmijas līmeni.</w:t>
      </w:r>
      <w:r>
        <w:rPr>
          <w:noProof/>
        </w:rPr>
        <w:t xml:space="preserve"> </w:t>
      </w:r>
    </w:p>
    <w:p w14:paraId="6BA87314" w14:textId="77777777" w:rsidR="00FA2AC6" w:rsidRDefault="00FA2AC6" w:rsidP="00FA2AC6">
      <w:pPr>
        <w:rPr>
          <w:noProof/>
        </w:rPr>
      </w:pPr>
      <w:r>
        <w:t>Pakalpojumu eksporta vērtība palielinājās visās pakalpojumu grupās, izņemot būvniecības pakalpojumus. No visiem ārvalstniekiem sniegtajiem pakalpojumiem straujākais pieaugums bija tūrisma pakalpojumiem. Ārvalstu tūristu izdevumi Latvijā 2022. gada deviņos mēnešos pieauga par 67,0% salīdzinājumā ar pērnā gada attiecīgo periodu. Tik strauju izaugsmi noteica gan lielāks ārvalstu tūristu skaits, gan arī ļoti zema bāze pērnajā gadā. Sākoties pandēmijai un ieviešot stingrus cilvēku pulcēšanās un pārvietošanās ierobežojumus, praktiski visās ES valstīs tūristu skaits būtiski samazinājies. Tā, 2020. gadā Latvijas viesnīcās apkalpoto ārvalstu tūristu skaits samazinājies par 64%. Pērnajā gadā kritums turpinājās, un ārvalstu tūristu skaits samazinājies vēl par 38%. Tādējādi divu gadu laikā apkalpoto ārvalstu tūristu skaits Latvijas viesnīcās samazinājās gandrīz 4,5 reizes. 2022. gada pirmajā pusē, kad tika atcelta lielākā daļa no ierobežojumiem gan Latvijā, gan pārējās ES valstis, tūrisma nozare atdzīvojās. Šā gada deviņos mēnešos apkalpoto ārvalstu viesu skaits salīdzinājumā ar pērnā gada attiecīgo periodu</w:t>
      </w:r>
      <w:r w:rsidRPr="00BC1A07">
        <w:t xml:space="preserve"> </w:t>
      </w:r>
      <w:r>
        <w:t xml:space="preserve">pieauga 2,7 </w:t>
      </w:r>
      <w:r>
        <w:rPr>
          <w:noProof/>
        </w:rPr>
        <w:t>reizes. Neskatoties uz strauju ārvalstu tūristu plūsmu, pirmspandēmijas līmenis vēl nav sasniegts</w:t>
      </w:r>
      <w:r w:rsidRPr="00D62A87">
        <w:rPr>
          <w:noProof/>
        </w:rPr>
        <w:t>. Jāatzīmē, ka 2019</w:t>
      </w:r>
      <w:r>
        <w:rPr>
          <w:noProof/>
        </w:rPr>
        <w:t>. gad</w:t>
      </w:r>
      <w:r w:rsidRPr="00D62A87">
        <w:rPr>
          <w:noProof/>
        </w:rPr>
        <w:t>ā Latvija uzņēma gandrīz 2 miljonus ārvalstu viesu</w:t>
      </w:r>
      <w:r>
        <w:rPr>
          <w:noProof/>
        </w:rPr>
        <w:t xml:space="preserve">, bet </w:t>
      </w:r>
      <w:r w:rsidRPr="00D62A87">
        <w:rPr>
          <w:noProof/>
        </w:rPr>
        <w:t xml:space="preserve">šā gada </w:t>
      </w:r>
      <w:r>
        <w:rPr>
          <w:noProof/>
        </w:rPr>
        <w:t>deviņos</w:t>
      </w:r>
      <w:r w:rsidRPr="00D62A87">
        <w:rPr>
          <w:noProof/>
        </w:rPr>
        <w:t xml:space="preserve"> mēnešos apkalpoto ārvalstu tūristu skaits veidoja </w:t>
      </w:r>
      <w:r>
        <w:rPr>
          <w:noProof/>
        </w:rPr>
        <w:t>883</w:t>
      </w:r>
      <w:r w:rsidRPr="00D62A87">
        <w:rPr>
          <w:noProof/>
        </w:rPr>
        <w:t xml:space="preserve"> tūkst. cilvēku.</w:t>
      </w:r>
      <w:r>
        <w:rPr>
          <w:noProof/>
        </w:rPr>
        <w:t xml:space="preserve"> </w:t>
      </w:r>
    </w:p>
    <w:p w14:paraId="3853BAEE" w14:textId="0B40A024" w:rsidR="00FA2AC6" w:rsidRDefault="00FA2AC6" w:rsidP="00FA2AC6">
      <w:r w:rsidRPr="00D62A87">
        <w:rPr>
          <w:noProof/>
        </w:rPr>
        <w:t>Samēr</w:t>
      </w:r>
      <w:r>
        <w:rPr>
          <w:noProof/>
        </w:rPr>
        <w:t>ā</w:t>
      </w:r>
      <w:r w:rsidRPr="00D62A87">
        <w:rPr>
          <w:noProof/>
        </w:rPr>
        <w:t xml:space="preserve"> straujš eksport</w:t>
      </w:r>
      <w:r>
        <w:rPr>
          <w:noProof/>
        </w:rPr>
        <w:t>a pieaugums</w:t>
      </w:r>
      <w:r w:rsidRPr="00D62A87">
        <w:rPr>
          <w:noProof/>
        </w:rPr>
        <w:t xml:space="preserve"> ir fiksēts arī pārējiem pakalpojumiem. Tā, transporta</w:t>
      </w:r>
      <w:r w:rsidRPr="00D62A87">
        <w:t xml:space="preserve"> pakalpojumu eksports 2022</w:t>
      </w:r>
      <w:r>
        <w:t>. gad</w:t>
      </w:r>
      <w:r w:rsidRPr="00D62A87">
        <w:t xml:space="preserve">a </w:t>
      </w:r>
      <w:r>
        <w:t>deviņos</w:t>
      </w:r>
      <w:r w:rsidRPr="00D62A87">
        <w:t xml:space="preserve"> mēnešos bijis par </w:t>
      </w:r>
      <w:r>
        <w:t>40,8</w:t>
      </w:r>
      <w:r w:rsidRPr="00D62A87">
        <w:t>% augstāks nekā pērnā gada atbilstoša</w:t>
      </w:r>
      <w:r>
        <w:t>jā</w:t>
      </w:r>
      <w:r w:rsidRPr="00D62A87">
        <w:t xml:space="preserve"> period</w:t>
      </w:r>
      <w:r>
        <w:t>ā</w:t>
      </w:r>
      <w:r w:rsidRPr="00D62A87">
        <w:t xml:space="preserve">. </w:t>
      </w:r>
      <w:r>
        <w:t>T</w:t>
      </w:r>
      <w:r w:rsidRPr="00D62A87">
        <w:t>ransporta pakalpojumu eksport</w:t>
      </w:r>
      <w:r>
        <w:t>u</w:t>
      </w:r>
      <w:r w:rsidRPr="00D62A87">
        <w:t xml:space="preserve"> veicināja visi transporta pakalpojumu veid</w:t>
      </w:r>
      <w:r>
        <w:t>i</w:t>
      </w:r>
      <w:r w:rsidRPr="00D62A87">
        <w:t>. Tomēr lielāko devumu šajā pakalpojumu eksporta grupas attīstīb</w:t>
      </w:r>
      <w:r>
        <w:t>ā</w:t>
      </w:r>
      <w:r w:rsidRPr="00D62A87">
        <w:t xml:space="preserve"> nodrošināja gaisa un autotransporta pakalpojumu pieaugums ārvalstīs</w:t>
      </w:r>
      <w:r>
        <w:t>. g</w:t>
      </w:r>
      <w:r w:rsidRPr="00D62A87">
        <w:t xml:space="preserve">aisa pakalpojumu eksporta pieaugumu </w:t>
      </w:r>
      <w:r>
        <w:t>2,5</w:t>
      </w:r>
      <w:r w:rsidR="00772992">
        <w:t> </w:t>
      </w:r>
      <w:r w:rsidRPr="00D62A87">
        <w:t>reizes salīdzinājumā ar 2021</w:t>
      </w:r>
      <w:r>
        <w:t>. gad</w:t>
      </w:r>
      <w:r w:rsidRPr="00D62A87">
        <w:t xml:space="preserve">a </w:t>
      </w:r>
      <w:r>
        <w:t xml:space="preserve">trīs ceturkšņiem, ko </w:t>
      </w:r>
      <w:r w:rsidRPr="00D62A87">
        <w:t>labvēlīgi ietekmēja augstāka tūristu plūsm</w:t>
      </w:r>
      <w:r>
        <w:t>a</w:t>
      </w:r>
      <w:r w:rsidRPr="00D62A87">
        <w:t>. Savukārt autotransporta pakalpojumu kāpumu</w:t>
      </w:r>
      <w:r>
        <w:t xml:space="preserve"> par 26,1%</w:t>
      </w:r>
      <w:r w:rsidRPr="00D62A87">
        <w:t xml:space="preserve"> noteica kravu pārvadājumu pieaugums </w:t>
      </w:r>
      <w:r>
        <w:t>pateicoties augstākam loģistikas un piegādes cenām.</w:t>
      </w:r>
    </w:p>
    <w:p w14:paraId="02851777" w14:textId="14B3A4D3" w:rsidR="00FA2AC6" w:rsidRDefault="002203AA" w:rsidP="003C74AA">
      <w:r>
        <w:rPr>
          <w:noProof/>
        </w:rPr>
        <w:lastRenderedPageBreak/>
        <w:drawing>
          <wp:anchor distT="0" distB="0" distL="114300" distR="114300" simplePos="0" relativeHeight="251666432" behindDoc="0" locked="0" layoutInCell="1" allowOverlap="1" wp14:anchorId="270344CD" wp14:editId="446EC185">
            <wp:simplePos x="0" y="0"/>
            <wp:positionH relativeFrom="margin">
              <wp:align>right</wp:align>
            </wp:positionH>
            <wp:positionV relativeFrom="paragraph">
              <wp:posOffset>1531620</wp:posOffset>
            </wp:positionV>
            <wp:extent cx="2766060" cy="3169920"/>
            <wp:effectExtent l="0" t="0" r="0" b="0"/>
            <wp:wrapSquare wrapText="bothSides"/>
            <wp:docPr id="35" name="Chart 35">
              <a:extLst xmlns:a="http://schemas.openxmlformats.org/drawingml/2006/main">
                <a:ext uri="{FF2B5EF4-FFF2-40B4-BE49-F238E27FC236}">
                  <a16:creationId xmlns:a16="http://schemas.microsoft.com/office/drawing/2014/main" id="{00000000-0008-0000-2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42A6B326" wp14:editId="6347952D">
            <wp:simplePos x="0" y="0"/>
            <wp:positionH relativeFrom="column">
              <wp:posOffset>37465</wp:posOffset>
            </wp:positionH>
            <wp:positionV relativeFrom="page">
              <wp:posOffset>2597150</wp:posOffset>
            </wp:positionV>
            <wp:extent cx="2834640" cy="2964180"/>
            <wp:effectExtent l="0" t="0" r="3810" b="7620"/>
            <wp:wrapSquare wrapText="bothSides"/>
            <wp:docPr id="34" name="Chart 34">
              <a:extLst xmlns:a="http://schemas.openxmlformats.org/drawingml/2006/main">
                <a:ext uri="{FF2B5EF4-FFF2-40B4-BE49-F238E27FC236}">
                  <a16:creationId xmlns:a16="http://schemas.microsoft.com/office/drawing/2014/main" id="{00000000-0008-0000-2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FA2AC6">
        <w:t xml:space="preserve">Starp pārējām pakalpojumu veidiem var atzīmēt informācijas </w:t>
      </w:r>
      <w:r w:rsidR="00FA2AC6">
        <w:rPr>
          <w:noProof/>
        </w:rPr>
        <w:t>un datorpakalpojumu</w:t>
      </w:r>
      <w:r w:rsidR="00FA2AC6">
        <w:t xml:space="preserve"> eksportu, kas no gada uz gadu uzrāda stabilu kāpumu. 2022. gada trīs ceturkšņos šo pakalpojumu eksports pieauga par 30,1%, tādējādi veidojot 12,1% no kopējās pakalpojumu eksporta vērtības. Tā ir trešā lielākā pakalpojumu grupa, pēc apjoma pietuvojoties ārvalstu tūristu izdevumiem Latvijā. Pozitīvi vērtējams, ka pieaugums bijis gan informācijas pakalpojumiem ES valstīs, gan ārpus ES. Šiem pakalpojumiem kopā ar telesakaru pakalpojumiem ir labi priekšnosacījumi kāpumam arī turpmāk. Detalizētāka informācija par pakalpojumu eksporta vērtību, kā arī tās pārmaiņas ir atspoguļotas 14. un 15. attēlā.</w:t>
      </w:r>
    </w:p>
    <w:tbl>
      <w:tblPr>
        <w:tblStyle w:val="TableGrid"/>
        <w:tblW w:w="9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736"/>
      </w:tblGrid>
      <w:tr w:rsidR="003C74AA" w:rsidRPr="00E96E91" w14:paraId="231E601F" w14:textId="77777777" w:rsidTr="002203AA">
        <w:trPr>
          <w:trHeight w:val="477"/>
        </w:trPr>
        <w:tc>
          <w:tcPr>
            <w:tcW w:w="4481" w:type="dxa"/>
          </w:tcPr>
          <w:p w14:paraId="7E5125CC" w14:textId="3E6F6B25" w:rsidR="00FA2AC6" w:rsidRPr="00E408C9" w:rsidRDefault="00FA2AC6" w:rsidP="00557A0A">
            <w:pPr>
              <w:pStyle w:val="Tabulasvirsraksts"/>
              <w:rPr>
                <w:iCs w:val="0"/>
                <w:sz w:val="24"/>
              </w:rPr>
            </w:pPr>
            <w:r w:rsidRPr="00E408C9">
              <w:rPr>
                <w:iCs w:val="0"/>
                <w:sz w:val="24"/>
              </w:rPr>
              <w:t xml:space="preserve">14. attēls. Latvijas pakalpojumu eksports faktiskajās cenās pa </w:t>
            </w:r>
            <w:r w:rsidRPr="00E408C9">
              <w:rPr>
                <w:iCs w:val="0"/>
                <w:noProof/>
                <w:sz w:val="24"/>
              </w:rPr>
              <w:t>grupām, devumi (pp</w:t>
            </w:r>
            <w:r w:rsidRPr="00E408C9">
              <w:rPr>
                <w:iCs w:val="0"/>
                <w:sz w:val="24"/>
              </w:rPr>
              <w:t>) un kopējais pieaugums (%)</w:t>
            </w:r>
          </w:p>
        </w:tc>
        <w:tc>
          <w:tcPr>
            <w:tcW w:w="4736" w:type="dxa"/>
          </w:tcPr>
          <w:p w14:paraId="0A24069D" w14:textId="709EDD35" w:rsidR="00FA2AC6" w:rsidRPr="00E408C9" w:rsidRDefault="00FA2AC6" w:rsidP="00557A0A">
            <w:pPr>
              <w:pStyle w:val="Tabulasvirsraksts"/>
              <w:rPr>
                <w:iCs w:val="0"/>
                <w:sz w:val="24"/>
              </w:rPr>
            </w:pPr>
            <w:r w:rsidRPr="00E408C9">
              <w:rPr>
                <w:iCs w:val="0"/>
                <w:sz w:val="24"/>
              </w:rPr>
              <w:t>15. attēls. Latvijas pakalpojumu eksports faktiskajās cenās pa grupām (</w:t>
            </w:r>
            <w:r w:rsidRPr="00E408C9">
              <w:rPr>
                <w:iCs w:val="0"/>
                <w:noProof/>
                <w:sz w:val="24"/>
              </w:rPr>
              <w:t xml:space="preserve">milj. </w:t>
            </w:r>
            <w:r w:rsidRPr="00E408C9">
              <w:rPr>
                <w:i/>
                <w:noProof/>
                <w:sz w:val="24"/>
              </w:rPr>
              <w:t>euro</w:t>
            </w:r>
            <w:r w:rsidRPr="00E408C9">
              <w:rPr>
                <w:iCs w:val="0"/>
                <w:noProof/>
                <w:sz w:val="24"/>
              </w:rPr>
              <w:t>)</w:t>
            </w:r>
          </w:p>
        </w:tc>
      </w:tr>
    </w:tbl>
    <w:p w14:paraId="3BB61D52" w14:textId="43CE2DDB" w:rsidR="00FA2AC6" w:rsidRPr="00D85903" w:rsidRDefault="00FA2AC6" w:rsidP="002203AA">
      <w:r w:rsidRPr="00C55E2B">
        <w:t xml:space="preserve">Sagaidāms, ka preču un pakalpojumu eksports turpinās palielināties </w:t>
      </w:r>
      <w:r>
        <w:t>gan</w:t>
      </w:r>
      <w:r w:rsidRPr="00C55E2B">
        <w:t xml:space="preserve"> šā gada </w:t>
      </w:r>
      <w:r>
        <w:t>nogalē</w:t>
      </w:r>
      <w:r w:rsidRPr="00C55E2B">
        <w:t>,</w:t>
      </w:r>
      <w:r>
        <w:t xml:space="preserve"> gan arī 2023. gadā, </w:t>
      </w:r>
      <w:r w:rsidRPr="00C55E2B">
        <w:t>bet pieauguma temps pakāpeniski mazināsies. Ārējo pieprasījumu varētu negatīvi ietekmēt bažas par recesiju ASV un ES. Papildus tam, Krievijas militārais iebrukums Ukrainā un no tā izrietošās ekonomiskās sekas jeb augstās gāzes cenas, saraut</w:t>
      </w:r>
      <w:r>
        <w:t>ā</w:t>
      </w:r>
      <w:r w:rsidRPr="00C55E2B">
        <w:t>s piegāžu ķēd</w:t>
      </w:r>
      <w:r>
        <w:t>e</w:t>
      </w:r>
      <w:r w:rsidRPr="00C55E2B">
        <w:t xml:space="preserve">s, kā arī atsevišķu izejvielu deficīts vēl nav pilnā apmērā atspoguļojies nedz ES, nedz Latvijas preču ārējās tirdzniecības datos. </w:t>
      </w:r>
      <w:r>
        <w:t>T</w:t>
      </w:r>
      <w:r w:rsidRPr="00C55E2B">
        <w:t>as arī negatīvi ietekm</w:t>
      </w:r>
      <w:r>
        <w:t>ē</w:t>
      </w:r>
      <w:r w:rsidRPr="00C55E2B">
        <w:t xml:space="preserve">s eksporta attīstību. </w:t>
      </w:r>
      <w:r>
        <w:t>Uz to</w:t>
      </w:r>
      <w:r w:rsidRPr="00C55E2B">
        <w:t>, ka ārējais p</w:t>
      </w:r>
      <w:r>
        <w:t>ie</w:t>
      </w:r>
      <w:r w:rsidRPr="00C55E2B">
        <w:t>prasījums bremzēsies</w:t>
      </w:r>
      <w:r>
        <w:t>,</w:t>
      </w:r>
      <w:r w:rsidRPr="00C55E2B">
        <w:t xml:space="preserve"> norāda arī starptautisko institūciju atjaunotās ekonomiskās prognozes. Ja šā gada janvārī Starptautiskais Valūtas fonds (SVF) prognozēja, ka pasaules ekonomika 2022</w:t>
      </w:r>
      <w:r>
        <w:t>. gad</w:t>
      </w:r>
      <w:r w:rsidRPr="00C55E2B">
        <w:t xml:space="preserve">ā varētu palielināties par 4,4%, tad, pasliktinoties ģeopolitiskai situācijai, SVF šā gada </w:t>
      </w:r>
      <w:r>
        <w:t>oktobrī,</w:t>
      </w:r>
      <w:r w:rsidRPr="00C55E2B">
        <w:t xml:space="preserve"> </w:t>
      </w:r>
      <w:r w:rsidRPr="00C55E2B">
        <w:rPr>
          <w:color w:val="000000"/>
        </w:rPr>
        <w:t>aktualizēj</w:t>
      </w:r>
      <w:r>
        <w:rPr>
          <w:color w:val="000000"/>
        </w:rPr>
        <w:t>ot</w:t>
      </w:r>
      <w:r w:rsidRPr="00C55E2B">
        <w:rPr>
          <w:color w:val="000000"/>
        </w:rPr>
        <w:t xml:space="preserve"> ekonomiskās prognozes</w:t>
      </w:r>
      <w:r>
        <w:rPr>
          <w:color w:val="000000"/>
        </w:rPr>
        <w:t>,</w:t>
      </w:r>
      <w:r w:rsidRPr="00C55E2B">
        <w:rPr>
          <w:color w:val="000000"/>
        </w:rPr>
        <w:t xml:space="preserve"> samazināja globālās ekonomikas izaugsmes prognoz</w:t>
      </w:r>
      <w:r>
        <w:rPr>
          <w:color w:val="000000"/>
        </w:rPr>
        <w:t>i</w:t>
      </w:r>
      <w:r w:rsidRPr="00C55E2B">
        <w:rPr>
          <w:color w:val="000000"/>
        </w:rPr>
        <w:t xml:space="preserve"> 2022</w:t>
      </w:r>
      <w:r>
        <w:rPr>
          <w:color w:val="000000"/>
        </w:rPr>
        <w:t>. gad</w:t>
      </w:r>
      <w:r w:rsidRPr="00C55E2B">
        <w:rPr>
          <w:color w:val="000000"/>
        </w:rPr>
        <w:t>am līdz 3,2%.</w:t>
      </w:r>
      <w:r>
        <w:rPr>
          <w:color w:val="000000"/>
        </w:rPr>
        <w:t xml:space="preserve"> Attiecībā uz 2023. gadu, pasaules IKP pieaugums ir pārskatīts no 3,8% šā gada janvārī uz 2,7% šā gada oktobrī.</w:t>
      </w:r>
    </w:p>
    <w:p w14:paraId="548FA4C2" w14:textId="77777777" w:rsidR="00FA2AC6" w:rsidRPr="003F14FF" w:rsidRDefault="00FA2AC6" w:rsidP="00FA2AC6">
      <w:r w:rsidRPr="003F14FF">
        <w:rPr>
          <w:b/>
          <w:bCs/>
        </w:rPr>
        <w:t>Pre</w:t>
      </w:r>
      <w:r w:rsidRPr="003F14FF">
        <w:rPr>
          <w:b/>
        </w:rPr>
        <w:t>ču un pakalpojumu imports</w:t>
      </w:r>
      <w:r w:rsidRPr="003F14FF">
        <w:t xml:space="preserve"> 2021</w:t>
      </w:r>
      <w:r>
        <w:t>. gad</w:t>
      </w:r>
      <w:r w:rsidRPr="003F14FF">
        <w:t>ā palielinājies par 1</w:t>
      </w:r>
      <w:r>
        <w:t>5,3</w:t>
      </w:r>
      <w:r w:rsidRPr="003F14FF">
        <w:t xml:space="preserve">% salīdzināmajās cenās, kas bija straujākais kāpums desmitgadē. Palielinoties ekonomikas aktivitātei Latvijā, palielinājies arī pieprasījums pēc importa precēm, galvenokārt pēc starppatēriņa precēm, kas </w:t>
      </w:r>
      <w:r w:rsidRPr="003F14FF">
        <w:rPr>
          <w:noProof/>
        </w:rPr>
        <w:t>tiek izmantotas ražošanas procesā. Tomēr augstākas investīcijas iekārt</w:t>
      </w:r>
      <w:r>
        <w:rPr>
          <w:noProof/>
        </w:rPr>
        <w:t>ā</w:t>
      </w:r>
      <w:r w:rsidRPr="003F14FF">
        <w:rPr>
          <w:noProof/>
        </w:rPr>
        <w:t>s un mašīn</w:t>
      </w:r>
      <w:r>
        <w:rPr>
          <w:noProof/>
        </w:rPr>
        <w:t>ā</w:t>
      </w:r>
      <w:r w:rsidRPr="003F14FF">
        <w:rPr>
          <w:noProof/>
        </w:rPr>
        <w:t>s palielinā</w:t>
      </w:r>
      <w:r>
        <w:rPr>
          <w:noProof/>
        </w:rPr>
        <w:t>ja</w:t>
      </w:r>
      <w:r w:rsidRPr="003F14FF">
        <w:rPr>
          <w:noProof/>
        </w:rPr>
        <w:t xml:space="preserve"> arī kapitālpreču importu. Ņemot vērā, ka importa kāpums bija straujāks par eksporta </w:t>
      </w:r>
      <w:r w:rsidRPr="003F14FF">
        <w:rPr>
          <w:noProof/>
        </w:rPr>
        <w:lastRenderedPageBreak/>
        <w:t>pieaugumu, neto eksporta devums</w:t>
      </w:r>
      <w:r w:rsidRPr="003F14FF">
        <w:t xml:space="preserve"> reālā iekšzemes kopprodukta pieaugumā 2021</w:t>
      </w:r>
      <w:r>
        <w:t>. gad</w:t>
      </w:r>
      <w:r w:rsidRPr="003F14FF">
        <w:t xml:space="preserve">ā bija negatīvs, proti, </w:t>
      </w:r>
      <w:r>
        <w:t>6,7</w:t>
      </w:r>
      <w:r w:rsidRPr="003F14FF">
        <w:t xml:space="preserve"> procentpunkti.</w:t>
      </w:r>
    </w:p>
    <w:p w14:paraId="25B09BBE" w14:textId="77777777" w:rsidR="00FA2AC6" w:rsidRPr="004E3827" w:rsidRDefault="00FA2AC6" w:rsidP="00FA2AC6">
      <w:r w:rsidRPr="003F14FF">
        <w:t>2022</w:t>
      </w:r>
      <w:r>
        <w:t>. gad</w:t>
      </w:r>
      <w:r w:rsidRPr="003F14FF">
        <w:t xml:space="preserve">a </w:t>
      </w:r>
      <w:r>
        <w:t>pirmajos trīs ceturkšņos</w:t>
      </w:r>
      <w:r w:rsidRPr="003F14FF">
        <w:t xml:space="preserve"> kopējais imports salīdzināmajās cenās bija par 1</w:t>
      </w:r>
      <w:r>
        <w:t>2,2</w:t>
      </w:r>
      <w:r w:rsidRPr="003F14FF">
        <w:t>% augstāks nekā pērnā gada attiecīgajā periodā. Straujš</w:t>
      </w:r>
      <w:r>
        <w:t xml:space="preserve"> importa</w:t>
      </w:r>
      <w:r w:rsidRPr="003F14FF">
        <w:t xml:space="preserve"> kāpums bija fiksēts gan precēm, gan pakalpojumiem</w:t>
      </w:r>
      <w:r>
        <w:t>. g</w:t>
      </w:r>
      <w:r w:rsidRPr="003F14FF">
        <w:t xml:space="preserve">alvenie Latvijas ekonomikas attīstības spēki šā gada </w:t>
      </w:r>
      <w:r>
        <w:t>trīs ceturkšņos</w:t>
      </w:r>
      <w:r w:rsidRPr="003F14FF">
        <w:t xml:space="preserve"> bija iekšzemes patēriņš un eksports. Tādējādi, palielinoties mājsaimniecīb</w:t>
      </w:r>
      <w:r>
        <w:t>u</w:t>
      </w:r>
      <w:r w:rsidRPr="003F14FF">
        <w:t xml:space="preserve"> patēriņam, ko veicināja augošie ienākumi un atceltie </w:t>
      </w:r>
      <w:r>
        <w:t>Covid</w:t>
      </w:r>
      <w:r>
        <w:noBreakHyphen/>
        <w:t>19</w:t>
      </w:r>
      <w:r w:rsidRPr="003F14FF">
        <w:t xml:space="preserve"> ierobežojumi, ka arī reeksporta kāpums </w:t>
      </w:r>
      <w:r w:rsidRPr="004E3827">
        <w:t>veicināja strauju importa pieaugumu. Papildus tam, importa kāpumu ietekm</w:t>
      </w:r>
      <w:r>
        <w:t>ē</w:t>
      </w:r>
      <w:r w:rsidRPr="004E3827">
        <w:t xml:space="preserve"> arī straujš energoresursu cenu pieaugums.</w:t>
      </w:r>
    </w:p>
    <w:p w14:paraId="035385C5" w14:textId="77777777" w:rsidR="00FA2AC6" w:rsidRPr="00C123D5" w:rsidRDefault="00FA2AC6" w:rsidP="00FA2AC6">
      <w:bookmarkStart w:id="15" w:name="_Hlk121490086"/>
      <w:r w:rsidRPr="004E3827">
        <w:t>Mēnešu dati rāda, ka preču importa vērtība 2022</w:t>
      </w:r>
      <w:r>
        <w:t>. gad</w:t>
      </w:r>
      <w:r w:rsidRPr="004E3827">
        <w:t xml:space="preserve">a </w:t>
      </w:r>
      <w:r>
        <w:t>deviņos</w:t>
      </w:r>
      <w:r w:rsidRPr="004E3827">
        <w:t xml:space="preserve"> mēnešos palielinājās par 3</w:t>
      </w:r>
      <w:r>
        <w:t>6,0</w:t>
      </w:r>
      <w:r w:rsidRPr="004E3827">
        <w:t xml:space="preserve">% faktiskajās cenās. </w:t>
      </w:r>
      <w:r>
        <w:t>Puse</w:t>
      </w:r>
      <w:r w:rsidRPr="004E3827">
        <w:t xml:space="preserve"> </w:t>
      </w:r>
      <w:r w:rsidRPr="004E3827">
        <w:rPr>
          <w:noProof/>
        </w:rPr>
        <w:t>no importa kāpuma izskaidro minerālproduktu importa pieaugums par 1</w:t>
      </w:r>
      <w:r>
        <w:rPr>
          <w:noProof/>
        </w:rPr>
        <w:t>97</w:t>
      </w:r>
      <w:r w:rsidRPr="004E3827">
        <w:rPr>
          <w:noProof/>
        </w:rPr>
        <w:t xml:space="preserve">% jeb </w:t>
      </w:r>
      <w:r>
        <w:rPr>
          <w:noProof/>
        </w:rPr>
        <w:t>2638</w:t>
      </w:r>
      <w:r w:rsidRPr="004E3827">
        <w:rPr>
          <w:noProof/>
        </w:rPr>
        <w:t xml:space="preserve"> milj. </w:t>
      </w:r>
      <w:r w:rsidRPr="004E3827">
        <w:rPr>
          <w:i/>
          <w:iCs/>
          <w:noProof/>
        </w:rPr>
        <w:t xml:space="preserve">euro. </w:t>
      </w:r>
      <w:r w:rsidRPr="004E3827">
        <w:rPr>
          <w:noProof/>
        </w:rPr>
        <w:t xml:space="preserve">Fiziskais </w:t>
      </w:r>
      <w:r w:rsidRPr="00CC5457">
        <w:rPr>
          <w:noProof/>
        </w:rPr>
        <w:t>minerālproduktu importa apjoms</w:t>
      </w:r>
      <w:r w:rsidRPr="004E3827">
        <w:rPr>
          <w:noProof/>
        </w:rPr>
        <w:t xml:space="preserve"> attiecīgajā laikā periodā pieauga vien par </w:t>
      </w:r>
      <w:r>
        <w:rPr>
          <w:noProof/>
        </w:rPr>
        <w:t>11</w:t>
      </w:r>
      <w:r w:rsidRPr="004E3827">
        <w:rPr>
          <w:noProof/>
        </w:rPr>
        <w:t>,0%. Noteicoša loma tik strauj</w:t>
      </w:r>
      <w:r>
        <w:rPr>
          <w:noProof/>
        </w:rPr>
        <w:t>ā</w:t>
      </w:r>
      <w:r w:rsidRPr="004E3827">
        <w:rPr>
          <w:noProof/>
        </w:rPr>
        <w:t xml:space="preserve"> minerālproduktu </w:t>
      </w:r>
      <w:r>
        <w:rPr>
          <w:noProof/>
        </w:rPr>
        <w:t xml:space="preserve">importa </w:t>
      </w:r>
      <w:r w:rsidRPr="004E3827">
        <w:rPr>
          <w:noProof/>
        </w:rPr>
        <w:t>kāpum</w:t>
      </w:r>
      <w:r>
        <w:rPr>
          <w:noProof/>
        </w:rPr>
        <w:t>ā</w:t>
      </w:r>
      <w:r w:rsidRPr="004E3827">
        <w:rPr>
          <w:noProof/>
        </w:rPr>
        <w:t xml:space="preserve"> bija cenu pieaugumam, it īpaši gāzei, jēlnaftai, naftas produktiem un elektroenerģijai. Tā, gāzes importa vērtība pieauga vairāk nekā 4 reizes jeb par </w:t>
      </w:r>
      <w:r>
        <w:rPr>
          <w:noProof/>
        </w:rPr>
        <w:t>1304</w:t>
      </w:r>
      <w:r w:rsidRPr="004E3827">
        <w:rPr>
          <w:noProof/>
        </w:rPr>
        <w:t xml:space="preserve"> milj. </w:t>
      </w:r>
      <w:r w:rsidRPr="004E3827">
        <w:rPr>
          <w:i/>
          <w:iCs/>
          <w:noProof/>
        </w:rPr>
        <w:t xml:space="preserve">euro </w:t>
      </w:r>
      <w:r w:rsidRPr="004E3827">
        <w:rPr>
          <w:noProof/>
        </w:rPr>
        <w:t xml:space="preserve">salīdzinājumā ar pērnā gada </w:t>
      </w:r>
      <w:r>
        <w:rPr>
          <w:noProof/>
        </w:rPr>
        <w:t>deviņiem</w:t>
      </w:r>
      <w:r w:rsidRPr="004E3827">
        <w:rPr>
          <w:noProof/>
        </w:rPr>
        <w:t xml:space="preserve"> mēnešiem</w:t>
      </w:r>
      <w:r w:rsidRPr="004E3827">
        <w:rPr>
          <w:i/>
          <w:iCs/>
          <w:noProof/>
        </w:rPr>
        <w:t>,</w:t>
      </w:r>
      <w:r w:rsidRPr="004E3827">
        <w:rPr>
          <w:noProof/>
        </w:rPr>
        <w:t xml:space="preserve"> elektroenerģijas imports palielināj</w:t>
      </w:r>
      <w:r>
        <w:rPr>
          <w:noProof/>
        </w:rPr>
        <w:t>ā</w:t>
      </w:r>
      <w:r w:rsidRPr="004E3827">
        <w:rPr>
          <w:noProof/>
        </w:rPr>
        <w:t>s</w:t>
      </w:r>
      <w:r>
        <w:rPr>
          <w:noProof/>
        </w:rPr>
        <w:t xml:space="preserve"> 4 reizes jeb par 756 milj. </w:t>
      </w:r>
      <w:r w:rsidRPr="004E3827">
        <w:rPr>
          <w:i/>
          <w:iCs/>
          <w:noProof/>
        </w:rPr>
        <w:t>euro</w:t>
      </w:r>
      <w:r w:rsidRPr="004E3827">
        <w:rPr>
          <w:noProof/>
        </w:rPr>
        <w:t xml:space="preserve">, bet naftas </w:t>
      </w:r>
      <w:r>
        <w:rPr>
          <w:noProof/>
        </w:rPr>
        <w:t>pārstrādes</w:t>
      </w:r>
      <w:r w:rsidRPr="004E3827">
        <w:rPr>
          <w:noProof/>
        </w:rPr>
        <w:t xml:space="preserve"> produktu importa vērtība </w:t>
      </w:r>
      <w:r>
        <w:rPr>
          <w:noProof/>
        </w:rPr>
        <w:t xml:space="preserve">pieauga gandrīz 2 reizes jeb par 517 milj. </w:t>
      </w:r>
      <w:r w:rsidRPr="004E3827">
        <w:rPr>
          <w:i/>
          <w:iCs/>
          <w:noProof/>
        </w:rPr>
        <w:t xml:space="preserve">euro. </w:t>
      </w:r>
      <w:r w:rsidRPr="004E3827">
        <w:rPr>
          <w:noProof/>
        </w:rPr>
        <w:t>Tādējādi minerālproduktu īpatsvars kopējā preču importā palielinājies no</w:t>
      </w:r>
      <w:r>
        <w:rPr>
          <w:noProof/>
        </w:rPr>
        <w:t xml:space="preserve"> 9,4</w:t>
      </w:r>
      <w:r w:rsidRPr="004E3827">
        <w:rPr>
          <w:noProof/>
        </w:rPr>
        <w:t>% pērnā gad</w:t>
      </w:r>
      <w:r>
        <w:rPr>
          <w:noProof/>
        </w:rPr>
        <w:t>a</w:t>
      </w:r>
      <w:r w:rsidRPr="004E3827">
        <w:rPr>
          <w:noProof/>
        </w:rPr>
        <w:t xml:space="preserve"> </w:t>
      </w:r>
      <w:r>
        <w:rPr>
          <w:noProof/>
        </w:rPr>
        <w:t>deviņos</w:t>
      </w:r>
      <w:r w:rsidRPr="004E3827">
        <w:rPr>
          <w:noProof/>
        </w:rPr>
        <w:t xml:space="preserve"> mēneš</w:t>
      </w:r>
      <w:r>
        <w:rPr>
          <w:noProof/>
        </w:rPr>
        <w:t>os</w:t>
      </w:r>
      <w:r w:rsidRPr="004E3827">
        <w:rPr>
          <w:noProof/>
        </w:rPr>
        <w:t xml:space="preserve"> līdz </w:t>
      </w:r>
      <w:r>
        <w:rPr>
          <w:noProof/>
        </w:rPr>
        <w:t>20,5</w:t>
      </w:r>
      <w:r w:rsidRPr="004E3827">
        <w:rPr>
          <w:noProof/>
        </w:rPr>
        <w:t xml:space="preserve">% šā gada </w:t>
      </w:r>
      <w:r>
        <w:rPr>
          <w:noProof/>
        </w:rPr>
        <w:t>deviņos</w:t>
      </w:r>
      <w:r w:rsidRPr="004E3827">
        <w:rPr>
          <w:noProof/>
        </w:rPr>
        <w:t xml:space="preserve"> mēneš</w:t>
      </w:r>
      <w:r>
        <w:rPr>
          <w:noProof/>
        </w:rPr>
        <w:t>os</w:t>
      </w:r>
      <w:r w:rsidRPr="004E3827">
        <w:rPr>
          <w:noProof/>
        </w:rPr>
        <w:t>. Detalizētāki dati par preču</w:t>
      </w:r>
      <w:r w:rsidRPr="004E3827">
        <w:t xml:space="preserve"> importa vērtību ir atspoguļoti </w:t>
      </w:r>
      <w:r w:rsidRPr="00C123D5">
        <w:t>3. tabulā.</w:t>
      </w:r>
    </w:p>
    <w:bookmarkEnd w:id="15"/>
    <w:p w14:paraId="363F7D75" w14:textId="77777777" w:rsidR="00FA2AC6" w:rsidRPr="00E96E91" w:rsidRDefault="00FA2AC6" w:rsidP="00FA2AC6">
      <w:pPr>
        <w:pStyle w:val="Tabulasvirsraksts"/>
        <w:rPr>
          <w:rFonts w:eastAsia="Calibri"/>
          <w:iCs w:val="0"/>
        </w:rPr>
      </w:pPr>
      <w:r w:rsidRPr="00E96E91">
        <w:rPr>
          <w:rFonts w:eastAsia="Calibri"/>
          <w:iCs w:val="0"/>
        </w:rPr>
        <w:t>3. tabula. Preču importa vērtība 2021</w:t>
      </w:r>
      <w:r w:rsidRPr="00E96E91">
        <w:rPr>
          <w:iCs w:val="0"/>
        </w:rPr>
        <w:t>. g</w:t>
      </w:r>
      <w:r w:rsidRPr="00E96E91">
        <w:rPr>
          <w:rFonts w:eastAsia="Calibri"/>
          <w:iCs w:val="0"/>
        </w:rPr>
        <w:t>ada un 2022</w:t>
      </w:r>
      <w:r w:rsidRPr="00E96E91">
        <w:rPr>
          <w:iCs w:val="0"/>
        </w:rPr>
        <w:t>. g</w:t>
      </w:r>
      <w:r w:rsidRPr="00E96E91">
        <w:rPr>
          <w:rFonts w:eastAsia="Calibri"/>
          <w:iCs w:val="0"/>
        </w:rPr>
        <w:t>ada pirmajos deviņos mēnešos (izmaiņas un preču grupu īpatsvars 2021</w:t>
      </w:r>
      <w:r w:rsidRPr="00E96E91">
        <w:rPr>
          <w:iCs w:val="0"/>
        </w:rPr>
        <w:t>. g</w:t>
      </w:r>
      <w:r w:rsidRPr="00E96E91">
        <w:rPr>
          <w:rFonts w:eastAsia="Calibri"/>
          <w:iCs w:val="0"/>
        </w:rPr>
        <w:t>ada deviņos mēnešos)</w:t>
      </w:r>
    </w:p>
    <w:tbl>
      <w:tblPr>
        <w:tblW w:w="8500" w:type="dxa"/>
        <w:jc w:val="center"/>
        <w:tblLayout w:type="fixed"/>
        <w:tblLook w:val="04A0" w:firstRow="1" w:lastRow="0" w:firstColumn="1" w:lastColumn="0" w:noHBand="0" w:noVBand="1"/>
      </w:tblPr>
      <w:tblGrid>
        <w:gridCol w:w="2405"/>
        <w:gridCol w:w="1219"/>
        <w:gridCol w:w="1219"/>
        <w:gridCol w:w="1106"/>
        <w:gridCol w:w="1134"/>
        <w:gridCol w:w="1417"/>
      </w:tblGrid>
      <w:tr w:rsidR="00FA2AC6" w:rsidRPr="00E96E91" w14:paraId="4198A681" w14:textId="77777777" w:rsidTr="00557A0A">
        <w:trPr>
          <w:trHeight w:val="315"/>
          <w:jc w:val="center"/>
        </w:trPr>
        <w:tc>
          <w:tcPr>
            <w:tcW w:w="240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3CBCAF66" w14:textId="77777777" w:rsidR="00FA2AC6" w:rsidRPr="00E96E91" w:rsidRDefault="00FA2AC6" w:rsidP="00557A0A">
            <w:pPr>
              <w:spacing w:before="0" w:after="0"/>
              <w:ind w:firstLine="0"/>
              <w:jc w:val="left"/>
              <w:rPr>
                <w:rFonts w:cs="Times New Roman"/>
                <w:b/>
                <w:bCs/>
                <w:sz w:val="20"/>
                <w:szCs w:val="20"/>
                <w:lang w:eastAsia="lv-LV"/>
              </w:rPr>
            </w:pPr>
            <w:r w:rsidRPr="00E96E91">
              <w:rPr>
                <w:rFonts w:cs="Times New Roman"/>
                <w:b/>
                <w:bCs/>
                <w:sz w:val="20"/>
                <w:szCs w:val="20"/>
                <w:lang w:eastAsia="lv-LV"/>
              </w:rPr>
              <w:t>Preču grupa</w:t>
            </w:r>
          </w:p>
        </w:tc>
        <w:tc>
          <w:tcPr>
            <w:tcW w:w="1219"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2DA1A7E2" w14:textId="77777777" w:rsidR="00FA2AC6" w:rsidRPr="00E96E91" w:rsidRDefault="00FA2AC6" w:rsidP="00557A0A">
            <w:pPr>
              <w:spacing w:before="0" w:after="0"/>
              <w:ind w:firstLine="0"/>
              <w:jc w:val="center"/>
              <w:rPr>
                <w:rFonts w:cs="Times New Roman"/>
                <w:b/>
                <w:bCs/>
                <w:noProof/>
                <w:sz w:val="20"/>
                <w:szCs w:val="20"/>
                <w:lang w:eastAsia="lv-LV"/>
              </w:rPr>
            </w:pPr>
            <w:r w:rsidRPr="00E96E91">
              <w:rPr>
                <w:rFonts w:cs="Times New Roman"/>
                <w:b/>
                <w:bCs/>
                <w:noProof/>
                <w:sz w:val="20"/>
                <w:szCs w:val="20"/>
                <w:lang w:eastAsia="lv-LV"/>
              </w:rPr>
              <w:t xml:space="preserve">I-IX 2021 milj. </w:t>
            </w:r>
            <w:r w:rsidRPr="00E96E91">
              <w:rPr>
                <w:rFonts w:cs="Times New Roman"/>
                <w:b/>
                <w:bCs/>
                <w:i/>
                <w:iCs/>
                <w:noProof/>
                <w:sz w:val="20"/>
                <w:szCs w:val="20"/>
                <w:lang w:eastAsia="lv-LV"/>
              </w:rPr>
              <w:t>euro</w:t>
            </w:r>
          </w:p>
        </w:tc>
        <w:tc>
          <w:tcPr>
            <w:tcW w:w="1219"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2DB25C0C" w14:textId="77777777" w:rsidR="00FA2AC6" w:rsidRPr="00E96E91" w:rsidRDefault="00FA2AC6" w:rsidP="00557A0A">
            <w:pPr>
              <w:spacing w:before="0" w:after="0"/>
              <w:ind w:firstLine="0"/>
              <w:jc w:val="center"/>
              <w:rPr>
                <w:rFonts w:cs="Times New Roman"/>
                <w:b/>
                <w:bCs/>
                <w:noProof/>
                <w:sz w:val="20"/>
                <w:szCs w:val="20"/>
                <w:lang w:eastAsia="lv-LV"/>
              </w:rPr>
            </w:pPr>
            <w:r w:rsidRPr="00E96E91">
              <w:rPr>
                <w:rFonts w:cs="Times New Roman"/>
                <w:b/>
                <w:bCs/>
                <w:noProof/>
                <w:sz w:val="20"/>
                <w:szCs w:val="20"/>
                <w:lang w:eastAsia="lv-LV"/>
              </w:rPr>
              <w:t xml:space="preserve">I-IX 2022 milj. </w:t>
            </w:r>
            <w:r w:rsidRPr="00E96E91">
              <w:rPr>
                <w:rFonts w:cs="Times New Roman"/>
                <w:b/>
                <w:bCs/>
                <w:i/>
                <w:iCs/>
                <w:noProof/>
                <w:sz w:val="20"/>
                <w:szCs w:val="20"/>
                <w:lang w:eastAsia="lv-LV"/>
              </w:rPr>
              <w:t>euro</w:t>
            </w:r>
          </w:p>
        </w:tc>
        <w:tc>
          <w:tcPr>
            <w:tcW w:w="1106"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2E82151F" w14:textId="77777777" w:rsidR="00FA2AC6" w:rsidRPr="00E96E91" w:rsidRDefault="00FA2AC6" w:rsidP="00557A0A">
            <w:pPr>
              <w:spacing w:before="0" w:after="0"/>
              <w:ind w:firstLine="0"/>
              <w:jc w:val="center"/>
              <w:rPr>
                <w:rFonts w:cs="Times New Roman"/>
                <w:b/>
                <w:bCs/>
                <w:noProof/>
                <w:sz w:val="20"/>
                <w:szCs w:val="20"/>
                <w:lang w:eastAsia="lv-LV"/>
              </w:rPr>
            </w:pPr>
            <w:r w:rsidRPr="00E96E91">
              <w:rPr>
                <w:rFonts w:cs="Times New Roman"/>
                <w:b/>
                <w:bCs/>
                <w:noProof/>
                <w:sz w:val="20"/>
                <w:szCs w:val="20"/>
                <w:lang w:eastAsia="lv-LV"/>
              </w:rPr>
              <w:t>Izmaiņas, %</w:t>
            </w:r>
          </w:p>
        </w:tc>
        <w:tc>
          <w:tcPr>
            <w:tcW w:w="1134"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4F711B28" w14:textId="77777777" w:rsidR="00FA2AC6" w:rsidRPr="00E96E91" w:rsidRDefault="00FA2AC6" w:rsidP="00557A0A">
            <w:pPr>
              <w:spacing w:before="0" w:after="0"/>
              <w:ind w:firstLine="0"/>
              <w:jc w:val="center"/>
              <w:rPr>
                <w:rFonts w:cs="Times New Roman"/>
                <w:b/>
                <w:bCs/>
                <w:noProof/>
                <w:sz w:val="20"/>
                <w:szCs w:val="20"/>
                <w:lang w:eastAsia="lv-LV"/>
              </w:rPr>
            </w:pPr>
            <w:r w:rsidRPr="00E96E91">
              <w:rPr>
                <w:rFonts w:cs="Times New Roman"/>
                <w:b/>
                <w:bCs/>
                <w:noProof/>
                <w:sz w:val="20"/>
                <w:szCs w:val="20"/>
                <w:lang w:eastAsia="lv-LV"/>
              </w:rPr>
              <w:t xml:space="preserve">Izmaiņas, milj. </w:t>
            </w:r>
            <w:r w:rsidRPr="00163AE4">
              <w:rPr>
                <w:rFonts w:cs="Times New Roman"/>
                <w:b/>
                <w:bCs/>
                <w:i/>
                <w:iCs/>
                <w:noProof/>
                <w:sz w:val="20"/>
                <w:szCs w:val="20"/>
                <w:lang w:eastAsia="lv-LV"/>
              </w:rPr>
              <w:t>euro</w:t>
            </w:r>
          </w:p>
        </w:tc>
        <w:tc>
          <w:tcPr>
            <w:tcW w:w="1417"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412B9FA7" w14:textId="77777777" w:rsidR="00FA2AC6" w:rsidRPr="00E96E91" w:rsidRDefault="00FA2AC6" w:rsidP="00557A0A">
            <w:pPr>
              <w:spacing w:before="0" w:after="0"/>
              <w:ind w:firstLine="0"/>
              <w:jc w:val="center"/>
              <w:rPr>
                <w:rFonts w:cs="Times New Roman"/>
                <w:b/>
                <w:bCs/>
                <w:noProof/>
                <w:sz w:val="20"/>
                <w:szCs w:val="20"/>
                <w:lang w:eastAsia="lv-LV"/>
              </w:rPr>
            </w:pPr>
            <w:r w:rsidRPr="00E96E91">
              <w:rPr>
                <w:rFonts w:cs="Times New Roman"/>
                <w:b/>
                <w:bCs/>
                <w:noProof/>
                <w:sz w:val="20"/>
                <w:szCs w:val="20"/>
                <w:lang w:eastAsia="lv-LV"/>
              </w:rPr>
              <w:t>Preču grupu īpatsvars, %</w:t>
            </w:r>
          </w:p>
        </w:tc>
      </w:tr>
      <w:tr w:rsidR="00FA2AC6" w:rsidRPr="00E96E91" w14:paraId="235DD100" w14:textId="77777777" w:rsidTr="00557A0A">
        <w:trPr>
          <w:trHeight w:val="383"/>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8387EBA" w14:textId="77777777" w:rsidR="00FA2AC6" w:rsidRPr="00E96E91" w:rsidRDefault="00FA2AC6" w:rsidP="00557A0A">
            <w:pPr>
              <w:spacing w:before="0" w:after="0"/>
              <w:ind w:firstLine="0"/>
              <w:jc w:val="left"/>
              <w:rPr>
                <w:rFonts w:cs="Times New Roman"/>
                <w:noProof/>
                <w:sz w:val="20"/>
                <w:szCs w:val="20"/>
                <w:lang w:eastAsia="lv-LV"/>
              </w:rPr>
            </w:pPr>
            <w:r w:rsidRPr="00E96E91">
              <w:rPr>
                <w:rFonts w:cs="Times New Roman"/>
                <w:noProof/>
                <w:sz w:val="20"/>
                <w:szCs w:val="20"/>
                <w:lang w:eastAsia="lv-LV"/>
              </w:rPr>
              <w:t>Minerālprodukti</w:t>
            </w:r>
          </w:p>
        </w:tc>
        <w:tc>
          <w:tcPr>
            <w:tcW w:w="1219" w:type="dxa"/>
            <w:tcBorders>
              <w:top w:val="nil"/>
              <w:left w:val="nil"/>
              <w:bottom w:val="single" w:sz="4" w:space="0" w:color="auto"/>
              <w:right w:val="single" w:sz="4" w:space="0" w:color="auto"/>
            </w:tcBorders>
            <w:shd w:val="clear" w:color="auto" w:fill="auto"/>
            <w:noWrap/>
            <w:vAlign w:val="center"/>
            <w:hideMark/>
          </w:tcPr>
          <w:p w14:paraId="4A627392"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1 339</w:t>
            </w:r>
          </w:p>
        </w:tc>
        <w:tc>
          <w:tcPr>
            <w:tcW w:w="1219" w:type="dxa"/>
            <w:tcBorders>
              <w:top w:val="nil"/>
              <w:left w:val="nil"/>
              <w:bottom w:val="single" w:sz="4" w:space="0" w:color="auto"/>
              <w:right w:val="single" w:sz="4" w:space="0" w:color="auto"/>
            </w:tcBorders>
            <w:shd w:val="clear" w:color="auto" w:fill="auto"/>
            <w:noWrap/>
            <w:vAlign w:val="center"/>
            <w:hideMark/>
          </w:tcPr>
          <w:p w14:paraId="3DF88540"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3 977</w:t>
            </w:r>
          </w:p>
        </w:tc>
        <w:tc>
          <w:tcPr>
            <w:tcW w:w="1106" w:type="dxa"/>
            <w:tcBorders>
              <w:top w:val="nil"/>
              <w:left w:val="nil"/>
              <w:bottom w:val="single" w:sz="4" w:space="0" w:color="auto"/>
              <w:right w:val="single" w:sz="4" w:space="0" w:color="auto"/>
            </w:tcBorders>
            <w:shd w:val="clear" w:color="auto" w:fill="auto"/>
            <w:noWrap/>
            <w:vAlign w:val="center"/>
            <w:hideMark/>
          </w:tcPr>
          <w:p w14:paraId="021CC098"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197</w:t>
            </w:r>
          </w:p>
        </w:tc>
        <w:tc>
          <w:tcPr>
            <w:tcW w:w="1134" w:type="dxa"/>
            <w:tcBorders>
              <w:top w:val="nil"/>
              <w:left w:val="nil"/>
              <w:bottom w:val="single" w:sz="4" w:space="0" w:color="auto"/>
              <w:right w:val="single" w:sz="4" w:space="0" w:color="auto"/>
            </w:tcBorders>
            <w:shd w:val="clear" w:color="auto" w:fill="auto"/>
            <w:noWrap/>
            <w:vAlign w:val="center"/>
            <w:hideMark/>
          </w:tcPr>
          <w:p w14:paraId="2415409E"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2 638</w:t>
            </w:r>
          </w:p>
        </w:tc>
        <w:tc>
          <w:tcPr>
            <w:tcW w:w="1417" w:type="dxa"/>
            <w:tcBorders>
              <w:top w:val="nil"/>
              <w:left w:val="nil"/>
              <w:bottom w:val="single" w:sz="4" w:space="0" w:color="auto"/>
              <w:right w:val="single" w:sz="4" w:space="0" w:color="auto"/>
            </w:tcBorders>
            <w:shd w:val="clear" w:color="auto" w:fill="auto"/>
            <w:noWrap/>
            <w:vAlign w:val="center"/>
          </w:tcPr>
          <w:p w14:paraId="5E5CA61F"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20</w:t>
            </w:r>
          </w:p>
        </w:tc>
      </w:tr>
      <w:tr w:rsidR="00FA2AC6" w:rsidRPr="00E96E91" w14:paraId="291C268B" w14:textId="77777777" w:rsidTr="00557A0A">
        <w:trPr>
          <w:trHeight w:val="31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127A964"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Mehānismi un ierīces, t.sk. elektroierīces</w:t>
            </w:r>
          </w:p>
        </w:tc>
        <w:tc>
          <w:tcPr>
            <w:tcW w:w="1219" w:type="dxa"/>
            <w:tcBorders>
              <w:top w:val="nil"/>
              <w:left w:val="nil"/>
              <w:bottom w:val="single" w:sz="4" w:space="0" w:color="auto"/>
              <w:right w:val="single" w:sz="4" w:space="0" w:color="auto"/>
            </w:tcBorders>
            <w:shd w:val="clear" w:color="auto" w:fill="auto"/>
            <w:noWrap/>
            <w:vAlign w:val="center"/>
            <w:hideMark/>
          </w:tcPr>
          <w:p w14:paraId="499A4A9A"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2 854</w:t>
            </w:r>
          </w:p>
        </w:tc>
        <w:tc>
          <w:tcPr>
            <w:tcW w:w="1219" w:type="dxa"/>
            <w:tcBorders>
              <w:top w:val="nil"/>
              <w:left w:val="nil"/>
              <w:bottom w:val="single" w:sz="4" w:space="0" w:color="auto"/>
              <w:right w:val="single" w:sz="4" w:space="0" w:color="auto"/>
            </w:tcBorders>
            <w:shd w:val="clear" w:color="auto" w:fill="auto"/>
            <w:noWrap/>
            <w:vAlign w:val="center"/>
            <w:hideMark/>
          </w:tcPr>
          <w:p w14:paraId="3F2CD7A7"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3 304</w:t>
            </w:r>
          </w:p>
        </w:tc>
        <w:tc>
          <w:tcPr>
            <w:tcW w:w="1106" w:type="dxa"/>
            <w:tcBorders>
              <w:top w:val="nil"/>
              <w:left w:val="nil"/>
              <w:bottom w:val="single" w:sz="4" w:space="0" w:color="auto"/>
              <w:right w:val="single" w:sz="4" w:space="0" w:color="auto"/>
            </w:tcBorders>
            <w:shd w:val="clear" w:color="auto" w:fill="auto"/>
            <w:noWrap/>
            <w:vAlign w:val="center"/>
            <w:hideMark/>
          </w:tcPr>
          <w:p w14:paraId="3659F61D"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16</w:t>
            </w:r>
          </w:p>
        </w:tc>
        <w:tc>
          <w:tcPr>
            <w:tcW w:w="1134" w:type="dxa"/>
            <w:tcBorders>
              <w:top w:val="nil"/>
              <w:left w:val="nil"/>
              <w:bottom w:val="single" w:sz="4" w:space="0" w:color="auto"/>
              <w:right w:val="single" w:sz="4" w:space="0" w:color="auto"/>
            </w:tcBorders>
            <w:shd w:val="clear" w:color="auto" w:fill="auto"/>
            <w:noWrap/>
            <w:vAlign w:val="center"/>
            <w:hideMark/>
          </w:tcPr>
          <w:p w14:paraId="34438536"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450</w:t>
            </w:r>
          </w:p>
        </w:tc>
        <w:tc>
          <w:tcPr>
            <w:tcW w:w="1417" w:type="dxa"/>
            <w:tcBorders>
              <w:top w:val="nil"/>
              <w:left w:val="nil"/>
              <w:bottom w:val="single" w:sz="4" w:space="0" w:color="auto"/>
              <w:right w:val="single" w:sz="4" w:space="0" w:color="auto"/>
            </w:tcBorders>
            <w:shd w:val="clear" w:color="auto" w:fill="auto"/>
            <w:noWrap/>
            <w:vAlign w:val="center"/>
          </w:tcPr>
          <w:p w14:paraId="1D5A37D2"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17</w:t>
            </w:r>
          </w:p>
        </w:tc>
      </w:tr>
      <w:tr w:rsidR="00FA2AC6" w:rsidRPr="00E96E91" w14:paraId="4E06D0B7" w14:textId="77777777" w:rsidTr="00557A0A">
        <w:trPr>
          <w:trHeight w:val="31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7FF5F44"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Lauksaimniecības preces un pārtika</w:t>
            </w:r>
          </w:p>
        </w:tc>
        <w:tc>
          <w:tcPr>
            <w:tcW w:w="1219" w:type="dxa"/>
            <w:tcBorders>
              <w:top w:val="nil"/>
              <w:left w:val="nil"/>
              <w:bottom w:val="single" w:sz="4" w:space="0" w:color="auto"/>
              <w:right w:val="single" w:sz="4" w:space="0" w:color="auto"/>
            </w:tcBorders>
            <w:shd w:val="clear" w:color="auto" w:fill="auto"/>
            <w:noWrap/>
            <w:vAlign w:val="center"/>
            <w:hideMark/>
          </w:tcPr>
          <w:p w14:paraId="5AF67317"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2 147</w:t>
            </w:r>
          </w:p>
        </w:tc>
        <w:tc>
          <w:tcPr>
            <w:tcW w:w="1219" w:type="dxa"/>
            <w:tcBorders>
              <w:top w:val="nil"/>
              <w:left w:val="nil"/>
              <w:bottom w:val="single" w:sz="4" w:space="0" w:color="auto"/>
              <w:right w:val="single" w:sz="4" w:space="0" w:color="auto"/>
            </w:tcBorders>
            <w:shd w:val="clear" w:color="auto" w:fill="auto"/>
            <w:noWrap/>
            <w:vAlign w:val="center"/>
            <w:hideMark/>
          </w:tcPr>
          <w:p w14:paraId="3BAA2CD2"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2 899</w:t>
            </w:r>
          </w:p>
        </w:tc>
        <w:tc>
          <w:tcPr>
            <w:tcW w:w="1106" w:type="dxa"/>
            <w:tcBorders>
              <w:top w:val="nil"/>
              <w:left w:val="nil"/>
              <w:bottom w:val="single" w:sz="4" w:space="0" w:color="auto"/>
              <w:right w:val="single" w:sz="4" w:space="0" w:color="auto"/>
            </w:tcBorders>
            <w:shd w:val="clear" w:color="auto" w:fill="auto"/>
            <w:noWrap/>
            <w:vAlign w:val="center"/>
            <w:hideMark/>
          </w:tcPr>
          <w:p w14:paraId="0A864A9C"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35</w:t>
            </w:r>
          </w:p>
        </w:tc>
        <w:tc>
          <w:tcPr>
            <w:tcW w:w="1134" w:type="dxa"/>
            <w:tcBorders>
              <w:top w:val="nil"/>
              <w:left w:val="nil"/>
              <w:bottom w:val="single" w:sz="4" w:space="0" w:color="auto"/>
              <w:right w:val="single" w:sz="4" w:space="0" w:color="auto"/>
            </w:tcBorders>
            <w:shd w:val="clear" w:color="auto" w:fill="auto"/>
            <w:noWrap/>
            <w:vAlign w:val="center"/>
            <w:hideMark/>
          </w:tcPr>
          <w:p w14:paraId="5CE8FFBD"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752</w:t>
            </w:r>
          </w:p>
        </w:tc>
        <w:tc>
          <w:tcPr>
            <w:tcW w:w="1417" w:type="dxa"/>
            <w:tcBorders>
              <w:top w:val="nil"/>
              <w:left w:val="nil"/>
              <w:bottom w:val="single" w:sz="4" w:space="0" w:color="auto"/>
              <w:right w:val="single" w:sz="4" w:space="0" w:color="auto"/>
            </w:tcBorders>
            <w:shd w:val="clear" w:color="auto" w:fill="auto"/>
            <w:noWrap/>
            <w:vAlign w:val="center"/>
          </w:tcPr>
          <w:p w14:paraId="71A7D0EC"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15</w:t>
            </w:r>
          </w:p>
        </w:tc>
      </w:tr>
      <w:tr w:rsidR="00FA2AC6" w:rsidRPr="00E96E91" w14:paraId="706E6270" w14:textId="77777777" w:rsidTr="00557A0A">
        <w:trPr>
          <w:trHeight w:val="31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681D45E"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Ķīmiskās rūpniecības ražojumi</w:t>
            </w:r>
          </w:p>
        </w:tc>
        <w:tc>
          <w:tcPr>
            <w:tcW w:w="1219" w:type="dxa"/>
            <w:tcBorders>
              <w:top w:val="nil"/>
              <w:left w:val="nil"/>
              <w:bottom w:val="single" w:sz="4" w:space="0" w:color="auto"/>
              <w:right w:val="single" w:sz="4" w:space="0" w:color="auto"/>
            </w:tcBorders>
            <w:shd w:val="clear" w:color="auto" w:fill="auto"/>
            <w:noWrap/>
            <w:vAlign w:val="center"/>
            <w:hideMark/>
          </w:tcPr>
          <w:p w14:paraId="6DBD1CD2"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1 489</w:t>
            </w:r>
          </w:p>
        </w:tc>
        <w:tc>
          <w:tcPr>
            <w:tcW w:w="1219" w:type="dxa"/>
            <w:tcBorders>
              <w:top w:val="nil"/>
              <w:left w:val="nil"/>
              <w:bottom w:val="single" w:sz="4" w:space="0" w:color="auto"/>
              <w:right w:val="single" w:sz="4" w:space="0" w:color="auto"/>
            </w:tcBorders>
            <w:shd w:val="clear" w:color="auto" w:fill="auto"/>
            <w:noWrap/>
            <w:vAlign w:val="center"/>
            <w:hideMark/>
          </w:tcPr>
          <w:p w14:paraId="0B079C1A"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1 991</w:t>
            </w:r>
          </w:p>
        </w:tc>
        <w:tc>
          <w:tcPr>
            <w:tcW w:w="1106" w:type="dxa"/>
            <w:tcBorders>
              <w:top w:val="nil"/>
              <w:left w:val="nil"/>
              <w:bottom w:val="single" w:sz="4" w:space="0" w:color="auto"/>
              <w:right w:val="single" w:sz="4" w:space="0" w:color="auto"/>
            </w:tcBorders>
            <w:shd w:val="clear" w:color="auto" w:fill="auto"/>
            <w:noWrap/>
            <w:vAlign w:val="center"/>
            <w:hideMark/>
          </w:tcPr>
          <w:p w14:paraId="3DFC5601"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34</w:t>
            </w:r>
          </w:p>
        </w:tc>
        <w:tc>
          <w:tcPr>
            <w:tcW w:w="1134" w:type="dxa"/>
            <w:tcBorders>
              <w:top w:val="nil"/>
              <w:left w:val="nil"/>
              <w:bottom w:val="single" w:sz="4" w:space="0" w:color="auto"/>
              <w:right w:val="single" w:sz="4" w:space="0" w:color="auto"/>
            </w:tcBorders>
            <w:shd w:val="clear" w:color="auto" w:fill="auto"/>
            <w:noWrap/>
            <w:vAlign w:val="center"/>
            <w:hideMark/>
          </w:tcPr>
          <w:p w14:paraId="147C45EC"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501</w:t>
            </w:r>
          </w:p>
        </w:tc>
        <w:tc>
          <w:tcPr>
            <w:tcW w:w="1417" w:type="dxa"/>
            <w:tcBorders>
              <w:top w:val="nil"/>
              <w:left w:val="nil"/>
              <w:bottom w:val="single" w:sz="4" w:space="0" w:color="auto"/>
              <w:right w:val="single" w:sz="4" w:space="0" w:color="auto"/>
            </w:tcBorders>
            <w:shd w:val="clear" w:color="auto" w:fill="auto"/>
            <w:noWrap/>
            <w:vAlign w:val="center"/>
          </w:tcPr>
          <w:p w14:paraId="7E93353D"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10</w:t>
            </w:r>
          </w:p>
        </w:tc>
      </w:tr>
      <w:tr w:rsidR="00FA2AC6" w:rsidRPr="00E96E91" w14:paraId="10C91BF1" w14:textId="77777777" w:rsidTr="00557A0A">
        <w:trPr>
          <w:trHeight w:val="31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5C35780"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Satiksmes līdzekļi</w:t>
            </w:r>
          </w:p>
        </w:tc>
        <w:tc>
          <w:tcPr>
            <w:tcW w:w="1219" w:type="dxa"/>
            <w:tcBorders>
              <w:top w:val="nil"/>
              <w:left w:val="nil"/>
              <w:bottom w:val="single" w:sz="4" w:space="0" w:color="auto"/>
              <w:right w:val="single" w:sz="4" w:space="0" w:color="auto"/>
            </w:tcBorders>
            <w:shd w:val="clear" w:color="auto" w:fill="auto"/>
            <w:noWrap/>
            <w:vAlign w:val="center"/>
            <w:hideMark/>
          </w:tcPr>
          <w:p w14:paraId="4200AA3C"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1 650</w:t>
            </w:r>
          </w:p>
        </w:tc>
        <w:tc>
          <w:tcPr>
            <w:tcW w:w="1219" w:type="dxa"/>
            <w:tcBorders>
              <w:top w:val="nil"/>
              <w:left w:val="nil"/>
              <w:bottom w:val="single" w:sz="4" w:space="0" w:color="auto"/>
              <w:right w:val="single" w:sz="4" w:space="0" w:color="auto"/>
            </w:tcBorders>
            <w:shd w:val="clear" w:color="auto" w:fill="auto"/>
            <w:noWrap/>
            <w:vAlign w:val="center"/>
            <w:hideMark/>
          </w:tcPr>
          <w:p w14:paraId="2E8F8661"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1 775</w:t>
            </w:r>
          </w:p>
        </w:tc>
        <w:tc>
          <w:tcPr>
            <w:tcW w:w="1106" w:type="dxa"/>
            <w:tcBorders>
              <w:top w:val="nil"/>
              <w:left w:val="nil"/>
              <w:bottom w:val="single" w:sz="4" w:space="0" w:color="auto"/>
              <w:right w:val="single" w:sz="4" w:space="0" w:color="auto"/>
            </w:tcBorders>
            <w:shd w:val="clear" w:color="auto" w:fill="auto"/>
            <w:noWrap/>
            <w:vAlign w:val="center"/>
            <w:hideMark/>
          </w:tcPr>
          <w:p w14:paraId="5323151F"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8</w:t>
            </w:r>
          </w:p>
        </w:tc>
        <w:tc>
          <w:tcPr>
            <w:tcW w:w="1134" w:type="dxa"/>
            <w:tcBorders>
              <w:top w:val="nil"/>
              <w:left w:val="nil"/>
              <w:bottom w:val="single" w:sz="4" w:space="0" w:color="auto"/>
              <w:right w:val="single" w:sz="4" w:space="0" w:color="auto"/>
            </w:tcBorders>
            <w:shd w:val="clear" w:color="auto" w:fill="auto"/>
            <w:noWrap/>
            <w:vAlign w:val="center"/>
            <w:hideMark/>
          </w:tcPr>
          <w:p w14:paraId="03EE36F5"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124</w:t>
            </w:r>
          </w:p>
        </w:tc>
        <w:tc>
          <w:tcPr>
            <w:tcW w:w="1417" w:type="dxa"/>
            <w:tcBorders>
              <w:top w:val="nil"/>
              <w:left w:val="nil"/>
              <w:bottom w:val="single" w:sz="4" w:space="0" w:color="auto"/>
              <w:right w:val="single" w:sz="4" w:space="0" w:color="auto"/>
            </w:tcBorders>
            <w:shd w:val="clear" w:color="auto" w:fill="auto"/>
            <w:noWrap/>
            <w:vAlign w:val="center"/>
          </w:tcPr>
          <w:p w14:paraId="64BF0FAC"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9</w:t>
            </w:r>
          </w:p>
        </w:tc>
      </w:tr>
      <w:tr w:rsidR="00FA2AC6" w:rsidRPr="00E96E91" w14:paraId="73F00E5E" w14:textId="77777777" w:rsidTr="00557A0A">
        <w:trPr>
          <w:trHeight w:val="31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E41B9F4"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Metāli un to izstrādājumi</w:t>
            </w:r>
          </w:p>
        </w:tc>
        <w:tc>
          <w:tcPr>
            <w:tcW w:w="1219" w:type="dxa"/>
            <w:tcBorders>
              <w:top w:val="nil"/>
              <w:left w:val="nil"/>
              <w:bottom w:val="single" w:sz="4" w:space="0" w:color="auto"/>
              <w:right w:val="single" w:sz="4" w:space="0" w:color="auto"/>
            </w:tcBorders>
            <w:shd w:val="clear" w:color="auto" w:fill="auto"/>
            <w:noWrap/>
            <w:vAlign w:val="center"/>
            <w:hideMark/>
          </w:tcPr>
          <w:p w14:paraId="0A879179"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1 345</w:t>
            </w:r>
          </w:p>
        </w:tc>
        <w:tc>
          <w:tcPr>
            <w:tcW w:w="1219" w:type="dxa"/>
            <w:tcBorders>
              <w:top w:val="nil"/>
              <w:left w:val="nil"/>
              <w:bottom w:val="single" w:sz="4" w:space="0" w:color="auto"/>
              <w:right w:val="single" w:sz="4" w:space="0" w:color="auto"/>
            </w:tcBorders>
            <w:shd w:val="clear" w:color="auto" w:fill="auto"/>
            <w:noWrap/>
            <w:vAlign w:val="center"/>
            <w:hideMark/>
          </w:tcPr>
          <w:p w14:paraId="0DE47B8B"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1 435</w:t>
            </w:r>
          </w:p>
        </w:tc>
        <w:tc>
          <w:tcPr>
            <w:tcW w:w="1106" w:type="dxa"/>
            <w:tcBorders>
              <w:top w:val="nil"/>
              <w:left w:val="nil"/>
              <w:bottom w:val="single" w:sz="4" w:space="0" w:color="auto"/>
              <w:right w:val="single" w:sz="4" w:space="0" w:color="auto"/>
            </w:tcBorders>
            <w:shd w:val="clear" w:color="auto" w:fill="auto"/>
            <w:noWrap/>
            <w:vAlign w:val="center"/>
            <w:hideMark/>
          </w:tcPr>
          <w:p w14:paraId="116439E6"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7</w:t>
            </w:r>
          </w:p>
        </w:tc>
        <w:tc>
          <w:tcPr>
            <w:tcW w:w="1134" w:type="dxa"/>
            <w:tcBorders>
              <w:top w:val="nil"/>
              <w:left w:val="nil"/>
              <w:bottom w:val="single" w:sz="4" w:space="0" w:color="auto"/>
              <w:right w:val="single" w:sz="4" w:space="0" w:color="auto"/>
            </w:tcBorders>
            <w:shd w:val="clear" w:color="auto" w:fill="auto"/>
            <w:noWrap/>
            <w:vAlign w:val="center"/>
            <w:hideMark/>
          </w:tcPr>
          <w:p w14:paraId="4D0DDB16"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90</w:t>
            </w:r>
          </w:p>
        </w:tc>
        <w:tc>
          <w:tcPr>
            <w:tcW w:w="1417" w:type="dxa"/>
            <w:tcBorders>
              <w:top w:val="nil"/>
              <w:left w:val="nil"/>
              <w:bottom w:val="single" w:sz="4" w:space="0" w:color="auto"/>
              <w:right w:val="single" w:sz="4" w:space="0" w:color="auto"/>
            </w:tcBorders>
            <w:shd w:val="clear" w:color="auto" w:fill="auto"/>
            <w:noWrap/>
            <w:vAlign w:val="center"/>
          </w:tcPr>
          <w:p w14:paraId="279AAD1E"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7</w:t>
            </w:r>
          </w:p>
        </w:tc>
      </w:tr>
      <w:tr w:rsidR="00FA2AC6" w:rsidRPr="00E96E91" w14:paraId="4B634718" w14:textId="77777777" w:rsidTr="00557A0A">
        <w:trPr>
          <w:trHeight w:val="31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B642E5F"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Pārējās preces</w:t>
            </w:r>
          </w:p>
        </w:tc>
        <w:tc>
          <w:tcPr>
            <w:tcW w:w="1219" w:type="dxa"/>
            <w:tcBorders>
              <w:top w:val="nil"/>
              <w:left w:val="nil"/>
              <w:bottom w:val="single" w:sz="4" w:space="0" w:color="auto"/>
              <w:right w:val="single" w:sz="4" w:space="0" w:color="auto"/>
            </w:tcBorders>
            <w:shd w:val="clear" w:color="auto" w:fill="auto"/>
            <w:noWrap/>
            <w:vAlign w:val="center"/>
            <w:hideMark/>
          </w:tcPr>
          <w:p w14:paraId="2D53E707"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949</w:t>
            </w:r>
          </w:p>
        </w:tc>
        <w:tc>
          <w:tcPr>
            <w:tcW w:w="1219" w:type="dxa"/>
            <w:tcBorders>
              <w:top w:val="nil"/>
              <w:left w:val="nil"/>
              <w:bottom w:val="single" w:sz="4" w:space="0" w:color="auto"/>
              <w:right w:val="single" w:sz="4" w:space="0" w:color="auto"/>
            </w:tcBorders>
            <w:shd w:val="clear" w:color="auto" w:fill="auto"/>
            <w:noWrap/>
            <w:vAlign w:val="center"/>
            <w:hideMark/>
          </w:tcPr>
          <w:p w14:paraId="06D2BC55"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1 087</w:t>
            </w:r>
          </w:p>
        </w:tc>
        <w:tc>
          <w:tcPr>
            <w:tcW w:w="1106" w:type="dxa"/>
            <w:tcBorders>
              <w:top w:val="nil"/>
              <w:left w:val="nil"/>
              <w:bottom w:val="single" w:sz="4" w:space="0" w:color="auto"/>
              <w:right w:val="single" w:sz="4" w:space="0" w:color="auto"/>
            </w:tcBorders>
            <w:shd w:val="clear" w:color="auto" w:fill="auto"/>
            <w:noWrap/>
            <w:vAlign w:val="center"/>
            <w:hideMark/>
          </w:tcPr>
          <w:p w14:paraId="5D8FB29D"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15</w:t>
            </w:r>
          </w:p>
        </w:tc>
        <w:tc>
          <w:tcPr>
            <w:tcW w:w="1134" w:type="dxa"/>
            <w:tcBorders>
              <w:top w:val="nil"/>
              <w:left w:val="nil"/>
              <w:bottom w:val="single" w:sz="4" w:space="0" w:color="auto"/>
              <w:right w:val="single" w:sz="4" w:space="0" w:color="auto"/>
            </w:tcBorders>
            <w:shd w:val="clear" w:color="auto" w:fill="auto"/>
            <w:noWrap/>
            <w:vAlign w:val="center"/>
            <w:hideMark/>
          </w:tcPr>
          <w:p w14:paraId="6CC4118A"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138</w:t>
            </w:r>
          </w:p>
        </w:tc>
        <w:tc>
          <w:tcPr>
            <w:tcW w:w="1417" w:type="dxa"/>
            <w:tcBorders>
              <w:top w:val="nil"/>
              <w:left w:val="nil"/>
              <w:bottom w:val="single" w:sz="4" w:space="0" w:color="auto"/>
              <w:right w:val="single" w:sz="4" w:space="0" w:color="auto"/>
            </w:tcBorders>
            <w:shd w:val="clear" w:color="auto" w:fill="auto"/>
            <w:noWrap/>
            <w:vAlign w:val="center"/>
          </w:tcPr>
          <w:p w14:paraId="38E1D98A"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6</w:t>
            </w:r>
          </w:p>
        </w:tc>
      </w:tr>
      <w:tr w:rsidR="00FA2AC6" w:rsidRPr="00E96E91" w14:paraId="60ACD153" w14:textId="77777777" w:rsidTr="00557A0A">
        <w:trPr>
          <w:trHeight w:val="31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AAB33E5"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Plastmasas, kaučuks un to izstrādājumi</w:t>
            </w:r>
          </w:p>
        </w:tc>
        <w:tc>
          <w:tcPr>
            <w:tcW w:w="1219" w:type="dxa"/>
            <w:tcBorders>
              <w:top w:val="nil"/>
              <w:left w:val="nil"/>
              <w:bottom w:val="single" w:sz="4" w:space="0" w:color="auto"/>
              <w:right w:val="single" w:sz="4" w:space="0" w:color="auto"/>
            </w:tcBorders>
            <w:shd w:val="clear" w:color="auto" w:fill="auto"/>
            <w:noWrap/>
            <w:vAlign w:val="center"/>
            <w:hideMark/>
          </w:tcPr>
          <w:p w14:paraId="54F2994E"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821</w:t>
            </w:r>
          </w:p>
        </w:tc>
        <w:tc>
          <w:tcPr>
            <w:tcW w:w="1219" w:type="dxa"/>
            <w:tcBorders>
              <w:top w:val="nil"/>
              <w:left w:val="nil"/>
              <w:bottom w:val="single" w:sz="4" w:space="0" w:color="auto"/>
              <w:right w:val="single" w:sz="4" w:space="0" w:color="auto"/>
            </w:tcBorders>
            <w:shd w:val="clear" w:color="auto" w:fill="auto"/>
            <w:noWrap/>
            <w:vAlign w:val="center"/>
            <w:hideMark/>
          </w:tcPr>
          <w:p w14:paraId="79F01941"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1 028</w:t>
            </w:r>
          </w:p>
        </w:tc>
        <w:tc>
          <w:tcPr>
            <w:tcW w:w="1106" w:type="dxa"/>
            <w:tcBorders>
              <w:top w:val="nil"/>
              <w:left w:val="nil"/>
              <w:bottom w:val="single" w:sz="4" w:space="0" w:color="auto"/>
              <w:right w:val="single" w:sz="4" w:space="0" w:color="auto"/>
            </w:tcBorders>
            <w:shd w:val="clear" w:color="auto" w:fill="auto"/>
            <w:noWrap/>
            <w:vAlign w:val="center"/>
            <w:hideMark/>
          </w:tcPr>
          <w:p w14:paraId="0B05BD3D"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25</w:t>
            </w:r>
          </w:p>
        </w:tc>
        <w:tc>
          <w:tcPr>
            <w:tcW w:w="1134" w:type="dxa"/>
            <w:tcBorders>
              <w:top w:val="nil"/>
              <w:left w:val="nil"/>
              <w:bottom w:val="single" w:sz="4" w:space="0" w:color="auto"/>
              <w:right w:val="single" w:sz="4" w:space="0" w:color="auto"/>
            </w:tcBorders>
            <w:shd w:val="clear" w:color="auto" w:fill="auto"/>
            <w:noWrap/>
            <w:vAlign w:val="center"/>
            <w:hideMark/>
          </w:tcPr>
          <w:p w14:paraId="763992EA"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207</w:t>
            </w:r>
          </w:p>
        </w:tc>
        <w:tc>
          <w:tcPr>
            <w:tcW w:w="1417" w:type="dxa"/>
            <w:tcBorders>
              <w:top w:val="nil"/>
              <w:left w:val="nil"/>
              <w:bottom w:val="single" w:sz="4" w:space="0" w:color="auto"/>
              <w:right w:val="single" w:sz="4" w:space="0" w:color="auto"/>
            </w:tcBorders>
            <w:shd w:val="clear" w:color="auto" w:fill="auto"/>
            <w:noWrap/>
            <w:vAlign w:val="center"/>
          </w:tcPr>
          <w:p w14:paraId="19C61F55"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5</w:t>
            </w:r>
          </w:p>
        </w:tc>
      </w:tr>
      <w:tr w:rsidR="00FA2AC6" w:rsidRPr="00E96E91" w14:paraId="1C722A1D" w14:textId="77777777" w:rsidTr="00557A0A">
        <w:trPr>
          <w:trHeight w:val="31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0E74800"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Koks un koka izstrādājumi</w:t>
            </w:r>
          </w:p>
        </w:tc>
        <w:tc>
          <w:tcPr>
            <w:tcW w:w="1219" w:type="dxa"/>
            <w:tcBorders>
              <w:top w:val="nil"/>
              <w:left w:val="nil"/>
              <w:bottom w:val="single" w:sz="4" w:space="0" w:color="auto"/>
              <w:right w:val="single" w:sz="4" w:space="0" w:color="auto"/>
            </w:tcBorders>
            <w:shd w:val="clear" w:color="auto" w:fill="auto"/>
            <w:vAlign w:val="center"/>
            <w:hideMark/>
          </w:tcPr>
          <w:p w14:paraId="23C20297"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726</w:t>
            </w:r>
          </w:p>
        </w:tc>
        <w:tc>
          <w:tcPr>
            <w:tcW w:w="1219" w:type="dxa"/>
            <w:tcBorders>
              <w:top w:val="nil"/>
              <w:left w:val="nil"/>
              <w:bottom w:val="single" w:sz="4" w:space="0" w:color="auto"/>
              <w:right w:val="single" w:sz="4" w:space="0" w:color="auto"/>
            </w:tcBorders>
            <w:shd w:val="clear" w:color="auto" w:fill="auto"/>
            <w:noWrap/>
            <w:vAlign w:val="center"/>
            <w:hideMark/>
          </w:tcPr>
          <w:p w14:paraId="64EA257B"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732</w:t>
            </w:r>
          </w:p>
        </w:tc>
        <w:tc>
          <w:tcPr>
            <w:tcW w:w="1106" w:type="dxa"/>
            <w:tcBorders>
              <w:top w:val="nil"/>
              <w:left w:val="nil"/>
              <w:bottom w:val="single" w:sz="4" w:space="0" w:color="auto"/>
              <w:right w:val="single" w:sz="4" w:space="0" w:color="auto"/>
            </w:tcBorders>
            <w:shd w:val="clear" w:color="auto" w:fill="auto"/>
            <w:noWrap/>
            <w:vAlign w:val="center"/>
            <w:hideMark/>
          </w:tcPr>
          <w:p w14:paraId="05ACDC98"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w:t>
            </w:r>
          </w:p>
        </w:tc>
        <w:tc>
          <w:tcPr>
            <w:tcW w:w="1134" w:type="dxa"/>
            <w:tcBorders>
              <w:top w:val="nil"/>
              <w:left w:val="nil"/>
              <w:bottom w:val="single" w:sz="4" w:space="0" w:color="auto"/>
              <w:right w:val="single" w:sz="4" w:space="0" w:color="auto"/>
            </w:tcBorders>
            <w:shd w:val="clear" w:color="auto" w:fill="auto"/>
            <w:noWrap/>
            <w:vAlign w:val="center"/>
            <w:hideMark/>
          </w:tcPr>
          <w:p w14:paraId="53975ED3"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6</w:t>
            </w:r>
          </w:p>
        </w:tc>
        <w:tc>
          <w:tcPr>
            <w:tcW w:w="1417" w:type="dxa"/>
            <w:tcBorders>
              <w:top w:val="nil"/>
              <w:left w:val="nil"/>
              <w:bottom w:val="single" w:sz="4" w:space="0" w:color="auto"/>
              <w:right w:val="single" w:sz="4" w:space="0" w:color="auto"/>
            </w:tcBorders>
            <w:shd w:val="clear" w:color="auto" w:fill="auto"/>
            <w:noWrap/>
            <w:vAlign w:val="center"/>
          </w:tcPr>
          <w:p w14:paraId="711DB9EA"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4</w:t>
            </w:r>
          </w:p>
        </w:tc>
      </w:tr>
      <w:tr w:rsidR="00FA2AC6" w:rsidRPr="00E96E91" w14:paraId="43509BF3" w14:textId="77777777" w:rsidTr="00557A0A">
        <w:trPr>
          <w:trHeight w:val="31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2C667C9"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Tekstilmateriāli un tekstilizstrādājumi</w:t>
            </w:r>
          </w:p>
        </w:tc>
        <w:tc>
          <w:tcPr>
            <w:tcW w:w="1219" w:type="dxa"/>
            <w:tcBorders>
              <w:top w:val="nil"/>
              <w:left w:val="nil"/>
              <w:bottom w:val="single" w:sz="4" w:space="0" w:color="auto"/>
              <w:right w:val="single" w:sz="4" w:space="0" w:color="auto"/>
            </w:tcBorders>
            <w:shd w:val="clear" w:color="auto" w:fill="auto"/>
            <w:noWrap/>
            <w:vAlign w:val="center"/>
            <w:hideMark/>
          </w:tcPr>
          <w:p w14:paraId="70886E45"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480</w:t>
            </w:r>
          </w:p>
        </w:tc>
        <w:tc>
          <w:tcPr>
            <w:tcW w:w="1219" w:type="dxa"/>
            <w:tcBorders>
              <w:top w:val="nil"/>
              <w:left w:val="nil"/>
              <w:bottom w:val="single" w:sz="4" w:space="0" w:color="auto"/>
              <w:right w:val="single" w:sz="4" w:space="0" w:color="auto"/>
            </w:tcBorders>
            <w:shd w:val="clear" w:color="auto" w:fill="auto"/>
            <w:noWrap/>
            <w:vAlign w:val="center"/>
            <w:hideMark/>
          </w:tcPr>
          <w:p w14:paraId="3CFB4E9E"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563</w:t>
            </w:r>
          </w:p>
        </w:tc>
        <w:tc>
          <w:tcPr>
            <w:tcW w:w="1106" w:type="dxa"/>
            <w:tcBorders>
              <w:top w:val="nil"/>
              <w:left w:val="nil"/>
              <w:bottom w:val="single" w:sz="4" w:space="0" w:color="auto"/>
              <w:right w:val="single" w:sz="4" w:space="0" w:color="auto"/>
            </w:tcBorders>
            <w:shd w:val="clear" w:color="auto" w:fill="auto"/>
            <w:noWrap/>
            <w:vAlign w:val="center"/>
            <w:hideMark/>
          </w:tcPr>
          <w:p w14:paraId="1003DF7D"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17</w:t>
            </w:r>
          </w:p>
        </w:tc>
        <w:tc>
          <w:tcPr>
            <w:tcW w:w="1134" w:type="dxa"/>
            <w:tcBorders>
              <w:top w:val="nil"/>
              <w:left w:val="nil"/>
              <w:bottom w:val="single" w:sz="4" w:space="0" w:color="auto"/>
              <w:right w:val="single" w:sz="4" w:space="0" w:color="auto"/>
            </w:tcBorders>
            <w:shd w:val="clear" w:color="auto" w:fill="auto"/>
            <w:noWrap/>
            <w:vAlign w:val="center"/>
            <w:hideMark/>
          </w:tcPr>
          <w:p w14:paraId="7FA17AF3"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84</w:t>
            </w:r>
          </w:p>
        </w:tc>
        <w:tc>
          <w:tcPr>
            <w:tcW w:w="1417" w:type="dxa"/>
            <w:tcBorders>
              <w:top w:val="nil"/>
              <w:left w:val="nil"/>
              <w:bottom w:val="single" w:sz="4" w:space="0" w:color="auto"/>
              <w:right w:val="single" w:sz="4" w:space="0" w:color="auto"/>
            </w:tcBorders>
            <w:shd w:val="clear" w:color="auto" w:fill="auto"/>
            <w:noWrap/>
            <w:vAlign w:val="center"/>
          </w:tcPr>
          <w:p w14:paraId="70F6B37C"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3</w:t>
            </w:r>
          </w:p>
        </w:tc>
      </w:tr>
      <w:tr w:rsidR="00FA2AC6" w:rsidRPr="00E96E91" w14:paraId="6E9ACB1E" w14:textId="77777777" w:rsidTr="00557A0A">
        <w:trPr>
          <w:trHeight w:val="33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67B9585"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Papīrs, kartons un poligrāfijas izstrādājumi</w:t>
            </w:r>
          </w:p>
        </w:tc>
        <w:tc>
          <w:tcPr>
            <w:tcW w:w="1219" w:type="dxa"/>
            <w:tcBorders>
              <w:top w:val="nil"/>
              <w:left w:val="nil"/>
              <w:bottom w:val="single" w:sz="4" w:space="0" w:color="auto"/>
              <w:right w:val="single" w:sz="4" w:space="0" w:color="auto"/>
            </w:tcBorders>
            <w:shd w:val="clear" w:color="auto" w:fill="auto"/>
            <w:noWrap/>
            <w:vAlign w:val="center"/>
            <w:hideMark/>
          </w:tcPr>
          <w:p w14:paraId="4E23B36E"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261</w:t>
            </w:r>
          </w:p>
        </w:tc>
        <w:tc>
          <w:tcPr>
            <w:tcW w:w="1219" w:type="dxa"/>
            <w:tcBorders>
              <w:top w:val="nil"/>
              <w:left w:val="nil"/>
              <w:bottom w:val="single" w:sz="4" w:space="0" w:color="auto"/>
              <w:right w:val="single" w:sz="4" w:space="0" w:color="auto"/>
            </w:tcBorders>
            <w:shd w:val="clear" w:color="auto" w:fill="auto"/>
            <w:noWrap/>
            <w:vAlign w:val="center"/>
            <w:hideMark/>
          </w:tcPr>
          <w:p w14:paraId="4AA771EE"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341</w:t>
            </w:r>
          </w:p>
        </w:tc>
        <w:tc>
          <w:tcPr>
            <w:tcW w:w="1106" w:type="dxa"/>
            <w:tcBorders>
              <w:top w:val="nil"/>
              <w:left w:val="nil"/>
              <w:bottom w:val="single" w:sz="4" w:space="0" w:color="auto"/>
              <w:right w:val="single" w:sz="4" w:space="0" w:color="auto"/>
            </w:tcBorders>
            <w:shd w:val="clear" w:color="auto" w:fill="auto"/>
            <w:noWrap/>
            <w:vAlign w:val="center"/>
            <w:hideMark/>
          </w:tcPr>
          <w:p w14:paraId="14CA91AD"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31</w:t>
            </w:r>
          </w:p>
        </w:tc>
        <w:tc>
          <w:tcPr>
            <w:tcW w:w="1134" w:type="dxa"/>
            <w:tcBorders>
              <w:top w:val="nil"/>
              <w:left w:val="nil"/>
              <w:bottom w:val="single" w:sz="4" w:space="0" w:color="auto"/>
              <w:right w:val="single" w:sz="4" w:space="0" w:color="auto"/>
            </w:tcBorders>
            <w:shd w:val="clear" w:color="auto" w:fill="auto"/>
            <w:noWrap/>
            <w:vAlign w:val="center"/>
            <w:hideMark/>
          </w:tcPr>
          <w:p w14:paraId="3A436800"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80</w:t>
            </w:r>
          </w:p>
        </w:tc>
        <w:tc>
          <w:tcPr>
            <w:tcW w:w="1417" w:type="dxa"/>
            <w:tcBorders>
              <w:top w:val="nil"/>
              <w:left w:val="nil"/>
              <w:bottom w:val="single" w:sz="4" w:space="0" w:color="auto"/>
              <w:right w:val="single" w:sz="4" w:space="0" w:color="auto"/>
            </w:tcBorders>
            <w:shd w:val="clear" w:color="auto" w:fill="auto"/>
            <w:noWrap/>
            <w:vAlign w:val="center"/>
          </w:tcPr>
          <w:p w14:paraId="46F98CC9"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2</w:t>
            </w:r>
          </w:p>
        </w:tc>
      </w:tr>
      <w:tr w:rsidR="00FA2AC6" w:rsidRPr="00E96E91" w14:paraId="405DB773" w14:textId="77777777" w:rsidTr="00557A0A">
        <w:trPr>
          <w:trHeight w:val="31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36F1E68"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Būvniecības izstrādājumi</w:t>
            </w:r>
          </w:p>
        </w:tc>
        <w:tc>
          <w:tcPr>
            <w:tcW w:w="1219" w:type="dxa"/>
            <w:tcBorders>
              <w:top w:val="nil"/>
              <w:left w:val="nil"/>
              <w:bottom w:val="single" w:sz="4" w:space="0" w:color="auto"/>
              <w:right w:val="single" w:sz="4" w:space="0" w:color="auto"/>
            </w:tcBorders>
            <w:shd w:val="clear" w:color="auto" w:fill="auto"/>
            <w:noWrap/>
            <w:vAlign w:val="center"/>
            <w:hideMark/>
          </w:tcPr>
          <w:p w14:paraId="18EE53D3"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218</w:t>
            </w:r>
          </w:p>
        </w:tc>
        <w:tc>
          <w:tcPr>
            <w:tcW w:w="1219" w:type="dxa"/>
            <w:tcBorders>
              <w:top w:val="nil"/>
              <w:left w:val="nil"/>
              <w:bottom w:val="single" w:sz="4" w:space="0" w:color="auto"/>
              <w:right w:val="single" w:sz="4" w:space="0" w:color="auto"/>
            </w:tcBorders>
            <w:shd w:val="clear" w:color="auto" w:fill="auto"/>
            <w:noWrap/>
            <w:vAlign w:val="center"/>
            <w:hideMark/>
          </w:tcPr>
          <w:p w14:paraId="0A12898A"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284</w:t>
            </w:r>
          </w:p>
        </w:tc>
        <w:tc>
          <w:tcPr>
            <w:tcW w:w="1106" w:type="dxa"/>
            <w:tcBorders>
              <w:top w:val="nil"/>
              <w:left w:val="nil"/>
              <w:bottom w:val="single" w:sz="4" w:space="0" w:color="auto"/>
              <w:right w:val="single" w:sz="4" w:space="0" w:color="auto"/>
            </w:tcBorders>
            <w:shd w:val="clear" w:color="auto" w:fill="auto"/>
            <w:noWrap/>
            <w:vAlign w:val="center"/>
            <w:hideMark/>
          </w:tcPr>
          <w:p w14:paraId="04333C57"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30</w:t>
            </w:r>
          </w:p>
        </w:tc>
        <w:tc>
          <w:tcPr>
            <w:tcW w:w="1134" w:type="dxa"/>
            <w:tcBorders>
              <w:top w:val="nil"/>
              <w:left w:val="nil"/>
              <w:bottom w:val="single" w:sz="4" w:space="0" w:color="auto"/>
              <w:right w:val="single" w:sz="4" w:space="0" w:color="auto"/>
            </w:tcBorders>
            <w:shd w:val="clear" w:color="auto" w:fill="auto"/>
            <w:noWrap/>
            <w:vAlign w:val="center"/>
            <w:hideMark/>
          </w:tcPr>
          <w:p w14:paraId="3C9E9AD7"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66</w:t>
            </w:r>
          </w:p>
        </w:tc>
        <w:tc>
          <w:tcPr>
            <w:tcW w:w="1417" w:type="dxa"/>
            <w:tcBorders>
              <w:top w:val="nil"/>
              <w:left w:val="nil"/>
              <w:bottom w:val="single" w:sz="4" w:space="0" w:color="auto"/>
              <w:right w:val="single" w:sz="4" w:space="0" w:color="auto"/>
            </w:tcBorders>
            <w:shd w:val="clear" w:color="auto" w:fill="auto"/>
            <w:noWrap/>
            <w:vAlign w:val="center"/>
          </w:tcPr>
          <w:p w14:paraId="2BA6FDA7"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w:t>
            </w:r>
          </w:p>
        </w:tc>
      </w:tr>
      <w:tr w:rsidR="00FA2AC6" w:rsidRPr="00E96E91" w14:paraId="589BDC62" w14:textId="77777777" w:rsidTr="00557A0A">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6539110" w14:textId="77777777" w:rsidR="00FA2AC6" w:rsidRPr="00E96E91" w:rsidRDefault="00FA2AC6" w:rsidP="00557A0A">
            <w:pPr>
              <w:spacing w:before="0" w:after="0"/>
              <w:ind w:firstLine="0"/>
              <w:jc w:val="left"/>
              <w:rPr>
                <w:rFonts w:cs="Times New Roman"/>
                <w:sz w:val="20"/>
                <w:szCs w:val="20"/>
                <w:lang w:eastAsia="lv-LV"/>
              </w:rPr>
            </w:pPr>
            <w:r w:rsidRPr="00E96E91">
              <w:rPr>
                <w:rFonts w:cs="Times New Roman"/>
                <w:sz w:val="20"/>
                <w:szCs w:val="20"/>
                <w:lang w:eastAsia="lv-LV"/>
              </w:rPr>
              <w:t>Kopējais preču imports</w:t>
            </w:r>
          </w:p>
        </w:tc>
        <w:tc>
          <w:tcPr>
            <w:tcW w:w="1219" w:type="dxa"/>
            <w:tcBorders>
              <w:top w:val="nil"/>
              <w:left w:val="nil"/>
              <w:bottom w:val="single" w:sz="4" w:space="0" w:color="auto"/>
              <w:right w:val="single" w:sz="4" w:space="0" w:color="auto"/>
            </w:tcBorders>
            <w:shd w:val="clear" w:color="auto" w:fill="auto"/>
            <w:noWrap/>
            <w:vAlign w:val="center"/>
            <w:hideMark/>
          </w:tcPr>
          <w:p w14:paraId="2EF10E4C"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14 279</w:t>
            </w:r>
          </w:p>
        </w:tc>
        <w:tc>
          <w:tcPr>
            <w:tcW w:w="1219" w:type="dxa"/>
            <w:tcBorders>
              <w:top w:val="nil"/>
              <w:left w:val="nil"/>
              <w:bottom w:val="single" w:sz="4" w:space="0" w:color="auto"/>
              <w:right w:val="single" w:sz="4" w:space="0" w:color="auto"/>
            </w:tcBorders>
            <w:shd w:val="clear" w:color="auto" w:fill="auto"/>
            <w:noWrap/>
            <w:vAlign w:val="center"/>
            <w:hideMark/>
          </w:tcPr>
          <w:p w14:paraId="70BE3A45"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19 416</w:t>
            </w:r>
          </w:p>
        </w:tc>
        <w:tc>
          <w:tcPr>
            <w:tcW w:w="1106" w:type="dxa"/>
            <w:tcBorders>
              <w:top w:val="nil"/>
              <w:left w:val="nil"/>
              <w:bottom w:val="single" w:sz="4" w:space="0" w:color="auto"/>
              <w:right w:val="single" w:sz="4" w:space="0" w:color="auto"/>
            </w:tcBorders>
            <w:shd w:val="clear" w:color="auto" w:fill="auto"/>
            <w:noWrap/>
            <w:vAlign w:val="center"/>
            <w:hideMark/>
          </w:tcPr>
          <w:p w14:paraId="4CCE5FE7"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36</w:t>
            </w:r>
          </w:p>
        </w:tc>
        <w:tc>
          <w:tcPr>
            <w:tcW w:w="1134" w:type="dxa"/>
            <w:tcBorders>
              <w:top w:val="nil"/>
              <w:left w:val="nil"/>
              <w:bottom w:val="single" w:sz="4" w:space="0" w:color="auto"/>
              <w:right w:val="single" w:sz="4" w:space="0" w:color="auto"/>
            </w:tcBorders>
            <w:shd w:val="clear" w:color="auto" w:fill="auto"/>
            <w:noWrap/>
            <w:vAlign w:val="center"/>
            <w:hideMark/>
          </w:tcPr>
          <w:p w14:paraId="2441FE0E"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5 137</w:t>
            </w:r>
          </w:p>
        </w:tc>
        <w:tc>
          <w:tcPr>
            <w:tcW w:w="1417" w:type="dxa"/>
            <w:tcBorders>
              <w:top w:val="nil"/>
              <w:left w:val="nil"/>
              <w:bottom w:val="single" w:sz="4" w:space="0" w:color="auto"/>
              <w:right w:val="single" w:sz="4" w:space="0" w:color="auto"/>
            </w:tcBorders>
            <w:shd w:val="clear" w:color="auto" w:fill="auto"/>
            <w:noWrap/>
            <w:vAlign w:val="center"/>
          </w:tcPr>
          <w:p w14:paraId="12BC3076" w14:textId="77777777" w:rsidR="00FA2AC6" w:rsidRPr="00E96E91" w:rsidRDefault="00FA2AC6" w:rsidP="00557A0A">
            <w:pPr>
              <w:spacing w:before="0" w:after="0"/>
              <w:ind w:firstLine="0"/>
              <w:jc w:val="center"/>
              <w:rPr>
                <w:rFonts w:cs="Times New Roman"/>
                <w:sz w:val="20"/>
                <w:szCs w:val="20"/>
                <w:lang w:eastAsia="lv-LV"/>
              </w:rPr>
            </w:pPr>
            <w:r w:rsidRPr="00E96E91">
              <w:rPr>
                <w:rFonts w:cs="Times New Roman"/>
                <w:sz w:val="20"/>
                <w:szCs w:val="20"/>
                <w:lang w:eastAsia="lv-LV"/>
              </w:rPr>
              <w:t>100</w:t>
            </w:r>
          </w:p>
        </w:tc>
      </w:tr>
    </w:tbl>
    <w:p w14:paraId="6E627A4F" w14:textId="77777777" w:rsidR="00FA2AC6" w:rsidRDefault="00FA2AC6" w:rsidP="00FA2AC6">
      <w:r w:rsidRPr="0074615F">
        <w:t>Pakalpojumu importa vērtība 2022</w:t>
      </w:r>
      <w:r>
        <w:t>. gad</w:t>
      </w:r>
      <w:r w:rsidRPr="0074615F">
        <w:t xml:space="preserve">a pirmajos </w:t>
      </w:r>
      <w:r>
        <w:t>deviņos</w:t>
      </w:r>
      <w:r w:rsidRPr="0074615F">
        <w:t xml:space="preserve"> mēnešos palielinājās par 3</w:t>
      </w:r>
      <w:r>
        <w:t>5,5</w:t>
      </w:r>
      <w:r w:rsidRPr="0074615F">
        <w:t>%, ko veicināja visi pakalpojumu veidi</w:t>
      </w:r>
      <w:r>
        <w:t xml:space="preserve">. </w:t>
      </w:r>
      <w:r w:rsidRPr="0074615F">
        <w:t>Vienlaicīgi palielinoties gaisa, dzelzceļa, jūras un autotransporta pakalpojumu importam, transporta pakalpojumu importa vērtība pieauga par 4</w:t>
      </w:r>
      <w:r>
        <w:t>1,9</w:t>
      </w:r>
      <w:r w:rsidRPr="0074615F">
        <w:t>% salīdzinājumā ar 2021</w:t>
      </w:r>
      <w:r>
        <w:t>. gad</w:t>
      </w:r>
      <w:r w:rsidRPr="0074615F">
        <w:t xml:space="preserve">a </w:t>
      </w:r>
      <w:r>
        <w:t>deviņiem</w:t>
      </w:r>
      <w:r w:rsidRPr="0074615F">
        <w:t xml:space="preserve"> mēnešiem. Latvijas iedzīvotāju izdevumi ārvalstīs pieauga par </w:t>
      </w:r>
      <w:r>
        <w:t>65,4</w:t>
      </w:r>
      <w:r w:rsidRPr="0074615F">
        <w:t xml:space="preserve">%. No pārējiem pakalpojumu veidiem </w:t>
      </w:r>
      <w:r>
        <w:t>vērā ņemams</w:t>
      </w:r>
      <w:r w:rsidRPr="0074615F">
        <w:t xml:space="preserve"> importa kāpums bija fiksēts </w:t>
      </w:r>
      <w:r w:rsidRPr="0074615F">
        <w:rPr>
          <w:noProof/>
        </w:rPr>
        <w:t>informācijas un datorpakalpojumiem, importa vērtībai</w:t>
      </w:r>
      <w:r w:rsidRPr="0074615F">
        <w:t xml:space="preserve"> palielinoties par 1</w:t>
      </w:r>
      <w:r>
        <w:t>7,5</w:t>
      </w:r>
      <w:r w:rsidRPr="0074615F">
        <w:t>%.</w:t>
      </w:r>
    </w:p>
    <w:p w14:paraId="52FB1951" w14:textId="356A7CB5" w:rsidR="00FA2AC6" w:rsidRPr="00BE50A0" w:rsidRDefault="00E408C9" w:rsidP="00FA2AC6">
      <w:pPr>
        <w:rPr>
          <w:noProof/>
        </w:rPr>
      </w:pPr>
      <w:bookmarkStart w:id="16" w:name="_Hlk121489607"/>
      <w:r>
        <w:rPr>
          <w:noProof/>
        </w:rPr>
        <w:lastRenderedPageBreak/>
        <w:drawing>
          <wp:anchor distT="0" distB="0" distL="114300" distR="114300" simplePos="0" relativeHeight="251668480" behindDoc="0" locked="0" layoutInCell="1" allowOverlap="1" wp14:anchorId="11DFDD99" wp14:editId="05496526">
            <wp:simplePos x="0" y="0"/>
            <wp:positionH relativeFrom="column">
              <wp:posOffset>2990215</wp:posOffset>
            </wp:positionH>
            <wp:positionV relativeFrom="page">
              <wp:posOffset>4483100</wp:posOffset>
            </wp:positionV>
            <wp:extent cx="2683510" cy="3599180"/>
            <wp:effectExtent l="0" t="0" r="2540" b="1270"/>
            <wp:wrapSquare wrapText="bothSides"/>
            <wp:docPr id="41" name="Chart 41">
              <a:extLst xmlns:a="http://schemas.openxmlformats.org/drawingml/2006/main">
                <a:ext uri="{FF2B5EF4-FFF2-40B4-BE49-F238E27FC236}">
                  <a16:creationId xmlns:a16="http://schemas.microsoft.com/office/drawing/2014/main" id="{BA3DA5E6-B3B9-4210-A89A-6C65160CC7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FA2AC6" w:rsidRPr="00BE50A0">
        <w:rPr>
          <w:noProof/>
        </w:rPr>
        <w:t>2021</w:t>
      </w:r>
      <w:r w:rsidR="00FA2AC6">
        <w:rPr>
          <w:noProof/>
        </w:rPr>
        <w:t>. gad</w:t>
      </w:r>
      <w:r w:rsidR="00FA2AC6" w:rsidRPr="00BE50A0">
        <w:rPr>
          <w:noProof/>
        </w:rPr>
        <w:t xml:space="preserve">ā </w:t>
      </w:r>
      <w:r w:rsidR="00FA2AC6" w:rsidRPr="00366787">
        <w:rPr>
          <w:b/>
          <w:bCs/>
          <w:noProof/>
        </w:rPr>
        <w:t>tekošajā kontā</w:t>
      </w:r>
      <w:r w:rsidR="00FA2AC6" w:rsidRPr="00BE50A0">
        <w:rPr>
          <w:noProof/>
        </w:rPr>
        <w:t xml:space="preserve"> bija 1414 milj. </w:t>
      </w:r>
      <w:r w:rsidR="00FA2AC6" w:rsidRPr="00BE50A0">
        <w:rPr>
          <w:i/>
          <w:iCs/>
          <w:noProof/>
        </w:rPr>
        <w:t>euro</w:t>
      </w:r>
      <w:r w:rsidR="00FA2AC6" w:rsidRPr="00BE50A0">
        <w:rPr>
          <w:noProof/>
        </w:rPr>
        <w:t xml:space="preserve"> deficīts</w:t>
      </w:r>
      <w:r w:rsidR="00FA2AC6">
        <w:rPr>
          <w:noProof/>
        </w:rPr>
        <w:t xml:space="preserve"> (-4,2% no IKP)</w:t>
      </w:r>
      <w:r w:rsidR="00FA2AC6" w:rsidRPr="00BE50A0">
        <w:rPr>
          <w:noProof/>
        </w:rPr>
        <w:t xml:space="preserve"> pretstatā 788</w:t>
      </w:r>
      <w:r w:rsidR="002203AA">
        <w:rPr>
          <w:noProof/>
        </w:rPr>
        <w:t> </w:t>
      </w:r>
      <w:r w:rsidR="00FA2AC6" w:rsidRPr="00BE50A0">
        <w:rPr>
          <w:noProof/>
        </w:rPr>
        <w:t xml:space="preserve">milj. </w:t>
      </w:r>
      <w:r w:rsidR="00FA2AC6" w:rsidRPr="00BE50A0">
        <w:rPr>
          <w:i/>
          <w:iCs/>
          <w:noProof/>
        </w:rPr>
        <w:t>euro</w:t>
      </w:r>
      <w:r w:rsidR="00FA2AC6" w:rsidRPr="00BE50A0">
        <w:rPr>
          <w:noProof/>
        </w:rPr>
        <w:t xml:space="preserve"> pārpalikumam 2020</w:t>
      </w:r>
      <w:r w:rsidR="00FA2AC6">
        <w:rPr>
          <w:noProof/>
        </w:rPr>
        <w:t>. gad</w:t>
      </w:r>
      <w:r w:rsidR="00FA2AC6" w:rsidRPr="00BE50A0">
        <w:rPr>
          <w:noProof/>
        </w:rPr>
        <w:t>ā</w:t>
      </w:r>
      <w:r w:rsidR="00FA2AC6">
        <w:rPr>
          <w:noProof/>
        </w:rPr>
        <w:t xml:space="preserve"> (+2,6 % no IKP).</w:t>
      </w:r>
      <w:r w:rsidR="00FA2AC6" w:rsidRPr="00BE50A0">
        <w:rPr>
          <w:noProof/>
        </w:rPr>
        <w:t xml:space="preserve"> Lielāks tekoš</w:t>
      </w:r>
      <w:r w:rsidR="00FA2AC6">
        <w:rPr>
          <w:noProof/>
        </w:rPr>
        <w:t>ā</w:t>
      </w:r>
      <w:r w:rsidR="00FA2AC6" w:rsidRPr="00BE50A0">
        <w:rPr>
          <w:noProof/>
        </w:rPr>
        <w:t xml:space="preserve"> konta deficīts bija fiksēts tikai laikā periodā no 2005.</w:t>
      </w:r>
      <w:r w:rsidR="00FA2AC6">
        <w:rPr>
          <w:noProof/>
        </w:rPr>
        <w:t xml:space="preserve"> līdz </w:t>
      </w:r>
      <w:r w:rsidR="00FA2AC6" w:rsidRPr="00BE50A0">
        <w:rPr>
          <w:noProof/>
        </w:rPr>
        <w:t>2008</w:t>
      </w:r>
      <w:r w:rsidR="00FA2AC6">
        <w:rPr>
          <w:noProof/>
        </w:rPr>
        <w:t>. gada</w:t>
      </w:r>
      <w:r w:rsidR="00FA2AC6" w:rsidRPr="00BE50A0">
        <w:rPr>
          <w:noProof/>
        </w:rPr>
        <w:t xml:space="preserve">m, </w:t>
      </w:r>
      <w:r w:rsidR="00FA2AC6">
        <w:rPr>
          <w:noProof/>
        </w:rPr>
        <w:t xml:space="preserve">pieaugot līdz pat -20,8% no IKP, </w:t>
      </w:r>
      <w:r w:rsidR="00FA2AC6" w:rsidRPr="00BE50A0">
        <w:rPr>
          <w:noProof/>
        </w:rPr>
        <w:t>kad bija izteikt</w:t>
      </w:r>
      <w:r w:rsidR="00FA2AC6">
        <w:rPr>
          <w:noProof/>
        </w:rPr>
        <w:t>as</w:t>
      </w:r>
      <w:r w:rsidR="00FA2AC6" w:rsidRPr="00BE50A0">
        <w:rPr>
          <w:noProof/>
        </w:rPr>
        <w:t xml:space="preserve"> ekonomikas pārkaršanas pazīmes. Pirms finanšu krīzes periodā tekoš</w:t>
      </w:r>
      <w:r w:rsidR="00FA2AC6">
        <w:rPr>
          <w:noProof/>
        </w:rPr>
        <w:t>ā</w:t>
      </w:r>
      <w:r w:rsidR="00FA2AC6" w:rsidRPr="00BE50A0">
        <w:rPr>
          <w:noProof/>
        </w:rPr>
        <w:t xml:space="preserve"> konta deficītu lielā mērā </w:t>
      </w:r>
      <w:r w:rsidR="00FA2AC6">
        <w:rPr>
          <w:noProof/>
        </w:rPr>
        <w:t>noteica</w:t>
      </w:r>
      <w:r w:rsidR="00FA2AC6" w:rsidRPr="00BE50A0">
        <w:rPr>
          <w:noProof/>
        </w:rPr>
        <w:t xml:space="preserve"> strauji augoš</w:t>
      </w:r>
      <w:r w:rsidR="00FA2AC6">
        <w:rPr>
          <w:noProof/>
        </w:rPr>
        <w:t>ai</w:t>
      </w:r>
      <w:r w:rsidR="00FA2AC6" w:rsidRPr="00BE50A0">
        <w:rPr>
          <w:noProof/>
        </w:rPr>
        <w:t>s preču imports, ko stimulēja iekšējais patēriņš. Lai arī tekoš</w:t>
      </w:r>
      <w:r w:rsidR="00FA2AC6">
        <w:rPr>
          <w:noProof/>
        </w:rPr>
        <w:t>ā</w:t>
      </w:r>
      <w:r w:rsidR="00FA2AC6" w:rsidRPr="00BE50A0">
        <w:rPr>
          <w:noProof/>
        </w:rPr>
        <w:t xml:space="preserve"> konta deficīts pērn</w:t>
      </w:r>
      <w:r w:rsidR="00FA2AC6">
        <w:rPr>
          <w:noProof/>
        </w:rPr>
        <w:t>aj</w:t>
      </w:r>
      <w:r w:rsidR="00FA2AC6" w:rsidRPr="00BE50A0">
        <w:rPr>
          <w:noProof/>
        </w:rPr>
        <w:t>ā gadā vērtējams kā augsts un lielāk</w:t>
      </w:r>
      <w:r w:rsidR="00FA2AC6">
        <w:rPr>
          <w:noProof/>
        </w:rPr>
        <w:t>ais</w:t>
      </w:r>
      <w:r w:rsidR="00FA2AC6" w:rsidRPr="00BE50A0">
        <w:rPr>
          <w:noProof/>
        </w:rPr>
        <w:t xml:space="preserve"> negatīv</w:t>
      </w:r>
      <w:r w:rsidR="00FA2AC6">
        <w:rPr>
          <w:noProof/>
        </w:rPr>
        <w:t>ais</w:t>
      </w:r>
      <w:r w:rsidR="00FA2AC6" w:rsidRPr="00BE50A0">
        <w:rPr>
          <w:noProof/>
        </w:rPr>
        <w:t xml:space="preserve"> devum</w:t>
      </w:r>
      <w:r w:rsidR="00FA2AC6">
        <w:rPr>
          <w:noProof/>
        </w:rPr>
        <w:t>s</w:t>
      </w:r>
      <w:r w:rsidR="00FA2AC6" w:rsidRPr="00BE50A0">
        <w:rPr>
          <w:noProof/>
        </w:rPr>
        <w:t xml:space="preserve"> tāpat </w:t>
      </w:r>
      <w:r w:rsidR="00FA2AC6">
        <w:rPr>
          <w:noProof/>
        </w:rPr>
        <w:t>kā</w:t>
      </w:r>
      <w:r w:rsidR="00FA2AC6" w:rsidRPr="00BE50A0">
        <w:rPr>
          <w:noProof/>
        </w:rPr>
        <w:t xml:space="preserve"> </w:t>
      </w:r>
      <w:r w:rsidR="00FA2AC6">
        <w:rPr>
          <w:noProof/>
        </w:rPr>
        <w:t xml:space="preserve">pirms </w:t>
      </w:r>
      <w:r w:rsidR="00FA2AC6" w:rsidRPr="00BE50A0">
        <w:rPr>
          <w:noProof/>
        </w:rPr>
        <w:t xml:space="preserve">finanšu krīzes </w:t>
      </w:r>
      <w:r w:rsidR="00FA2AC6">
        <w:rPr>
          <w:noProof/>
        </w:rPr>
        <w:t xml:space="preserve">bija </w:t>
      </w:r>
      <w:r w:rsidR="00FA2AC6" w:rsidRPr="00BE50A0">
        <w:rPr>
          <w:noProof/>
        </w:rPr>
        <w:t>preču importa pieaugum</w:t>
      </w:r>
      <w:r w:rsidR="00FA2AC6">
        <w:rPr>
          <w:noProof/>
        </w:rPr>
        <w:t>am, pašreizējā situācija</w:t>
      </w:r>
      <w:r w:rsidR="00FA2AC6" w:rsidRPr="00BE50A0">
        <w:rPr>
          <w:noProof/>
        </w:rPr>
        <w:t xml:space="preserve"> neliecina par ekonomikas attīstības nesabalansētīb</w:t>
      </w:r>
      <w:r w:rsidR="00FA2AC6">
        <w:rPr>
          <w:noProof/>
        </w:rPr>
        <w:t>ā</w:t>
      </w:r>
      <w:r w:rsidR="00FA2AC6" w:rsidRPr="00BE50A0">
        <w:rPr>
          <w:noProof/>
        </w:rPr>
        <w:t>m. Strauj</w:t>
      </w:r>
      <w:r w:rsidR="00FA2AC6">
        <w:rPr>
          <w:noProof/>
        </w:rPr>
        <w:t>o</w:t>
      </w:r>
      <w:r w:rsidR="00FA2AC6" w:rsidRPr="00BE50A0">
        <w:rPr>
          <w:noProof/>
        </w:rPr>
        <w:t xml:space="preserve"> preču importa kāpumu lielā mērā noteic</w:t>
      </w:r>
      <w:r w:rsidR="00FA2AC6">
        <w:rPr>
          <w:noProof/>
        </w:rPr>
        <w:t>is</w:t>
      </w:r>
      <w:r w:rsidR="00FA2AC6" w:rsidRPr="00BE50A0">
        <w:rPr>
          <w:noProof/>
        </w:rPr>
        <w:t xml:space="preserve"> cenu kāpums, it īpaši energoresursiem, nevis patēriņa pieaugums. 2021</w:t>
      </w:r>
      <w:r w:rsidR="00FA2AC6">
        <w:rPr>
          <w:noProof/>
        </w:rPr>
        <w:t>. gad</w:t>
      </w:r>
      <w:r w:rsidR="00FA2AC6" w:rsidRPr="00BE50A0">
        <w:rPr>
          <w:noProof/>
        </w:rPr>
        <w:t xml:space="preserve">ā minerālproduktu imports pieauga par 883 milj. </w:t>
      </w:r>
      <w:r w:rsidR="00FA2AC6" w:rsidRPr="00BE50A0">
        <w:rPr>
          <w:i/>
          <w:iCs/>
          <w:noProof/>
        </w:rPr>
        <w:t>euro,</w:t>
      </w:r>
      <w:r w:rsidR="00FA2AC6" w:rsidRPr="00BE50A0">
        <w:rPr>
          <w:noProof/>
        </w:rPr>
        <w:t xml:space="preserve"> ko ietekmēja augstākas gāzes, degvielas un elektroenerģijas cenas. Ņemot vērā, </w:t>
      </w:r>
      <w:r w:rsidR="00FA2AC6">
        <w:rPr>
          <w:noProof/>
        </w:rPr>
        <w:t xml:space="preserve">ka </w:t>
      </w:r>
      <w:r w:rsidR="00FA2AC6" w:rsidRPr="00BE50A0">
        <w:rPr>
          <w:noProof/>
        </w:rPr>
        <w:t>Latvija neražo gāzi un naftas produktus, kā arī nevar ietekmēt globāl</w:t>
      </w:r>
      <w:r w:rsidR="00FA2AC6">
        <w:rPr>
          <w:noProof/>
        </w:rPr>
        <w:t>ā</w:t>
      </w:r>
      <w:r w:rsidR="00FA2AC6" w:rsidRPr="00BE50A0">
        <w:rPr>
          <w:noProof/>
        </w:rPr>
        <w:t>s birž</w:t>
      </w:r>
      <w:r w:rsidR="00FA2AC6">
        <w:rPr>
          <w:noProof/>
        </w:rPr>
        <w:t>as</w:t>
      </w:r>
      <w:r w:rsidR="00FA2AC6" w:rsidRPr="00BE50A0">
        <w:rPr>
          <w:noProof/>
        </w:rPr>
        <w:t xml:space="preserve"> cenas, energoresursu imports pašreizējos apstākļos būtiski pasliktina ārēj</w:t>
      </w:r>
      <w:r w:rsidR="00FA2AC6">
        <w:rPr>
          <w:noProof/>
        </w:rPr>
        <w:t>ās</w:t>
      </w:r>
      <w:r w:rsidR="00FA2AC6" w:rsidRPr="00BE50A0">
        <w:rPr>
          <w:noProof/>
        </w:rPr>
        <w:t xml:space="preserve"> tirdzniecīb</w:t>
      </w:r>
      <w:r w:rsidR="00FA2AC6">
        <w:rPr>
          <w:noProof/>
        </w:rPr>
        <w:t>as bilanci</w:t>
      </w:r>
      <w:r w:rsidR="00FA2AC6" w:rsidRPr="00BE50A0">
        <w:rPr>
          <w:noProof/>
        </w:rPr>
        <w:t>. Papildus tam, pērn</w:t>
      </w:r>
      <w:r w:rsidR="00FA2AC6">
        <w:rPr>
          <w:noProof/>
        </w:rPr>
        <w:t>aj</w:t>
      </w:r>
      <w:r w:rsidR="00FA2AC6" w:rsidRPr="00BE50A0">
        <w:rPr>
          <w:noProof/>
        </w:rPr>
        <w:t xml:space="preserve">ā gadā </w:t>
      </w:r>
      <w:r w:rsidR="00FA2AC6">
        <w:rPr>
          <w:noProof/>
        </w:rPr>
        <w:t xml:space="preserve">pandēmijas dēļ </w:t>
      </w:r>
      <w:r w:rsidR="00FA2AC6" w:rsidRPr="00BE50A0">
        <w:rPr>
          <w:noProof/>
        </w:rPr>
        <w:t>samēr</w:t>
      </w:r>
      <w:r w:rsidR="00FA2AC6">
        <w:rPr>
          <w:noProof/>
        </w:rPr>
        <w:t>ā</w:t>
      </w:r>
      <w:r w:rsidR="00FA2AC6" w:rsidRPr="00BE50A0">
        <w:rPr>
          <w:noProof/>
        </w:rPr>
        <w:t xml:space="preserve"> vājus rezultātus uzrādīja pakalpojumu eksports</w:t>
      </w:r>
      <w:r w:rsidR="00FA2AC6">
        <w:rPr>
          <w:noProof/>
        </w:rPr>
        <w:t xml:space="preserve">. </w:t>
      </w:r>
      <w:r w:rsidR="00FA2AC6" w:rsidRPr="00BE50A0">
        <w:rPr>
          <w:noProof/>
        </w:rPr>
        <w:t>2021</w:t>
      </w:r>
      <w:r w:rsidR="00FA2AC6">
        <w:rPr>
          <w:noProof/>
        </w:rPr>
        <w:t>. gad</w:t>
      </w:r>
      <w:r w:rsidR="00FA2AC6" w:rsidRPr="00BE50A0">
        <w:rPr>
          <w:noProof/>
        </w:rPr>
        <w:t>ā tekoš</w:t>
      </w:r>
      <w:r w:rsidR="00FA2AC6">
        <w:rPr>
          <w:noProof/>
        </w:rPr>
        <w:t>ā</w:t>
      </w:r>
      <w:r w:rsidR="00FA2AC6" w:rsidRPr="00BE50A0">
        <w:rPr>
          <w:noProof/>
        </w:rPr>
        <w:t xml:space="preserve"> kont</w:t>
      </w:r>
      <w:r w:rsidR="00FA2AC6">
        <w:rPr>
          <w:noProof/>
        </w:rPr>
        <w:t>a rādītājus</w:t>
      </w:r>
      <w:r w:rsidR="00FA2AC6" w:rsidRPr="00BE50A0">
        <w:rPr>
          <w:noProof/>
        </w:rPr>
        <w:t xml:space="preserve"> būtiski ietekmēja arī ārvalstu investoru lēmums izmaksāt augstāk</w:t>
      </w:r>
      <w:r w:rsidR="00FA2AC6">
        <w:rPr>
          <w:noProof/>
        </w:rPr>
        <w:t>a</w:t>
      </w:r>
      <w:r w:rsidR="00FA2AC6" w:rsidRPr="00BE50A0">
        <w:rPr>
          <w:noProof/>
        </w:rPr>
        <w:t>s dividendes nekā iepriekšējos gados. Tieši šī iemesla dēļ sākotnēj</w:t>
      </w:r>
      <w:r w:rsidR="00FA2AC6">
        <w:rPr>
          <w:noProof/>
        </w:rPr>
        <w:t>o</w:t>
      </w:r>
      <w:r w:rsidR="00FA2AC6" w:rsidRPr="00BE50A0">
        <w:rPr>
          <w:noProof/>
        </w:rPr>
        <w:t xml:space="preserve"> ienākum</w:t>
      </w:r>
      <w:r w:rsidR="00FA2AC6">
        <w:rPr>
          <w:noProof/>
        </w:rPr>
        <w:t>u</w:t>
      </w:r>
      <w:r w:rsidR="00FA2AC6" w:rsidRPr="00BE50A0">
        <w:rPr>
          <w:noProof/>
        </w:rPr>
        <w:t xml:space="preserve"> konta deficīts palielinājies līdz 621 milj. </w:t>
      </w:r>
      <w:r w:rsidR="00FA2AC6" w:rsidRPr="00BE50A0">
        <w:rPr>
          <w:i/>
          <w:iCs/>
          <w:noProof/>
        </w:rPr>
        <w:t>euro</w:t>
      </w:r>
      <w:r w:rsidR="00FA2AC6" w:rsidRPr="00BE50A0">
        <w:rPr>
          <w:noProof/>
        </w:rPr>
        <w:t xml:space="preserve"> pretstatā 8 milj. </w:t>
      </w:r>
      <w:r w:rsidR="00FA2AC6" w:rsidRPr="00BE50A0">
        <w:rPr>
          <w:i/>
          <w:iCs/>
          <w:noProof/>
        </w:rPr>
        <w:t xml:space="preserve">euro </w:t>
      </w:r>
      <w:r w:rsidR="00FA2AC6" w:rsidRPr="00BE50A0">
        <w:rPr>
          <w:noProof/>
        </w:rPr>
        <w:t>deficītam 2020</w:t>
      </w:r>
      <w:r w:rsidR="00FA2AC6">
        <w:rPr>
          <w:noProof/>
        </w:rPr>
        <w:t>. gad</w:t>
      </w:r>
      <w:r w:rsidR="00FA2AC6" w:rsidRPr="00BE50A0">
        <w:rPr>
          <w:noProof/>
        </w:rPr>
        <w:t>ā.</w:t>
      </w:r>
    </w:p>
    <w:p w14:paraId="393E2908" w14:textId="6A0DDD87" w:rsidR="00E408C9" w:rsidRDefault="00E408C9" w:rsidP="003C74AA">
      <w:r>
        <w:rPr>
          <w:noProof/>
        </w:rPr>
        <w:drawing>
          <wp:anchor distT="0" distB="0" distL="114300" distR="114300" simplePos="0" relativeHeight="251667456" behindDoc="0" locked="0" layoutInCell="1" allowOverlap="1" wp14:anchorId="387FBB2F" wp14:editId="4862D39F">
            <wp:simplePos x="0" y="0"/>
            <wp:positionH relativeFrom="column">
              <wp:posOffset>259715</wp:posOffset>
            </wp:positionH>
            <wp:positionV relativeFrom="page">
              <wp:posOffset>4502150</wp:posOffset>
            </wp:positionV>
            <wp:extent cx="2499360" cy="3383280"/>
            <wp:effectExtent l="0" t="0" r="0" b="7620"/>
            <wp:wrapSquare wrapText="bothSides"/>
            <wp:docPr id="40" name="Chart 40">
              <a:extLst xmlns:a="http://schemas.openxmlformats.org/drawingml/2006/main">
                <a:ext uri="{FF2B5EF4-FFF2-40B4-BE49-F238E27FC236}">
                  <a16:creationId xmlns:a16="http://schemas.microsoft.com/office/drawing/2014/main" id="{9D3EBBA2-37FF-2779-4AD1-828A06F7EB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3297110D" w14:textId="77777777" w:rsidR="00E408C9" w:rsidRPr="00E96E91" w:rsidRDefault="00E408C9" w:rsidP="00E408C9">
      <w:pPr>
        <w:pStyle w:val="Tabulasvirsraksts"/>
        <w:rPr>
          <w:iCs w:val="0"/>
        </w:rPr>
      </w:pPr>
      <w:r>
        <w:rPr>
          <w:iCs w:val="0"/>
        </w:rPr>
        <w:t>16</w:t>
      </w:r>
      <w:r w:rsidRPr="00E96E91">
        <w:rPr>
          <w:iCs w:val="0"/>
        </w:rPr>
        <w:t>. attēls. Latvijas maksājumu bilances tekošā konta komponentes (milj</w:t>
      </w:r>
      <w:r w:rsidRPr="00E96E91">
        <w:rPr>
          <w:iCs w:val="0"/>
          <w:noProof/>
        </w:rPr>
        <w:t xml:space="preserve">. </w:t>
      </w:r>
      <w:r w:rsidRPr="008F3CC6">
        <w:rPr>
          <w:i/>
          <w:noProof/>
        </w:rPr>
        <w:t>euro</w:t>
      </w:r>
      <w:r w:rsidRPr="00E96E91">
        <w:rPr>
          <w:iCs w:val="0"/>
          <w:noProof/>
        </w:rPr>
        <w:t>)</w:t>
      </w:r>
      <w:r w:rsidRPr="00E96E91">
        <w:rPr>
          <w:iCs w:val="0"/>
        </w:rPr>
        <w:t xml:space="preserve"> </w:t>
      </w:r>
      <w:r w:rsidRPr="00E96E91">
        <w:rPr>
          <w:iCs w:val="0"/>
        </w:rPr>
        <w:br/>
        <w:t>un tekošais konts procentos no IKP (labā ass)</w:t>
      </w:r>
    </w:p>
    <w:p w14:paraId="2CCD9A56" w14:textId="129691F7" w:rsidR="003C74AA" w:rsidRDefault="00FA2AC6" w:rsidP="003C74AA">
      <w:r w:rsidRPr="00BE50A0">
        <w:t>Tekošā konta deficīts attiecībā pret iekšzemes kopproduktu 2021</w:t>
      </w:r>
      <w:r>
        <w:t>. gad</w:t>
      </w:r>
      <w:r w:rsidRPr="00BE50A0">
        <w:t>ā ir palielinājies līdz 4,</w:t>
      </w:r>
      <w:r>
        <w:t>2</w:t>
      </w:r>
      <w:r w:rsidRPr="00BE50A0">
        <w:t>%. Tomēr, ja vērtē tekošo kontu kopā ar kapitāl</w:t>
      </w:r>
      <w:r>
        <w:t>a</w:t>
      </w:r>
      <w:r w:rsidRPr="00BE50A0">
        <w:t xml:space="preserve"> kontu, ko Latvijas gadījumā</w:t>
      </w:r>
      <w:r>
        <w:t xml:space="preserve"> </w:t>
      </w:r>
      <w:r w:rsidRPr="00BE50A0">
        <w:t>galvenokārt veido ienākošās ES struktūrfondu investīcijas, kā arī Zivsaimniecības fondu investīcijas</w:t>
      </w:r>
      <w:r>
        <w:t xml:space="preserve">, </w:t>
      </w:r>
      <w:r w:rsidRPr="00BE50A0">
        <w:t>deficīts pērnajā gadā būtu 2</w:t>
      </w:r>
      <w:r>
        <w:t>,8</w:t>
      </w:r>
      <w:r w:rsidRPr="00BE50A0">
        <w:t>% no IKP. Lai arī tekošajā kontā bija fiksēts deficīts, tomēr tekošā konta bilances struktūra un dinamika kopumā vērtējama kā sabalansēta.</w:t>
      </w:r>
    </w:p>
    <w:p w14:paraId="3D19022D" w14:textId="798DD9DC" w:rsidR="002203AA" w:rsidRDefault="002203AA" w:rsidP="002203AA">
      <w:pPr>
        <w:pStyle w:val="Tabulasvirsraksts"/>
        <w:rPr>
          <w:iCs w:val="0"/>
        </w:rPr>
      </w:pPr>
      <w:bookmarkStart w:id="17" w:name="_Hlk121489824"/>
    </w:p>
    <w:p w14:paraId="1B021182" w14:textId="3D868CFA" w:rsidR="00FA2AC6" w:rsidRDefault="00FA2AC6" w:rsidP="00FA2AC6">
      <w:bookmarkStart w:id="18" w:name="_Hlk121490040"/>
      <w:bookmarkEnd w:id="17"/>
      <w:r w:rsidRPr="00BE50A0">
        <w:t>2022</w:t>
      </w:r>
      <w:r>
        <w:t>. gada</w:t>
      </w:r>
      <w:r w:rsidRPr="00BE50A0">
        <w:t xml:space="preserve"> </w:t>
      </w:r>
      <w:r>
        <w:t>pirmajos trīs ceturkšņos</w:t>
      </w:r>
      <w:r w:rsidRPr="00BE50A0">
        <w:t xml:space="preserve"> maksājum</w:t>
      </w:r>
      <w:r>
        <w:t>u</w:t>
      </w:r>
      <w:r w:rsidRPr="00BE50A0">
        <w:t xml:space="preserve"> bilances tekoš</w:t>
      </w:r>
      <w:r>
        <w:t>ā</w:t>
      </w:r>
      <w:r w:rsidRPr="00BE50A0">
        <w:t xml:space="preserve"> konta deficīts turpin</w:t>
      </w:r>
      <w:r>
        <w:t>āja</w:t>
      </w:r>
      <w:r w:rsidRPr="00BE50A0">
        <w:t xml:space="preserve"> palielināties</w:t>
      </w:r>
      <w:r>
        <w:t>,</w:t>
      </w:r>
      <w:r w:rsidRPr="00BE50A0">
        <w:t xml:space="preserve"> sasniedzot</w:t>
      </w:r>
      <w:r>
        <w:t xml:space="preserve"> 2153</w:t>
      </w:r>
      <w:r w:rsidRPr="00BE50A0">
        <w:t xml:space="preserve"> milj</w:t>
      </w:r>
      <w:r w:rsidRPr="00BE50A0">
        <w:rPr>
          <w:noProof/>
        </w:rPr>
        <w:t xml:space="preserve">. </w:t>
      </w:r>
      <w:r w:rsidRPr="00BE50A0">
        <w:rPr>
          <w:i/>
          <w:iCs/>
          <w:noProof/>
        </w:rPr>
        <w:t xml:space="preserve">euro. </w:t>
      </w:r>
      <w:r w:rsidRPr="00BE50A0">
        <w:rPr>
          <w:noProof/>
        </w:rPr>
        <w:t>Tāpat kā pērn, deficīta kāpumu nosaka augstāks preču konta deficīts. Lai arī preču eksportam fiksēts straujš kāpums, preču importa pieaugums bij</w:t>
      </w:r>
      <w:r>
        <w:rPr>
          <w:noProof/>
        </w:rPr>
        <w:t>is</w:t>
      </w:r>
      <w:r w:rsidRPr="00BE50A0">
        <w:rPr>
          <w:noProof/>
        </w:rPr>
        <w:t xml:space="preserve"> </w:t>
      </w:r>
      <w:r w:rsidRPr="00BE50A0">
        <w:rPr>
          <w:noProof/>
        </w:rPr>
        <w:lastRenderedPageBreak/>
        <w:t>vēl lielāks. Tādējādi preču konta deficīts pieauga par</w:t>
      </w:r>
      <w:r>
        <w:rPr>
          <w:noProof/>
        </w:rPr>
        <w:t xml:space="preserve"> 1081</w:t>
      </w:r>
      <w:r w:rsidRPr="00BE50A0">
        <w:rPr>
          <w:noProof/>
        </w:rPr>
        <w:t xml:space="preserve"> milj. </w:t>
      </w:r>
      <w:r w:rsidRPr="00BE50A0">
        <w:rPr>
          <w:i/>
          <w:iCs/>
          <w:noProof/>
        </w:rPr>
        <w:t xml:space="preserve">euro </w:t>
      </w:r>
      <w:r w:rsidRPr="00047361">
        <w:rPr>
          <w:noProof/>
        </w:rPr>
        <w:t xml:space="preserve">līdz </w:t>
      </w:r>
      <w:r>
        <w:rPr>
          <w:noProof/>
        </w:rPr>
        <w:t>3296</w:t>
      </w:r>
      <w:r w:rsidRPr="00047361">
        <w:rPr>
          <w:noProof/>
        </w:rPr>
        <w:t xml:space="preserve"> milj</w:t>
      </w:r>
      <w:r w:rsidRPr="00BE50A0">
        <w:rPr>
          <w:noProof/>
        </w:rPr>
        <w:t xml:space="preserve">. </w:t>
      </w:r>
      <w:r w:rsidRPr="00BE50A0">
        <w:rPr>
          <w:i/>
          <w:iCs/>
          <w:noProof/>
        </w:rPr>
        <w:t xml:space="preserve">euro. </w:t>
      </w:r>
      <w:r w:rsidRPr="00BE50A0">
        <w:rPr>
          <w:noProof/>
        </w:rPr>
        <w:t>Tāpat</w:t>
      </w:r>
      <w:r w:rsidRPr="00BE50A0">
        <w:t xml:space="preserve"> kā pērn, preču importu būtiski ietekmēja energoresursu imports </w:t>
      </w:r>
      <w:r>
        <w:t>augsto cenu dēļ. g</w:t>
      </w:r>
      <w:r w:rsidRPr="00BE50A0">
        <w:t>āzes cenas</w:t>
      </w:r>
      <w:r>
        <w:t xml:space="preserve"> un</w:t>
      </w:r>
      <w:r w:rsidRPr="00BE50A0">
        <w:t xml:space="preserve"> līdz ar </w:t>
      </w:r>
      <w:r>
        <w:t xml:space="preserve">to </w:t>
      </w:r>
      <w:r w:rsidRPr="00BE50A0">
        <w:t>arī elektroenerģijas cenas sasniedza vēsturiski augstāko līmeni un salīdzinājumā ar pērn</w:t>
      </w:r>
      <w:r>
        <w:t>o</w:t>
      </w:r>
      <w:r w:rsidRPr="00BE50A0">
        <w:t xml:space="preserve"> gadu p</w:t>
      </w:r>
      <w:r>
        <w:t>alielinājās</w:t>
      </w:r>
      <w:r w:rsidRPr="00BE50A0">
        <w:t xml:space="preserve"> vairākas reizes</w:t>
      </w:r>
      <w:r>
        <w:t>, t</w:t>
      </w:r>
      <w:r w:rsidRPr="00BE50A0">
        <w:t>ādējādi negatīvi ietekmējot preču ārēj</w:t>
      </w:r>
      <w:r>
        <w:t>ās</w:t>
      </w:r>
      <w:r w:rsidRPr="00BE50A0">
        <w:t xml:space="preserve"> tirdzniecības </w:t>
      </w:r>
      <w:r w:rsidRPr="00BE50A0">
        <w:rPr>
          <w:noProof/>
        </w:rPr>
        <w:t>bilanci. Turpret</w:t>
      </w:r>
      <w:r>
        <w:rPr>
          <w:noProof/>
        </w:rPr>
        <w:t>im</w:t>
      </w:r>
      <w:r w:rsidRPr="00BE50A0">
        <w:rPr>
          <w:noProof/>
        </w:rPr>
        <w:t xml:space="preserve"> pakalpojumu konta pārpalikums šā gad</w:t>
      </w:r>
      <w:r>
        <w:rPr>
          <w:noProof/>
        </w:rPr>
        <w:t>a</w:t>
      </w:r>
      <w:r w:rsidRPr="00BE50A0">
        <w:rPr>
          <w:noProof/>
        </w:rPr>
        <w:t xml:space="preserve"> </w:t>
      </w:r>
      <w:r>
        <w:rPr>
          <w:noProof/>
        </w:rPr>
        <w:t>trīs ceturkšņos</w:t>
      </w:r>
      <w:r w:rsidRPr="00BE50A0">
        <w:rPr>
          <w:noProof/>
        </w:rPr>
        <w:t xml:space="preserve"> bija par </w:t>
      </w:r>
      <w:r>
        <w:rPr>
          <w:noProof/>
        </w:rPr>
        <w:t>470</w:t>
      </w:r>
      <w:r w:rsidRPr="00BE50A0">
        <w:rPr>
          <w:noProof/>
        </w:rPr>
        <w:t xml:space="preserve"> milj. </w:t>
      </w:r>
      <w:r w:rsidRPr="00BE50A0">
        <w:rPr>
          <w:i/>
          <w:iCs/>
          <w:noProof/>
        </w:rPr>
        <w:t xml:space="preserve">euro </w:t>
      </w:r>
      <w:r w:rsidRPr="00BE50A0">
        <w:rPr>
          <w:noProof/>
        </w:rPr>
        <w:t>lielāks</w:t>
      </w:r>
      <w:r w:rsidRPr="00BE50A0">
        <w:t xml:space="preserve"> nekā pērnā gada attiecīgajā periodā, tādējādi nedaudz mazinot tekoš</w:t>
      </w:r>
      <w:r>
        <w:t>ā</w:t>
      </w:r>
      <w:r w:rsidRPr="00BE50A0">
        <w:t xml:space="preserve"> konta deficītu. Savukārt sākotnējo un otrreizējo ienākum</w:t>
      </w:r>
      <w:r>
        <w:t>u kontu</w:t>
      </w:r>
      <w:r w:rsidRPr="00BE50A0">
        <w:t xml:space="preserve"> bilances </w:t>
      </w:r>
      <w:r>
        <w:t>saglabājās praktiski bez izmaiņām.</w:t>
      </w:r>
      <w:bookmarkEnd w:id="16"/>
      <w:bookmarkEnd w:id="18"/>
    </w:p>
    <w:p w14:paraId="39665CC1" w14:textId="77777777" w:rsidR="00FA2AC6" w:rsidRPr="000A7809" w:rsidRDefault="00FA2AC6" w:rsidP="009C4ECE">
      <w:pPr>
        <w:spacing w:before="240"/>
        <w:rPr>
          <w:b/>
          <w:bCs/>
        </w:rPr>
      </w:pPr>
      <w:r w:rsidRPr="000A7809">
        <w:rPr>
          <w:b/>
          <w:bCs/>
        </w:rPr>
        <w:t xml:space="preserve">Investīcijas </w:t>
      </w:r>
    </w:p>
    <w:p w14:paraId="27011841" w14:textId="77777777" w:rsidR="00FA2AC6" w:rsidRPr="00071412" w:rsidRDefault="00FA2AC6" w:rsidP="00FA2AC6">
      <w:pPr>
        <w:rPr>
          <w:noProof/>
        </w:rPr>
      </w:pPr>
      <w:r w:rsidRPr="00F63C6B">
        <w:rPr>
          <w:noProof/>
        </w:rPr>
        <w:t>2021</w:t>
      </w:r>
      <w:r>
        <w:rPr>
          <w:noProof/>
        </w:rPr>
        <w:t>. gad</w:t>
      </w:r>
      <w:r w:rsidRPr="00F63C6B">
        <w:rPr>
          <w:noProof/>
        </w:rPr>
        <w:t>ā investīciju apjoms Latvijā palielināj</w:t>
      </w:r>
      <w:r>
        <w:rPr>
          <w:noProof/>
        </w:rPr>
        <w:t>ās</w:t>
      </w:r>
      <w:r w:rsidRPr="00F63C6B">
        <w:rPr>
          <w:noProof/>
        </w:rPr>
        <w:t xml:space="preserve"> par 2,9%</w:t>
      </w:r>
      <w:r>
        <w:rPr>
          <w:noProof/>
        </w:rPr>
        <w:t xml:space="preserve"> </w:t>
      </w:r>
      <w:r w:rsidRPr="005C2A0C">
        <w:rPr>
          <w:rFonts w:eastAsia="Calibri" w:cs="Times New Roman"/>
        </w:rPr>
        <w:t>salīdzināmajās cenās</w:t>
      </w:r>
      <w:r w:rsidRPr="00F63C6B">
        <w:rPr>
          <w:noProof/>
        </w:rPr>
        <w:t>, kopumā veidojot 6</w:t>
      </w:r>
      <w:r>
        <w:rPr>
          <w:noProof/>
        </w:rPr>
        <w:t>581</w:t>
      </w:r>
      <w:r w:rsidRPr="00F63C6B">
        <w:rPr>
          <w:noProof/>
        </w:rPr>
        <w:t xml:space="preserve"> milj. </w:t>
      </w:r>
      <w:r w:rsidRPr="00F63C6B">
        <w:rPr>
          <w:i/>
          <w:iCs/>
          <w:noProof/>
        </w:rPr>
        <w:t>e</w:t>
      </w:r>
      <w:r w:rsidRPr="00FE6063">
        <w:rPr>
          <w:i/>
          <w:iCs/>
          <w:noProof/>
        </w:rPr>
        <w:t>u</w:t>
      </w:r>
      <w:r w:rsidRPr="00F63C6B">
        <w:rPr>
          <w:i/>
          <w:iCs/>
          <w:noProof/>
        </w:rPr>
        <w:t>ro</w:t>
      </w:r>
      <w:r w:rsidRPr="00F63C6B">
        <w:rPr>
          <w:noProof/>
        </w:rPr>
        <w:t>. Salīdzinājumā ar pārējām IKP sastāvdaļām kā privāto un sabiedrisko patēriņu, kā arī eksportu, investīciju sniegums bija visvājākais. Tādējādi investīciju īpatsvars IKP nedaudz samazinājies no 2</w:t>
      </w:r>
      <w:r>
        <w:rPr>
          <w:noProof/>
        </w:rPr>
        <w:t>3,6</w:t>
      </w:r>
      <w:r w:rsidRPr="00F63C6B">
        <w:rPr>
          <w:noProof/>
        </w:rPr>
        <w:t>% 2020</w:t>
      </w:r>
      <w:r>
        <w:rPr>
          <w:noProof/>
        </w:rPr>
        <w:t>. gad</w:t>
      </w:r>
      <w:r w:rsidRPr="00F63C6B">
        <w:rPr>
          <w:noProof/>
        </w:rPr>
        <w:t>ā līdz 2</w:t>
      </w:r>
      <w:r>
        <w:rPr>
          <w:noProof/>
        </w:rPr>
        <w:t>3</w:t>
      </w:r>
      <w:r w:rsidRPr="00F63C6B">
        <w:rPr>
          <w:noProof/>
        </w:rPr>
        <w:t>,3% 2021</w:t>
      </w:r>
      <w:r>
        <w:rPr>
          <w:noProof/>
        </w:rPr>
        <w:t>. g</w:t>
      </w:r>
      <w:r w:rsidRPr="00071412">
        <w:rPr>
          <w:noProof/>
          <w:color w:val="000000" w:themeColor="text1"/>
        </w:rPr>
        <w:t>adā. Investīciju aktivitāte Latvijā 2021</w:t>
      </w:r>
      <w:r>
        <w:rPr>
          <w:noProof/>
          <w:color w:val="000000" w:themeColor="text1"/>
        </w:rPr>
        <w:t>. g</w:t>
      </w:r>
      <w:r w:rsidRPr="00071412">
        <w:rPr>
          <w:noProof/>
          <w:color w:val="000000" w:themeColor="text1"/>
        </w:rPr>
        <w:t>adā varēja būt lielāka, bet to negatīvi ietekmēja straujais cenu kāpums, it īpaši gada otrajā pusē. Būtiski sadārdzinājās koksnes, metālu, energoresursu, gumijas un pārējo izejvielu un resursu cenas, kas ir svarīgas būvniecības procesā. Tas ietekmēja investīciju apjomu infrastruktūras attīstībā. Kopējās būvniecības izmaksas 2021</w:t>
      </w:r>
      <w:r>
        <w:rPr>
          <w:noProof/>
          <w:color w:val="000000" w:themeColor="text1"/>
        </w:rPr>
        <w:t>. g</w:t>
      </w:r>
      <w:r w:rsidRPr="00071412">
        <w:rPr>
          <w:noProof/>
          <w:color w:val="000000" w:themeColor="text1"/>
        </w:rPr>
        <w:t>adā vidēji pieauga par 6,6% salīdzinājumā ar iepriekšējo gadu, straujāk pieaugot tieši būvmateriālu sastāvdaļai (+9,1%), kamēr strādnieku darba samaksas sastāvdaļa un izmaksas mašīnu un mehānismu uzturēšanai un ekspluatācijai palielinājās par 4,1%.</w:t>
      </w:r>
    </w:p>
    <w:p w14:paraId="700C3BAB" w14:textId="7EAC6EBE" w:rsidR="00FA2AC6" w:rsidRPr="00F63C6B" w:rsidRDefault="00FA2AC6" w:rsidP="00FA2AC6">
      <w:pPr>
        <w:rPr>
          <w:noProof/>
        </w:rPr>
      </w:pPr>
      <w:r>
        <w:rPr>
          <w:noProof/>
        </w:rPr>
        <w:t>I</w:t>
      </w:r>
      <w:r w:rsidRPr="00F63C6B">
        <w:rPr>
          <w:noProof/>
        </w:rPr>
        <w:t>nvestīciju apjom</w:t>
      </w:r>
      <w:r>
        <w:rPr>
          <w:noProof/>
        </w:rPr>
        <w:t>a pieaugums</w:t>
      </w:r>
      <w:r w:rsidRPr="00F63C6B">
        <w:rPr>
          <w:noProof/>
        </w:rPr>
        <w:t xml:space="preserve"> </w:t>
      </w:r>
      <w:r>
        <w:rPr>
          <w:noProof/>
        </w:rPr>
        <w:t>Latvijas tautsaimniecībā 2022. gadā pa ceturkšņiem bija attiecīgi 2,1%, 0,9% un 0,4%, salīdzinot ar attiecīgo ceturksni</w:t>
      </w:r>
      <w:r w:rsidRPr="003608BF">
        <w:rPr>
          <w:rFonts w:cs="Times New Roman"/>
        </w:rPr>
        <w:t xml:space="preserve"> iepriekšējā gad</w:t>
      </w:r>
      <w:r>
        <w:rPr>
          <w:rFonts w:cs="Times New Roman"/>
        </w:rPr>
        <w:t>ā</w:t>
      </w:r>
      <w:r w:rsidRPr="003608BF">
        <w:rPr>
          <w:rFonts w:cs="Times New Roman"/>
        </w:rPr>
        <w:t>.</w:t>
      </w:r>
      <w:r>
        <w:rPr>
          <w:noProof/>
        </w:rPr>
        <w:t xml:space="preserve"> Lai arī kopējā investīciju dinamika bija vāja, tomēr investīciju izmaiņas pa aktīvu veidiem bija ļoti neviendabīgas. </w:t>
      </w:r>
      <w:r w:rsidRPr="00F63C6B">
        <w:rPr>
          <w:noProof/>
        </w:rPr>
        <w:t xml:space="preserve">Investīciju kāpumu </w:t>
      </w:r>
      <w:r>
        <w:rPr>
          <w:noProof/>
        </w:rPr>
        <w:t xml:space="preserve">pirmajos trīs ceturkšņos </w:t>
      </w:r>
      <w:r w:rsidRPr="00F63C6B">
        <w:rPr>
          <w:noProof/>
        </w:rPr>
        <w:t>veicināja lielākas investīcijas iekārtās un mašīnās, kā arī intelektuālajā īpašumā</w:t>
      </w:r>
      <w:r>
        <w:rPr>
          <w:noProof/>
        </w:rPr>
        <w:t xml:space="preserve">. Vienlaicīgi investīcijas ēkās un būvēs bija būtiski zemākas nekā pērnajā gadā. </w:t>
      </w:r>
      <w:r w:rsidRPr="00F63C6B">
        <w:rPr>
          <w:noProof/>
        </w:rPr>
        <w:t>Kopumā 2022</w:t>
      </w:r>
      <w:r>
        <w:rPr>
          <w:noProof/>
        </w:rPr>
        <w:t>. gad</w:t>
      </w:r>
      <w:r w:rsidRPr="00F63C6B">
        <w:rPr>
          <w:noProof/>
        </w:rPr>
        <w:t xml:space="preserve">a </w:t>
      </w:r>
      <w:r>
        <w:rPr>
          <w:noProof/>
        </w:rPr>
        <w:t xml:space="preserve">trīs ceturkšņos </w:t>
      </w:r>
      <w:r w:rsidRPr="00F63C6B">
        <w:rPr>
          <w:noProof/>
        </w:rPr>
        <w:t>investīcijas veidoja</w:t>
      </w:r>
      <w:r>
        <w:rPr>
          <w:noProof/>
        </w:rPr>
        <w:t xml:space="preserve"> 4742</w:t>
      </w:r>
      <w:r w:rsidRPr="00F63C6B">
        <w:rPr>
          <w:noProof/>
        </w:rPr>
        <w:t xml:space="preserve"> milj. </w:t>
      </w:r>
      <w:r w:rsidRPr="00F63C6B">
        <w:rPr>
          <w:i/>
          <w:iCs/>
          <w:noProof/>
        </w:rPr>
        <w:t>euro</w:t>
      </w:r>
      <w:r>
        <w:rPr>
          <w:noProof/>
        </w:rPr>
        <w:t>salīdzināmajās cenās,</w:t>
      </w:r>
      <w:r w:rsidRPr="00F63C6B">
        <w:rPr>
          <w:noProof/>
        </w:rPr>
        <w:t xml:space="preserve"> kas bija par </w:t>
      </w:r>
      <w:r>
        <w:rPr>
          <w:noProof/>
        </w:rPr>
        <w:t>1,0</w:t>
      </w:r>
      <w:r w:rsidRPr="00F63C6B">
        <w:rPr>
          <w:noProof/>
        </w:rPr>
        <w:t xml:space="preserve">% jeb </w:t>
      </w:r>
      <w:r>
        <w:rPr>
          <w:noProof/>
        </w:rPr>
        <w:t>48</w:t>
      </w:r>
      <w:r w:rsidRPr="00F63C6B">
        <w:rPr>
          <w:noProof/>
        </w:rPr>
        <w:t xml:space="preserve"> milj. </w:t>
      </w:r>
      <w:r w:rsidRPr="00F63C6B">
        <w:rPr>
          <w:i/>
          <w:iCs/>
          <w:noProof/>
        </w:rPr>
        <w:t>euro</w:t>
      </w:r>
      <w:r w:rsidRPr="00F63C6B">
        <w:rPr>
          <w:noProof/>
        </w:rPr>
        <w:t xml:space="preserve"> vairāk nekā pērnā gada attiecīgajā periodā. </w:t>
      </w:r>
      <w:r>
        <w:rPr>
          <w:noProof/>
        </w:rPr>
        <w:t>S</w:t>
      </w:r>
      <w:r w:rsidRPr="00F63C6B">
        <w:rPr>
          <w:noProof/>
        </w:rPr>
        <w:t>varīgi norādīt, ka augsts izejvielu cenu līmenis turpina ietekmēt investīciju aktivitāti arī 2022</w:t>
      </w:r>
      <w:r>
        <w:rPr>
          <w:noProof/>
        </w:rPr>
        <w:t>. gad</w:t>
      </w:r>
      <w:r w:rsidRPr="00F63C6B">
        <w:rPr>
          <w:noProof/>
        </w:rPr>
        <w:t xml:space="preserve">ā. Investīciju deflators šā </w:t>
      </w:r>
      <w:r>
        <w:rPr>
          <w:noProof/>
        </w:rPr>
        <w:t xml:space="preserve">gada trīs ceturkšņos </w:t>
      </w:r>
      <w:r w:rsidRPr="00F63C6B">
        <w:rPr>
          <w:noProof/>
        </w:rPr>
        <w:t xml:space="preserve">bija </w:t>
      </w:r>
      <w:r>
        <w:rPr>
          <w:noProof/>
        </w:rPr>
        <w:t>12,3</w:t>
      </w:r>
      <w:r w:rsidRPr="00F63C6B">
        <w:rPr>
          <w:noProof/>
        </w:rPr>
        <w:t>%, kas nozīmē, ka faktiskajās cenās investīciju apjoms tautsaimniecībā attiecīgajā laikā periodā ir palielinājies par 1</w:t>
      </w:r>
      <w:r>
        <w:rPr>
          <w:noProof/>
        </w:rPr>
        <w:t>3,3</w:t>
      </w:r>
      <w:r w:rsidRPr="00F63C6B">
        <w:rPr>
          <w:noProof/>
        </w:rPr>
        <w:t xml:space="preserve">%. Investīciju apjoms un tā izmaiņas pa darbības veidiem ir atspoguļots </w:t>
      </w:r>
      <w:r w:rsidRPr="00943162">
        <w:rPr>
          <w:noProof/>
        </w:rPr>
        <w:t xml:space="preserve">attiecīgi </w:t>
      </w:r>
      <w:r>
        <w:rPr>
          <w:noProof/>
        </w:rPr>
        <w:t>17</w:t>
      </w:r>
      <w:r w:rsidRPr="00943162">
        <w:rPr>
          <w:noProof/>
        </w:rPr>
        <w:t xml:space="preserve">. un </w:t>
      </w:r>
      <w:r>
        <w:rPr>
          <w:noProof/>
        </w:rPr>
        <w:t>18</w:t>
      </w:r>
      <w:r w:rsidRPr="00943162">
        <w:rPr>
          <w:noProof/>
        </w:rPr>
        <w:t xml:space="preserve">. </w:t>
      </w:r>
      <w:r w:rsidRPr="009C4ECE">
        <w:rPr>
          <w:noProof/>
        </w:rPr>
        <w:t>attēlā</w:t>
      </w:r>
      <w:r w:rsidR="009C4ECE" w:rsidRPr="009C4ECE">
        <w:rPr>
          <w:noProof/>
        </w:rPr>
        <w:t>.</w:t>
      </w:r>
    </w:p>
    <w:tbl>
      <w:tblPr>
        <w:tblStyle w:val="TableGrid2"/>
        <w:tblW w:w="5003"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7"/>
        <w:gridCol w:w="4539"/>
      </w:tblGrid>
      <w:tr w:rsidR="00FA2AC6" w:rsidRPr="00E96E91" w14:paraId="2A6C7314" w14:textId="77777777" w:rsidTr="009C4ECE">
        <w:tc>
          <w:tcPr>
            <w:tcW w:w="4537" w:type="dxa"/>
            <w:vAlign w:val="center"/>
          </w:tcPr>
          <w:p w14:paraId="19963929" w14:textId="77777777" w:rsidR="009C4ECE" w:rsidRDefault="009C4ECE" w:rsidP="00557A0A">
            <w:pPr>
              <w:pStyle w:val="Tabulasvirsraksts"/>
              <w:rPr>
                <w:rFonts w:eastAsia="Calibri"/>
                <w:iCs w:val="0"/>
              </w:rPr>
            </w:pPr>
          </w:p>
          <w:p w14:paraId="468EFEB4" w14:textId="77777777" w:rsidR="009C4ECE" w:rsidRDefault="009C4ECE" w:rsidP="00557A0A">
            <w:pPr>
              <w:pStyle w:val="Tabulasvirsraksts"/>
              <w:rPr>
                <w:rFonts w:eastAsia="Calibri"/>
                <w:iCs w:val="0"/>
              </w:rPr>
            </w:pPr>
          </w:p>
          <w:p w14:paraId="5DC445EC" w14:textId="77777777" w:rsidR="009C4ECE" w:rsidRDefault="009C4ECE" w:rsidP="00557A0A">
            <w:pPr>
              <w:pStyle w:val="Tabulasvirsraksts"/>
              <w:rPr>
                <w:rFonts w:eastAsia="Calibri"/>
                <w:iCs w:val="0"/>
              </w:rPr>
            </w:pPr>
          </w:p>
          <w:p w14:paraId="244C478B" w14:textId="77777777" w:rsidR="009C4ECE" w:rsidRDefault="009C4ECE" w:rsidP="00557A0A">
            <w:pPr>
              <w:pStyle w:val="Tabulasvirsraksts"/>
              <w:rPr>
                <w:rFonts w:eastAsia="Calibri"/>
                <w:iCs w:val="0"/>
              </w:rPr>
            </w:pPr>
          </w:p>
          <w:p w14:paraId="3BC9D455" w14:textId="77777777" w:rsidR="009C4ECE" w:rsidRDefault="009C4ECE" w:rsidP="00557A0A">
            <w:pPr>
              <w:pStyle w:val="Tabulasvirsraksts"/>
              <w:rPr>
                <w:rFonts w:eastAsia="Calibri"/>
                <w:iCs w:val="0"/>
              </w:rPr>
            </w:pPr>
          </w:p>
          <w:p w14:paraId="5FFB07C5" w14:textId="77777777" w:rsidR="009C4ECE" w:rsidRDefault="009C4ECE" w:rsidP="00557A0A">
            <w:pPr>
              <w:pStyle w:val="Tabulasvirsraksts"/>
              <w:rPr>
                <w:rFonts w:eastAsia="Calibri"/>
                <w:iCs w:val="0"/>
              </w:rPr>
            </w:pPr>
          </w:p>
          <w:p w14:paraId="3122B84F" w14:textId="77777777" w:rsidR="009C4ECE" w:rsidRDefault="009C4ECE" w:rsidP="00557A0A">
            <w:pPr>
              <w:pStyle w:val="Tabulasvirsraksts"/>
              <w:rPr>
                <w:rFonts w:eastAsia="Calibri"/>
                <w:iCs w:val="0"/>
              </w:rPr>
            </w:pPr>
          </w:p>
          <w:p w14:paraId="1C4B1CAF" w14:textId="77777777" w:rsidR="009C4ECE" w:rsidRDefault="009C4ECE" w:rsidP="00557A0A">
            <w:pPr>
              <w:pStyle w:val="Tabulasvirsraksts"/>
              <w:rPr>
                <w:rFonts w:eastAsia="Calibri"/>
                <w:iCs w:val="0"/>
              </w:rPr>
            </w:pPr>
          </w:p>
          <w:p w14:paraId="205A08F5" w14:textId="09B342FB" w:rsidR="00FA2AC6" w:rsidRPr="00E96E91" w:rsidRDefault="009C4ECE" w:rsidP="009C4ECE">
            <w:pPr>
              <w:pStyle w:val="Tabulasvirsraksts"/>
              <w:rPr>
                <w:rFonts w:eastAsia="Calibri"/>
                <w:iCs w:val="0"/>
              </w:rPr>
            </w:pPr>
            <w:r>
              <w:rPr>
                <w:noProof/>
              </w:rPr>
              <w:lastRenderedPageBreak/>
              <w:drawing>
                <wp:anchor distT="0" distB="0" distL="114300" distR="114300" simplePos="0" relativeHeight="251673600" behindDoc="0" locked="0" layoutInCell="1" allowOverlap="1" wp14:anchorId="4EA37EDA" wp14:editId="285E6037">
                  <wp:simplePos x="0" y="0"/>
                  <wp:positionH relativeFrom="margin">
                    <wp:posOffset>3810</wp:posOffset>
                  </wp:positionH>
                  <wp:positionV relativeFrom="page">
                    <wp:posOffset>17780</wp:posOffset>
                  </wp:positionV>
                  <wp:extent cx="2780030" cy="3657600"/>
                  <wp:effectExtent l="0" t="0" r="1270" b="0"/>
                  <wp:wrapSquare wrapText="bothSides"/>
                  <wp:docPr id="42" name="Chart 42">
                    <a:extLst xmlns:a="http://schemas.openxmlformats.org/drawingml/2006/main">
                      <a:ext uri="{FF2B5EF4-FFF2-40B4-BE49-F238E27FC236}">
                        <a16:creationId xmlns:a16="http://schemas.microsoft.com/office/drawing/2014/main" id="{00000000-0008-0000-2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FA2AC6">
              <w:rPr>
                <w:rFonts w:eastAsia="Calibri"/>
                <w:iCs w:val="0"/>
              </w:rPr>
              <w:t>17</w:t>
            </w:r>
            <w:r w:rsidR="00FA2AC6" w:rsidRPr="00E96E91">
              <w:rPr>
                <w:rFonts w:eastAsia="Calibri"/>
                <w:iCs w:val="0"/>
              </w:rPr>
              <w:t xml:space="preserve">. attēls. Bruto kapitālieguldījumu </w:t>
            </w:r>
            <w:r w:rsidR="00FA2AC6" w:rsidRPr="00E96E91">
              <w:rPr>
                <w:rFonts w:eastAsia="Calibri"/>
                <w:iCs w:val="0"/>
                <w:noProof/>
              </w:rPr>
              <w:t>izmaiņas pa darbības veidiem</w:t>
            </w:r>
            <w:r w:rsidR="00FA2AC6" w:rsidRPr="00E96E91">
              <w:rPr>
                <w:rFonts w:eastAsia="Calibri"/>
                <w:iCs w:val="0"/>
                <w:noProof/>
              </w:rPr>
              <w:br/>
              <w:t xml:space="preserve">(milj. </w:t>
            </w:r>
            <w:r w:rsidR="00FA2AC6" w:rsidRPr="008F3CC6">
              <w:rPr>
                <w:rFonts w:eastAsia="Calibri"/>
                <w:i/>
                <w:noProof/>
              </w:rPr>
              <w:t>euro</w:t>
            </w:r>
            <w:r w:rsidR="00FA2AC6" w:rsidRPr="00E96E91">
              <w:rPr>
                <w:rFonts w:eastAsia="Calibri"/>
                <w:iCs w:val="0"/>
                <w:noProof/>
              </w:rPr>
              <w:t>, salīdzināmajās</w:t>
            </w:r>
            <w:r w:rsidR="00FA2AC6" w:rsidRPr="00E96E91">
              <w:rPr>
                <w:rFonts w:eastAsia="Calibri"/>
                <w:iCs w:val="0"/>
              </w:rPr>
              <w:t xml:space="preserve"> cenās)</w:t>
            </w:r>
          </w:p>
        </w:tc>
        <w:tc>
          <w:tcPr>
            <w:tcW w:w="4539" w:type="dxa"/>
            <w:vAlign w:val="center"/>
          </w:tcPr>
          <w:p w14:paraId="298A6879" w14:textId="77777777" w:rsidR="009C4ECE" w:rsidRDefault="009C4ECE" w:rsidP="00557A0A">
            <w:pPr>
              <w:pStyle w:val="Tabulasvirsraksts"/>
              <w:rPr>
                <w:rFonts w:eastAsia="Calibri"/>
                <w:iCs w:val="0"/>
              </w:rPr>
            </w:pPr>
          </w:p>
          <w:p w14:paraId="71C94A4C" w14:textId="77777777" w:rsidR="009C4ECE" w:rsidRDefault="009C4ECE" w:rsidP="00557A0A">
            <w:pPr>
              <w:pStyle w:val="Tabulasvirsraksts"/>
              <w:rPr>
                <w:rFonts w:eastAsia="Calibri"/>
                <w:iCs w:val="0"/>
              </w:rPr>
            </w:pPr>
          </w:p>
          <w:p w14:paraId="39B4D654" w14:textId="77777777" w:rsidR="009C4ECE" w:rsidRDefault="009C4ECE" w:rsidP="00557A0A">
            <w:pPr>
              <w:pStyle w:val="Tabulasvirsraksts"/>
              <w:rPr>
                <w:rFonts w:eastAsia="Calibri"/>
                <w:iCs w:val="0"/>
              </w:rPr>
            </w:pPr>
          </w:p>
          <w:p w14:paraId="33F815FC" w14:textId="77777777" w:rsidR="009C4ECE" w:rsidRDefault="009C4ECE" w:rsidP="00557A0A">
            <w:pPr>
              <w:pStyle w:val="Tabulasvirsraksts"/>
              <w:rPr>
                <w:rFonts w:eastAsia="Calibri"/>
                <w:iCs w:val="0"/>
              </w:rPr>
            </w:pPr>
          </w:p>
          <w:p w14:paraId="1C41F9BD" w14:textId="77777777" w:rsidR="009C4ECE" w:rsidRDefault="009C4ECE" w:rsidP="00557A0A">
            <w:pPr>
              <w:pStyle w:val="Tabulasvirsraksts"/>
              <w:rPr>
                <w:rFonts w:eastAsia="Calibri"/>
                <w:iCs w:val="0"/>
              </w:rPr>
            </w:pPr>
          </w:p>
          <w:p w14:paraId="3F0DF664" w14:textId="77777777" w:rsidR="009C4ECE" w:rsidRDefault="009C4ECE" w:rsidP="00557A0A">
            <w:pPr>
              <w:pStyle w:val="Tabulasvirsraksts"/>
              <w:rPr>
                <w:rFonts w:eastAsia="Calibri"/>
                <w:iCs w:val="0"/>
              </w:rPr>
            </w:pPr>
          </w:p>
          <w:p w14:paraId="70294B8F" w14:textId="77777777" w:rsidR="009C4ECE" w:rsidRDefault="009C4ECE" w:rsidP="00557A0A">
            <w:pPr>
              <w:pStyle w:val="Tabulasvirsraksts"/>
              <w:rPr>
                <w:rFonts w:eastAsia="Calibri"/>
                <w:iCs w:val="0"/>
              </w:rPr>
            </w:pPr>
          </w:p>
          <w:p w14:paraId="120481C0" w14:textId="77777777" w:rsidR="009C4ECE" w:rsidRDefault="009C4ECE" w:rsidP="00557A0A">
            <w:pPr>
              <w:pStyle w:val="Tabulasvirsraksts"/>
              <w:rPr>
                <w:rFonts w:eastAsia="Calibri"/>
                <w:iCs w:val="0"/>
              </w:rPr>
            </w:pPr>
          </w:p>
          <w:p w14:paraId="5CB414C5" w14:textId="3A7B7C06" w:rsidR="009C4ECE" w:rsidRDefault="00E408C9" w:rsidP="00557A0A">
            <w:pPr>
              <w:pStyle w:val="Tabulasvirsraksts"/>
              <w:rPr>
                <w:rFonts w:eastAsia="Calibri"/>
                <w:iCs w:val="0"/>
              </w:rPr>
            </w:pPr>
            <w:r>
              <w:rPr>
                <w:noProof/>
              </w:rPr>
              <w:lastRenderedPageBreak/>
              <w:drawing>
                <wp:anchor distT="0" distB="0" distL="114300" distR="114300" simplePos="0" relativeHeight="251675648" behindDoc="0" locked="0" layoutInCell="1" allowOverlap="1" wp14:anchorId="6235E3B0" wp14:editId="63877ED3">
                  <wp:simplePos x="0" y="0"/>
                  <wp:positionH relativeFrom="column">
                    <wp:posOffset>-2648585</wp:posOffset>
                  </wp:positionH>
                  <wp:positionV relativeFrom="page">
                    <wp:posOffset>12700</wp:posOffset>
                  </wp:positionV>
                  <wp:extent cx="2533650" cy="3663950"/>
                  <wp:effectExtent l="0" t="0" r="0" b="0"/>
                  <wp:wrapSquare wrapText="bothSides"/>
                  <wp:docPr id="43" name="Chart 43">
                    <a:extLst xmlns:a="http://schemas.openxmlformats.org/drawingml/2006/main">
                      <a:ext uri="{FF2B5EF4-FFF2-40B4-BE49-F238E27FC236}">
                        <a16:creationId xmlns:a16="http://schemas.microsoft.com/office/drawing/2014/main" id="{00000000-0008-0000-2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6E6EBFAC" w14:textId="77777777" w:rsidR="009C4ECE" w:rsidRDefault="009C4ECE" w:rsidP="00557A0A">
            <w:pPr>
              <w:pStyle w:val="Tabulasvirsraksts"/>
              <w:rPr>
                <w:rFonts w:eastAsia="Calibri"/>
                <w:iCs w:val="0"/>
              </w:rPr>
            </w:pPr>
          </w:p>
          <w:p w14:paraId="2F453CF7" w14:textId="77777777" w:rsidR="009C4ECE" w:rsidRDefault="009C4ECE" w:rsidP="00557A0A">
            <w:pPr>
              <w:pStyle w:val="Tabulasvirsraksts"/>
              <w:rPr>
                <w:rFonts w:eastAsia="Calibri"/>
                <w:iCs w:val="0"/>
              </w:rPr>
            </w:pPr>
          </w:p>
          <w:p w14:paraId="618539E8" w14:textId="0923B8F6" w:rsidR="009C4ECE" w:rsidRDefault="009C4ECE" w:rsidP="00557A0A">
            <w:pPr>
              <w:pStyle w:val="Tabulasvirsraksts"/>
              <w:rPr>
                <w:rFonts w:eastAsia="Calibri"/>
                <w:iCs w:val="0"/>
              </w:rPr>
            </w:pPr>
          </w:p>
          <w:p w14:paraId="052F4802" w14:textId="77777777" w:rsidR="009C4ECE" w:rsidRDefault="009C4ECE" w:rsidP="00557A0A">
            <w:pPr>
              <w:pStyle w:val="Tabulasvirsraksts"/>
              <w:rPr>
                <w:rFonts w:eastAsia="Calibri"/>
                <w:iCs w:val="0"/>
              </w:rPr>
            </w:pPr>
          </w:p>
          <w:p w14:paraId="1031B7C3" w14:textId="77777777" w:rsidR="009C4ECE" w:rsidRDefault="009C4ECE" w:rsidP="00557A0A">
            <w:pPr>
              <w:pStyle w:val="Tabulasvirsraksts"/>
              <w:rPr>
                <w:rFonts w:eastAsia="Calibri"/>
                <w:iCs w:val="0"/>
              </w:rPr>
            </w:pPr>
          </w:p>
          <w:p w14:paraId="2887BFB2" w14:textId="77777777" w:rsidR="009C4ECE" w:rsidRDefault="009C4ECE" w:rsidP="00557A0A">
            <w:pPr>
              <w:pStyle w:val="Tabulasvirsraksts"/>
              <w:rPr>
                <w:rFonts w:eastAsia="Calibri"/>
                <w:iCs w:val="0"/>
              </w:rPr>
            </w:pPr>
          </w:p>
          <w:p w14:paraId="5DFE3951" w14:textId="77777777" w:rsidR="009C4ECE" w:rsidRDefault="009C4ECE" w:rsidP="00557A0A">
            <w:pPr>
              <w:pStyle w:val="Tabulasvirsraksts"/>
              <w:rPr>
                <w:rFonts w:eastAsia="Calibri"/>
                <w:iCs w:val="0"/>
              </w:rPr>
            </w:pPr>
          </w:p>
          <w:p w14:paraId="22CBD2C9" w14:textId="77777777" w:rsidR="009C4ECE" w:rsidRDefault="009C4ECE" w:rsidP="00557A0A">
            <w:pPr>
              <w:pStyle w:val="Tabulasvirsraksts"/>
              <w:rPr>
                <w:rFonts w:eastAsia="Calibri"/>
                <w:iCs w:val="0"/>
              </w:rPr>
            </w:pPr>
          </w:p>
          <w:p w14:paraId="53D14D6C" w14:textId="77777777" w:rsidR="009C4ECE" w:rsidRDefault="009C4ECE" w:rsidP="00557A0A">
            <w:pPr>
              <w:pStyle w:val="Tabulasvirsraksts"/>
              <w:rPr>
                <w:rFonts w:eastAsia="Calibri"/>
                <w:iCs w:val="0"/>
              </w:rPr>
            </w:pPr>
          </w:p>
          <w:p w14:paraId="0D00A8E0" w14:textId="77777777" w:rsidR="009C4ECE" w:rsidRDefault="009C4ECE" w:rsidP="00557A0A">
            <w:pPr>
              <w:pStyle w:val="Tabulasvirsraksts"/>
              <w:rPr>
                <w:rFonts w:eastAsia="Calibri"/>
                <w:iCs w:val="0"/>
              </w:rPr>
            </w:pPr>
          </w:p>
          <w:p w14:paraId="6568F8CB" w14:textId="77777777" w:rsidR="009C4ECE" w:rsidRDefault="009C4ECE" w:rsidP="00557A0A">
            <w:pPr>
              <w:pStyle w:val="Tabulasvirsraksts"/>
              <w:rPr>
                <w:rFonts w:eastAsia="Calibri"/>
                <w:iCs w:val="0"/>
              </w:rPr>
            </w:pPr>
          </w:p>
          <w:p w14:paraId="0EA17DE4" w14:textId="77777777" w:rsidR="009C4ECE" w:rsidRDefault="009C4ECE" w:rsidP="00557A0A">
            <w:pPr>
              <w:pStyle w:val="Tabulasvirsraksts"/>
              <w:rPr>
                <w:rFonts w:eastAsia="Calibri"/>
                <w:iCs w:val="0"/>
              </w:rPr>
            </w:pPr>
          </w:p>
          <w:p w14:paraId="6727A407" w14:textId="77777777" w:rsidR="009C4ECE" w:rsidRDefault="009C4ECE" w:rsidP="00557A0A">
            <w:pPr>
              <w:pStyle w:val="Tabulasvirsraksts"/>
              <w:rPr>
                <w:rFonts w:eastAsia="Calibri"/>
                <w:iCs w:val="0"/>
              </w:rPr>
            </w:pPr>
          </w:p>
          <w:p w14:paraId="39165FF8" w14:textId="6DB8BFBA" w:rsidR="00FA2AC6" w:rsidRPr="00E96E91" w:rsidRDefault="00FA2AC6" w:rsidP="00E408C9">
            <w:pPr>
              <w:pStyle w:val="Tabulasvirsraksts"/>
              <w:spacing w:before="0"/>
              <w:rPr>
                <w:rFonts w:eastAsia="Calibri"/>
                <w:iCs w:val="0"/>
              </w:rPr>
            </w:pPr>
            <w:r>
              <w:rPr>
                <w:rFonts w:eastAsia="Calibri"/>
                <w:iCs w:val="0"/>
              </w:rPr>
              <w:t>18</w:t>
            </w:r>
            <w:r w:rsidRPr="00E96E91">
              <w:rPr>
                <w:rFonts w:eastAsia="Calibri"/>
                <w:iCs w:val="0"/>
              </w:rPr>
              <w:t>. attēls. Bruto kapitālieguldījumi</w:t>
            </w:r>
            <w:r w:rsidRPr="00E96E91">
              <w:rPr>
                <w:rFonts w:eastAsia="Calibri"/>
                <w:iCs w:val="0"/>
              </w:rPr>
              <w:br/>
              <w:t>pa darbības veidiem</w:t>
            </w:r>
            <w:r w:rsidRPr="00E96E91">
              <w:rPr>
                <w:rFonts w:eastAsia="Calibri"/>
                <w:iCs w:val="0"/>
              </w:rPr>
              <w:br/>
              <w:t>(milj</w:t>
            </w:r>
            <w:r w:rsidRPr="00E96E91">
              <w:rPr>
                <w:rFonts w:eastAsia="Calibri"/>
                <w:iCs w:val="0"/>
                <w:noProof/>
              </w:rPr>
              <w:t xml:space="preserve">. </w:t>
            </w:r>
            <w:r w:rsidRPr="008F3CC6">
              <w:rPr>
                <w:rFonts w:eastAsia="Calibri"/>
                <w:i/>
                <w:noProof/>
              </w:rPr>
              <w:t>euro</w:t>
            </w:r>
            <w:r w:rsidRPr="00E96E91">
              <w:rPr>
                <w:rFonts w:eastAsia="Calibri"/>
                <w:iCs w:val="0"/>
                <w:noProof/>
              </w:rPr>
              <w:t>, salīdzināmajās</w:t>
            </w:r>
            <w:r w:rsidRPr="00E96E91">
              <w:rPr>
                <w:rFonts w:eastAsia="Calibri"/>
                <w:iCs w:val="0"/>
              </w:rPr>
              <w:t xml:space="preserve"> cenās)</w:t>
            </w:r>
          </w:p>
        </w:tc>
      </w:tr>
    </w:tbl>
    <w:p w14:paraId="4E19B01C" w14:textId="0F534CBA" w:rsidR="00FA2AC6" w:rsidRPr="00F63C6B" w:rsidRDefault="00FA2AC6" w:rsidP="009C4ECE">
      <w:pPr>
        <w:rPr>
          <w:noProof/>
        </w:rPr>
      </w:pPr>
      <w:r w:rsidRPr="00F63C6B">
        <w:rPr>
          <w:noProof/>
        </w:rPr>
        <w:lastRenderedPageBreak/>
        <w:t>Investīcijām iekārtās un mašīnās bija noteicošā lomā kopēj</w:t>
      </w:r>
      <w:r>
        <w:rPr>
          <w:noProof/>
        </w:rPr>
        <w:t>ā</w:t>
      </w:r>
      <w:r w:rsidRPr="00F63C6B">
        <w:rPr>
          <w:noProof/>
        </w:rPr>
        <w:t xml:space="preserve"> investīciju pieaugumā šā gada </w:t>
      </w:r>
      <w:r>
        <w:rPr>
          <w:noProof/>
        </w:rPr>
        <w:t>pirmajos trīs ceturkšņos</w:t>
      </w:r>
      <w:r w:rsidRPr="00F63C6B">
        <w:rPr>
          <w:noProof/>
        </w:rPr>
        <w:t xml:space="preserve">. Šo investīciju apjoms palielinājās par </w:t>
      </w:r>
      <w:r>
        <w:rPr>
          <w:noProof/>
        </w:rPr>
        <w:t>10,8</w:t>
      </w:r>
      <w:r w:rsidRPr="00F63C6B">
        <w:rPr>
          <w:noProof/>
        </w:rPr>
        <w:t xml:space="preserve">% salīdzinājumā ar pērnā gada </w:t>
      </w:r>
      <w:r>
        <w:rPr>
          <w:noProof/>
        </w:rPr>
        <w:t>attiecīgo periodu</w:t>
      </w:r>
      <w:r w:rsidRPr="00F63C6B">
        <w:rPr>
          <w:noProof/>
        </w:rPr>
        <w:t>, veidojot 49,</w:t>
      </w:r>
      <w:r>
        <w:rPr>
          <w:noProof/>
        </w:rPr>
        <w:t>9</w:t>
      </w:r>
      <w:r w:rsidRPr="00F63C6B">
        <w:rPr>
          <w:noProof/>
        </w:rPr>
        <w:t>% no kopējām investīcijām. Jāatzīmē, ka pirms pandēmijas investīciju apjoms šajos pamatlīdzekļos bija augošs, tomēr nepietiekošs, lai spētu būtiski veicināt un nodrošināt produktivitātes pieaugumu un inovāciju ieviešanu. Aktuālākie apstrādes rūpniecības nozarē strādājošo uzņēmēju aptaujas dati par investīcijas ietekmējošiem faktoriem rāda, ka 56% no plānotajām investīcijām 2022</w:t>
      </w:r>
      <w:r>
        <w:rPr>
          <w:noProof/>
        </w:rPr>
        <w:t>. gad</w:t>
      </w:r>
      <w:r w:rsidRPr="00F63C6B">
        <w:rPr>
          <w:noProof/>
        </w:rPr>
        <w:t>ā būs vērstas uz veco iekārtu aizvietošanu un ražošanas procesu optimizāciju</w:t>
      </w:r>
      <w:r>
        <w:rPr>
          <w:noProof/>
        </w:rPr>
        <w:t xml:space="preserve"> </w:t>
      </w:r>
      <w:r w:rsidRPr="00F63C6B">
        <w:rPr>
          <w:noProof/>
        </w:rPr>
        <w:t>un tikai 29% uz ražošanas paplašināšanu. Šāds investīciju struktūras sadalījums saglabājas jau vairākus gadus.</w:t>
      </w:r>
      <w:r>
        <w:rPr>
          <w:noProof/>
        </w:rPr>
        <w:t xml:space="preserve"> Vienlaicīgi, pašreizējos apstākļos, kad būvniecības aktivitāte strauji samazinās augsto izmaksu dēļ, investīcijas iekārtās un mašīnās palīdz noturēt kopējo investīciju līmeni. </w:t>
      </w:r>
    </w:p>
    <w:p w14:paraId="4A860201" w14:textId="77777777" w:rsidR="00FA2AC6" w:rsidRPr="00F63C6B" w:rsidRDefault="00FA2AC6" w:rsidP="00FA2AC6">
      <w:pPr>
        <w:rPr>
          <w:noProof/>
        </w:rPr>
      </w:pPr>
      <w:r w:rsidRPr="00F63C6B">
        <w:rPr>
          <w:noProof/>
        </w:rPr>
        <w:t>Investīcijas biroju, mājokļu, noliktavu un citu ēku būvniecībā, kā arī jau esošo ēku un būvju renovācijā 2022</w:t>
      </w:r>
      <w:r>
        <w:rPr>
          <w:noProof/>
        </w:rPr>
        <w:t>. gad</w:t>
      </w:r>
      <w:r w:rsidRPr="00F63C6B">
        <w:rPr>
          <w:noProof/>
        </w:rPr>
        <w:t xml:space="preserve">a </w:t>
      </w:r>
      <w:r>
        <w:rPr>
          <w:noProof/>
        </w:rPr>
        <w:t xml:space="preserve">trīs ceturkšņos </w:t>
      </w:r>
      <w:r w:rsidRPr="00F63C6B">
        <w:rPr>
          <w:noProof/>
        </w:rPr>
        <w:t>samazinājās par 1</w:t>
      </w:r>
      <w:r>
        <w:rPr>
          <w:noProof/>
        </w:rPr>
        <w:t>2,0</w:t>
      </w:r>
      <w:r w:rsidRPr="00F63C6B">
        <w:rPr>
          <w:noProof/>
        </w:rPr>
        <w:t>%, veidojot 1</w:t>
      </w:r>
      <w:r>
        <w:rPr>
          <w:noProof/>
        </w:rPr>
        <w:t>771</w:t>
      </w:r>
      <w:r w:rsidRPr="00F63C6B">
        <w:rPr>
          <w:noProof/>
        </w:rPr>
        <w:t xml:space="preserve"> milj. </w:t>
      </w:r>
      <w:r w:rsidRPr="00F63C6B">
        <w:rPr>
          <w:i/>
          <w:iCs/>
          <w:noProof/>
        </w:rPr>
        <w:t>euro</w:t>
      </w:r>
      <w:r w:rsidRPr="00F63C6B">
        <w:rPr>
          <w:noProof/>
        </w:rPr>
        <w:t>. Investīciju apjoms šajos aktīvos samazinās ceturto ceturksni pēc kārtas</w:t>
      </w:r>
      <w:r>
        <w:rPr>
          <w:noProof/>
        </w:rPr>
        <w:t>. Savukārt, ja neņem vērā nelielo investīciju pieaugumu šajos aktīvos 2021. gada otrajā ceturksnī, tad investīcijas mājokļu un citu ēku būvniecībā samazinājušās jau divarpus gadus jeb kopš pandēmijas sākuma.  Tādējādi šo investīciju</w:t>
      </w:r>
      <w:r w:rsidRPr="00F63C6B">
        <w:rPr>
          <w:noProof/>
        </w:rPr>
        <w:t xml:space="preserve"> īpatsvars kopējās investīcijās šā gada </w:t>
      </w:r>
      <w:r>
        <w:rPr>
          <w:noProof/>
        </w:rPr>
        <w:t xml:space="preserve">trīs ceturkšņos </w:t>
      </w:r>
      <w:r w:rsidRPr="00F63C6B">
        <w:rPr>
          <w:noProof/>
        </w:rPr>
        <w:t>samazinājās līdz 3</w:t>
      </w:r>
      <w:r>
        <w:rPr>
          <w:noProof/>
        </w:rPr>
        <w:t>5,3</w:t>
      </w:r>
      <w:r w:rsidRPr="00F63C6B">
        <w:rPr>
          <w:noProof/>
        </w:rPr>
        <w:t>%</w:t>
      </w:r>
      <w:r>
        <w:rPr>
          <w:noProof/>
        </w:rPr>
        <w:t>, k</w:t>
      </w:r>
      <w:r w:rsidRPr="00F63C6B">
        <w:rPr>
          <w:noProof/>
        </w:rPr>
        <w:t>amēr pirms pandēmijas jeb 2019</w:t>
      </w:r>
      <w:r>
        <w:rPr>
          <w:noProof/>
        </w:rPr>
        <w:t>. gad</w:t>
      </w:r>
      <w:r w:rsidRPr="00F63C6B">
        <w:rPr>
          <w:noProof/>
        </w:rPr>
        <w:t>ā investīcijas būvniecībā veidoja vidēji 49,</w:t>
      </w:r>
      <w:r>
        <w:rPr>
          <w:noProof/>
        </w:rPr>
        <w:t>1</w:t>
      </w:r>
      <w:r w:rsidRPr="00F63C6B">
        <w:rPr>
          <w:noProof/>
        </w:rPr>
        <w:t xml:space="preserve">%. Investīcijas šajos aktīvos spilgti raksturo būvniecības produkcijas apjoma samazinājumu, kas </w:t>
      </w:r>
      <w:r>
        <w:rPr>
          <w:noProof/>
        </w:rPr>
        <w:t>2022. gad</w:t>
      </w:r>
      <w:r w:rsidRPr="00F63C6B">
        <w:rPr>
          <w:noProof/>
        </w:rPr>
        <w:t xml:space="preserve">a </w:t>
      </w:r>
      <w:r>
        <w:rPr>
          <w:noProof/>
        </w:rPr>
        <w:t xml:space="preserve">deviņos mēnešos sasniedza 12,5% </w:t>
      </w:r>
      <w:r w:rsidRPr="00F63C6B">
        <w:rPr>
          <w:noProof/>
        </w:rPr>
        <w:t>salīdzinājumā ar pērnā gada attiecīgo periodu.</w:t>
      </w:r>
      <w:r>
        <w:rPr>
          <w:noProof/>
        </w:rPr>
        <w:t xml:space="preserve"> </w:t>
      </w:r>
      <w:r w:rsidRPr="00F63C6B">
        <w:rPr>
          <w:noProof/>
        </w:rPr>
        <w:t>Vāj</w:t>
      </w:r>
      <w:r>
        <w:rPr>
          <w:noProof/>
        </w:rPr>
        <w:t>o</w:t>
      </w:r>
      <w:r w:rsidRPr="00F63C6B">
        <w:rPr>
          <w:noProof/>
        </w:rPr>
        <w:t xml:space="preserve"> investīciju aktivitāti šajos aktīvos ietekmē vairāki faktori. Pirmkārt, darba organizācijas ieradumu maiņa un masveidīga attālinātā darba prakse pandēmijas dēļ negatīvi ietekmēja pieprasījumu pēc birojiem, vismaz līdz tam brīdim, kamēr pastāv </w:t>
      </w:r>
      <w:r>
        <w:rPr>
          <w:noProof/>
        </w:rPr>
        <w:t>Covid</w:t>
      </w:r>
      <w:r>
        <w:rPr>
          <w:noProof/>
        </w:rPr>
        <w:noBreakHyphen/>
        <w:t>19</w:t>
      </w:r>
      <w:r w:rsidRPr="00F63C6B">
        <w:rPr>
          <w:noProof/>
        </w:rPr>
        <w:t xml:space="preserve"> vīrusa izplatības riski.</w:t>
      </w:r>
    </w:p>
    <w:p w14:paraId="1207C66B" w14:textId="77777777" w:rsidR="00FA2AC6" w:rsidRPr="00F63C6B" w:rsidRDefault="00FA2AC6" w:rsidP="00FA2AC6">
      <w:pPr>
        <w:rPr>
          <w:noProof/>
        </w:rPr>
      </w:pPr>
      <w:r w:rsidRPr="00F63C6B">
        <w:rPr>
          <w:noProof/>
        </w:rPr>
        <w:lastRenderedPageBreak/>
        <w:t xml:space="preserve">Otrkārt, tādās nozarēs kā izmitināšana, ēdināšana, izklaide un kultūra, kā arī transports – pandēmijas visskartākajās nozarēs, būtiski ir samazinājies apgrozījums un pasliktinājušies peļņas rādītāji, jo strauji samazinājies pieprasījums pēc šiem pakalpojumiem. Lai arī šogad redzams, ka pieprasījums šajās nozarēs ir strauji palielinājies, tas tomēr nav spējis pilnā apmērā atjaunoties pēc </w:t>
      </w:r>
      <w:r>
        <w:rPr>
          <w:noProof/>
        </w:rPr>
        <w:t>Covid</w:t>
      </w:r>
      <w:r>
        <w:rPr>
          <w:noProof/>
        </w:rPr>
        <w:noBreakHyphen/>
        <w:t>19</w:t>
      </w:r>
      <w:r w:rsidRPr="00F63C6B">
        <w:rPr>
          <w:noProof/>
        </w:rPr>
        <w:t xml:space="preserve"> krīzes un šobrīd nozares cieš no darbinieku trūkuma un augošām energoresursu izmaksām. Visticamāk, šīs nozares pagaidām tikai apdomā jaunu kredītu un investīciju iespējas vidējā termiņā.</w:t>
      </w:r>
    </w:p>
    <w:p w14:paraId="4F53B97B" w14:textId="77777777" w:rsidR="00FA2AC6" w:rsidRPr="00F63C6B" w:rsidRDefault="00FA2AC6" w:rsidP="00FA2AC6">
      <w:pPr>
        <w:rPr>
          <w:noProof/>
        </w:rPr>
      </w:pPr>
      <w:r w:rsidRPr="00F63C6B">
        <w:rPr>
          <w:noProof/>
        </w:rPr>
        <w:t>Treškārt, būvniecības materiālu un energoresursu cenu kāpums būtiski palielināja būvniecības izmaksas. Šim faktoram ir būtiska ietekme uz investoru lēmumiem attiecībā uz jaunu infrastruktūras objektu būvniecības īstenošanu. Būvniecības izmaksas 2022</w:t>
      </w:r>
      <w:r>
        <w:rPr>
          <w:noProof/>
        </w:rPr>
        <w:t>. gad</w:t>
      </w:r>
      <w:r w:rsidRPr="00F63C6B">
        <w:rPr>
          <w:noProof/>
        </w:rPr>
        <w:t>a</w:t>
      </w:r>
      <w:r>
        <w:rPr>
          <w:noProof/>
        </w:rPr>
        <w:t xml:space="preserve"> deviņos mēnešos </w:t>
      </w:r>
      <w:r w:rsidRPr="00F63C6B">
        <w:rPr>
          <w:noProof/>
        </w:rPr>
        <w:t>pieaugušas par 19,</w:t>
      </w:r>
      <w:r>
        <w:rPr>
          <w:noProof/>
        </w:rPr>
        <w:t>8</w:t>
      </w:r>
      <w:r w:rsidRPr="00F63C6B">
        <w:rPr>
          <w:noProof/>
        </w:rPr>
        <w:t xml:space="preserve">%, salīdzinot ar pērnā gada </w:t>
      </w:r>
      <w:r>
        <w:rPr>
          <w:noProof/>
        </w:rPr>
        <w:t>attiecīgo periodu</w:t>
      </w:r>
      <w:r w:rsidRPr="00F63C6B">
        <w:rPr>
          <w:noProof/>
        </w:rPr>
        <w:t>, kas ir straujš kāpums. Izmaksu pieaugums vērojams visās pozīcijās, bet noteicošā loma bija būvmateriālu sadārdzinājumam (+26,</w:t>
      </w:r>
      <w:r>
        <w:rPr>
          <w:noProof/>
        </w:rPr>
        <w:t>9</w:t>
      </w:r>
      <w:r w:rsidRPr="00F63C6B">
        <w:rPr>
          <w:noProof/>
        </w:rPr>
        <w:t>%). No vienas puses, augstās energoresursu un būvniecības materiālu cenas vēl ilgu laiku saglabāsies pašreizējā līmenī, līdz ar to tas ir būtisks šķērslis jaunu infrastruktūras projektu realizēšanai. Savukārt no otras puses, tagad aktualizējies energoefektivitātes un energodrošības jautājums. Tādējādi varētu sagaidīt augstākas investīcijas alternatīvo energoresursu ražošanā, kā arī tehniskajos risinājumos, kas vērsti uz energoresursu efektīvāku patēriņu.</w:t>
      </w:r>
    </w:p>
    <w:p w14:paraId="59FF8FE1" w14:textId="77777777" w:rsidR="00FA2AC6" w:rsidRPr="00F63C6B" w:rsidRDefault="00FA2AC6" w:rsidP="00FA2AC6">
      <w:pPr>
        <w:rPr>
          <w:noProof/>
        </w:rPr>
      </w:pPr>
      <w:r w:rsidRPr="00F63C6B">
        <w:rPr>
          <w:noProof/>
        </w:rPr>
        <w:t>Būvniecības nozares konfidence pērnā gada beigās sasniedza pirmspandēmijas līmeni. Tomēr enerģētikas krīzes un ģeopolitisk</w:t>
      </w:r>
      <w:r>
        <w:rPr>
          <w:noProof/>
        </w:rPr>
        <w:t>ā</w:t>
      </w:r>
      <w:r w:rsidRPr="00F63C6B">
        <w:rPr>
          <w:noProof/>
        </w:rPr>
        <w:t>s situācijas pasliktinājuma dēļ uzņēmēju noskaņojums kopš šā gada sākuma atkal pasliktinājies. Lai arī Latvijas kredītreitings, kas atspoguļo arī investīciju riskus, saglabājies augstā līmenī, tomēr fiziskā robeža ar agresorvalsti Krieviju varētu likt pārskatīt ārvalstu investoru plānus attiecībā uz jaunu projektu realizēšanu Latvijā. Savukārt augstās izejvielu cenas negatīvi ietekmēs vietējo biznesu, jo būs grūtāk prognozēt investīciju projektu kopējās izmaksas. Sagaidāms, ka investīciju apjoms biroju, mājokļu, noliktavu un citu ēku būvniecībā, kā arī jau esošo ēku un būvju renovācijā 2022</w:t>
      </w:r>
      <w:r>
        <w:rPr>
          <w:noProof/>
        </w:rPr>
        <w:t>. gad</w:t>
      </w:r>
      <w:r w:rsidRPr="00F63C6B">
        <w:rPr>
          <w:noProof/>
        </w:rPr>
        <w:t>ā kopumā būs mazāks nekā pērn. Vidējā termiņā investīciju apjomu šajos aktīvos noteiks būvniecības izmaksu dinamika. Investīciju aktivitāti ietekmēs arī stingrāka monetāra politika un augošās procentu likmes, kas padarīs aizņemšanos dārgāku.</w:t>
      </w:r>
    </w:p>
    <w:p w14:paraId="3C3F8FAB" w14:textId="77777777" w:rsidR="00FA2AC6" w:rsidRPr="00F63C6B" w:rsidRDefault="00FA2AC6" w:rsidP="00FA2AC6">
      <w:pPr>
        <w:rPr>
          <w:noProof/>
        </w:rPr>
      </w:pPr>
      <w:r w:rsidRPr="00F63C6B">
        <w:rPr>
          <w:noProof/>
        </w:rPr>
        <w:t xml:space="preserve">Šajos apstākļos pieaug valdības investīciju loma. Lai arī valdības investīciju apjoms nesasniedz pat ceturto daļu no kopējām investīcijām tautsaimniecībā, tās nodrošina būtisku multiplikatoru privātajām investīcijām. ES fondu ieguldījumi jaunajā plānošanas periodā, Atveseļošanās un noturības mehānisma līdzekļi, kā arī investīcijas </w:t>
      </w:r>
      <w:r w:rsidRPr="00F63C6B">
        <w:rPr>
          <w:i/>
          <w:iCs/>
          <w:noProof/>
        </w:rPr>
        <w:t>Rail Baltica</w:t>
      </w:r>
      <w:r w:rsidRPr="00F63C6B">
        <w:rPr>
          <w:noProof/>
        </w:rPr>
        <w:t xml:space="preserve"> projekta realizācijā palīdzēs mīkstināt negatīvo faktoru ietekmi. Tomēr kopējā investīciju aktivitāte 2022</w:t>
      </w:r>
      <w:r>
        <w:rPr>
          <w:noProof/>
        </w:rPr>
        <w:t>. gad</w:t>
      </w:r>
      <w:r w:rsidRPr="00F63C6B">
        <w:rPr>
          <w:noProof/>
        </w:rPr>
        <w:t xml:space="preserve">ā būs vāja. Atbilstoši FM aktualizētajām prognozēm, </w:t>
      </w:r>
      <w:r>
        <w:rPr>
          <w:noProof/>
        </w:rPr>
        <w:t xml:space="preserve">kopējais </w:t>
      </w:r>
      <w:r w:rsidRPr="00F63C6B">
        <w:rPr>
          <w:noProof/>
        </w:rPr>
        <w:t xml:space="preserve">investīciju apjoms šogad palielināsies par </w:t>
      </w:r>
      <w:r>
        <w:rPr>
          <w:noProof/>
        </w:rPr>
        <w:t>0,6</w:t>
      </w:r>
      <w:r w:rsidRPr="00F63C6B">
        <w:rPr>
          <w:noProof/>
        </w:rPr>
        <w:t>%</w:t>
      </w:r>
      <w:r>
        <w:rPr>
          <w:noProof/>
        </w:rPr>
        <w:t>.</w:t>
      </w:r>
    </w:p>
    <w:p w14:paraId="17B620E6" w14:textId="77777777" w:rsidR="00FA2AC6" w:rsidRPr="000A7809" w:rsidRDefault="00FA2AC6" w:rsidP="002C7308">
      <w:pPr>
        <w:spacing w:before="240"/>
        <w:rPr>
          <w:b/>
          <w:bCs/>
        </w:rPr>
      </w:pPr>
      <w:r w:rsidRPr="000A7809">
        <w:rPr>
          <w:b/>
          <w:bCs/>
        </w:rPr>
        <w:t xml:space="preserve">Darba tirgus </w:t>
      </w:r>
    </w:p>
    <w:p w14:paraId="4118D093" w14:textId="77777777" w:rsidR="00FA2AC6" w:rsidRPr="00F63C6B" w:rsidRDefault="00FA2AC6" w:rsidP="00FA2AC6">
      <w:pPr>
        <w:rPr>
          <w:noProof/>
        </w:rPr>
      </w:pPr>
      <w:r w:rsidRPr="00F63C6B">
        <w:rPr>
          <w:noProof/>
        </w:rPr>
        <w:t>Līdz ar straujo ekonomikas izaugsmi laikā līdz 2019</w:t>
      </w:r>
      <w:r>
        <w:rPr>
          <w:noProof/>
        </w:rPr>
        <w:t>. gad</w:t>
      </w:r>
      <w:r w:rsidRPr="00F63C6B">
        <w:rPr>
          <w:noProof/>
        </w:rPr>
        <w:t>am bezdarba līmenis Latvijā strauji samazinājās, atsevišķās nozarēs un profesijās jau robežojoties ar darbaspēka trūkumu. 2020</w:t>
      </w:r>
      <w:r>
        <w:rPr>
          <w:noProof/>
        </w:rPr>
        <w:t>. gad</w:t>
      </w:r>
      <w:r w:rsidRPr="00F63C6B">
        <w:rPr>
          <w:noProof/>
        </w:rPr>
        <w:t>ā šo dinamiku pārtrauca koronavīrusa izraisītā krīze, kuras ietekme darba tirgū tomēr izrādījās būtiski mazāka nekā sākotnēji sagaidīts, tajā skaitā pateicoties valsts atbalsta pasākumiem – dīkstāves pabalstiem un algu subsīdijām. Bezdarba pieaugums pagājušajos divos gados bija pavisam mērens, un bezdarbs tālu atpalika rekordaugstajiem līmeņiem, kas tika sasniegti 2009.-2010</w:t>
      </w:r>
      <w:r>
        <w:rPr>
          <w:noProof/>
        </w:rPr>
        <w:t>. gad</w:t>
      </w:r>
      <w:r w:rsidRPr="00F63C6B">
        <w:rPr>
          <w:noProof/>
        </w:rPr>
        <w:t>a ekonomiskās krīzes laikā.</w:t>
      </w:r>
    </w:p>
    <w:p w14:paraId="70067A01" w14:textId="77777777" w:rsidR="00FA2AC6" w:rsidRPr="00F63C6B" w:rsidRDefault="00FA2AC6" w:rsidP="00FA2AC6">
      <w:pPr>
        <w:rPr>
          <w:noProof/>
        </w:rPr>
      </w:pPr>
      <w:r w:rsidRPr="00F63C6B">
        <w:rPr>
          <w:noProof/>
        </w:rPr>
        <w:t>Pēc pieauguma līdz 8,1% 2020</w:t>
      </w:r>
      <w:r>
        <w:rPr>
          <w:noProof/>
        </w:rPr>
        <w:t>. gad</w:t>
      </w:r>
      <w:r w:rsidRPr="00F63C6B">
        <w:rPr>
          <w:noProof/>
        </w:rPr>
        <w:t>ā, bezdarba līmenis pēc darbaspēka apsekojuma pērn samazinājās līdz 7,6% no ekonomiski aktīvajiem iedzīvotājiem. Visa 2021</w:t>
      </w:r>
      <w:r>
        <w:rPr>
          <w:noProof/>
        </w:rPr>
        <w:t>. gad</w:t>
      </w:r>
      <w:r w:rsidRPr="00F63C6B">
        <w:rPr>
          <w:noProof/>
        </w:rPr>
        <w:t>a laikā bezdarba līmenis pakāpeniski pazeminājās, no 8,1% pirmajā ceturksnī noslīdot līdz 7,1% ceturtajā ceturksnī. Bezdarba kritums 2021</w:t>
      </w:r>
      <w:r>
        <w:rPr>
          <w:noProof/>
        </w:rPr>
        <w:t>. gad</w:t>
      </w:r>
      <w:r w:rsidRPr="00F63C6B">
        <w:rPr>
          <w:noProof/>
        </w:rPr>
        <w:t xml:space="preserve">ā kopumā varētu būt bijis vēl straujāks, taču </w:t>
      </w:r>
      <w:r w:rsidRPr="00F63C6B">
        <w:rPr>
          <w:noProof/>
        </w:rPr>
        <w:lastRenderedPageBreak/>
        <w:t xml:space="preserve">gada pēdējos mēnešos bezdarba un nodarbinātības rādītājus atkal negatīvi ietekmēja pandēmijas uzliesmojums </w:t>
      </w:r>
      <w:r>
        <w:rPr>
          <w:noProof/>
        </w:rPr>
        <w:t>un saslimstības mazināšanai noteiktie ierobežojumi.</w:t>
      </w:r>
    </w:p>
    <w:p w14:paraId="43837A10" w14:textId="77777777" w:rsidR="00FA2AC6" w:rsidRPr="00F63C6B" w:rsidRDefault="00FA2AC6" w:rsidP="00FA2AC6">
      <w:pPr>
        <w:rPr>
          <w:noProof/>
        </w:rPr>
      </w:pPr>
      <w:bookmarkStart w:id="19" w:name="_Hlk121842784"/>
      <w:r w:rsidRPr="00F63C6B">
        <w:rPr>
          <w:noProof/>
        </w:rPr>
        <w:t>2022</w:t>
      </w:r>
      <w:r>
        <w:rPr>
          <w:noProof/>
        </w:rPr>
        <w:t>. gad</w:t>
      </w:r>
      <w:r w:rsidRPr="00F63C6B">
        <w:rPr>
          <w:noProof/>
        </w:rPr>
        <w:t>ā jau no pirmajiem mēnešiem bija vērojama stabila bezdarba līmeņa samazināšanās, ko noteica</w:t>
      </w:r>
      <w:r>
        <w:rPr>
          <w:noProof/>
        </w:rPr>
        <w:t xml:space="preserve"> ekonomiskās aktivitātes pieaugums pēc</w:t>
      </w:r>
      <w:r w:rsidRPr="00F63C6B">
        <w:rPr>
          <w:noProof/>
        </w:rPr>
        <w:t xml:space="preserve"> pandēmijas ierobežojumu atcelšana</w:t>
      </w:r>
      <w:r>
        <w:rPr>
          <w:noProof/>
        </w:rPr>
        <w:t xml:space="preserve">s. </w:t>
      </w:r>
      <w:r w:rsidRPr="00F63C6B">
        <w:rPr>
          <w:noProof/>
        </w:rPr>
        <w:t>Darba tirgū līdz 2022</w:t>
      </w:r>
      <w:r>
        <w:rPr>
          <w:noProof/>
        </w:rPr>
        <w:t>. gad</w:t>
      </w:r>
      <w:r w:rsidRPr="00F63C6B">
        <w:rPr>
          <w:noProof/>
        </w:rPr>
        <w:t xml:space="preserve">a </w:t>
      </w:r>
      <w:r>
        <w:rPr>
          <w:noProof/>
        </w:rPr>
        <w:t>rudenim</w:t>
      </w:r>
      <w:r w:rsidRPr="00F63C6B">
        <w:rPr>
          <w:noProof/>
        </w:rPr>
        <w:t xml:space="preserve"> vēl nebija jūtama arī Krievijas uzsāktā kara ietekme un ražošanas izmaksu kāpums, un bezdarba kritums turpinājās līdz pat </w:t>
      </w:r>
      <w:r>
        <w:rPr>
          <w:noProof/>
        </w:rPr>
        <w:t>oktobrim</w:t>
      </w:r>
      <w:r w:rsidRPr="00F63C6B">
        <w:rPr>
          <w:noProof/>
        </w:rPr>
        <w:t>,</w:t>
      </w:r>
      <w:r>
        <w:rPr>
          <w:noProof/>
        </w:rPr>
        <w:t xml:space="preserve"> nedaudz sezonāli sākot palielināties tikai novembra vidū</w:t>
      </w:r>
      <w:r w:rsidRPr="00F63C6B">
        <w:rPr>
          <w:noProof/>
        </w:rPr>
        <w:t>. Kopumā reģistrētā bezdarba līmenis 2022</w:t>
      </w:r>
      <w:r>
        <w:rPr>
          <w:noProof/>
        </w:rPr>
        <w:t>. gad</w:t>
      </w:r>
      <w:r w:rsidRPr="00F63C6B">
        <w:rPr>
          <w:noProof/>
        </w:rPr>
        <w:t xml:space="preserve">a laikā ir samazinājies no 6,9% janvāra beigās līdz 5,8% </w:t>
      </w:r>
      <w:r>
        <w:rPr>
          <w:noProof/>
        </w:rPr>
        <w:t>novembra</w:t>
      </w:r>
      <w:r w:rsidRPr="00F63C6B">
        <w:rPr>
          <w:noProof/>
        </w:rPr>
        <w:t xml:space="preserve"> beigās, tomēr</w:t>
      </w:r>
      <w:r>
        <w:rPr>
          <w:noProof/>
        </w:rPr>
        <w:t xml:space="preserve"> nākamajos mēnešos</w:t>
      </w:r>
      <w:r w:rsidRPr="00F63C6B">
        <w:rPr>
          <w:noProof/>
        </w:rPr>
        <w:t xml:space="preserve"> jūtamāku ietekmi atstās ekonomiskās aktivitātes mazināšanās un </w:t>
      </w:r>
      <w:r>
        <w:rPr>
          <w:noProof/>
        </w:rPr>
        <w:t>gaidāms mērens bezdarba līmeņa pieaugums</w:t>
      </w:r>
      <w:bookmarkEnd w:id="19"/>
      <w:r>
        <w:rPr>
          <w:noProof/>
        </w:rPr>
        <w:t>.</w:t>
      </w:r>
      <w:r w:rsidRPr="00F63C6B">
        <w:rPr>
          <w:noProof/>
        </w:rPr>
        <w:t xml:space="preserve"> Kopumā 2022</w:t>
      </w:r>
      <w:r>
        <w:rPr>
          <w:noProof/>
        </w:rPr>
        <w:t>. gad</w:t>
      </w:r>
      <w:r w:rsidRPr="00F63C6B">
        <w:rPr>
          <w:noProof/>
        </w:rPr>
        <w:t>ā, pēc</w:t>
      </w:r>
      <w:r>
        <w:rPr>
          <w:noProof/>
        </w:rPr>
        <w:t xml:space="preserve"> </w:t>
      </w:r>
      <w:r w:rsidRPr="00F63C6B">
        <w:rPr>
          <w:noProof/>
        </w:rPr>
        <w:t>FM prognozēm, vidējais bezdarba līmenis būs samazinājies līdz 7,</w:t>
      </w:r>
      <w:r>
        <w:rPr>
          <w:noProof/>
        </w:rPr>
        <w:t>0</w:t>
      </w:r>
      <w:r w:rsidRPr="00F63C6B">
        <w:rPr>
          <w:noProof/>
        </w:rPr>
        <w:t xml:space="preserve">%, pēc darbaspēka apsekojuma datiem, </w:t>
      </w:r>
      <w:r>
        <w:rPr>
          <w:noProof/>
        </w:rPr>
        <w:t>bet</w:t>
      </w:r>
      <w:r w:rsidRPr="00F63C6B">
        <w:rPr>
          <w:noProof/>
        </w:rPr>
        <w:t>, ņemot vērā gaidāmo bezdarba pieaugumu nākamajos mēnešos</w:t>
      </w:r>
      <w:r>
        <w:rPr>
          <w:noProof/>
        </w:rPr>
        <w:t>, nākamgad kopumā tas varētu paaugstināties līdz 7,3%</w:t>
      </w:r>
      <w:r w:rsidRPr="00F63C6B">
        <w:rPr>
          <w:noProof/>
        </w:rPr>
        <w:t>, pēc tam līdz ar straujāku ekonomikas izaugsmi atkal pakāpeniski pazeminoties.</w:t>
      </w:r>
    </w:p>
    <w:p w14:paraId="25EEA1D7" w14:textId="31C243E2" w:rsidR="00FA2AC6" w:rsidRPr="00F63C6B" w:rsidRDefault="00FA2AC6" w:rsidP="00FA2AC6">
      <w:pPr>
        <w:rPr>
          <w:noProof/>
        </w:rPr>
      </w:pPr>
      <w:r w:rsidRPr="00F63C6B">
        <w:rPr>
          <w:noProof/>
        </w:rPr>
        <w:t>Tautsaimniecībā nodarbināto iedzīvotāju skaits, pēc darbaspēka apsekojuma datiem, pagājušajā gadā bija par 3,2% mazāks nekā 2020</w:t>
      </w:r>
      <w:r>
        <w:rPr>
          <w:noProof/>
        </w:rPr>
        <w:t>. gad</w:t>
      </w:r>
      <w:r w:rsidRPr="00F63C6B">
        <w:rPr>
          <w:noProof/>
        </w:rPr>
        <w:t>ā un veidoja 864 tūkstošus. Strādājošo skaita kritumu pērn</w:t>
      </w:r>
      <w:r>
        <w:rPr>
          <w:noProof/>
        </w:rPr>
        <w:t xml:space="preserve"> </w:t>
      </w:r>
      <w:r w:rsidRPr="00F63C6B">
        <w:rPr>
          <w:noProof/>
        </w:rPr>
        <w:t xml:space="preserve">noteica </w:t>
      </w:r>
      <w:r>
        <w:rPr>
          <w:noProof/>
        </w:rPr>
        <w:t>Covid</w:t>
      </w:r>
      <w:r>
        <w:rPr>
          <w:noProof/>
        </w:rPr>
        <w:noBreakHyphen/>
        <w:t>19</w:t>
      </w:r>
      <w:r w:rsidRPr="00F63C6B">
        <w:rPr>
          <w:noProof/>
        </w:rPr>
        <w:t xml:space="preserve"> saslimstības mazināšanai noteiktie ierobežojumi, kad cilvēki uz laiku kļuva ekonomiski neaktīvi, saņemot dīkstāves pabalstus. Ierobežojumiem mazinoties, nodarbināto iedzīvotāju skaits jau 2021</w:t>
      </w:r>
      <w:r>
        <w:rPr>
          <w:noProof/>
        </w:rPr>
        <w:t>. gad</w:t>
      </w:r>
      <w:r w:rsidRPr="00F63C6B">
        <w:rPr>
          <w:noProof/>
        </w:rPr>
        <w:t>a laikā pakāpeniski sāka palielināties. 2022</w:t>
      </w:r>
      <w:r>
        <w:rPr>
          <w:noProof/>
        </w:rPr>
        <w:t>. gadā</w:t>
      </w:r>
      <w:r w:rsidRPr="00F63C6B">
        <w:rPr>
          <w:noProof/>
        </w:rPr>
        <w:t xml:space="preserve"> līdz ar visu </w:t>
      </w:r>
      <w:r>
        <w:rPr>
          <w:noProof/>
        </w:rPr>
        <w:t>Covid</w:t>
      </w:r>
      <w:r>
        <w:rPr>
          <w:noProof/>
        </w:rPr>
        <w:noBreakHyphen/>
        <w:t>19</w:t>
      </w:r>
      <w:r w:rsidRPr="00F63C6B">
        <w:rPr>
          <w:noProof/>
        </w:rPr>
        <w:t xml:space="preserve"> ierobežojumu atcelšanu, uz laiku par ekonomiski neaktīvajiem kļuvušie cilvēki vēl aktīvāk turpināja atgriezties darba tirgū un nodarbināto skaits gada </w:t>
      </w:r>
      <w:r>
        <w:rPr>
          <w:noProof/>
        </w:rPr>
        <w:t>pirmajos trīs ceturkšņos</w:t>
      </w:r>
      <w:r w:rsidRPr="00F63C6B">
        <w:rPr>
          <w:noProof/>
        </w:rPr>
        <w:t xml:space="preserve"> bija par 2,</w:t>
      </w:r>
      <w:r>
        <w:rPr>
          <w:noProof/>
        </w:rPr>
        <w:t>4</w:t>
      </w:r>
      <w:r w:rsidRPr="00F63C6B">
        <w:rPr>
          <w:noProof/>
        </w:rPr>
        <w:t>% lielāks nekā attiecīgajā laika posmā pirms gada, veidojot 8</w:t>
      </w:r>
      <w:r>
        <w:rPr>
          <w:noProof/>
        </w:rPr>
        <w:t>84</w:t>
      </w:r>
      <w:r w:rsidRPr="00F63C6B">
        <w:rPr>
          <w:noProof/>
        </w:rPr>
        <w:t>,</w:t>
      </w:r>
      <w:r>
        <w:rPr>
          <w:noProof/>
        </w:rPr>
        <w:t>7</w:t>
      </w:r>
      <w:r w:rsidR="004F756F">
        <w:rPr>
          <w:noProof/>
        </w:rPr>
        <w:t> </w:t>
      </w:r>
      <w:r w:rsidRPr="00F63C6B">
        <w:rPr>
          <w:noProof/>
        </w:rPr>
        <w:t>tūkstošus.</w:t>
      </w:r>
    </w:p>
    <w:p w14:paraId="4EC36968" w14:textId="77777777" w:rsidR="00FA2AC6" w:rsidRDefault="00FA2AC6" w:rsidP="00FA2AC6">
      <w:pPr>
        <w:rPr>
          <w:noProof/>
        </w:rPr>
      </w:pPr>
      <w:r w:rsidRPr="00F63C6B">
        <w:rPr>
          <w:noProof/>
        </w:rPr>
        <w:t>2022</w:t>
      </w:r>
      <w:r>
        <w:rPr>
          <w:noProof/>
        </w:rPr>
        <w:t>. gad</w:t>
      </w:r>
      <w:r w:rsidRPr="00F63C6B">
        <w:rPr>
          <w:noProof/>
        </w:rPr>
        <w:t>a kopējos rādītājus pozitīvi ietekmē</w:t>
      </w:r>
      <w:r>
        <w:rPr>
          <w:noProof/>
        </w:rPr>
        <w:t>jusi</w:t>
      </w:r>
      <w:r w:rsidRPr="00F63C6B">
        <w:rPr>
          <w:noProof/>
        </w:rPr>
        <w:t xml:space="preserve"> pandēmijas ierobežojumu atcelšana, </w:t>
      </w:r>
      <w:r>
        <w:rPr>
          <w:noProof/>
        </w:rPr>
        <w:t xml:space="preserve">gan </w:t>
      </w:r>
      <w:r w:rsidRPr="00F63C6B">
        <w:rPr>
          <w:noProof/>
        </w:rPr>
        <w:t xml:space="preserve">darba iespējas Latvijā uzņemtajiem kara bēgļiem no Ukrainas. Līdz </w:t>
      </w:r>
      <w:r>
        <w:rPr>
          <w:noProof/>
        </w:rPr>
        <w:t>vasaras beigām</w:t>
      </w:r>
      <w:r w:rsidRPr="00F63C6B">
        <w:rPr>
          <w:noProof/>
        </w:rPr>
        <w:t xml:space="preserve"> darbu Latvijā jau bija uzsākuši pieci tūkstoši Ukrainas iedzīvotāju. </w:t>
      </w:r>
      <w:r>
        <w:rPr>
          <w:noProof/>
        </w:rPr>
        <w:t xml:space="preserve"> Tajā pašā laikā</w:t>
      </w:r>
      <w:r w:rsidRPr="00F63C6B">
        <w:rPr>
          <w:noProof/>
        </w:rPr>
        <w:t xml:space="preserve"> pieprasījumu pēc strādājošajiem</w:t>
      </w:r>
      <w:r>
        <w:rPr>
          <w:noProof/>
        </w:rPr>
        <w:t xml:space="preserve"> gada beigās sāk mazināt</w:t>
      </w:r>
      <w:r w:rsidRPr="00F63C6B">
        <w:rPr>
          <w:noProof/>
        </w:rPr>
        <w:t xml:space="preserve"> Krieviju saistītās ekonomiskās aktivitātes sarukums un straujā cenu kāpuma negatīvā ietekme</w:t>
      </w:r>
      <w:r>
        <w:rPr>
          <w:noProof/>
        </w:rPr>
        <w:t>. gad</w:t>
      </w:r>
      <w:r w:rsidRPr="00F63C6B">
        <w:rPr>
          <w:noProof/>
        </w:rPr>
        <w:t>ā kopumā joprojām ir sagaidāms nodarbinātības pieaugums, strādājošo skaitam salīdzinājumā ar 2021</w:t>
      </w:r>
      <w:r>
        <w:rPr>
          <w:noProof/>
        </w:rPr>
        <w:t>. gad</w:t>
      </w:r>
      <w:r w:rsidRPr="00F63C6B">
        <w:rPr>
          <w:noProof/>
        </w:rPr>
        <w:t>u palielinoties par 2,</w:t>
      </w:r>
      <w:r>
        <w:rPr>
          <w:noProof/>
        </w:rPr>
        <w:t>8</w:t>
      </w:r>
      <w:r w:rsidRPr="00F63C6B">
        <w:rPr>
          <w:noProof/>
        </w:rPr>
        <w:t>%, tomēr pagaidām neatgriežoties pirmskovida – 2019</w:t>
      </w:r>
      <w:r>
        <w:rPr>
          <w:noProof/>
        </w:rPr>
        <w:t>. gad</w:t>
      </w:r>
      <w:r w:rsidRPr="00F63C6B">
        <w:rPr>
          <w:noProof/>
        </w:rPr>
        <w:t>a līmenī</w:t>
      </w:r>
      <w:r>
        <w:rPr>
          <w:noProof/>
        </w:rPr>
        <w:t>.</w:t>
      </w:r>
    </w:p>
    <w:p w14:paraId="39AF8C61" w14:textId="77777777" w:rsidR="00FA2AC6" w:rsidRPr="00F63C6B" w:rsidRDefault="00FA2AC6" w:rsidP="00FA2AC6">
      <w:pPr>
        <w:rPr>
          <w:noProof/>
        </w:rPr>
      </w:pPr>
      <w:r w:rsidRPr="00F63C6B">
        <w:rPr>
          <w:noProof/>
        </w:rPr>
        <w:t xml:space="preserve">Nākamajos gados, kad ekonomiskās izaugsmes palēnināšanās būs vājinājusi pieprasījumu arī darba tirgū un strādājošo skaitu ietekmēs arī demogrāfiskā situācija un darbspējas vecuma iedzīvotāju skaita samazināšanās, nodarbināto skaits </w:t>
      </w:r>
      <w:r>
        <w:rPr>
          <w:noProof/>
        </w:rPr>
        <w:t>sāks pakāpeniski samazināties, 2023. gadā noslīdot par 0,2%</w:t>
      </w:r>
      <w:r w:rsidRPr="00F63C6B">
        <w:rPr>
          <w:noProof/>
        </w:rPr>
        <w:t>. Iedzīvotāju skaita kritums vienlaikus ietekmēs arī bezdarba rādītājus, kas neskatoties uz stabilu nodarbināto skaitu, turpinās pazemināties.</w:t>
      </w:r>
    </w:p>
    <w:p w14:paraId="1EA937A9" w14:textId="77777777" w:rsidR="00FA2AC6" w:rsidRPr="00F63C6B" w:rsidRDefault="00FA2AC6" w:rsidP="00FA2AC6">
      <w:pPr>
        <w:rPr>
          <w:noProof/>
        </w:rPr>
      </w:pPr>
      <w:r w:rsidRPr="00F63C6B">
        <w:rPr>
          <w:noProof/>
        </w:rPr>
        <w:t xml:space="preserve">Neskatoties uz </w:t>
      </w:r>
      <w:r>
        <w:rPr>
          <w:noProof/>
        </w:rPr>
        <w:t>Covid</w:t>
      </w:r>
      <w:r>
        <w:rPr>
          <w:noProof/>
        </w:rPr>
        <w:noBreakHyphen/>
        <w:t>19</w:t>
      </w:r>
      <w:r w:rsidRPr="00F63C6B">
        <w:rPr>
          <w:noProof/>
        </w:rPr>
        <w:t xml:space="preserve"> krīzi, algu pieaugums 2020</w:t>
      </w:r>
      <w:r>
        <w:rPr>
          <w:noProof/>
        </w:rPr>
        <w:t>. gad</w:t>
      </w:r>
      <w:r w:rsidRPr="00F63C6B">
        <w:rPr>
          <w:noProof/>
        </w:rPr>
        <w:t>ā tikai nedaudz palēninājās, mēneša vidējai bruto darba samaksai salīdzinājumā ar iepriekšējo gadu palielinoties par 6,2%. 2021</w:t>
      </w:r>
      <w:r>
        <w:rPr>
          <w:noProof/>
        </w:rPr>
        <w:t>. gad</w:t>
      </w:r>
      <w:r w:rsidRPr="00F63C6B">
        <w:rPr>
          <w:noProof/>
        </w:rPr>
        <w:t xml:space="preserve">ā, minimālai algai pieaugot līdz 500 </w:t>
      </w:r>
      <w:r w:rsidRPr="00F63C6B">
        <w:rPr>
          <w:i/>
          <w:iCs/>
          <w:noProof/>
        </w:rPr>
        <w:t>euro</w:t>
      </w:r>
      <w:r w:rsidRPr="00F63C6B">
        <w:rPr>
          <w:noProof/>
        </w:rPr>
        <w:t xml:space="preserve">, krasi palielinoties darba samaksai veselības aizsardzības nozarē, kā arī uz laiku darba tirgu atstājot zemo algu saņēmējiem tādās nozarēs kā izmitināšana un ēdināšana, algu pieaugums kļuva vēl straujāks un mēneša vidējā bruto darba samaksa palielinājās par 11,8%, sasniedzot 1277 </w:t>
      </w:r>
      <w:r w:rsidRPr="00F63C6B">
        <w:rPr>
          <w:i/>
          <w:iCs/>
          <w:noProof/>
        </w:rPr>
        <w:t>euro</w:t>
      </w:r>
      <w:r w:rsidRPr="00F63C6B">
        <w:rPr>
          <w:noProof/>
        </w:rPr>
        <w:t xml:space="preserve">. Pagājušajā gadā algu pieauguma tempi privātajā un sabiedriskajā sektorā bija līdzīgi – attiecīgi 11,9% un 11,8%, bet sabiedriskajā sektorā saglabājās nedaudz augstāks darba samaksas līmenis – 1293 </w:t>
      </w:r>
      <w:r w:rsidRPr="00F63C6B">
        <w:rPr>
          <w:i/>
          <w:iCs/>
          <w:noProof/>
        </w:rPr>
        <w:t>euro</w:t>
      </w:r>
      <w:r w:rsidRPr="00F63C6B">
        <w:rPr>
          <w:noProof/>
        </w:rPr>
        <w:t xml:space="preserve">, kamēr privātajā sektorā vidējā alga bija 1273 </w:t>
      </w:r>
      <w:r w:rsidRPr="00F63C6B">
        <w:rPr>
          <w:i/>
          <w:iCs/>
          <w:noProof/>
        </w:rPr>
        <w:t>euro</w:t>
      </w:r>
      <w:r w:rsidRPr="00F63C6B">
        <w:rPr>
          <w:noProof/>
        </w:rPr>
        <w:t>. Nozaru griezumā gada laikā vidējā alga visstraujāk auga veselības un sociālās aprūpes nozarē – par 28,2%, profesionālo pakalpojumu nozarē – par 18,2% un mākslas, izklaides un atpūtas nozarē – par 13,9%.</w:t>
      </w:r>
    </w:p>
    <w:p w14:paraId="5CC920BD" w14:textId="77777777" w:rsidR="00FA2AC6" w:rsidRDefault="00FA2AC6" w:rsidP="00FA2AC6">
      <w:pPr>
        <w:rPr>
          <w:noProof/>
        </w:rPr>
      </w:pPr>
      <w:r w:rsidRPr="00F63C6B">
        <w:rPr>
          <w:noProof/>
        </w:rPr>
        <w:t>2022</w:t>
      </w:r>
      <w:r>
        <w:rPr>
          <w:noProof/>
        </w:rPr>
        <w:t>. gad</w:t>
      </w:r>
      <w:r w:rsidRPr="00F63C6B">
        <w:rPr>
          <w:noProof/>
        </w:rPr>
        <w:t xml:space="preserve">ā darba samaksas pieaugums ir nedaudz palēninājies, ko noteikusi gan pagājušā gada augstā bāze, gan lēnāks algu pieaugums sabiedriskajā sektorā, gan minimālās </w:t>
      </w:r>
      <w:r w:rsidRPr="00F63C6B">
        <w:rPr>
          <w:noProof/>
        </w:rPr>
        <w:lastRenderedPageBreak/>
        <w:t>algas saglabāšana 2021</w:t>
      </w:r>
      <w:r>
        <w:rPr>
          <w:noProof/>
        </w:rPr>
        <w:t>. gad</w:t>
      </w:r>
      <w:r w:rsidRPr="00F63C6B">
        <w:rPr>
          <w:noProof/>
        </w:rPr>
        <w:t>a līmenī, gan ekonomisko sakaru saraušana ar karu uzsākušo Krieviju. Tāpat jau izveidojušos algu spiedienu šogad mazin</w:t>
      </w:r>
      <w:r>
        <w:rPr>
          <w:noProof/>
        </w:rPr>
        <w:t>ājis</w:t>
      </w:r>
      <w:r w:rsidRPr="00F63C6B">
        <w:rPr>
          <w:noProof/>
        </w:rPr>
        <w:t xml:space="preserve"> arī pieaugušais darbaspēka piedāvājums, </w:t>
      </w:r>
      <w:r>
        <w:rPr>
          <w:noProof/>
        </w:rPr>
        <w:t>beidzoties pandēmijas laika ierobežojumiem,</w:t>
      </w:r>
      <w:r w:rsidRPr="00E32371">
        <w:rPr>
          <w:noProof/>
          <w:color w:val="FF0000"/>
        </w:rPr>
        <w:t xml:space="preserve"> </w:t>
      </w:r>
      <w:r w:rsidRPr="00F63C6B">
        <w:rPr>
          <w:noProof/>
        </w:rPr>
        <w:t>un Ukrainas bēgļu uzņemšana.</w:t>
      </w:r>
      <w:r>
        <w:rPr>
          <w:noProof/>
        </w:rPr>
        <w:t xml:space="preserve">  Gada pirmajos trīs ceturkšņos, salīdzinot ar attiecīgo laika periodu pirms gada, mēneša vidējā bruto darba samaksa ir palielinājusies par 7,2%, sasniedzot 1348 </w:t>
      </w:r>
      <w:r w:rsidRPr="00C20CF0">
        <w:rPr>
          <w:i/>
          <w:iCs/>
          <w:noProof/>
        </w:rPr>
        <w:t>euro</w:t>
      </w:r>
      <w:r>
        <w:rPr>
          <w:noProof/>
        </w:rPr>
        <w:t>. Straujākais algu pieaugums bijis privātajā sektorā, kur vidējā alga palielinājusies par 7,5%, kamēr sabiedriskajā sektorā algas cēlušās par 6,6%.</w:t>
      </w:r>
    </w:p>
    <w:p w14:paraId="2AF9E467" w14:textId="77777777" w:rsidR="00FA2AC6" w:rsidRDefault="00FA2AC6" w:rsidP="00FA2AC6">
      <w:pPr>
        <w:rPr>
          <w:noProof/>
        </w:rPr>
      </w:pPr>
      <w:r>
        <w:rPr>
          <w:noProof/>
        </w:rPr>
        <w:t xml:space="preserve">2023. gadā algu pieaugumu nedaudz paātrinās mēneša minimālās darba samaksas paaugtināšana no 500 līdz 620 </w:t>
      </w:r>
      <w:r w:rsidRPr="00D257AA">
        <w:rPr>
          <w:i/>
          <w:iCs/>
          <w:noProof/>
        </w:rPr>
        <w:t>euro</w:t>
      </w:r>
      <w:r>
        <w:rPr>
          <w:noProof/>
        </w:rPr>
        <w:t xml:space="preserve">, kā arī nedaudz straujāks patēriņa cenu pieaugums, un mēneša vidējā bruto darba samaksa varētu palielināties par 7,5%. Minimālās algas tālāka paaugstināšana līdz 700 </w:t>
      </w:r>
      <w:r w:rsidRPr="00BB0A08">
        <w:rPr>
          <w:i/>
          <w:iCs/>
          <w:noProof/>
        </w:rPr>
        <w:t>euro</w:t>
      </w:r>
      <w:r>
        <w:rPr>
          <w:noProof/>
        </w:rPr>
        <w:t xml:space="preserve"> vēl ietekmēs algu kāpumu arī 2024. gadā, bet pēc tam, vidējā termiņā, algu pieauguma tempi mazināsies, pakāpeniski pietuvojoties produktivitātes pieauguma tempiem.</w:t>
      </w:r>
    </w:p>
    <w:p w14:paraId="7D2E907E" w14:textId="77777777" w:rsidR="00FA2AC6" w:rsidRPr="000A7809" w:rsidRDefault="00FA2AC6" w:rsidP="004F756F">
      <w:pPr>
        <w:spacing w:before="240"/>
        <w:rPr>
          <w:b/>
          <w:bCs/>
        </w:rPr>
      </w:pPr>
      <w:r w:rsidRPr="000A7809">
        <w:rPr>
          <w:b/>
          <w:bCs/>
        </w:rPr>
        <w:t>Inflācija</w:t>
      </w:r>
    </w:p>
    <w:p w14:paraId="7E6A2AC7" w14:textId="77777777" w:rsidR="00FA2AC6" w:rsidRPr="00F63C6B" w:rsidRDefault="00FA2AC6" w:rsidP="00FA2AC6">
      <w:pPr>
        <w:rPr>
          <w:noProof/>
        </w:rPr>
      </w:pPr>
      <w:r w:rsidRPr="00F63C6B">
        <w:rPr>
          <w:noProof/>
        </w:rPr>
        <w:t>2021</w:t>
      </w:r>
      <w:r>
        <w:rPr>
          <w:noProof/>
        </w:rPr>
        <w:t>. gad</w:t>
      </w:r>
      <w:r w:rsidRPr="00F63C6B">
        <w:rPr>
          <w:noProof/>
        </w:rPr>
        <w:t>ā salīdzinājumā ar iepriekšējo gadu patēriņa cenas Latvijā pieauga par 3,3%, kas bija straujākais cenu kāpums kopš 2012</w:t>
      </w:r>
      <w:r>
        <w:rPr>
          <w:noProof/>
        </w:rPr>
        <w:t>. gad</w:t>
      </w:r>
      <w:r w:rsidRPr="00F63C6B">
        <w:rPr>
          <w:noProof/>
        </w:rPr>
        <w:t>a. Vidējais cenu pieaugums 2021</w:t>
      </w:r>
      <w:r>
        <w:rPr>
          <w:noProof/>
        </w:rPr>
        <w:t>. gad</w:t>
      </w:r>
      <w:r w:rsidRPr="00F63C6B">
        <w:rPr>
          <w:noProof/>
        </w:rPr>
        <w:t>ā bija straujāks nekā 2020</w:t>
      </w:r>
      <w:r>
        <w:rPr>
          <w:noProof/>
        </w:rPr>
        <w:t>. gad</w:t>
      </w:r>
      <w:r w:rsidRPr="00F63C6B">
        <w:rPr>
          <w:noProof/>
        </w:rPr>
        <w:t>ā, kad inflācija bija vien 0,2%. Tomēr inflācijas līmenis kopumā bija atgriezies pirmspandēmijas līmenī, kad inflācija 2017.-2019</w:t>
      </w:r>
      <w:r>
        <w:rPr>
          <w:noProof/>
        </w:rPr>
        <w:t>. gad</w:t>
      </w:r>
      <w:r w:rsidRPr="00F63C6B">
        <w:rPr>
          <w:noProof/>
        </w:rPr>
        <w:t>ā svārstījās no 2,5% līdz 2,9%. Lielāko devumu patēriņa cenu pieaugumā pērn noteica energoresursu cenu pieaugums, tādējādi palielinot degvielas, gāzes, siltumenerģijas un elektroenerģijas cenas. Papildus tam, vidējo inflāciju ietekmēja arī pārtikas preču cenu kāpums.</w:t>
      </w:r>
    </w:p>
    <w:p w14:paraId="49F821FB" w14:textId="6058CE28" w:rsidR="00FA2AC6" w:rsidRDefault="00FA2AC6" w:rsidP="00FA2AC6">
      <w:pPr>
        <w:rPr>
          <w:noProof/>
        </w:rPr>
      </w:pPr>
      <w:r w:rsidRPr="00F63C6B">
        <w:rPr>
          <w:noProof/>
        </w:rPr>
        <w:t>2022</w:t>
      </w:r>
      <w:r>
        <w:rPr>
          <w:noProof/>
        </w:rPr>
        <w:t>. gad</w:t>
      </w:r>
      <w:r w:rsidRPr="00F63C6B">
        <w:rPr>
          <w:noProof/>
        </w:rPr>
        <w:t xml:space="preserve">a </w:t>
      </w:r>
      <w:r>
        <w:rPr>
          <w:noProof/>
        </w:rPr>
        <w:t>11</w:t>
      </w:r>
      <w:r w:rsidRPr="00F63C6B">
        <w:rPr>
          <w:noProof/>
        </w:rPr>
        <w:t xml:space="preserve"> mēnešos patēriņa cenu līmenis vidēji bija par </w:t>
      </w:r>
      <w:r>
        <w:rPr>
          <w:noProof/>
        </w:rPr>
        <w:t>17,0</w:t>
      </w:r>
      <w:r w:rsidRPr="00F63C6B">
        <w:rPr>
          <w:noProof/>
        </w:rPr>
        <w:t xml:space="preserve">% augstāks nekā pagājušā gada attiecīgajā laika periodā. Patēriņa cenu kāpums ir visaptverošs – ar dažiem izņēmumiem šā gada </w:t>
      </w:r>
      <w:r>
        <w:rPr>
          <w:noProof/>
        </w:rPr>
        <w:t>11</w:t>
      </w:r>
      <w:r w:rsidRPr="00F63C6B">
        <w:rPr>
          <w:noProof/>
        </w:rPr>
        <w:t xml:space="preserve"> mēnešos Latvijā sadārdzinājās visas preces un pakalpojumi. Vēl šā gada janvārī gada inflācija bija 7,4%</w:t>
      </w:r>
      <w:r>
        <w:rPr>
          <w:noProof/>
        </w:rPr>
        <w:t xml:space="preserve">, bet tā turpināja palielināties </w:t>
      </w:r>
      <w:r w:rsidRPr="00F63C6B">
        <w:rPr>
          <w:noProof/>
        </w:rPr>
        <w:t>katru mēnesi</w:t>
      </w:r>
      <w:r>
        <w:rPr>
          <w:noProof/>
        </w:rPr>
        <w:t xml:space="preserve">. </w:t>
      </w:r>
      <w:r>
        <w:rPr>
          <w:rFonts w:cs="Times New Roman"/>
        </w:rPr>
        <w:t>Kopš šā gada jūlija inflācija Latvijā svārstās 21,5%-22,2% robežās.</w:t>
      </w:r>
      <w:r>
        <w:rPr>
          <w:noProof/>
        </w:rPr>
        <w:t xml:space="preserve"> </w:t>
      </w:r>
      <w:r w:rsidRPr="00F63C6B">
        <w:rPr>
          <w:noProof/>
        </w:rPr>
        <w:t xml:space="preserve">Savukārt aktuālākie dati par patēriņa cenu kāpumu liecina, ka </w:t>
      </w:r>
      <w:r>
        <w:rPr>
          <w:noProof/>
        </w:rPr>
        <w:t>novembrī</w:t>
      </w:r>
      <w:r w:rsidRPr="00F63C6B">
        <w:rPr>
          <w:noProof/>
        </w:rPr>
        <w:t xml:space="preserve"> inflācija sasniedza 21,</w:t>
      </w:r>
      <w:r>
        <w:rPr>
          <w:noProof/>
        </w:rPr>
        <w:t>8</w:t>
      </w:r>
      <w:r w:rsidRPr="00F63C6B">
        <w:rPr>
          <w:noProof/>
        </w:rPr>
        <w:t>%</w:t>
      </w:r>
      <w:r>
        <w:rPr>
          <w:noProof/>
        </w:rPr>
        <w:t xml:space="preserve">. </w:t>
      </w:r>
      <w:r w:rsidRPr="00F63C6B">
        <w:rPr>
          <w:noProof/>
        </w:rPr>
        <w:t>Pašreizējais inflācijas līmenis vērtējams kā ļoti augsts, un vēl straujāks cenu kāpums Latvijā bija vērojams vien pagājušā gadsimta 90</w:t>
      </w:r>
      <w:r>
        <w:rPr>
          <w:noProof/>
        </w:rPr>
        <w:t>. gad</w:t>
      </w:r>
      <w:r w:rsidRPr="00F63C6B">
        <w:rPr>
          <w:noProof/>
        </w:rPr>
        <w:t xml:space="preserve">u vidū. Par to, ka inflācija ir ļoti strauja, liecina arī tas, ka patēriņa cenas no </w:t>
      </w:r>
      <w:r>
        <w:rPr>
          <w:noProof/>
        </w:rPr>
        <w:t xml:space="preserve">2022. gada </w:t>
      </w:r>
      <w:r w:rsidRPr="00F63C6B">
        <w:rPr>
          <w:noProof/>
        </w:rPr>
        <w:t xml:space="preserve">janvāra līdz </w:t>
      </w:r>
      <w:r>
        <w:rPr>
          <w:noProof/>
        </w:rPr>
        <w:t xml:space="preserve">novembrim </w:t>
      </w:r>
      <w:r w:rsidRPr="00F63C6B">
        <w:rPr>
          <w:noProof/>
        </w:rPr>
        <w:t xml:space="preserve">palielinājušās </w:t>
      </w:r>
      <w:r>
        <w:rPr>
          <w:noProof/>
        </w:rPr>
        <w:t xml:space="preserve">praktiski tikpat daudz kā </w:t>
      </w:r>
      <w:r w:rsidRPr="00F63C6B">
        <w:rPr>
          <w:noProof/>
        </w:rPr>
        <w:t>iepriekšējos 1</w:t>
      </w:r>
      <w:r>
        <w:rPr>
          <w:noProof/>
        </w:rPr>
        <w:t>2</w:t>
      </w:r>
      <w:r w:rsidR="004F756F">
        <w:rPr>
          <w:noProof/>
        </w:rPr>
        <w:t> </w:t>
      </w:r>
      <w:r w:rsidRPr="00F63C6B">
        <w:rPr>
          <w:noProof/>
        </w:rPr>
        <w:t>gados kopā. T</w:t>
      </w:r>
      <w:r>
        <w:rPr>
          <w:noProof/>
        </w:rPr>
        <w:t>āpa</w:t>
      </w:r>
      <w:r w:rsidRPr="00F63C6B">
        <w:rPr>
          <w:noProof/>
        </w:rPr>
        <w:t>t kā pērnajā gadā, arī 2022</w:t>
      </w:r>
      <w:r>
        <w:rPr>
          <w:noProof/>
        </w:rPr>
        <w:t>. gad</w:t>
      </w:r>
      <w:r w:rsidRPr="00F63C6B">
        <w:rPr>
          <w:noProof/>
        </w:rPr>
        <w:t>ā patēriņa cenu kāpumu nosaka galvenokārt energoresursu un pārtikas cenu kāpums. Detalizētāka informācija par patēriņa cenu pārmainām 2022</w:t>
      </w:r>
      <w:r>
        <w:rPr>
          <w:noProof/>
        </w:rPr>
        <w:t>. gad</w:t>
      </w:r>
      <w:r w:rsidRPr="00F63C6B">
        <w:rPr>
          <w:noProof/>
        </w:rPr>
        <w:t xml:space="preserve">ā pa mēnešiem ir atspoguļota </w:t>
      </w:r>
      <w:r>
        <w:rPr>
          <w:noProof/>
        </w:rPr>
        <w:t xml:space="preserve">19. </w:t>
      </w:r>
      <w:r w:rsidRPr="00F63C6B">
        <w:rPr>
          <w:noProof/>
        </w:rPr>
        <w:t>attēlā.</w:t>
      </w:r>
    </w:p>
    <w:p w14:paraId="4F3C869B" w14:textId="77777777" w:rsidR="00FA2AC6" w:rsidRPr="00F63C6B" w:rsidRDefault="00FA2AC6" w:rsidP="00FA2AC6">
      <w:pPr>
        <w:rPr>
          <w:noProof/>
        </w:rPr>
      </w:pPr>
    </w:p>
    <w:p w14:paraId="6004BBC7" w14:textId="77777777" w:rsidR="00FA2AC6" w:rsidRPr="00E96E91" w:rsidRDefault="00FA2AC6" w:rsidP="00FA2AC6">
      <w:pPr>
        <w:pStyle w:val="Tabulasvirsraksts"/>
        <w:rPr>
          <w:rFonts w:eastAsia="Calibri"/>
          <w:iCs w:val="0"/>
        </w:rPr>
      </w:pPr>
      <w:r>
        <w:rPr>
          <w:noProof/>
        </w:rPr>
        <w:lastRenderedPageBreak/>
        <w:drawing>
          <wp:inline distT="0" distB="0" distL="0" distR="0" wp14:anchorId="3D2E0948" wp14:editId="2A26D7B0">
            <wp:extent cx="5387340" cy="2587288"/>
            <wp:effectExtent l="0" t="0" r="3810" b="3810"/>
            <wp:docPr id="44" name="Chart 44">
              <a:extLst xmlns:a="http://schemas.openxmlformats.org/drawingml/2006/main">
                <a:ext uri="{FF2B5EF4-FFF2-40B4-BE49-F238E27FC236}">
                  <a16:creationId xmlns:a16="http://schemas.microsoft.com/office/drawing/2014/main" id="{FABCC564-0568-4E6A-B4CE-12B156D90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eastAsia="Calibri"/>
          <w:iCs w:val="0"/>
        </w:rPr>
        <w:t>19</w:t>
      </w:r>
      <w:r w:rsidRPr="00E96E91">
        <w:rPr>
          <w:rFonts w:eastAsia="Calibri"/>
          <w:iCs w:val="0"/>
        </w:rPr>
        <w:t xml:space="preserve">. attēls. Devums gada inflācijā Latvijā pēc izcelsmes </w:t>
      </w:r>
      <w:r w:rsidRPr="00E96E91">
        <w:rPr>
          <w:rFonts w:eastAsia="Calibri"/>
          <w:iCs w:val="0"/>
          <w:noProof/>
        </w:rPr>
        <w:t>avota (pp) un PC</w:t>
      </w:r>
      <w:r w:rsidRPr="00E96E91">
        <w:rPr>
          <w:rFonts w:eastAsia="Calibri"/>
          <w:iCs w:val="0"/>
        </w:rPr>
        <w:t>I (%)</w:t>
      </w:r>
    </w:p>
    <w:p w14:paraId="37DFE201" w14:textId="77777777" w:rsidR="00FA2AC6" w:rsidRDefault="00FA2AC6" w:rsidP="00FA2AC6">
      <w:pPr>
        <w:rPr>
          <w:noProof/>
        </w:rPr>
      </w:pPr>
      <w:r w:rsidRPr="00F63C6B">
        <w:rPr>
          <w:noProof/>
        </w:rPr>
        <w:t>Straujajam patēriņa cenu kāpumam Latvijā ir vairāki iemesli, bet galvenokārt tie ir saistīti ar ārējiem faktoriem. Pirmkārt, straujo cenu kāpumu nosaka enerģētiskā krīze Eiropā, kas aizsākās pērnā gada rudenī, kā arī augstās energoresursu cenas pārējos pasaules reģionos. Energoresursu cenu pieaugumu ES, it īpaši gāzes un elektroenerģijas cenu, ietekmēja virkne faktoru gan piedāvājuma (zems ūdenslīmenis hidroelektrostacijās, vāja elektroenerģijas ražošana no alternatīvajiem avotiem), gan pieprasījuma pusē (nelabvēlīgie laika apstākļi pērn, kā arī augošais energoresursu patēriņš, ko noteica ekonomikas attīstība). Otrkārt, straujo inflāciju ietekmē vispārējs pārtikas cenu kāpums visā pasaulē. Pārtikas cenu pieaugums vērojams kopš 2021</w:t>
      </w:r>
      <w:r>
        <w:rPr>
          <w:noProof/>
        </w:rPr>
        <w:t>. gad</w:t>
      </w:r>
      <w:r w:rsidRPr="00F63C6B">
        <w:rPr>
          <w:noProof/>
        </w:rPr>
        <w:t>a sākuma, ko negatīvi ietekmē pēcpandēmijas laikā augošais pieprasījums, atsevišķu lauksaimniecības kultūru sliktā raža, mēslojuma sadārdzinājums augsto energoresursu cenu dēļ, kā arī loģistikas traucējumi. Treškārt, Krievijas agresija Ukrainā šā gada februāra beigās pastiprināja iepriekš minēto divu faktoru negatīvo ietekmi un palielināja spriedzi gan energoresursu, gan pārtikas tirgū.</w:t>
      </w:r>
      <w:r>
        <w:rPr>
          <w:noProof/>
        </w:rPr>
        <w:t xml:space="preserve"> </w:t>
      </w:r>
    </w:p>
    <w:p w14:paraId="22EE151C" w14:textId="77777777" w:rsidR="00FA2AC6" w:rsidRDefault="00FA2AC6" w:rsidP="00FA2AC6">
      <w:pPr>
        <w:rPr>
          <w:noProof/>
        </w:rPr>
      </w:pPr>
      <w:r w:rsidRPr="00F63C6B">
        <w:rPr>
          <w:noProof/>
        </w:rPr>
        <w:t>Lielāko devumu patēriņa cenu kāpumā 2022</w:t>
      </w:r>
      <w:r>
        <w:rPr>
          <w:noProof/>
        </w:rPr>
        <w:t>. gada</w:t>
      </w:r>
      <w:r w:rsidRPr="00F63C6B">
        <w:rPr>
          <w:noProof/>
        </w:rPr>
        <w:t xml:space="preserve"> </w:t>
      </w:r>
      <w:r>
        <w:rPr>
          <w:noProof/>
        </w:rPr>
        <w:t>11</w:t>
      </w:r>
      <w:r w:rsidRPr="00F63C6B">
        <w:rPr>
          <w:noProof/>
        </w:rPr>
        <w:t xml:space="preserve"> mēnešos noteica ar mājokli saistīto pakalpojumu sadārdzinājums par </w:t>
      </w:r>
      <w:r>
        <w:rPr>
          <w:noProof/>
        </w:rPr>
        <w:t>34,4</w:t>
      </w:r>
      <w:r w:rsidRPr="00F63C6B">
        <w:rPr>
          <w:noProof/>
        </w:rPr>
        <w:t xml:space="preserve">%, ko ietekmēja elektroenerģijas, gāzes, siltumenerģijas, cietā kurināmā, kā arī ūdenspiegādes </w:t>
      </w:r>
      <w:r>
        <w:rPr>
          <w:noProof/>
        </w:rPr>
        <w:t xml:space="preserve">un atkritumu savākšanas </w:t>
      </w:r>
      <w:r w:rsidRPr="00F63C6B">
        <w:rPr>
          <w:noProof/>
        </w:rPr>
        <w:t>pakalpojumu cenu pieaugums</w:t>
      </w:r>
      <w:r>
        <w:rPr>
          <w:noProof/>
        </w:rPr>
        <w:t>. g</w:t>
      </w:r>
      <w:r w:rsidRPr="00F63C6B">
        <w:rPr>
          <w:noProof/>
        </w:rPr>
        <w:t>alvenais iemesls šīs preču un pakalpojumu grupas sadārdzinājumam ir augstā gāzes cena pasaules tirgos. Ņemot vērā, ka gāze tiek izmantota elektroenerģijas un siltumenerģijas ražošanā, tas tiešā veidā ietekmē šo preču cenu kāpumu</w:t>
      </w:r>
      <w:r>
        <w:rPr>
          <w:noProof/>
        </w:rPr>
        <w:t>. g</w:t>
      </w:r>
      <w:r w:rsidRPr="00F63C6B">
        <w:rPr>
          <w:noProof/>
        </w:rPr>
        <w:t>āzes nākotnes darījumu cenas Eiropas tirgū sāka palielināties vēl pērnā gada rudenī, bet pēc Krievijas iebrukuma Ukrainā gāzes cenu pieaugums tikai pastiprinājās</w:t>
      </w:r>
      <w:r>
        <w:rPr>
          <w:noProof/>
        </w:rPr>
        <w:t>. g</w:t>
      </w:r>
      <w:r w:rsidRPr="00F63C6B">
        <w:rPr>
          <w:noProof/>
        </w:rPr>
        <w:t xml:space="preserve">āzes cena Eiropas tirgū šā gada vasaras beigās sasniedza vēsturiski augstāko līmeni jeb 345 </w:t>
      </w:r>
      <w:r w:rsidRPr="00F63C6B">
        <w:rPr>
          <w:i/>
          <w:iCs/>
          <w:noProof/>
        </w:rPr>
        <w:t>euro</w:t>
      </w:r>
      <w:r w:rsidRPr="00F63C6B">
        <w:rPr>
          <w:noProof/>
        </w:rPr>
        <w:t>/MWh</w:t>
      </w:r>
      <w:r>
        <w:rPr>
          <w:noProof/>
        </w:rPr>
        <w:t xml:space="preserve">. Kopš šā gada rudens gāzes cena pakāpeniski samazinājas, decembra sākuma svārstoties ap 140 </w:t>
      </w:r>
      <w:r w:rsidRPr="00F63C6B">
        <w:rPr>
          <w:i/>
          <w:iCs/>
          <w:noProof/>
        </w:rPr>
        <w:t>euro</w:t>
      </w:r>
      <w:r w:rsidRPr="00F63C6B">
        <w:rPr>
          <w:noProof/>
        </w:rPr>
        <w:t>/MWh</w:t>
      </w:r>
      <w:r>
        <w:rPr>
          <w:noProof/>
        </w:rPr>
        <w:t>, k</w:t>
      </w:r>
      <w:r w:rsidRPr="00F63C6B">
        <w:rPr>
          <w:noProof/>
        </w:rPr>
        <w:t xml:space="preserve">amēr </w:t>
      </w:r>
      <w:r>
        <w:rPr>
          <w:noProof/>
        </w:rPr>
        <w:t xml:space="preserve">2021. gadā vidējā gāzes cena </w:t>
      </w:r>
      <w:r w:rsidRPr="00652D56">
        <w:rPr>
          <w:i/>
          <w:iCs/>
          <w:noProof/>
        </w:rPr>
        <w:t>Dutch TTF</w:t>
      </w:r>
      <w:r>
        <w:rPr>
          <w:noProof/>
        </w:rPr>
        <w:t xml:space="preserve"> biržā</w:t>
      </w:r>
      <w:r w:rsidRPr="00F63C6B">
        <w:rPr>
          <w:noProof/>
        </w:rPr>
        <w:t xml:space="preserve"> bija </w:t>
      </w:r>
      <w:r>
        <w:rPr>
          <w:noProof/>
        </w:rPr>
        <w:t>46</w:t>
      </w:r>
      <w:r w:rsidRPr="00F63C6B">
        <w:rPr>
          <w:noProof/>
        </w:rPr>
        <w:t xml:space="preserve"> </w:t>
      </w:r>
      <w:r w:rsidRPr="00F63C6B">
        <w:rPr>
          <w:i/>
          <w:iCs/>
          <w:noProof/>
        </w:rPr>
        <w:t>euro</w:t>
      </w:r>
      <w:r w:rsidRPr="00F63C6B">
        <w:rPr>
          <w:noProof/>
        </w:rPr>
        <w:t>/MWh</w:t>
      </w:r>
      <w:r>
        <w:rPr>
          <w:noProof/>
        </w:rPr>
        <w:t xml:space="preserve">. gāzes cena būtiski pieauga arī pārējos pasaules reģionos. </w:t>
      </w:r>
      <w:r w:rsidRPr="00F63C6B">
        <w:rPr>
          <w:noProof/>
        </w:rPr>
        <w:t xml:space="preserve">Lai arī Latvijas iepirktās gāzes cena nav tieši piesaistīta </w:t>
      </w:r>
      <w:r w:rsidRPr="0080317F">
        <w:rPr>
          <w:i/>
          <w:iCs/>
          <w:noProof/>
        </w:rPr>
        <w:t>Spot</w:t>
      </w:r>
      <w:r>
        <w:rPr>
          <w:i/>
          <w:iCs/>
          <w:noProof/>
        </w:rPr>
        <w:t xml:space="preserve"> </w:t>
      </w:r>
      <w:r>
        <w:rPr>
          <w:noProof/>
        </w:rPr>
        <w:t xml:space="preserve">gāzes tirgum, </w:t>
      </w:r>
      <w:r w:rsidRPr="00F63C6B">
        <w:rPr>
          <w:noProof/>
        </w:rPr>
        <w:t>gāzes tarifi kopumā strauji palielinājās</w:t>
      </w:r>
      <w:r>
        <w:rPr>
          <w:noProof/>
        </w:rPr>
        <w:t xml:space="preserve">, tādējādi būtiski ietekmējot arī elektroenerģijas un siltumenerģijas tarifus. </w:t>
      </w:r>
      <w:r w:rsidRPr="00F63C6B">
        <w:rPr>
          <w:noProof/>
        </w:rPr>
        <w:t>2022</w:t>
      </w:r>
      <w:r>
        <w:rPr>
          <w:noProof/>
        </w:rPr>
        <w:t>. gad</w:t>
      </w:r>
      <w:r w:rsidRPr="00F63C6B">
        <w:rPr>
          <w:noProof/>
        </w:rPr>
        <w:t xml:space="preserve">a </w:t>
      </w:r>
      <w:r>
        <w:rPr>
          <w:noProof/>
        </w:rPr>
        <w:t>11</w:t>
      </w:r>
      <w:r w:rsidRPr="00F63C6B">
        <w:rPr>
          <w:noProof/>
        </w:rPr>
        <w:t xml:space="preserve"> mēnešos gāzes cena mājsaimniecībām pieauga par</w:t>
      </w:r>
      <w:r>
        <w:rPr>
          <w:noProof/>
        </w:rPr>
        <w:t xml:space="preserve"> </w:t>
      </w:r>
      <w:r w:rsidRPr="00F63C6B">
        <w:rPr>
          <w:noProof/>
        </w:rPr>
        <w:t>9</w:t>
      </w:r>
      <w:r>
        <w:rPr>
          <w:noProof/>
        </w:rPr>
        <w:t>8,8</w:t>
      </w:r>
      <w:r w:rsidRPr="00F63C6B">
        <w:rPr>
          <w:noProof/>
        </w:rPr>
        <w:t>%</w:t>
      </w:r>
      <w:r>
        <w:rPr>
          <w:noProof/>
        </w:rPr>
        <w:t>, s</w:t>
      </w:r>
      <w:r w:rsidRPr="00F63C6B">
        <w:rPr>
          <w:noProof/>
        </w:rPr>
        <w:t xml:space="preserve">avukārt elektroenerģija un siltumenerģija bija dārgāka attiecīgi par </w:t>
      </w:r>
      <w:r>
        <w:rPr>
          <w:noProof/>
        </w:rPr>
        <w:t>37,7</w:t>
      </w:r>
      <w:r w:rsidRPr="00F63C6B">
        <w:rPr>
          <w:noProof/>
        </w:rPr>
        <w:t xml:space="preserve">% un </w:t>
      </w:r>
      <w:r>
        <w:rPr>
          <w:noProof/>
        </w:rPr>
        <w:t>50,5</w:t>
      </w:r>
      <w:r w:rsidRPr="00F63C6B">
        <w:rPr>
          <w:noProof/>
        </w:rPr>
        <w:t xml:space="preserve">%. Cenu pārmaiņu atšķirības starp augstākminētajiem energoresursiem nosaka atšķirīga tarifu aprēķināšanas metodoloģija, kā arī dažādi valdības atbalsta instrumenti katram energoresursu veidam. Straujais gāzes cenu kāpums veicināja pieprasījuma pieaugumu pēc granulām un šķeldas kā alternatīva kurināmā, kas noteica cietā kurināmā cenu kāpumu par </w:t>
      </w:r>
      <w:r>
        <w:rPr>
          <w:noProof/>
        </w:rPr>
        <w:t>73,4</w:t>
      </w:r>
      <w:r w:rsidRPr="00F63C6B">
        <w:rPr>
          <w:noProof/>
        </w:rPr>
        <w:t>%.</w:t>
      </w:r>
    </w:p>
    <w:p w14:paraId="22AC975C" w14:textId="77777777" w:rsidR="00FA2AC6" w:rsidRDefault="00FA2AC6" w:rsidP="00FA2AC6">
      <w:pPr>
        <w:rPr>
          <w:noProof/>
        </w:rPr>
      </w:pPr>
      <w:r w:rsidRPr="00F63C6B">
        <w:rPr>
          <w:noProof/>
        </w:rPr>
        <w:lastRenderedPageBreak/>
        <w:t xml:space="preserve">Situācija energoresursu tirgū saglabājas sarežģīta, </w:t>
      </w:r>
      <w:r>
        <w:rPr>
          <w:noProof/>
        </w:rPr>
        <w:t xml:space="preserve">it īpaši gāzes tirgū. ES dalībvalstu lēmums samazināt gāzes importu no Krievijas, kā arī “Nord Stream 1” gāzes cauruļvada bojājums uztur augstas cenas. </w:t>
      </w:r>
      <w:r w:rsidRPr="00F63C6B">
        <w:rPr>
          <w:noProof/>
        </w:rPr>
        <w:t>Savukārt sašķidrinātās gāzes infrastruktūras jaudas kopā ar alternatīvo energoresursu izstrādi nav pietiekošas, lai uzreiz aizstātu Krievijas gāzi. Tādējādi gāzes cena un līdz ar to arī elektroenerģijas un apkures tarifi būs augsti arī 2023</w:t>
      </w:r>
      <w:r>
        <w:rPr>
          <w:noProof/>
        </w:rPr>
        <w:t>. gad</w:t>
      </w:r>
      <w:r w:rsidRPr="00F63C6B">
        <w:rPr>
          <w:noProof/>
        </w:rPr>
        <w:t>ā kopumā.</w:t>
      </w:r>
      <w:r>
        <w:rPr>
          <w:noProof/>
        </w:rPr>
        <w:t xml:space="preserve"> Detalizētāki dati par preču un pakalpojumu </w:t>
      </w:r>
      <w:r w:rsidRPr="00F63C6B">
        <w:rPr>
          <w:noProof/>
        </w:rPr>
        <w:t>cenu pārmaiņ</w:t>
      </w:r>
      <w:r>
        <w:rPr>
          <w:noProof/>
        </w:rPr>
        <w:t>ām</w:t>
      </w:r>
      <w:r w:rsidRPr="00F63C6B">
        <w:rPr>
          <w:noProof/>
        </w:rPr>
        <w:t xml:space="preserve"> ir atspoguļot</w:t>
      </w:r>
      <w:r>
        <w:rPr>
          <w:noProof/>
        </w:rPr>
        <w:t>i</w:t>
      </w:r>
      <w:r w:rsidRPr="00F63C6B">
        <w:rPr>
          <w:noProof/>
        </w:rPr>
        <w:t xml:space="preserve"> </w:t>
      </w:r>
      <w:r>
        <w:rPr>
          <w:noProof/>
        </w:rPr>
        <w:t>4.</w:t>
      </w:r>
      <w:r w:rsidRPr="00F63C6B">
        <w:rPr>
          <w:noProof/>
        </w:rPr>
        <w:t xml:space="preserve"> tabulā.</w:t>
      </w:r>
    </w:p>
    <w:p w14:paraId="52376323" w14:textId="77777777" w:rsidR="00FA2AC6" w:rsidRPr="00AC081B" w:rsidRDefault="00FA2AC6" w:rsidP="00FA2AC6">
      <w:pPr>
        <w:pStyle w:val="Tabulasvirsraksts"/>
        <w:rPr>
          <w:rFonts w:eastAsia="Calibri"/>
        </w:rPr>
      </w:pPr>
      <w:r w:rsidRPr="00793C71">
        <w:rPr>
          <w:rFonts w:eastAsia="Calibri"/>
        </w:rPr>
        <w:t>4. tabula</w:t>
      </w:r>
      <w:r>
        <w:t>. g</w:t>
      </w:r>
      <w:r>
        <w:rPr>
          <w:rFonts w:eastAsia="Calibri"/>
        </w:rPr>
        <w:t>ad</w:t>
      </w:r>
      <w:r w:rsidRPr="00F63C6B">
        <w:rPr>
          <w:rFonts w:eastAsia="Calibri"/>
        </w:rPr>
        <w:t>a inflācija pa grupām 2021</w:t>
      </w:r>
      <w:r>
        <w:t>. g</w:t>
      </w:r>
      <w:r>
        <w:rPr>
          <w:rFonts w:eastAsia="Calibri"/>
        </w:rPr>
        <w:t>ad</w:t>
      </w:r>
      <w:r w:rsidRPr="00F63C6B">
        <w:rPr>
          <w:rFonts w:eastAsia="Calibri"/>
        </w:rPr>
        <w:t>ā vidēji un 2022</w:t>
      </w:r>
      <w:r>
        <w:t>. g</w:t>
      </w:r>
      <w:r>
        <w:rPr>
          <w:rFonts w:eastAsia="Calibri"/>
        </w:rPr>
        <w:t>ad</w:t>
      </w:r>
      <w:r w:rsidRPr="00F63C6B">
        <w:rPr>
          <w:rFonts w:eastAsia="Calibri"/>
        </w:rPr>
        <w:t>ā</w:t>
      </w:r>
      <w:r>
        <w:rPr>
          <w:rFonts w:eastAsia="Calibri"/>
        </w:rPr>
        <w:t xml:space="preserve"> </w:t>
      </w:r>
      <w:r w:rsidRPr="00F63C6B">
        <w:rPr>
          <w:rFonts w:eastAsia="Calibri"/>
        </w:rPr>
        <w:t>pa mēnešiem, %</w:t>
      </w: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1879"/>
        <w:gridCol w:w="567"/>
        <w:gridCol w:w="567"/>
        <w:gridCol w:w="567"/>
        <w:gridCol w:w="567"/>
        <w:gridCol w:w="567"/>
        <w:gridCol w:w="567"/>
        <w:gridCol w:w="567"/>
        <w:gridCol w:w="567"/>
        <w:gridCol w:w="567"/>
        <w:gridCol w:w="532"/>
        <w:gridCol w:w="567"/>
        <w:gridCol w:w="567"/>
      </w:tblGrid>
      <w:tr w:rsidR="00FA2AC6" w:rsidRPr="00AC081B" w14:paraId="65DECCF8" w14:textId="77777777" w:rsidTr="004F756F">
        <w:trPr>
          <w:trHeight w:val="321"/>
          <w:jc w:val="center"/>
        </w:trPr>
        <w:tc>
          <w:tcPr>
            <w:tcW w:w="1879" w:type="dxa"/>
            <w:vMerge w:val="restart"/>
            <w:shd w:val="clear" w:color="auto" w:fill="BDD6EE" w:themeFill="accent1" w:themeFillTint="66"/>
            <w:tcMar>
              <w:top w:w="12" w:type="dxa"/>
              <w:left w:w="12" w:type="dxa"/>
              <w:bottom w:w="0" w:type="dxa"/>
              <w:right w:w="12" w:type="dxa"/>
            </w:tcMar>
            <w:vAlign w:val="center"/>
            <w:hideMark/>
          </w:tcPr>
          <w:p w14:paraId="31E310D4" w14:textId="77777777" w:rsidR="00FA2AC6" w:rsidRPr="00AC081B" w:rsidRDefault="00FA2AC6" w:rsidP="00557A0A">
            <w:pPr>
              <w:spacing w:before="0" w:after="0"/>
              <w:ind w:firstLine="0"/>
              <w:jc w:val="left"/>
              <w:rPr>
                <w:rFonts w:cs="Times New Roman"/>
                <w:b/>
                <w:bCs/>
                <w:sz w:val="20"/>
                <w:szCs w:val="20"/>
              </w:rPr>
            </w:pPr>
            <w:bookmarkStart w:id="20" w:name="_Hlk99399464"/>
            <w:r w:rsidRPr="00AC081B">
              <w:rPr>
                <w:rFonts w:cs="Times New Roman"/>
                <w:b/>
                <w:bCs/>
                <w:sz w:val="20"/>
                <w:szCs w:val="20"/>
              </w:rPr>
              <w:t>Grupas un apakšgrupas</w:t>
            </w:r>
          </w:p>
        </w:tc>
        <w:tc>
          <w:tcPr>
            <w:tcW w:w="567" w:type="dxa"/>
            <w:vMerge w:val="restart"/>
            <w:shd w:val="clear" w:color="auto" w:fill="BDD6EE" w:themeFill="accent1" w:themeFillTint="66"/>
            <w:tcMar>
              <w:top w:w="12" w:type="dxa"/>
              <w:left w:w="12" w:type="dxa"/>
              <w:bottom w:w="0" w:type="dxa"/>
              <w:right w:w="12" w:type="dxa"/>
            </w:tcMar>
            <w:vAlign w:val="center"/>
            <w:hideMark/>
          </w:tcPr>
          <w:p w14:paraId="6F096A0F" w14:textId="77777777" w:rsidR="00FA2AC6" w:rsidRPr="00AC081B" w:rsidRDefault="00FA2AC6" w:rsidP="00557A0A">
            <w:pPr>
              <w:spacing w:before="0" w:after="0"/>
              <w:ind w:firstLine="0"/>
              <w:jc w:val="center"/>
              <w:rPr>
                <w:rFonts w:cs="Times New Roman"/>
                <w:b/>
                <w:bCs/>
                <w:sz w:val="20"/>
                <w:szCs w:val="20"/>
              </w:rPr>
            </w:pPr>
            <w:r w:rsidRPr="00AC081B">
              <w:rPr>
                <w:rFonts w:cs="Times New Roman"/>
                <w:b/>
                <w:bCs/>
                <w:sz w:val="20"/>
                <w:szCs w:val="20"/>
              </w:rPr>
              <w:t>2021</w:t>
            </w:r>
          </w:p>
        </w:tc>
        <w:tc>
          <w:tcPr>
            <w:tcW w:w="6202" w:type="dxa"/>
            <w:gridSpan w:val="11"/>
            <w:shd w:val="clear" w:color="auto" w:fill="BDD6EE" w:themeFill="accent1" w:themeFillTint="66"/>
            <w:tcMar>
              <w:top w:w="12" w:type="dxa"/>
              <w:left w:w="12" w:type="dxa"/>
              <w:bottom w:w="0" w:type="dxa"/>
              <w:right w:w="12" w:type="dxa"/>
            </w:tcMar>
            <w:vAlign w:val="center"/>
            <w:hideMark/>
          </w:tcPr>
          <w:p w14:paraId="5736A182" w14:textId="77777777" w:rsidR="00FA2AC6" w:rsidRPr="00AC081B" w:rsidRDefault="00FA2AC6" w:rsidP="00557A0A">
            <w:pPr>
              <w:spacing w:before="0" w:after="0"/>
              <w:ind w:firstLine="0"/>
              <w:jc w:val="center"/>
              <w:rPr>
                <w:rFonts w:cs="Times New Roman"/>
                <w:b/>
                <w:bCs/>
                <w:sz w:val="20"/>
                <w:szCs w:val="20"/>
              </w:rPr>
            </w:pPr>
            <w:r w:rsidRPr="00AC081B">
              <w:rPr>
                <w:rFonts w:cs="Times New Roman"/>
                <w:b/>
                <w:bCs/>
                <w:sz w:val="20"/>
                <w:szCs w:val="20"/>
              </w:rPr>
              <w:t>2022</w:t>
            </w:r>
          </w:p>
        </w:tc>
      </w:tr>
      <w:tr w:rsidR="00FA2AC6" w:rsidRPr="00AC081B" w14:paraId="673D4973" w14:textId="77777777" w:rsidTr="004F756F">
        <w:trPr>
          <w:trHeight w:val="331"/>
          <w:jc w:val="center"/>
        </w:trPr>
        <w:tc>
          <w:tcPr>
            <w:tcW w:w="1879" w:type="dxa"/>
            <w:vMerge/>
            <w:shd w:val="clear" w:color="auto" w:fill="BDD6EE" w:themeFill="accent1" w:themeFillTint="66"/>
            <w:tcMar>
              <w:top w:w="12" w:type="dxa"/>
              <w:left w:w="12" w:type="dxa"/>
              <w:bottom w:w="0" w:type="dxa"/>
              <w:right w:w="12" w:type="dxa"/>
            </w:tcMar>
            <w:vAlign w:val="center"/>
          </w:tcPr>
          <w:p w14:paraId="2F6A30A5" w14:textId="77777777" w:rsidR="00FA2AC6" w:rsidRPr="00AC081B" w:rsidRDefault="00FA2AC6" w:rsidP="00557A0A">
            <w:pPr>
              <w:spacing w:before="0" w:after="0"/>
              <w:ind w:firstLine="0"/>
              <w:jc w:val="left"/>
              <w:rPr>
                <w:rFonts w:cs="Times New Roman"/>
                <w:b/>
                <w:bCs/>
                <w:sz w:val="20"/>
                <w:szCs w:val="20"/>
              </w:rPr>
            </w:pPr>
          </w:p>
        </w:tc>
        <w:tc>
          <w:tcPr>
            <w:tcW w:w="567" w:type="dxa"/>
            <w:vMerge/>
            <w:shd w:val="clear" w:color="auto" w:fill="BDD6EE" w:themeFill="accent1" w:themeFillTint="66"/>
            <w:tcMar>
              <w:top w:w="12" w:type="dxa"/>
              <w:left w:w="12" w:type="dxa"/>
              <w:bottom w:w="0" w:type="dxa"/>
              <w:right w:w="12" w:type="dxa"/>
            </w:tcMar>
            <w:vAlign w:val="center"/>
          </w:tcPr>
          <w:p w14:paraId="17D8E8A9" w14:textId="77777777" w:rsidR="00FA2AC6" w:rsidRPr="00AC081B" w:rsidRDefault="00FA2AC6" w:rsidP="00557A0A">
            <w:pPr>
              <w:spacing w:before="0" w:after="0"/>
              <w:ind w:firstLine="0"/>
              <w:jc w:val="center"/>
              <w:rPr>
                <w:rFonts w:cs="Times New Roman"/>
                <w:b/>
                <w:bCs/>
                <w:sz w:val="20"/>
                <w:szCs w:val="20"/>
              </w:rPr>
            </w:pPr>
          </w:p>
        </w:tc>
        <w:tc>
          <w:tcPr>
            <w:tcW w:w="567" w:type="dxa"/>
            <w:shd w:val="clear" w:color="auto" w:fill="BDD6EE" w:themeFill="accent1" w:themeFillTint="66"/>
            <w:tcMar>
              <w:top w:w="12" w:type="dxa"/>
              <w:left w:w="12" w:type="dxa"/>
              <w:bottom w:w="0" w:type="dxa"/>
              <w:right w:w="12" w:type="dxa"/>
            </w:tcMar>
            <w:vAlign w:val="center"/>
          </w:tcPr>
          <w:p w14:paraId="77625024" w14:textId="77777777" w:rsidR="00FA2AC6" w:rsidRPr="00AC081B" w:rsidRDefault="00FA2AC6" w:rsidP="00557A0A">
            <w:pPr>
              <w:spacing w:before="0" w:after="0"/>
              <w:ind w:firstLine="0"/>
              <w:jc w:val="center"/>
              <w:rPr>
                <w:rFonts w:cs="Times New Roman"/>
                <w:b/>
                <w:bCs/>
                <w:noProof/>
                <w:sz w:val="20"/>
                <w:szCs w:val="20"/>
              </w:rPr>
            </w:pPr>
            <w:r w:rsidRPr="00AC081B">
              <w:rPr>
                <w:rFonts w:cs="Times New Roman"/>
                <w:b/>
                <w:bCs/>
                <w:noProof/>
                <w:sz w:val="20"/>
                <w:szCs w:val="20"/>
              </w:rPr>
              <w:t>Jan</w:t>
            </w:r>
          </w:p>
        </w:tc>
        <w:tc>
          <w:tcPr>
            <w:tcW w:w="567" w:type="dxa"/>
            <w:shd w:val="clear" w:color="auto" w:fill="BDD6EE" w:themeFill="accent1" w:themeFillTint="66"/>
            <w:tcMar>
              <w:top w:w="12" w:type="dxa"/>
              <w:left w:w="12" w:type="dxa"/>
              <w:bottom w:w="0" w:type="dxa"/>
              <w:right w:w="12" w:type="dxa"/>
            </w:tcMar>
            <w:vAlign w:val="center"/>
          </w:tcPr>
          <w:p w14:paraId="11A9707D" w14:textId="77777777" w:rsidR="00FA2AC6" w:rsidRPr="00AC081B" w:rsidRDefault="00FA2AC6" w:rsidP="00557A0A">
            <w:pPr>
              <w:spacing w:before="0" w:after="0"/>
              <w:ind w:firstLine="0"/>
              <w:jc w:val="center"/>
              <w:rPr>
                <w:rFonts w:cs="Times New Roman"/>
                <w:b/>
                <w:bCs/>
                <w:noProof/>
                <w:sz w:val="20"/>
                <w:szCs w:val="20"/>
              </w:rPr>
            </w:pPr>
            <w:r w:rsidRPr="00AC081B">
              <w:rPr>
                <w:rFonts w:cs="Times New Roman"/>
                <w:b/>
                <w:bCs/>
                <w:noProof/>
                <w:sz w:val="20"/>
                <w:szCs w:val="20"/>
              </w:rPr>
              <w:t>Feb</w:t>
            </w:r>
          </w:p>
        </w:tc>
        <w:tc>
          <w:tcPr>
            <w:tcW w:w="567" w:type="dxa"/>
            <w:shd w:val="clear" w:color="auto" w:fill="BDD6EE" w:themeFill="accent1" w:themeFillTint="66"/>
            <w:vAlign w:val="center"/>
          </w:tcPr>
          <w:p w14:paraId="2C4D252E" w14:textId="77777777" w:rsidR="00FA2AC6" w:rsidRPr="00AC081B" w:rsidRDefault="00FA2AC6" w:rsidP="00557A0A">
            <w:pPr>
              <w:spacing w:before="0" w:after="0"/>
              <w:ind w:firstLine="0"/>
              <w:jc w:val="center"/>
              <w:rPr>
                <w:rFonts w:cs="Times New Roman"/>
                <w:b/>
                <w:bCs/>
                <w:noProof/>
                <w:sz w:val="20"/>
                <w:szCs w:val="20"/>
              </w:rPr>
            </w:pPr>
            <w:r w:rsidRPr="00AC081B">
              <w:rPr>
                <w:rFonts w:cs="Times New Roman"/>
                <w:b/>
                <w:bCs/>
                <w:noProof/>
                <w:sz w:val="20"/>
                <w:szCs w:val="20"/>
              </w:rPr>
              <w:t>Mar</w:t>
            </w:r>
          </w:p>
        </w:tc>
        <w:tc>
          <w:tcPr>
            <w:tcW w:w="567" w:type="dxa"/>
            <w:shd w:val="clear" w:color="auto" w:fill="BDD6EE" w:themeFill="accent1" w:themeFillTint="66"/>
            <w:vAlign w:val="center"/>
          </w:tcPr>
          <w:p w14:paraId="26983146" w14:textId="77777777" w:rsidR="00FA2AC6" w:rsidRPr="00AC081B" w:rsidRDefault="00FA2AC6" w:rsidP="00557A0A">
            <w:pPr>
              <w:spacing w:before="0" w:after="0"/>
              <w:ind w:firstLine="0"/>
              <w:jc w:val="center"/>
              <w:rPr>
                <w:rFonts w:cs="Times New Roman"/>
                <w:b/>
                <w:bCs/>
                <w:noProof/>
                <w:sz w:val="20"/>
                <w:szCs w:val="20"/>
              </w:rPr>
            </w:pPr>
            <w:r w:rsidRPr="00AC081B">
              <w:rPr>
                <w:rFonts w:cs="Times New Roman"/>
                <w:b/>
                <w:bCs/>
                <w:noProof/>
                <w:sz w:val="20"/>
                <w:szCs w:val="20"/>
              </w:rPr>
              <w:t>Apr</w:t>
            </w:r>
          </w:p>
        </w:tc>
        <w:tc>
          <w:tcPr>
            <w:tcW w:w="567" w:type="dxa"/>
            <w:shd w:val="clear" w:color="auto" w:fill="BDD6EE" w:themeFill="accent1" w:themeFillTint="66"/>
            <w:vAlign w:val="center"/>
          </w:tcPr>
          <w:p w14:paraId="37A722EC" w14:textId="77777777" w:rsidR="00FA2AC6" w:rsidRPr="00AC081B" w:rsidRDefault="00FA2AC6" w:rsidP="00557A0A">
            <w:pPr>
              <w:spacing w:before="0" w:after="0"/>
              <w:ind w:firstLine="0"/>
              <w:jc w:val="center"/>
              <w:rPr>
                <w:rFonts w:cs="Times New Roman"/>
                <w:b/>
                <w:bCs/>
                <w:noProof/>
                <w:sz w:val="20"/>
                <w:szCs w:val="20"/>
              </w:rPr>
            </w:pPr>
            <w:r w:rsidRPr="00AC081B">
              <w:rPr>
                <w:rFonts w:cs="Times New Roman"/>
                <w:b/>
                <w:bCs/>
                <w:noProof/>
                <w:sz w:val="20"/>
                <w:szCs w:val="20"/>
              </w:rPr>
              <w:t>Mai</w:t>
            </w:r>
          </w:p>
        </w:tc>
        <w:tc>
          <w:tcPr>
            <w:tcW w:w="567" w:type="dxa"/>
            <w:shd w:val="clear" w:color="auto" w:fill="BDD6EE" w:themeFill="accent1" w:themeFillTint="66"/>
            <w:vAlign w:val="center"/>
          </w:tcPr>
          <w:p w14:paraId="21F37F11" w14:textId="77777777" w:rsidR="00FA2AC6" w:rsidRPr="00AC081B" w:rsidRDefault="00FA2AC6" w:rsidP="00557A0A">
            <w:pPr>
              <w:spacing w:before="0" w:after="0"/>
              <w:ind w:firstLine="0"/>
              <w:jc w:val="center"/>
              <w:rPr>
                <w:rFonts w:cs="Times New Roman"/>
                <w:b/>
                <w:bCs/>
                <w:noProof/>
                <w:sz w:val="20"/>
                <w:szCs w:val="20"/>
              </w:rPr>
            </w:pPr>
            <w:r w:rsidRPr="00AC081B">
              <w:rPr>
                <w:rFonts w:cs="Times New Roman"/>
                <w:b/>
                <w:bCs/>
                <w:noProof/>
                <w:sz w:val="20"/>
                <w:szCs w:val="20"/>
              </w:rPr>
              <w:t>Jūn</w:t>
            </w:r>
          </w:p>
        </w:tc>
        <w:tc>
          <w:tcPr>
            <w:tcW w:w="567" w:type="dxa"/>
            <w:shd w:val="clear" w:color="auto" w:fill="BDD6EE" w:themeFill="accent1" w:themeFillTint="66"/>
            <w:vAlign w:val="center"/>
          </w:tcPr>
          <w:p w14:paraId="155E8605" w14:textId="77777777" w:rsidR="00FA2AC6" w:rsidRPr="00AC081B" w:rsidRDefault="00FA2AC6" w:rsidP="00557A0A">
            <w:pPr>
              <w:spacing w:before="0" w:after="0"/>
              <w:ind w:firstLine="0"/>
              <w:jc w:val="center"/>
              <w:rPr>
                <w:rFonts w:cs="Times New Roman"/>
                <w:b/>
                <w:bCs/>
                <w:noProof/>
                <w:sz w:val="20"/>
                <w:szCs w:val="20"/>
              </w:rPr>
            </w:pPr>
            <w:r w:rsidRPr="00AC081B">
              <w:rPr>
                <w:rFonts w:cs="Times New Roman"/>
                <w:b/>
                <w:bCs/>
                <w:noProof/>
                <w:sz w:val="20"/>
                <w:szCs w:val="20"/>
              </w:rPr>
              <w:t>Jūl</w:t>
            </w:r>
          </w:p>
        </w:tc>
        <w:tc>
          <w:tcPr>
            <w:tcW w:w="567" w:type="dxa"/>
            <w:shd w:val="clear" w:color="auto" w:fill="BDD6EE" w:themeFill="accent1" w:themeFillTint="66"/>
            <w:vAlign w:val="center"/>
          </w:tcPr>
          <w:p w14:paraId="6648354C" w14:textId="77777777" w:rsidR="00FA2AC6" w:rsidRPr="00AC081B" w:rsidRDefault="00FA2AC6" w:rsidP="00557A0A">
            <w:pPr>
              <w:spacing w:before="0" w:after="0"/>
              <w:ind w:firstLine="0"/>
              <w:jc w:val="center"/>
              <w:rPr>
                <w:rFonts w:cs="Times New Roman"/>
                <w:b/>
                <w:bCs/>
                <w:noProof/>
                <w:sz w:val="20"/>
                <w:szCs w:val="20"/>
              </w:rPr>
            </w:pPr>
            <w:r w:rsidRPr="00AC081B">
              <w:rPr>
                <w:rFonts w:cs="Times New Roman"/>
                <w:b/>
                <w:bCs/>
                <w:noProof/>
                <w:sz w:val="20"/>
                <w:szCs w:val="20"/>
              </w:rPr>
              <w:t>Aug</w:t>
            </w:r>
          </w:p>
        </w:tc>
        <w:tc>
          <w:tcPr>
            <w:tcW w:w="532" w:type="dxa"/>
            <w:shd w:val="clear" w:color="auto" w:fill="BDD6EE" w:themeFill="accent1" w:themeFillTint="66"/>
            <w:vAlign w:val="center"/>
          </w:tcPr>
          <w:p w14:paraId="7B318962" w14:textId="77777777" w:rsidR="00FA2AC6" w:rsidRPr="00AC081B" w:rsidRDefault="00FA2AC6" w:rsidP="00557A0A">
            <w:pPr>
              <w:spacing w:before="0" w:after="0"/>
              <w:ind w:firstLine="0"/>
              <w:jc w:val="center"/>
              <w:rPr>
                <w:rFonts w:cs="Times New Roman"/>
                <w:b/>
                <w:bCs/>
                <w:noProof/>
                <w:sz w:val="20"/>
                <w:szCs w:val="20"/>
              </w:rPr>
            </w:pPr>
            <w:r w:rsidRPr="00AC081B">
              <w:rPr>
                <w:rFonts w:cs="Times New Roman"/>
                <w:b/>
                <w:bCs/>
                <w:noProof/>
                <w:sz w:val="20"/>
                <w:szCs w:val="20"/>
              </w:rPr>
              <w:t>Sep</w:t>
            </w:r>
          </w:p>
        </w:tc>
        <w:tc>
          <w:tcPr>
            <w:tcW w:w="567" w:type="dxa"/>
            <w:shd w:val="clear" w:color="auto" w:fill="BDD6EE" w:themeFill="accent1" w:themeFillTint="66"/>
            <w:vAlign w:val="center"/>
          </w:tcPr>
          <w:p w14:paraId="36708092" w14:textId="77777777" w:rsidR="00FA2AC6" w:rsidRPr="00AC081B" w:rsidRDefault="00FA2AC6" w:rsidP="00557A0A">
            <w:pPr>
              <w:spacing w:before="0" w:after="0"/>
              <w:ind w:firstLine="0"/>
              <w:jc w:val="center"/>
              <w:rPr>
                <w:rFonts w:cs="Times New Roman"/>
                <w:b/>
                <w:bCs/>
                <w:noProof/>
                <w:sz w:val="20"/>
                <w:szCs w:val="20"/>
              </w:rPr>
            </w:pPr>
            <w:r w:rsidRPr="00AC081B">
              <w:rPr>
                <w:rFonts w:cs="Times New Roman"/>
                <w:b/>
                <w:bCs/>
                <w:noProof/>
                <w:sz w:val="20"/>
                <w:szCs w:val="20"/>
              </w:rPr>
              <w:t>Okt</w:t>
            </w:r>
          </w:p>
        </w:tc>
        <w:tc>
          <w:tcPr>
            <w:tcW w:w="567" w:type="dxa"/>
            <w:shd w:val="clear" w:color="auto" w:fill="BDD6EE" w:themeFill="accent1" w:themeFillTint="66"/>
            <w:vAlign w:val="center"/>
          </w:tcPr>
          <w:p w14:paraId="15012035" w14:textId="77777777" w:rsidR="00FA2AC6" w:rsidRPr="00AC081B" w:rsidRDefault="00FA2AC6" w:rsidP="00557A0A">
            <w:pPr>
              <w:spacing w:before="0" w:after="0"/>
              <w:ind w:firstLine="0"/>
              <w:jc w:val="center"/>
              <w:rPr>
                <w:rFonts w:cs="Times New Roman"/>
                <w:b/>
                <w:bCs/>
                <w:noProof/>
                <w:sz w:val="20"/>
                <w:szCs w:val="20"/>
              </w:rPr>
            </w:pPr>
            <w:r w:rsidRPr="00AC081B">
              <w:rPr>
                <w:rFonts w:cs="Times New Roman"/>
                <w:b/>
                <w:bCs/>
                <w:noProof/>
                <w:sz w:val="20"/>
                <w:szCs w:val="20"/>
              </w:rPr>
              <w:t>Nov</w:t>
            </w:r>
          </w:p>
        </w:tc>
      </w:tr>
      <w:tr w:rsidR="00FA2AC6" w:rsidRPr="00AC081B" w14:paraId="4B04045B" w14:textId="77777777" w:rsidTr="004F756F">
        <w:trPr>
          <w:trHeight w:val="372"/>
          <w:jc w:val="center"/>
        </w:trPr>
        <w:tc>
          <w:tcPr>
            <w:tcW w:w="1879" w:type="dxa"/>
            <w:shd w:val="clear" w:color="auto" w:fill="auto"/>
            <w:tcMar>
              <w:top w:w="12" w:type="dxa"/>
              <w:left w:w="12" w:type="dxa"/>
              <w:bottom w:w="0" w:type="dxa"/>
              <w:right w:w="12" w:type="dxa"/>
            </w:tcMar>
            <w:vAlign w:val="center"/>
            <w:hideMark/>
          </w:tcPr>
          <w:p w14:paraId="3537A375" w14:textId="77777777" w:rsidR="00FA2AC6" w:rsidRPr="00AC081B" w:rsidRDefault="00FA2AC6" w:rsidP="00557A0A">
            <w:pPr>
              <w:spacing w:before="0" w:after="0"/>
              <w:ind w:firstLine="0"/>
              <w:jc w:val="left"/>
              <w:rPr>
                <w:rFonts w:cs="Times New Roman"/>
                <w:sz w:val="20"/>
                <w:szCs w:val="20"/>
              </w:rPr>
            </w:pPr>
            <w:r w:rsidRPr="00AC081B">
              <w:rPr>
                <w:rFonts w:cs="Times New Roman"/>
                <w:sz w:val="20"/>
                <w:szCs w:val="20"/>
              </w:rPr>
              <w:t>Vidējā inflācija</w:t>
            </w:r>
          </w:p>
        </w:tc>
        <w:tc>
          <w:tcPr>
            <w:tcW w:w="567" w:type="dxa"/>
            <w:shd w:val="clear" w:color="auto" w:fill="auto"/>
            <w:tcMar>
              <w:top w:w="12" w:type="dxa"/>
              <w:left w:w="12" w:type="dxa"/>
              <w:bottom w:w="0" w:type="dxa"/>
              <w:right w:w="12" w:type="dxa"/>
            </w:tcMar>
            <w:vAlign w:val="center"/>
          </w:tcPr>
          <w:p w14:paraId="3286A1D0"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3,3</w:t>
            </w:r>
          </w:p>
        </w:tc>
        <w:tc>
          <w:tcPr>
            <w:tcW w:w="567" w:type="dxa"/>
            <w:shd w:val="clear" w:color="auto" w:fill="auto"/>
            <w:tcMar>
              <w:top w:w="12" w:type="dxa"/>
              <w:left w:w="12" w:type="dxa"/>
              <w:bottom w:w="0" w:type="dxa"/>
              <w:right w:w="12" w:type="dxa"/>
            </w:tcMar>
            <w:vAlign w:val="center"/>
          </w:tcPr>
          <w:p w14:paraId="71FA6806"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7,4</w:t>
            </w:r>
          </w:p>
        </w:tc>
        <w:tc>
          <w:tcPr>
            <w:tcW w:w="567" w:type="dxa"/>
            <w:shd w:val="clear" w:color="auto" w:fill="auto"/>
            <w:tcMar>
              <w:top w:w="12" w:type="dxa"/>
              <w:left w:w="12" w:type="dxa"/>
              <w:bottom w:w="0" w:type="dxa"/>
              <w:right w:w="12" w:type="dxa"/>
            </w:tcMar>
            <w:vAlign w:val="center"/>
          </w:tcPr>
          <w:p w14:paraId="2E75A89D"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8,7</w:t>
            </w:r>
          </w:p>
        </w:tc>
        <w:tc>
          <w:tcPr>
            <w:tcW w:w="567" w:type="dxa"/>
            <w:shd w:val="clear" w:color="auto" w:fill="auto"/>
            <w:vAlign w:val="center"/>
          </w:tcPr>
          <w:p w14:paraId="72D26161"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11,5</w:t>
            </w:r>
          </w:p>
        </w:tc>
        <w:tc>
          <w:tcPr>
            <w:tcW w:w="567" w:type="dxa"/>
            <w:shd w:val="clear" w:color="auto" w:fill="auto"/>
            <w:vAlign w:val="center"/>
          </w:tcPr>
          <w:p w14:paraId="0BEEB7FC"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13,0</w:t>
            </w:r>
          </w:p>
        </w:tc>
        <w:tc>
          <w:tcPr>
            <w:tcW w:w="567" w:type="dxa"/>
            <w:shd w:val="clear" w:color="auto" w:fill="auto"/>
            <w:vAlign w:val="center"/>
          </w:tcPr>
          <w:p w14:paraId="6014E7D5"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16,9</w:t>
            </w:r>
          </w:p>
        </w:tc>
        <w:tc>
          <w:tcPr>
            <w:tcW w:w="567" w:type="dxa"/>
            <w:shd w:val="clear" w:color="auto" w:fill="auto"/>
            <w:vAlign w:val="center"/>
          </w:tcPr>
          <w:p w14:paraId="1D0EB371"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19,3</w:t>
            </w:r>
          </w:p>
        </w:tc>
        <w:tc>
          <w:tcPr>
            <w:tcW w:w="567" w:type="dxa"/>
            <w:shd w:val="clear" w:color="auto" w:fill="auto"/>
            <w:vAlign w:val="center"/>
          </w:tcPr>
          <w:p w14:paraId="5806C074"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21,5</w:t>
            </w:r>
          </w:p>
        </w:tc>
        <w:tc>
          <w:tcPr>
            <w:tcW w:w="567" w:type="dxa"/>
            <w:shd w:val="clear" w:color="auto" w:fill="auto"/>
            <w:vAlign w:val="center"/>
          </w:tcPr>
          <w:p w14:paraId="16120A25"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21,5</w:t>
            </w:r>
          </w:p>
        </w:tc>
        <w:tc>
          <w:tcPr>
            <w:tcW w:w="532" w:type="dxa"/>
            <w:shd w:val="clear" w:color="auto" w:fill="auto"/>
            <w:vAlign w:val="center"/>
          </w:tcPr>
          <w:p w14:paraId="4D1BE56A"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22,2</w:t>
            </w:r>
          </w:p>
        </w:tc>
        <w:tc>
          <w:tcPr>
            <w:tcW w:w="567" w:type="dxa"/>
            <w:shd w:val="clear" w:color="auto" w:fill="auto"/>
            <w:vAlign w:val="center"/>
          </w:tcPr>
          <w:p w14:paraId="423CE149"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21,8</w:t>
            </w:r>
          </w:p>
        </w:tc>
        <w:tc>
          <w:tcPr>
            <w:tcW w:w="567" w:type="dxa"/>
            <w:shd w:val="clear" w:color="auto" w:fill="auto"/>
            <w:vAlign w:val="center"/>
          </w:tcPr>
          <w:p w14:paraId="349B75D4"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21,8</w:t>
            </w:r>
          </w:p>
        </w:tc>
      </w:tr>
      <w:tr w:rsidR="00FA2AC6" w:rsidRPr="00AC081B" w14:paraId="07976A86" w14:textId="77777777" w:rsidTr="004F756F">
        <w:trPr>
          <w:trHeight w:val="484"/>
          <w:jc w:val="center"/>
        </w:trPr>
        <w:tc>
          <w:tcPr>
            <w:tcW w:w="1879" w:type="dxa"/>
            <w:shd w:val="clear" w:color="auto" w:fill="DEEAF6" w:themeFill="accent1" w:themeFillTint="33"/>
            <w:tcMar>
              <w:top w:w="12" w:type="dxa"/>
              <w:left w:w="12" w:type="dxa"/>
              <w:bottom w:w="0" w:type="dxa"/>
              <w:right w:w="12" w:type="dxa"/>
            </w:tcMar>
            <w:vAlign w:val="center"/>
            <w:hideMark/>
          </w:tcPr>
          <w:p w14:paraId="7427F5B1" w14:textId="77777777" w:rsidR="00FA2AC6" w:rsidRPr="00AC081B" w:rsidRDefault="00FA2AC6" w:rsidP="00557A0A">
            <w:pPr>
              <w:spacing w:before="0" w:after="0"/>
              <w:ind w:firstLine="0"/>
              <w:jc w:val="left"/>
              <w:rPr>
                <w:rFonts w:cs="Times New Roman"/>
                <w:sz w:val="20"/>
                <w:szCs w:val="20"/>
              </w:rPr>
            </w:pPr>
            <w:r w:rsidRPr="00AC081B">
              <w:rPr>
                <w:rFonts w:cs="Times New Roman"/>
                <w:sz w:val="20"/>
                <w:szCs w:val="20"/>
              </w:rPr>
              <w:t>Pārtika un bezalkoholiskie dzērieni</w:t>
            </w:r>
          </w:p>
        </w:tc>
        <w:tc>
          <w:tcPr>
            <w:tcW w:w="567" w:type="dxa"/>
            <w:shd w:val="clear" w:color="auto" w:fill="DEEAF6" w:themeFill="accent1" w:themeFillTint="33"/>
            <w:tcMar>
              <w:top w:w="12" w:type="dxa"/>
              <w:left w:w="12" w:type="dxa"/>
              <w:bottom w:w="0" w:type="dxa"/>
              <w:right w:w="12" w:type="dxa"/>
            </w:tcMar>
            <w:vAlign w:val="center"/>
          </w:tcPr>
          <w:p w14:paraId="3C0970F3"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2,2</w:t>
            </w:r>
          </w:p>
        </w:tc>
        <w:tc>
          <w:tcPr>
            <w:tcW w:w="567" w:type="dxa"/>
            <w:shd w:val="clear" w:color="auto" w:fill="DEEAF6" w:themeFill="accent1" w:themeFillTint="33"/>
            <w:tcMar>
              <w:top w:w="12" w:type="dxa"/>
              <w:left w:w="12" w:type="dxa"/>
              <w:bottom w:w="0" w:type="dxa"/>
              <w:right w:w="12" w:type="dxa"/>
            </w:tcMar>
            <w:vAlign w:val="center"/>
          </w:tcPr>
          <w:p w14:paraId="513EF89D"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8,8</w:t>
            </w:r>
          </w:p>
        </w:tc>
        <w:tc>
          <w:tcPr>
            <w:tcW w:w="567" w:type="dxa"/>
            <w:shd w:val="clear" w:color="auto" w:fill="DEEAF6" w:themeFill="accent1" w:themeFillTint="33"/>
            <w:tcMar>
              <w:top w:w="12" w:type="dxa"/>
              <w:left w:w="12" w:type="dxa"/>
              <w:bottom w:w="0" w:type="dxa"/>
              <w:right w:w="12" w:type="dxa"/>
            </w:tcMar>
            <w:vAlign w:val="center"/>
          </w:tcPr>
          <w:p w14:paraId="77D46CC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11,8</w:t>
            </w:r>
          </w:p>
        </w:tc>
        <w:tc>
          <w:tcPr>
            <w:tcW w:w="567" w:type="dxa"/>
            <w:shd w:val="clear" w:color="auto" w:fill="DEEAF6" w:themeFill="accent1" w:themeFillTint="33"/>
            <w:vAlign w:val="center"/>
          </w:tcPr>
          <w:p w14:paraId="2B5F2FD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14,7</w:t>
            </w:r>
          </w:p>
        </w:tc>
        <w:tc>
          <w:tcPr>
            <w:tcW w:w="567" w:type="dxa"/>
            <w:shd w:val="clear" w:color="auto" w:fill="DEEAF6" w:themeFill="accent1" w:themeFillTint="33"/>
            <w:vAlign w:val="center"/>
          </w:tcPr>
          <w:p w14:paraId="7DBC3C6C"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17,4</w:t>
            </w:r>
          </w:p>
        </w:tc>
        <w:tc>
          <w:tcPr>
            <w:tcW w:w="567" w:type="dxa"/>
            <w:shd w:val="clear" w:color="auto" w:fill="DEEAF6" w:themeFill="accent1" w:themeFillTint="33"/>
            <w:vAlign w:val="center"/>
          </w:tcPr>
          <w:p w14:paraId="39670733"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18,2</w:t>
            </w:r>
          </w:p>
        </w:tc>
        <w:tc>
          <w:tcPr>
            <w:tcW w:w="567" w:type="dxa"/>
            <w:shd w:val="clear" w:color="auto" w:fill="DEEAF6" w:themeFill="accent1" w:themeFillTint="33"/>
            <w:vAlign w:val="center"/>
          </w:tcPr>
          <w:p w14:paraId="408C150E"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22,1</w:t>
            </w:r>
          </w:p>
        </w:tc>
        <w:tc>
          <w:tcPr>
            <w:tcW w:w="567" w:type="dxa"/>
            <w:shd w:val="clear" w:color="auto" w:fill="DEEAF6" w:themeFill="accent1" w:themeFillTint="33"/>
            <w:vAlign w:val="center"/>
          </w:tcPr>
          <w:p w14:paraId="591098A5"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24,3</w:t>
            </w:r>
          </w:p>
        </w:tc>
        <w:tc>
          <w:tcPr>
            <w:tcW w:w="567" w:type="dxa"/>
            <w:shd w:val="clear" w:color="auto" w:fill="DEEAF6" w:themeFill="accent1" w:themeFillTint="33"/>
            <w:vAlign w:val="center"/>
          </w:tcPr>
          <w:p w14:paraId="6CBCD49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25,7</w:t>
            </w:r>
          </w:p>
        </w:tc>
        <w:tc>
          <w:tcPr>
            <w:tcW w:w="532" w:type="dxa"/>
            <w:shd w:val="clear" w:color="auto" w:fill="DEEAF6" w:themeFill="accent1" w:themeFillTint="33"/>
            <w:vAlign w:val="center"/>
          </w:tcPr>
          <w:p w14:paraId="2335BA12"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27,5</w:t>
            </w:r>
          </w:p>
        </w:tc>
        <w:tc>
          <w:tcPr>
            <w:tcW w:w="567" w:type="dxa"/>
            <w:shd w:val="clear" w:color="auto" w:fill="DEEAF6" w:themeFill="accent1" w:themeFillTint="33"/>
            <w:vAlign w:val="center"/>
          </w:tcPr>
          <w:p w14:paraId="5F300400"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29,5</w:t>
            </w:r>
          </w:p>
        </w:tc>
        <w:tc>
          <w:tcPr>
            <w:tcW w:w="567" w:type="dxa"/>
            <w:shd w:val="clear" w:color="auto" w:fill="DEEAF6" w:themeFill="accent1" w:themeFillTint="33"/>
            <w:vAlign w:val="center"/>
          </w:tcPr>
          <w:p w14:paraId="50166E6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29,5</w:t>
            </w:r>
          </w:p>
        </w:tc>
      </w:tr>
      <w:tr w:rsidR="00FA2AC6" w:rsidRPr="00AC081B" w14:paraId="72B8C1F9" w14:textId="77777777" w:rsidTr="004F756F">
        <w:trPr>
          <w:trHeight w:val="344"/>
          <w:jc w:val="center"/>
        </w:trPr>
        <w:tc>
          <w:tcPr>
            <w:tcW w:w="1879" w:type="dxa"/>
            <w:shd w:val="clear" w:color="auto" w:fill="auto"/>
            <w:tcMar>
              <w:top w:w="12" w:type="dxa"/>
              <w:left w:w="12" w:type="dxa"/>
              <w:bottom w:w="0" w:type="dxa"/>
              <w:right w:w="12" w:type="dxa"/>
            </w:tcMar>
            <w:vAlign w:val="center"/>
            <w:hideMark/>
          </w:tcPr>
          <w:p w14:paraId="56DE541F" w14:textId="77777777" w:rsidR="00FA2AC6" w:rsidRPr="00AC081B" w:rsidRDefault="00FA2AC6" w:rsidP="00557A0A">
            <w:pPr>
              <w:spacing w:before="0" w:after="0"/>
              <w:ind w:firstLine="0"/>
              <w:jc w:val="left"/>
              <w:rPr>
                <w:rFonts w:cs="Times New Roman"/>
                <w:sz w:val="20"/>
                <w:szCs w:val="20"/>
              </w:rPr>
            </w:pPr>
            <w:r w:rsidRPr="00AC081B">
              <w:rPr>
                <w:rFonts w:cs="Times New Roman"/>
                <w:sz w:val="20"/>
                <w:szCs w:val="20"/>
              </w:rPr>
              <w:t>Mājokļa īres maksa</w:t>
            </w:r>
          </w:p>
        </w:tc>
        <w:tc>
          <w:tcPr>
            <w:tcW w:w="567" w:type="dxa"/>
            <w:shd w:val="clear" w:color="auto" w:fill="auto"/>
            <w:tcMar>
              <w:top w:w="12" w:type="dxa"/>
              <w:left w:w="12" w:type="dxa"/>
              <w:bottom w:w="0" w:type="dxa"/>
              <w:right w:w="12" w:type="dxa"/>
            </w:tcMar>
            <w:vAlign w:val="center"/>
          </w:tcPr>
          <w:p w14:paraId="2A4E0101"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1,6</w:t>
            </w:r>
          </w:p>
        </w:tc>
        <w:tc>
          <w:tcPr>
            <w:tcW w:w="567" w:type="dxa"/>
            <w:shd w:val="clear" w:color="auto" w:fill="auto"/>
            <w:tcMar>
              <w:top w:w="12" w:type="dxa"/>
              <w:left w:w="12" w:type="dxa"/>
              <w:bottom w:w="0" w:type="dxa"/>
              <w:right w:w="12" w:type="dxa"/>
            </w:tcMar>
            <w:vAlign w:val="center"/>
          </w:tcPr>
          <w:p w14:paraId="0D8951BE"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2,1</w:t>
            </w:r>
          </w:p>
        </w:tc>
        <w:tc>
          <w:tcPr>
            <w:tcW w:w="567" w:type="dxa"/>
            <w:shd w:val="clear" w:color="auto" w:fill="auto"/>
            <w:tcMar>
              <w:top w:w="12" w:type="dxa"/>
              <w:left w:w="12" w:type="dxa"/>
              <w:bottom w:w="0" w:type="dxa"/>
              <w:right w:w="12" w:type="dxa"/>
            </w:tcMar>
            <w:vAlign w:val="center"/>
          </w:tcPr>
          <w:p w14:paraId="68119959"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3,1</w:t>
            </w:r>
          </w:p>
        </w:tc>
        <w:tc>
          <w:tcPr>
            <w:tcW w:w="567" w:type="dxa"/>
            <w:vAlign w:val="center"/>
          </w:tcPr>
          <w:p w14:paraId="0634D56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3,4</w:t>
            </w:r>
          </w:p>
        </w:tc>
        <w:tc>
          <w:tcPr>
            <w:tcW w:w="567" w:type="dxa"/>
            <w:vAlign w:val="center"/>
          </w:tcPr>
          <w:p w14:paraId="33ECBE98"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2,1</w:t>
            </w:r>
          </w:p>
        </w:tc>
        <w:tc>
          <w:tcPr>
            <w:tcW w:w="567" w:type="dxa"/>
            <w:vAlign w:val="center"/>
          </w:tcPr>
          <w:p w14:paraId="1C589AB2"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6,0</w:t>
            </w:r>
          </w:p>
        </w:tc>
        <w:tc>
          <w:tcPr>
            <w:tcW w:w="567" w:type="dxa"/>
            <w:vAlign w:val="center"/>
          </w:tcPr>
          <w:p w14:paraId="0E33717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9,3</w:t>
            </w:r>
          </w:p>
        </w:tc>
        <w:tc>
          <w:tcPr>
            <w:tcW w:w="567" w:type="dxa"/>
            <w:vAlign w:val="center"/>
          </w:tcPr>
          <w:p w14:paraId="66948AB1"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7,9</w:t>
            </w:r>
          </w:p>
        </w:tc>
        <w:tc>
          <w:tcPr>
            <w:tcW w:w="567" w:type="dxa"/>
            <w:vAlign w:val="center"/>
          </w:tcPr>
          <w:p w14:paraId="6B99856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5,2</w:t>
            </w:r>
          </w:p>
        </w:tc>
        <w:tc>
          <w:tcPr>
            <w:tcW w:w="532" w:type="dxa"/>
            <w:vAlign w:val="center"/>
          </w:tcPr>
          <w:p w14:paraId="7BA0EB0E"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2,4</w:t>
            </w:r>
          </w:p>
        </w:tc>
        <w:tc>
          <w:tcPr>
            <w:tcW w:w="567" w:type="dxa"/>
            <w:vAlign w:val="center"/>
          </w:tcPr>
          <w:p w14:paraId="6766827A"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-1,0</w:t>
            </w:r>
          </w:p>
        </w:tc>
        <w:tc>
          <w:tcPr>
            <w:tcW w:w="567" w:type="dxa"/>
            <w:vAlign w:val="center"/>
          </w:tcPr>
          <w:p w14:paraId="62A86F0A"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-3,0</w:t>
            </w:r>
          </w:p>
        </w:tc>
      </w:tr>
      <w:tr w:rsidR="00FA2AC6" w:rsidRPr="00AC081B" w14:paraId="24E9E799" w14:textId="77777777" w:rsidTr="004F756F">
        <w:trPr>
          <w:trHeight w:val="296"/>
          <w:jc w:val="center"/>
        </w:trPr>
        <w:tc>
          <w:tcPr>
            <w:tcW w:w="1879" w:type="dxa"/>
            <w:shd w:val="clear" w:color="auto" w:fill="DEEAF6" w:themeFill="accent1" w:themeFillTint="33"/>
            <w:tcMar>
              <w:top w:w="12" w:type="dxa"/>
              <w:left w:w="12" w:type="dxa"/>
              <w:bottom w:w="0" w:type="dxa"/>
              <w:right w:w="12" w:type="dxa"/>
            </w:tcMar>
            <w:vAlign w:val="center"/>
            <w:hideMark/>
          </w:tcPr>
          <w:p w14:paraId="34F66A83" w14:textId="77777777" w:rsidR="00FA2AC6" w:rsidRPr="00AC081B" w:rsidRDefault="00FA2AC6" w:rsidP="00557A0A">
            <w:pPr>
              <w:spacing w:before="0" w:after="0"/>
              <w:ind w:firstLine="0"/>
              <w:jc w:val="left"/>
              <w:rPr>
                <w:rFonts w:cs="Times New Roman"/>
                <w:sz w:val="20"/>
                <w:szCs w:val="20"/>
              </w:rPr>
            </w:pPr>
            <w:r w:rsidRPr="00AC081B">
              <w:rPr>
                <w:rFonts w:cs="Times New Roman"/>
                <w:sz w:val="20"/>
                <w:szCs w:val="20"/>
              </w:rPr>
              <w:t>Elektroenerģija</w:t>
            </w:r>
          </w:p>
        </w:tc>
        <w:tc>
          <w:tcPr>
            <w:tcW w:w="567" w:type="dxa"/>
            <w:shd w:val="clear" w:color="auto" w:fill="DEEAF6" w:themeFill="accent1" w:themeFillTint="33"/>
            <w:tcMar>
              <w:top w:w="12" w:type="dxa"/>
              <w:left w:w="12" w:type="dxa"/>
              <w:bottom w:w="0" w:type="dxa"/>
              <w:right w:w="12" w:type="dxa"/>
            </w:tcMar>
            <w:vAlign w:val="center"/>
          </w:tcPr>
          <w:p w14:paraId="6C610392"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8,1</w:t>
            </w:r>
          </w:p>
        </w:tc>
        <w:tc>
          <w:tcPr>
            <w:tcW w:w="567" w:type="dxa"/>
            <w:shd w:val="clear" w:color="auto" w:fill="DEEAF6" w:themeFill="accent1" w:themeFillTint="33"/>
            <w:tcMar>
              <w:top w:w="12" w:type="dxa"/>
              <w:left w:w="12" w:type="dxa"/>
              <w:bottom w:w="0" w:type="dxa"/>
              <w:right w:w="12" w:type="dxa"/>
            </w:tcMar>
            <w:vAlign w:val="center"/>
          </w:tcPr>
          <w:p w14:paraId="60D2EC0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-17,9</w:t>
            </w:r>
          </w:p>
        </w:tc>
        <w:tc>
          <w:tcPr>
            <w:tcW w:w="567" w:type="dxa"/>
            <w:shd w:val="clear" w:color="auto" w:fill="DEEAF6" w:themeFill="accent1" w:themeFillTint="33"/>
            <w:tcMar>
              <w:top w:w="12" w:type="dxa"/>
              <w:left w:w="12" w:type="dxa"/>
              <w:bottom w:w="0" w:type="dxa"/>
              <w:right w:w="12" w:type="dxa"/>
            </w:tcMar>
            <w:vAlign w:val="center"/>
          </w:tcPr>
          <w:p w14:paraId="16B5A94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-17,9</w:t>
            </w:r>
          </w:p>
        </w:tc>
        <w:tc>
          <w:tcPr>
            <w:tcW w:w="567" w:type="dxa"/>
            <w:shd w:val="clear" w:color="auto" w:fill="DEEAF6" w:themeFill="accent1" w:themeFillTint="33"/>
            <w:vAlign w:val="center"/>
          </w:tcPr>
          <w:p w14:paraId="522BCF60"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-4,9</w:t>
            </w:r>
          </w:p>
        </w:tc>
        <w:tc>
          <w:tcPr>
            <w:tcW w:w="567" w:type="dxa"/>
            <w:shd w:val="clear" w:color="auto" w:fill="DEEAF6" w:themeFill="accent1" w:themeFillTint="33"/>
            <w:vAlign w:val="center"/>
          </w:tcPr>
          <w:p w14:paraId="75BF73C2"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-5,9</w:t>
            </w:r>
          </w:p>
        </w:tc>
        <w:tc>
          <w:tcPr>
            <w:tcW w:w="567" w:type="dxa"/>
            <w:shd w:val="clear" w:color="auto" w:fill="DEEAF6" w:themeFill="accent1" w:themeFillTint="33"/>
            <w:vAlign w:val="center"/>
          </w:tcPr>
          <w:p w14:paraId="4CC8CA2B"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49,3</w:t>
            </w:r>
          </w:p>
        </w:tc>
        <w:tc>
          <w:tcPr>
            <w:tcW w:w="567" w:type="dxa"/>
            <w:shd w:val="clear" w:color="auto" w:fill="DEEAF6" w:themeFill="accent1" w:themeFillTint="33"/>
            <w:vAlign w:val="center"/>
          </w:tcPr>
          <w:p w14:paraId="4E00B4A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63,2</w:t>
            </w:r>
          </w:p>
        </w:tc>
        <w:tc>
          <w:tcPr>
            <w:tcW w:w="567" w:type="dxa"/>
            <w:shd w:val="clear" w:color="auto" w:fill="DEEAF6" w:themeFill="accent1" w:themeFillTint="33"/>
            <w:vAlign w:val="center"/>
          </w:tcPr>
          <w:p w14:paraId="0C1F4D21"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78,5</w:t>
            </w:r>
          </w:p>
        </w:tc>
        <w:tc>
          <w:tcPr>
            <w:tcW w:w="567" w:type="dxa"/>
            <w:shd w:val="clear" w:color="auto" w:fill="DEEAF6" w:themeFill="accent1" w:themeFillTint="33"/>
            <w:vAlign w:val="center"/>
          </w:tcPr>
          <w:p w14:paraId="27DE920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100</w:t>
            </w:r>
          </w:p>
        </w:tc>
        <w:tc>
          <w:tcPr>
            <w:tcW w:w="532" w:type="dxa"/>
            <w:shd w:val="clear" w:color="auto" w:fill="DEEAF6" w:themeFill="accent1" w:themeFillTint="33"/>
            <w:vAlign w:val="center"/>
          </w:tcPr>
          <w:p w14:paraId="2094E25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95,9</w:t>
            </w:r>
          </w:p>
        </w:tc>
        <w:tc>
          <w:tcPr>
            <w:tcW w:w="567" w:type="dxa"/>
            <w:shd w:val="clear" w:color="auto" w:fill="DEEAF6" w:themeFill="accent1" w:themeFillTint="33"/>
            <w:vAlign w:val="center"/>
          </w:tcPr>
          <w:p w14:paraId="0ABD2976"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32,4</w:t>
            </w:r>
          </w:p>
        </w:tc>
        <w:tc>
          <w:tcPr>
            <w:tcW w:w="567" w:type="dxa"/>
            <w:shd w:val="clear" w:color="auto" w:fill="DEEAF6" w:themeFill="accent1" w:themeFillTint="33"/>
            <w:vAlign w:val="center"/>
          </w:tcPr>
          <w:p w14:paraId="15EC4A45"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29,0</w:t>
            </w:r>
          </w:p>
        </w:tc>
      </w:tr>
      <w:tr w:rsidR="00FA2AC6" w:rsidRPr="00AC081B" w14:paraId="5A2C99E2" w14:textId="77777777" w:rsidTr="004F756F">
        <w:trPr>
          <w:trHeight w:val="218"/>
          <w:jc w:val="center"/>
        </w:trPr>
        <w:tc>
          <w:tcPr>
            <w:tcW w:w="1879" w:type="dxa"/>
            <w:shd w:val="clear" w:color="auto" w:fill="auto"/>
            <w:tcMar>
              <w:top w:w="12" w:type="dxa"/>
              <w:left w:w="12" w:type="dxa"/>
              <w:bottom w:w="0" w:type="dxa"/>
              <w:right w:w="12" w:type="dxa"/>
            </w:tcMar>
            <w:vAlign w:val="center"/>
            <w:hideMark/>
          </w:tcPr>
          <w:p w14:paraId="3C66AAB4" w14:textId="77777777" w:rsidR="00FA2AC6" w:rsidRPr="00AC081B" w:rsidRDefault="00FA2AC6" w:rsidP="00557A0A">
            <w:pPr>
              <w:spacing w:before="0" w:after="0"/>
              <w:ind w:firstLine="0"/>
              <w:jc w:val="left"/>
              <w:rPr>
                <w:rFonts w:cs="Times New Roman"/>
                <w:sz w:val="20"/>
                <w:szCs w:val="20"/>
              </w:rPr>
            </w:pPr>
            <w:r w:rsidRPr="00AC081B">
              <w:rPr>
                <w:rFonts w:cs="Times New Roman"/>
                <w:sz w:val="20"/>
                <w:szCs w:val="20"/>
              </w:rPr>
              <w:t>Gāze</w:t>
            </w:r>
          </w:p>
        </w:tc>
        <w:tc>
          <w:tcPr>
            <w:tcW w:w="567" w:type="dxa"/>
            <w:shd w:val="clear" w:color="auto" w:fill="auto"/>
            <w:tcMar>
              <w:top w:w="12" w:type="dxa"/>
              <w:left w:w="12" w:type="dxa"/>
              <w:bottom w:w="0" w:type="dxa"/>
              <w:right w:w="12" w:type="dxa"/>
            </w:tcMar>
            <w:vAlign w:val="center"/>
          </w:tcPr>
          <w:p w14:paraId="49AF983A"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16,8</w:t>
            </w:r>
          </w:p>
        </w:tc>
        <w:tc>
          <w:tcPr>
            <w:tcW w:w="567" w:type="dxa"/>
            <w:shd w:val="clear" w:color="auto" w:fill="auto"/>
            <w:tcMar>
              <w:top w:w="12" w:type="dxa"/>
              <w:left w:w="12" w:type="dxa"/>
              <w:bottom w:w="0" w:type="dxa"/>
              <w:right w:w="12" w:type="dxa"/>
            </w:tcMar>
            <w:vAlign w:val="center"/>
          </w:tcPr>
          <w:p w14:paraId="706FC4EE"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65,3</w:t>
            </w:r>
          </w:p>
        </w:tc>
        <w:tc>
          <w:tcPr>
            <w:tcW w:w="567" w:type="dxa"/>
            <w:shd w:val="clear" w:color="auto" w:fill="auto"/>
            <w:tcMar>
              <w:top w:w="12" w:type="dxa"/>
              <w:left w:w="12" w:type="dxa"/>
              <w:bottom w:w="0" w:type="dxa"/>
              <w:right w:w="12" w:type="dxa"/>
            </w:tcMar>
            <w:vAlign w:val="center"/>
          </w:tcPr>
          <w:p w14:paraId="0AE2D2D4"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65,5</w:t>
            </w:r>
          </w:p>
        </w:tc>
        <w:tc>
          <w:tcPr>
            <w:tcW w:w="567" w:type="dxa"/>
            <w:vAlign w:val="center"/>
          </w:tcPr>
          <w:p w14:paraId="3ABEC5F0"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68,5</w:t>
            </w:r>
          </w:p>
        </w:tc>
        <w:tc>
          <w:tcPr>
            <w:tcW w:w="567" w:type="dxa"/>
            <w:vAlign w:val="center"/>
          </w:tcPr>
          <w:p w14:paraId="43BC677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71,1</w:t>
            </w:r>
          </w:p>
        </w:tc>
        <w:tc>
          <w:tcPr>
            <w:tcW w:w="567" w:type="dxa"/>
            <w:vAlign w:val="center"/>
          </w:tcPr>
          <w:p w14:paraId="2DDB4EC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107</w:t>
            </w:r>
          </w:p>
        </w:tc>
        <w:tc>
          <w:tcPr>
            <w:tcW w:w="567" w:type="dxa"/>
            <w:vAlign w:val="center"/>
          </w:tcPr>
          <w:p w14:paraId="5169E163"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106</w:t>
            </w:r>
          </w:p>
        </w:tc>
        <w:tc>
          <w:tcPr>
            <w:tcW w:w="567" w:type="dxa"/>
            <w:vAlign w:val="center"/>
          </w:tcPr>
          <w:p w14:paraId="65F87C89"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151</w:t>
            </w:r>
          </w:p>
        </w:tc>
        <w:tc>
          <w:tcPr>
            <w:tcW w:w="567" w:type="dxa"/>
            <w:vAlign w:val="center"/>
          </w:tcPr>
          <w:p w14:paraId="08CE915A"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108</w:t>
            </w:r>
          </w:p>
        </w:tc>
        <w:tc>
          <w:tcPr>
            <w:tcW w:w="532" w:type="dxa"/>
            <w:vAlign w:val="center"/>
          </w:tcPr>
          <w:p w14:paraId="77AAEDA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108</w:t>
            </w:r>
          </w:p>
        </w:tc>
        <w:tc>
          <w:tcPr>
            <w:tcW w:w="567" w:type="dxa"/>
            <w:vAlign w:val="center"/>
          </w:tcPr>
          <w:p w14:paraId="736C1634"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106</w:t>
            </w:r>
          </w:p>
        </w:tc>
        <w:tc>
          <w:tcPr>
            <w:tcW w:w="567" w:type="dxa"/>
            <w:vAlign w:val="center"/>
          </w:tcPr>
          <w:p w14:paraId="149CB085"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105</w:t>
            </w:r>
          </w:p>
        </w:tc>
      </w:tr>
      <w:tr w:rsidR="00FA2AC6" w:rsidRPr="00AC081B" w14:paraId="239479BB" w14:textId="77777777" w:rsidTr="004F756F">
        <w:trPr>
          <w:trHeight w:val="274"/>
          <w:jc w:val="center"/>
        </w:trPr>
        <w:tc>
          <w:tcPr>
            <w:tcW w:w="1879" w:type="dxa"/>
            <w:shd w:val="clear" w:color="auto" w:fill="DEEAF6" w:themeFill="accent1" w:themeFillTint="33"/>
            <w:tcMar>
              <w:top w:w="12" w:type="dxa"/>
              <w:left w:w="12" w:type="dxa"/>
              <w:bottom w:w="0" w:type="dxa"/>
              <w:right w:w="12" w:type="dxa"/>
            </w:tcMar>
            <w:vAlign w:val="center"/>
            <w:hideMark/>
          </w:tcPr>
          <w:p w14:paraId="7C185C73" w14:textId="77777777" w:rsidR="00FA2AC6" w:rsidRPr="00AC081B" w:rsidRDefault="00FA2AC6" w:rsidP="00557A0A">
            <w:pPr>
              <w:spacing w:before="0" w:after="0"/>
              <w:ind w:firstLine="0"/>
              <w:jc w:val="left"/>
              <w:rPr>
                <w:rFonts w:cs="Times New Roman"/>
                <w:sz w:val="20"/>
                <w:szCs w:val="20"/>
              </w:rPr>
            </w:pPr>
            <w:r w:rsidRPr="00AC081B">
              <w:rPr>
                <w:rFonts w:cs="Times New Roman"/>
                <w:sz w:val="20"/>
                <w:szCs w:val="20"/>
              </w:rPr>
              <w:t>Siltumenerģija</w:t>
            </w:r>
          </w:p>
        </w:tc>
        <w:tc>
          <w:tcPr>
            <w:tcW w:w="567" w:type="dxa"/>
            <w:shd w:val="clear" w:color="auto" w:fill="DEEAF6" w:themeFill="accent1" w:themeFillTint="33"/>
            <w:tcMar>
              <w:top w:w="12" w:type="dxa"/>
              <w:left w:w="12" w:type="dxa"/>
              <w:bottom w:w="0" w:type="dxa"/>
              <w:right w:w="12" w:type="dxa"/>
            </w:tcMar>
            <w:vAlign w:val="center"/>
          </w:tcPr>
          <w:p w14:paraId="4D9F9074"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3,5</w:t>
            </w:r>
          </w:p>
        </w:tc>
        <w:tc>
          <w:tcPr>
            <w:tcW w:w="567" w:type="dxa"/>
            <w:shd w:val="clear" w:color="auto" w:fill="DEEAF6" w:themeFill="accent1" w:themeFillTint="33"/>
            <w:tcMar>
              <w:top w:w="12" w:type="dxa"/>
              <w:left w:w="12" w:type="dxa"/>
              <w:bottom w:w="0" w:type="dxa"/>
              <w:right w:w="12" w:type="dxa"/>
            </w:tcMar>
            <w:vAlign w:val="center"/>
          </w:tcPr>
          <w:p w14:paraId="7D758289"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25,2</w:t>
            </w:r>
          </w:p>
        </w:tc>
        <w:tc>
          <w:tcPr>
            <w:tcW w:w="567" w:type="dxa"/>
            <w:shd w:val="clear" w:color="auto" w:fill="DEEAF6" w:themeFill="accent1" w:themeFillTint="33"/>
            <w:tcMar>
              <w:top w:w="12" w:type="dxa"/>
              <w:left w:w="12" w:type="dxa"/>
              <w:bottom w:w="0" w:type="dxa"/>
              <w:right w:w="12" w:type="dxa"/>
            </w:tcMar>
            <w:vAlign w:val="center"/>
          </w:tcPr>
          <w:p w14:paraId="201DBE2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26,7</w:t>
            </w:r>
          </w:p>
        </w:tc>
        <w:tc>
          <w:tcPr>
            <w:tcW w:w="567" w:type="dxa"/>
            <w:shd w:val="clear" w:color="auto" w:fill="DEEAF6" w:themeFill="accent1" w:themeFillTint="33"/>
            <w:vAlign w:val="center"/>
          </w:tcPr>
          <w:p w14:paraId="3014A5BA"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27,9</w:t>
            </w:r>
          </w:p>
        </w:tc>
        <w:tc>
          <w:tcPr>
            <w:tcW w:w="567" w:type="dxa"/>
            <w:shd w:val="clear" w:color="auto" w:fill="DEEAF6" w:themeFill="accent1" w:themeFillTint="33"/>
            <w:vAlign w:val="center"/>
          </w:tcPr>
          <w:p w14:paraId="232695F5"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27,9</w:t>
            </w:r>
          </w:p>
        </w:tc>
        <w:tc>
          <w:tcPr>
            <w:tcW w:w="567" w:type="dxa"/>
            <w:shd w:val="clear" w:color="auto" w:fill="DEEAF6" w:themeFill="accent1" w:themeFillTint="33"/>
            <w:vAlign w:val="center"/>
          </w:tcPr>
          <w:p w14:paraId="1A539320"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47,8</w:t>
            </w:r>
          </w:p>
        </w:tc>
        <w:tc>
          <w:tcPr>
            <w:tcW w:w="567" w:type="dxa"/>
            <w:shd w:val="clear" w:color="auto" w:fill="DEEAF6" w:themeFill="accent1" w:themeFillTint="33"/>
            <w:vAlign w:val="center"/>
          </w:tcPr>
          <w:p w14:paraId="133FF22B"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51,1</w:t>
            </w:r>
          </w:p>
        </w:tc>
        <w:tc>
          <w:tcPr>
            <w:tcW w:w="567" w:type="dxa"/>
            <w:shd w:val="clear" w:color="auto" w:fill="DEEAF6" w:themeFill="accent1" w:themeFillTint="33"/>
            <w:vAlign w:val="center"/>
          </w:tcPr>
          <w:p w14:paraId="173A104C"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59,3</w:t>
            </w:r>
          </w:p>
        </w:tc>
        <w:tc>
          <w:tcPr>
            <w:tcW w:w="567" w:type="dxa"/>
            <w:shd w:val="clear" w:color="auto" w:fill="DEEAF6" w:themeFill="accent1" w:themeFillTint="33"/>
            <w:vAlign w:val="center"/>
          </w:tcPr>
          <w:p w14:paraId="299001B0"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59,9</w:t>
            </w:r>
          </w:p>
        </w:tc>
        <w:tc>
          <w:tcPr>
            <w:tcW w:w="532" w:type="dxa"/>
            <w:shd w:val="clear" w:color="auto" w:fill="DEEAF6" w:themeFill="accent1" w:themeFillTint="33"/>
            <w:vAlign w:val="center"/>
          </w:tcPr>
          <w:p w14:paraId="149D7AC2"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58,6</w:t>
            </w:r>
          </w:p>
        </w:tc>
        <w:tc>
          <w:tcPr>
            <w:tcW w:w="567" w:type="dxa"/>
            <w:shd w:val="clear" w:color="auto" w:fill="DEEAF6" w:themeFill="accent1" w:themeFillTint="33"/>
            <w:vAlign w:val="center"/>
          </w:tcPr>
          <w:p w14:paraId="787B1254"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84,8</w:t>
            </w:r>
          </w:p>
        </w:tc>
        <w:tc>
          <w:tcPr>
            <w:tcW w:w="567" w:type="dxa"/>
            <w:shd w:val="clear" w:color="auto" w:fill="DEEAF6" w:themeFill="accent1" w:themeFillTint="33"/>
            <w:vAlign w:val="center"/>
          </w:tcPr>
          <w:p w14:paraId="247B2704"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75,0</w:t>
            </w:r>
          </w:p>
        </w:tc>
      </w:tr>
      <w:tr w:rsidR="00FA2AC6" w:rsidRPr="00AC081B" w14:paraId="490EB990" w14:textId="77777777" w:rsidTr="004F756F">
        <w:trPr>
          <w:trHeight w:val="264"/>
          <w:jc w:val="center"/>
        </w:trPr>
        <w:tc>
          <w:tcPr>
            <w:tcW w:w="1879" w:type="dxa"/>
            <w:shd w:val="clear" w:color="auto" w:fill="auto"/>
            <w:tcMar>
              <w:top w:w="12" w:type="dxa"/>
              <w:left w:w="12" w:type="dxa"/>
              <w:bottom w:w="0" w:type="dxa"/>
              <w:right w:w="12" w:type="dxa"/>
            </w:tcMar>
            <w:vAlign w:val="center"/>
            <w:hideMark/>
          </w:tcPr>
          <w:p w14:paraId="120EB408" w14:textId="77777777" w:rsidR="00FA2AC6" w:rsidRPr="00AC081B" w:rsidRDefault="00FA2AC6" w:rsidP="00557A0A">
            <w:pPr>
              <w:spacing w:before="0" w:after="0"/>
              <w:ind w:firstLine="0"/>
              <w:jc w:val="left"/>
              <w:rPr>
                <w:rFonts w:cs="Times New Roman"/>
                <w:sz w:val="20"/>
                <w:szCs w:val="20"/>
              </w:rPr>
            </w:pPr>
            <w:r w:rsidRPr="00AC081B">
              <w:rPr>
                <w:rFonts w:cs="Times New Roman"/>
                <w:sz w:val="20"/>
                <w:szCs w:val="20"/>
              </w:rPr>
              <w:t>Degviela</w:t>
            </w:r>
          </w:p>
        </w:tc>
        <w:tc>
          <w:tcPr>
            <w:tcW w:w="567" w:type="dxa"/>
            <w:shd w:val="clear" w:color="auto" w:fill="auto"/>
            <w:tcMar>
              <w:top w:w="12" w:type="dxa"/>
              <w:left w:w="12" w:type="dxa"/>
              <w:bottom w:w="0" w:type="dxa"/>
              <w:right w:w="12" w:type="dxa"/>
            </w:tcMar>
            <w:vAlign w:val="center"/>
          </w:tcPr>
          <w:p w14:paraId="591D5A1E"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17,4</w:t>
            </w:r>
          </w:p>
        </w:tc>
        <w:tc>
          <w:tcPr>
            <w:tcW w:w="567" w:type="dxa"/>
            <w:shd w:val="clear" w:color="auto" w:fill="auto"/>
            <w:tcMar>
              <w:top w:w="12" w:type="dxa"/>
              <w:left w:w="12" w:type="dxa"/>
              <w:bottom w:w="0" w:type="dxa"/>
              <w:right w:w="12" w:type="dxa"/>
            </w:tcMar>
            <w:vAlign w:val="center"/>
          </w:tcPr>
          <w:p w14:paraId="5617081D"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26,3</w:t>
            </w:r>
          </w:p>
        </w:tc>
        <w:tc>
          <w:tcPr>
            <w:tcW w:w="567" w:type="dxa"/>
            <w:shd w:val="clear" w:color="auto" w:fill="auto"/>
            <w:tcMar>
              <w:top w:w="12" w:type="dxa"/>
              <w:left w:w="12" w:type="dxa"/>
              <w:bottom w:w="0" w:type="dxa"/>
              <w:right w:w="12" w:type="dxa"/>
            </w:tcMar>
            <w:vAlign w:val="center"/>
          </w:tcPr>
          <w:p w14:paraId="4C9F2ADC"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26,6</w:t>
            </w:r>
          </w:p>
        </w:tc>
        <w:tc>
          <w:tcPr>
            <w:tcW w:w="567" w:type="dxa"/>
            <w:vAlign w:val="center"/>
          </w:tcPr>
          <w:p w14:paraId="113C0A19"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43,3</w:t>
            </w:r>
          </w:p>
        </w:tc>
        <w:tc>
          <w:tcPr>
            <w:tcW w:w="567" w:type="dxa"/>
            <w:vAlign w:val="center"/>
          </w:tcPr>
          <w:p w14:paraId="475C2232"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45,7</w:t>
            </w:r>
          </w:p>
        </w:tc>
        <w:tc>
          <w:tcPr>
            <w:tcW w:w="567" w:type="dxa"/>
            <w:vAlign w:val="center"/>
          </w:tcPr>
          <w:p w14:paraId="3498AC16"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51,1</w:t>
            </w:r>
          </w:p>
        </w:tc>
        <w:tc>
          <w:tcPr>
            <w:tcW w:w="567" w:type="dxa"/>
            <w:vAlign w:val="center"/>
          </w:tcPr>
          <w:p w14:paraId="600E8C40"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60,3</w:t>
            </w:r>
          </w:p>
        </w:tc>
        <w:tc>
          <w:tcPr>
            <w:tcW w:w="567" w:type="dxa"/>
            <w:vAlign w:val="center"/>
          </w:tcPr>
          <w:p w14:paraId="29275F4C"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51,5</w:t>
            </w:r>
          </w:p>
        </w:tc>
        <w:tc>
          <w:tcPr>
            <w:tcW w:w="567" w:type="dxa"/>
            <w:vAlign w:val="center"/>
          </w:tcPr>
          <w:p w14:paraId="667FBD99"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40,4</w:t>
            </w:r>
          </w:p>
        </w:tc>
        <w:tc>
          <w:tcPr>
            <w:tcW w:w="532" w:type="dxa"/>
            <w:vAlign w:val="center"/>
          </w:tcPr>
          <w:p w14:paraId="4D99925D"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37,4</w:t>
            </w:r>
          </w:p>
        </w:tc>
        <w:tc>
          <w:tcPr>
            <w:tcW w:w="567" w:type="dxa"/>
            <w:vAlign w:val="center"/>
          </w:tcPr>
          <w:p w14:paraId="1790D653"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32,1</w:t>
            </w:r>
          </w:p>
        </w:tc>
        <w:tc>
          <w:tcPr>
            <w:tcW w:w="567" w:type="dxa"/>
            <w:vAlign w:val="center"/>
          </w:tcPr>
          <w:p w14:paraId="2A7AEE25"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28,4</w:t>
            </w:r>
          </w:p>
        </w:tc>
      </w:tr>
      <w:tr w:rsidR="00FA2AC6" w:rsidRPr="00AC081B" w14:paraId="67924504" w14:textId="77777777" w:rsidTr="004F756F">
        <w:trPr>
          <w:trHeight w:val="270"/>
          <w:jc w:val="center"/>
        </w:trPr>
        <w:tc>
          <w:tcPr>
            <w:tcW w:w="1879" w:type="dxa"/>
            <w:shd w:val="clear" w:color="auto" w:fill="DEEAF6" w:themeFill="accent1" w:themeFillTint="33"/>
            <w:tcMar>
              <w:top w:w="12" w:type="dxa"/>
              <w:left w:w="12" w:type="dxa"/>
              <w:bottom w:w="0" w:type="dxa"/>
              <w:right w:w="12" w:type="dxa"/>
            </w:tcMar>
            <w:vAlign w:val="center"/>
            <w:hideMark/>
          </w:tcPr>
          <w:p w14:paraId="54F1A506" w14:textId="77777777" w:rsidR="00FA2AC6" w:rsidRPr="00AC081B" w:rsidRDefault="00FA2AC6" w:rsidP="00557A0A">
            <w:pPr>
              <w:spacing w:before="0" w:after="0"/>
              <w:ind w:firstLine="0"/>
              <w:jc w:val="left"/>
              <w:rPr>
                <w:rFonts w:cs="Times New Roman"/>
                <w:noProof/>
                <w:sz w:val="20"/>
                <w:szCs w:val="20"/>
              </w:rPr>
            </w:pPr>
            <w:r w:rsidRPr="00AC081B">
              <w:rPr>
                <w:rFonts w:cs="Times New Roman"/>
                <w:noProof/>
                <w:sz w:val="20"/>
                <w:szCs w:val="20"/>
              </w:rPr>
              <w:t>Pārvadājumu pakalp</w:t>
            </w:r>
            <w:r>
              <w:rPr>
                <w:rFonts w:cs="Times New Roman"/>
                <w:noProof/>
                <w:sz w:val="20"/>
                <w:szCs w:val="20"/>
              </w:rPr>
              <w:t>.</w:t>
            </w:r>
          </w:p>
        </w:tc>
        <w:tc>
          <w:tcPr>
            <w:tcW w:w="567" w:type="dxa"/>
            <w:shd w:val="clear" w:color="auto" w:fill="DEEAF6" w:themeFill="accent1" w:themeFillTint="33"/>
            <w:tcMar>
              <w:top w:w="12" w:type="dxa"/>
              <w:left w:w="12" w:type="dxa"/>
              <w:bottom w:w="0" w:type="dxa"/>
              <w:right w:w="12" w:type="dxa"/>
            </w:tcMar>
            <w:vAlign w:val="center"/>
          </w:tcPr>
          <w:p w14:paraId="5554BD9B"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-0,5</w:t>
            </w:r>
          </w:p>
        </w:tc>
        <w:tc>
          <w:tcPr>
            <w:tcW w:w="567" w:type="dxa"/>
            <w:shd w:val="clear" w:color="auto" w:fill="DEEAF6" w:themeFill="accent1" w:themeFillTint="33"/>
            <w:tcMar>
              <w:top w:w="12" w:type="dxa"/>
              <w:left w:w="12" w:type="dxa"/>
              <w:bottom w:w="0" w:type="dxa"/>
              <w:right w:w="12" w:type="dxa"/>
            </w:tcMar>
            <w:vAlign w:val="center"/>
          </w:tcPr>
          <w:p w14:paraId="2EFAC8C3"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1,4</w:t>
            </w:r>
          </w:p>
        </w:tc>
        <w:tc>
          <w:tcPr>
            <w:tcW w:w="567" w:type="dxa"/>
            <w:shd w:val="clear" w:color="auto" w:fill="DEEAF6" w:themeFill="accent1" w:themeFillTint="33"/>
            <w:tcMar>
              <w:top w:w="12" w:type="dxa"/>
              <w:left w:w="12" w:type="dxa"/>
              <w:bottom w:w="0" w:type="dxa"/>
              <w:right w:w="12" w:type="dxa"/>
            </w:tcMar>
            <w:vAlign w:val="center"/>
          </w:tcPr>
          <w:p w14:paraId="65F4B86E"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0,2</w:t>
            </w:r>
          </w:p>
        </w:tc>
        <w:tc>
          <w:tcPr>
            <w:tcW w:w="567" w:type="dxa"/>
            <w:shd w:val="clear" w:color="auto" w:fill="DEEAF6" w:themeFill="accent1" w:themeFillTint="33"/>
            <w:vAlign w:val="center"/>
          </w:tcPr>
          <w:p w14:paraId="78543AC2"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0,7</w:t>
            </w:r>
          </w:p>
        </w:tc>
        <w:tc>
          <w:tcPr>
            <w:tcW w:w="567" w:type="dxa"/>
            <w:shd w:val="clear" w:color="auto" w:fill="DEEAF6" w:themeFill="accent1" w:themeFillTint="33"/>
            <w:vAlign w:val="center"/>
          </w:tcPr>
          <w:p w14:paraId="525F2CC5"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0,6</w:t>
            </w:r>
          </w:p>
        </w:tc>
        <w:tc>
          <w:tcPr>
            <w:tcW w:w="567" w:type="dxa"/>
            <w:shd w:val="clear" w:color="auto" w:fill="DEEAF6" w:themeFill="accent1" w:themeFillTint="33"/>
            <w:vAlign w:val="center"/>
          </w:tcPr>
          <w:p w14:paraId="28456AFE"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0,6</w:t>
            </w:r>
          </w:p>
        </w:tc>
        <w:tc>
          <w:tcPr>
            <w:tcW w:w="567" w:type="dxa"/>
            <w:shd w:val="clear" w:color="auto" w:fill="DEEAF6" w:themeFill="accent1" w:themeFillTint="33"/>
            <w:vAlign w:val="center"/>
          </w:tcPr>
          <w:p w14:paraId="0A265B8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0,6</w:t>
            </w:r>
          </w:p>
        </w:tc>
        <w:tc>
          <w:tcPr>
            <w:tcW w:w="567" w:type="dxa"/>
            <w:shd w:val="clear" w:color="auto" w:fill="DEEAF6" w:themeFill="accent1" w:themeFillTint="33"/>
            <w:vAlign w:val="center"/>
          </w:tcPr>
          <w:p w14:paraId="7C9322C9"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4,5</w:t>
            </w:r>
          </w:p>
        </w:tc>
        <w:tc>
          <w:tcPr>
            <w:tcW w:w="567" w:type="dxa"/>
            <w:shd w:val="clear" w:color="auto" w:fill="DEEAF6" w:themeFill="accent1" w:themeFillTint="33"/>
            <w:vAlign w:val="center"/>
          </w:tcPr>
          <w:p w14:paraId="33AA6EC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4,7</w:t>
            </w:r>
          </w:p>
        </w:tc>
        <w:tc>
          <w:tcPr>
            <w:tcW w:w="532" w:type="dxa"/>
            <w:shd w:val="clear" w:color="auto" w:fill="DEEAF6" w:themeFill="accent1" w:themeFillTint="33"/>
            <w:vAlign w:val="center"/>
          </w:tcPr>
          <w:p w14:paraId="2C69C35B"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4,6</w:t>
            </w:r>
          </w:p>
        </w:tc>
        <w:tc>
          <w:tcPr>
            <w:tcW w:w="567" w:type="dxa"/>
            <w:shd w:val="clear" w:color="auto" w:fill="DEEAF6" w:themeFill="accent1" w:themeFillTint="33"/>
            <w:vAlign w:val="center"/>
          </w:tcPr>
          <w:p w14:paraId="707850D3"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3,8</w:t>
            </w:r>
          </w:p>
        </w:tc>
        <w:tc>
          <w:tcPr>
            <w:tcW w:w="567" w:type="dxa"/>
            <w:shd w:val="clear" w:color="auto" w:fill="DEEAF6" w:themeFill="accent1" w:themeFillTint="33"/>
            <w:vAlign w:val="center"/>
          </w:tcPr>
          <w:p w14:paraId="52C1958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3,1</w:t>
            </w:r>
          </w:p>
        </w:tc>
      </w:tr>
      <w:tr w:rsidR="00FA2AC6" w:rsidRPr="00AC081B" w14:paraId="73D21C9B" w14:textId="77777777" w:rsidTr="004F756F">
        <w:trPr>
          <w:trHeight w:val="345"/>
          <w:jc w:val="center"/>
        </w:trPr>
        <w:tc>
          <w:tcPr>
            <w:tcW w:w="1879" w:type="dxa"/>
            <w:shd w:val="clear" w:color="auto" w:fill="auto"/>
            <w:tcMar>
              <w:top w:w="12" w:type="dxa"/>
              <w:left w:w="12" w:type="dxa"/>
              <w:bottom w:w="0" w:type="dxa"/>
              <w:right w:w="12" w:type="dxa"/>
            </w:tcMar>
            <w:vAlign w:val="center"/>
            <w:hideMark/>
          </w:tcPr>
          <w:p w14:paraId="716E96A6" w14:textId="77777777" w:rsidR="00FA2AC6" w:rsidRPr="00AC081B" w:rsidRDefault="00FA2AC6" w:rsidP="00557A0A">
            <w:pPr>
              <w:spacing w:before="0" w:after="0"/>
              <w:ind w:firstLine="0"/>
              <w:jc w:val="left"/>
              <w:rPr>
                <w:rFonts w:cs="Times New Roman"/>
                <w:sz w:val="20"/>
                <w:szCs w:val="20"/>
              </w:rPr>
            </w:pPr>
            <w:r w:rsidRPr="00AC081B">
              <w:rPr>
                <w:rFonts w:cs="Times New Roman"/>
                <w:sz w:val="20"/>
                <w:szCs w:val="20"/>
              </w:rPr>
              <w:t>Veselības aprūpe</w:t>
            </w:r>
          </w:p>
        </w:tc>
        <w:tc>
          <w:tcPr>
            <w:tcW w:w="567" w:type="dxa"/>
            <w:shd w:val="clear" w:color="auto" w:fill="auto"/>
            <w:tcMar>
              <w:top w:w="12" w:type="dxa"/>
              <w:left w:w="12" w:type="dxa"/>
              <w:bottom w:w="0" w:type="dxa"/>
              <w:right w:w="12" w:type="dxa"/>
            </w:tcMar>
            <w:vAlign w:val="center"/>
          </w:tcPr>
          <w:p w14:paraId="3A96433C"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2,8</w:t>
            </w:r>
          </w:p>
        </w:tc>
        <w:tc>
          <w:tcPr>
            <w:tcW w:w="567" w:type="dxa"/>
            <w:shd w:val="clear" w:color="auto" w:fill="auto"/>
            <w:tcMar>
              <w:top w:w="12" w:type="dxa"/>
              <w:left w:w="12" w:type="dxa"/>
              <w:bottom w:w="0" w:type="dxa"/>
              <w:right w:w="12" w:type="dxa"/>
            </w:tcMar>
            <w:vAlign w:val="center"/>
          </w:tcPr>
          <w:p w14:paraId="319E220D"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3,7</w:t>
            </w:r>
          </w:p>
        </w:tc>
        <w:tc>
          <w:tcPr>
            <w:tcW w:w="567" w:type="dxa"/>
            <w:shd w:val="clear" w:color="auto" w:fill="auto"/>
            <w:tcMar>
              <w:top w:w="12" w:type="dxa"/>
              <w:left w:w="12" w:type="dxa"/>
              <w:bottom w:w="0" w:type="dxa"/>
              <w:right w:w="12" w:type="dxa"/>
            </w:tcMar>
            <w:vAlign w:val="center"/>
          </w:tcPr>
          <w:p w14:paraId="1A8D0A9E"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4,2</w:t>
            </w:r>
          </w:p>
        </w:tc>
        <w:tc>
          <w:tcPr>
            <w:tcW w:w="567" w:type="dxa"/>
            <w:vAlign w:val="center"/>
          </w:tcPr>
          <w:p w14:paraId="2FDD0439"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5,5</w:t>
            </w:r>
          </w:p>
        </w:tc>
        <w:tc>
          <w:tcPr>
            <w:tcW w:w="567" w:type="dxa"/>
            <w:vAlign w:val="center"/>
          </w:tcPr>
          <w:p w14:paraId="4CF7DAB8"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5,9</w:t>
            </w:r>
          </w:p>
        </w:tc>
        <w:tc>
          <w:tcPr>
            <w:tcW w:w="567" w:type="dxa"/>
            <w:vAlign w:val="center"/>
          </w:tcPr>
          <w:p w14:paraId="5B8EA0C8"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6,4</w:t>
            </w:r>
          </w:p>
        </w:tc>
        <w:tc>
          <w:tcPr>
            <w:tcW w:w="567" w:type="dxa"/>
            <w:vAlign w:val="center"/>
          </w:tcPr>
          <w:p w14:paraId="09BAEDA1"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7,3</w:t>
            </w:r>
          </w:p>
        </w:tc>
        <w:tc>
          <w:tcPr>
            <w:tcW w:w="567" w:type="dxa"/>
            <w:vAlign w:val="center"/>
          </w:tcPr>
          <w:p w14:paraId="633AEC3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7,1</w:t>
            </w:r>
          </w:p>
        </w:tc>
        <w:tc>
          <w:tcPr>
            <w:tcW w:w="567" w:type="dxa"/>
            <w:vAlign w:val="center"/>
          </w:tcPr>
          <w:p w14:paraId="6684D2B2"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7,7</w:t>
            </w:r>
          </w:p>
        </w:tc>
        <w:tc>
          <w:tcPr>
            <w:tcW w:w="532" w:type="dxa"/>
            <w:vAlign w:val="center"/>
          </w:tcPr>
          <w:p w14:paraId="1093D2E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7,9</w:t>
            </w:r>
          </w:p>
        </w:tc>
        <w:tc>
          <w:tcPr>
            <w:tcW w:w="567" w:type="dxa"/>
            <w:vAlign w:val="center"/>
          </w:tcPr>
          <w:p w14:paraId="120EB266"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8,3</w:t>
            </w:r>
          </w:p>
        </w:tc>
        <w:tc>
          <w:tcPr>
            <w:tcW w:w="567" w:type="dxa"/>
            <w:vAlign w:val="center"/>
          </w:tcPr>
          <w:p w14:paraId="58DEBBA9"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9,1</w:t>
            </w:r>
          </w:p>
        </w:tc>
      </w:tr>
      <w:tr w:rsidR="00FA2AC6" w:rsidRPr="00AC081B" w14:paraId="31213883" w14:textId="77777777" w:rsidTr="004F756F">
        <w:trPr>
          <w:trHeight w:val="339"/>
          <w:jc w:val="center"/>
        </w:trPr>
        <w:tc>
          <w:tcPr>
            <w:tcW w:w="1879" w:type="dxa"/>
            <w:shd w:val="clear" w:color="auto" w:fill="DEEAF6" w:themeFill="accent1" w:themeFillTint="33"/>
            <w:tcMar>
              <w:top w:w="12" w:type="dxa"/>
              <w:left w:w="12" w:type="dxa"/>
              <w:bottom w:w="0" w:type="dxa"/>
              <w:right w:w="12" w:type="dxa"/>
            </w:tcMar>
            <w:vAlign w:val="center"/>
            <w:hideMark/>
          </w:tcPr>
          <w:p w14:paraId="5EA05AD2" w14:textId="77777777" w:rsidR="00FA2AC6" w:rsidRPr="00AC081B" w:rsidRDefault="00FA2AC6" w:rsidP="00557A0A">
            <w:pPr>
              <w:spacing w:before="0" w:after="0"/>
              <w:ind w:firstLine="0"/>
              <w:jc w:val="left"/>
              <w:rPr>
                <w:rFonts w:cs="Times New Roman"/>
                <w:sz w:val="20"/>
                <w:szCs w:val="20"/>
              </w:rPr>
            </w:pPr>
            <w:r w:rsidRPr="00AC081B">
              <w:rPr>
                <w:rFonts w:cs="Times New Roman"/>
                <w:sz w:val="20"/>
                <w:szCs w:val="20"/>
              </w:rPr>
              <w:t>Atpūta un kultūra</w:t>
            </w:r>
          </w:p>
        </w:tc>
        <w:tc>
          <w:tcPr>
            <w:tcW w:w="567" w:type="dxa"/>
            <w:shd w:val="clear" w:color="auto" w:fill="DEEAF6" w:themeFill="accent1" w:themeFillTint="33"/>
            <w:tcMar>
              <w:top w:w="12" w:type="dxa"/>
              <w:left w:w="12" w:type="dxa"/>
              <w:bottom w:w="0" w:type="dxa"/>
              <w:right w:w="12" w:type="dxa"/>
            </w:tcMar>
            <w:vAlign w:val="center"/>
          </w:tcPr>
          <w:p w14:paraId="48C91583"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2,3</w:t>
            </w:r>
          </w:p>
        </w:tc>
        <w:tc>
          <w:tcPr>
            <w:tcW w:w="567" w:type="dxa"/>
            <w:shd w:val="clear" w:color="auto" w:fill="DEEAF6" w:themeFill="accent1" w:themeFillTint="33"/>
            <w:tcMar>
              <w:top w:w="12" w:type="dxa"/>
              <w:left w:w="12" w:type="dxa"/>
              <w:bottom w:w="0" w:type="dxa"/>
              <w:right w:w="12" w:type="dxa"/>
            </w:tcMar>
            <w:vAlign w:val="center"/>
          </w:tcPr>
          <w:p w14:paraId="654B19A8"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3,5</w:t>
            </w:r>
          </w:p>
        </w:tc>
        <w:tc>
          <w:tcPr>
            <w:tcW w:w="567" w:type="dxa"/>
            <w:shd w:val="clear" w:color="auto" w:fill="DEEAF6" w:themeFill="accent1" w:themeFillTint="33"/>
            <w:tcMar>
              <w:top w:w="12" w:type="dxa"/>
              <w:left w:w="12" w:type="dxa"/>
              <w:bottom w:w="0" w:type="dxa"/>
              <w:right w:w="12" w:type="dxa"/>
            </w:tcMar>
            <w:vAlign w:val="center"/>
          </w:tcPr>
          <w:p w14:paraId="0D241E6C"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4,0</w:t>
            </w:r>
          </w:p>
        </w:tc>
        <w:tc>
          <w:tcPr>
            <w:tcW w:w="567" w:type="dxa"/>
            <w:shd w:val="clear" w:color="auto" w:fill="DEEAF6" w:themeFill="accent1" w:themeFillTint="33"/>
            <w:vAlign w:val="center"/>
          </w:tcPr>
          <w:p w14:paraId="3DAFC749"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4,2</w:t>
            </w:r>
          </w:p>
        </w:tc>
        <w:tc>
          <w:tcPr>
            <w:tcW w:w="567" w:type="dxa"/>
            <w:shd w:val="clear" w:color="auto" w:fill="DEEAF6" w:themeFill="accent1" w:themeFillTint="33"/>
            <w:vAlign w:val="center"/>
          </w:tcPr>
          <w:p w14:paraId="1B7D2240"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3,3</w:t>
            </w:r>
          </w:p>
        </w:tc>
        <w:tc>
          <w:tcPr>
            <w:tcW w:w="567" w:type="dxa"/>
            <w:shd w:val="clear" w:color="auto" w:fill="DEEAF6" w:themeFill="accent1" w:themeFillTint="33"/>
            <w:vAlign w:val="center"/>
          </w:tcPr>
          <w:p w14:paraId="2A97A5DA"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5,2</w:t>
            </w:r>
          </w:p>
        </w:tc>
        <w:tc>
          <w:tcPr>
            <w:tcW w:w="567" w:type="dxa"/>
            <w:shd w:val="clear" w:color="auto" w:fill="DEEAF6" w:themeFill="accent1" w:themeFillTint="33"/>
            <w:vAlign w:val="center"/>
          </w:tcPr>
          <w:p w14:paraId="16C2634E"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6,7</w:t>
            </w:r>
          </w:p>
        </w:tc>
        <w:tc>
          <w:tcPr>
            <w:tcW w:w="567" w:type="dxa"/>
            <w:shd w:val="clear" w:color="auto" w:fill="DEEAF6" w:themeFill="accent1" w:themeFillTint="33"/>
            <w:vAlign w:val="center"/>
          </w:tcPr>
          <w:p w14:paraId="3A686946"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7,2</w:t>
            </w:r>
          </w:p>
        </w:tc>
        <w:tc>
          <w:tcPr>
            <w:tcW w:w="567" w:type="dxa"/>
            <w:shd w:val="clear" w:color="auto" w:fill="DEEAF6" w:themeFill="accent1" w:themeFillTint="33"/>
            <w:vAlign w:val="center"/>
          </w:tcPr>
          <w:p w14:paraId="529B7646"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7,3</w:t>
            </w:r>
          </w:p>
        </w:tc>
        <w:tc>
          <w:tcPr>
            <w:tcW w:w="532" w:type="dxa"/>
            <w:shd w:val="clear" w:color="auto" w:fill="DEEAF6" w:themeFill="accent1" w:themeFillTint="33"/>
            <w:vAlign w:val="center"/>
          </w:tcPr>
          <w:p w14:paraId="31153F16"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7,8</w:t>
            </w:r>
          </w:p>
        </w:tc>
        <w:tc>
          <w:tcPr>
            <w:tcW w:w="567" w:type="dxa"/>
            <w:shd w:val="clear" w:color="auto" w:fill="DEEAF6" w:themeFill="accent1" w:themeFillTint="33"/>
            <w:vAlign w:val="center"/>
          </w:tcPr>
          <w:p w14:paraId="1721F8CD"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8,0</w:t>
            </w:r>
          </w:p>
        </w:tc>
        <w:tc>
          <w:tcPr>
            <w:tcW w:w="567" w:type="dxa"/>
            <w:shd w:val="clear" w:color="auto" w:fill="DEEAF6" w:themeFill="accent1" w:themeFillTint="33"/>
            <w:vAlign w:val="center"/>
          </w:tcPr>
          <w:p w14:paraId="0D5280BB"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8,8</w:t>
            </w:r>
          </w:p>
        </w:tc>
      </w:tr>
      <w:tr w:rsidR="00FA2AC6" w:rsidRPr="00AC081B" w14:paraId="07AC4048" w14:textId="77777777" w:rsidTr="004F756F">
        <w:trPr>
          <w:trHeight w:val="400"/>
          <w:jc w:val="center"/>
        </w:trPr>
        <w:tc>
          <w:tcPr>
            <w:tcW w:w="1879" w:type="dxa"/>
            <w:shd w:val="clear" w:color="auto" w:fill="auto"/>
            <w:tcMar>
              <w:top w:w="12" w:type="dxa"/>
              <w:left w:w="12" w:type="dxa"/>
              <w:bottom w:w="0" w:type="dxa"/>
              <w:right w:w="12" w:type="dxa"/>
            </w:tcMar>
            <w:vAlign w:val="center"/>
            <w:hideMark/>
          </w:tcPr>
          <w:p w14:paraId="6281C45E" w14:textId="77777777" w:rsidR="00FA2AC6" w:rsidRPr="00AC081B" w:rsidRDefault="00FA2AC6" w:rsidP="00557A0A">
            <w:pPr>
              <w:spacing w:before="0" w:after="0"/>
              <w:ind w:firstLine="0"/>
              <w:jc w:val="left"/>
              <w:rPr>
                <w:rFonts w:cs="Times New Roman"/>
                <w:sz w:val="20"/>
                <w:szCs w:val="20"/>
              </w:rPr>
            </w:pPr>
            <w:r w:rsidRPr="00AC081B">
              <w:rPr>
                <w:rFonts w:cs="Times New Roman"/>
                <w:sz w:val="20"/>
                <w:szCs w:val="20"/>
              </w:rPr>
              <w:t>Restorāni un viesnīcas</w:t>
            </w:r>
          </w:p>
        </w:tc>
        <w:tc>
          <w:tcPr>
            <w:tcW w:w="567" w:type="dxa"/>
            <w:shd w:val="clear" w:color="auto" w:fill="auto"/>
            <w:tcMar>
              <w:top w:w="12" w:type="dxa"/>
              <w:left w:w="12" w:type="dxa"/>
              <w:bottom w:w="0" w:type="dxa"/>
              <w:right w:w="12" w:type="dxa"/>
            </w:tcMar>
            <w:vAlign w:val="center"/>
          </w:tcPr>
          <w:p w14:paraId="27572EA1"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2,1</w:t>
            </w:r>
          </w:p>
        </w:tc>
        <w:tc>
          <w:tcPr>
            <w:tcW w:w="567" w:type="dxa"/>
            <w:shd w:val="clear" w:color="auto" w:fill="auto"/>
            <w:tcMar>
              <w:top w:w="12" w:type="dxa"/>
              <w:left w:w="12" w:type="dxa"/>
              <w:bottom w:w="0" w:type="dxa"/>
              <w:right w:w="12" w:type="dxa"/>
            </w:tcMar>
            <w:vAlign w:val="center"/>
          </w:tcPr>
          <w:p w14:paraId="56A4A03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5,3</w:t>
            </w:r>
          </w:p>
        </w:tc>
        <w:tc>
          <w:tcPr>
            <w:tcW w:w="567" w:type="dxa"/>
            <w:shd w:val="clear" w:color="auto" w:fill="auto"/>
            <w:tcMar>
              <w:top w:w="12" w:type="dxa"/>
              <w:left w:w="12" w:type="dxa"/>
              <w:bottom w:w="0" w:type="dxa"/>
              <w:right w:w="12" w:type="dxa"/>
            </w:tcMar>
            <w:vAlign w:val="center"/>
          </w:tcPr>
          <w:p w14:paraId="04A353F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6,2</w:t>
            </w:r>
          </w:p>
        </w:tc>
        <w:tc>
          <w:tcPr>
            <w:tcW w:w="567" w:type="dxa"/>
            <w:vAlign w:val="center"/>
          </w:tcPr>
          <w:p w14:paraId="08DA1457"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7,7</w:t>
            </w:r>
          </w:p>
        </w:tc>
        <w:tc>
          <w:tcPr>
            <w:tcW w:w="567" w:type="dxa"/>
            <w:vAlign w:val="center"/>
          </w:tcPr>
          <w:p w14:paraId="314AF1A6"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10,3</w:t>
            </w:r>
          </w:p>
        </w:tc>
        <w:tc>
          <w:tcPr>
            <w:tcW w:w="567" w:type="dxa"/>
            <w:vAlign w:val="center"/>
          </w:tcPr>
          <w:p w14:paraId="23252EF2"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12,1</w:t>
            </w:r>
          </w:p>
        </w:tc>
        <w:tc>
          <w:tcPr>
            <w:tcW w:w="567" w:type="dxa"/>
            <w:vAlign w:val="center"/>
          </w:tcPr>
          <w:p w14:paraId="6486B1E2"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14,1</w:t>
            </w:r>
          </w:p>
        </w:tc>
        <w:tc>
          <w:tcPr>
            <w:tcW w:w="567" w:type="dxa"/>
            <w:vAlign w:val="center"/>
          </w:tcPr>
          <w:p w14:paraId="1E631F3E"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15,0</w:t>
            </w:r>
          </w:p>
        </w:tc>
        <w:tc>
          <w:tcPr>
            <w:tcW w:w="567" w:type="dxa"/>
            <w:vAlign w:val="center"/>
          </w:tcPr>
          <w:p w14:paraId="5BB255D4"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15,6</w:t>
            </w:r>
          </w:p>
        </w:tc>
        <w:tc>
          <w:tcPr>
            <w:tcW w:w="532" w:type="dxa"/>
            <w:vAlign w:val="center"/>
          </w:tcPr>
          <w:p w14:paraId="63938AB8"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17,5</w:t>
            </w:r>
          </w:p>
        </w:tc>
        <w:tc>
          <w:tcPr>
            <w:tcW w:w="567" w:type="dxa"/>
            <w:vAlign w:val="center"/>
          </w:tcPr>
          <w:p w14:paraId="2E3D937B"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18,2</w:t>
            </w:r>
          </w:p>
        </w:tc>
        <w:tc>
          <w:tcPr>
            <w:tcW w:w="567" w:type="dxa"/>
            <w:vAlign w:val="center"/>
          </w:tcPr>
          <w:p w14:paraId="0B4F98F9"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19,2</w:t>
            </w:r>
          </w:p>
        </w:tc>
      </w:tr>
      <w:tr w:rsidR="00FA2AC6" w:rsidRPr="00AC081B" w14:paraId="2C642665" w14:textId="77777777" w:rsidTr="004F756F">
        <w:trPr>
          <w:trHeight w:val="484"/>
          <w:jc w:val="center"/>
        </w:trPr>
        <w:tc>
          <w:tcPr>
            <w:tcW w:w="1879" w:type="dxa"/>
            <w:shd w:val="clear" w:color="auto" w:fill="DEEAF6" w:themeFill="accent1" w:themeFillTint="33"/>
            <w:tcMar>
              <w:top w:w="12" w:type="dxa"/>
              <w:left w:w="12" w:type="dxa"/>
              <w:bottom w:w="0" w:type="dxa"/>
              <w:right w:w="12" w:type="dxa"/>
            </w:tcMar>
            <w:vAlign w:val="center"/>
            <w:hideMark/>
          </w:tcPr>
          <w:p w14:paraId="762AC9FE" w14:textId="77777777" w:rsidR="00FA2AC6" w:rsidRPr="00AC081B" w:rsidRDefault="00FA2AC6" w:rsidP="00557A0A">
            <w:pPr>
              <w:spacing w:before="0" w:after="0"/>
              <w:ind w:firstLine="0"/>
              <w:jc w:val="left"/>
              <w:rPr>
                <w:rFonts w:cs="Times New Roman"/>
                <w:noProof/>
                <w:sz w:val="20"/>
                <w:szCs w:val="20"/>
              </w:rPr>
            </w:pPr>
            <w:r w:rsidRPr="00AC081B">
              <w:rPr>
                <w:rFonts w:cs="Times New Roman"/>
                <w:noProof/>
                <w:sz w:val="20"/>
                <w:szCs w:val="20"/>
                <w:lang w:val="es-ES"/>
              </w:rPr>
              <w:t>Dažādas preces un pakalpojumi</w:t>
            </w:r>
          </w:p>
        </w:tc>
        <w:tc>
          <w:tcPr>
            <w:tcW w:w="567" w:type="dxa"/>
            <w:shd w:val="clear" w:color="auto" w:fill="DEEAF6" w:themeFill="accent1" w:themeFillTint="33"/>
            <w:tcMar>
              <w:top w:w="12" w:type="dxa"/>
              <w:left w:w="12" w:type="dxa"/>
              <w:bottom w:w="0" w:type="dxa"/>
              <w:right w:w="12" w:type="dxa"/>
            </w:tcMar>
            <w:vAlign w:val="center"/>
          </w:tcPr>
          <w:p w14:paraId="62940C2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1,0</w:t>
            </w:r>
          </w:p>
        </w:tc>
        <w:tc>
          <w:tcPr>
            <w:tcW w:w="567" w:type="dxa"/>
            <w:shd w:val="clear" w:color="auto" w:fill="DEEAF6" w:themeFill="accent1" w:themeFillTint="33"/>
            <w:tcMar>
              <w:top w:w="12" w:type="dxa"/>
              <w:left w:w="12" w:type="dxa"/>
              <w:bottom w:w="0" w:type="dxa"/>
              <w:right w:w="12" w:type="dxa"/>
            </w:tcMar>
            <w:vAlign w:val="center"/>
          </w:tcPr>
          <w:p w14:paraId="64A44B1A"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4,7</w:t>
            </w:r>
          </w:p>
        </w:tc>
        <w:tc>
          <w:tcPr>
            <w:tcW w:w="567" w:type="dxa"/>
            <w:shd w:val="clear" w:color="auto" w:fill="DEEAF6" w:themeFill="accent1" w:themeFillTint="33"/>
            <w:tcMar>
              <w:top w:w="12" w:type="dxa"/>
              <w:left w:w="12" w:type="dxa"/>
              <w:bottom w:w="0" w:type="dxa"/>
              <w:right w:w="12" w:type="dxa"/>
            </w:tcMar>
            <w:vAlign w:val="center"/>
          </w:tcPr>
          <w:p w14:paraId="0DE21118"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4,3</w:t>
            </w:r>
          </w:p>
        </w:tc>
        <w:tc>
          <w:tcPr>
            <w:tcW w:w="567" w:type="dxa"/>
            <w:shd w:val="clear" w:color="auto" w:fill="DEEAF6" w:themeFill="accent1" w:themeFillTint="33"/>
            <w:vAlign w:val="center"/>
          </w:tcPr>
          <w:p w14:paraId="34B687BB"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8,5</w:t>
            </w:r>
          </w:p>
        </w:tc>
        <w:tc>
          <w:tcPr>
            <w:tcW w:w="567" w:type="dxa"/>
            <w:shd w:val="clear" w:color="auto" w:fill="DEEAF6" w:themeFill="accent1" w:themeFillTint="33"/>
            <w:vAlign w:val="center"/>
          </w:tcPr>
          <w:p w14:paraId="5981EBBF"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10,4</w:t>
            </w:r>
          </w:p>
        </w:tc>
        <w:tc>
          <w:tcPr>
            <w:tcW w:w="567" w:type="dxa"/>
            <w:shd w:val="clear" w:color="auto" w:fill="DEEAF6" w:themeFill="accent1" w:themeFillTint="33"/>
            <w:vAlign w:val="center"/>
          </w:tcPr>
          <w:p w14:paraId="683DDDEB"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12,7</w:t>
            </w:r>
          </w:p>
        </w:tc>
        <w:tc>
          <w:tcPr>
            <w:tcW w:w="567" w:type="dxa"/>
            <w:shd w:val="clear" w:color="auto" w:fill="DEEAF6" w:themeFill="accent1" w:themeFillTint="33"/>
            <w:vAlign w:val="center"/>
          </w:tcPr>
          <w:p w14:paraId="287770EA"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9,6</w:t>
            </w:r>
          </w:p>
        </w:tc>
        <w:tc>
          <w:tcPr>
            <w:tcW w:w="567" w:type="dxa"/>
            <w:shd w:val="clear" w:color="auto" w:fill="DEEAF6" w:themeFill="accent1" w:themeFillTint="33"/>
            <w:vAlign w:val="center"/>
          </w:tcPr>
          <w:p w14:paraId="0933941B"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12,5</w:t>
            </w:r>
          </w:p>
        </w:tc>
        <w:tc>
          <w:tcPr>
            <w:tcW w:w="567" w:type="dxa"/>
            <w:shd w:val="clear" w:color="auto" w:fill="DEEAF6" w:themeFill="accent1" w:themeFillTint="33"/>
            <w:vAlign w:val="center"/>
          </w:tcPr>
          <w:p w14:paraId="1AC59425"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12,8</w:t>
            </w:r>
          </w:p>
        </w:tc>
        <w:tc>
          <w:tcPr>
            <w:tcW w:w="532" w:type="dxa"/>
            <w:shd w:val="clear" w:color="auto" w:fill="DEEAF6" w:themeFill="accent1" w:themeFillTint="33"/>
            <w:vAlign w:val="center"/>
          </w:tcPr>
          <w:p w14:paraId="28D11C18"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15,3</w:t>
            </w:r>
          </w:p>
        </w:tc>
        <w:tc>
          <w:tcPr>
            <w:tcW w:w="567" w:type="dxa"/>
            <w:shd w:val="clear" w:color="auto" w:fill="DEEAF6" w:themeFill="accent1" w:themeFillTint="33"/>
            <w:vAlign w:val="center"/>
          </w:tcPr>
          <w:p w14:paraId="792F9796"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15,3</w:t>
            </w:r>
          </w:p>
        </w:tc>
        <w:tc>
          <w:tcPr>
            <w:tcW w:w="567" w:type="dxa"/>
            <w:shd w:val="clear" w:color="auto" w:fill="DEEAF6" w:themeFill="accent1" w:themeFillTint="33"/>
            <w:vAlign w:val="center"/>
          </w:tcPr>
          <w:p w14:paraId="31D751A6" w14:textId="77777777" w:rsidR="00FA2AC6" w:rsidRPr="00AC081B" w:rsidRDefault="00FA2AC6" w:rsidP="00557A0A">
            <w:pPr>
              <w:spacing w:before="0" w:after="0"/>
              <w:ind w:firstLine="0"/>
              <w:jc w:val="center"/>
              <w:rPr>
                <w:rFonts w:cs="Times New Roman"/>
                <w:sz w:val="20"/>
                <w:szCs w:val="20"/>
              </w:rPr>
            </w:pPr>
            <w:r w:rsidRPr="00AC081B">
              <w:rPr>
                <w:rFonts w:cs="Times New Roman"/>
                <w:sz w:val="20"/>
                <w:szCs w:val="20"/>
              </w:rPr>
              <w:t>18,0</w:t>
            </w:r>
          </w:p>
        </w:tc>
      </w:tr>
    </w:tbl>
    <w:bookmarkEnd w:id="20"/>
    <w:p w14:paraId="40387705" w14:textId="77777777" w:rsidR="00FA2AC6" w:rsidRDefault="00FA2AC6" w:rsidP="00FA2AC6">
      <w:pPr>
        <w:rPr>
          <w:noProof/>
        </w:rPr>
      </w:pPr>
      <w:r w:rsidRPr="00F63C6B">
        <w:rPr>
          <w:noProof/>
        </w:rPr>
        <w:t>Būtisku devumu patēriņa cenu kāpumā</w:t>
      </w:r>
      <w:r>
        <w:rPr>
          <w:noProof/>
        </w:rPr>
        <w:t xml:space="preserve"> šā gada 11 mēnešos</w:t>
      </w:r>
      <w:r w:rsidRPr="00F63C6B">
        <w:rPr>
          <w:noProof/>
        </w:rPr>
        <w:t xml:space="preserve"> nodrošināja arī</w:t>
      </w:r>
      <w:r>
        <w:rPr>
          <w:noProof/>
        </w:rPr>
        <w:t xml:space="preserve"> </w:t>
      </w:r>
      <w:r w:rsidRPr="00F63C6B">
        <w:rPr>
          <w:noProof/>
        </w:rPr>
        <w:t xml:space="preserve">pārtikas preču un bezalkoholisko dzērienu cenu pieaugums par </w:t>
      </w:r>
      <w:r>
        <w:rPr>
          <w:noProof/>
        </w:rPr>
        <w:t>20,9</w:t>
      </w:r>
      <w:r w:rsidRPr="00F63C6B">
        <w:rPr>
          <w:noProof/>
        </w:rPr>
        <w:t>%</w:t>
      </w:r>
      <w:r>
        <w:rPr>
          <w:noProof/>
        </w:rPr>
        <w:t xml:space="preserve">. </w:t>
      </w:r>
      <w:r w:rsidRPr="00F63C6B">
        <w:rPr>
          <w:noProof/>
        </w:rPr>
        <w:t xml:space="preserve">Pārtikas preču cenu kāpums ir visaptverošs, jo cenas palielinājās visai pārtikai. Salīdzinājumā ar pērnā gada </w:t>
      </w:r>
      <w:r>
        <w:rPr>
          <w:noProof/>
        </w:rPr>
        <w:t xml:space="preserve">11 </w:t>
      </w:r>
      <w:r w:rsidRPr="00F63C6B">
        <w:rPr>
          <w:noProof/>
        </w:rPr>
        <w:t xml:space="preserve">mēnešiem eļļa kļuva par </w:t>
      </w:r>
      <w:r>
        <w:rPr>
          <w:noProof/>
        </w:rPr>
        <w:t>30,1</w:t>
      </w:r>
      <w:r w:rsidRPr="00F63C6B">
        <w:rPr>
          <w:noProof/>
        </w:rPr>
        <w:t>% dārgāka, piena produkti par 2</w:t>
      </w:r>
      <w:r>
        <w:rPr>
          <w:noProof/>
        </w:rPr>
        <w:t>8,0</w:t>
      </w:r>
      <w:r w:rsidRPr="00F63C6B">
        <w:rPr>
          <w:noProof/>
        </w:rPr>
        <w:t xml:space="preserve">%, maize par </w:t>
      </w:r>
      <w:r>
        <w:rPr>
          <w:noProof/>
        </w:rPr>
        <w:t>23,2</w:t>
      </w:r>
      <w:r w:rsidRPr="00F63C6B">
        <w:rPr>
          <w:noProof/>
        </w:rPr>
        <w:t>%, zivis par 1</w:t>
      </w:r>
      <w:r>
        <w:rPr>
          <w:noProof/>
        </w:rPr>
        <w:t>8,9</w:t>
      </w:r>
      <w:r w:rsidRPr="00F63C6B">
        <w:rPr>
          <w:noProof/>
        </w:rPr>
        <w:t>%, gaļa par 1</w:t>
      </w:r>
      <w:r>
        <w:rPr>
          <w:noProof/>
        </w:rPr>
        <w:t>5,8</w:t>
      </w:r>
      <w:r w:rsidRPr="00F63C6B">
        <w:rPr>
          <w:noProof/>
        </w:rPr>
        <w:t>%. Augļi un dārzeņi sadārdzinājās attiecīgi par 1</w:t>
      </w:r>
      <w:r>
        <w:rPr>
          <w:noProof/>
        </w:rPr>
        <w:t>2,5</w:t>
      </w:r>
      <w:r w:rsidRPr="00F63C6B">
        <w:rPr>
          <w:noProof/>
        </w:rPr>
        <w:t>% un 17,</w:t>
      </w:r>
      <w:r>
        <w:rPr>
          <w:noProof/>
        </w:rPr>
        <w:t>3</w:t>
      </w:r>
      <w:r w:rsidRPr="00F63C6B">
        <w:rPr>
          <w:noProof/>
        </w:rPr>
        <w:t xml:space="preserve">%. Savukārt cukura un bezalkoholisko dzērienu cena vidēji pieauga attiecīgi par </w:t>
      </w:r>
      <w:r>
        <w:rPr>
          <w:noProof/>
        </w:rPr>
        <w:t>39,7</w:t>
      </w:r>
      <w:r w:rsidRPr="00F63C6B">
        <w:rPr>
          <w:noProof/>
        </w:rPr>
        <w:t>% un 1</w:t>
      </w:r>
      <w:r>
        <w:rPr>
          <w:noProof/>
        </w:rPr>
        <w:t>7,0</w:t>
      </w:r>
      <w:r w:rsidRPr="00F63C6B">
        <w:rPr>
          <w:noProof/>
        </w:rPr>
        <w:t>%. Pārtika un bezalkoholisk</w:t>
      </w:r>
      <w:r>
        <w:rPr>
          <w:noProof/>
        </w:rPr>
        <w:t>ie</w:t>
      </w:r>
      <w:r w:rsidRPr="00F63C6B">
        <w:rPr>
          <w:noProof/>
        </w:rPr>
        <w:t xml:space="preserve"> dzērien</w:t>
      </w:r>
      <w:r>
        <w:rPr>
          <w:noProof/>
        </w:rPr>
        <w:t>i</w:t>
      </w:r>
      <w:r w:rsidRPr="00F63C6B">
        <w:rPr>
          <w:noProof/>
        </w:rPr>
        <w:t xml:space="preserve"> veido ceturto daļu no kopējā mājsaimniecību patēriņa groza, līdz ar to cenu pieaugumam šai preču grupai ir būtiska ietekme uz iedzīvotāju izdevumiem un pirktspēju.</w:t>
      </w:r>
      <w:r>
        <w:rPr>
          <w:noProof/>
        </w:rPr>
        <w:t xml:space="preserve"> </w:t>
      </w:r>
    </w:p>
    <w:p w14:paraId="513AC54B" w14:textId="77777777" w:rsidR="00FA2AC6" w:rsidRDefault="00FA2AC6" w:rsidP="00FA2AC6">
      <w:pPr>
        <w:rPr>
          <w:noProof/>
        </w:rPr>
      </w:pPr>
      <w:r w:rsidRPr="00F63C6B">
        <w:rPr>
          <w:noProof/>
        </w:rPr>
        <w:t xml:space="preserve">Pārtikas produktu pieejamība atsevišķos pasaules reģionos un augošās cenas ir viens no aktuālākajiem tematiem inflācijas kontekstā visā pasaulē. Pēc Krievijas un Ukrainas vienošanās par </w:t>
      </w:r>
      <w:r>
        <w:rPr>
          <w:noProof/>
        </w:rPr>
        <w:t>labības</w:t>
      </w:r>
      <w:r w:rsidRPr="00F63C6B">
        <w:rPr>
          <w:noProof/>
        </w:rPr>
        <w:t xml:space="preserve"> izvešanu no Ukrainas ostām graudaugu un eļļas cenas</w:t>
      </w:r>
      <w:r>
        <w:rPr>
          <w:noProof/>
        </w:rPr>
        <w:t xml:space="preserve"> šā gada vasaras beigās stabilizējās. Tas kopā ar lejupslīdošām naftas cenām mazināja arī citu neapstrādāto pārtikas produktu cenas. Tomēr, </w:t>
      </w:r>
      <w:r>
        <w:rPr>
          <w:rFonts w:cs="Times New Roman"/>
          <w:color w:val="000000"/>
        </w:rPr>
        <w:t>par spīti tam, ka neapstrādātās pārtikas cena pasaulē samazinās jau astoņus mēnešus pēc kārtas, pārtikas cenu pieaugums Latvijā ar katru nākošo mēnesi kļūst tikai straujāks. Tas, ka neapstrādātās pārtikas cenas pasaulē samazinās, vērtējams pozitīvi, bet augstās apstrādes un loģistikas izmaksas energoresursu cenu kāpuma dēļ neļauj samazināt pārtikas gala cenu. Tas apliecina, ka energoresursu cenu pieaugumam ir būtiska netieša ietekme arī uz pārējo preču cenām. Pārtikas cenu stabilizēšanos Latvijā redzēsim tikai nākamgad.</w:t>
      </w:r>
    </w:p>
    <w:p w14:paraId="56AFBD37" w14:textId="77777777" w:rsidR="00FA2AC6" w:rsidRDefault="00FA2AC6" w:rsidP="00FA2AC6">
      <w:pPr>
        <w:rPr>
          <w:noProof/>
        </w:rPr>
      </w:pPr>
      <w:r w:rsidRPr="00F63C6B">
        <w:rPr>
          <w:noProof/>
        </w:rPr>
        <w:t>Energoresursu cenas negatīvi ietekmē ražošanas un loģistikas izmaksas, tādējādi paaugstinot arī citu preču un pakalpojumu cenas. Papildus tam, spiedienu uz uzņēmumu izmaksām rada arī darba samaksas kāpums, liekot uzņēmējiem pārskatīt cenas, par ko liecina pamatinflācijas pieaugums. 2022</w:t>
      </w:r>
      <w:r>
        <w:rPr>
          <w:noProof/>
        </w:rPr>
        <w:t>. gad</w:t>
      </w:r>
      <w:r w:rsidRPr="00F63C6B">
        <w:rPr>
          <w:noProof/>
        </w:rPr>
        <w:t xml:space="preserve">a </w:t>
      </w:r>
      <w:r>
        <w:rPr>
          <w:noProof/>
        </w:rPr>
        <w:t>11</w:t>
      </w:r>
      <w:r w:rsidRPr="00F63C6B">
        <w:rPr>
          <w:noProof/>
        </w:rPr>
        <w:t xml:space="preserve"> mēnešos pamatinflācija sasniedza </w:t>
      </w:r>
      <w:r>
        <w:rPr>
          <w:noProof/>
        </w:rPr>
        <w:t>10,7</w:t>
      </w:r>
      <w:r w:rsidRPr="00F63C6B">
        <w:rPr>
          <w:noProof/>
        </w:rPr>
        <w:t>%, salīdzinot ar 1,</w:t>
      </w:r>
      <w:r>
        <w:rPr>
          <w:noProof/>
        </w:rPr>
        <w:t>7</w:t>
      </w:r>
      <w:r w:rsidRPr="00F63C6B">
        <w:rPr>
          <w:noProof/>
        </w:rPr>
        <w:t xml:space="preserve">% attiecīgajā laika posmā pirms gada. Pamatinflācija atspoguļo to patēriņa preču un </w:t>
      </w:r>
      <w:r w:rsidRPr="00F63C6B">
        <w:rPr>
          <w:noProof/>
        </w:rPr>
        <w:lastRenderedPageBreak/>
        <w:t>pakalpojumu cenu pārmaiņas, kuri saražoti un sniegti vietējā tirgū, neņemot vērā importēto preču cenu ietekmi</w:t>
      </w:r>
      <w:r>
        <w:rPr>
          <w:noProof/>
        </w:rPr>
        <w:t>.</w:t>
      </w:r>
    </w:p>
    <w:p w14:paraId="2EFAC132" w14:textId="272909EE" w:rsidR="00FA2AC6" w:rsidRDefault="00FA2AC6" w:rsidP="00FA2AC6">
      <w:pPr>
        <w:rPr>
          <w:noProof/>
        </w:rPr>
      </w:pPr>
      <w:r w:rsidRPr="00F63C6B">
        <w:rPr>
          <w:noProof/>
        </w:rPr>
        <w:t xml:space="preserve">Atbilstoši Finanšu ministrijas prognozēm </w:t>
      </w:r>
      <w:r>
        <w:t>patēriņa cenu kāpums 2022. gada decembrī gada izteiksmē būs ļoti tuvs tam līmenim, kāds bija novērots pēdējos mēnešos, līdz ar to 2022. gada vidējā inflācija varētu sasniegt 17,3%. Pašreizējos ģeopolitiskajos apstākļos grūti apgalvot, vai cenu kāpums Latvija sasniedzis augstāko punktu, jo joprojām pastāv liela nenoteiktība saistībā ar gāzes cenām Eiropā. Ja gāzes cenas īstermiņā strauji nepalielināsies, nav pamata sagaidīt vēl augstāku patēriņa cenu pieaugumu. Inflācija ap 21%-22% Latvijā saglabāsies līdz nākamā gada pavasarim, bet pēc tam cenu kāpums pakāpeniski samazināsies.</w:t>
      </w:r>
      <w:r>
        <w:rPr>
          <w:noProof/>
        </w:rPr>
        <w:t xml:space="preserve"> </w:t>
      </w:r>
      <w:r w:rsidRPr="00F63C6B">
        <w:rPr>
          <w:noProof/>
        </w:rPr>
        <w:t>Valdības pieņemtie lēmumi attiecībā uz siltumenerģijas, gāzes un elektroenerģijas tarifu mazināšanu</w:t>
      </w:r>
      <w:r>
        <w:rPr>
          <w:noProof/>
        </w:rPr>
        <w:t xml:space="preserve">, kuri ir spēkā līdz 2023. gada aprīlim, </w:t>
      </w:r>
      <w:r w:rsidRPr="00F63C6B">
        <w:rPr>
          <w:noProof/>
        </w:rPr>
        <w:t>nedaudz mazinās inflāciju</w:t>
      </w:r>
      <w:r>
        <w:rPr>
          <w:noProof/>
        </w:rPr>
        <w:t xml:space="preserve">. </w:t>
      </w:r>
      <w:r w:rsidRPr="00F63C6B">
        <w:rPr>
          <w:noProof/>
        </w:rPr>
        <w:t>2023</w:t>
      </w:r>
      <w:r>
        <w:rPr>
          <w:noProof/>
        </w:rPr>
        <w:t>. gad</w:t>
      </w:r>
      <w:r w:rsidRPr="00F63C6B">
        <w:rPr>
          <w:noProof/>
        </w:rPr>
        <w:t xml:space="preserve">ā turpināsies patēriņa cenu pieaugums, vidējai inflācijai sasniedzot </w:t>
      </w:r>
      <w:r>
        <w:rPr>
          <w:noProof/>
        </w:rPr>
        <w:t>8</w:t>
      </w:r>
      <w:r w:rsidRPr="00F63C6B">
        <w:rPr>
          <w:noProof/>
        </w:rPr>
        <w:t>,5%. Pārtikas un energoresursu cenas pašreizējā augstajā līmenī saglabāsies arī nākamajā gadā. Ekonomikas attīstības bāzes scenārijā netiek sagaidīta izejvielu cenu eskalācija 2023</w:t>
      </w:r>
      <w:r>
        <w:rPr>
          <w:noProof/>
        </w:rPr>
        <w:t>. gad</w:t>
      </w:r>
      <w:r w:rsidRPr="00F63C6B">
        <w:rPr>
          <w:noProof/>
        </w:rPr>
        <w:t>ā, tādējādi papildus nepalielinot inflāciju. 2023</w:t>
      </w:r>
      <w:r>
        <w:rPr>
          <w:noProof/>
        </w:rPr>
        <w:t>. gad</w:t>
      </w:r>
      <w:r w:rsidRPr="00F63C6B">
        <w:rPr>
          <w:noProof/>
        </w:rPr>
        <w:t>a pirmajā pusē patēriņa cenu kāpums saglabāsies augstā līmenī, bet gadā otrajā pusē inflācija mazināsies, galvenokārt bāzes efektu dēļ.</w:t>
      </w:r>
    </w:p>
    <w:p w14:paraId="771F0D35" w14:textId="77777777" w:rsidR="00FA2AC6" w:rsidRPr="00AC081B" w:rsidRDefault="00FA2AC6" w:rsidP="004F756F">
      <w:pPr>
        <w:spacing w:before="240"/>
        <w:rPr>
          <w:b/>
          <w:bCs/>
          <w:noProof/>
        </w:rPr>
      </w:pPr>
      <w:r w:rsidRPr="00AC081B">
        <w:rPr>
          <w:b/>
          <w:bCs/>
          <w:noProof/>
        </w:rPr>
        <w:t>Makroekonomiskās attīstības scenārijs</w:t>
      </w:r>
    </w:p>
    <w:p w14:paraId="7D4AA0B6" w14:textId="77777777" w:rsidR="00FA2AC6" w:rsidRPr="00FF6D87" w:rsidRDefault="00FA2AC6" w:rsidP="00FA2AC6">
      <w:r>
        <w:t>Sākotnējais v</w:t>
      </w:r>
      <w:r w:rsidRPr="00FF6D87">
        <w:t>idēja termiņa makroekonomiskās attīstības scenārijs 2022.</w:t>
      </w:r>
      <w:r w:rsidRPr="00FF6D87">
        <w:noBreakHyphen/>
        <w:t>2025</w:t>
      </w:r>
      <w:r>
        <w:t>. gad</w:t>
      </w:r>
      <w:r w:rsidRPr="00FF6D87">
        <w:t>am</w:t>
      </w:r>
      <w:r>
        <w:t xml:space="preserve"> tika</w:t>
      </w:r>
      <w:r w:rsidRPr="00FF6D87">
        <w:t xml:space="preserve"> izstrādāts 2022</w:t>
      </w:r>
      <w:r>
        <w:t>. gad</w:t>
      </w:r>
      <w:r w:rsidRPr="00FF6D87">
        <w:t>a augustā</w:t>
      </w:r>
      <w:r>
        <w:t>. Tomēr m</w:t>
      </w:r>
      <w:r w:rsidRPr="006032BA">
        <w:t>ainoties 2023</w:t>
      </w:r>
      <w:r>
        <w:t>. g</w:t>
      </w:r>
      <w:r w:rsidRPr="006032BA">
        <w:t>ada valsts budžeta sagatavošanas grafikam, Finanšu ministrija ir aktualizējusi makroekonomisko rādītāju prognozes 2022.</w:t>
      </w:r>
      <w:r>
        <w:t> </w:t>
      </w:r>
      <w:r>
        <w:noBreakHyphen/>
        <w:t> </w:t>
      </w:r>
      <w:r w:rsidRPr="006032BA">
        <w:t>2025</w:t>
      </w:r>
      <w:r>
        <w:t>. g</w:t>
      </w:r>
      <w:r w:rsidRPr="006032BA">
        <w:t>adam</w:t>
      </w:r>
      <w:r>
        <w:t>, ņ</w:t>
      </w:r>
      <w:r w:rsidRPr="006032BA">
        <w:t>emot vērā Latvijas iekšzemes kopprodukta dinamiku trešajā ceturksnī, kā arī prognozēto ekonomiskās izaugsmes palēnināšanos Latvijas galvenajās ārējās tirdzniecības partnervalstīs</w:t>
      </w:r>
      <w:r>
        <w:t xml:space="preserve">. Arī </w:t>
      </w:r>
      <w:r w:rsidRPr="00FF6D87">
        <w:t xml:space="preserve">ģeopolitiskā situācija </w:t>
      </w:r>
      <w:r>
        <w:t>ir pa</w:t>
      </w:r>
      <w:r w:rsidRPr="00FF6D87">
        <w:t>sliktinā</w:t>
      </w:r>
      <w:r>
        <w:t>ju</w:t>
      </w:r>
      <w:r w:rsidRPr="00FF6D87">
        <w:t>sies</w:t>
      </w:r>
      <w:r>
        <w:t xml:space="preserve">, tiek noteikti arvien jauni ierobežojumi tirdzniecībai ar Krieviju, veicinot enerģijas resursu cenu strauju pieaugumu globāli. Vienlaikus pamata scenārijā </w:t>
      </w:r>
      <w:r w:rsidRPr="00615328">
        <w:t xml:space="preserve">pieņemts, ka ģeopolitiskā situācija </w:t>
      </w:r>
      <w:r>
        <w:t xml:space="preserve">turpmāk </w:t>
      </w:r>
      <w:r w:rsidRPr="00615328">
        <w:t xml:space="preserve">būtiski nepasliktinās. </w:t>
      </w:r>
      <w:r>
        <w:t>Savukārt Covid</w:t>
      </w:r>
      <w:r>
        <w:noBreakHyphen/>
        <w:t>19 ietekme tiek uzskatīta par nenozīmīgu, kas neskars visu ekonomiku tādā mērā kā iepriekšējos gados</w:t>
      </w:r>
      <w:r w:rsidRPr="00FF6D87">
        <w:t>. Makroekonomisko rādītāju prognozes ir saskaņotas ar Latvijas Banku un Ekonomikas ministriju, kā arī 2022</w:t>
      </w:r>
      <w:r>
        <w:t>. gad</w:t>
      </w:r>
      <w:r w:rsidRPr="00FF6D87">
        <w:t xml:space="preserve">a </w:t>
      </w:r>
      <w:r>
        <w:t>2</w:t>
      </w:r>
      <w:r w:rsidRPr="00FF6D87">
        <w:t>. </w:t>
      </w:r>
      <w:r>
        <w:t>decembrī</w:t>
      </w:r>
      <w:r w:rsidRPr="00FF6D87">
        <w:t xml:space="preserve"> tās ir apstiprinājusi Fiskālās disciplīnas padome.</w:t>
      </w:r>
    </w:p>
    <w:p w14:paraId="33046D10" w14:textId="77777777" w:rsidR="00FA2AC6" w:rsidRDefault="00FA2AC6" w:rsidP="00FA2AC6">
      <w:bookmarkStart w:id="21" w:name="_Hlk115086180"/>
      <w:r w:rsidRPr="00FF6D87">
        <w:t>Atbilstoši</w:t>
      </w:r>
      <w:r>
        <w:t xml:space="preserve"> jaunajam</w:t>
      </w:r>
      <w:r w:rsidRPr="00FF6D87">
        <w:t xml:space="preserve"> scenārijam Latvijas </w:t>
      </w:r>
      <w:r>
        <w:t xml:space="preserve">IKP </w:t>
      </w:r>
      <w:r w:rsidRPr="00FF6D87">
        <w:t>pieauguma prognoze 2022</w:t>
      </w:r>
      <w:r>
        <w:t>. gad</w:t>
      </w:r>
      <w:r w:rsidRPr="00FF6D87">
        <w:t xml:space="preserve">am </w:t>
      </w:r>
      <w:r>
        <w:t xml:space="preserve">samazināta </w:t>
      </w:r>
      <w:r w:rsidRPr="00FF6D87">
        <w:t xml:space="preserve">līdz </w:t>
      </w:r>
      <w:r>
        <w:t>1,6</w:t>
      </w:r>
      <w:r w:rsidRPr="00FF6D87">
        <w:t xml:space="preserve">% (par </w:t>
      </w:r>
      <w:r>
        <w:t>1,2</w:t>
      </w:r>
      <w:r w:rsidRPr="00FF6D87">
        <w:t xml:space="preserve"> procentpunktiem</w:t>
      </w:r>
      <w:r>
        <w:t xml:space="preserve">). Šā gada sākumā bija vērojama vēl strauja ekonomikas izaugsme (gada </w:t>
      </w:r>
      <w:r w:rsidRPr="00DE4FE1">
        <w:t>pirmajā pusē sasniedza 4,1%</w:t>
      </w:r>
      <w:r>
        <w:t xml:space="preserve">), ko noteica </w:t>
      </w:r>
      <w:r w:rsidRPr="00DE4FE1">
        <w:t>spēcīg</w:t>
      </w:r>
      <w:r>
        <w:t>s</w:t>
      </w:r>
      <w:r w:rsidRPr="00DE4FE1">
        <w:t xml:space="preserve"> privātā patēriņa </w:t>
      </w:r>
      <w:r>
        <w:t xml:space="preserve">pieaugums </w:t>
      </w:r>
      <w:r w:rsidRPr="00DE4FE1">
        <w:t xml:space="preserve">pēc </w:t>
      </w:r>
      <w:r>
        <w:t>Covid</w:t>
      </w:r>
      <w:r>
        <w:noBreakHyphen/>
        <w:t>19</w:t>
      </w:r>
      <w:r w:rsidRPr="00DE4FE1">
        <w:t xml:space="preserve"> ierobežojumiem.</w:t>
      </w:r>
      <w:r>
        <w:t xml:space="preserve"> Savukārt jau gada otrajā pusē </w:t>
      </w:r>
      <w:r w:rsidRPr="0065061E">
        <w:t>augsto cenu un pirktspējas krituma ietekmē patēriņa pieauguma temp</w:t>
      </w:r>
      <w:r>
        <w:t>s</w:t>
      </w:r>
      <w:r w:rsidRPr="0065061E">
        <w:t xml:space="preserve"> būtiski </w:t>
      </w:r>
      <w:r>
        <w:t>saruka</w:t>
      </w:r>
      <w:r w:rsidRPr="0065061E">
        <w:t>, kā arī pasliktinoties Latvijas ražotāju situācijai un saglabājoties zemiem investīciju apjomiem, trešajā ceturksnī Latvijas IKP samazinājās par 0,6% un ekonomikas lejupslīde sagaidāma arī gada pēdējā ceturksnī</w:t>
      </w:r>
      <w:r>
        <w:t>, iespaidojot arī nākamo gadu</w:t>
      </w:r>
      <w:r w:rsidRPr="0065061E">
        <w:t>.</w:t>
      </w:r>
    </w:p>
    <w:p w14:paraId="4BD8DDE5" w14:textId="77777777" w:rsidR="00FA2AC6" w:rsidRDefault="00FA2AC6" w:rsidP="009C1108">
      <w:r>
        <w:t xml:space="preserve">2023. gadā tiek prognozēts IKP kritums par 0,6%  (jeb </w:t>
      </w:r>
      <w:r w:rsidRPr="00FF6D87">
        <w:t xml:space="preserve">par </w:t>
      </w:r>
      <w:r>
        <w:t>1,6</w:t>
      </w:r>
      <w:r w:rsidRPr="00FF6D87">
        <w:t xml:space="preserve"> procentpunktiem</w:t>
      </w:r>
      <w:r>
        <w:t xml:space="preserve"> </w:t>
      </w:r>
      <w:r w:rsidRPr="00FF6D87">
        <w:t xml:space="preserve">mazāk, nekā </w:t>
      </w:r>
      <w:r>
        <w:t xml:space="preserve">šā gada augusta </w:t>
      </w:r>
      <w:r w:rsidRPr="00FF6D87">
        <w:t>pr</w:t>
      </w:r>
      <w:r>
        <w:t xml:space="preserve">ognozēs). </w:t>
      </w:r>
      <w:r w:rsidRPr="003438C8">
        <w:t>Augstās energoresursu cenas, ražošanas izmaksu pieaugums un pieprasījuma vājināšanās ārējos tirgos turpinās negatīvi ietekmēt Latvijas ekonomiku arī 2023</w:t>
      </w:r>
      <w:r>
        <w:t>. gad</w:t>
      </w:r>
      <w:r w:rsidRPr="003438C8">
        <w:t>a pirmajā pusē, bet no gada vidus ekonomikas izaugsme sāks atjaunoties</w:t>
      </w:r>
      <w:r>
        <w:t>. Tāpēc v</w:t>
      </w:r>
      <w:r w:rsidRPr="00FF6D87">
        <w:t>idējā termiņā atkal gaidāma izaugsmes tempu palielināšanās līdz potenciālā IKP izaugsmes tempam, iekšzemes kopprodukta pieaugumam 2025</w:t>
      </w:r>
      <w:r>
        <w:t>. gad</w:t>
      </w:r>
      <w:r w:rsidRPr="00FF6D87">
        <w:t>ā sasniedzot 3%.</w:t>
      </w:r>
    </w:p>
    <w:p w14:paraId="59C58749" w14:textId="77777777" w:rsidR="00FA2AC6" w:rsidRPr="00A40167" w:rsidRDefault="00FA2AC6" w:rsidP="00FA2AC6">
      <w:r w:rsidRPr="00A40167">
        <w:t>2022</w:t>
      </w:r>
      <w:r>
        <w:t>. g</w:t>
      </w:r>
      <w:r w:rsidRPr="00A40167">
        <w:t>ada beigās un 2023</w:t>
      </w:r>
      <w:r>
        <w:t>. g</w:t>
      </w:r>
      <w:r w:rsidRPr="00A40167">
        <w:t xml:space="preserve">ada sākumā, apkures sezonas laikā, privāto patēriņu mazinās </w:t>
      </w:r>
      <w:bookmarkStart w:id="22" w:name="_Hlk115086564"/>
      <w:bookmarkEnd w:id="21"/>
      <w:r w:rsidRPr="00A40167">
        <w:t>iedzīvotāju pirktspējas samazināšanās augstās inflācijas dēļ, kā arī iedzīvotājiem vairāk līdzekļu novirzot ar mājokli saistīto izdevumu segšanai. Līdz ar to privātā patēriņa pieaugums 2022</w:t>
      </w:r>
      <w:r>
        <w:t>. g</w:t>
      </w:r>
      <w:r w:rsidRPr="00A40167">
        <w:t xml:space="preserve">adā vēl sasniegs 7,9%, pateicoties spēcīgam pieaugumam gada sākumā, bet </w:t>
      </w:r>
      <w:r w:rsidRPr="00A40167">
        <w:lastRenderedPageBreak/>
        <w:t>2023</w:t>
      </w:r>
      <w:r>
        <w:t>. g</w:t>
      </w:r>
      <w:r w:rsidRPr="00A40167">
        <w:t>adā jau samazināsies par 3%. Savukārt 2023. un 2024</w:t>
      </w:r>
      <w:r>
        <w:t>. g</w:t>
      </w:r>
      <w:r w:rsidRPr="00A40167">
        <w:t>adā privātā patēriņa gada pieaugums atjaunosies attiecīgi 3,6% un 4,1% apmērā.</w:t>
      </w:r>
    </w:p>
    <w:p w14:paraId="09E3E758" w14:textId="28C23109" w:rsidR="00FA2AC6" w:rsidRPr="00AD46EB" w:rsidRDefault="00FA2AC6" w:rsidP="00FA2AC6">
      <w:r w:rsidRPr="00AD46EB">
        <w:t>2022. un 2023</w:t>
      </w:r>
      <w:r>
        <w:t>. g</w:t>
      </w:r>
      <w:r w:rsidRPr="00AD46EB">
        <w:t>adā vispārējās valdības patēriņa pieaugums salīdzināmajās cenās būs mērens, attiecīg</w:t>
      </w:r>
      <w:r>
        <w:t>i</w:t>
      </w:r>
      <w:r w:rsidRPr="00AD46EB">
        <w:t xml:space="preserve"> 1,9% un 1,2%. Valdības patēriņa prognoze ir veikta</w:t>
      </w:r>
      <w:r>
        <w:t>,</w:t>
      </w:r>
      <w:r w:rsidRPr="00AD46EB">
        <w:t xml:space="preserve"> balstoties uz nemainīgas politikas pieņēmumu, ietvero</w:t>
      </w:r>
      <w:r>
        <w:t>t</w:t>
      </w:r>
      <w:r w:rsidRPr="00AD46EB">
        <w:t xml:space="preserve"> tikai jau apstiprinātus izdevumu pasākumus. Mērenu izaugsmi noteiks pieaugušās cenas, proti</w:t>
      </w:r>
      <w:r w:rsidR="004F756F">
        <w:t>,</w:t>
      </w:r>
      <w:r w:rsidRPr="00AD46EB">
        <w:t xml:space="preserve"> vairāk resursu </w:t>
      </w:r>
      <w:r>
        <w:t>būs jānovirza</w:t>
      </w:r>
      <w:r w:rsidRPr="00AD46EB">
        <w:t xml:space="preserve"> esošā patēriņa uzturēšanai.</w:t>
      </w:r>
    </w:p>
    <w:p w14:paraId="072EDD0F" w14:textId="77777777" w:rsidR="00FA2AC6" w:rsidRPr="00CB38BA" w:rsidRDefault="00FA2AC6" w:rsidP="00FA2AC6">
      <w:r w:rsidRPr="00CB38BA">
        <w:t>Investīciju (bruto pamatkapitāla veidošanas) apjoms 2022</w:t>
      </w:r>
      <w:r>
        <w:t>. g</w:t>
      </w:r>
      <w:r w:rsidRPr="00CB38BA">
        <w:t>adā varētu palielināties par 0,6% (</w:t>
      </w:r>
      <w:r w:rsidRPr="00CB38BA">
        <w:rPr>
          <w:noProof/>
        </w:rPr>
        <w:t>jeb par 1,3 procentpunktiem mazāk nekā prognozēts augustā). Lēnāku izaugsmi nosaka strauji pieaugušās izmaksas, kas ietekmēs arī investīciju dinamiku 2023</w:t>
      </w:r>
      <w:r>
        <w:rPr>
          <w:noProof/>
        </w:rPr>
        <w:t>. g</w:t>
      </w:r>
      <w:r w:rsidRPr="00CB38BA">
        <w:rPr>
          <w:noProof/>
        </w:rPr>
        <w:t>adā – investīciju apjoms saruk</w:t>
      </w:r>
      <w:r>
        <w:rPr>
          <w:noProof/>
        </w:rPr>
        <w:t>s</w:t>
      </w:r>
      <w:r w:rsidRPr="00CB38BA">
        <w:rPr>
          <w:noProof/>
        </w:rPr>
        <w:t xml:space="preserve"> par 1%. Ņemot vērā lielo nenoteiktību, t.sk., no ģeopolitiskās situācijas izrietošo, nākamajā gadā investīciju katalizators būs Eiropas Savienības fondu finansējums, Atveseļošanās un noturības mehānisma finansējuma pieejamība, kā arī </w:t>
      </w:r>
      <w:r w:rsidRPr="008F3CC6">
        <w:rPr>
          <w:i/>
          <w:iCs/>
          <w:noProof/>
        </w:rPr>
        <w:t xml:space="preserve">RailBaltica </w:t>
      </w:r>
      <w:r w:rsidRPr="00CB38BA">
        <w:rPr>
          <w:noProof/>
        </w:rPr>
        <w:t xml:space="preserve">projekta realizācija. Savukārt vidējā termiņā investīciju pieaugums </w:t>
      </w:r>
      <w:r>
        <w:rPr>
          <w:noProof/>
        </w:rPr>
        <w:t xml:space="preserve">atjaunosies un </w:t>
      </w:r>
      <w:r w:rsidRPr="00CB38BA">
        <w:rPr>
          <w:noProof/>
        </w:rPr>
        <w:t>būs ap 5%</w:t>
      </w:r>
      <w:r>
        <w:t xml:space="preserve"> gadā.</w:t>
      </w:r>
    </w:p>
    <w:p w14:paraId="2BE343DE" w14:textId="77777777" w:rsidR="00FA2AC6" w:rsidRPr="004F673B" w:rsidRDefault="00FA2AC6" w:rsidP="00FA2AC6">
      <w:r w:rsidRPr="004F673B">
        <w:t>Jūtama pozitīva ietekme uz ekonomikas izaugsmi šogad ir eksporta pieaugumam, kas 2022</w:t>
      </w:r>
      <w:r>
        <w:t>. g</w:t>
      </w:r>
      <w:r w:rsidRPr="004F673B">
        <w:t>adā varētu attiecīgi sasniegt 10,7%, jo eksportu veicina pieaugušais ārējais pieprasījums un augušās cenas. Savukārt 2023</w:t>
      </w:r>
      <w:r>
        <w:t>. g</w:t>
      </w:r>
      <w:r w:rsidRPr="004F673B">
        <w:t>adā, pasliktinoties ārējai videi un samazinoties pieprasījumam, eksportētāji varētu vairāk izjust grūtības, tādējādi eksport</w:t>
      </w:r>
      <w:r>
        <w:t xml:space="preserve">s </w:t>
      </w:r>
      <w:r w:rsidRPr="004F673B">
        <w:t xml:space="preserve">pieaugtu vien </w:t>
      </w:r>
      <w:r>
        <w:t xml:space="preserve">par </w:t>
      </w:r>
      <w:r w:rsidRPr="004F673B">
        <w:t>0,2%. Savukārt turpmākajos gados scenārijā pieņemts, ka eksportētāji būs pielāgojušies jaunajiem apstākļiem, un eksports varēs augt ap 4% gadā.</w:t>
      </w:r>
    </w:p>
    <w:bookmarkEnd w:id="22"/>
    <w:p w14:paraId="48AF7710" w14:textId="77777777" w:rsidR="00FA2AC6" w:rsidRPr="00AC081B" w:rsidRDefault="00FA2AC6" w:rsidP="00FA2AC6">
      <w:pPr>
        <w:pStyle w:val="Tabulasvirsraksts"/>
        <w:rPr>
          <w:rFonts w:eastAsia="Calibri"/>
          <w:iCs w:val="0"/>
        </w:rPr>
      </w:pPr>
      <w:r w:rsidRPr="00AC081B">
        <w:rPr>
          <w:rFonts w:eastAsia="Calibri"/>
          <w:iCs w:val="0"/>
        </w:rPr>
        <w:t>5. tabula. Makroekonomisko prognožu kopsavilkums</w:t>
      </w:r>
    </w:p>
    <w:tbl>
      <w:tblPr>
        <w:tblW w:w="45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992"/>
        <w:gridCol w:w="1027"/>
        <w:gridCol w:w="1028"/>
        <w:gridCol w:w="1028"/>
        <w:gridCol w:w="1028"/>
      </w:tblGrid>
      <w:tr w:rsidR="00FA2AC6" w:rsidRPr="00AC081B" w14:paraId="615F930B" w14:textId="77777777" w:rsidTr="00557A0A">
        <w:trPr>
          <w:trHeight w:val="300"/>
          <w:jc w:val="center"/>
        </w:trPr>
        <w:tc>
          <w:tcPr>
            <w:tcW w:w="3114" w:type="dxa"/>
            <w:vMerge w:val="restart"/>
            <w:shd w:val="clear" w:color="auto" w:fill="BDD6EE" w:themeFill="accent1" w:themeFillTint="66"/>
            <w:noWrap/>
            <w:vAlign w:val="center"/>
            <w:hideMark/>
          </w:tcPr>
          <w:p w14:paraId="0E776B5F" w14:textId="77777777" w:rsidR="00FA2AC6" w:rsidRPr="00AC081B" w:rsidRDefault="00FA2AC6" w:rsidP="00557A0A">
            <w:pPr>
              <w:spacing w:before="0" w:after="0"/>
              <w:ind w:firstLine="0"/>
              <w:jc w:val="left"/>
              <w:rPr>
                <w:rFonts w:cs="Times New Roman"/>
                <w:sz w:val="20"/>
                <w:szCs w:val="20"/>
                <w:lang w:eastAsia="lv-LV"/>
              </w:rPr>
            </w:pPr>
          </w:p>
        </w:tc>
        <w:tc>
          <w:tcPr>
            <w:tcW w:w="992" w:type="dxa"/>
            <w:shd w:val="clear" w:color="auto" w:fill="BDD6EE" w:themeFill="accent1" w:themeFillTint="66"/>
            <w:noWrap/>
            <w:vAlign w:val="center"/>
            <w:hideMark/>
          </w:tcPr>
          <w:p w14:paraId="165EC4BA" w14:textId="77777777" w:rsidR="00FA2AC6" w:rsidRPr="00AC081B" w:rsidRDefault="00FA2AC6" w:rsidP="00557A0A">
            <w:pPr>
              <w:spacing w:before="0" w:after="0"/>
              <w:ind w:firstLine="0"/>
              <w:jc w:val="center"/>
              <w:rPr>
                <w:rFonts w:cs="Times New Roman"/>
                <w:b/>
                <w:bCs/>
                <w:sz w:val="20"/>
                <w:szCs w:val="20"/>
                <w:lang w:eastAsia="lv-LV"/>
              </w:rPr>
            </w:pPr>
            <w:r w:rsidRPr="00AC081B">
              <w:rPr>
                <w:rFonts w:cs="Times New Roman"/>
                <w:b/>
                <w:bCs/>
                <w:sz w:val="20"/>
                <w:szCs w:val="20"/>
                <w:lang w:eastAsia="lv-LV"/>
              </w:rPr>
              <w:t>2021</w:t>
            </w:r>
          </w:p>
        </w:tc>
        <w:tc>
          <w:tcPr>
            <w:tcW w:w="1027" w:type="dxa"/>
            <w:shd w:val="clear" w:color="auto" w:fill="BDD6EE" w:themeFill="accent1" w:themeFillTint="66"/>
            <w:noWrap/>
            <w:vAlign w:val="center"/>
          </w:tcPr>
          <w:p w14:paraId="4CADC34D" w14:textId="77777777" w:rsidR="00FA2AC6" w:rsidRPr="00AC081B" w:rsidRDefault="00FA2AC6" w:rsidP="00557A0A">
            <w:pPr>
              <w:spacing w:before="0" w:after="0"/>
              <w:ind w:firstLine="0"/>
              <w:jc w:val="center"/>
              <w:rPr>
                <w:rFonts w:cs="Times New Roman"/>
                <w:b/>
                <w:bCs/>
                <w:sz w:val="20"/>
                <w:szCs w:val="20"/>
                <w:lang w:eastAsia="lv-LV"/>
              </w:rPr>
            </w:pPr>
            <w:r w:rsidRPr="00AC081B">
              <w:rPr>
                <w:rFonts w:cs="Times New Roman"/>
                <w:b/>
                <w:bCs/>
                <w:sz w:val="20"/>
                <w:szCs w:val="20"/>
                <w:lang w:eastAsia="lv-LV"/>
              </w:rPr>
              <w:t>2022</w:t>
            </w:r>
          </w:p>
        </w:tc>
        <w:tc>
          <w:tcPr>
            <w:tcW w:w="1028" w:type="dxa"/>
            <w:shd w:val="clear" w:color="auto" w:fill="BDD6EE" w:themeFill="accent1" w:themeFillTint="66"/>
            <w:noWrap/>
            <w:vAlign w:val="center"/>
          </w:tcPr>
          <w:p w14:paraId="412A2F7F" w14:textId="77777777" w:rsidR="00FA2AC6" w:rsidRPr="00AC081B" w:rsidRDefault="00FA2AC6" w:rsidP="00557A0A">
            <w:pPr>
              <w:spacing w:before="0" w:after="0"/>
              <w:ind w:firstLine="0"/>
              <w:jc w:val="center"/>
              <w:rPr>
                <w:rFonts w:cs="Times New Roman"/>
                <w:b/>
                <w:bCs/>
                <w:sz w:val="20"/>
                <w:szCs w:val="20"/>
                <w:lang w:eastAsia="lv-LV"/>
              </w:rPr>
            </w:pPr>
            <w:r w:rsidRPr="00AC081B">
              <w:rPr>
                <w:rFonts w:cs="Times New Roman"/>
                <w:b/>
                <w:bCs/>
                <w:sz w:val="20"/>
                <w:szCs w:val="20"/>
                <w:lang w:eastAsia="lv-LV"/>
              </w:rPr>
              <w:t>2023</w:t>
            </w:r>
          </w:p>
        </w:tc>
        <w:tc>
          <w:tcPr>
            <w:tcW w:w="1028" w:type="dxa"/>
            <w:shd w:val="clear" w:color="auto" w:fill="BDD6EE" w:themeFill="accent1" w:themeFillTint="66"/>
            <w:noWrap/>
            <w:vAlign w:val="center"/>
          </w:tcPr>
          <w:p w14:paraId="0A6D02C4" w14:textId="77777777" w:rsidR="00FA2AC6" w:rsidRPr="00AC081B" w:rsidRDefault="00FA2AC6" w:rsidP="00557A0A">
            <w:pPr>
              <w:spacing w:before="0" w:after="0"/>
              <w:ind w:firstLine="0"/>
              <w:jc w:val="center"/>
              <w:rPr>
                <w:rFonts w:cs="Times New Roman"/>
                <w:b/>
                <w:bCs/>
                <w:sz w:val="20"/>
                <w:szCs w:val="20"/>
                <w:lang w:eastAsia="lv-LV"/>
              </w:rPr>
            </w:pPr>
            <w:r w:rsidRPr="00AC081B">
              <w:rPr>
                <w:rFonts w:cs="Times New Roman"/>
                <w:b/>
                <w:bCs/>
                <w:sz w:val="20"/>
                <w:szCs w:val="20"/>
                <w:lang w:eastAsia="lv-LV"/>
              </w:rPr>
              <w:t>2024</w:t>
            </w:r>
          </w:p>
        </w:tc>
        <w:tc>
          <w:tcPr>
            <w:tcW w:w="1028" w:type="dxa"/>
            <w:shd w:val="clear" w:color="auto" w:fill="BDD6EE" w:themeFill="accent1" w:themeFillTint="66"/>
            <w:noWrap/>
            <w:vAlign w:val="center"/>
          </w:tcPr>
          <w:p w14:paraId="130FD4B3" w14:textId="77777777" w:rsidR="00FA2AC6" w:rsidRPr="00AC081B" w:rsidRDefault="00FA2AC6" w:rsidP="00557A0A">
            <w:pPr>
              <w:spacing w:before="0" w:after="0"/>
              <w:ind w:firstLine="0"/>
              <w:jc w:val="center"/>
              <w:rPr>
                <w:rFonts w:cs="Times New Roman"/>
                <w:b/>
                <w:bCs/>
                <w:sz w:val="20"/>
                <w:szCs w:val="20"/>
                <w:lang w:eastAsia="lv-LV"/>
              </w:rPr>
            </w:pPr>
            <w:r w:rsidRPr="00AC081B">
              <w:rPr>
                <w:rFonts w:cs="Times New Roman"/>
                <w:b/>
                <w:bCs/>
                <w:sz w:val="20"/>
                <w:szCs w:val="20"/>
                <w:lang w:eastAsia="lv-LV"/>
              </w:rPr>
              <w:t>2025</w:t>
            </w:r>
          </w:p>
        </w:tc>
      </w:tr>
      <w:tr w:rsidR="00FA2AC6" w:rsidRPr="00AC081B" w14:paraId="2C4E3115" w14:textId="77777777" w:rsidTr="00557A0A">
        <w:trPr>
          <w:trHeight w:val="300"/>
          <w:jc w:val="center"/>
        </w:trPr>
        <w:tc>
          <w:tcPr>
            <w:tcW w:w="3114" w:type="dxa"/>
            <w:vMerge/>
            <w:shd w:val="clear" w:color="auto" w:fill="BDD6EE" w:themeFill="accent1" w:themeFillTint="66"/>
            <w:noWrap/>
            <w:vAlign w:val="center"/>
          </w:tcPr>
          <w:p w14:paraId="2A98F9CB" w14:textId="77777777" w:rsidR="00FA2AC6" w:rsidRPr="00AC081B" w:rsidRDefault="00FA2AC6" w:rsidP="00557A0A">
            <w:pPr>
              <w:spacing w:before="0" w:after="0"/>
              <w:ind w:firstLine="0"/>
              <w:jc w:val="left"/>
              <w:rPr>
                <w:rFonts w:cs="Times New Roman"/>
                <w:sz w:val="20"/>
                <w:szCs w:val="20"/>
                <w:lang w:eastAsia="lv-LV"/>
              </w:rPr>
            </w:pPr>
          </w:p>
        </w:tc>
        <w:tc>
          <w:tcPr>
            <w:tcW w:w="992" w:type="dxa"/>
            <w:shd w:val="clear" w:color="auto" w:fill="BDD6EE" w:themeFill="accent1" w:themeFillTint="66"/>
            <w:noWrap/>
            <w:vAlign w:val="center"/>
          </w:tcPr>
          <w:p w14:paraId="49B3B0B2" w14:textId="77777777" w:rsidR="00FA2AC6" w:rsidRPr="00AC081B" w:rsidRDefault="00FA2AC6" w:rsidP="00557A0A">
            <w:pPr>
              <w:spacing w:before="0" w:after="0"/>
              <w:ind w:firstLine="0"/>
              <w:jc w:val="center"/>
              <w:rPr>
                <w:rFonts w:cs="Times New Roman"/>
                <w:b/>
                <w:bCs/>
                <w:sz w:val="20"/>
                <w:szCs w:val="20"/>
                <w:lang w:eastAsia="lv-LV"/>
              </w:rPr>
            </w:pPr>
            <w:r w:rsidRPr="00AC081B">
              <w:rPr>
                <w:rFonts w:cs="Times New Roman"/>
                <w:b/>
                <w:bCs/>
                <w:sz w:val="20"/>
                <w:szCs w:val="20"/>
                <w:lang w:eastAsia="lv-LV"/>
              </w:rPr>
              <w:t>fakts</w:t>
            </w:r>
          </w:p>
        </w:tc>
        <w:tc>
          <w:tcPr>
            <w:tcW w:w="4111" w:type="dxa"/>
            <w:gridSpan w:val="4"/>
            <w:shd w:val="clear" w:color="auto" w:fill="BDD6EE" w:themeFill="accent1" w:themeFillTint="66"/>
            <w:noWrap/>
            <w:vAlign w:val="center"/>
          </w:tcPr>
          <w:p w14:paraId="0D8E6F3D" w14:textId="77777777" w:rsidR="00FA2AC6" w:rsidRPr="00AC081B" w:rsidRDefault="00FA2AC6" w:rsidP="00557A0A">
            <w:pPr>
              <w:spacing w:before="0" w:after="0"/>
              <w:ind w:firstLine="0"/>
              <w:jc w:val="center"/>
              <w:rPr>
                <w:rFonts w:cs="Times New Roman"/>
                <w:b/>
                <w:bCs/>
                <w:sz w:val="20"/>
                <w:szCs w:val="20"/>
                <w:lang w:eastAsia="lv-LV"/>
              </w:rPr>
            </w:pPr>
            <w:r w:rsidRPr="00AC081B">
              <w:rPr>
                <w:rFonts w:cs="Times New Roman"/>
                <w:b/>
                <w:bCs/>
                <w:sz w:val="20"/>
                <w:szCs w:val="20"/>
                <w:lang w:eastAsia="lv-LV"/>
              </w:rPr>
              <w:t>prognoze</w:t>
            </w:r>
          </w:p>
        </w:tc>
      </w:tr>
      <w:tr w:rsidR="00FA2AC6" w:rsidRPr="00AC081B" w14:paraId="3F46113D" w14:textId="77777777" w:rsidTr="00557A0A">
        <w:trPr>
          <w:trHeight w:val="300"/>
          <w:jc w:val="center"/>
        </w:trPr>
        <w:tc>
          <w:tcPr>
            <w:tcW w:w="3114" w:type="dxa"/>
            <w:shd w:val="clear" w:color="auto" w:fill="auto"/>
            <w:noWrap/>
            <w:vAlign w:val="center"/>
            <w:hideMark/>
          </w:tcPr>
          <w:p w14:paraId="4EBDB5C4" w14:textId="77777777" w:rsidR="00FA2AC6" w:rsidRPr="00AC081B" w:rsidRDefault="00FA2AC6" w:rsidP="00557A0A">
            <w:pPr>
              <w:spacing w:before="0" w:after="0"/>
              <w:ind w:firstLine="0"/>
              <w:jc w:val="left"/>
              <w:rPr>
                <w:rFonts w:cs="Times New Roman"/>
                <w:noProof/>
                <w:sz w:val="20"/>
                <w:szCs w:val="20"/>
                <w:lang w:eastAsia="lv-LV"/>
              </w:rPr>
            </w:pPr>
            <w:r w:rsidRPr="00AC081B">
              <w:rPr>
                <w:rFonts w:cs="Times New Roman"/>
                <w:noProof/>
                <w:sz w:val="20"/>
                <w:szCs w:val="20"/>
                <w:lang w:eastAsia="lv-LV"/>
              </w:rPr>
              <w:t xml:space="preserve">Iekšzemes kopprodukts (milj. </w:t>
            </w:r>
            <w:r w:rsidRPr="00AC081B">
              <w:rPr>
                <w:rFonts w:cs="Times New Roman"/>
                <w:i/>
                <w:noProof/>
                <w:sz w:val="20"/>
                <w:szCs w:val="20"/>
                <w:lang w:eastAsia="lv-LV"/>
              </w:rPr>
              <w:t>euro</w:t>
            </w:r>
            <w:r w:rsidRPr="00AC081B">
              <w:rPr>
                <w:rFonts w:cs="Times New Roman"/>
                <w:noProof/>
                <w:sz w:val="20"/>
                <w:szCs w:val="20"/>
                <w:lang w:eastAsia="lv-LV"/>
              </w:rPr>
              <w:t>)</w:t>
            </w:r>
          </w:p>
        </w:tc>
        <w:tc>
          <w:tcPr>
            <w:tcW w:w="992" w:type="dxa"/>
            <w:shd w:val="clear" w:color="auto" w:fill="auto"/>
            <w:noWrap/>
            <w:tcMar>
              <w:right w:w="170" w:type="dxa"/>
            </w:tcMar>
            <w:vAlign w:val="center"/>
          </w:tcPr>
          <w:p w14:paraId="5EF2F073"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33 696</w:t>
            </w:r>
          </w:p>
        </w:tc>
        <w:tc>
          <w:tcPr>
            <w:tcW w:w="1027" w:type="dxa"/>
            <w:shd w:val="clear" w:color="auto" w:fill="F2F2F2"/>
            <w:noWrap/>
            <w:tcMar>
              <w:right w:w="170" w:type="dxa"/>
            </w:tcMar>
            <w:vAlign w:val="center"/>
          </w:tcPr>
          <w:p w14:paraId="28FF5A39"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39 439</w:t>
            </w:r>
          </w:p>
        </w:tc>
        <w:tc>
          <w:tcPr>
            <w:tcW w:w="1028" w:type="dxa"/>
            <w:shd w:val="clear" w:color="auto" w:fill="F2F2F2"/>
            <w:noWrap/>
            <w:tcMar>
              <w:right w:w="170" w:type="dxa"/>
            </w:tcMar>
            <w:vAlign w:val="center"/>
          </w:tcPr>
          <w:p w14:paraId="67350C81"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42 617</w:t>
            </w:r>
          </w:p>
        </w:tc>
        <w:tc>
          <w:tcPr>
            <w:tcW w:w="1028" w:type="dxa"/>
            <w:shd w:val="clear" w:color="auto" w:fill="F2F2F2"/>
            <w:noWrap/>
            <w:tcMar>
              <w:right w:w="170" w:type="dxa"/>
            </w:tcMar>
            <w:vAlign w:val="center"/>
          </w:tcPr>
          <w:p w14:paraId="792D9BDC"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44 911</w:t>
            </w:r>
          </w:p>
        </w:tc>
        <w:tc>
          <w:tcPr>
            <w:tcW w:w="1028" w:type="dxa"/>
            <w:shd w:val="clear" w:color="auto" w:fill="F2F2F2"/>
            <w:noWrap/>
            <w:tcMar>
              <w:right w:w="170" w:type="dxa"/>
            </w:tcMar>
            <w:vAlign w:val="center"/>
          </w:tcPr>
          <w:p w14:paraId="65C12F72"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47 479</w:t>
            </w:r>
          </w:p>
        </w:tc>
      </w:tr>
      <w:tr w:rsidR="00FA2AC6" w:rsidRPr="00AC081B" w14:paraId="59C05BBA" w14:textId="77777777" w:rsidTr="00557A0A">
        <w:trPr>
          <w:trHeight w:val="300"/>
          <w:jc w:val="center"/>
        </w:trPr>
        <w:tc>
          <w:tcPr>
            <w:tcW w:w="3114" w:type="dxa"/>
            <w:shd w:val="clear" w:color="auto" w:fill="auto"/>
            <w:noWrap/>
            <w:vAlign w:val="center"/>
            <w:hideMark/>
          </w:tcPr>
          <w:p w14:paraId="7E102F6B" w14:textId="77777777" w:rsidR="00FA2AC6" w:rsidRPr="00AC081B" w:rsidRDefault="00FA2AC6" w:rsidP="00557A0A">
            <w:pPr>
              <w:spacing w:before="0" w:after="0"/>
              <w:ind w:firstLine="0"/>
              <w:jc w:val="left"/>
              <w:rPr>
                <w:rFonts w:cs="Times New Roman"/>
                <w:noProof/>
                <w:sz w:val="20"/>
                <w:szCs w:val="20"/>
                <w:lang w:eastAsia="lv-LV"/>
              </w:rPr>
            </w:pPr>
            <w:r w:rsidRPr="00AC081B">
              <w:rPr>
                <w:rFonts w:cs="Times New Roman"/>
                <w:noProof/>
                <w:sz w:val="20"/>
                <w:szCs w:val="20"/>
                <w:lang w:eastAsia="lv-LV"/>
              </w:rPr>
              <w:t>pieaugums faktiskajās cenās (%)</w:t>
            </w:r>
          </w:p>
        </w:tc>
        <w:tc>
          <w:tcPr>
            <w:tcW w:w="992" w:type="dxa"/>
            <w:shd w:val="clear" w:color="auto" w:fill="auto"/>
            <w:noWrap/>
            <w:tcMar>
              <w:right w:w="170" w:type="dxa"/>
            </w:tcMar>
            <w:vAlign w:val="center"/>
          </w:tcPr>
          <w:p w14:paraId="4DF8090B"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11,2</w:t>
            </w:r>
          </w:p>
        </w:tc>
        <w:tc>
          <w:tcPr>
            <w:tcW w:w="1027" w:type="dxa"/>
            <w:shd w:val="clear" w:color="auto" w:fill="F2F2F2"/>
            <w:noWrap/>
            <w:tcMar>
              <w:right w:w="170" w:type="dxa"/>
            </w:tcMar>
            <w:vAlign w:val="center"/>
          </w:tcPr>
          <w:p w14:paraId="3F7FB780"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17,0</w:t>
            </w:r>
          </w:p>
        </w:tc>
        <w:tc>
          <w:tcPr>
            <w:tcW w:w="1028" w:type="dxa"/>
            <w:shd w:val="clear" w:color="auto" w:fill="F2F2F2"/>
            <w:noWrap/>
            <w:tcMar>
              <w:right w:w="170" w:type="dxa"/>
            </w:tcMar>
            <w:vAlign w:val="center"/>
          </w:tcPr>
          <w:p w14:paraId="21AF6E70"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8,1</w:t>
            </w:r>
          </w:p>
        </w:tc>
        <w:tc>
          <w:tcPr>
            <w:tcW w:w="1028" w:type="dxa"/>
            <w:shd w:val="clear" w:color="auto" w:fill="F2F2F2"/>
            <w:noWrap/>
            <w:tcMar>
              <w:right w:w="170" w:type="dxa"/>
            </w:tcMar>
            <w:vAlign w:val="center"/>
          </w:tcPr>
          <w:p w14:paraId="622C765C"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5,4</w:t>
            </w:r>
          </w:p>
        </w:tc>
        <w:tc>
          <w:tcPr>
            <w:tcW w:w="1028" w:type="dxa"/>
            <w:shd w:val="clear" w:color="auto" w:fill="F2F2F2"/>
            <w:noWrap/>
            <w:tcMar>
              <w:right w:w="170" w:type="dxa"/>
            </w:tcMar>
            <w:vAlign w:val="center"/>
          </w:tcPr>
          <w:p w14:paraId="5EC57FB0"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5,7</w:t>
            </w:r>
          </w:p>
        </w:tc>
      </w:tr>
      <w:tr w:rsidR="00FA2AC6" w:rsidRPr="00AC081B" w14:paraId="294427B3" w14:textId="77777777" w:rsidTr="00557A0A">
        <w:trPr>
          <w:trHeight w:val="300"/>
          <w:jc w:val="center"/>
        </w:trPr>
        <w:tc>
          <w:tcPr>
            <w:tcW w:w="3114" w:type="dxa"/>
            <w:shd w:val="clear" w:color="auto" w:fill="auto"/>
            <w:noWrap/>
            <w:vAlign w:val="center"/>
            <w:hideMark/>
          </w:tcPr>
          <w:p w14:paraId="438BD1C7" w14:textId="77777777" w:rsidR="00FA2AC6" w:rsidRPr="00AC081B" w:rsidRDefault="00FA2AC6" w:rsidP="00557A0A">
            <w:pPr>
              <w:spacing w:before="0" w:after="0"/>
              <w:ind w:firstLine="0"/>
              <w:jc w:val="left"/>
              <w:rPr>
                <w:rFonts w:cs="Times New Roman"/>
                <w:noProof/>
                <w:sz w:val="20"/>
                <w:szCs w:val="20"/>
                <w:lang w:eastAsia="lv-LV"/>
              </w:rPr>
            </w:pPr>
            <w:r w:rsidRPr="00AC081B">
              <w:rPr>
                <w:rFonts w:cs="Times New Roman"/>
                <w:noProof/>
                <w:sz w:val="20"/>
                <w:szCs w:val="20"/>
                <w:lang w:eastAsia="lv-LV"/>
              </w:rPr>
              <w:t>pieaugums salīdzināmās cenās (%)</w:t>
            </w:r>
          </w:p>
        </w:tc>
        <w:tc>
          <w:tcPr>
            <w:tcW w:w="992" w:type="dxa"/>
            <w:shd w:val="clear" w:color="auto" w:fill="auto"/>
            <w:noWrap/>
            <w:tcMar>
              <w:right w:w="170" w:type="dxa"/>
            </w:tcMar>
            <w:vAlign w:val="center"/>
          </w:tcPr>
          <w:p w14:paraId="65FB85A6"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4,1</w:t>
            </w:r>
          </w:p>
        </w:tc>
        <w:tc>
          <w:tcPr>
            <w:tcW w:w="1027" w:type="dxa"/>
            <w:shd w:val="clear" w:color="auto" w:fill="F2F2F2"/>
            <w:noWrap/>
            <w:tcMar>
              <w:right w:w="170" w:type="dxa"/>
            </w:tcMar>
            <w:vAlign w:val="center"/>
          </w:tcPr>
          <w:p w14:paraId="7D4320A5"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1,6</w:t>
            </w:r>
          </w:p>
        </w:tc>
        <w:tc>
          <w:tcPr>
            <w:tcW w:w="1028" w:type="dxa"/>
            <w:shd w:val="clear" w:color="auto" w:fill="F2F2F2"/>
            <w:noWrap/>
            <w:tcMar>
              <w:right w:w="170" w:type="dxa"/>
            </w:tcMar>
            <w:vAlign w:val="center"/>
          </w:tcPr>
          <w:p w14:paraId="13485700"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-0,6</w:t>
            </w:r>
          </w:p>
        </w:tc>
        <w:tc>
          <w:tcPr>
            <w:tcW w:w="1028" w:type="dxa"/>
            <w:shd w:val="clear" w:color="auto" w:fill="F2F2F2"/>
            <w:noWrap/>
            <w:tcMar>
              <w:right w:w="170" w:type="dxa"/>
            </w:tcMar>
            <w:vAlign w:val="center"/>
          </w:tcPr>
          <w:p w14:paraId="593E549E"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3,0</w:t>
            </w:r>
          </w:p>
        </w:tc>
        <w:tc>
          <w:tcPr>
            <w:tcW w:w="1028" w:type="dxa"/>
            <w:shd w:val="clear" w:color="auto" w:fill="F2F2F2"/>
            <w:noWrap/>
            <w:tcMar>
              <w:right w:w="170" w:type="dxa"/>
            </w:tcMar>
            <w:vAlign w:val="center"/>
          </w:tcPr>
          <w:p w14:paraId="47412563"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3,0</w:t>
            </w:r>
          </w:p>
        </w:tc>
      </w:tr>
      <w:tr w:rsidR="00FA2AC6" w:rsidRPr="00AC081B" w14:paraId="214E54F9" w14:textId="77777777" w:rsidTr="00557A0A">
        <w:trPr>
          <w:trHeight w:val="300"/>
          <w:jc w:val="center"/>
        </w:trPr>
        <w:tc>
          <w:tcPr>
            <w:tcW w:w="3114" w:type="dxa"/>
            <w:shd w:val="clear" w:color="auto" w:fill="auto"/>
            <w:noWrap/>
            <w:vAlign w:val="center"/>
            <w:hideMark/>
          </w:tcPr>
          <w:p w14:paraId="36B3C49C" w14:textId="77777777" w:rsidR="00FA2AC6" w:rsidRPr="00AC081B" w:rsidRDefault="00FA2AC6" w:rsidP="00557A0A">
            <w:pPr>
              <w:spacing w:before="0" w:after="0"/>
              <w:ind w:firstLine="0"/>
              <w:jc w:val="left"/>
              <w:rPr>
                <w:rFonts w:cs="Times New Roman"/>
                <w:noProof/>
                <w:sz w:val="20"/>
                <w:szCs w:val="20"/>
                <w:lang w:eastAsia="lv-LV"/>
              </w:rPr>
            </w:pPr>
            <w:r w:rsidRPr="00AC081B">
              <w:rPr>
                <w:rFonts w:cs="Times New Roman"/>
                <w:noProof/>
                <w:sz w:val="20"/>
                <w:szCs w:val="20"/>
                <w:lang w:eastAsia="lv-LV"/>
              </w:rPr>
              <w:t>IKP deflators (gads pret gadu, %)</w:t>
            </w:r>
          </w:p>
        </w:tc>
        <w:tc>
          <w:tcPr>
            <w:tcW w:w="992" w:type="dxa"/>
            <w:shd w:val="clear" w:color="auto" w:fill="auto"/>
            <w:noWrap/>
            <w:tcMar>
              <w:right w:w="170" w:type="dxa"/>
            </w:tcMar>
            <w:vAlign w:val="center"/>
          </w:tcPr>
          <w:p w14:paraId="298A728F"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6,9</w:t>
            </w:r>
          </w:p>
        </w:tc>
        <w:tc>
          <w:tcPr>
            <w:tcW w:w="1027" w:type="dxa"/>
            <w:shd w:val="clear" w:color="auto" w:fill="F2F2F2"/>
            <w:noWrap/>
            <w:tcMar>
              <w:right w:w="170" w:type="dxa"/>
            </w:tcMar>
            <w:vAlign w:val="center"/>
          </w:tcPr>
          <w:p w14:paraId="3F59A247"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15,2</w:t>
            </w:r>
          </w:p>
        </w:tc>
        <w:tc>
          <w:tcPr>
            <w:tcW w:w="1028" w:type="dxa"/>
            <w:shd w:val="clear" w:color="auto" w:fill="F2F2F2"/>
            <w:noWrap/>
            <w:tcMar>
              <w:right w:w="170" w:type="dxa"/>
            </w:tcMar>
            <w:vAlign w:val="center"/>
          </w:tcPr>
          <w:p w14:paraId="6CB35ED3"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8,7</w:t>
            </w:r>
          </w:p>
        </w:tc>
        <w:tc>
          <w:tcPr>
            <w:tcW w:w="1028" w:type="dxa"/>
            <w:shd w:val="clear" w:color="auto" w:fill="F2F2F2"/>
            <w:noWrap/>
            <w:tcMar>
              <w:right w:w="170" w:type="dxa"/>
            </w:tcMar>
            <w:vAlign w:val="center"/>
          </w:tcPr>
          <w:p w14:paraId="3849A71C"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2,3</w:t>
            </w:r>
          </w:p>
        </w:tc>
        <w:tc>
          <w:tcPr>
            <w:tcW w:w="1028" w:type="dxa"/>
            <w:shd w:val="clear" w:color="auto" w:fill="F2F2F2"/>
            <w:noWrap/>
            <w:tcMar>
              <w:right w:w="170" w:type="dxa"/>
            </w:tcMar>
            <w:vAlign w:val="center"/>
          </w:tcPr>
          <w:p w14:paraId="7C9CAAB8"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2,6</w:t>
            </w:r>
          </w:p>
        </w:tc>
      </w:tr>
      <w:tr w:rsidR="00FA2AC6" w:rsidRPr="00AC081B" w14:paraId="5EB5AEC6" w14:textId="77777777" w:rsidTr="00557A0A">
        <w:trPr>
          <w:trHeight w:val="301"/>
          <w:jc w:val="center"/>
        </w:trPr>
        <w:tc>
          <w:tcPr>
            <w:tcW w:w="3114" w:type="dxa"/>
            <w:shd w:val="clear" w:color="auto" w:fill="auto"/>
            <w:noWrap/>
            <w:vAlign w:val="center"/>
            <w:hideMark/>
          </w:tcPr>
          <w:p w14:paraId="551E9F4F" w14:textId="77777777" w:rsidR="00FA2AC6" w:rsidRPr="00AC081B" w:rsidRDefault="00FA2AC6" w:rsidP="00557A0A">
            <w:pPr>
              <w:spacing w:before="0" w:after="0"/>
              <w:ind w:firstLine="0"/>
              <w:jc w:val="left"/>
              <w:rPr>
                <w:rFonts w:cs="Times New Roman"/>
                <w:noProof/>
                <w:sz w:val="20"/>
                <w:szCs w:val="20"/>
                <w:lang w:eastAsia="lv-LV"/>
              </w:rPr>
            </w:pPr>
            <w:r w:rsidRPr="00AC081B">
              <w:rPr>
                <w:rFonts w:cs="Times New Roman"/>
                <w:noProof/>
                <w:sz w:val="20"/>
                <w:szCs w:val="20"/>
                <w:lang w:eastAsia="lv-LV"/>
              </w:rPr>
              <w:t>PCI (gads pret gadu, %)</w:t>
            </w:r>
          </w:p>
        </w:tc>
        <w:tc>
          <w:tcPr>
            <w:tcW w:w="992" w:type="dxa"/>
            <w:shd w:val="clear" w:color="auto" w:fill="auto"/>
            <w:noWrap/>
            <w:tcMar>
              <w:right w:w="170" w:type="dxa"/>
            </w:tcMar>
            <w:vAlign w:val="center"/>
          </w:tcPr>
          <w:p w14:paraId="12D28526"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3,3</w:t>
            </w:r>
          </w:p>
        </w:tc>
        <w:tc>
          <w:tcPr>
            <w:tcW w:w="1027" w:type="dxa"/>
            <w:shd w:val="clear" w:color="auto" w:fill="F2F2F2"/>
            <w:noWrap/>
            <w:tcMar>
              <w:right w:w="170" w:type="dxa"/>
            </w:tcMar>
            <w:vAlign w:val="center"/>
          </w:tcPr>
          <w:p w14:paraId="314AC86A"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17,3</w:t>
            </w:r>
          </w:p>
        </w:tc>
        <w:tc>
          <w:tcPr>
            <w:tcW w:w="1028" w:type="dxa"/>
            <w:shd w:val="clear" w:color="auto" w:fill="F2F2F2"/>
            <w:noWrap/>
            <w:tcMar>
              <w:right w:w="170" w:type="dxa"/>
            </w:tcMar>
            <w:vAlign w:val="center"/>
          </w:tcPr>
          <w:p w14:paraId="1CF75A89"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8,5</w:t>
            </w:r>
          </w:p>
        </w:tc>
        <w:tc>
          <w:tcPr>
            <w:tcW w:w="1028" w:type="dxa"/>
            <w:shd w:val="clear" w:color="auto" w:fill="F2F2F2"/>
            <w:noWrap/>
            <w:tcMar>
              <w:right w:w="170" w:type="dxa"/>
            </w:tcMar>
            <w:vAlign w:val="center"/>
          </w:tcPr>
          <w:p w14:paraId="5858ECF2"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1,0</w:t>
            </w:r>
          </w:p>
        </w:tc>
        <w:tc>
          <w:tcPr>
            <w:tcW w:w="1028" w:type="dxa"/>
            <w:shd w:val="clear" w:color="auto" w:fill="F2F2F2"/>
            <w:noWrap/>
            <w:tcMar>
              <w:right w:w="170" w:type="dxa"/>
            </w:tcMar>
            <w:vAlign w:val="center"/>
          </w:tcPr>
          <w:p w14:paraId="6686DC13"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2,0</w:t>
            </w:r>
          </w:p>
        </w:tc>
      </w:tr>
      <w:tr w:rsidR="00FA2AC6" w:rsidRPr="00AC081B" w14:paraId="3D8E39E8" w14:textId="77777777" w:rsidTr="00557A0A">
        <w:trPr>
          <w:trHeight w:val="600"/>
          <w:jc w:val="center"/>
        </w:trPr>
        <w:tc>
          <w:tcPr>
            <w:tcW w:w="3114" w:type="dxa"/>
            <w:shd w:val="clear" w:color="auto" w:fill="auto"/>
            <w:noWrap/>
            <w:vAlign w:val="center"/>
            <w:hideMark/>
          </w:tcPr>
          <w:p w14:paraId="7AFED504" w14:textId="77777777" w:rsidR="00FA2AC6" w:rsidRPr="00AC081B" w:rsidRDefault="00FA2AC6" w:rsidP="00557A0A">
            <w:pPr>
              <w:spacing w:before="0" w:after="0"/>
              <w:ind w:firstLine="0"/>
              <w:jc w:val="left"/>
              <w:rPr>
                <w:rFonts w:cs="Times New Roman"/>
                <w:noProof/>
                <w:sz w:val="20"/>
                <w:szCs w:val="20"/>
                <w:lang w:eastAsia="lv-LV"/>
              </w:rPr>
            </w:pPr>
            <w:r w:rsidRPr="00AC081B">
              <w:rPr>
                <w:rFonts w:cs="Times New Roman"/>
                <w:noProof/>
                <w:sz w:val="20"/>
                <w:szCs w:val="20"/>
                <w:lang w:eastAsia="lv-LV"/>
              </w:rPr>
              <w:t xml:space="preserve">Tautsaimniecībā nodarbināto mēn. </w:t>
            </w:r>
            <w:r w:rsidRPr="00AC081B">
              <w:rPr>
                <w:rFonts w:cs="Times New Roman"/>
                <w:noProof/>
                <w:sz w:val="20"/>
                <w:szCs w:val="20"/>
                <w:lang w:eastAsia="lv-LV"/>
              </w:rPr>
              <w:br/>
              <w:t>vid. bruto darba samaksa (</w:t>
            </w:r>
            <w:r w:rsidRPr="00AC081B">
              <w:rPr>
                <w:rFonts w:cs="Times New Roman"/>
                <w:i/>
                <w:noProof/>
                <w:sz w:val="20"/>
                <w:szCs w:val="20"/>
                <w:lang w:eastAsia="lv-LV"/>
              </w:rPr>
              <w:t>euro</w:t>
            </w:r>
            <w:r w:rsidRPr="00AC081B">
              <w:rPr>
                <w:rFonts w:cs="Times New Roman"/>
                <w:noProof/>
                <w:sz w:val="20"/>
                <w:szCs w:val="20"/>
                <w:lang w:eastAsia="lv-LV"/>
              </w:rPr>
              <w:t>)</w:t>
            </w:r>
          </w:p>
        </w:tc>
        <w:tc>
          <w:tcPr>
            <w:tcW w:w="992" w:type="dxa"/>
            <w:shd w:val="clear" w:color="auto" w:fill="auto"/>
            <w:noWrap/>
            <w:tcMar>
              <w:right w:w="170" w:type="dxa"/>
            </w:tcMar>
            <w:vAlign w:val="center"/>
          </w:tcPr>
          <w:p w14:paraId="1D3EFAA8"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1 277</w:t>
            </w:r>
          </w:p>
        </w:tc>
        <w:tc>
          <w:tcPr>
            <w:tcW w:w="1027" w:type="dxa"/>
            <w:shd w:val="clear" w:color="auto" w:fill="F2F2F2"/>
            <w:noWrap/>
            <w:tcMar>
              <w:right w:w="170" w:type="dxa"/>
            </w:tcMar>
            <w:vAlign w:val="center"/>
          </w:tcPr>
          <w:p w14:paraId="1422D0C8"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1 379</w:t>
            </w:r>
          </w:p>
        </w:tc>
        <w:tc>
          <w:tcPr>
            <w:tcW w:w="1028" w:type="dxa"/>
            <w:shd w:val="clear" w:color="auto" w:fill="F2F2F2"/>
            <w:noWrap/>
            <w:tcMar>
              <w:right w:w="170" w:type="dxa"/>
            </w:tcMar>
            <w:vAlign w:val="center"/>
          </w:tcPr>
          <w:p w14:paraId="16B042A7"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1 483</w:t>
            </w:r>
          </w:p>
        </w:tc>
        <w:tc>
          <w:tcPr>
            <w:tcW w:w="1028" w:type="dxa"/>
            <w:shd w:val="clear" w:color="auto" w:fill="F2F2F2"/>
            <w:noWrap/>
            <w:tcMar>
              <w:right w:w="170" w:type="dxa"/>
            </w:tcMar>
            <w:vAlign w:val="center"/>
          </w:tcPr>
          <w:p w14:paraId="02F9CAC7"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1 575</w:t>
            </w:r>
          </w:p>
        </w:tc>
        <w:tc>
          <w:tcPr>
            <w:tcW w:w="1028" w:type="dxa"/>
            <w:shd w:val="clear" w:color="auto" w:fill="F2F2F2"/>
            <w:noWrap/>
            <w:tcMar>
              <w:right w:w="170" w:type="dxa"/>
            </w:tcMar>
            <w:vAlign w:val="center"/>
          </w:tcPr>
          <w:p w14:paraId="43E4DA0F"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1 653</w:t>
            </w:r>
          </w:p>
        </w:tc>
      </w:tr>
      <w:tr w:rsidR="00FA2AC6" w:rsidRPr="00AC081B" w14:paraId="3F12BD84" w14:textId="77777777" w:rsidTr="00557A0A">
        <w:trPr>
          <w:trHeight w:val="300"/>
          <w:jc w:val="center"/>
        </w:trPr>
        <w:tc>
          <w:tcPr>
            <w:tcW w:w="3114" w:type="dxa"/>
            <w:shd w:val="clear" w:color="auto" w:fill="auto"/>
            <w:noWrap/>
            <w:vAlign w:val="center"/>
            <w:hideMark/>
          </w:tcPr>
          <w:p w14:paraId="14505C90" w14:textId="77777777" w:rsidR="00FA2AC6" w:rsidRPr="00AC081B" w:rsidRDefault="00FA2AC6" w:rsidP="00557A0A">
            <w:pPr>
              <w:spacing w:before="0" w:after="0"/>
              <w:ind w:firstLine="0"/>
              <w:jc w:val="left"/>
              <w:rPr>
                <w:rFonts w:cs="Times New Roman"/>
                <w:noProof/>
                <w:sz w:val="20"/>
                <w:szCs w:val="20"/>
                <w:lang w:eastAsia="lv-LV"/>
              </w:rPr>
            </w:pPr>
            <w:r w:rsidRPr="00AC081B">
              <w:rPr>
                <w:rFonts w:cs="Times New Roman"/>
                <w:noProof/>
                <w:sz w:val="20"/>
                <w:szCs w:val="20"/>
                <w:lang w:eastAsia="lv-LV"/>
              </w:rPr>
              <w:t>pieaugums faktiskajās cenās (%)</w:t>
            </w:r>
          </w:p>
        </w:tc>
        <w:tc>
          <w:tcPr>
            <w:tcW w:w="992" w:type="dxa"/>
            <w:shd w:val="clear" w:color="auto" w:fill="auto"/>
            <w:noWrap/>
            <w:tcMar>
              <w:right w:w="170" w:type="dxa"/>
            </w:tcMar>
            <w:vAlign w:val="center"/>
          </w:tcPr>
          <w:p w14:paraId="69FBCDA3"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11,7</w:t>
            </w:r>
          </w:p>
        </w:tc>
        <w:tc>
          <w:tcPr>
            <w:tcW w:w="1027" w:type="dxa"/>
            <w:shd w:val="clear" w:color="auto" w:fill="F2F2F2"/>
            <w:noWrap/>
            <w:tcMar>
              <w:right w:w="170" w:type="dxa"/>
            </w:tcMar>
            <w:vAlign w:val="center"/>
          </w:tcPr>
          <w:p w14:paraId="7C0CD16F"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8,0</w:t>
            </w:r>
          </w:p>
        </w:tc>
        <w:tc>
          <w:tcPr>
            <w:tcW w:w="1028" w:type="dxa"/>
            <w:shd w:val="clear" w:color="auto" w:fill="F2F2F2"/>
            <w:noWrap/>
            <w:tcMar>
              <w:right w:w="170" w:type="dxa"/>
            </w:tcMar>
            <w:vAlign w:val="center"/>
          </w:tcPr>
          <w:p w14:paraId="12CB8CC2"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7,5</w:t>
            </w:r>
          </w:p>
        </w:tc>
        <w:tc>
          <w:tcPr>
            <w:tcW w:w="1028" w:type="dxa"/>
            <w:shd w:val="clear" w:color="auto" w:fill="F2F2F2"/>
            <w:noWrap/>
            <w:tcMar>
              <w:right w:w="170" w:type="dxa"/>
            </w:tcMar>
            <w:vAlign w:val="center"/>
          </w:tcPr>
          <w:p w14:paraId="25E3A4A7"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6,2</w:t>
            </w:r>
          </w:p>
        </w:tc>
        <w:tc>
          <w:tcPr>
            <w:tcW w:w="1028" w:type="dxa"/>
            <w:shd w:val="clear" w:color="auto" w:fill="F2F2F2"/>
            <w:noWrap/>
            <w:tcMar>
              <w:right w:w="170" w:type="dxa"/>
            </w:tcMar>
            <w:vAlign w:val="center"/>
          </w:tcPr>
          <w:p w14:paraId="29305AA9"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5,0</w:t>
            </w:r>
          </w:p>
        </w:tc>
      </w:tr>
      <w:tr w:rsidR="00FA2AC6" w:rsidRPr="00AC081B" w14:paraId="21D209EF" w14:textId="77777777" w:rsidTr="00557A0A">
        <w:trPr>
          <w:trHeight w:val="300"/>
          <w:jc w:val="center"/>
        </w:trPr>
        <w:tc>
          <w:tcPr>
            <w:tcW w:w="3114" w:type="dxa"/>
            <w:shd w:val="clear" w:color="auto" w:fill="auto"/>
            <w:noWrap/>
            <w:vAlign w:val="center"/>
            <w:hideMark/>
          </w:tcPr>
          <w:p w14:paraId="4CFD4CAA" w14:textId="77777777" w:rsidR="00FA2AC6" w:rsidRPr="00AC081B" w:rsidRDefault="00FA2AC6" w:rsidP="00557A0A">
            <w:pPr>
              <w:spacing w:before="0" w:after="0"/>
              <w:ind w:firstLine="0"/>
              <w:jc w:val="left"/>
              <w:rPr>
                <w:rFonts w:cs="Times New Roman"/>
                <w:noProof/>
                <w:sz w:val="20"/>
                <w:szCs w:val="20"/>
                <w:lang w:eastAsia="lv-LV"/>
              </w:rPr>
            </w:pPr>
            <w:r w:rsidRPr="00AC081B">
              <w:rPr>
                <w:rFonts w:cs="Times New Roman"/>
                <w:noProof/>
                <w:sz w:val="20"/>
                <w:szCs w:val="20"/>
                <w:lang w:eastAsia="lv-LV"/>
              </w:rPr>
              <w:t>pieaugums salīdzināmās cenās (%)</w:t>
            </w:r>
          </w:p>
        </w:tc>
        <w:tc>
          <w:tcPr>
            <w:tcW w:w="992" w:type="dxa"/>
            <w:shd w:val="clear" w:color="auto" w:fill="auto"/>
            <w:noWrap/>
            <w:tcMar>
              <w:right w:w="170" w:type="dxa"/>
            </w:tcMar>
            <w:vAlign w:val="center"/>
          </w:tcPr>
          <w:p w14:paraId="2C72FC30"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8,2</w:t>
            </w:r>
          </w:p>
        </w:tc>
        <w:tc>
          <w:tcPr>
            <w:tcW w:w="1027" w:type="dxa"/>
            <w:shd w:val="clear" w:color="auto" w:fill="F2F2F2"/>
            <w:noWrap/>
            <w:tcMar>
              <w:right w:w="170" w:type="dxa"/>
            </w:tcMar>
            <w:vAlign w:val="center"/>
          </w:tcPr>
          <w:p w14:paraId="52417C87"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-7,9</w:t>
            </w:r>
          </w:p>
        </w:tc>
        <w:tc>
          <w:tcPr>
            <w:tcW w:w="1028" w:type="dxa"/>
            <w:shd w:val="clear" w:color="auto" w:fill="F2F2F2"/>
            <w:noWrap/>
            <w:tcMar>
              <w:right w:w="170" w:type="dxa"/>
            </w:tcMar>
            <w:vAlign w:val="center"/>
          </w:tcPr>
          <w:p w14:paraId="35531EA3"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-0,9</w:t>
            </w:r>
          </w:p>
        </w:tc>
        <w:tc>
          <w:tcPr>
            <w:tcW w:w="1028" w:type="dxa"/>
            <w:shd w:val="clear" w:color="auto" w:fill="F2F2F2"/>
            <w:noWrap/>
            <w:tcMar>
              <w:right w:w="170" w:type="dxa"/>
            </w:tcMar>
            <w:vAlign w:val="center"/>
          </w:tcPr>
          <w:p w14:paraId="50CB13A7"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5,1</w:t>
            </w:r>
          </w:p>
        </w:tc>
        <w:tc>
          <w:tcPr>
            <w:tcW w:w="1028" w:type="dxa"/>
            <w:shd w:val="clear" w:color="auto" w:fill="F2F2F2"/>
            <w:noWrap/>
            <w:tcMar>
              <w:right w:w="170" w:type="dxa"/>
            </w:tcMar>
            <w:vAlign w:val="center"/>
          </w:tcPr>
          <w:p w14:paraId="19BDCF9A"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2,9</w:t>
            </w:r>
          </w:p>
        </w:tc>
      </w:tr>
      <w:tr w:rsidR="00FA2AC6" w:rsidRPr="00AC081B" w14:paraId="201DDF5A" w14:textId="77777777" w:rsidTr="00557A0A">
        <w:trPr>
          <w:trHeight w:val="600"/>
          <w:jc w:val="center"/>
        </w:trPr>
        <w:tc>
          <w:tcPr>
            <w:tcW w:w="3114" w:type="dxa"/>
            <w:shd w:val="clear" w:color="auto" w:fill="auto"/>
            <w:noWrap/>
            <w:vAlign w:val="center"/>
            <w:hideMark/>
          </w:tcPr>
          <w:p w14:paraId="11D3D824" w14:textId="77777777" w:rsidR="00FA2AC6" w:rsidRPr="00AC081B" w:rsidRDefault="00FA2AC6" w:rsidP="00557A0A">
            <w:pPr>
              <w:spacing w:before="0" w:after="0"/>
              <w:ind w:firstLine="0"/>
              <w:jc w:val="left"/>
              <w:rPr>
                <w:rFonts w:cs="Times New Roman"/>
                <w:noProof/>
                <w:sz w:val="20"/>
                <w:szCs w:val="20"/>
                <w:lang w:eastAsia="lv-LV"/>
              </w:rPr>
            </w:pPr>
            <w:r w:rsidRPr="00AC081B">
              <w:rPr>
                <w:rFonts w:cs="Times New Roman"/>
                <w:noProof/>
                <w:sz w:val="20"/>
                <w:szCs w:val="20"/>
                <w:lang w:eastAsia="lv-LV"/>
              </w:rPr>
              <w:t>Nodarbinātība (tūkst. iedzīvotāju</w:t>
            </w:r>
            <w:r w:rsidRPr="00AC081B">
              <w:rPr>
                <w:rFonts w:cs="Times New Roman"/>
                <w:noProof/>
                <w:sz w:val="20"/>
                <w:szCs w:val="20"/>
                <w:lang w:eastAsia="lv-LV"/>
              </w:rPr>
              <w:br/>
              <w:t>atbilstoši darbaspēka apsekojumiem)</w:t>
            </w:r>
          </w:p>
        </w:tc>
        <w:tc>
          <w:tcPr>
            <w:tcW w:w="992" w:type="dxa"/>
            <w:shd w:val="clear" w:color="auto" w:fill="auto"/>
            <w:noWrap/>
            <w:tcMar>
              <w:right w:w="170" w:type="dxa"/>
            </w:tcMar>
            <w:vAlign w:val="center"/>
          </w:tcPr>
          <w:p w14:paraId="0717870B"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864</w:t>
            </w:r>
          </w:p>
        </w:tc>
        <w:tc>
          <w:tcPr>
            <w:tcW w:w="1027" w:type="dxa"/>
            <w:shd w:val="clear" w:color="auto" w:fill="F2F2F2"/>
            <w:noWrap/>
            <w:tcMar>
              <w:right w:w="170" w:type="dxa"/>
            </w:tcMar>
            <w:vAlign w:val="center"/>
          </w:tcPr>
          <w:p w14:paraId="2CA459AF"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888</w:t>
            </w:r>
          </w:p>
        </w:tc>
        <w:tc>
          <w:tcPr>
            <w:tcW w:w="1028" w:type="dxa"/>
            <w:shd w:val="clear" w:color="auto" w:fill="F2F2F2"/>
            <w:noWrap/>
            <w:tcMar>
              <w:right w:w="170" w:type="dxa"/>
            </w:tcMar>
            <w:vAlign w:val="center"/>
          </w:tcPr>
          <w:p w14:paraId="38115A41"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886</w:t>
            </w:r>
          </w:p>
        </w:tc>
        <w:tc>
          <w:tcPr>
            <w:tcW w:w="1028" w:type="dxa"/>
            <w:shd w:val="clear" w:color="auto" w:fill="F2F2F2"/>
            <w:noWrap/>
            <w:tcMar>
              <w:right w:w="170" w:type="dxa"/>
            </w:tcMar>
            <w:vAlign w:val="center"/>
          </w:tcPr>
          <w:p w14:paraId="0CC034A0"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885</w:t>
            </w:r>
          </w:p>
        </w:tc>
        <w:tc>
          <w:tcPr>
            <w:tcW w:w="1028" w:type="dxa"/>
            <w:shd w:val="clear" w:color="auto" w:fill="F2F2F2"/>
            <w:noWrap/>
            <w:tcMar>
              <w:right w:w="170" w:type="dxa"/>
            </w:tcMar>
            <w:vAlign w:val="center"/>
          </w:tcPr>
          <w:p w14:paraId="44AF9CC4"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882</w:t>
            </w:r>
          </w:p>
        </w:tc>
      </w:tr>
      <w:tr w:rsidR="00FA2AC6" w:rsidRPr="00AC081B" w14:paraId="35EB0627" w14:textId="77777777" w:rsidTr="00557A0A">
        <w:trPr>
          <w:trHeight w:val="300"/>
          <w:jc w:val="center"/>
        </w:trPr>
        <w:tc>
          <w:tcPr>
            <w:tcW w:w="3114" w:type="dxa"/>
            <w:shd w:val="clear" w:color="auto" w:fill="auto"/>
            <w:noWrap/>
            <w:vAlign w:val="center"/>
            <w:hideMark/>
          </w:tcPr>
          <w:p w14:paraId="350E327F" w14:textId="77777777" w:rsidR="00FA2AC6" w:rsidRPr="00AC081B" w:rsidRDefault="00FA2AC6" w:rsidP="00557A0A">
            <w:pPr>
              <w:spacing w:before="0" w:after="0"/>
              <w:ind w:firstLine="0"/>
              <w:jc w:val="left"/>
              <w:rPr>
                <w:rFonts w:cs="Times New Roman"/>
                <w:noProof/>
                <w:sz w:val="20"/>
                <w:szCs w:val="20"/>
                <w:lang w:eastAsia="lv-LV"/>
              </w:rPr>
            </w:pPr>
            <w:r w:rsidRPr="00AC081B">
              <w:rPr>
                <w:rFonts w:cs="Times New Roman"/>
                <w:noProof/>
                <w:sz w:val="20"/>
                <w:szCs w:val="20"/>
                <w:lang w:eastAsia="lv-LV"/>
              </w:rPr>
              <w:t>pieaugums (%)</w:t>
            </w:r>
          </w:p>
        </w:tc>
        <w:tc>
          <w:tcPr>
            <w:tcW w:w="992" w:type="dxa"/>
            <w:shd w:val="clear" w:color="auto" w:fill="auto"/>
            <w:noWrap/>
            <w:tcMar>
              <w:right w:w="170" w:type="dxa"/>
            </w:tcMar>
            <w:vAlign w:val="center"/>
          </w:tcPr>
          <w:p w14:paraId="7CB411D1"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-3,2</w:t>
            </w:r>
          </w:p>
        </w:tc>
        <w:tc>
          <w:tcPr>
            <w:tcW w:w="1027" w:type="dxa"/>
            <w:shd w:val="clear" w:color="auto" w:fill="F2F2F2"/>
            <w:noWrap/>
            <w:tcMar>
              <w:right w:w="170" w:type="dxa"/>
            </w:tcMar>
            <w:vAlign w:val="center"/>
          </w:tcPr>
          <w:p w14:paraId="231C7D68"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2,8</w:t>
            </w:r>
          </w:p>
        </w:tc>
        <w:tc>
          <w:tcPr>
            <w:tcW w:w="1028" w:type="dxa"/>
            <w:shd w:val="clear" w:color="auto" w:fill="F2F2F2"/>
            <w:noWrap/>
            <w:tcMar>
              <w:right w:w="170" w:type="dxa"/>
            </w:tcMar>
            <w:vAlign w:val="center"/>
          </w:tcPr>
          <w:p w14:paraId="1703C9A3"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-0,2</w:t>
            </w:r>
          </w:p>
        </w:tc>
        <w:tc>
          <w:tcPr>
            <w:tcW w:w="1028" w:type="dxa"/>
            <w:shd w:val="clear" w:color="auto" w:fill="F2F2F2"/>
            <w:noWrap/>
            <w:tcMar>
              <w:right w:w="170" w:type="dxa"/>
            </w:tcMar>
            <w:vAlign w:val="center"/>
          </w:tcPr>
          <w:p w14:paraId="075B374D"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-0,2</w:t>
            </w:r>
          </w:p>
        </w:tc>
        <w:tc>
          <w:tcPr>
            <w:tcW w:w="1028" w:type="dxa"/>
            <w:shd w:val="clear" w:color="auto" w:fill="F2F2F2"/>
            <w:noWrap/>
            <w:tcMar>
              <w:right w:w="170" w:type="dxa"/>
            </w:tcMar>
            <w:vAlign w:val="center"/>
          </w:tcPr>
          <w:p w14:paraId="51654A95"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-0,3</w:t>
            </w:r>
          </w:p>
        </w:tc>
      </w:tr>
      <w:tr w:rsidR="00FA2AC6" w:rsidRPr="00AC081B" w14:paraId="1B2087D3" w14:textId="77777777" w:rsidTr="00557A0A">
        <w:trPr>
          <w:trHeight w:val="300"/>
          <w:jc w:val="center"/>
        </w:trPr>
        <w:tc>
          <w:tcPr>
            <w:tcW w:w="3114" w:type="dxa"/>
            <w:shd w:val="clear" w:color="auto" w:fill="auto"/>
            <w:noWrap/>
            <w:vAlign w:val="center"/>
            <w:hideMark/>
          </w:tcPr>
          <w:p w14:paraId="1457DFB6" w14:textId="77777777" w:rsidR="00FA2AC6" w:rsidRPr="00AC081B" w:rsidRDefault="00FA2AC6" w:rsidP="00557A0A">
            <w:pPr>
              <w:spacing w:before="0" w:after="0"/>
              <w:ind w:firstLine="0"/>
              <w:jc w:val="left"/>
              <w:rPr>
                <w:rFonts w:cs="Times New Roman"/>
                <w:noProof/>
                <w:sz w:val="20"/>
                <w:szCs w:val="20"/>
                <w:lang w:eastAsia="lv-LV"/>
              </w:rPr>
            </w:pPr>
            <w:r w:rsidRPr="00AC081B">
              <w:rPr>
                <w:rFonts w:cs="Times New Roman"/>
                <w:noProof/>
                <w:sz w:val="20"/>
                <w:szCs w:val="20"/>
                <w:lang w:eastAsia="lv-LV"/>
              </w:rPr>
              <w:t xml:space="preserve">Bezdarba līmenis (gada vidējais, </w:t>
            </w:r>
            <w:r w:rsidRPr="00AC081B">
              <w:rPr>
                <w:rFonts w:cs="Times New Roman"/>
                <w:noProof/>
                <w:sz w:val="20"/>
                <w:szCs w:val="20"/>
                <w:lang w:eastAsia="lv-LV"/>
              </w:rPr>
              <w:br/>
              <w:t>% no ekon. aktīviem iedzīv.)</w:t>
            </w:r>
          </w:p>
        </w:tc>
        <w:tc>
          <w:tcPr>
            <w:tcW w:w="992" w:type="dxa"/>
            <w:shd w:val="clear" w:color="auto" w:fill="auto"/>
            <w:noWrap/>
            <w:tcMar>
              <w:right w:w="170" w:type="dxa"/>
            </w:tcMar>
            <w:vAlign w:val="center"/>
          </w:tcPr>
          <w:p w14:paraId="0A2DFEEB"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7,6</w:t>
            </w:r>
          </w:p>
        </w:tc>
        <w:tc>
          <w:tcPr>
            <w:tcW w:w="1027" w:type="dxa"/>
            <w:shd w:val="clear" w:color="auto" w:fill="F2F2F2"/>
            <w:noWrap/>
            <w:tcMar>
              <w:right w:w="170" w:type="dxa"/>
            </w:tcMar>
            <w:vAlign w:val="center"/>
          </w:tcPr>
          <w:p w14:paraId="219940E2"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7,0</w:t>
            </w:r>
          </w:p>
        </w:tc>
        <w:tc>
          <w:tcPr>
            <w:tcW w:w="1028" w:type="dxa"/>
            <w:shd w:val="clear" w:color="auto" w:fill="F2F2F2"/>
            <w:noWrap/>
            <w:tcMar>
              <w:right w:w="170" w:type="dxa"/>
            </w:tcMar>
            <w:vAlign w:val="center"/>
          </w:tcPr>
          <w:p w14:paraId="0F5AEAD5"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7,3</w:t>
            </w:r>
          </w:p>
        </w:tc>
        <w:tc>
          <w:tcPr>
            <w:tcW w:w="1028" w:type="dxa"/>
            <w:shd w:val="clear" w:color="auto" w:fill="F2F2F2"/>
            <w:noWrap/>
            <w:tcMar>
              <w:right w:w="170" w:type="dxa"/>
            </w:tcMar>
            <w:vAlign w:val="center"/>
          </w:tcPr>
          <w:p w14:paraId="2DEFA0DB"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7,0</w:t>
            </w:r>
          </w:p>
        </w:tc>
        <w:tc>
          <w:tcPr>
            <w:tcW w:w="1028" w:type="dxa"/>
            <w:shd w:val="clear" w:color="auto" w:fill="F2F2F2"/>
            <w:noWrap/>
            <w:tcMar>
              <w:right w:w="170" w:type="dxa"/>
            </w:tcMar>
            <w:vAlign w:val="center"/>
          </w:tcPr>
          <w:p w14:paraId="5CFAC33B" w14:textId="77777777" w:rsidR="00FA2AC6" w:rsidRPr="00AC081B" w:rsidRDefault="00FA2AC6" w:rsidP="00557A0A">
            <w:pPr>
              <w:spacing w:before="0" w:after="0"/>
              <w:ind w:firstLine="0"/>
              <w:jc w:val="center"/>
              <w:rPr>
                <w:rFonts w:cs="Times New Roman"/>
                <w:sz w:val="20"/>
                <w:szCs w:val="20"/>
                <w:lang w:eastAsia="lv-LV"/>
              </w:rPr>
            </w:pPr>
            <w:r w:rsidRPr="00AC081B">
              <w:rPr>
                <w:rFonts w:cs="Times New Roman"/>
                <w:sz w:val="20"/>
                <w:szCs w:val="20"/>
                <w:lang w:eastAsia="lv-LV"/>
              </w:rPr>
              <w:t>6,6</w:t>
            </w:r>
          </w:p>
        </w:tc>
      </w:tr>
    </w:tbl>
    <w:p w14:paraId="4A0777E1" w14:textId="421D75A9" w:rsidR="00FA2AC6" w:rsidRPr="008251E5" w:rsidRDefault="00FA2AC6" w:rsidP="00FA2AC6">
      <w:bookmarkStart w:id="23" w:name="_Hlk115088571"/>
      <w:r w:rsidRPr="008251E5">
        <w:t>Salīdzinot ar augustā izstrādātajām prognozēm, atjaunotajā makroekonomisko rādītāju scenārijā arī nedaudz paaugstināta inflācijas prognoze 2022. un 2023</w:t>
      </w:r>
      <w:r>
        <w:t>. </w:t>
      </w:r>
      <w:r w:rsidRPr="000A7809">
        <w:t>gadam. Inflācijas prognozes paaugstināšana ir saistīta ar nelielu dabasgāzes un ar to saistīto siltumenerģijas cenu kāpumu, kā arī spēcīgākiem otrās kārtas efektiem.</w:t>
      </w:r>
      <w:r w:rsidRPr="008251E5">
        <w:t xml:space="preserve"> Tāpēc patēriņa cenu pieaugums 2022</w:t>
      </w:r>
      <w:r>
        <w:t>. gad</w:t>
      </w:r>
      <w:r w:rsidRPr="008251E5">
        <w:t>ā sasniegs 17,3%, bet 2023</w:t>
      </w:r>
      <w:r>
        <w:t>. gad</w:t>
      </w:r>
      <w:r w:rsidRPr="008251E5">
        <w:t>ā samazināsies līdz 8,5%, kas ir attiecīgi par 0,8 un 2,0</w:t>
      </w:r>
      <w:r w:rsidR="004F756F">
        <w:t> </w:t>
      </w:r>
      <w:r w:rsidRPr="008251E5">
        <w:t>procentpunktiem vairāk, nekā tika prognozēts augusta sākumā. Nākamajos divos gados inflācijas spiediens mazināsies, pieņemot, ka ES tiks galā ar šo izaicinājumu un pasākumi, kas vērsti uz enerģētisko neatkarību, būs veiksmīgi, kas varētu izraisīt arī enerģijas resursu cenas samazinājumu, līdz 2025</w:t>
      </w:r>
      <w:r>
        <w:t>. gad</w:t>
      </w:r>
      <w:r w:rsidRPr="008251E5">
        <w:t>am tai stabilizējoties 2,0% līmenī.</w:t>
      </w:r>
    </w:p>
    <w:bookmarkEnd w:id="23"/>
    <w:p w14:paraId="1B8EBE7E" w14:textId="188B29CC" w:rsidR="00FA2AC6" w:rsidRPr="008251E5" w:rsidRDefault="00FA2AC6" w:rsidP="00FA2AC6">
      <w:r w:rsidRPr="008251E5">
        <w:lastRenderedPageBreak/>
        <w:t>Darba tirgū Krievijas uzsāktā kara, tirdzniecības ierobežojumu un straujā cenu kāpuma negatīvā ietekme līdz šim praktiski nav bijusi jūtama un varētu izpausties ar lielāku laika nobīdi, nekā prognozēts iepriekš. Attiecīgi 2022</w:t>
      </w:r>
      <w:r>
        <w:t>. gad</w:t>
      </w:r>
      <w:r w:rsidRPr="008251E5">
        <w:t>a bezdarba līmeņa prognoze ir samazināta līdz 7,0% jeb par 0,1</w:t>
      </w:r>
      <w:r w:rsidR="004F756F">
        <w:t> </w:t>
      </w:r>
      <w:r w:rsidRPr="008251E5">
        <w:t>procentpunktu, bet 2023</w:t>
      </w:r>
      <w:r>
        <w:t>. gad</w:t>
      </w:r>
      <w:r w:rsidRPr="008251E5">
        <w:t>ā bezdarba līmenis varētu paaugstināties līdz 7,3%, kas ir par 0,2 procentpunktiem vairāk nekā prognozēts augustā. 2024</w:t>
      </w:r>
      <w:r>
        <w:t>. gad</w:t>
      </w:r>
      <w:r w:rsidRPr="008251E5">
        <w:t xml:space="preserve">ā gaidāma bezdarba samazināšanās līdz 7,0%, tomēr tas būtu par 0,3 procentpunktiem augstāks, nekā prognozēts augusta sākumā. </w:t>
      </w:r>
    </w:p>
    <w:p w14:paraId="4E2EB3C0" w14:textId="73D7BAA5" w:rsidR="00FA2AC6" w:rsidRPr="008251E5" w:rsidRDefault="00FA2AC6" w:rsidP="00FA2AC6">
      <w:r w:rsidRPr="008251E5">
        <w:t>Darba samaksas pieauguma prognoze 2022</w:t>
      </w:r>
      <w:r>
        <w:t>. gad</w:t>
      </w:r>
      <w:r w:rsidRPr="008251E5">
        <w:t>am nav mainīta, bet 2023. un 2024</w:t>
      </w:r>
      <w:r>
        <w:t>. gad</w:t>
      </w:r>
      <w:r w:rsidRPr="008251E5">
        <w:t>am ir paaugstināta attiecīgi līdz 7,5% un 6,2%, ņemot vērā minimālās mēneša darba samaksas paaugstinājumu līdz 620 un 700 eiro attiecīgi no 2023. un 2024</w:t>
      </w:r>
      <w:r>
        <w:t>. gad</w:t>
      </w:r>
      <w:r w:rsidRPr="008251E5">
        <w:t>a 1.janvāra, kā arī nedaudz straujāku prognozēto patēriņa cenu pieaugumu. Salīdzinājumā ar augusta sākuma prognozēm 2023</w:t>
      </w:r>
      <w:r>
        <w:t>. gad</w:t>
      </w:r>
      <w:r w:rsidRPr="008251E5">
        <w:t>a vidējās darba samaksas prognoze ir paaugstināta par 1,5</w:t>
      </w:r>
      <w:r w:rsidR="004F756F">
        <w:t> </w:t>
      </w:r>
      <w:r w:rsidRPr="008251E5">
        <w:t>procentpunktiem un 2024</w:t>
      </w:r>
      <w:r>
        <w:t>. gad</w:t>
      </w:r>
      <w:r w:rsidRPr="008251E5">
        <w:t>a prognoze – par 0,9 procentpunktiem.</w:t>
      </w:r>
    </w:p>
    <w:p w14:paraId="11BBF460" w14:textId="77777777" w:rsidR="00FA2AC6" w:rsidRPr="00AC081B" w:rsidRDefault="00FA2AC6" w:rsidP="004F756F">
      <w:pPr>
        <w:spacing w:before="240"/>
        <w:rPr>
          <w:b/>
          <w:bCs/>
        </w:rPr>
      </w:pPr>
      <w:r w:rsidRPr="00AC081B">
        <w:rPr>
          <w:b/>
          <w:bCs/>
        </w:rPr>
        <w:t>Makroekonomiskās attīstības scenārija riski</w:t>
      </w:r>
    </w:p>
    <w:p w14:paraId="729AB627" w14:textId="4B5ABE15" w:rsidR="00FA2AC6" w:rsidRPr="00FF6D87" w:rsidRDefault="00FA2AC6" w:rsidP="00FA2AC6">
      <w:r w:rsidRPr="00FF6D87">
        <w:t>Izstrādājot makroekonomisko rādītāju prognozes, Finanšu ministrija balstās uz konservatīviem pieņēmumiem</w:t>
      </w:r>
      <w:r>
        <w:t xml:space="preserve">. </w:t>
      </w:r>
      <w:r w:rsidRPr="00C47CB7">
        <w:t>Vienlaikus FM izvērtēja arī ārējās un iekšējās vides riskus, un norāda, ka prognozes joprojām ir izstrādātas ārkārtīgi augstas nenoteiktības apstākļos. Tāpat kā iepriekš, būtiskākie negatīvie riski ir saistīti ar ģeopolitisko situāciju, kā arī ar straujām energoresursu cenu svārstībām un to ierobežoto pieejamību, kas var negatīvāk ietekmēt ekonomikas izaugsmi.</w:t>
      </w:r>
      <w:r>
        <w:t xml:space="preserve"> </w:t>
      </w:r>
      <w:r w:rsidRPr="00FF6D87">
        <w:t>Riskus Eiropas ekonomikas izaugsmei var radīt arī centrālo banku uzsāktais procentu likmju paaugstināšanas cikls, lai mazinātu inflācijas pieaugumu, īpaši ņemot vērā to, ka pašreizējās straujās un negaidītās inflācijas cēlonis ir ārpus tiešas Eiropas Savienības kontroles.</w:t>
      </w:r>
      <w:r>
        <w:t xml:space="preserve"> Latvijā dārgāki kredītresursi un jau esošo kredītsaistību apkalpošanas sadārdzināšanās varētu vēl vairāk ierobežot privātā patēriņa, kā arī investīciju attīstību.</w:t>
      </w:r>
    </w:p>
    <w:p w14:paraId="47E59F6C" w14:textId="54B3A4E6" w:rsidR="00FA2AC6" w:rsidRPr="00FA2AC6" w:rsidRDefault="00FA2AC6" w:rsidP="003C74AA">
      <w:r w:rsidRPr="00FF6D87">
        <w:t xml:space="preserve">Vienlaikus pastāv arī pozitīvie riski, kas var nodrošināt straujāku ekonomiskās izaugsmes atjaunošanos Latvijā. Vispirms jau karadarbības pārtraukšana Ukrainā palielinās drošību arī Baltijas jūras reģionā un pakāpeniski uzlabos investīciju klimatu, </w:t>
      </w:r>
      <w:r w:rsidRPr="00606C95">
        <w:t>straujāk pieaugot  privātajām investīcijām. Investīcijas stimulēs arī straujāka ES finansējuma izmantošana, dodot papildus stimulu jau iezīmētiem projektiem, kurus finansē ES fondu investīcijas 2021. </w:t>
      </w:r>
      <w:r w:rsidRPr="00606C95">
        <w:noBreakHyphen/>
        <w:t> 2027</w:t>
      </w:r>
      <w:r>
        <w:t>. g</w:t>
      </w:r>
      <w:r w:rsidRPr="00606C95">
        <w:t xml:space="preserve">ada plānošanas periodā, it sevišķi Eiropas Atveseļošanās un noturības mehānisma īstenošana </w:t>
      </w:r>
      <w:r w:rsidRPr="00606C95">
        <w:rPr>
          <w:noProof/>
        </w:rPr>
        <w:t xml:space="preserve">un </w:t>
      </w:r>
      <w:r w:rsidRPr="00606C95">
        <w:rPr>
          <w:i/>
          <w:noProof/>
        </w:rPr>
        <w:t>RailBaltica</w:t>
      </w:r>
      <w:r w:rsidRPr="00606C95">
        <w:rPr>
          <w:noProof/>
        </w:rPr>
        <w:t xml:space="preserve"> projekta realizācija</w:t>
      </w:r>
      <w:r w:rsidRPr="00606C95">
        <w:t>. Pastāv arī iespēja, ka ekonomikas izaugsme gan pasaulē, gan Latvijas tirdzniecības partnervalstīs atjaunojas straujāk nekā prognozēts, ātrāk atrisinot izejvielu piegāžu ķēžu problēmas.</w:t>
      </w:r>
    </w:p>
    <w:p w14:paraId="41A481ED" w14:textId="77777777" w:rsidR="006D21AE" w:rsidRDefault="006D21AE">
      <w:pPr>
        <w:spacing w:before="0" w:after="0"/>
        <w:ind w:firstLine="0"/>
        <w:jc w:val="left"/>
        <w:rPr>
          <w:rFonts w:eastAsiaTheme="majorEastAsia" w:cstheme="majorBidi"/>
          <w:b/>
          <w:sz w:val="28"/>
          <w:szCs w:val="28"/>
        </w:rPr>
      </w:pPr>
      <w:bookmarkStart w:id="24" w:name="_Toc403038743"/>
      <w:r>
        <w:rPr>
          <w:sz w:val="28"/>
          <w:szCs w:val="28"/>
        </w:rPr>
        <w:br w:type="page"/>
      </w:r>
    </w:p>
    <w:p w14:paraId="08A2A87A" w14:textId="505AACD0" w:rsidR="00E95377" w:rsidRDefault="00377CA0" w:rsidP="00E95377">
      <w:pPr>
        <w:pStyle w:val="Heading1"/>
        <w:ind w:left="357" w:hanging="357"/>
        <w:rPr>
          <w:noProof/>
          <w:sz w:val="28"/>
          <w:szCs w:val="28"/>
        </w:rPr>
      </w:pPr>
      <w:bookmarkStart w:id="25" w:name="_Toc122369560"/>
      <w:r w:rsidRPr="00FB3148">
        <w:rPr>
          <w:sz w:val="28"/>
          <w:szCs w:val="28"/>
        </w:rPr>
        <w:lastRenderedPageBreak/>
        <w:t xml:space="preserve">Kopbudžeta nodokļu un </w:t>
      </w:r>
      <w:r w:rsidRPr="00FB3148">
        <w:rPr>
          <w:noProof/>
          <w:sz w:val="28"/>
          <w:szCs w:val="28"/>
        </w:rPr>
        <w:t>valsts pamatbudžeta nenodokļu</w:t>
      </w:r>
      <w:r w:rsidRPr="00FB3148">
        <w:rPr>
          <w:sz w:val="28"/>
          <w:szCs w:val="28"/>
        </w:rPr>
        <w:t xml:space="preserve"> </w:t>
      </w:r>
      <w:r w:rsidR="000A6ED3" w:rsidRPr="00FB3148">
        <w:rPr>
          <w:noProof/>
          <w:sz w:val="28"/>
          <w:szCs w:val="28"/>
        </w:rPr>
        <w:t>ieņēmumu prognoze</w:t>
      </w:r>
      <w:r w:rsidR="00E95377">
        <w:rPr>
          <w:noProof/>
          <w:sz w:val="28"/>
          <w:szCs w:val="28"/>
        </w:rPr>
        <w:t>s</w:t>
      </w:r>
      <w:r w:rsidR="000A6ED3" w:rsidRPr="00FB3148">
        <w:rPr>
          <w:noProof/>
          <w:sz w:val="28"/>
          <w:szCs w:val="28"/>
        </w:rPr>
        <w:t xml:space="preserve"> 202</w:t>
      </w:r>
      <w:r w:rsidR="00FB3148" w:rsidRPr="00FB3148">
        <w:rPr>
          <w:noProof/>
          <w:sz w:val="28"/>
          <w:szCs w:val="28"/>
        </w:rPr>
        <w:t>3</w:t>
      </w:r>
      <w:r w:rsidR="000A6ED3" w:rsidRPr="00FB3148">
        <w:rPr>
          <w:noProof/>
          <w:sz w:val="28"/>
          <w:szCs w:val="28"/>
        </w:rPr>
        <w:t>.-202</w:t>
      </w:r>
      <w:r w:rsidR="00FB3148" w:rsidRPr="00FB3148">
        <w:rPr>
          <w:noProof/>
          <w:sz w:val="28"/>
          <w:szCs w:val="28"/>
        </w:rPr>
        <w:t>5</w:t>
      </w:r>
      <w:r w:rsidRPr="00FB3148">
        <w:rPr>
          <w:noProof/>
          <w:sz w:val="28"/>
          <w:szCs w:val="28"/>
        </w:rPr>
        <w:t>.gadam</w:t>
      </w:r>
      <w:bookmarkEnd w:id="24"/>
      <w:bookmarkEnd w:id="25"/>
    </w:p>
    <w:p w14:paraId="4697D4F4" w14:textId="2033D94B" w:rsidR="00E95377" w:rsidRPr="004501CB" w:rsidRDefault="00E95377" w:rsidP="008E7DDE">
      <w:pPr>
        <w:rPr>
          <w:lang w:eastAsia="lv-LV"/>
        </w:rPr>
      </w:pPr>
      <w:r w:rsidRPr="004501CB">
        <w:rPr>
          <w:lang w:eastAsia="lv-LV"/>
        </w:rPr>
        <w:t xml:space="preserve">Nodokļu ieņēmumu prognozes ir sagatavotas, pamatojoties uz </w:t>
      </w:r>
      <w:r>
        <w:rPr>
          <w:lang w:eastAsia="lv-LV"/>
        </w:rPr>
        <w:t xml:space="preserve">atjaunotajām </w:t>
      </w:r>
      <w:r w:rsidRPr="004501CB">
        <w:rPr>
          <w:lang w:eastAsia="lv-LV"/>
        </w:rPr>
        <w:t xml:space="preserve">vidēja termiņa makroekonomisko rādītāju prognozēm, kā arī, ņemot vērā 2022.gada </w:t>
      </w:r>
      <w:r>
        <w:rPr>
          <w:lang w:eastAsia="lv-LV"/>
        </w:rPr>
        <w:t>vienpadsmit</w:t>
      </w:r>
      <w:r w:rsidRPr="004501CB">
        <w:rPr>
          <w:lang w:eastAsia="lv-LV"/>
        </w:rPr>
        <w:t xml:space="preserve"> mēnešu faktisko izpildi</w:t>
      </w:r>
      <w:r w:rsidR="006D21AE">
        <w:rPr>
          <w:lang w:eastAsia="lv-LV"/>
        </w:rPr>
        <w:t>, kā arī</w:t>
      </w:r>
      <w:r w:rsidRPr="004501CB">
        <w:rPr>
          <w:lang w:eastAsia="lv-LV"/>
        </w:rPr>
        <w:t xml:space="preserve"> </w:t>
      </w:r>
      <w:r w:rsidRPr="004B7AC6">
        <w:rPr>
          <w:lang w:eastAsia="lv-LV"/>
        </w:rPr>
        <w:t>šajā un iepriekšējos</w:t>
      </w:r>
      <w:r>
        <w:rPr>
          <w:lang w:eastAsia="lv-LV"/>
        </w:rPr>
        <w:t xml:space="preserve"> gados</w:t>
      </w:r>
      <w:r w:rsidRPr="004501CB">
        <w:rPr>
          <w:lang w:eastAsia="lv-LV"/>
        </w:rPr>
        <w:t xml:space="preserve"> pieņemtās izmaiņas likumdošanā</w:t>
      </w:r>
      <w:r w:rsidRPr="004501CB">
        <w:rPr>
          <w:noProof/>
          <w:lang w:eastAsia="lv-LV"/>
        </w:rPr>
        <w:t>.</w:t>
      </w:r>
      <w:r w:rsidRPr="00E64E93">
        <w:t xml:space="preserve"> </w:t>
      </w:r>
      <w:r>
        <w:rPr>
          <w:noProof/>
          <w:lang w:eastAsia="lv-LV"/>
        </w:rPr>
        <w:t>Prognozēs ietvertas ietekmes no Ministru kabinetā atbalstītajiem ieņēmumus ietekmējošiem pasākumiem, izskatot i</w:t>
      </w:r>
      <w:r w:rsidRPr="00E64E93">
        <w:rPr>
          <w:noProof/>
          <w:lang w:eastAsia="lv-LV"/>
        </w:rPr>
        <w:t>nformatīv</w:t>
      </w:r>
      <w:r>
        <w:rPr>
          <w:noProof/>
          <w:lang w:eastAsia="lv-LV"/>
        </w:rPr>
        <w:t>o</w:t>
      </w:r>
      <w:r w:rsidRPr="00E64E93">
        <w:rPr>
          <w:noProof/>
          <w:lang w:eastAsia="lv-LV"/>
        </w:rPr>
        <w:t xml:space="preserve"> ziņojum</w:t>
      </w:r>
      <w:r>
        <w:rPr>
          <w:noProof/>
          <w:lang w:eastAsia="lv-LV"/>
        </w:rPr>
        <w:t>u</w:t>
      </w:r>
      <w:r w:rsidRPr="00E64E93">
        <w:rPr>
          <w:noProof/>
          <w:lang w:eastAsia="lv-LV"/>
        </w:rPr>
        <w:t xml:space="preserve"> "Par valsts budžeta izdevumu pārskatīšanas rezultātiem un priekšlikumi par šo rezultātu izmantošanu likumprojekta "Par vidēja termiņa budžeta ietvaru 2023., 2024. un 2025. gadam" un likumprojekta "Par valsts budžetu 2023.</w:t>
      </w:r>
      <w:r w:rsidR="003231B7">
        <w:rPr>
          <w:noProof/>
          <w:lang w:eastAsia="lv-LV"/>
        </w:rPr>
        <w:t> </w:t>
      </w:r>
      <w:r w:rsidRPr="00E64E93">
        <w:rPr>
          <w:noProof/>
          <w:lang w:eastAsia="lv-LV"/>
        </w:rPr>
        <w:t>gadam" izstrādes procesā"</w:t>
      </w:r>
      <w:r>
        <w:rPr>
          <w:noProof/>
          <w:lang w:eastAsia="lv-LV"/>
        </w:rPr>
        <w:t xml:space="preserve"> (</w:t>
      </w:r>
      <w:r w:rsidRPr="00787D4D">
        <w:rPr>
          <w:noProof/>
          <w:lang w:eastAsia="lv-LV"/>
        </w:rPr>
        <w:t>Ministru kabineta 11.10.2022. sēdes protokols Nr. 52</w:t>
      </w:r>
      <w:r>
        <w:rPr>
          <w:noProof/>
          <w:lang w:eastAsia="lv-LV"/>
        </w:rPr>
        <w:t xml:space="preserve"> </w:t>
      </w:r>
      <w:r w:rsidRPr="00787D4D">
        <w:rPr>
          <w:noProof/>
          <w:lang w:eastAsia="lv-LV"/>
        </w:rPr>
        <w:t>5.§</w:t>
      </w:r>
      <w:r>
        <w:rPr>
          <w:noProof/>
          <w:lang w:eastAsia="lv-LV"/>
        </w:rPr>
        <w:t xml:space="preserve">), kā arī ietekmes no </w:t>
      </w:r>
      <w:r w:rsidRPr="00787D4D">
        <w:rPr>
          <w:noProof/>
          <w:lang w:eastAsia="lv-LV"/>
        </w:rPr>
        <w:t xml:space="preserve">grozījumiem Darba likumā, kas </w:t>
      </w:r>
      <w:r>
        <w:rPr>
          <w:noProof/>
          <w:lang w:eastAsia="lv-LV"/>
        </w:rPr>
        <w:t xml:space="preserve">paredz, ka </w:t>
      </w:r>
      <w:r w:rsidRPr="00787D4D">
        <w:rPr>
          <w:noProof/>
          <w:lang w:eastAsia="lv-LV"/>
        </w:rPr>
        <w:t xml:space="preserve">minimālā mēneša darba alga normālā darba laika ietvaros no 2023. gada 1.janvāra nav mazāka par 620 </w:t>
      </w:r>
      <w:r w:rsidRPr="003231B7">
        <w:rPr>
          <w:i/>
          <w:iCs/>
          <w:noProof/>
          <w:lang w:eastAsia="lv-LV"/>
        </w:rPr>
        <w:t>euro</w:t>
      </w:r>
      <w:r w:rsidRPr="00787D4D">
        <w:rPr>
          <w:noProof/>
          <w:lang w:eastAsia="lv-LV"/>
        </w:rPr>
        <w:t xml:space="preserve">, savukārt no 2024. gada 1.janvāra nav mazāka par 700 </w:t>
      </w:r>
      <w:r w:rsidRPr="003231B7">
        <w:rPr>
          <w:i/>
          <w:iCs/>
          <w:noProof/>
          <w:lang w:eastAsia="lv-LV"/>
        </w:rPr>
        <w:t>euro</w:t>
      </w:r>
      <w:r w:rsidRPr="00787D4D">
        <w:rPr>
          <w:noProof/>
          <w:lang w:eastAsia="lv-LV"/>
        </w:rPr>
        <w:t>.</w:t>
      </w:r>
    </w:p>
    <w:p w14:paraId="49D1626A" w14:textId="20C6760F" w:rsidR="00E95377" w:rsidRPr="004501CB" w:rsidRDefault="00E95377" w:rsidP="00E95377">
      <w:pPr>
        <w:ind w:firstLine="567"/>
        <w:rPr>
          <w:rFonts w:eastAsia="Calibri" w:cs="Times New Roman"/>
          <w:noProof/>
          <w:szCs w:val="28"/>
          <w:lang w:eastAsia="lv-LV"/>
        </w:rPr>
      </w:pPr>
      <w:r w:rsidRPr="00477675">
        <w:rPr>
          <w:rFonts w:eastAsia="Calibri" w:cs="Times New Roman"/>
          <w:szCs w:val="28"/>
          <w:lang w:eastAsia="lv-LV"/>
        </w:rPr>
        <w:t>2022.</w:t>
      </w:r>
      <w:r w:rsidR="003231B7">
        <w:rPr>
          <w:rFonts w:eastAsia="Calibri" w:cs="Times New Roman"/>
          <w:szCs w:val="28"/>
          <w:lang w:eastAsia="lv-LV"/>
        </w:rPr>
        <w:t> </w:t>
      </w:r>
      <w:r w:rsidRPr="00477675">
        <w:rPr>
          <w:rFonts w:eastAsia="Calibri" w:cs="Times New Roman"/>
          <w:szCs w:val="28"/>
          <w:lang w:eastAsia="lv-LV"/>
        </w:rPr>
        <w:t xml:space="preserve">gada vienpadsmit mēnešu </w:t>
      </w:r>
      <w:r w:rsidRPr="00477675">
        <w:rPr>
          <w:rFonts w:eastAsia="Calibri" w:cs="Times New Roman"/>
          <w:b/>
          <w:szCs w:val="28"/>
          <w:lang w:eastAsia="lv-LV"/>
        </w:rPr>
        <w:t>kopbudžeta nodokļu ieņēmumi</w:t>
      </w:r>
      <w:r w:rsidRPr="003231B7">
        <w:rPr>
          <w:rStyle w:val="FootnoteReference"/>
          <w:rFonts w:eastAsia="Calibri" w:cs="Times New Roman"/>
          <w:sz w:val="18"/>
          <w:szCs w:val="18"/>
          <w:lang w:eastAsia="lv-LV"/>
        </w:rPr>
        <w:footnoteReference w:id="1"/>
      </w:r>
      <w:r w:rsidRPr="00477675">
        <w:rPr>
          <w:rFonts w:eastAsia="Calibri" w:cs="Times New Roman"/>
          <w:szCs w:val="28"/>
          <w:lang w:eastAsia="lv-LV"/>
        </w:rPr>
        <w:t xml:space="preserve"> bija 10 571,9 </w:t>
      </w:r>
      <w:r w:rsidRPr="00477675">
        <w:rPr>
          <w:rFonts w:eastAsia="Calibri" w:cs="Times New Roman"/>
          <w:noProof/>
          <w:szCs w:val="28"/>
          <w:lang w:eastAsia="lv-LV"/>
        </w:rPr>
        <w:t>milj. </w:t>
      </w:r>
      <w:r w:rsidRPr="00477675">
        <w:rPr>
          <w:rFonts w:eastAsia="Calibri" w:cs="Times New Roman"/>
          <w:i/>
          <w:noProof/>
          <w:szCs w:val="28"/>
          <w:lang w:eastAsia="lv-LV"/>
        </w:rPr>
        <w:t>euro</w:t>
      </w:r>
      <w:r w:rsidRPr="00477675">
        <w:rPr>
          <w:rFonts w:eastAsia="Calibri" w:cs="Times New Roman"/>
          <w:noProof/>
          <w:szCs w:val="28"/>
          <w:lang w:eastAsia="lv-LV"/>
        </w:rPr>
        <w:t>, tajā skaitā, valsts budžetā 8 789,5 milj. </w:t>
      </w:r>
      <w:r w:rsidRPr="00477675">
        <w:rPr>
          <w:rFonts w:eastAsia="Calibri" w:cs="Times New Roman"/>
          <w:i/>
          <w:noProof/>
          <w:szCs w:val="28"/>
          <w:lang w:eastAsia="lv-LV"/>
        </w:rPr>
        <w:t>euro</w:t>
      </w:r>
      <w:r w:rsidRPr="00477675">
        <w:rPr>
          <w:rFonts w:eastAsia="Calibri" w:cs="Times New Roman"/>
          <w:noProof/>
          <w:szCs w:val="28"/>
          <w:lang w:eastAsia="lv-LV"/>
        </w:rPr>
        <w:t xml:space="preserve"> un pašvaldību budžetā 1 782,3 milj. </w:t>
      </w:r>
      <w:r w:rsidRPr="00477675">
        <w:rPr>
          <w:rFonts w:eastAsia="Calibri" w:cs="Times New Roman"/>
          <w:i/>
          <w:noProof/>
          <w:szCs w:val="28"/>
          <w:lang w:eastAsia="lv-LV"/>
        </w:rPr>
        <w:t>euro</w:t>
      </w:r>
      <w:r w:rsidRPr="00477675">
        <w:rPr>
          <w:rFonts w:eastAsia="Calibri" w:cs="Times New Roman"/>
          <w:noProof/>
          <w:szCs w:val="28"/>
          <w:lang w:eastAsia="lv-LV"/>
        </w:rPr>
        <w:t xml:space="preserve">. </w:t>
      </w:r>
      <w:r w:rsidRPr="00477675">
        <w:rPr>
          <w:rFonts w:eastAsia="Calibri" w:cs="Times New Roman"/>
          <w:szCs w:val="28"/>
          <w:lang w:eastAsia="lv-LV"/>
        </w:rPr>
        <w:t xml:space="preserve">Salīdzinot ar pērnā gada attiecīgo periodu kopbudžeta </w:t>
      </w:r>
      <w:r w:rsidRPr="00477675">
        <w:rPr>
          <w:rFonts w:eastAsia="Calibri" w:cs="Times New Roman"/>
          <w:noProof/>
          <w:szCs w:val="28"/>
          <w:lang w:eastAsia="lv-LV"/>
        </w:rPr>
        <w:t>nodokļu ieņēmumi tika iekasēti par 1 760,3 milj. </w:t>
      </w:r>
      <w:r w:rsidRPr="00477675">
        <w:rPr>
          <w:rFonts w:eastAsia="Calibri" w:cs="Times New Roman"/>
          <w:i/>
          <w:noProof/>
          <w:szCs w:val="28"/>
          <w:lang w:eastAsia="lv-LV"/>
        </w:rPr>
        <w:t>euro</w:t>
      </w:r>
      <w:r w:rsidRPr="00477675">
        <w:rPr>
          <w:rFonts w:eastAsia="Calibri" w:cs="Times New Roman"/>
          <w:noProof/>
          <w:szCs w:val="28"/>
          <w:lang w:eastAsia="lv-LV"/>
        </w:rPr>
        <w:t xml:space="preserve"> jeb 20,0% vairāk nekā 2021.</w:t>
      </w:r>
      <w:r w:rsidR="00B1547D">
        <w:rPr>
          <w:rFonts w:eastAsia="Calibri" w:cs="Times New Roman"/>
          <w:noProof/>
          <w:szCs w:val="28"/>
          <w:lang w:eastAsia="lv-LV"/>
        </w:rPr>
        <w:t> </w:t>
      </w:r>
      <w:r w:rsidRPr="00477675">
        <w:rPr>
          <w:rFonts w:eastAsia="Calibri" w:cs="Times New Roman"/>
          <w:noProof/>
          <w:szCs w:val="28"/>
          <w:lang w:eastAsia="lv-LV"/>
        </w:rPr>
        <w:t xml:space="preserve">gada </w:t>
      </w:r>
      <w:r w:rsidRPr="00477675">
        <w:rPr>
          <w:rFonts w:eastAsia="Calibri" w:cs="Times New Roman"/>
          <w:szCs w:val="28"/>
          <w:lang w:eastAsia="lv-LV"/>
        </w:rPr>
        <w:t>vienpadsmit mēnešos</w:t>
      </w:r>
      <w:r w:rsidRPr="00477675">
        <w:rPr>
          <w:noProof/>
          <w:lang w:eastAsia="lv-LV"/>
        </w:rPr>
        <w:t>, bet</w:t>
      </w:r>
      <w:r w:rsidR="00B1547D">
        <w:rPr>
          <w:noProof/>
          <w:lang w:eastAsia="lv-LV"/>
        </w:rPr>
        <w:t>,</w:t>
      </w:r>
      <w:r w:rsidRPr="00477675">
        <w:rPr>
          <w:noProof/>
          <w:lang w:eastAsia="lv-LV"/>
        </w:rPr>
        <w:t xml:space="preserve"> salīdzinot ar likumā “Par valsts budžetu 2022.</w:t>
      </w:r>
      <w:r w:rsidR="00B1547D">
        <w:rPr>
          <w:noProof/>
          <w:lang w:eastAsia="lv-LV"/>
        </w:rPr>
        <w:t> </w:t>
      </w:r>
      <w:r w:rsidRPr="00477675">
        <w:rPr>
          <w:noProof/>
          <w:lang w:eastAsia="lv-LV"/>
        </w:rPr>
        <w:t xml:space="preserve">gadam” noteikto plānu – par </w:t>
      </w:r>
      <w:r w:rsidRPr="00477675">
        <w:rPr>
          <w:rFonts w:eastAsia="Calibri" w:cs="Times New Roman"/>
          <w:noProof/>
          <w:szCs w:val="28"/>
          <w:lang w:eastAsia="lv-LV"/>
        </w:rPr>
        <w:t>1 238,6 </w:t>
      </w:r>
      <w:r w:rsidRPr="00477675">
        <w:rPr>
          <w:noProof/>
          <w:lang w:eastAsia="lv-LV"/>
        </w:rPr>
        <w:t>milj. </w:t>
      </w:r>
      <w:r w:rsidRPr="00477675">
        <w:rPr>
          <w:i/>
          <w:noProof/>
          <w:lang w:eastAsia="lv-LV"/>
        </w:rPr>
        <w:t>euro</w:t>
      </w:r>
      <w:r w:rsidRPr="00477675">
        <w:rPr>
          <w:noProof/>
          <w:lang w:eastAsia="lv-LV"/>
        </w:rPr>
        <w:t xml:space="preserve"> jeb 13,3% vairāk.</w:t>
      </w:r>
      <w:r w:rsidRPr="00477675">
        <w:rPr>
          <w:rFonts w:eastAsia="Calibri" w:cs="Times New Roman"/>
          <w:noProof/>
          <w:szCs w:val="28"/>
          <w:lang w:eastAsia="lv-LV"/>
        </w:rPr>
        <w:t xml:space="preserve"> Ekonomikai pakāpeniski atkopjoties no </w:t>
      </w:r>
      <w:r w:rsidRPr="00477675">
        <w:t>Covid</w:t>
      </w:r>
      <w:r w:rsidRPr="00477675">
        <w:noBreakHyphen/>
        <w:t xml:space="preserve">19 </w:t>
      </w:r>
      <w:r w:rsidRPr="00477675">
        <w:rPr>
          <w:rFonts w:eastAsia="Calibri" w:cs="Times New Roman"/>
          <w:noProof/>
          <w:szCs w:val="28"/>
          <w:lang w:eastAsia="lv-LV"/>
        </w:rPr>
        <w:t xml:space="preserve">krīzes, attiecībā </w:t>
      </w:r>
      <w:r w:rsidRPr="00477675">
        <w:rPr>
          <w:noProof/>
          <w:lang w:eastAsia="lv-LV"/>
        </w:rPr>
        <w:t xml:space="preserve">pret pērnā gada </w:t>
      </w:r>
      <w:r w:rsidRPr="00477675">
        <w:rPr>
          <w:rFonts w:eastAsia="Calibri" w:cs="Times New Roman"/>
          <w:szCs w:val="28"/>
          <w:lang w:eastAsia="lv-LV"/>
        </w:rPr>
        <w:t>vienpadsmit mēnešiem</w:t>
      </w:r>
      <w:r w:rsidRPr="00477675">
        <w:rPr>
          <w:noProof/>
          <w:lang w:eastAsia="lv-LV"/>
        </w:rPr>
        <w:t xml:space="preserve"> </w:t>
      </w:r>
      <w:r w:rsidRPr="00477675">
        <w:rPr>
          <w:rFonts w:eastAsia="Calibri" w:cs="Times New Roman"/>
          <w:noProof/>
          <w:szCs w:val="28"/>
          <w:lang w:eastAsia="lv-LV"/>
        </w:rPr>
        <w:t xml:space="preserve">nodokļu ieņēmumi palielinājušies visās kategorijās. Būtiskākais palielinājums vērojams sociālās apdrošināšanas iemaksām, pievienotās vērtības nodoklim un iedzīvotāju ienākuma nodoklim </w:t>
      </w:r>
      <w:r w:rsidRPr="00477675">
        <w:rPr>
          <w:noProof/>
          <w:lang w:eastAsia="lv-LV"/>
        </w:rPr>
        <w:t>– ieņēmumi pieauguši attiecīgi par 761,1 </w:t>
      </w:r>
      <w:r w:rsidRPr="00477675">
        <w:rPr>
          <w:rFonts w:eastAsia="Calibri" w:cs="Times New Roman"/>
          <w:noProof/>
          <w:szCs w:val="28"/>
          <w:lang w:eastAsia="lv-LV"/>
        </w:rPr>
        <w:t>milj. </w:t>
      </w:r>
      <w:r w:rsidRPr="00477675">
        <w:rPr>
          <w:rFonts w:eastAsia="Calibri" w:cs="Times New Roman"/>
          <w:i/>
          <w:noProof/>
          <w:szCs w:val="28"/>
          <w:lang w:eastAsia="lv-LV"/>
        </w:rPr>
        <w:t>euro</w:t>
      </w:r>
      <w:r w:rsidRPr="00477675">
        <w:rPr>
          <w:rFonts w:eastAsia="Calibri" w:cs="Times New Roman"/>
          <w:noProof/>
          <w:szCs w:val="28"/>
          <w:lang w:eastAsia="lv-LV"/>
        </w:rPr>
        <w:t xml:space="preserve"> jeb 23,4%, </w:t>
      </w:r>
      <w:r w:rsidRPr="00477675">
        <w:rPr>
          <w:noProof/>
          <w:lang w:eastAsia="lv-LV"/>
        </w:rPr>
        <w:t>575,0 </w:t>
      </w:r>
      <w:r w:rsidRPr="00477675">
        <w:rPr>
          <w:rFonts w:eastAsia="Calibri" w:cs="Times New Roman"/>
          <w:noProof/>
          <w:szCs w:val="28"/>
          <w:lang w:eastAsia="lv-LV"/>
        </w:rPr>
        <w:t>milj. </w:t>
      </w:r>
      <w:r w:rsidRPr="00477675">
        <w:rPr>
          <w:rFonts w:eastAsia="Calibri" w:cs="Times New Roman"/>
          <w:i/>
          <w:noProof/>
          <w:szCs w:val="28"/>
          <w:lang w:eastAsia="lv-LV"/>
        </w:rPr>
        <w:t>euro</w:t>
      </w:r>
      <w:r w:rsidRPr="00477675">
        <w:rPr>
          <w:rFonts w:eastAsia="Calibri" w:cs="Times New Roman"/>
          <w:noProof/>
          <w:szCs w:val="28"/>
          <w:lang w:eastAsia="lv-LV"/>
        </w:rPr>
        <w:t xml:space="preserve"> jeb 21,8% un </w:t>
      </w:r>
      <w:r w:rsidRPr="00477675">
        <w:rPr>
          <w:noProof/>
          <w:lang w:eastAsia="lv-LV"/>
        </w:rPr>
        <w:t xml:space="preserve">356,2 </w:t>
      </w:r>
      <w:r w:rsidRPr="00477675">
        <w:rPr>
          <w:rFonts w:eastAsia="Calibri" w:cs="Times New Roman"/>
          <w:noProof/>
          <w:szCs w:val="28"/>
          <w:lang w:eastAsia="lv-LV"/>
        </w:rPr>
        <w:t>milj. </w:t>
      </w:r>
      <w:r w:rsidRPr="00477675">
        <w:rPr>
          <w:rFonts w:eastAsia="Calibri" w:cs="Times New Roman"/>
          <w:i/>
          <w:noProof/>
          <w:szCs w:val="28"/>
          <w:lang w:eastAsia="lv-LV"/>
        </w:rPr>
        <w:t>euro</w:t>
      </w:r>
      <w:r w:rsidRPr="00477675">
        <w:rPr>
          <w:rFonts w:eastAsia="Calibri" w:cs="Times New Roman"/>
          <w:noProof/>
          <w:szCs w:val="28"/>
          <w:lang w:eastAsia="lv-LV"/>
        </w:rPr>
        <w:t xml:space="preserve"> jeb 20,9</w:t>
      </w:r>
      <w:r w:rsidR="00B1547D">
        <w:rPr>
          <w:rFonts w:eastAsia="Calibri" w:cs="Times New Roman"/>
          <w:noProof/>
          <w:szCs w:val="28"/>
          <w:lang w:eastAsia="lv-LV"/>
        </w:rPr>
        <w:t> </w:t>
      </w:r>
      <w:r w:rsidRPr="00477675">
        <w:rPr>
          <w:rFonts w:eastAsia="Calibri" w:cs="Times New Roman"/>
          <w:noProof/>
          <w:szCs w:val="28"/>
          <w:lang w:eastAsia="lv-LV"/>
        </w:rPr>
        <w:t>procentiem)</w:t>
      </w:r>
      <w:r w:rsidRPr="00477675">
        <w:rPr>
          <w:noProof/>
          <w:lang w:eastAsia="lv-LV"/>
        </w:rPr>
        <w:t xml:space="preserve">. </w:t>
      </w:r>
      <w:r w:rsidRPr="00477675">
        <w:rPr>
          <w:rFonts w:eastAsia="Calibri" w:cs="Times New Roman"/>
          <w:noProof/>
          <w:szCs w:val="28"/>
          <w:lang w:eastAsia="lv-LV"/>
        </w:rPr>
        <w:t xml:space="preserve">Darbaspēka nodokļu </w:t>
      </w:r>
      <w:r w:rsidR="00B1547D">
        <w:rPr>
          <w:rFonts w:eastAsia="Calibri" w:cs="Times New Roman"/>
          <w:noProof/>
          <w:szCs w:val="28"/>
          <w:lang w:eastAsia="lv-LV"/>
        </w:rPr>
        <w:t xml:space="preserve">ieņēmumu </w:t>
      </w:r>
      <w:r w:rsidRPr="00477675">
        <w:rPr>
          <w:rFonts w:eastAsia="Calibri" w:cs="Times New Roman"/>
          <w:noProof/>
          <w:szCs w:val="28"/>
          <w:lang w:eastAsia="lv-LV"/>
        </w:rPr>
        <w:t xml:space="preserve">pieaugumu galvenokārt noteica būtiski straujāks darba samaksas fonda pieaugums nekā tika prognozēts. </w:t>
      </w:r>
      <w:r w:rsidRPr="00477675">
        <w:rPr>
          <w:noProof/>
          <w:lang w:eastAsia="lv-LV"/>
        </w:rPr>
        <w:t xml:space="preserve">Savukārt </w:t>
      </w:r>
      <w:r w:rsidRPr="00477675">
        <w:rPr>
          <w:rFonts w:eastAsia="Calibri" w:cs="Times New Roman"/>
          <w:noProof/>
          <w:szCs w:val="28"/>
          <w:lang w:eastAsia="lv-LV"/>
        </w:rPr>
        <w:t>pievienotās vērtības nodokļa</w:t>
      </w:r>
      <w:r w:rsidR="00B1547D">
        <w:rPr>
          <w:rFonts w:eastAsia="Calibri" w:cs="Times New Roman"/>
          <w:noProof/>
          <w:szCs w:val="28"/>
          <w:lang w:eastAsia="lv-LV"/>
        </w:rPr>
        <w:t xml:space="preserve"> ieņēmumu</w:t>
      </w:r>
      <w:r w:rsidRPr="00477675">
        <w:rPr>
          <w:rFonts w:eastAsia="Calibri" w:cs="Times New Roman"/>
          <w:noProof/>
          <w:szCs w:val="28"/>
          <w:lang w:eastAsia="lv-LV"/>
        </w:rPr>
        <w:t xml:space="preserve"> pie</w:t>
      </w:r>
      <w:r w:rsidR="00B1547D">
        <w:rPr>
          <w:rFonts w:eastAsia="Calibri" w:cs="Times New Roman"/>
          <w:noProof/>
          <w:szCs w:val="28"/>
          <w:lang w:eastAsia="lv-LV"/>
        </w:rPr>
        <w:t>a</w:t>
      </w:r>
      <w:r w:rsidRPr="00477675">
        <w:rPr>
          <w:rFonts w:eastAsia="Calibri" w:cs="Times New Roman"/>
          <w:noProof/>
          <w:szCs w:val="28"/>
          <w:lang w:eastAsia="lv-LV"/>
        </w:rPr>
        <w:t xml:space="preserve">uguma galvenais iemesls ir strauji augošais cenu līmenis visa veida precēm un pakalpojumiem. </w:t>
      </w:r>
      <w:r w:rsidRPr="00477675">
        <w:rPr>
          <w:noProof/>
          <w:lang w:eastAsia="lv-LV"/>
        </w:rPr>
        <w:t xml:space="preserve">Divas trešdaļas no nodokļa ieņēmumiem veidoja tirdzniecības nozares samaksātie nodokļi, kas ir būtiski pieauguši, ņemot vērā patēriņa cenu pieaugumu un augstu iekšējo pieprasījumu. </w:t>
      </w:r>
      <w:r w:rsidRPr="00477675">
        <w:rPr>
          <w:rFonts w:eastAsia="Calibri" w:cs="Times New Roman"/>
          <w:noProof/>
          <w:szCs w:val="28"/>
          <w:lang w:eastAsia="lv-LV"/>
        </w:rPr>
        <w:t>Vienlaikus jāņem vērā, ka ekonomiku kopumā arvien vairāk sāk ietekmēt energoresursu, kā arī ģeopolitiskā krīze, kā rezultātā tautsaimniecības izaugsmes tempu mazināšanās var atstāt iespaidu arī uz nodokļu ieņēmumiem gan absolūtajā, gan relatīvajā izteiksmē.</w:t>
      </w:r>
    </w:p>
    <w:p w14:paraId="00B96B2E" w14:textId="261754E0" w:rsidR="00E95377" w:rsidRPr="004501CB" w:rsidRDefault="00E95377" w:rsidP="00E95377">
      <w:pPr>
        <w:rPr>
          <w:noProof/>
          <w:lang w:eastAsia="lv-LV"/>
        </w:rPr>
      </w:pPr>
      <w:r w:rsidRPr="004501CB">
        <w:rPr>
          <w:noProof/>
          <w:lang w:eastAsia="lv-LV"/>
        </w:rPr>
        <w:t xml:space="preserve">Ņemot vērā iepriekš minētās tendences, kopbudžeta </w:t>
      </w:r>
      <w:r w:rsidRPr="004501CB">
        <w:rPr>
          <w:rFonts w:eastAsia="Calibri" w:cs="Times New Roman"/>
          <w:noProof/>
          <w:szCs w:val="28"/>
          <w:lang w:eastAsia="lv-LV"/>
        </w:rPr>
        <w:t xml:space="preserve">nodokļu ieņēmumi tiek prognozēti ar pieaugumu </w:t>
      </w:r>
      <w:r w:rsidRPr="004501CB">
        <w:rPr>
          <w:noProof/>
          <w:lang w:eastAsia="lv-LV"/>
        </w:rPr>
        <w:t xml:space="preserve">salīdzinājumā ar </w:t>
      </w:r>
      <w:r w:rsidRPr="002D63D2">
        <w:rPr>
          <w:rFonts w:eastAsia="Times New Roman"/>
          <w:noProof/>
          <w:lang w:eastAsia="lv-LV"/>
        </w:rPr>
        <w:t>2022.</w:t>
      </w:r>
      <w:r w:rsidR="00DA3985">
        <w:rPr>
          <w:rFonts w:eastAsia="Times New Roman"/>
          <w:noProof/>
          <w:lang w:eastAsia="lv-LV"/>
        </w:rPr>
        <w:t> </w:t>
      </w:r>
      <w:r w:rsidRPr="002D63D2">
        <w:rPr>
          <w:rFonts w:eastAsia="Times New Roman"/>
          <w:noProof/>
          <w:lang w:eastAsia="lv-LV"/>
        </w:rPr>
        <w:t xml:space="preserve">gada augusta </w:t>
      </w:r>
      <w:r>
        <w:rPr>
          <w:rFonts w:eastAsia="Times New Roman"/>
          <w:noProof/>
          <w:lang w:eastAsia="lv-LV"/>
        </w:rPr>
        <w:t xml:space="preserve">prognozēm </w:t>
      </w:r>
      <w:r w:rsidRPr="004501CB">
        <w:rPr>
          <w:rFonts w:eastAsia="Times New Roman"/>
          <w:noProof/>
          <w:lang w:eastAsia="lv-LV"/>
        </w:rPr>
        <w:t>– 2022.</w:t>
      </w:r>
      <w:r w:rsidR="00DA3985">
        <w:rPr>
          <w:rFonts w:eastAsia="Times New Roman"/>
          <w:noProof/>
          <w:lang w:eastAsia="lv-LV"/>
        </w:rPr>
        <w:t> </w:t>
      </w:r>
      <w:r w:rsidRPr="004501CB">
        <w:rPr>
          <w:rFonts w:eastAsia="Times New Roman"/>
          <w:noProof/>
          <w:lang w:eastAsia="lv-LV"/>
        </w:rPr>
        <w:t xml:space="preserve">gadā par </w:t>
      </w:r>
      <w:r>
        <w:rPr>
          <w:rFonts w:eastAsia="Times New Roman"/>
          <w:noProof/>
          <w:lang w:eastAsia="lv-LV"/>
        </w:rPr>
        <w:t>3,8</w:t>
      </w:r>
      <w:r w:rsidRPr="004501CB">
        <w:rPr>
          <w:rFonts w:eastAsia="Times New Roman"/>
          <w:noProof/>
          <w:lang w:eastAsia="lv-LV"/>
        </w:rPr>
        <w:t>%, 2023.</w:t>
      </w:r>
      <w:r w:rsidR="00DA3985">
        <w:rPr>
          <w:rFonts w:eastAsia="Times New Roman"/>
          <w:noProof/>
          <w:lang w:eastAsia="lv-LV"/>
        </w:rPr>
        <w:t> </w:t>
      </w:r>
      <w:r w:rsidRPr="004501CB">
        <w:rPr>
          <w:rFonts w:eastAsia="Times New Roman"/>
          <w:noProof/>
          <w:lang w:eastAsia="lv-LV"/>
        </w:rPr>
        <w:t xml:space="preserve">gadā par </w:t>
      </w:r>
      <w:r>
        <w:rPr>
          <w:rFonts w:eastAsia="Times New Roman"/>
          <w:noProof/>
          <w:lang w:eastAsia="lv-LV"/>
        </w:rPr>
        <w:t>4,1</w:t>
      </w:r>
      <w:r w:rsidRPr="004501CB">
        <w:rPr>
          <w:rFonts w:eastAsia="Times New Roman"/>
          <w:noProof/>
          <w:lang w:eastAsia="lv-LV"/>
        </w:rPr>
        <w:t>%, 2024.</w:t>
      </w:r>
      <w:r w:rsidR="00DA3985">
        <w:rPr>
          <w:rFonts w:eastAsia="Times New Roman"/>
          <w:noProof/>
          <w:lang w:eastAsia="lv-LV"/>
        </w:rPr>
        <w:t> </w:t>
      </w:r>
      <w:r w:rsidRPr="004501CB">
        <w:rPr>
          <w:rFonts w:eastAsia="Times New Roman"/>
          <w:noProof/>
          <w:lang w:eastAsia="lv-LV"/>
        </w:rPr>
        <w:t xml:space="preserve">gadā par </w:t>
      </w:r>
      <w:r>
        <w:rPr>
          <w:rFonts w:eastAsia="Times New Roman"/>
          <w:noProof/>
          <w:lang w:eastAsia="lv-LV"/>
        </w:rPr>
        <w:t>4,3</w:t>
      </w:r>
      <w:r w:rsidRPr="004501CB">
        <w:rPr>
          <w:rFonts w:eastAsia="Times New Roman"/>
          <w:noProof/>
          <w:lang w:eastAsia="lv-LV"/>
        </w:rPr>
        <w:t>% un 2025.</w:t>
      </w:r>
      <w:r w:rsidR="00DA3985">
        <w:rPr>
          <w:rFonts w:eastAsia="Times New Roman"/>
          <w:noProof/>
          <w:lang w:eastAsia="lv-LV"/>
        </w:rPr>
        <w:t> </w:t>
      </w:r>
      <w:r w:rsidRPr="004501CB">
        <w:rPr>
          <w:rFonts w:eastAsia="Times New Roman"/>
          <w:noProof/>
          <w:lang w:eastAsia="lv-LV"/>
        </w:rPr>
        <w:t xml:space="preserve">gadā par </w:t>
      </w:r>
      <w:r>
        <w:rPr>
          <w:rFonts w:eastAsia="Times New Roman"/>
          <w:noProof/>
          <w:lang w:eastAsia="lv-LV"/>
        </w:rPr>
        <w:t>4,1</w:t>
      </w:r>
      <w:r w:rsidR="00DA3985">
        <w:rPr>
          <w:rFonts w:eastAsia="Times New Roman"/>
          <w:noProof/>
          <w:lang w:eastAsia="lv-LV"/>
        </w:rPr>
        <w:t> </w:t>
      </w:r>
      <w:r w:rsidRPr="004501CB">
        <w:rPr>
          <w:rFonts w:eastAsia="Times New Roman"/>
          <w:noProof/>
          <w:lang w:eastAsia="lv-LV"/>
        </w:rPr>
        <w:t>procent</w:t>
      </w:r>
      <w:r w:rsidR="00DA3985">
        <w:rPr>
          <w:rFonts w:eastAsia="Times New Roman"/>
          <w:noProof/>
          <w:lang w:eastAsia="lv-LV"/>
        </w:rPr>
        <w:t>u</w:t>
      </w:r>
      <w:r w:rsidRPr="004501CB">
        <w:rPr>
          <w:rFonts w:eastAsia="Times New Roman"/>
          <w:noProof/>
          <w:lang w:eastAsia="lv-LV"/>
        </w:rPr>
        <w:t xml:space="preserve">. </w:t>
      </w:r>
      <w:r w:rsidRPr="004501CB">
        <w:rPr>
          <w:noProof/>
          <w:lang w:eastAsia="lv-LV"/>
        </w:rPr>
        <w:t>2023.</w:t>
      </w:r>
      <w:r w:rsidR="00DA3985">
        <w:rPr>
          <w:noProof/>
          <w:lang w:eastAsia="lv-LV"/>
        </w:rPr>
        <w:t> </w:t>
      </w:r>
      <w:r w:rsidRPr="004501CB">
        <w:rPr>
          <w:noProof/>
          <w:lang w:eastAsia="lv-LV"/>
        </w:rPr>
        <w:t xml:space="preserve">gadā kopbudžeta nodokļu ieņēmumi tiek prognozēti </w:t>
      </w:r>
      <w:r>
        <w:rPr>
          <w:rFonts w:eastAsia="Calibri" w:cs="Times New Roman"/>
          <w:szCs w:val="28"/>
          <w:lang w:eastAsia="lv-LV"/>
        </w:rPr>
        <w:t>12 244,2</w:t>
      </w:r>
      <w:r w:rsidRPr="004501CB">
        <w:rPr>
          <w:rFonts w:eastAsia="Calibri" w:cs="Times New Roman"/>
          <w:szCs w:val="28"/>
          <w:lang w:eastAsia="lv-LV"/>
        </w:rPr>
        <w:t> </w:t>
      </w:r>
      <w:r w:rsidRPr="004501CB">
        <w:rPr>
          <w:rFonts w:eastAsia="Calibri" w:cs="Times New Roman"/>
          <w:noProof/>
          <w:szCs w:val="28"/>
          <w:lang w:eastAsia="lv-LV"/>
        </w:rPr>
        <w:t>milj. </w:t>
      </w:r>
      <w:r w:rsidRPr="004501CB">
        <w:rPr>
          <w:rFonts w:eastAsia="Calibri" w:cs="Times New Roman"/>
          <w:i/>
          <w:noProof/>
          <w:szCs w:val="28"/>
          <w:lang w:eastAsia="lv-LV"/>
        </w:rPr>
        <w:t>euro</w:t>
      </w:r>
      <w:r w:rsidRPr="004501CB">
        <w:rPr>
          <w:noProof/>
          <w:lang w:eastAsia="lv-LV"/>
        </w:rPr>
        <w:t xml:space="preserve"> apmērā jeb ar 5,</w:t>
      </w:r>
      <w:r>
        <w:rPr>
          <w:noProof/>
          <w:lang w:eastAsia="lv-LV"/>
        </w:rPr>
        <w:t>7</w:t>
      </w:r>
      <w:r w:rsidRPr="004501CB">
        <w:rPr>
          <w:noProof/>
          <w:lang w:eastAsia="lv-LV"/>
        </w:rPr>
        <w:t>% pieaugumu salīdzinājumā ar 2022.</w:t>
      </w:r>
      <w:r w:rsidR="00DA3985">
        <w:rPr>
          <w:noProof/>
          <w:lang w:eastAsia="lv-LV"/>
        </w:rPr>
        <w:t> </w:t>
      </w:r>
      <w:r w:rsidRPr="004501CB">
        <w:rPr>
          <w:noProof/>
          <w:lang w:eastAsia="lv-LV"/>
        </w:rPr>
        <w:t>gadu, 2024.</w:t>
      </w:r>
      <w:r w:rsidR="00DA3985">
        <w:rPr>
          <w:noProof/>
          <w:lang w:eastAsia="lv-LV"/>
        </w:rPr>
        <w:t> </w:t>
      </w:r>
      <w:r w:rsidRPr="004501CB">
        <w:rPr>
          <w:noProof/>
          <w:lang w:eastAsia="lv-LV"/>
        </w:rPr>
        <w:t>gadā ar 5,</w:t>
      </w:r>
      <w:r>
        <w:rPr>
          <w:noProof/>
          <w:lang w:eastAsia="lv-LV"/>
        </w:rPr>
        <w:t>4</w:t>
      </w:r>
      <w:r w:rsidRPr="004501CB">
        <w:rPr>
          <w:noProof/>
          <w:lang w:eastAsia="lv-LV"/>
        </w:rPr>
        <w:t>% un 2025.</w:t>
      </w:r>
      <w:r w:rsidR="00DA3985">
        <w:rPr>
          <w:noProof/>
          <w:lang w:eastAsia="lv-LV"/>
        </w:rPr>
        <w:t> </w:t>
      </w:r>
      <w:r w:rsidRPr="004501CB">
        <w:rPr>
          <w:noProof/>
          <w:lang w:eastAsia="lv-LV"/>
        </w:rPr>
        <w:t>gadā ar 5,</w:t>
      </w:r>
      <w:r>
        <w:rPr>
          <w:noProof/>
          <w:lang w:eastAsia="lv-LV"/>
        </w:rPr>
        <w:t>2</w:t>
      </w:r>
      <w:r w:rsidRPr="004501CB">
        <w:rPr>
          <w:noProof/>
          <w:lang w:eastAsia="lv-LV"/>
        </w:rPr>
        <w:t>% pieaugumu</w:t>
      </w:r>
      <w:r>
        <w:rPr>
          <w:noProof/>
          <w:lang w:eastAsia="lv-LV"/>
        </w:rPr>
        <w:t xml:space="preserve"> pret</w:t>
      </w:r>
      <w:r w:rsidRPr="004501CB">
        <w:rPr>
          <w:noProof/>
          <w:lang w:eastAsia="lv-LV"/>
        </w:rPr>
        <w:t xml:space="preserve"> iepriekšējo gadu.</w:t>
      </w:r>
    </w:p>
    <w:p w14:paraId="6451820D" w14:textId="4542FB4C" w:rsidR="00E95377" w:rsidRPr="004501CB" w:rsidRDefault="00E95377" w:rsidP="00E95377">
      <w:pPr>
        <w:rPr>
          <w:lang w:eastAsia="lv-LV"/>
        </w:rPr>
      </w:pPr>
      <w:r w:rsidRPr="004501CB">
        <w:rPr>
          <w:lang w:eastAsia="lv-LV"/>
        </w:rPr>
        <w:t>Kopumā tiek prognozēts, ka nodokļu ieņēmumu dinamika 2023.</w:t>
      </w:r>
      <w:r w:rsidRPr="004501CB">
        <w:rPr>
          <w:lang w:eastAsia="lv-LV"/>
        </w:rPr>
        <w:noBreakHyphen/>
        <w:t>2025.gadā būs atbilstoša prognozējamiem Latvijas tautsaimniecības attīstības tempiem, ņemot vērā katra nodokļa korelējošo makro</w:t>
      </w:r>
      <w:r>
        <w:rPr>
          <w:lang w:eastAsia="lv-LV"/>
        </w:rPr>
        <w:t xml:space="preserve"> </w:t>
      </w:r>
      <w:r w:rsidRPr="004501CB">
        <w:rPr>
          <w:lang w:eastAsia="lv-LV"/>
        </w:rPr>
        <w:t xml:space="preserve">datu izmaiņas, taču rezultātā </w:t>
      </w:r>
      <w:r w:rsidR="00DA3985">
        <w:rPr>
          <w:lang w:eastAsia="lv-LV"/>
        </w:rPr>
        <w:t xml:space="preserve">kopējo </w:t>
      </w:r>
      <w:r w:rsidRPr="004501CB">
        <w:rPr>
          <w:lang w:eastAsia="lv-LV"/>
        </w:rPr>
        <w:t xml:space="preserve">nodokļu ieņēmumu īpatsvaram IKP </w:t>
      </w:r>
      <w:r w:rsidR="00DA3985">
        <w:rPr>
          <w:lang w:eastAsia="lv-LV"/>
        </w:rPr>
        <w:t xml:space="preserve">jeb “nodokļu slogam” </w:t>
      </w:r>
      <w:r w:rsidRPr="004501CB">
        <w:rPr>
          <w:lang w:eastAsia="lv-LV"/>
        </w:rPr>
        <w:t>minētajā periodā saglabājoties relatīvi stabilā līmenī 30% apmērā.</w:t>
      </w:r>
    </w:p>
    <w:p w14:paraId="25F70B5C" w14:textId="0CFE03C3" w:rsidR="00E95377" w:rsidRPr="004501CB" w:rsidRDefault="00E95377" w:rsidP="00E95377">
      <w:pPr>
        <w:rPr>
          <w:lang w:eastAsia="lv-LV"/>
        </w:rPr>
      </w:pPr>
      <w:r w:rsidRPr="004501CB">
        <w:rPr>
          <w:lang w:eastAsia="lv-LV"/>
        </w:rPr>
        <w:t xml:space="preserve">Valsts </w:t>
      </w:r>
      <w:r w:rsidRPr="004501CB">
        <w:rPr>
          <w:b/>
          <w:lang w:eastAsia="lv-LV"/>
        </w:rPr>
        <w:t xml:space="preserve">pamatbudžeta </w:t>
      </w:r>
      <w:r w:rsidRPr="004501CB">
        <w:rPr>
          <w:b/>
          <w:noProof/>
          <w:lang w:eastAsia="lv-LV"/>
        </w:rPr>
        <w:t>nenodokļu ieņēmumi</w:t>
      </w:r>
      <w:r w:rsidRPr="004501CB">
        <w:rPr>
          <w:noProof/>
          <w:lang w:eastAsia="lv-LV"/>
        </w:rPr>
        <w:t xml:space="preserve"> </w:t>
      </w:r>
      <w:r w:rsidRPr="004501CB">
        <w:rPr>
          <w:rFonts w:eastAsia="Calibri" w:cs="Times New Roman"/>
          <w:szCs w:val="28"/>
          <w:lang w:eastAsia="lv-LV"/>
        </w:rPr>
        <w:t>2022.</w:t>
      </w:r>
      <w:r w:rsidR="000F43F3">
        <w:rPr>
          <w:rFonts w:eastAsia="Calibri" w:cs="Times New Roman"/>
          <w:szCs w:val="28"/>
          <w:lang w:eastAsia="lv-LV"/>
        </w:rPr>
        <w:t> </w:t>
      </w:r>
      <w:r w:rsidRPr="004501CB">
        <w:rPr>
          <w:rFonts w:eastAsia="Calibri" w:cs="Times New Roman"/>
          <w:szCs w:val="28"/>
          <w:lang w:eastAsia="lv-LV"/>
        </w:rPr>
        <w:t xml:space="preserve">gada </w:t>
      </w:r>
      <w:r w:rsidRPr="003B3328">
        <w:rPr>
          <w:rFonts w:eastAsia="Calibri" w:cs="Times New Roman"/>
          <w:szCs w:val="28"/>
          <w:lang w:eastAsia="lv-LV"/>
        </w:rPr>
        <w:t>vienpadsmit</w:t>
      </w:r>
      <w:r w:rsidRPr="004501CB">
        <w:rPr>
          <w:rFonts w:eastAsia="Calibri" w:cs="Times New Roman"/>
          <w:szCs w:val="28"/>
          <w:lang w:eastAsia="lv-LV"/>
        </w:rPr>
        <w:t xml:space="preserve"> mēnešos</w:t>
      </w:r>
      <w:r w:rsidRPr="004501CB">
        <w:rPr>
          <w:noProof/>
          <w:lang w:eastAsia="lv-LV"/>
        </w:rPr>
        <w:t xml:space="preserve"> ir </w:t>
      </w:r>
      <w:r>
        <w:rPr>
          <w:noProof/>
          <w:lang w:eastAsia="lv-LV"/>
        </w:rPr>
        <w:t>633,3</w:t>
      </w:r>
      <w:r w:rsidR="000F43F3">
        <w:rPr>
          <w:noProof/>
          <w:lang w:eastAsia="lv-LV"/>
        </w:rPr>
        <w:t> </w:t>
      </w:r>
      <w:r w:rsidRPr="004501CB">
        <w:rPr>
          <w:noProof/>
          <w:lang w:eastAsia="lv-LV"/>
        </w:rPr>
        <w:t>milj. </w:t>
      </w:r>
      <w:r w:rsidRPr="004501CB">
        <w:rPr>
          <w:i/>
          <w:noProof/>
          <w:lang w:eastAsia="lv-LV"/>
        </w:rPr>
        <w:t>euro</w:t>
      </w:r>
      <w:r w:rsidRPr="004501CB">
        <w:rPr>
          <w:noProof/>
          <w:lang w:eastAsia="lv-LV"/>
        </w:rPr>
        <w:t>, kas ir par 4</w:t>
      </w:r>
      <w:r>
        <w:rPr>
          <w:noProof/>
          <w:lang w:eastAsia="lv-LV"/>
        </w:rPr>
        <w:t>3</w:t>
      </w:r>
      <w:r w:rsidRPr="004501CB">
        <w:rPr>
          <w:noProof/>
          <w:lang w:eastAsia="lv-LV"/>
        </w:rPr>
        <w:t>,6 milj. </w:t>
      </w:r>
      <w:r w:rsidRPr="004501CB">
        <w:rPr>
          <w:i/>
          <w:noProof/>
          <w:lang w:eastAsia="lv-LV"/>
        </w:rPr>
        <w:t>euro</w:t>
      </w:r>
      <w:r w:rsidRPr="004501CB">
        <w:rPr>
          <w:noProof/>
          <w:lang w:eastAsia="lv-LV"/>
        </w:rPr>
        <w:t xml:space="preserve"> jeb </w:t>
      </w:r>
      <w:r>
        <w:rPr>
          <w:noProof/>
          <w:lang w:eastAsia="lv-LV"/>
        </w:rPr>
        <w:t>7,4</w:t>
      </w:r>
      <w:r w:rsidRPr="004501CB">
        <w:rPr>
          <w:noProof/>
          <w:lang w:eastAsia="lv-LV"/>
        </w:rPr>
        <w:t>% vairāk nekā 2021.</w:t>
      </w:r>
      <w:r w:rsidR="000F43F3">
        <w:rPr>
          <w:noProof/>
          <w:lang w:eastAsia="lv-LV"/>
        </w:rPr>
        <w:t> </w:t>
      </w:r>
      <w:r w:rsidRPr="004501CB">
        <w:rPr>
          <w:noProof/>
          <w:lang w:eastAsia="lv-LV"/>
        </w:rPr>
        <w:t xml:space="preserve">gada attiecīgajā periodā </w:t>
      </w:r>
      <w:r w:rsidRPr="004501CB">
        <w:rPr>
          <w:noProof/>
          <w:lang w:eastAsia="lv-LV"/>
        </w:rPr>
        <w:lastRenderedPageBreak/>
        <w:t>un par 1</w:t>
      </w:r>
      <w:r>
        <w:rPr>
          <w:noProof/>
          <w:lang w:eastAsia="lv-LV"/>
        </w:rPr>
        <w:t>63</w:t>
      </w:r>
      <w:r w:rsidRPr="004501CB">
        <w:rPr>
          <w:noProof/>
          <w:lang w:eastAsia="lv-LV"/>
        </w:rPr>
        <w:t>,7 milj. </w:t>
      </w:r>
      <w:r w:rsidRPr="004501CB">
        <w:rPr>
          <w:i/>
          <w:noProof/>
          <w:szCs w:val="24"/>
          <w:lang w:eastAsia="lv-LV"/>
        </w:rPr>
        <w:t>euro</w:t>
      </w:r>
      <w:r w:rsidRPr="004501CB">
        <w:rPr>
          <w:noProof/>
          <w:lang w:eastAsia="lv-LV"/>
        </w:rPr>
        <w:t xml:space="preserve"> jeb 34,</w:t>
      </w:r>
      <w:r>
        <w:rPr>
          <w:noProof/>
          <w:lang w:eastAsia="lv-LV"/>
        </w:rPr>
        <w:t>9</w:t>
      </w:r>
      <w:r w:rsidRPr="004501CB">
        <w:rPr>
          <w:noProof/>
          <w:lang w:eastAsia="lv-LV"/>
        </w:rPr>
        <w:t xml:space="preserve">% vairāk par </w:t>
      </w:r>
      <w:r w:rsidRPr="004501CB">
        <w:rPr>
          <w:rFonts w:eastAsia="Calibri" w:cs="Times New Roman"/>
          <w:noProof/>
          <w:szCs w:val="28"/>
          <w:lang w:eastAsia="lv-LV"/>
        </w:rPr>
        <w:t>likumā “Par valsts budžetu 2022.</w:t>
      </w:r>
      <w:r w:rsidR="000F43F3">
        <w:rPr>
          <w:rFonts w:eastAsia="Calibri" w:cs="Times New Roman"/>
          <w:noProof/>
          <w:szCs w:val="28"/>
          <w:lang w:eastAsia="lv-LV"/>
        </w:rPr>
        <w:t> </w:t>
      </w:r>
      <w:r w:rsidRPr="004501CB">
        <w:rPr>
          <w:rFonts w:eastAsia="Calibri" w:cs="Times New Roman"/>
          <w:noProof/>
          <w:szCs w:val="28"/>
          <w:lang w:eastAsia="lv-LV"/>
        </w:rPr>
        <w:t>gadam” noteikto plānu</w:t>
      </w:r>
      <w:r w:rsidRPr="004501CB">
        <w:rPr>
          <w:noProof/>
          <w:lang w:eastAsia="lv-LV"/>
        </w:rPr>
        <w:t>. 2022.</w:t>
      </w:r>
      <w:r w:rsidR="000F43F3">
        <w:rPr>
          <w:noProof/>
          <w:lang w:eastAsia="lv-LV"/>
        </w:rPr>
        <w:t> </w:t>
      </w:r>
      <w:r w:rsidRPr="004501CB">
        <w:rPr>
          <w:noProof/>
          <w:lang w:eastAsia="lv-LV"/>
        </w:rPr>
        <w:t>gadā lielākos valsts pamatbudžeta nenodokļu ieņēmumus veido ieņēmumi no dividendēm (maksājumi par valsts kapitāla</w:t>
      </w:r>
      <w:r w:rsidRPr="004501CB">
        <w:rPr>
          <w:lang w:eastAsia="lv-LV"/>
        </w:rPr>
        <w:t xml:space="preserve"> izmantošanu), ieņēmumi no Latvijai piešķirto emisijas kvotu izsolīšanas, ieņēmumi no valsts nodevām par valsts sniegto nodrošinājumu un juridiskajiem un citiem pakalpojumiem, kā arī speciāliem mērķiem paredzētās valsts nodevas.</w:t>
      </w:r>
    </w:p>
    <w:p w14:paraId="117B972D" w14:textId="36F72945" w:rsidR="00E95377" w:rsidRDefault="00E95377" w:rsidP="00E95377">
      <w:pPr>
        <w:rPr>
          <w:noProof/>
          <w:lang w:eastAsia="lv-LV"/>
        </w:rPr>
      </w:pPr>
      <w:r w:rsidRPr="004501CB">
        <w:rPr>
          <w:noProof/>
          <w:lang w:eastAsia="lv-LV"/>
        </w:rPr>
        <w:t>2023.</w:t>
      </w:r>
      <w:r w:rsidR="000F43F3">
        <w:rPr>
          <w:noProof/>
          <w:lang w:eastAsia="lv-LV"/>
        </w:rPr>
        <w:t> </w:t>
      </w:r>
      <w:r w:rsidRPr="004501CB">
        <w:rPr>
          <w:noProof/>
          <w:lang w:eastAsia="lv-LV"/>
        </w:rPr>
        <w:t xml:space="preserve">gadā valsts pamatbudžeta nenodokļu ieņēmumi tiek prognozēti ar </w:t>
      </w:r>
      <w:r>
        <w:rPr>
          <w:noProof/>
          <w:lang w:eastAsia="lv-LV"/>
        </w:rPr>
        <w:t>3,8</w:t>
      </w:r>
      <w:r w:rsidRPr="004501CB">
        <w:rPr>
          <w:noProof/>
          <w:lang w:eastAsia="lv-LV"/>
        </w:rPr>
        <w:t xml:space="preserve">% </w:t>
      </w:r>
      <w:r>
        <w:rPr>
          <w:noProof/>
          <w:lang w:eastAsia="lv-LV"/>
        </w:rPr>
        <w:t>paliel</w:t>
      </w:r>
      <w:r w:rsidRPr="004501CB">
        <w:rPr>
          <w:noProof/>
          <w:lang w:eastAsia="lv-LV"/>
        </w:rPr>
        <w:t>inājumu salīdzinājumā ar 2022.</w:t>
      </w:r>
      <w:r w:rsidR="000F43F3">
        <w:rPr>
          <w:noProof/>
          <w:lang w:eastAsia="lv-LV"/>
        </w:rPr>
        <w:t> </w:t>
      </w:r>
      <w:r w:rsidRPr="004501CB">
        <w:rPr>
          <w:noProof/>
          <w:lang w:eastAsia="lv-LV"/>
        </w:rPr>
        <w:t xml:space="preserve">gadu, ko pamatā ietekmē ieņēmumu </w:t>
      </w:r>
      <w:r>
        <w:rPr>
          <w:noProof/>
          <w:lang w:eastAsia="lv-LV"/>
        </w:rPr>
        <w:t>paliel</w:t>
      </w:r>
      <w:r w:rsidRPr="004501CB">
        <w:rPr>
          <w:noProof/>
          <w:lang w:eastAsia="lv-LV"/>
        </w:rPr>
        <w:t xml:space="preserve">inājums no dividendēm, </w:t>
      </w:r>
      <w:r>
        <w:rPr>
          <w:noProof/>
          <w:lang w:eastAsia="lv-LV"/>
        </w:rPr>
        <w:t>p</w:t>
      </w:r>
      <w:r w:rsidRPr="00D8779E">
        <w:rPr>
          <w:noProof/>
          <w:lang w:eastAsia="lv-LV"/>
        </w:rPr>
        <w:t>rocentu ieņēmum</w:t>
      </w:r>
      <w:r>
        <w:rPr>
          <w:noProof/>
          <w:lang w:eastAsia="lv-LV"/>
        </w:rPr>
        <w:t>u palielinājums</w:t>
      </w:r>
      <w:r w:rsidRPr="00D8779E">
        <w:rPr>
          <w:noProof/>
          <w:lang w:eastAsia="lv-LV"/>
        </w:rPr>
        <w:t xml:space="preserve"> par aizdevumiem</w:t>
      </w:r>
      <w:r>
        <w:rPr>
          <w:noProof/>
          <w:lang w:eastAsia="lv-LV"/>
        </w:rPr>
        <w:t xml:space="preserve">, </w:t>
      </w:r>
      <w:r w:rsidRPr="00D8779E">
        <w:rPr>
          <w:noProof/>
          <w:lang w:eastAsia="lv-LV"/>
        </w:rPr>
        <w:t>depozītiem un kontu atlikumiem</w:t>
      </w:r>
      <w:r>
        <w:rPr>
          <w:noProof/>
          <w:lang w:eastAsia="lv-LV"/>
        </w:rPr>
        <w:t>, v</w:t>
      </w:r>
      <w:r w:rsidRPr="00D8779E">
        <w:rPr>
          <w:noProof/>
          <w:lang w:eastAsia="lv-LV"/>
        </w:rPr>
        <w:t>alsts nodeva</w:t>
      </w:r>
      <w:r>
        <w:rPr>
          <w:noProof/>
          <w:lang w:eastAsia="lv-LV"/>
        </w:rPr>
        <w:t>s</w:t>
      </w:r>
      <w:r w:rsidRPr="00D8779E">
        <w:rPr>
          <w:noProof/>
          <w:lang w:eastAsia="lv-LV"/>
        </w:rPr>
        <w:t xml:space="preserve"> par naftas produktu drošības rezervju uzturēšanu</w:t>
      </w:r>
      <w:r>
        <w:rPr>
          <w:noProof/>
          <w:lang w:eastAsia="lv-LV"/>
        </w:rPr>
        <w:t>,</w:t>
      </w:r>
      <w:r w:rsidRPr="00D8779E">
        <w:rPr>
          <w:noProof/>
          <w:lang w:eastAsia="lv-LV"/>
        </w:rPr>
        <w:t xml:space="preserve"> </w:t>
      </w:r>
      <w:r>
        <w:rPr>
          <w:noProof/>
          <w:lang w:eastAsia="lv-LV"/>
        </w:rPr>
        <w:t>kā arī s</w:t>
      </w:r>
      <w:r w:rsidRPr="00967136">
        <w:rPr>
          <w:noProof/>
          <w:lang w:eastAsia="lv-LV"/>
        </w:rPr>
        <w:t>peciāliem mērķiem paredzētās valsts nodevas</w:t>
      </w:r>
      <w:r>
        <w:rPr>
          <w:noProof/>
          <w:lang w:eastAsia="lv-LV"/>
        </w:rPr>
        <w:t xml:space="preserve"> </w:t>
      </w:r>
      <w:r w:rsidRPr="00D8779E">
        <w:rPr>
          <w:noProof/>
          <w:lang w:eastAsia="lv-LV"/>
        </w:rPr>
        <w:t>ieņēmum</w:t>
      </w:r>
      <w:r>
        <w:rPr>
          <w:noProof/>
          <w:lang w:eastAsia="lv-LV"/>
        </w:rPr>
        <w:t>u palielinājums</w:t>
      </w:r>
      <w:r w:rsidRPr="004501CB">
        <w:rPr>
          <w:noProof/>
          <w:lang w:eastAsia="lv-LV"/>
        </w:rPr>
        <w:t>. 2024.</w:t>
      </w:r>
      <w:r w:rsidR="000F43F3">
        <w:rPr>
          <w:noProof/>
          <w:lang w:eastAsia="lv-LV"/>
        </w:rPr>
        <w:t> </w:t>
      </w:r>
      <w:r w:rsidRPr="004501CB">
        <w:rPr>
          <w:noProof/>
          <w:lang w:eastAsia="lv-LV"/>
        </w:rPr>
        <w:t xml:space="preserve">gadā nenodokļu ieņēmumi tiek prognozēti ar </w:t>
      </w:r>
      <w:r>
        <w:rPr>
          <w:noProof/>
          <w:lang w:eastAsia="lv-LV"/>
        </w:rPr>
        <w:t>11,9</w:t>
      </w:r>
      <w:r w:rsidRPr="004501CB">
        <w:rPr>
          <w:noProof/>
          <w:lang w:eastAsia="lv-LV"/>
        </w:rPr>
        <w:t>%</w:t>
      </w:r>
      <w:r>
        <w:rPr>
          <w:noProof/>
          <w:lang w:eastAsia="lv-LV"/>
        </w:rPr>
        <w:t xml:space="preserve"> samazinājumu</w:t>
      </w:r>
      <w:r w:rsidRPr="004501CB">
        <w:rPr>
          <w:noProof/>
          <w:lang w:eastAsia="lv-LV"/>
        </w:rPr>
        <w:t>, bet 2025.</w:t>
      </w:r>
      <w:r w:rsidR="000F43F3">
        <w:rPr>
          <w:noProof/>
          <w:lang w:eastAsia="lv-LV"/>
        </w:rPr>
        <w:t> </w:t>
      </w:r>
      <w:r w:rsidRPr="004501CB">
        <w:rPr>
          <w:noProof/>
          <w:lang w:eastAsia="lv-LV"/>
        </w:rPr>
        <w:t xml:space="preserve">gadā ar </w:t>
      </w:r>
      <w:r>
        <w:rPr>
          <w:noProof/>
          <w:lang w:eastAsia="lv-LV"/>
        </w:rPr>
        <w:t>1,2</w:t>
      </w:r>
      <w:r w:rsidRPr="004501CB">
        <w:rPr>
          <w:noProof/>
          <w:lang w:eastAsia="lv-LV"/>
        </w:rPr>
        <w:t>% pieaugumu salīdzinājumā ar iepriekšējo gadu.</w:t>
      </w:r>
    </w:p>
    <w:p w14:paraId="071661DA" w14:textId="0AC9EB64" w:rsidR="00E95377" w:rsidRPr="00E95377" w:rsidRDefault="00E95377" w:rsidP="003C74AA">
      <w:pPr>
        <w:spacing w:before="0" w:after="0"/>
        <w:ind w:firstLine="0"/>
        <w:jc w:val="left"/>
      </w:pPr>
      <w:r>
        <w:br w:type="page"/>
      </w:r>
    </w:p>
    <w:p w14:paraId="74F887EE" w14:textId="446842FA" w:rsidR="005700B6" w:rsidRPr="008C2A5C" w:rsidRDefault="00E56A61" w:rsidP="008E7DDE">
      <w:pPr>
        <w:pStyle w:val="Heading1"/>
        <w:ind w:left="357" w:hanging="357"/>
        <w:rPr>
          <w:sz w:val="28"/>
          <w:szCs w:val="28"/>
        </w:rPr>
      </w:pPr>
      <w:bookmarkStart w:id="26" w:name="_Toc122369561"/>
      <w:bookmarkStart w:id="27" w:name="_Toc403038744"/>
      <w:r>
        <w:rPr>
          <w:sz w:val="28"/>
          <w:szCs w:val="28"/>
        </w:rPr>
        <w:lastRenderedPageBreak/>
        <w:t>V</w:t>
      </w:r>
      <w:r w:rsidR="005700B6">
        <w:rPr>
          <w:sz w:val="28"/>
          <w:szCs w:val="28"/>
        </w:rPr>
        <w:t>alsts pamatbudžeta un valsts speciālā budžeta bāze 2023., 2024. un 2025. gadam</w:t>
      </w:r>
      <w:bookmarkEnd w:id="26"/>
    </w:p>
    <w:p w14:paraId="1128FEA1" w14:textId="6B8ACA6F" w:rsidR="008E7DDE" w:rsidRPr="000358A8" w:rsidRDefault="008E7DDE" w:rsidP="00FB4F3A">
      <w:r w:rsidRPr="000F43F3">
        <w:rPr>
          <w:lang w:eastAsia="lv-LV"/>
        </w:rPr>
        <w:t>Ministru kabinetā 2022.</w:t>
      </w:r>
      <w:r w:rsidR="000F43F3">
        <w:rPr>
          <w:lang w:eastAsia="lv-LV"/>
        </w:rPr>
        <w:t> </w:t>
      </w:r>
      <w:r w:rsidRPr="000F43F3">
        <w:rPr>
          <w:lang w:eastAsia="lv-LV"/>
        </w:rPr>
        <w:t>gada 11.</w:t>
      </w:r>
      <w:r w:rsidR="000F43F3">
        <w:rPr>
          <w:lang w:eastAsia="lv-LV"/>
        </w:rPr>
        <w:t> </w:t>
      </w:r>
      <w:r w:rsidRPr="000F43F3">
        <w:rPr>
          <w:lang w:eastAsia="lv-LV"/>
        </w:rPr>
        <w:t>oktobrī (sēdes protokols Nr. 52 3.§) tika apstiprināta valsts pamatbudžeta un valsts speciālā budžeta bāze 2023., 2024. un 2025. gadam (tajā skaitā valsts</w:t>
      </w:r>
      <w:r w:rsidRPr="000358A8">
        <w:rPr>
          <w:lang w:eastAsia="lv-LV"/>
        </w:rPr>
        <w:t xml:space="preserve"> pamatfunkciju īstenošanai un Eiropas Savienības politiku instrumentu un pārējās ārvalstu finanšu palīdzības līdzfinansēto projektu un pasākumu īstenošanai).</w:t>
      </w:r>
      <w:r w:rsidRPr="000358A8">
        <w:t xml:space="preserve"> Valsts pamatbudžeta un valsts speciālā budžeta bāze tika aprēķināta s</w:t>
      </w:r>
      <w:r w:rsidRPr="000358A8">
        <w:rPr>
          <w:lang w:eastAsia="lv-LV"/>
        </w:rPr>
        <w:t>askaņā ar Ministru kabineta 2012.</w:t>
      </w:r>
      <w:r w:rsidR="000F43F3">
        <w:rPr>
          <w:lang w:eastAsia="lv-LV"/>
        </w:rPr>
        <w:t> </w:t>
      </w:r>
      <w:r w:rsidRPr="000358A8">
        <w:rPr>
          <w:lang w:eastAsia="lv-LV"/>
        </w:rPr>
        <w:t>gada 11.</w:t>
      </w:r>
      <w:r w:rsidR="000F43F3">
        <w:rPr>
          <w:lang w:eastAsia="lv-LV"/>
        </w:rPr>
        <w:t> </w:t>
      </w:r>
      <w:r w:rsidRPr="000358A8">
        <w:rPr>
          <w:lang w:eastAsia="lv-LV"/>
        </w:rPr>
        <w:t>decembra noteikumos Nr.867 “Kārtība, kādā nosakāms maksimāli pieļaujamais valsts budžeta izdevumu kopapjoms un maksimāli pieļaujamais valsts budžeta izdevumu kopējais apjoms katrai ministrijai un citām centrālajām valsts iestādēm vidējam termiņam” (turpmāk – MK noteikumi Nr.867) noteikto</w:t>
      </w:r>
      <w:r w:rsidRPr="000358A8">
        <w:rPr>
          <w:shd w:val="clear" w:color="auto" w:fill="FFFFFF"/>
        </w:rPr>
        <w:t>.</w:t>
      </w:r>
      <w:r w:rsidRPr="000358A8">
        <w:t xml:space="preserve"> </w:t>
      </w:r>
    </w:p>
    <w:p w14:paraId="6CBD111F" w14:textId="77777777" w:rsidR="008E7DDE" w:rsidRPr="000358A8" w:rsidRDefault="008E7DDE" w:rsidP="00FB4F3A">
      <w:r w:rsidRPr="000358A8">
        <w:t>Ministriju un citu centrālo valsts iestāžu (turpmāk – ministrija) 2023., 2024. un 2025.</w:t>
      </w:r>
      <w:r>
        <w:t> </w:t>
      </w:r>
      <w:r w:rsidRPr="000358A8">
        <w:t>gada aktualizētās valsts budžeta bāzes aprēķinātas, ņemot vērā Ministru kabineta 2022.</w:t>
      </w:r>
      <w:r>
        <w:t> </w:t>
      </w:r>
      <w:r w:rsidRPr="000358A8">
        <w:t>gada 11. oktobra sēdes protokola (prot. Nr.52 3.§) 11. punktā noteikto, precizējot valsts budžeta bāzes izdevumus šādos gadījumos:</w:t>
      </w:r>
    </w:p>
    <w:p w14:paraId="683D07C0" w14:textId="46AB4649" w:rsidR="00383816" w:rsidRPr="009C1108" w:rsidRDefault="008E7DDE" w:rsidP="00C7426B">
      <w:pPr>
        <w:pStyle w:val="ListParagraph"/>
        <w:numPr>
          <w:ilvl w:val="0"/>
          <w:numId w:val="7"/>
        </w:numPr>
      </w:pPr>
      <w:r w:rsidRPr="009C1108">
        <w:t>atbilstoši MK noteikumu Nr.867 19.</w:t>
      </w:r>
      <w:r w:rsidRPr="00FB4F3A">
        <w:rPr>
          <w:szCs w:val="24"/>
        </w:rPr>
        <w:t>¹</w:t>
      </w:r>
      <w:r w:rsidRPr="009C1108">
        <w:t xml:space="preserve"> punktā noteiktajam;</w:t>
      </w:r>
    </w:p>
    <w:p w14:paraId="304D7BB6" w14:textId="03988639" w:rsidR="008E7DDE" w:rsidRPr="009C1108" w:rsidRDefault="008E7DDE" w:rsidP="00C7426B">
      <w:pPr>
        <w:pStyle w:val="ListParagraph"/>
        <w:numPr>
          <w:ilvl w:val="0"/>
          <w:numId w:val="7"/>
        </w:numPr>
      </w:pPr>
      <w:r w:rsidRPr="009C1108">
        <w:t xml:space="preserve">valsts </w:t>
      </w:r>
      <w:r w:rsidRPr="009C1108">
        <w:rPr>
          <w:noProof/>
        </w:rPr>
        <w:t>speciālā budžeta ietvaros veicot izmaiņas starp sociālās apdrošināšanas speciālo budžetu savstarpējiem transfertiem</w:t>
      </w:r>
      <w:r w:rsidRPr="009C1108">
        <w:t>.</w:t>
      </w:r>
    </w:p>
    <w:p w14:paraId="50659CCF" w14:textId="1FB16CDE" w:rsidR="008E7DDE" w:rsidRDefault="008E7DDE" w:rsidP="00FB4F3A">
      <w:pPr>
        <w:rPr>
          <w:szCs w:val="24"/>
        </w:rPr>
      </w:pPr>
      <w:r w:rsidRPr="000358A8">
        <w:rPr>
          <w:szCs w:val="24"/>
        </w:rPr>
        <w:t>Pamatojoties uz apstiprinātajiem valsts budžeta bāzes izdevumiem, valsts budžeta izdevumu pārskatīšanas rezultātiem un priekšlikumiem par šo rezultātu izmantošanu likumprojekta “Par valsts budžetu 2023. gadam un budžeta ietvaru 2023., 2024. un 2025.</w:t>
      </w:r>
      <w:r>
        <w:rPr>
          <w:szCs w:val="24"/>
        </w:rPr>
        <w:t> </w:t>
      </w:r>
      <w:r w:rsidRPr="000358A8">
        <w:rPr>
          <w:szCs w:val="24"/>
        </w:rPr>
        <w:t>gadam” izstrādes procesā, kā arī Ministru kabineta pieņemtajiem lēmumiem par prioritārajiem pasākumiem, tiks aprēķināts maksimāli pieļaujamais valsts budžeta izdevumu kopapjoms un maksimāli pieļaujamais valsts budžeta kopējo izdevumu apjoms katrai ministrijai.</w:t>
      </w:r>
    </w:p>
    <w:p w14:paraId="653D8BB6" w14:textId="77777777" w:rsidR="008E7DDE" w:rsidRPr="000358A8" w:rsidRDefault="008E7DDE" w:rsidP="00FB4F3A">
      <w:pPr>
        <w:spacing w:before="240"/>
        <w:rPr>
          <w:b/>
          <w:szCs w:val="24"/>
        </w:rPr>
      </w:pPr>
      <w:r w:rsidRPr="000358A8">
        <w:rPr>
          <w:b/>
          <w:szCs w:val="24"/>
        </w:rPr>
        <w:t xml:space="preserve">Valsts pamatbudžeta bāze </w:t>
      </w:r>
    </w:p>
    <w:p w14:paraId="0525AF25" w14:textId="3975694E" w:rsidR="008E7DDE" w:rsidRPr="00FB4F3A" w:rsidRDefault="008E7DDE" w:rsidP="009C1108">
      <w:pPr>
        <w:rPr>
          <w:noProof/>
          <w:szCs w:val="24"/>
        </w:rPr>
      </w:pPr>
      <w:r w:rsidRPr="00FB4F3A">
        <w:rPr>
          <w:rFonts w:cs="Times New Roman"/>
          <w:noProof/>
          <w:szCs w:val="24"/>
          <w:lang w:eastAsia="lv-LV"/>
        </w:rPr>
        <w:t>Ministru kabinetā 2022. gada 11. oktobrī apstiprināti va</w:t>
      </w:r>
      <w:r w:rsidRPr="00FB4F3A">
        <w:rPr>
          <w:rFonts w:cs="Times New Roman"/>
          <w:noProof/>
          <w:szCs w:val="24"/>
        </w:rPr>
        <w:t xml:space="preserve">lsts pamatbudžeta bāzes izdevumi 2023. gadam aprēķināti 9 818,2 milj. </w:t>
      </w:r>
      <w:r w:rsidRPr="00FB4F3A">
        <w:rPr>
          <w:rFonts w:cs="Times New Roman"/>
          <w:i/>
          <w:noProof/>
          <w:szCs w:val="24"/>
        </w:rPr>
        <w:t>euro</w:t>
      </w:r>
      <w:r w:rsidRPr="00FB4F3A">
        <w:rPr>
          <w:rFonts w:cs="Times New Roman"/>
          <w:noProof/>
          <w:szCs w:val="24"/>
        </w:rPr>
        <w:t xml:space="preserve"> apmērā un 2024. gadam 9 307,4 milj. </w:t>
      </w:r>
      <w:r w:rsidRPr="00FB4F3A">
        <w:rPr>
          <w:rFonts w:cs="Times New Roman"/>
          <w:i/>
          <w:noProof/>
          <w:szCs w:val="24"/>
        </w:rPr>
        <w:t>euro</w:t>
      </w:r>
      <w:r w:rsidRPr="00FB4F3A">
        <w:rPr>
          <w:rFonts w:cs="Times New Roman"/>
          <w:noProof/>
          <w:szCs w:val="24"/>
        </w:rPr>
        <w:t xml:space="preserve"> apmērā </w:t>
      </w:r>
      <w:r w:rsidRPr="00FB4F3A">
        <w:rPr>
          <w:noProof/>
          <w:szCs w:val="24"/>
        </w:rPr>
        <w:t xml:space="preserve">(sk. attēlu Nr. </w:t>
      </w:r>
      <w:r w:rsidR="009C1108" w:rsidRPr="00FB4F3A">
        <w:rPr>
          <w:noProof/>
          <w:szCs w:val="24"/>
        </w:rPr>
        <w:t>20</w:t>
      </w:r>
      <w:r w:rsidRPr="00FB4F3A">
        <w:rPr>
          <w:noProof/>
          <w:szCs w:val="24"/>
        </w:rPr>
        <w:t>)</w:t>
      </w:r>
      <w:r w:rsidRPr="00FB4F3A">
        <w:rPr>
          <w:rFonts w:cs="Times New Roman"/>
          <w:noProof/>
          <w:szCs w:val="24"/>
        </w:rPr>
        <w:t>. Salīdzinājumā ar attiecīgā gada ietvaru izdevumi palielināti 1</w:t>
      </w:r>
      <w:r w:rsidR="00FB4F3A">
        <w:rPr>
          <w:rFonts w:cs="Times New Roman"/>
          <w:noProof/>
          <w:szCs w:val="24"/>
        </w:rPr>
        <w:t> </w:t>
      </w:r>
      <w:r w:rsidRPr="00FB4F3A">
        <w:rPr>
          <w:rFonts w:cs="Times New Roman"/>
          <w:noProof/>
          <w:szCs w:val="24"/>
        </w:rPr>
        <w:t>030,0</w:t>
      </w:r>
      <w:r w:rsidR="00FB4F3A">
        <w:rPr>
          <w:rFonts w:cs="Times New Roman"/>
          <w:noProof/>
          <w:szCs w:val="24"/>
        </w:rPr>
        <w:t> </w:t>
      </w:r>
      <w:r w:rsidRPr="00FB4F3A">
        <w:rPr>
          <w:rFonts w:cs="Times New Roman"/>
          <w:noProof/>
          <w:szCs w:val="24"/>
        </w:rPr>
        <w:t xml:space="preserve">milj. </w:t>
      </w:r>
      <w:r w:rsidRPr="00FB4F3A">
        <w:rPr>
          <w:rFonts w:cs="Times New Roman"/>
          <w:i/>
          <w:noProof/>
          <w:szCs w:val="24"/>
        </w:rPr>
        <w:t>euro</w:t>
      </w:r>
      <w:r w:rsidRPr="00FB4F3A">
        <w:rPr>
          <w:rFonts w:cs="Times New Roman"/>
          <w:noProof/>
          <w:szCs w:val="24"/>
        </w:rPr>
        <w:t xml:space="preserve"> apmērā 2023. gadam un 513,5 milj. </w:t>
      </w:r>
      <w:r w:rsidRPr="00FB4F3A">
        <w:rPr>
          <w:rFonts w:cs="Times New Roman"/>
          <w:i/>
          <w:noProof/>
          <w:szCs w:val="24"/>
        </w:rPr>
        <w:t>euro</w:t>
      </w:r>
      <w:r w:rsidRPr="00FB4F3A">
        <w:rPr>
          <w:rFonts w:cs="Times New Roman"/>
          <w:noProof/>
          <w:szCs w:val="24"/>
        </w:rPr>
        <w:t xml:space="preserve"> apmērā 2024. gadam. Savukārt 2025.</w:t>
      </w:r>
      <w:r w:rsidR="00FB4F3A">
        <w:rPr>
          <w:rFonts w:cs="Times New Roman"/>
          <w:noProof/>
          <w:szCs w:val="24"/>
        </w:rPr>
        <w:t> </w:t>
      </w:r>
      <w:r w:rsidRPr="00FB4F3A">
        <w:rPr>
          <w:rFonts w:cs="Times New Roman"/>
          <w:noProof/>
          <w:szCs w:val="24"/>
        </w:rPr>
        <w:t>gadam izdevumi noteikti 9</w:t>
      </w:r>
      <w:r w:rsidR="00FB4F3A">
        <w:rPr>
          <w:rFonts w:cs="Times New Roman"/>
          <w:noProof/>
          <w:szCs w:val="24"/>
        </w:rPr>
        <w:t> </w:t>
      </w:r>
      <w:r w:rsidRPr="00FB4F3A">
        <w:rPr>
          <w:rFonts w:cs="Times New Roman"/>
          <w:noProof/>
          <w:szCs w:val="24"/>
        </w:rPr>
        <w:t xml:space="preserve">265,5 milj. </w:t>
      </w:r>
      <w:r w:rsidRPr="00FB4F3A">
        <w:rPr>
          <w:rFonts w:cs="Times New Roman"/>
          <w:i/>
          <w:noProof/>
          <w:szCs w:val="24"/>
        </w:rPr>
        <w:t>euro</w:t>
      </w:r>
      <w:r w:rsidRPr="00FB4F3A">
        <w:rPr>
          <w:rFonts w:cs="Times New Roman"/>
          <w:noProof/>
          <w:szCs w:val="24"/>
        </w:rPr>
        <w:t xml:space="preserve"> apmērā, kas salīdzinājumā ar ietvaru 2024. gadam palielināti 471,6 milj. </w:t>
      </w:r>
      <w:r w:rsidRPr="00FB4F3A">
        <w:rPr>
          <w:rFonts w:cs="Times New Roman"/>
          <w:i/>
          <w:noProof/>
          <w:szCs w:val="24"/>
        </w:rPr>
        <w:t>euro</w:t>
      </w:r>
      <w:r w:rsidRPr="00FB4F3A">
        <w:rPr>
          <w:rFonts w:cs="Times New Roman"/>
          <w:noProof/>
          <w:szCs w:val="24"/>
        </w:rPr>
        <w:t xml:space="preserve"> apmērā. </w:t>
      </w:r>
    </w:p>
    <w:p w14:paraId="11BCD2BF" w14:textId="097E03E9" w:rsidR="008E7DDE" w:rsidRPr="00FB4F3A" w:rsidRDefault="008E7DDE" w:rsidP="009C1108">
      <w:pPr>
        <w:rPr>
          <w:rFonts w:cs="Times New Roman"/>
          <w:noProof/>
          <w:szCs w:val="24"/>
        </w:rPr>
      </w:pPr>
      <w:r w:rsidRPr="00FB4F3A">
        <w:rPr>
          <w:rFonts w:cs="Times New Roman"/>
          <w:noProof/>
          <w:szCs w:val="24"/>
          <w:lang w:eastAsia="lv-LV"/>
        </w:rPr>
        <w:t xml:space="preserve">Aktualizētie valsts pamatbudžeta bāzes izdevumi </w:t>
      </w:r>
      <w:r w:rsidRPr="00FB4F3A">
        <w:rPr>
          <w:rFonts w:cs="Times New Roman"/>
          <w:noProof/>
          <w:szCs w:val="24"/>
        </w:rPr>
        <w:t xml:space="preserve">2023. gadam aprēķināti 9 980,3 milj. </w:t>
      </w:r>
      <w:r w:rsidRPr="00FB4F3A">
        <w:rPr>
          <w:rFonts w:cs="Times New Roman"/>
          <w:i/>
          <w:noProof/>
          <w:szCs w:val="24"/>
        </w:rPr>
        <w:t>euro</w:t>
      </w:r>
      <w:r w:rsidRPr="00FB4F3A">
        <w:rPr>
          <w:rFonts w:cs="Times New Roman"/>
          <w:noProof/>
          <w:szCs w:val="24"/>
        </w:rPr>
        <w:t xml:space="preserve"> apmērā, 2024. gadam 9 471,7 milj. </w:t>
      </w:r>
      <w:r w:rsidRPr="00FB4F3A">
        <w:rPr>
          <w:rFonts w:cs="Times New Roman"/>
          <w:i/>
          <w:noProof/>
          <w:szCs w:val="24"/>
        </w:rPr>
        <w:t>euro</w:t>
      </w:r>
      <w:r w:rsidRPr="00FB4F3A">
        <w:rPr>
          <w:rFonts w:cs="Times New Roman"/>
          <w:noProof/>
          <w:szCs w:val="24"/>
        </w:rPr>
        <w:t xml:space="preserve"> apmērā un 2025. gadam 9 437,6 milj. </w:t>
      </w:r>
      <w:r w:rsidRPr="00FB4F3A">
        <w:rPr>
          <w:rFonts w:cs="Times New Roman"/>
          <w:i/>
          <w:noProof/>
          <w:szCs w:val="24"/>
        </w:rPr>
        <w:t>euro</w:t>
      </w:r>
      <w:r w:rsidRPr="00FB4F3A">
        <w:rPr>
          <w:rFonts w:cs="Times New Roman"/>
          <w:noProof/>
          <w:szCs w:val="24"/>
        </w:rPr>
        <w:t xml:space="preserve"> apmērā. Attiecīgi </w:t>
      </w:r>
      <w:r w:rsidRPr="00FB4F3A">
        <w:rPr>
          <w:rFonts w:cs="Times New Roman"/>
          <w:noProof/>
          <w:szCs w:val="24"/>
          <w:lang w:eastAsia="lv-LV"/>
        </w:rPr>
        <w:t>aktualizētie valsts pamatbudžeta bāzes izdevumi 2023., 2024. un 2025.</w:t>
      </w:r>
      <w:r w:rsidR="00FB4F3A">
        <w:rPr>
          <w:rFonts w:cs="Times New Roman"/>
          <w:noProof/>
          <w:szCs w:val="24"/>
          <w:lang w:eastAsia="lv-LV"/>
        </w:rPr>
        <w:t> </w:t>
      </w:r>
      <w:r w:rsidRPr="00FB4F3A">
        <w:rPr>
          <w:rFonts w:cs="Times New Roman"/>
          <w:noProof/>
          <w:szCs w:val="24"/>
          <w:lang w:eastAsia="lv-LV"/>
        </w:rPr>
        <w:t>gadam, salīdzinot ar 2022. gada 11. oktobrī apstiprinātajiem palielinājušies</w:t>
      </w:r>
      <w:r w:rsidRPr="00FB4F3A">
        <w:rPr>
          <w:rFonts w:cs="Times New Roman"/>
          <w:noProof/>
          <w:szCs w:val="24"/>
        </w:rPr>
        <w:t xml:space="preserve"> 2023. gadam par 162,1 milj. </w:t>
      </w:r>
      <w:r w:rsidRPr="00FB4F3A">
        <w:rPr>
          <w:rFonts w:cs="Times New Roman"/>
          <w:i/>
          <w:noProof/>
          <w:szCs w:val="24"/>
        </w:rPr>
        <w:t>euro</w:t>
      </w:r>
      <w:r w:rsidRPr="00FB4F3A">
        <w:rPr>
          <w:rFonts w:cs="Times New Roman"/>
          <w:noProof/>
          <w:szCs w:val="24"/>
        </w:rPr>
        <w:t xml:space="preserve">, 2024. gadam par 164,3 milj. </w:t>
      </w:r>
      <w:r w:rsidRPr="00FB4F3A">
        <w:rPr>
          <w:rFonts w:cs="Times New Roman"/>
          <w:i/>
          <w:noProof/>
          <w:szCs w:val="24"/>
        </w:rPr>
        <w:t>euro</w:t>
      </w:r>
      <w:r w:rsidRPr="00FB4F3A">
        <w:rPr>
          <w:rFonts w:cs="Times New Roman"/>
          <w:noProof/>
          <w:szCs w:val="24"/>
        </w:rPr>
        <w:t xml:space="preserve"> un 2025. gadam par 172,1 milj. </w:t>
      </w:r>
      <w:r w:rsidRPr="00FB4F3A">
        <w:rPr>
          <w:rFonts w:cs="Times New Roman"/>
          <w:i/>
          <w:noProof/>
          <w:szCs w:val="24"/>
        </w:rPr>
        <w:t>euro</w:t>
      </w:r>
      <w:r w:rsidRPr="00FB4F3A">
        <w:rPr>
          <w:rFonts w:cs="Times New Roman"/>
          <w:noProof/>
          <w:szCs w:val="24"/>
        </w:rPr>
        <w:t xml:space="preserve"> </w:t>
      </w:r>
      <w:r w:rsidRPr="00FB4F3A">
        <w:rPr>
          <w:noProof/>
          <w:szCs w:val="24"/>
        </w:rPr>
        <w:t xml:space="preserve">(sk. </w:t>
      </w:r>
      <w:r w:rsidR="00FB4F3A">
        <w:rPr>
          <w:noProof/>
          <w:szCs w:val="24"/>
        </w:rPr>
        <w:t>20. </w:t>
      </w:r>
      <w:r w:rsidRPr="00FB4F3A">
        <w:rPr>
          <w:noProof/>
          <w:szCs w:val="24"/>
        </w:rPr>
        <w:t>attēlu)</w:t>
      </w:r>
      <w:r w:rsidRPr="00FB4F3A">
        <w:rPr>
          <w:rFonts w:cs="Times New Roman"/>
          <w:noProof/>
          <w:szCs w:val="24"/>
        </w:rPr>
        <w:t>.</w:t>
      </w:r>
    </w:p>
    <w:p w14:paraId="13ED94A0" w14:textId="77777777" w:rsidR="008E7DDE" w:rsidRDefault="008E7DDE" w:rsidP="008E7DDE">
      <w:pPr>
        <w:rPr>
          <w:rFonts w:cs="Times New Roman"/>
          <w:szCs w:val="28"/>
        </w:rPr>
      </w:pPr>
    </w:p>
    <w:p w14:paraId="1C6B6A2F" w14:textId="77777777" w:rsidR="008E7DDE" w:rsidRDefault="008E7DDE" w:rsidP="008E7DDE">
      <w:pPr>
        <w:ind w:firstLine="0"/>
        <w:jc w:val="center"/>
        <w:rPr>
          <w:rFonts w:cs="Times New Roman"/>
          <w:szCs w:val="24"/>
        </w:rPr>
      </w:pPr>
    </w:p>
    <w:p w14:paraId="17BA7D9D" w14:textId="77777777" w:rsidR="008E7DDE" w:rsidRDefault="008E7DDE" w:rsidP="008E7DDE">
      <w:pPr>
        <w:ind w:firstLine="0"/>
        <w:rPr>
          <w:rFonts w:cs="Times New Roman"/>
          <w:szCs w:val="24"/>
        </w:rPr>
      </w:pPr>
    </w:p>
    <w:p w14:paraId="6871BF88" w14:textId="77777777" w:rsidR="008E7DDE" w:rsidRDefault="008E7DDE" w:rsidP="008E7DDE">
      <w:pPr>
        <w:ind w:firstLine="0"/>
        <w:jc w:val="center"/>
        <w:rPr>
          <w:rFonts w:cs="Times New Roman"/>
          <w:szCs w:val="24"/>
        </w:rPr>
      </w:pPr>
    </w:p>
    <w:p w14:paraId="656158D6" w14:textId="590903F4" w:rsidR="008E7DDE" w:rsidRDefault="008E7DDE" w:rsidP="008E7DDE">
      <w:pPr>
        <w:ind w:firstLine="0"/>
        <w:jc w:val="center"/>
        <w:rPr>
          <w:rFonts w:cs="Times New Roman"/>
          <w:szCs w:val="28"/>
        </w:rPr>
      </w:pPr>
      <w:r>
        <w:rPr>
          <w:noProof/>
          <w:lang w:eastAsia="lv-LV"/>
        </w:rPr>
        <w:lastRenderedPageBreak/>
        <mc:AlternateContent>
          <mc:Choice Requires="wps">
            <w:drawing>
              <wp:anchor distT="0" distB="0" distL="114300" distR="114300" simplePos="0" relativeHeight="251664384" behindDoc="0" locked="0" layoutInCell="1" allowOverlap="1" wp14:anchorId="3B482368" wp14:editId="59831490">
                <wp:simplePos x="0" y="0"/>
                <wp:positionH relativeFrom="column">
                  <wp:posOffset>4816475</wp:posOffset>
                </wp:positionH>
                <wp:positionV relativeFrom="paragraph">
                  <wp:posOffset>1089660</wp:posOffset>
                </wp:positionV>
                <wp:extent cx="134305" cy="586420"/>
                <wp:effectExtent l="2540" t="73660" r="20955" b="20955"/>
                <wp:wrapNone/>
                <wp:docPr id="2" name="Left Brace 2"/>
                <wp:cNvGraphicFramePr/>
                <a:graphic xmlns:a="http://schemas.openxmlformats.org/drawingml/2006/main">
                  <a:graphicData uri="http://schemas.microsoft.com/office/word/2010/wordprocessingShape">
                    <wps:wsp>
                      <wps:cNvSpPr/>
                      <wps:spPr>
                        <a:xfrm rot="16200000" flipH="1">
                          <a:off x="0" y="0"/>
                          <a:ext cx="134305" cy="586420"/>
                        </a:xfrm>
                        <a:prstGeom prst="leftBrace">
                          <a:avLst/>
                        </a:prstGeom>
                        <a:noFill/>
                        <a:ln>
                          <a:solidFill>
                            <a:srgbClr val="00B05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2FE6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 o:spid="_x0000_s1026" type="#_x0000_t87" style="position:absolute;margin-left:379.25pt;margin-top:85.8pt;width:10.6pt;height:46.15pt;rotation:9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" adj="412" strokecolor="#00b050" strokeweight=".5pt">
                <v:stroke joinstyle="miter"/>
              </v:shape>
            </w:pict>
          </mc:Fallback>
        </mc:AlternateContent>
      </w:r>
      <w:r>
        <w:rPr>
          <w:noProof/>
          <w:lang w:eastAsia="lv-LV"/>
        </w:rPr>
        <mc:AlternateContent>
          <mc:Choice Requires="wps">
            <w:drawing>
              <wp:anchor distT="0" distB="0" distL="114300" distR="114300" simplePos="0" relativeHeight="251663360" behindDoc="0" locked="0" layoutInCell="1" allowOverlap="1" wp14:anchorId="14B8B29B" wp14:editId="0CA89311">
                <wp:simplePos x="0" y="0"/>
                <wp:positionH relativeFrom="column">
                  <wp:posOffset>1616709</wp:posOffset>
                </wp:positionH>
                <wp:positionV relativeFrom="paragraph">
                  <wp:posOffset>808990</wp:posOffset>
                </wp:positionV>
                <wp:extent cx="134305" cy="586420"/>
                <wp:effectExtent l="2540" t="73660" r="20955" b="20955"/>
                <wp:wrapNone/>
                <wp:docPr id="21" name="Left Brace 21"/>
                <wp:cNvGraphicFramePr/>
                <a:graphic xmlns:a="http://schemas.openxmlformats.org/drawingml/2006/main">
                  <a:graphicData uri="http://schemas.microsoft.com/office/word/2010/wordprocessingShape">
                    <wps:wsp>
                      <wps:cNvSpPr/>
                      <wps:spPr>
                        <a:xfrm rot="16200000" flipH="1">
                          <a:off x="0" y="0"/>
                          <a:ext cx="134305" cy="586420"/>
                        </a:xfrm>
                        <a:prstGeom prst="leftBrace">
                          <a:avLst/>
                        </a:prstGeom>
                        <a:noFill/>
                        <a:ln>
                          <a:solidFill>
                            <a:srgbClr val="00B05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41C95" id="Left Brace 21" o:spid="_x0000_s1026" type="#_x0000_t87" style="position:absolute;margin-left:127.3pt;margin-top:63.7pt;width:10.6pt;height:46.15pt;rotation:9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" adj="412" strokecolor="#00b050" strokeweight=".5pt">
                <v:stroke joinstyle="miter"/>
              </v:shape>
            </w:pict>
          </mc:Fallback>
        </mc:AlternateContent>
      </w:r>
      <w:r>
        <w:rPr>
          <w:noProof/>
          <w:lang w:eastAsia="lv-LV"/>
        </w:rPr>
        <w:drawing>
          <wp:inline distT="0" distB="0" distL="0" distR="0" wp14:anchorId="3A1EB3D7" wp14:editId="67544821">
            <wp:extent cx="5410201" cy="3095625"/>
            <wp:effectExtent l="0" t="0" r="0" b="0"/>
            <wp:docPr id="26" name="Chart 26">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224F606" w14:textId="75AFB33C" w:rsidR="003C74AA" w:rsidRPr="003C74AA" w:rsidRDefault="003C74AA" w:rsidP="003C74AA">
      <w:pPr>
        <w:ind w:firstLine="0"/>
        <w:jc w:val="center"/>
        <w:rPr>
          <w:rFonts w:cs="Times New Roman"/>
          <w:b/>
          <w:bCs/>
          <w:i/>
          <w:szCs w:val="24"/>
        </w:rPr>
      </w:pPr>
      <w:r w:rsidRPr="003C74AA">
        <w:rPr>
          <w:rFonts w:cs="Times New Roman"/>
          <w:b/>
          <w:bCs/>
          <w:szCs w:val="24"/>
        </w:rPr>
        <w:t>20.</w:t>
      </w:r>
      <w:r w:rsidR="007E0098">
        <w:rPr>
          <w:rFonts w:cs="Times New Roman"/>
          <w:b/>
          <w:bCs/>
          <w:szCs w:val="24"/>
        </w:rPr>
        <w:t> </w:t>
      </w:r>
      <w:r w:rsidRPr="003C74AA">
        <w:rPr>
          <w:rFonts w:cs="Times New Roman"/>
          <w:b/>
          <w:bCs/>
          <w:szCs w:val="24"/>
        </w:rPr>
        <w:t>attēls. Valsts pamatbudžeta bāzes izdevumi</w:t>
      </w:r>
      <w:r w:rsidR="007E0098">
        <w:rPr>
          <w:rFonts w:cs="Times New Roman"/>
          <w:b/>
          <w:bCs/>
          <w:szCs w:val="24"/>
        </w:rPr>
        <w:t xml:space="preserve"> </w:t>
      </w:r>
      <w:r w:rsidRPr="003C74AA">
        <w:rPr>
          <w:rFonts w:cs="Times New Roman"/>
          <w:b/>
          <w:bCs/>
          <w:szCs w:val="24"/>
        </w:rPr>
        <w:t xml:space="preserve">2023., 2024. un 2025. gadam, </w:t>
      </w:r>
      <w:r w:rsidRPr="003C74AA">
        <w:rPr>
          <w:rFonts w:cs="Times New Roman"/>
          <w:b/>
          <w:bCs/>
          <w:noProof/>
          <w:szCs w:val="24"/>
        </w:rPr>
        <w:t xml:space="preserve">milj. </w:t>
      </w:r>
      <w:r w:rsidRPr="003C74AA">
        <w:rPr>
          <w:rFonts w:cs="Times New Roman"/>
          <w:b/>
          <w:bCs/>
          <w:i/>
          <w:noProof/>
          <w:szCs w:val="24"/>
        </w:rPr>
        <w:t>euro</w:t>
      </w:r>
    </w:p>
    <w:p w14:paraId="6299F111" w14:textId="5A219DF7" w:rsidR="008E7DDE" w:rsidRPr="009C54E6" w:rsidRDefault="008E7DDE" w:rsidP="003C74AA">
      <w:pPr>
        <w:rPr>
          <w:rFonts w:cs="Times New Roman"/>
          <w:noProof/>
          <w:szCs w:val="24"/>
        </w:rPr>
      </w:pPr>
      <w:r w:rsidRPr="009C54E6">
        <w:rPr>
          <w:rFonts w:cs="Times New Roman"/>
          <w:b/>
          <w:noProof/>
          <w:szCs w:val="24"/>
        </w:rPr>
        <w:t>Izdevumi valsts pamatfunkciju īstenošanai</w:t>
      </w:r>
      <w:r w:rsidRPr="009C54E6">
        <w:rPr>
          <w:rFonts w:cs="Times New Roman"/>
          <w:noProof/>
          <w:szCs w:val="24"/>
        </w:rPr>
        <w:t xml:space="preserve"> 2023. gadam paredzēti 7</w:t>
      </w:r>
      <w:r>
        <w:rPr>
          <w:noProof/>
          <w:szCs w:val="24"/>
        </w:rPr>
        <w:t> 897,7</w:t>
      </w:r>
      <w:r w:rsidRPr="009C54E6">
        <w:rPr>
          <w:rFonts w:cs="Times New Roman"/>
          <w:noProof/>
          <w:szCs w:val="24"/>
        </w:rPr>
        <w:t xml:space="preserve"> milj. </w:t>
      </w:r>
      <w:r w:rsidRPr="009C54E6">
        <w:rPr>
          <w:rFonts w:cs="Times New Roman"/>
          <w:i/>
          <w:noProof/>
          <w:szCs w:val="24"/>
        </w:rPr>
        <w:t>euro</w:t>
      </w:r>
      <w:r>
        <w:rPr>
          <w:rFonts w:cs="Times New Roman"/>
          <w:noProof/>
          <w:szCs w:val="24"/>
        </w:rPr>
        <w:t xml:space="preserve"> apmērā, 2024. gadam 7 331,7</w:t>
      </w:r>
      <w:r w:rsidRPr="009C54E6">
        <w:rPr>
          <w:rFonts w:cs="Times New Roman"/>
          <w:noProof/>
          <w:szCs w:val="24"/>
        </w:rPr>
        <w:t xml:space="preserve"> milj. </w:t>
      </w:r>
      <w:r w:rsidRPr="009C54E6">
        <w:rPr>
          <w:rFonts w:cs="Times New Roman"/>
          <w:i/>
          <w:noProof/>
          <w:szCs w:val="24"/>
        </w:rPr>
        <w:t>euro</w:t>
      </w:r>
      <w:r>
        <w:rPr>
          <w:rFonts w:cs="Times New Roman"/>
          <w:noProof/>
          <w:szCs w:val="24"/>
        </w:rPr>
        <w:t xml:space="preserve"> apmērā un 2025. gadam 7 347,5</w:t>
      </w:r>
      <w:r w:rsidRPr="009C54E6">
        <w:rPr>
          <w:rFonts w:cs="Times New Roman"/>
          <w:noProof/>
          <w:szCs w:val="24"/>
        </w:rPr>
        <w:t xml:space="preserve"> milj. </w:t>
      </w:r>
      <w:r w:rsidRPr="009C54E6">
        <w:rPr>
          <w:rFonts w:cs="Times New Roman"/>
          <w:i/>
          <w:noProof/>
          <w:szCs w:val="24"/>
        </w:rPr>
        <w:t>euro</w:t>
      </w:r>
      <w:r w:rsidRPr="009C54E6">
        <w:rPr>
          <w:rFonts w:cs="Times New Roman"/>
          <w:noProof/>
          <w:szCs w:val="24"/>
        </w:rPr>
        <w:t xml:space="preserve"> apmērā, kas salīdzinājumā ar 2022. gada 11. oktobrī </w:t>
      </w:r>
      <w:r w:rsidRPr="009C54E6">
        <w:rPr>
          <w:rFonts w:cs="Times New Roman"/>
          <w:noProof/>
          <w:szCs w:val="24"/>
          <w:lang w:eastAsia="lv-LV"/>
        </w:rPr>
        <w:t>apstiprinātajiem va</w:t>
      </w:r>
      <w:r w:rsidRPr="009C54E6">
        <w:rPr>
          <w:rFonts w:cs="Times New Roman"/>
          <w:noProof/>
          <w:szCs w:val="24"/>
        </w:rPr>
        <w:t>lsts pamatbudžeta bāzes izdevumiem pamatfunkciju īstenošanai 2023., 2024. un 2025. gadam ir</w:t>
      </w:r>
      <w:r w:rsidRPr="009C54E6">
        <w:rPr>
          <w:rFonts w:cs="Times New Roman"/>
          <w:noProof/>
          <w:szCs w:val="24"/>
          <w:lang w:eastAsia="lv-LV"/>
        </w:rPr>
        <w:t xml:space="preserve"> palielinājušies</w:t>
      </w:r>
      <w:r>
        <w:rPr>
          <w:rFonts w:cs="Times New Roman"/>
          <w:noProof/>
          <w:szCs w:val="24"/>
        </w:rPr>
        <w:t xml:space="preserve"> par 146,0</w:t>
      </w:r>
      <w:r w:rsidRPr="009C54E6">
        <w:rPr>
          <w:rFonts w:cs="Times New Roman"/>
          <w:noProof/>
          <w:szCs w:val="24"/>
        </w:rPr>
        <w:t xml:space="preserve"> milj. </w:t>
      </w:r>
      <w:r w:rsidRPr="009C54E6">
        <w:rPr>
          <w:rFonts w:cs="Times New Roman"/>
          <w:i/>
          <w:noProof/>
          <w:szCs w:val="24"/>
        </w:rPr>
        <w:t xml:space="preserve">euro </w:t>
      </w:r>
      <w:r>
        <w:rPr>
          <w:rFonts w:cs="Times New Roman"/>
          <w:noProof/>
          <w:szCs w:val="24"/>
        </w:rPr>
        <w:t>2023. gadam, par 147,8</w:t>
      </w:r>
      <w:r w:rsidRPr="009C54E6">
        <w:rPr>
          <w:rFonts w:cs="Times New Roman"/>
          <w:noProof/>
          <w:szCs w:val="24"/>
        </w:rPr>
        <w:t xml:space="preserve"> milj. </w:t>
      </w:r>
      <w:r w:rsidRPr="009C54E6">
        <w:rPr>
          <w:rFonts w:cs="Times New Roman"/>
          <w:i/>
          <w:noProof/>
          <w:szCs w:val="24"/>
        </w:rPr>
        <w:t>euro</w:t>
      </w:r>
      <w:r w:rsidRPr="009C54E6">
        <w:rPr>
          <w:rFonts w:cs="Times New Roman"/>
          <w:noProof/>
          <w:szCs w:val="24"/>
        </w:rPr>
        <w:t xml:space="preserve"> 2024</w:t>
      </w:r>
      <w:r>
        <w:rPr>
          <w:rFonts w:cs="Times New Roman"/>
          <w:noProof/>
          <w:szCs w:val="24"/>
        </w:rPr>
        <w:t>. gadam un palielinājušies 170,6</w:t>
      </w:r>
      <w:r w:rsidRPr="009C54E6">
        <w:rPr>
          <w:rFonts w:cs="Times New Roman"/>
          <w:noProof/>
          <w:szCs w:val="24"/>
        </w:rPr>
        <w:t xml:space="preserve"> milj. </w:t>
      </w:r>
      <w:r w:rsidRPr="009C54E6">
        <w:rPr>
          <w:rFonts w:cs="Times New Roman"/>
          <w:i/>
          <w:noProof/>
          <w:szCs w:val="24"/>
        </w:rPr>
        <w:t>euro</w:t>
      </w:r>
      <w:r w:rsidRPr="009C54E6">
        <w:rPr>
          <w:rFonts w:cs="Times New Roman"/>
          <w:noProof/>
          <w:szCs w:val="24"/>
        </w:rPr>
        <w:t xml:space="preserve"> apmērā 2025 .gadam (sk</w:t>
      </w:r>
      <w:r w:rsidRPr="003C74AA">
        <w:rPr>
          <w:rFonts w:cs="Times New Roman"/>
          <w:noProof/>
          <w:szCs w:val="24"/>
        </w:rPr>
        <w:t xml:space="preserve">. </w:t>
      </w:r>
      <w:r w:rsidR="007E0098">
        <w:rPr>
          <w:rFonts w:cs="Times New Roman"/>
          <w:noProof/>
          <w:szCs w:val="24"/>
        </w:rPr>
        <w:t>21. </w:t>
      </w:r>
      <w:r w:rsidRPr="003C74AA">
        <w:rPr>
          <w:rFonts w:cs="Times New Roman"/>
          <w:noProof/>
          <w:szCs w:val="24"/>
        </w:rPr>
        <w:t>attēlu).</w:t>
      </w:r>
    </w:p>
    <w:p w14:paraId="1C5AB22F" w14:textId="77777777" w:rsidR="008E7DDE" w:rsidRPr="0004701C" w:rsidRDefault="008E7DDE" w:rsidP="008E7DDE">
      <w:pPr>
        <w:ind w:firstLine="0"/>
        <w:jc w:val="center"/>
        <w:rPr>
          <w:rFonts w:cs="Times New Roman"/>
          <w:szCs w:val="28"/>
        </w:rPr>
      </w:pPr>
      <w:r>
        <w:rPr>
          <w:noProof/>
          <w:lang w:eastAsia="lv-LV"/>
        </w:rPr>
        <w:drawing>
          <wp:inline distT="0" distB="0" distL="0" distR="0" wp14:anchorId="02F07DC1" wp14:editId="1FAB0F0D">
            <wp:extent cx="5414434" cy="3095625"/>
            <wp:effectExtent l="0" t="0" r="0" b="0"/>
            <wp:docPr id="27" name="Chart 27">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B32E1C" w14:textId="57E5293B" w:rsidR="003C74AA" w:rsidRPr="003C74AA" w:rsidRDefault="003C74AA" w:rsidP="007E0098">
      <w:pPr>
        <w:jc w:val="center"/>
        <w:rPr>
          <w:rFonts w:cs="Times New Roman"/>
          <w:b/>
          <w:bCs/>
          <w:szCs w:val="24"/>
        </w:rPr>
      </w:pPr>
      <w:r w:rsidRPr="003C74AA">
        <w:rPr>
          <w:rFonts w:cs="Times New Roman"/>
          <w:b/>
          <w:bCs/>
          <w:szCs w:val="24"/>
        </w:rPr>
        <w:t>21.</w:t>
      </w:r>
      <w:r w:rsidR="007E0098">
        <w:rPr>
          <w:rFonts w:cs="Times New Roman"/>
          <w:b/>
          <w:bCs/>
          <w:szCs w:val="24"/>
        </w:rPr>
        <w:t> </w:t>
      </w:r>
      <w:r w:rsidRPr="003C74AA">
        <w:rPr>
          <w:rFonts w:cs="Times New Roman"/>
          <w:b/>
          <w:bCs/>
          <w:szCs w:val="24"/>
        </w:rPr>
        <w:t>attēls. Izdevumi valsts pamatfunkciju īstenošanai</w:t>
      </w:r>
      <w:r w:rsidR="007E0098">
        <w:rPr>
          <w:rFonts w:cs="Times New Roman"/>
          <w:b/>
          <w:bCs/>
          <w:szCs w:val="24"/>
        </w:rPr>
        <w:t xml:space="preserve"> </w:t>
      </w:r>
      <w:r w:rsidRPr="003C74AA">
        <w:rPr>
          <w:rFonts w:cs="Times New Roman"/>
          <w:b/>
          <w:bCs/>
          <w:szCs w:val="24"/>
        </w:rPr>
        <w:t xml:space="preserve">2023., 2024. un 2025. gadam, </w:t>
      </w:r>
      <w:r w:rsidRPr="003C74AA">
        <w:rPr>
          <w:rFonts w:cs="Times New Roman"/>
          <w:b/>
          <w:bCs/>
          <w:noProof/>
          <w:szCs w:val="24"/>
        </w:rPr>
        <w:t xml:space="preserve">milj. </w:t>
      </w:r>
      <w:r w:rsidRPr="003C74AA">
        <w:rPr>
          <w:rFonts w:cs="Times New Roman"/>
          <w:b/>
          <w:bCs/>
          <w:i/>
          <w:noProof/>
          <w:szCs w:val="24"/>
        </w:rPr>
        <w:t>euro</w:t>
      </w:r>
    </w:p>
    <w:p w14:paraId="5E727A02" w14:textId="5DFE8398" w:rsidR="008E7DDE" w:rsidRPr="007E0098" w:rsidRDefault="008E7DDE" w:rsidP="008E7DDE">
      <w:pPr>
        <w:rPr>
          <w:rFonts w:cs="Times New Roman"/>
          <w:noProof/>
          <w:szCs w:val="24"/>
        </w:rPr>
      </w:pPr>
      <w:r w:rsidRPr="007E0098">
        <w:rPr>
          <w:rFonts w:cs="Times New Roman"/>
          <w:noProof/>
          <w:szCs w:val="24"/>
        </w:rPr>
        <w:t xml:space="preserve">Lielākās izmaiņas izdevumiem valsts pamatfunkciju īstenošanai, </w:t>
      </w:r>
      <w:r w:rsidRPr="007E0098">
        <w:rPr>
          <w:rFonts w:cs="Times New Roman"/>
          <w:noProof/>
          <w:szCs w:val="24"/>
          <w:lang w:eastAsia="lv-LV"/>
        </w:rPr>
        <w:t>salīdzinot ar 2022.</w:t>
      </w:r>
      <w:r w:rsidR="007E0098">
        <w:rPr>
          <w:rFonts w:cs="Times New Roman"/>
          <w:noProof/>
          <w:szCs w:val="24"/>
          <w:lang w:eastAsia="lv-LV"/>
        </w:rPr>
        <w:t> </w:t>
      </w:r>
      <w:r w:rsidRPr="007E0098">
        <w:rPr>
          <w:rFonts w:cs="Times New Roman"/>
          <w:noProof/>
          <w:szCs w:val="24"/>
          <w:lang w:eastAsia="lv-LV"/>
        </w:rPr>
        <w:t>gada 11. oktobrī apstiprinātajiem</w:t>
      </w:r>
      <w:r w:rsidRPr="007E0098">
        <w:rPr>
          <w:rFonts w:cs="Times New Roman"/>
          <w:noProof/>
          <w:szCs w:val="24"/>
        </w:rPr>
        <w:t xml:space="preserve"> izdevumiem, veido: </w:t>
      </w:r>
    </w:p>
    <w:p w14:paraId="238AB48B" w14:textId="34130ADC" w:rsidR="003C74AA" w:rsidRPr="009C1108" w:rsidRDefault="008E7DDE" w:rsidP="00C7426B">
      <w:pPr>
        <w:pStyle w:val="ListParagraph"/>
        <w:numPr>
          <w:ilvl w:val="0"/>
          <w:numId w:val="6"/>
        </w:numPr>
        <w:tabs>
          <w:tab w:val="left" w:pos="1134"/>
        </w:tabs>
        <w:spacing w:before="0"/>
        <w:contextualSpacing w:val="0"/>
      </w:pPr>
      <w:r w:rsidRPr="007E0098">
        <w:rPr>
          <w:noProof/>
        </w:rPr>
        <w:t xml:space="preserve">palielināti izdevumi, nodrošinot pakāpenisku Aizsardzības ministrijas budžeta izdevumu apjoma palielinājumu līdz 2,5% no IKP 2025. gadā (2,25% no IKP </w:t>
      </w:r>
      <w:r w:rsidRPr="007E0098">
        <w:rPr>
          <w:noProof/>
        </w:rPr>
        <w:lastRenderedPageBreak/>
        <w:t>2023.</w:t>
      </w:r>
      <w:r w:rsidR="007E0098">
        <w:rPr>
          <w:noProof/>
        </w:rPr>
        <w:t> </w:t>
      </w:r>
      <w:r w:rsidRPr="007E0098">
        <w:rPr>
          <w:noProof/>
        </w:rPr>
        <w:t>gadā, 2,4% no IKP 2024. gadā un 2,5% no IKP 2025. gadā), ņemot</w:t>
      </w:r>
      <w:r w:rsidRPr="009C1108">
        <w:t xml:space="preserve"> vērā aktualizētās IKP prognozes;</w:t>
      </w:r>
    </w:p>
    <w:p w14:paraId="0BC5B424" w14:textId="273A55DB" w:rsidR="00383816" w:rsidRPr="009C1108" w:rsidRDefault="008E7DDE" w:rsidP="00C7426B">
      <w:pPr>
        <w:pStyle w:val="ListParagraph"/>
        <w:numPr>
          <w:ilvl w:val="0"/>
          <w:numId w:val="6"/>
        </w:numPr>
        <w:tabs>
          <w:tab w:val="left" w:pos="1134"/>
        </w:tabs>
        <w:spacing w:before="0"/>
        <w:contextualSpacing w:val="0"/>
        <w:rPr>
          <w:noProof/>
        </w:rPr>
      </w:pPr>
      <w:r w:rsidRPr="009C1108">
        <w:rPr>
          <w:noProof/>
        </w:rPr>
        <w:t>veiktas izmaiņas atbilstoši Ministru kabineta 2022.</w:t>
      </w:r>
      <w:r w:rsidR="007E0098">
        <w:rPr>
          <w:noProof/>
        </w:rPr>
        <w:t> </w:t>
      </w:r>
      <w:r w:rsidRPr="009C1108">
        <w:rPr>
          <w:noProof/>
        </w:rPr>
        <w:t>gada 11.</w:t>
      </w:r>
      <w:r w:rsidR="007E0098">
        <w:rPr>
          <w:noProof/>
        </w:rPr>
        <w:t> </w:t>
      </w:r>
      <w:r w:rsidRPr="009C1108">
        <w:rPr>
          <w:noProof/>
        </w:rPr>
        <w:t xml:space="preserve">oktobra sēdes protokollēmumā (prot. Nr. 52 5.§) “Informatīvais ziņojums “Par valsts budžeta izdevumu pārskatīšanas rezultātiem un priekšlikumi par šo rezultātu izmantošanu likumprojekta “Par vidēja termiņa budžeta ietvaru 2023., 2024. un 2025. gadam un likumprojekta “Par valsts budžeta projektu 2023. gadam” izstrādes procesā””  atbalstītajiem valsts budžeta izdevumu pārskatīšanas rezultātiem; </w:t>
      </w:r>
    </w:p>
    <w:p w14:paraId="093AC00F" w14:textId="07BCD737" w:rsidR="00383816" w:rsidRPr="009C1108" w:rsidRDefault="008E7DDE" w:rsidP="00C7426B">
      <w:pPr>
        <w:pStyle w:val="ListParagraph"/>
        <w:numPr>
          <w:ilvl w:val="0"/>
          <w:numId w:val="6"/>
        </w:numPr>
        <w:tabs>
          <w:tab w:val="left" w:pos="1134"/>
        </w:tabs>
        <w:spacing w:before="0"/>
        <w:contextualSpacing w:val="0"/>
      </w:pPr>
      <w:r w:rsidRPr="009C1108">
        <w:t xml:space="preserve">palielināts finansējums Ekonomikas ministrijai naftas produktu rezervju uzturēšanai atbilstoši Ministru kabineta 2022. </w:t>
      </w:r>
      <w:r w:rsidRPr="009C1108">
        <w:rPr>
          <w:noProof/>
        </w:rPr>
        <w:t>gada 11. oktobra sēdes protokollēmuma (prot. Nr. 52 3. §) “Informatīvais ziņojums “Par valsts pamatbudžeta un valsts speciālā budžeta</w:t>
      </w:r>
      <w:r w:rsidRPr="009C1108">
        <w:t xml:space="preserve"> bāzi 2023., 2024. un 2025. gadam”” 3. punktam;</w:t>
      </w:r>
    </w:p>
    <w:p w14:paraId="75D03FF0" w14:textId="5E831DBF" w:rsidR="00383816" w:rsidRPr="009C1108" w:rsidRDefault="008E7DDE" w:rsidP="00C7426B">
      <w:pPr>
        <w:pStyle w:val="ListParagraph"/>
        <w:numPr>
          <w:ilvl w:val="0"/>
          <w:numId w:val="6"/>
        </w:numPr>
        <w:tabs>
          <w:tab w:val="left" w:pos="1134"/>
        </w:tabs>
        <w:spacing w:before="0"/>
        <w:contextualSpacing w:val="0"/>
      </w:pPr>
      <w:r w:rsidRPr="009C1108">
        <w:t xml:space="preserve">palielināts </w:t>
      </w:r>
      <w:r w:rsidRPr="009C1108">
        <w:rPr>
          <w:noProof/>
        </w:rPr>
        <w:t>finansējums Zemkopības ministrijai nekustamā īpašuma Lejupes ielā 3, Rīgā, un ar to saistītās infrastruktūras attīstībai atbilstoši Ministru kabineta 2022. gada 11.</w:t>
      </w:r>
      <w:r w:rsidR="0045554B">
        <w:rPr>
          <w:noProof/>
        </w:rPr>
        <w:t> </w:t>
      </w:r>
      <w:r w:rsidRPr="009C1108">
        <w:rPr>
          <w:noProof/>
        </w:rPr>
        <w:t>oktobra sēdes protokollēmumā (prot. Nr. 52 3. §) “Informatīvais ziņojums “Par valsts pamatbudžeta un valsts speciālā</w:t>
      </w:r>
      <w:r w:rsidRPr="009C1108">
        <w:t xml:space="preserve"> budžeta bāzi 2023., 2024. un 2025. gadam”” 4.</w:t>
      </w:r>
      <w:r w:rsidR="0045554B">
        <w:t> </w:t>
      </w:r>
      <w:r w:rsidRPr="009C1108">
        <w:t>punktam;</w:t>
      </w:r>
    </w:p>
    <w:p w14:paraId="22221C62" w14:textId="537F7E05" w:rsidR="00383816" w:rsidRPr="009C1108" w:rsidRDefault="008E7DDE" w:rsidP="00C7426B">
      <w:pPr>
        <w:pStyle w:val="ListParagraph"/>
        <w:numPr>
          <w:ilvl w:val="0"/>
          <w:numId w:val="6"/>
        </w:numPr>
        <w:tabs>
          <w:tab w:val="left" w:pos="1134"/>
        </w:tabs>
        <w:spacing w:before="0"/>
        <w:contextualSpacing w:val="0"/>
      </w:pPr>
      <w:r w:rsidRPr="009C1108">
        <w:t>veiktas izmaiņas finansējumā Satiksmes ministrijai jauno elektrovilcienu projekta īstenošanai saskaņā ar Ministru kabineta 2022. gada 26. oktobra rīkojumu Nr. 763 “Par Satiksmes ministrijas ilgtermiņa saistībām jauno elektrovilcienu projekta īstenošanai”;</w:t>
      </w:r>
    </w:p>
    <w:p w14:paraId="0E9D49D0" w14:textId="1DBF8DB8" w:rsidR="00383816" w:rsidRPr="009C1108" w:rsidRDefault="008E7DDE" w:rsidP="00C7426B">
      <w:pPr>
        <w:pStyle w:val="ListParagraph"/>
        <w:numPr>
          <w:ilvl w:val="0"/>
          <w:numId w:val="6"/>
        </w:numPr>
        <w:tabs>
          <w:tab w:val="left" w:pos="1134"/>
        </w:tabs>
        <w:spacing w:before="0"/>
        <w:contextualSpacing w:val="0"/>
        <w:rPr>
          <w:noProof/>
        </w:rPr>
      </w:pPr>
      <w:r w:rsidRPr="009C1108">
        <w:rPr>
          <w:noProof/>
        </w:rPr>
        <w:t xml:space="preserve">paredzēts papildu finansējums minimālās mēneša darba algas palielināšanai no 500 </w:t>
      </w:r>
      <w:r w:rsidRPr="007E0098">
        <w:rPr>
          <w:i/>
          <w:iCs/>
          <w:noProof/>
        </w:rPr>
        <w:t>euro</w:t>
      </w:r>
      <w:r w:rsidRPr="009C1108">
        <w:rPr>
          <w:noProof/>
        </w:rPr>
        <w:t xml:space="preserve"> uz 620 </w:t>
      </w:r>
      <w:r w:rsidRPr="007E0098">
        <w:rPr>
          <w:i/>
          <w:iCs/>
          <w:noProof/>
        </w:rPr>
        <w:t>euro</w:t>
      </w:r>
      <w:r w:rsidRPr="009C1108">
        <w:rPr>
          <w:noProof/>
        </w:rPr>
        <w:t xml:space="preserve"> 2023. gadā un no 500 </w:t>
      </w:r>
      <w:r w:rsidRPr="007E0098">
        <w:rPr>
          <w:i/>
          <w:iCs/>
          <w:noProof/>
        </w:rPr>
        <w:t>euro</w:t>
      </w:r>
      <w:r w:rsidRPr="009C1108">
        <w:rPr>
          <w:noProof/>
        </w:rPr>
        <w:t xml:space="preserve"> uz 700 </w:t>
      </w:r>
      <w:r w:rsidRPr="007E0098">
        <w:rPr>
          <w:i/>
          <w:iCs/>
          <w:noProof/>
        </w:rPr>
        <w:t>euro</w:t>
      </w:r>
      <w:r w:rsidRPr="009C1108">
        <w:rPr>
          <w:noProof/>
        </w:rPr>
        <w:t xml:space="preserve"> 2024. gadā un 2025. gadā atbilstoši Darba likuma pārejas noteikumu 26. un 27. punktam u.c.</w:t>
      </w:r>
    </w:p>
    <w:p w14:paraId="74C7A3FE" w14:textId="7B8099AF" w:rsidR="008E7DDE" w:rsidRPr="008E7DDE" w:rsidRDefault="008E7DDE" w:rsidP="009C1108">
      <w:pPr>
        <w:ind w:firstLine="360"/>
        <w:rPr>
          <w:szCs w:val="24"/>
        </w:rPr>
      </w:pPr>
      <w:r w:rsidRPr="001C3575">
        <w:rPr>
          <w:szCs w:val="24"/>
        </w:rPr>
        <w:t>Informācija par valsts pamatbudžeta bāzes izdevumiem iekļauta informatīvā ziņojuma 1., 2. un 3. pielikumā.</w:t>
      </w:r>
    </w:p>
    <w:p w14:paraId="29601D3C" w14:textId="2AE11FC3" w:rsidR="008E7DDE" w:rsidRPr="009C54E6" w:rsidRDefault="008E7DDE" w:rsidP="008E7DDE">
      <w:pPr>
        <w:rPr>
          <w:rFonts w:cs="Times New Roman"/>
          <w:noProof/>
          <w:szCs w:val="24"/>
        </w:rPr>
      </w:pPr>
      <w:r w:rsidRPr="009C54E6">
        <w:rPr>
          <w:rFonts w:cs="Times New Roman"/>
          <w:b/>
          <w:noProof/>
          <w:szCs w:val="24"/>
        </w:rPr>
        <w:t>Izdevumi Eiropas Savienības politiku instrumentu un pārējās ārvalstu finanšu palīdzības līdzfinansēto projektu un pasākumu īstenošanai</w:t>
      </w:r>
      <w:r w:rsidRPr="009C54E6">
        <w:rPr>
          <w:rFonts w:cs="Times New Roman"/>
          <w:noProof/>
          <w:szCs w:val="24"/>
        </w:rPr>
        <w:t xml:space="preserve"> 2023. gadam paredzēti 2 082,5</w:t>
      </w:r>
      <w:r w:rsidR="0045554B">
        <w:rPr>
          <w:rFonts w:cs="Times New Roman"/>
          <w:noProof/>
          <w:szCs w:val="24"/>
        </w:rPr>
        <w:t> </w:t>
      </w:r>
      <w:r w:rsidRPr="009C54E6">
        <w:rPr>
          <w:rFonts w:cs="Times New Roman"/>
          <w:noProof/>
          <w:szCs w:val="24"/>
        </w:rPr>
        <w:t xml:space="preserve">milj. </w:t>
      </w:r>
      <w:r w:rsidRPr="009C54E6">
        <w:rPr>
          <w:rFonts w:cs="Times New Roman"/>
          <w:i/>
          <w:noProof/>
          <w:szCs w:val="24"/>
        </w:rPr>
        <w:t>euro</w:t>
      </w:r>
      <w:r w:rsidRPr="009C54E6">
        <w:rPr>
          <w:rFonts w:cs="Times New Roman"/>
          <w:noProof/>
          <w:szCs w:val="24"/>
        </w:rPr>
        <w:t xml:space="preserve"> apmērā, 2024. gadam 2 140,0 milj. </w:t>
      </w:r>
      <w:r w:rsidRPr="009C54E6">
        <w:rPr>
          <w:rFonts w:cs="Times New Roman"/>
          <w:i/>
          <w:noProof/>
          <w:szCs w:val="24"/>
        </w:rPr>
        <w:t>euro</w:t>
      </w:r>
      <w:r w:rsidRPr="009C54E6">
        <w:rPr>
          <w:rFonts w:cs="Times New Roman"/>
          <w:noProof/>
          <w:szCs w:val="24"/>
        </w:rPr>
        <w:t xml:space="preserve"> apmērā un 2025. gadam 2 090,1</w:t>
      </w:r>
      <w:r w:rsidR="0045554B">
        <w:rPr>
          <w:rFonts w:cs="Times New Roman"/>
          <w:noProof/>
          <w:szCs w:val="24"/>
        </w:rPr>
        <w:t> </w:t>
      </w:r>
      <w:r w:rsidRPr="009C54E6">
        <w:rPr>
          <w:rFonts w:cs="Times New Roman"/>
          <w:noProof/>
          <w:szCs w:val="24"/>
        </w:rPr>
        <w:t xml:space="preserve">milj. </w:t>
      </w:r>
      <w:r w:rsidRPr="009C54E6">
        <w:rPr>
          <w:rFonts w:cs="Times New Roman"/>
          <w:i/>
          <w:noProof/>
          <w:szCs w:val="24"/>
        </w:rPr>
        <w:t>euro</w:t>
      </w:r>
      <w:r w:rsidRPr="009C54E6">
        <w:rPr>
          <w:rFonts w:cs="Times New Roman"/>
          <w:noProof/>
          <w:szCs w:val="24"/>
        </w:rPr>
        <w:t xml:space="preserve"> apmērā. Salīdzinājumā ar 2022. gada 11. oktobrī </w:t>
      </w:r>
      <w:r w:rsidRPr="009C54E6">
        <w:rPr>
          <w:rFonts w:cs="Times New Roman"/>
          <w:noProof/>
          <w:szCs w:val="24"/>
          <w:lang w:eastAsia="lv-LV"/>
        </w:rPr>
        <w:t>apstiprinātajiem va</w:t>
      </w:r>
      <w:r w:rsidRPr="009C54E6">
        <w:rPr>
          <w:rFonts w:cs="Times New Roman"/>
          <w:noProof/>
          <w:szCs w:val="24"/>
        </w:rPr>
        <w:t>lsts pamatbudžeta bāzes izdevumiem 2023., 2024. un 2025. gadam</w:t>
      </w:r>
      <w:r w:rsidRPr="009C54E6">
        <w:rPr>
          <w:rFonts w:cs="Times New Roman"/>
          <w:noProof/>
          <w:szCs w:val="24"/>
          <w:lang w:eastAsia="lv-LV"/>
        </w:rPr>
        <w:t xml:space="preserve"> izdevumi palielinājušies </w:t>
      </w:r>
      <w:r w:rsidRPr="009C54E6">
        <w:rPr>
          <w:rFonts w:cs="Times New Roman"/>
          <w:noProof/>
          <w:szCs w:val="24"/>
        </w:rPr>
        <w:t xml:space="preserve">2023. gadam 16,0 milj. </w:t>
      </w:r>
      <w:r w:rsidRPr="009C54E6">
        <w:rPr>
          <w:rFonts w:cs="Times New Roman"/>
          <w:i/>
          <w:noProof/>
          <w:szCs w:val="24"/>
        </w:rPr>
        <w:t>euro</w:t>
      </w:r>
      <w:r w:rsidRPr="009C54E6">
        <w:rPr>
          <w:rFonts w:cs="Times New Roman"/>
          <w:noProof/>
          <w:szCs w:val="24"/>
        </w:rPr>
        <w:t xml:space="preserve"> apmērā un 2024. gadam 16,5</w:t>
      </w:r>
      <w:r w:rsidR="0045554B">
        <w:rPr>
          <w:rFonts w:cs="Times New Roman"/>
          <w:noProof/>
          <w:szCs w:val="24"/>
        </w:rPr>
        <w:t> </w:t>
      </w:r>
      <w:r w:rsidRPr="009C54E6">
        <w:rPr>
          <w:rFonts w:cs="Times New Roman"/>
          <w:noProof/>
          <w:szCs w:val="24"/>
        </w:rPr>
        <w:t xml:space="preserve">milj. </w:t>
      </w:r>
      <w:r w:rsidRPr="009C54E6">
        <w:rPr>
          <w:rFonts w:cs="Times New Roman"/>
          <w:i/>
          <w:noProof/>
          <w:szCs w:val="24"/>
        </w:rPr>
        <w:t>euro</w:t>
      </w:r>
      <w:r w:rsidRPr="009C54E6">
        <w:rPr>
          <w:rFonts w:cs="Times New Roman"/>
          <w:noProof/>
          <w:szCs w:val="24"/>
        </w:rPr>
        <w:t xml:space="preserve"> apmērā, savukārt 2025. gadam izdevumi palielinājušies 1,5</w:t>
      </w:r>
      <w:r w:rsidR="0045554B">
        <w:rPr>
          <w:rFonts w:cs="Times New Roman"/>
          <w:noProof/>
          <w:szCs w:val="24"/>
        </w:rPr>
        <w:t> </w:t>
      </w:r>
      <w:r w:rsidRPr="009C54E6">
        <w:rPr>
          <w:rFonts w:cs="Times New Roman"/>
          <w:noProof/>
          <w:szCs w:val="24"/>
        </w:rPr>
        <w:t xml:space="preserve">milj. </w:t>
      </w:r>
      <w:r w:rsidRPr="009C54E6">
        <w:rPr>
          <w:rFonts w:cs="Times New Roman"/>
          <w:i/>
          <w:noProof/>
          <w:szCs w:val="24"/>
        </w:rPr>
        <w:t>euro</w:t>
      </w:r>
      <w:r w:rsidRPr="009C54E6">
        <w:rPr>
          <w:rFonts w:cs="Times New Roman"/>
          <w:noProof/>
          <w:szCs w:val="24"/>
        </w:rPr>
        <w:t xml:space="preserve"> apmērā </w:t>
      </w:r>
      <w:r w:rsidRPr="00383816">
        <w:rPr>
          <w:rFonts w:cs="Times New Roman"/>
          <w:noProof/>
          <w:szCs w:val="24"/>
        </w:rPr>
        <w:t xml:space="preserve">(sk. </w:t>
      </w:r>
      <w:r w:rsidR="0045554B">
        <w:rPr>
          <w:rFonts w:cs="Times New Roman"/>
          <w:noProof/>
          <w:szCs w:val="24"/>
        </w:rPr>
        <w:t>22. </w:t>
      </w:r>
      <w:r w:rsidRPr="00383816">
        <w:rPr>
          <w:rFonts w:cs="Times New Roman"/>
          <w:noProof/>
          <w:szCs w:val="24"/>
        </w:rPr>
        <w:t>attēlu). Izmaiņas</w:t>
      </w:r>
      <w:r w:rsidRPr="000358A8">
        <w:rPr>
          <w:rFonts w:cs="Times New Roman"/>
          <w:noProof/>
          <w:szCs w:val="24"/>
        </w:rPr>
        <w:t xml:space="preserve"> izdevumos galvenokārt saistītas ar izmaiņām ārvalstu finanšu palīdzības prognozēs.</w:t>
      </w:r>
    </w:p>
    <w:p w14:paraId="32BE66B8" w14:textId="77777777" w:rsidR="008E7DDE" w:rsidRDefault="008E7DDE" w:rsidP="008E7DDE">
      <w:pPr>
        <w:ind w:firstLine="0"/>
        <w:jc w:val="center"/>
        <w:rPr>
          <w:rFonts w:cs="Times New Roman"/>
          <w:szCs w:val="24"/>
        </w:rPr>
      </w:pPr>
    </w:p>
    <w:p w14:paraId="7CB2D158" w14:textId="77777777" w:rsidR="008E7DDE" w:rsidRDefault="008E7DDE" w:rsidP="008E7DDE">
      <w:pPr>
        <w:ind w:firstLine="0"/>
        <w:jc w:val="center"/>
        <w:rPr>
          <w:rFonts w:cs="Times New Roman"/>
          <w:szCs w:val="24"/>
        </w:rPr>
      </w:pPr>
    </w:p>
    <w:p w14:paraId="33052BC0" w14:textId="77777777" w:rsidR="008E7DDE" w:rsidRDefault="008E7DDE" w:rsidP="008E7DDE">
      <w:pPr>
        <w:ind w:firstLine="0"/>
        <w:jc w:val="center"/>
        <w:rPr>
          <w:rFonts w:cs="Times New Roman"/>
          <w:szCs w:val="24"/>
        </w:rPr>
      </w:pPr>
    </w:p>
    <w:p w14:paraId="180C622C" w14:textId="77777777" w:rsidR="008E7DDE" w:rsidRDefault="008E7DDE" w:rsidP="008E7DDE">
      <w:pPr>
        <w:ind w:firstLine="0"/>
        <w:jc w:val="center"/>
        <w:rPr>
          <w:rFonts w:cs="Times New Roman"/>
          <w:szCs w:val="24"/>
        </w:rPr>
      </w:pPr>
    </w:p>
    <w:p w14:paraId="75A88B41" w14:textId="77777777" w:rsidR="008E7DDE" w:rsidRDefault="008E7DDE" w:rsidP="008E7DDE">
      <w:pPr>
        <w:ind w:firstLine="0"/>
        <w:jc w:val="center"/>
        <w:rPr>
          <w:rFonts w:cs="Times New Roman"/>
          <w:szCs w:val="24"/>
        </w:rPr>
      </w:pPr>
    </w:p>
    <w:p w14:paraId="1D0932B2" w14:textId="77777777" w:rsidR="008E7DDE" w:rsidRDefault="008E7DDE" w:rsidP="00383816">
      <w:pPr>
        <w:ind w:firstLine="0"/>
        <w:rPr>
          <w:rFonts w:cs="Times New Roman"/>
          <w:szCs w:val="24"/>
        </w:rPr>
      </w:pPr>
    </w:p>
    <w:p w14:paraId="373D9C2B" w14:textId="77777777" w:rsidR="008E7DDE" w:rsidRDefault="008E7DDE" w:rsidP="008E7DDE">
      <w:pPr>
        <w:ind w:firstLine="0"/>
        <w:jc w:val="center"/>
        <w:rPr>
          <w:rFonts w:cs="Times New Roman"/>
          <w:szCs w:val="24"/>
        </w:rPr>
      </w:pPr>
    </w:p>
    <w:p w14:paraId="62F3B986" w14:textId="77777777" w:rsidR="008E7DDE" w:rsidRPr="006C0683" w:rsidRDefault="008E7DDE" w:rsidP="008E7DDE">
      <w:pPr>
        <w:ind w:firstLine="0"/>
        <w:jc w:val="center"/>
        <w:rPr>
          <w:rFonts w:cs="Times New Roman"/>
          <w:szCs w:val="28"/>
        </w:rPr>
      </w:pPr>
      <w:r>
        <w:rPr>
          <w:noProof/>
          <w:lang w:eastAsia="lv-LV"/>
        </w:rPr>
        <w:lastRenderedPageBreak/>
        <w:drawing>
          <wp:inline distT="0" distB="0" distL="0" distR="0" wp14:anchorId="475B9EFC" wp14:editId="36E26FD7">
            <wp:extent cx="5257800" cy="3055620"/>
            <wp:effectExtent l="0" t="0" r="0" b="0"/>
            <wp:docPr id="28" name="Chart 28">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DCE7968" w14:textId="27E96EE9" w:rsidR="00383816" w:rsidRPr="00383816" w:rsidRDefault="00383816" w:rsidP="00383816">
      <w:pPr>
        <w:ind w:firstLine="0"/>
        <w:jc w:val="center"/>
        <w:rPr>
          <w:rFonts w:cs="Times New Roman"/>
          <w:b/>
          <w:bCs/>
          <w:i/>
          <w:noProof/>
          <w:szCs w:val="24"/>
        </w:rPr>
      </w:pPr>
      <w:r w:rsidRPr="00383816">
        <w:rPr>
          <w:rFonts w:cs="Times New Roman"/>
          <w:b/>
          <w:bCs/>
          <w:noProof/>
          <w:szCs w:val="24"/>
        </w:rPr>
        <w:t>22.</w:t>
      </w:r>
      <w:r w:rsidR="0045554B">
        <w:rPr>
          <w:rFonts w:cs="Times New Roman"/>
          <w:b/>
          <w:bCs/>
          <w:noProof/>
          <w:szCs w:val="24"/>
        </w:rPr>
        <w:t> </w:t>
      </w:r>
      <w:r w:rsidRPr="00383816">
        <w:rPr>
          <w:rFonts w:cs="Times New Roman"/>
          <w:b/>
          <w:bCs/>
          <w:noProof/>
          <w:szCs w:val="24"/>
        </w:rPr>
        <w:t xml:space="preserve">attēls. Izdevumi ES politiku īstenošanai 2023., 2024. un 2025. gadam, milj. </w:t>
      </w:r>
      <w:r w:rsidRPr="00383816">
        <w:rPr>
          <w:rFonts w:cs="Times New Roman"/>
          <w:b/>
          <w:bCs/>
          <w:i/>
          <w:noProof/>
          <w:szCs w:val="24"/>
        </w:rPr>
        <w:t>euro</w:t>
      </w:r>
    </w:p>
    <w:p w14:paraId="01E0B10B" w14:textId="77777777" w:rsidR="008E7DDE" w:rsidRPr="009C54E6" w:rsidRDefault="008E7DDE" w:rsidP="0045554B">
      <w:pPr>
        <w:spacing w:before="240"/>
        <w:rPr>
          <w:b/>
          <w:szCs w:val="24"/>
        </w:rPr>
      </w:pPr>
      <w:r w:rsidRPr="009C54E6">
        <w:rPr>
          <w:b/>
          <w:szCs w:val="24"/>
        </w:rPr>
        <w:t>Valsts speciālā budžeta bāze</w:t>
      </w:r>
    </w:p>
    <w:p w14:paraId="23F4A846" w14:textId="3511DB5F" w:rsidR="008E7DDE" w:rsidRPr="009C54E6" w:rsidRDefault="008E7DDE" w:rsidP="008E7DDE">
      <w:pPr>
        <w:rPr>
          <w:noProof/>
          <w:szCs w:val="24"/>
        </w:rPr>
      </w:pPr>
      <w:r w:rsidRPr="009C54E6">
        <w:rPr>
          <w:szCs w:val="24"/>
        </w:rPr>
        <w:t xml:space="preserve">Valsts speciālā budžeta bāzes izdevumi atbilstoši Ministru kabineta 2022. gada 11. oktobra sēdes protokola Nr.52 3.§ 1. punktam </w:t>
      </w:r>
      <w:r w:rsidRPr="009C54E6">
        <w:rPr>
          <w:noProof/>
          <w:szCs w:val="24"/>
        </w:rPr>
        <w:t xml:space="preserve">apstiprināti 2023. gadam 4 053,9 milj. </w:t>
      </w:r>
      <w:r w:rsidRPr="009C54E6">
        <w:rPr>
          <w:i/>
          <w:noProof/>
          <w:szCs w:val="24"/>
        </w:rPr>
        <w:t>euro</w:t>
      </w:r>
      <w:r w:rsidRPr="009C54E6">
        <w:rPr>
          <w:noProof/>
          <w:szCs w:val="24"/>
        </w:rPr>
        <w:t xml:space="preserve"> apmērā, 2024. gadam 4 220,9 milj. </w:t>
      </w:r>
      <w:r w:rsidRPr="009C54E6">
        <w:rPr>
          <w:i/>
          <w:noProof/>
          <w:szCs w:val="24"/>
        </w:rPr>
        <w:t xml:space="preserve">euro </w:t>
      </w:r>
      <w:r w:rsidRPr="009C54E6">
        <w:rPr>
          <w:noProof/>
          <w:szCs w:val="24"/>
        </w:rPr>
        <w:t xml:space="preserve">apmērā </w:t>
      </w:r>
      <w:r w:rsidRPr="0045554B">
        <w:rPr>
          <w:iCs/>
          <w:noProof/>
          <w:szCs w:val="24"/>
        </w:rPr>
        <w:t xml:space="preserve">un </w:t>
      </w:r>
      <w:r w:rsidRPr="009C54E6">
        <w:rPr>
          <w:noProof/>
          <w:szCs w:val="24"/>
        </w:rPr>
        <w:t xml:space="preserve">2025. gadam 4 446,1 milj. </w:t>
      </w:r>
      <w:r w:rsidRPr="009C54E6">
        <w:rPr>
          <w:i/>
          <w:noProof/>
          <w:szCs w:val="24"/>
        </w:rPr>
        <w:t>euro</w:t>
      </w:r>
      <w:r w:rsidRPr="009C54E6">
        <w:rPr>
          <w:noProof/>
          <w:szCs w:val="24"/>
        </w:rPr>
        <w:t xml:space="preserve"> </w:t>
      </w:r>
      <w:r w:rsidRPr="00383816">
        <w:rPr>
          <w:noProof/>
          <w:szCs w:val="24"/>
        </w:rPr>
        <w:t xml:space="preserve">apmērā (sk. </w:t>
      </w:r>
      <w:r w:rsidR="0045554B">
        <w:rPr>
          <w:noProof/>
          <w:szCs w:val="24"/>
        </w:rPr>
        <w:t>23. </w:t>
      </w:r>
      <w:r w:rsidRPr="00383816">
        <w:rPr>
          <w:noProof/>
          <w:szCs w:val="24"/>
        </w:rPr>
        <w:t>attēlu).</w:t>
      </w:r>
      <w:r w:rsidRPr="009C54E6">
        <w:rPr>
          <w:noProof/>
          <w:szCs w:val="24"/>
        </w:rPr>
        <w:t xml:space="preserve"> </w:t>
      </w:r>
    </w:p>
    <w:p w14:paraId="7BE83E86" w14:textId="5E24AE61" w:rsidR="008E7DDE" w:rsidRPr="000C4229" w:rsidRDefault="008E7DDE" w:rsidP="008E7DDE">
      <w:pPr>
        <w:ind w:firstLine="0"/>
        <w:jc w:val="center"/>
        <w:rPr>
          <w:rFonts w:cs="Times New Roman"/>
          <w:szCs w:val="24"/>
        </w:rPr>
      </w:pPr>
    </w:p>
    <w:p w14:paraId="17B39B42" w14:textId="77777777" w:rsidR="008E7DDE" w:rsidRDefault="008E7DDE" w:rsidP="008E7DDE">
      <w:pPr>
        <w:ind w:firstLine="0"/>
        <w:jc w:val="center"/>
        <w:rPr>
          <w:rFonts w:eastAsiaTheme="majorEastAsia" w:cstheme="majorBidi"/>
          <w:b/>
          <w:sz w:val="32"/>
          <w:szCs w:val="32"/>
        </w:rPr>
      </w:pPr>
      <w:r>
        <w:rPr>
          <w:noProof/>
          <w:lang w:eastAsia="lv-LV"/>
        </w:rPr>
        <w:drawing>
          <wp:inline distT="0" distB="0" distL="0" distR="0" wp14:anchorId="0AB2920A" wp14:editId="349385C7">
            <wp:extent cx="5410201" cy="3095625"/>
            <wp:effectExtent l="0" t="0" r="0" b="0"/>
            <wp:docPr id="29" name="Chart 29">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0580120" w14:textId="7F0C7EAF" w:rsidR="008E7DDE" w:rsidRPr="00383816" w:rsidRDefault="00383816" w:rsidP="008E7DDE">
      <w:pPr>
        <w:ind w:firstLine="0"/>
        <w:jc w:val="center"/>
        <w:rPr>
          <w:rFonts w:eastAsiaTheme="majorEastAsia" w:cstheme="majorBidi"/>
          <w:b/>
          <w:bCs/>
          <w:noProof/>
          <w:sz w:val="32"/>
          <w:szCs w:val="32"/>
        </w:rPr>
      </w:pPr>
      <w:r w:rsidRPr="00383816">
        <w:rPr>
          <w:rFonts w:cs="Times New Roman"/>
          <w:b/>
          <w:bCs/>
          <w:szCs w:val="24"/>
        </w:rPr>
        <w:t>23.</w:t>
      </w:r>
      <w:r w:rsidR="00DF2698">
        <w:rPr>
          <w:rFonts w:cs="Times New Roman"/>
          <w:b/>
          <w:bCs/>
          <w:szCs w:val="24"/>
        </w:rPr>
        <w:t> </w:t>
      </w:r>
      <w:r w:rsidRPr="00383816">
        <w:rPr>
          <w:rFonts w:cs="Times New Roman"/>
          <w:b/>
          <w:bCs/>
          <w:szCs w:val="24"/>
        </w:rPr>
        <w:t xml:space="preserve">attēls. Valsts speciālā budžeta bāzes izdevumi 2023., 2024. un 2025. gadam, </w:t>
      </w:r>
      <w:r w:rsidRPr="00383816">
        <w:rPr>
          <w:rFonts w:cs="Times New Roman"/>
          <w:b/>
          <w:bCs/>
          <w:noProof/>
          <w:szCs w:val="24"/>
        </w:rPr>
        <w:t xml:space="preserve">milj. </w:t>
      </w:r>
      <w:r w:rsidRPr="00383816">
        <w:rPr>
          <w:rFonts w:cs="Times New Roman"/>
          <w:b/>
          <w:bCs/>
          <w:i/>
          <w:noProof/>
          <w:szCs w:val="24"/>
        </w:rPr>
        <w:t>euro</w:t>
      </w:r>
    </w:p>
    <w:p w14:paraId="2B3013C6" w14:textId="59DAAF4C" w:rsidR="008E7DDE" w:rsidRPr="009C54E6" w:rsidRDefault="008E7DDE" w:rsidP="008E7DDE">
      <w:pPr>
        <w:rPr>
          <w:noProof/>
          <w:szCs w:val="24"/>
        </w:rPr>
      </w:pPr>
      <w:r w:rsidRPr="0045554B">
        <w:rPr>
          <w:bCs/>
          <w:noProof/>
          <w:szCs w:val="24"/>
        </w:rPr>
        <w:t xml:space="preserve">Aktualizētie </w:t>
      </w:r>
      <w:r w:rsidRPr="009C54E6">
        <w:rPr>
          <w:b/>
          <w:noProof/>
          <w:szCs w:val="24"/>
        </w:rPr>
        <w:t>valsts speciālā budžeta bāzes izdevumi</w:t>
      </w:r>
      <w:r>
        <w:rPr>
          <w:noProof/>
          <w:szCs w:val="24"/>
        </w:rPr>
        <w:t xml:space="preserve"> 2023. gadam aprēķināti 4 082,8</w:t>
      </w:r>
      <w:r w:rsidR="0045554B">
        <w:rPr>
          <w:noProof/>
          <w:szCs w:val="24"/>
        </w:rPr>
        <w:t> </w:t>
      </w:r>
      <w:r w:rsidRPr="009C54E6">
        <w:rPr>
          <w:noProof/>
          <w:szCs w:val="24"/>
        </w:rPr>
        <w:t xml:space="preserve">milj. </w:t>
      </w:r>
      <w:r w:rsidRPr="009C54E6">
        <w:rPr>
          <w:i/>
          <w:noProof/>
          <w:szCs w:val="24"/>
        </w:rPr>
        <w:t>euro</w:t>
      </w:r>
      <w:r>
        <w:rPr>
          <w:noProof/>
          <w:szCs w:val="24"/>
        </w:rPr>
        <w:t xml:space="preserve"> apmērā, 2024. gadam 4 317,8</w:t>
      </w:r>
      <w:r w:rsidRPr="009C54E6">
        <w:rPr>
          <w:noProof/>
          <w:szCs w:val="24"/>
        </w:rPr>
        <w:t xml:space="preserve"> milj. </w:t>
      </w:r>
      <w:r w:rsidRPr="009C54E6">
        <w:rPr>
          <w:i/>
          <w:noProof/>
          <w:szCs w:val="24"/>
        </w:rPr>
        <w:t>euro</w:t>
      </w:r>
      <w:r w:rsidRPr="009C54E6">
        <w:rPr>
          <w:noProof/>
          <w:szCs w:val="24"/>
        </w:rPr>
        <w:t xml:space="preserve"> apmērā</w:t>
      </w:r>
      <w:r>
        <w:rPr>
          <w:noProof/>
          <w:szCs w:val="24"/>
        </w:rPr>
        <w:t xml:space="preserve"> un 2025. gadam 4 567,9</w:t>
      </w:r>
      <w:r w:rsidR="0045554B">
        <w:rPr>
          <w:noProof/>
          <w:szCs w:val="24"/>
        </w:rPr>
        <w:t> </w:t>
      </w:r>
      <w:r w:rsidRPr="009C54E6">
        <w:rPr>
          <w:noProof/>
          <w:szCs w:val="24"/>
        </w:rPr>
        <w:t xml:space="preserve">milj. </w:t>
      </w:r>
      <w:r w:rsidRPr="009C54E6">
        <w:rPr>
          <w:i/>
          <w:noProof/>
          <w:szCs w:val="24"/>
        </w:rPr>
        <w:t>euro</w:t>
      </w:r>
      <w:r w:rsidRPr="009C54E6">
        <w:rPr>
          <w:noProof/>
          <w:szCs w:val="24"/>
        </w:rPr>
        <w:t xml:space="preserve"> apmērā, </w:t>
      </w:r>
      <w:r w:rsidRPr="009C54E6">
        <w:rPr>
          <w:rFonts w:cs="Times New Roman"/>
          <w:noProof/>
          <w:szCs w:val="24"/>
        </w:rPr>
        <w:t>kas salīdzinājumā ar 2022.</w:t>
      </w:r>
      <w:r w:rsidR="0045554B">
        <w:rPr>
          <w:rFonts w:cs="Times New Roman"/>
          <w:noProof/>
          <w:szCs w:val="24"/>
        </w:rPr>
        <w:t> </w:t>
      </w:r>
      <w:r w:rsidRPr="009C54E6">
        <w:rPr>
          <w:rFonts w:cs="Times New Roman"/>
          <w:noProof/>
          <w:szCs w:val="24"/>
        </w:rPr>
        <w:t>gada 11.</w:t>
      </w:r>
      <w:r w:rsidR="0045554B">
        <w:rPr>
          <w:rFonts w:cs="Times New Roman"/>
          <w:noProof/>
          <w:szCs w:val="24"/>
        </w:rPr>
        <w:t> </w:t>
      </w:r>
      <w:r w:rsidRPr="009C54E6">
        <w:rPr>
          <w:rFonts w:cs="Times New Roman"/>
          <w:noProof/>
          <w:szCs w:val="24"/>
        </w:rPr>
        <w:t xml:space="preserve">oktobrī </w:t>
      </w:r>
      <w:r w:rsidRPr="009C54E6">
        <w:rPr>
          <w:rFonts w:cs="Times New Roman"/>
          <w:noProof/>
          <w:szCs w:val="24"/>
          <w:lang w:eastAsia="lv-LV"/>
        </w:rPr>
        <w:t>apstiprinātajiem va</w:t>
      </w:r>
      <w:r w:rsidRPr="009C54E6">
        <w:rPr>
          <w:rFonts w:cs="Times New Roman"/>
          <w:noProof/>
          <w:szCs w:val="24"/>
        </w:rPr>
        <w:t xml:space="preserve">lsts speciālā </w:t>
      </w:r>
      <w:r>
        <w:rPr>
          <w:rFonts w:cs="Times New Roman"/>
          <w:noProof/>
          <w:szCs w:val="24"/>
        </w:rPr>
        <w:t xml:space="preserve">budžeta bāzes izdevumiem palielināti 2023. gadam 28,9 milj. </w:t>
      </w:r>
      <w:r>
        <w:rPr>
          <w:rFonts w:cs="Times New Roman"/>
          <w:i/>
          <w:noProof/>
          <w:szCs w:val="24"/>
        </w:rPr>
        <w:t>euro</w:t>
      </w:r>
      <w:r>
        <w:rPr>
          <w:rFonts w:cs="Times New Roman"/>
          <w:noProof/>
          <w:szCs w:val="24"/>
        </w:rPr>
        <w:t>, 2024. gadam 96,9</w:t>
      </w:r>
      <w:r w:rsidR="0045554B">
        <w:rPr>
          <w:rFonts w:cs="Times New Roman"/>
          <w:noProof/>
          <w:szCs w:val="24"/>
        </w:rPr>
        <w:t> </w:t>
      </w:r>
      <w:r>
        <w:rPr>
          <w:rFonts w:cs="Times New Roman"/>
          <w:noProof/>
          <w:szCs w:val="24"/>
        </w:rPr>
        <w:t xml:space="preserve">milj. </w:t>
      </w:r>
      <w:r>
        <w:rPr>
          <w:rFonts w:cs="Times New Roman"/>
          <w:i/>
          <w:noProof/>
          <w:szCs w:val="24"/>
        </w:rPr>
        <w:t xml:space="preserve">euro </w:t>
      </w:r>
      <w:r>
        <w:rPr>
          <w:rFonts w:cs="Times New Roman"/>
          <w:noProof/>
          <w:szCs w:val="24"/>
        </w:rPr>
        <w:t xml:space="preserve">un 2025. gadam 121,8 milj. </w:t>
      </w:r>
      <w:r w:rsidRPr="00383816">
        <w:rPr>
          <w:rFonts w:cs="Times New Roman"/>
          <w:i/>
          <w:noProof/>
          <w:szCs w:val="24"/>
        </w:rPr>
        <w:t>euro</w:t>
      </w:r>
      <w:r w:rsidRPr="00383816">
        <w:rPr>
          <w:noProof/>
          <w:szCs w:val="24"/>
        </w:rPr>
        <w:t>.</w:t>
      </w:r>
    </w:p>
    <w:p w14:paraId="6E736307" w14:textId="77777777" w:rsidR="008E7DDE" w:rsidRPr="00673203" w:rsidRDefault="008E7DDE" w:rsidP="008E7DDE">
      <w:pPr>
        <w:rPr>
          <w:noProof/>
          <w:szCs w:val="24"/>
          <w:lang w:eastAsia="lv-LV"/>
        </w:rPr>
      </w:pPr>
      <w:r w:rsidRPr="00673203">
        <w:rPr>
          <w:noProof/>
          <w:szCs w:val="24"/>
        </w:rPr>
        <w:lastRenderedPageBreak/>
        <w:t>V</w:t>
      </w:r>
      <w:r w:rsidRPr="00673203">
        <w:rPr>
          <w:noProof/>
          <w:szCs w:val="24"/>
          <w:lang w:eastAsia="lv-LV"/>
        </w:rPr>
        <w:t xml:space="preserve">alsts speciālā budžeta aktualizētā bāze (izdevumi un ieņēmumi to segšanai) 2023., 2024. un 2025. gadam aprēķināta, ņemot vērā </w:t>
      </w:r>
      <w:r w:rsidRPr="00673203">
        <w:rPr>
          <w:rFonts w:cs="Times New Roman"/>
          <w:noProof/>
          <w:szCs w:val="24"/>
        </w:rPr>
        <w:t xml:space="preserve">aktualizētās makroekonomisko rādītāju un valsts sociālās apdrošināšanas iemaksu </w:t>
      </w:r>
      <w:r w:rsidRPr="00673203">
        <w:rPr>
          <w:noProof/>
          <w:szCs w:val="24"/>
          <w:lang w:eastAsia="lv-LV"/>
        </w:rPr>
        <w:t>prognozes.</w:t>
      </w:r>
    </w:p>
    <w:p w14:paraId="5A576553" w14:textId="65D7118B" w:rsidR="00383816" w:rsidRPr="00673203" w:rsidRDefault="008E7DDE" w:rsidP="00383816">
      <w:pPr>
        <w:spacing w:before="0"/>
        <w:rPr>
          <w:szCs w:val="24"/>
        </w:rPr>
      </w:pPr>
      <w:r w:rsidRPr="00673203">
        <w:rPr>
          <w:rFonts w:cs="Times New Roman"/>
          <w:szCs w:val="24"/>
        </w:rPr>
        <w:t xml:space="preserve">Lielākās izmaiņas </w:t>
      </w:r>
      <w:r w:rsidRPr="00673203">
        <w:rPr>
          <w:rFonts w:cs="Times New Roman"/>
          <w:b/>
          <w:bCs/>
          <w:szCs w:val="24"/>
        </w:rPr>
        <w:t>valsts speciālā budžeta bāzes</w:t>
      </w:r>
      <w:r w:rsidRPr="00673203">
        <w:rPr>
          <w:rFonts w:cs="Times New Roman"/>
          <w:szCs w:val="24"/>
        </w:rPr>
        <w:t xml:space="preserve"> </w:t>
      </w:r>
      <w:r w:rsidRPr="00673203">
        <w:rPr>
          <w:rFonts w:cs="Times New Roman"/>
          <w:b/>
          <w:szCs w:val="24"/>
        </w:rPr>
        <w:t>izdevumos, s</w:t>
      </w:r>
      <w:r w:rsidRPr="00673203">
        <w:rPr>
          <w:szCs w:val="24"/>
        </w:rPr>
        <w:t xml:space="preserve">alīdzinot ar Ministru kabineta 2022. gada 11. oktobra sēdē apstiprināto valsts speciālā budžeta bāzi 2023., 2024. un 2025. gadam, </w:t>
      </w:r>
      <w:r>
        <w:rPr>
          <w:szCs w:val="24"/>
        </w:rPr>
        <w:t xml:space="preserve">galvenokārt </w:t>
      </w:r>
      <w:r w:rsidRPr="00673203">
        <w:rPr>
          <w:szCs w:val="24"/>
        </w:rPr>
        <w:t>veido:</w:t>
      </w:r>
    </w:p>
    <w:p w14:paraId="6D0BE3DA" w14:textId="17C3FE1C" w:rsidR="00383816" w:rsidRPr="009C1108" w:rsidRDefault="008E7DDE" w:rsidP="00C7426B">
      <w:pPr>
        <w:pStyle w:val="ListParagraph"/>
        <w:numPr>
          <w:ilvl w:val="0"/>
          <w:numId w:val="6"/>
        </w:numPr>
        <w:tabs>
          <w:tab w:val="left" w:pos="1134"/>
        </w:tabs>
        <w:spacing w:before="0"/>
        <w:contextualSpacing w:val="0"/>
      </w:pPr>
      <w:r w:rsidRPr="009C1108">
        <w:t>speciālā budžeta indeksējamo pakalpojumu izdevumu pieaugums saistībā ar prognozēto indeksācijas koeficienta un iemaksu algas palielināšanos, kā arī izdevumu izmaiņas saistībā ar pabalstu, atlīdzību un pensiju saņēmēju skaita un vidējo apmēru mēnesī prognozētajām izmaiņām, ņemot vērā aktuālākos izpildes datus un izdevumu izpildes tendences;</w:t>
      </w:r>
    </w:p>
    <w:p w14:paraId="044391E8" w14:textId="210FC23A" w:rsidR="00383816" w:rsidRPr="009C1108" w:rsidRDefault="008E7DDE" w:rsidP="00C7426B">
      <w:pPr>
        <w:pStyle w:val="ListParagraph"/>
        <w:numPr>
          <w:ilvl w:val="0"/>
          <w:numId w:val="6"/>
        </w:numPr>
        <w:tabs>
          <w:tab w:val="left" w:pos="1134"/>
        </w:tabs>
        <w:spacing w:before="0"/>
        <w:contextualSpacing w:val="0"/>
        <w:rPr>
          <w:noProof/>
        </w:rPr>
      </w:pPr>
      <w:r w:rsidRPr="009C1108">
        <w:t xml:space="preserve">izdevumu palielinājums vecāku pabalstiem saistībā ar 2022. gada 20. oktobrī Saeimā pieņemto likumu “Grozījums likumā “Par maternitātes un slimības apdrošināšanu””, kas paredz ar 2023. gada 1. janvāri vecāku pabalsta saņēmējam, kurš bērna kopšanas laikā ir </w:t>
      </w:r>
      <w:r w:rsidRPr="009C1108">
        <w:rPr>
          <w:noProof/>
        </w:rPr>
        <w:t>nodarbināts un neatrodas bērna kopšanas atvaļinājumā vai bērna kopšanas laikā gūst ienākumus kā pašnodarbinātais, pabalstu izmaksāt 50% apmērā no piešķirtā pabalsta apmēra (iepriekš 30%);</w:t>
      </w:r>
    </w:p>
    <w:p w14:paraId="52C6008F" w14:textId="49B0A19D" w:rsidR="008E7DDE" w:rsidRPr="009C1108" w:rsidRDefault="008E7DDE" w:rsidP="00C7426B">
      <w:pPr>
        <w:pStyle w:val="ListParagraph"/>
        <w:numPr>
          <w:ilvl w:val="0"/>
          <w:numId w:val="6"/>
        </w:numPr>
        <w:tabs>
          <w:tab w:val="left" w:pos="1134"/>
        </w:tabs>
        <w:spacing w:before="0"/>
        <w:contextualSpacing w:val="0"/>
      </w:pPr>
      <w:r w:rsidRPr="009C1108">
        <w:rPr>
          <w:noProof/>
        </w:rPr>
        <w:t>veiktās izmaiņas atbilstoši Ministru kabineta 2022.</w:t>
      </w:r>
      <w:r w:rsidR="00D96D41">
        <w:rPr>
          <w:noProof/>
        </w:rPr>
        <w:t> </w:t>
      </w:r>
      <w:r w:rsidRPr="009C1108">
        <w:rPr>
          <w:noProof/>
        </w:rPr>
        <w:t>gada 11.</w:t>
      </w:r>
      <w:r w:rsidR="00D96D41">
        <w:rPr>
          <w:noProof/>
        </w:rPr>
        <w:t> </w:t>
      </w:r>
      <w:r w:rsidRPr="009C1108">
        <w:rPr>
          <w:noProof/>
        </w:rPr>
        <w:t>oktobra sēdes protokollēmumā</w:t>
      </w:r>
      <w:r w:rsidRPr="009C1108">
        <w:t xml:space="preserve"> (prot. Nr. 52 5.§) “Informatīvais ziņojums “Par valsts budžeta izdevumu pārskatīšanas rezultātiem un priekšlikumi par šo rezultātu izmantošanu likumprojekta “Par vidēja termiņa budžeta ietvaru 2023., 2024. un 2025. gadam un likumprojekta “Par valsts budžeta projektu 2023. gadam” izstrādes procesā””  atbalstītajiem valsts budžeta izdevumu pārskatīšanas rezultātiem u.c.</w:t>
      </w:r>
    </w:p>
    <w:p w14:paraId="1110598D" w14:textId="77777777" w:rsidR="008E7DDE" w:rsidRPr="009E3B98" w:rsidRDefault="008E7DDE" w:rsidP="00383816">
      <w:pPr>
        <w:ind w:firstLine="567"/>
        <w:rPr>
          <w:szCs w:val="24"/>
        </w:rPr>
      </w:pPr>
      <w:r w:rsidRPr="00673203">
        <w:rPr>
          <w:szCs w:val="24"/>
        </w:rPr>
        <w:t>Informācija par valsts speciālā budžeta bāzes izdevumiem iekļauta informatīvā ziņojuma 1. un 4. pielikumā.</w:t>
      </w:r>
    </w:p>
    <w:p w14:paraId="1AB03546" w14:textId="14E063DF" w:rsidR="005700B6" w:rsidRDefault="005700B6">
      <w:pPr>
        <w:spacing w:before="0" w:after="0"/>
        <w:ind w:firstLine="0"/>
        <w:jc w:val="left"/>
        <w:rPr>
          <w:rFonts w:eastAsiaTheme="majorEastAsia" w:cstheme="majorBidi"/>
          <w:b/>
          <w:sz w:val="28"/>
          <w:szCs w:val="28"/>
        </w:rPr>
      </w:pPr>
      <w:r>
        <w:rPr>
          <w:sz w:val="28"/>
          <w:szCs w:val="28"/>
        </w:rPr>
        <w:br w:type="page"/>
      </w:r>
    </w:p>
    <w:p w14:paraId="1948D567" w14:textId="77777777" w:rsidR="005700B6" w:rsidRDefault="005700B6" w:rsidP="005700B6">
      <w:pPr>
        <w:pStyle w:val="Heading1"/>
        <w:ind w:left="360"/>
        <w:rPr>
          <w:sz w:val="28"/>
          <w:szCs w:val="28"/>
        </w:rPr>
      </w:pPr>
      <w:bookmarkStart w:id="28" w:name="_Toc122369562"/>
      <w:r w:rsidRPr="00D1498B">
        <w:rPr>
          <w:sz w:val="28"/>
          <w:szCs w:val="28"/>
        </w:rPr>
        <w:lastRenderedPageBreak/>
        <w:t>Valdības apstiprinātie atbalsta pasākumi krīžu seku mazināšanai un to fiskālā ietekme</w:t>
      </w:r>
      <w:bookmarkEnd w:id="28"/>
    </w:p>
    <w:p w14:paraId="0C74B008" w14:textId="5AA22070" w:rsidR="00FE3024" w:rsidRPr="009C1250" w:rsidRDefault="00FE3024" w:rsidP="00FE3024">
      <w:pPr>
        <w:spacing w:before="280"/>
        <w:ind w:firstLine="709"/>
        <w:rPr>
          <w:rFonts w:eastAsia="Calibri" w:cs="Times New Roman"/>
          <w:noProof/>
          <w:color w:val="000000"/>
          <w:szCs w:val="24"/>
        </w:rPr>
      </w:pPr>
      <w:r w:rsidRPr="001720F0">
        <w:rPr>
          <w:rFonts w:eastAsia="Calibri" w:cs="Times New Roman"/>
          <w:noProof/>
          <w:color w:val="000000"/>
          <w:szCs w:val="24"/>
        </w:rPr>
        <w:t>Kopš 2020. gada</w:t>
      </w:r>
      <w:r>
        <w:rPr>
          <w:rFonts w:eastAsia="Calibri" w:cs="Times New Roman"/>
          <w:noProof/>
          <w:color w:val="000000"/>
          <w:szCs w:val="24"/>
        </w:rPr>
        <w:t xml:space="preserve"> sākuma</w:t>
      </w:r>
      <w:r w:rsidRPr="001720F0">
        <w:rPr>
          <w:rFonts w:eastAsia="Calibri" w:cs="Times New Roman"/>
          <w:noProof/>
          <w:color w:val="000000"/>
          <w:szCs w:val="24"/>
        </w:rPr>
        <w:t xml:space="preserve"> Latvijas tautsaimniecība </w:t>
      </w:r>
      <w:r>
        <w:rPr>
          <w:rFonts w:eastAsia="Calibri" w:cs="Times New Roman"/>
          <w:noProof/>
          <w:color w:val="000000"/>
          <w:szCs w:val="24"/>
        </w:rPr>
        <w:t xml:space="preserve">ir saskārusies ar </w:t>
      </w:r>
      <w:r w:rsidRPr="001720F0">
        <w:rPr>
          <w:rFonts w:eastAsia="Calibri" w:cs="Times New Roman"/>
          <w:noProof/>
          <w:color w:val="000000"/>
          <w:szCs w:val="24"/>
        </w:rPr>
        <w:t>Covid-19 pandēmij</w:t>
      </w:r>
      <w:r>
        <w:rPr>
          <w:rFonts w:eastAsia="Calibri" w:cs="Times New Roman"/>
          <w:noProof/>
          <w:color w:val="000000"/>
          <w:szCs w:val="24"/>
        </w:rPr>
        <w:t>u un tās sekām, kā rezultātā valdība lēma par apjomīgu atbalsta paketi. Savukārt 2022. gada sākumā sākoties energoresursu cenu pieaugumam un Krievijai iebrūkot Ukrainā, valdībai, lai reaģētu uz krīzi, bija jālemj par papildus atbalsta piešķiršanu gan energoresursu cenu pieauguma samazināšanai, gan Ukrainas civiliedzīvotājiem. Saglabājoties augstajam cenu līmenim, šā gada jūnijā-septembrī tika lemts par papildus atbalstu 2022./2023. gada apkures sezonai.</w:t>
      </w:r>
    </w:p>
    <w:p w14:paraId="7391E19E" w14:textId="77777777" w:rsidR="00FE3024" w:rsidRDefault="00FE3024" w:rsidP="00FE3024">
      <w:pPr>
        <w:ind w:firstLine="709"/>
        <w:rPr>
          <w:rFonts w:eastAsia="Calibri" w:cs="Times New Roman"/>
          <w:noProof/>
          <w:color w:val="000000"/>
          <w:szCs w:val="24"/>
        </w:rPr>
      </w:pPr>
      <w:r w:rsidRPr="001229DC">
        <w:rPr>
          <w:rFonts w:eastAsia="Calibri" w:cs="Times New Roman"/>
          <w:noProof/>
          <w:color w:val="000000"/>
          <w:szCs w:val="24"/>
        </w:rPr>
        <w:t>Kopējais realizētais atbalsts 2020.</w:t>
      </w:r>
      <w:r>
        <w:rPr>
          <w:rFonts w:eastAsia="Calibri" w:cs="Times New Roman"/>
          <w:noProof/>
          <w:color w:val="000000"/>
          <w:szCs w:val="24"/>
        </w:rPr>
        <w:t> </w:t>
      </w:r>
      <w:r w:rsidRPr="001229DC">
        <w:rPr>
          <w:rFonts w:eastAsia="Calibri" w:cs="Times New Roman"/>
          <w:noProof/>
          <w:color w:val="000000"/>
          <w:szCs w:val="24"/>
        </w:rPr>
        <w:t xml:space="preserve">gadā veidoja 1,3 miljardus </w:t>
      </w:r>
      <w:r w:rsidRPr="001229DC">
        <w:rPr>
          <w:rFonts w:eastAsia="Calibri" w:cs="Times New Roman"/>
          <w:i/>
          <w:iCs/>
          <w:noProof/>
          <w:color w:val="000000"/>
          <w:szCs w:val="24"/>
        </w:rPr>
        <w:t>euro</w:t>
      </w:r>
      <w:r w:rsidRPr="001229DC">
        <w:rPr>
          <w:rFonts w:eastAsia="Calibri" w:cs="Times New Roman"/>
          <w:noProof/>
          <w:color w:val="000000"/>
          <w:szCs w:val="24"/>
        </w:rPr>
        <w:t xml:space="preserve"> jeb 4,</w:t>
      </w:r>
      <w:r>
        <w:rPr>
          <w:rFonts w:eastAsia="Calibri" w:cs="Times New Roman"/>
          <w:noProof/>
          <w:color w:val="000000"/>
          <w:szCs w:val="24"/>
        </w:rPr>
        <w:t>2</w:t>
      </w:r>
      <w:r w:rsidRPr="001229DC">
        <w:rPr>
          <w:rFonts w:eastAsia="Calibri" w:cs="Times New Roman"/>
          <w:noProof/>
          <w:color w:val="000000"/>
          <w:szCs w:val="24"/>
        </w:rPr>
        <w:t>% no IKP</w:t>
      </w:r>
      <w:r>
        <w:rPr>
          <w:rFonts w:eastAsia="Calibri" w:cs="Times New Roman"/>
          <w:noProof/>
          <w:color w:val="000000"/>
          <w:szCs w:val="24"/>
        </w:rPr>
        <w:t xml:space="preserve">, savukārt 2021. gadā kopējais atbalsts </w:t>
      </w:r>
      <w:r w:rsidRPr="001229DC">
        <w:rPr>
          <w:rFonts w:eastAsia="Calibri" w:cs="Times New Roman"/>
          <w:noProof/>
          <w:color w:val="000000"/>
          <w:szCs w:val="24"/>
        </w:rPr>
        <w:t xml:space="preserve">tika </w:t>
      </w:r>
      <w:r w:rsidRPr="00204BFB">
        <w:rPr>
          <w:rFonts w:eastAsia="Calibri" w:cs="Times New Roman"/>
          <w:noProof/>
          <w:color w:val="000000"/>
          <w:szCs w:val="24"/>
        </w:rPr>
        <w:t xml:space="preserve">sniegts 2,3 miljardu </w:t>
      </w:r>
      <w:r w:rsidRPr="00204BFB">
        <w:rPr>
          <w:rFonts w:eastAsia="Calibri" w:cs="Times New Roman"/>
          <w:i/>
          <w:iCs/>
          <w:noProof/>
          <w:color w:val="000000"/>
          <w:szCs w:val="24"/>
        </w:rPr>
        <w:t>euro</w:t>
      </w:r>
      <w:r w:rsidRPr="00204BFB">
        <w:rPr>
          <w:rFonts w:eastAsia="Calibri" w:cs="Times New Roman"/>
          <w:noProof/>
          <w:color w:val="000000"/>
          <w:szCs w:val="24"/>
        </w:rPr>
        <w:t xml:space="preserve"> apmērā jeb 6,8% no IKP. 2022. gadā visiem trim atbalsta veidiem plānoti līdzekļi 2,5 miljardi </w:t>
      </w:r>
      <w:r w:rsidRPr="00204BFB">
        <w:rPr>
          <w:rFonts w:eastAsia="Calibri" w:cs="Times New Roman"/>
          <w:i/>
          <w:iCs/>
          <w:noProof/>
          <w:color w:val="000000"/>
          <w:szCs w:val="24"/>
        </w:rPr>
        <w:t>euro</w:t>
      </w:r>
      <w:r w:rsidRPr="00204BFB">
        <w:rPr>
          <w:rFonts w:eastAsia="Calibri" w:cs="Times New Roman"/>
          <w:noProof/>
          <w:color w:val="000000"/>
          <w:szCs w:val="24"/>
        </w:rPr>
        <w:t xml:space="preserve"> jeb 6,3% no IKP, savukārt 2023. gadam šobrīd ieplānoti </w:t>
      </w:r>
      <w:r w:rsidRPr="005041AA">
        <w:rPr>
          <w:rFonts w:eastAsia="Calibri" w:cs="Times New Roman"/>
          <w:noProof/>
          <w:color w:val="000000"/>
          <w:szCs w:val="24"/>
        </w:rPr>
        <w:t>744 milj.</w:t>
      </w:r>
      <w:r w:rsidRPr="00204BFB">
        <w:rPr>
          <w:rFonts w:eastAsia="Calibri" w:cs="Times New Roman"/>
          <w:noProof/>
          <w:color w:val="000000"/>
          <w:szCs w:val="24"/>
        </w:rPr>
        <w:t xml:space="preserve"> </w:t>
      </w:r>
      <w:r w:rsidRPr="00204BFB">
        <w:rPr>
          <w:rFonts w:eastAsia="Calibri" w:cs="Times New Roman"/>
          <w:i/>
          <w:iCs/>
          <w:noProof/>
          <w:color w:val="000000"/>
          <w:szCs w:val="24"/>
        </w:rPr>
        <w:t>euro</w:t>
      </w:r>
      <w:r w:rsidRPr="00204BFB">
        <w:rPr>
          <w:rFonts w:eastAsia="Calibri" w:cs="Times New Roman"/>
          <w:noProof/>
          <w:color w:val="000000"/>
          <w:szCs w:val="24"/>
        </w:rPr>
        <w:t xml:space="preserve"> jeb 1,7% no IKP</w:t>
      </w:r>
      <w:r w:rsidRPr="001229DC">
        <w:rPr>
          <w:rFonts w:eastAsia="Calibri" w:cs="Times New Roman"/>
          <w:noProof/>
          <w:color w:val="000000"/>
          <w:szCs w:val="24"/>
        </w:rPr>
        <w:t>.</w:t>
      </w:r>
      <w:r w:rsidRPr="006F3CBF">
        <w:rPr>
          <w:rFonts w:eastAsia="Calibri" w:cs="Times New Roman"/>
          <w:noProof/>
          <w:color w:val="000000"/>
          <w:szCs w:val="24"/>
        </w:rPr>
        <w:t xml:space="preserve"> </w:t>
      </w:r>
    </w:p>
    <w:p w14:paraId="3E896BE0" w14:textId="4FE80870" w:rsidR="00FE3024" w:rsidRDefault="00FE3024" w:rsidP="00FE3024">
      <w:pPr>
        <w:ind w:firstLine="709"/>
        <w:rPr>
          <w:rFonts w:eastAsia="Calibri" w:cs="Times New Roman"/>
          <w:noProof/>
          <w:color w:val="000000"/>
          <w:szCs w:val="24"/>
        </w:rPr>
      </w:pPr>
      <w:r>
        <w:rPr>
          <w:rFonts w:eastAsia="Calibri" w:cs="Times New Roman"/>
          <w:noProof/>
          <w:color w:val="000000"/>
          <w:szCs w:val="24"/>
        </w:rPr>
        <w:t xml:space="preserve">Atbalsta ietekme uz vispārējās valdības budžeta bilanci ir negatīva, un 2020. gadā tā veidoja 3,2% no IKP, 2021. gadā 6,2% no IKP, savukārt FM vērtējumā atbalsta ietekme uz bilanci 2022. gadā būs </w:t>
      </w:r>
      <w:r w:rsidRPr="004669B2">
        <w:rPr>
          <w:rFonts w:eastAsia="Calibri" w:cs="Times New Roman"/>
          <w:noProof/>
          <w:color w:val="000000"/>
          <w:szCs w:val="24"/>
        </w:rPr>
        <w:t>4,0% no IKP</w:t>
      </w:r>
      <w:r>
        <w:rPr>
          <w:rFonts w:eastAsia="Calibri" w:cs="Times New Roman"/>
          <w:noProof/>
          <w:color w:val="000000"/>
          <w:szCs w:val="24"/>
        </w:rPr>
        <w:t xml:space="preserve"> un 2023. gadā </w:t>
      </w:r>
      <w:r w:rsidR="000348D7">
        <w:rPr>
          <w:rFonts w:eastAsia="Calibri" w:cs="Times New Roman"/>
          <w:noProof/>
          <w:color w:val="000000"/>
          <w:szCs w:val="24"/>
        </w:rPr>
        <w:t xml:space="preserve">tā </w:t>
      </w:r>
      <w:r>
        <w:rPr>
          <w:rFonts w:eastAsia="Calibri" w:cs="Times New Roman"/>
          <w:noProof/>
          <w:color w:val="000000"/>
          <w:szCs w:val="24"/>
        </w:rPr>
        <w:t>tiek prognozēta</w:t>
      </w:r>
      <w:r w:rsidR="00AD4588">
        <w:rPr>
          <w:rFonts w:eastAsia="Calibri" w:cs="Times New Roman"/>
          <w:noProof/>
          <w:color w:val="000000"/>
          <w:szCs w:val="24"/>
        </w:rPr>
        <w:t xml:space="preserve"> </w:t>
      </w:r>
      <w:r w:rsidRPr="004669B2">
        <w:rPr>
          <w:rFonts w:eastAsia="Calibri" w:cs="Times New Roman"/>
          <w:noProof/>
          <w:color w:val="000000"/>
          <w:szCs w:val="24"/>
        </w:rPr>
        <w:t>1,7% no IKP</w:t>
      </w:r>
      <w:r>
        <w:rPr>
          <w:rFonts w:eastAsia="Calibri" w:cs="Times New Roman"/>
          <w:noProof/>
          <w:color w:val="000000"/>
          <w:szCs w:val="24"/>
        </w:rPr>
        <w:t xml:space="preserve"> (skat. 24. attēlu). </w:t>
      </w:r>
    </w:p>
    <w:p w14:paraId="438AB8EE" w14:textId="427F26F3" w:rsidR="00E408C9" w:rsidRPr="006F3CBF" w:rsidRDefault="00E408C9" w:rsidP="000348D7">
      <w:pPr>
        <w:ind w:firstLine="0"/>
        <w:jc w:val="center"/>
        <w:rPr>
          <w:rFonts w:eastAsia="Calibri" w:cs="Times New Roman"/>
          <w:noProof/>
          <w:color w:val="000000"/>
          <w:szCs w:val="24"/>
        </w:rPr>
      </w:pPr>
      <w:r w:rsidRPr="00E408C9">
        <w:rPr>
          <w:noProof/>
        </w:rPr>
        <w:drawing>
          <wp:inline distT="0" distB="0" distL="0" distR="0" wp14:anchorId="0A393ABF" wp14:editId="77ADDEE5">
            <wp:extent cx="5040000" cy="276308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40000" cy="2763082"/>
                    </a:xfrm>
                    <a:prstGeom prst="rect">
                      <a:avLst/>
                    </a:prstGeom>
                    <a:noFill/>
                    <a:ln>
                      <a:noFill/>
                    </a:ln>
                  </pic:spPr>
                </pic:pic>
              </a:graphicData>
            </a:graphic>
          </wp:inline>
        </w:drawing>
      </w:r>
    </w:p>
    <w:p w14:paraId="40FFF9EE" w14:textId="692C184C" w:rsidR="00FE3024" w:rsidRDefault="00FE3024" w:rsidP="00FE3024">
      <w:pPr>
        <w:ind w:firstLine="709"/>
        <w:jc w:val="center"/>
        <w:rPr>
          <w:rFonts w:eastAsia="Calibri" w:cs="Times New Roman"/>
          <w:b/>
          <w:bCs/>
          <w:color w:val="000000"/>
          <w:szCs w:val="24"/>
        </w:rPr>
      </w:pPr>
      <w:r w:rsidRPr="008328F2">
        <w:rPr>
          <w:rFonts w:eastAsia="Calibri" w:cs="Times New Roman"/>
          <w:b/>
          <w:bCs/>
          <w:color w:val="000000"/>
          <w:szCs w:val="24"/>
        </w:rPr>
        <w:t>2</w:t>
      </w:r>
      <w:r>
        <w:rPr>
          <w:rFonts w:eastAsia="Calibri" w:cs="Times New Roman"/>
          <w:b/>
          <w:bCs/>
          <w:color w:val="000000"/>
          <w:szCs w:val="24"/>
        </w:rPr>
        <w:t>4</w:t>
      </w:r>
      <w:r w:rsidRPr="008328F2">
        <w:rPr>
          <w:rFonts w:eastAsia="Calibri" w:cs="Times New Roman"/>
          <w:b/>
          <w:bCs/>
          <w:color w:val="000000"/>
          <w:szCs w:val="24"/>
        </w:rPr>
        <w:t>.</w:t>
      </w:r>
      <w:r>
        <w:rPr>
          <w:rFonts w:eastAsia="Calibri" w:cs="Times New Roman"/>
          <w:b/>
          <w:bCs/>
          <w:color w:val="000000"/>
          <w:szCs w:val="24"/>
        </w:rPr>
        <w:t> </w:t>
      </w:r>
      <w:r w:rsidRPr="008328F2">
        <w:rPr>
          <w:rFonts w:eastAsia="Calibri" w:cs="Times New Roman"/>
          <w:b/>
          <w:bCs/>
          <w:color w:val="000000"/>
          <w:szCs w:val="24"/>
        </w:rPr>
        <w:t>attēls. Vispārējās valdības budžeta bilance pa komponentēm, % no IKP</w:t>
      </w:r>
    </w:p>
    <w:p w14:paraId="2FF13B6C" w14:textId="5A57AEFC" w:rsidR="00E23F13" w:rsidRDefault="00FE3024" w:rsidP="00E23F13">
      <w:pPr>
        <w:spacing w:before="280" w:after="60"/>
        <w:rPr>
          <w:rFonts w:eastAsia="Calibri" w:cs="Times New Roman"/>
          <w:b/>
          <w:bCs/>
          <w:color w:val="000000"/>
          <w:szCs w:val="24"/>
        </w:rPr>
      </w:pPr>
      <w:r w:rsidRPr="00E54DED">
        <w:rPr>
          <w:rFonts w:eastAsia="Calibri" w:cs="Times New Roman"/>
          <w:b/>
          <w:bCs/>
          <w:color w:val="000000"/>
          <w:szCs w:val="24"/>
        </w:rPr>
        <w:t>Covid-19 atbalst</w:t>
      </w:r>
      <w:r>
        <w:rPr>
          <w:rFonts w:eastAsia="Calibri" w:cs="Times New Roman"/>
          <w:b/>
          <w:bCs/>
          <w:color w:val="000000"/>
          <w:szCs w:val="24"/>
        </w:rPr>
        <w:t xml:space="preserve">s </w:t>
      </w:r>
    </w:p>
    <w:p w14:paraId="0F4491EC" w14:textId="3F764673" w:rsidR="00DF45A1" w:rsidRDefault="00E23F13" w:rsidP="00DF45A1">
      <w:pPr>
        <w:spacing w:after="60"/>
        <w:rPr>
          <w:noProof/>
          <w:color w:val="000000" w:themeColor="text1"/>
          <w:szCs w:val="24"/>
        </w:rPr>
      </w:pPr>
      <w:r>
        <w:rPr>
          <w:rFonts w:eastAsia="Calibri" w:cs="Times New Roman"/>
          <w:color w:val="000000"/>
          <w:szCs w:val="24"/>
        </w:rPr>
        <w:t>L</w:t>
      </w:r>
      <w:r w:rsidRPr="005041AA">
        <w:rPr>
          <w:rFonts w:eastAsia="Calibri" w:cs="Times New Roman"/>
          <w:color w:val="000000"/>
          <w:szCs w:val="24"/>
        </w:rPr>
        <w:t xml:space="preserve">ai nodrošinātu atbalstu iedzīvotājiem un uzņēmumiem Covid-19 krīzē, kopš 2020. gada valdība ir apstiprinājusi un realizē nozīmīgu atbalsta paketi. </w:t>
      </w:r>
      <w:r w:rsidR="00DF45A1">
        <w:rPr>
          <w:rFonts w:eastAsia="Calibri" w:cs="Times New Roman"/>
          <w:color w:val="000000"/>
          <w:szCs w:val="24"/>
        </w:rPr>
        <w:t xml:space="preserve">Ja 2020. gadā faktiskais Covid-19 atbalsts tautsaimniecībai tika sniegts 1,3 miljardu </w:t>
      </w:r>
      <w:r w:rsidR="00DF45A1" w:rsidRPr="00DF45A1">
        <w:rPr>
          <w:rFonts w:eastAsia="Calibri" w:cs="Times New Roman"/>
          <w:i/>
          <w:iCs/>
          <w:noProof/>
          <w:color w:val="000000"/>
          <w:szCs w:val="24"/>
        </w:rPr>
        <w:t>euro</w:t>
      </w:r>
      <w:r w:rsidR="00DF45A1">
        <w:rPr>
          <w:rFonts w:eastAsia="Calibri" w:cs="Times New Roman"/>
          <w:color w:val="000000"/>
          <w:szCs w:val="24"/>
        </w:rPr>
        <w:t xml:space="preserve"> jeb 4,2% no IKP apmērā, 2021. gadā 2,3 miljardu </w:t>
      </w:r>
      <w:r w:rsidR="00DF45A1" w:rsidRPr="00DF45A1">
        <w:rPr>
          <w:rFonts w:eastAsia="Calibri" w:cs="Times New Roman"/>
          <w:i/>
          <w:iCs/>
          <w:noProof/>
          <w:color w:val="000000"/>
          <w:szCs w:val="24"/>
        </w:rPr>
        <w:t>euro</w:t>
      </w:r>
      <w:r w:rsidR="00DF45A1">
        <w:rPr>
          <w:rFonts w:eastAsia="Calibri" w:cs="Times New Roman"/>
          <w:color w:val="000000"/>
          <w:szCs w:val="24"/>
        </w:rPr>
        <w:t xml:space="preserve"> jeb 6,8% no IKP apmērā, tad a</w:t>
      </w:r>
      <w:r w:rsidRPr="005041AA">
        <w:rPr>
          <w:color w:val="000000" w:themeColor="text1"/>
          <w:szCs w:val="24"/>
        </w:rPr>
        <w:t xml:space="preserve">tbilstoši Finanšu ministrijas </w:t>
      </w:r>
      <w:r w:rsidR="00DF45A1">
        <w:rPr>
          <w:color w:val="000000" w:themeColor="text1"/>
          <w:szCs w:val="24"/>
        </w:rPr>
        <w:t>novērtējumam, apkopojot valdības lēmumus līdz šā gada 6. decembrim, Covid-19 atbalsts</w:t>
      </w:r>
      <w:r w:rsidRPr="005041AA">
        <w:rPr>
          <w:color w:val="000000" w:themeColor="text1"/>
          <w:szCs w:val="24"/>
        </w:rPr>
        <w:t xml:space="preserve"> 2022. gadā </w:t>
      </w:r>
      <w:r w:rsidR="00DF45A1">
        <w:rPr>
          <w:color w:val="000000" w:themeColor="text1"/>
          <w:szCs w:val="24"/>
        </w:rPr>
        <w:t xml:space="preserve">tiek plānots </w:t>
      </w:r>
      <w:r w:rsidRPr="005041AA">
        <w:rPr>
          <w:color w:val="000000" w:themeColor="text1"/>
          <w:szCs w:val="24"/>
        </w:rPr>
        <w:t>1,6</w:t>
      </w:r>
      <w:r w:rsidR="00DF45A1">
        <w:rPr>
          <w:color w:val="000000" w:themeColor="text1"/>
          <w:szCs w:val="24"/>
        </w:rPr>
        <w:t> </w:t>
      </w:r>
      <w:r w:rsidRPr="005041AA">
        <w:rPr>
          <w:noProof/>
          <w:color w:val="000000" w:themeColor="text1"/>
          <w:szCs w:val="24"/>
        </w:rPr>
        <w:t>miljard</w:t>
      </w:r>
      <w:r w:rsidR="00DF45A1">
        <w:rPr>
          <w:noProof/>
          <w:color w:val="000000" w:themeColor="text1"/>
          <w:szCs w:val="24"/>
        </w:rPr>
        <w:t>u</w:t>
      </w:r>
      <w:r w:rsidRPr="005041AA">
        <w:rPr>
          <w:noProof/>
          <w:color w:val="000000" w:themeColor="text1"/>
          <w:szCs w:val="24"/>
        </w:rPr>
        <w:t xml:space="preserve"> </w:t>
      </w:r>
      <w:r w:rsidRPr="005041AA">
        <w:rPr>
          <w:i/>
          <w:noProof/>
          <w:color w:val="000000" w:themeColor="text1"/>
          <w:szCs w:val="24"/>
        </w:rPr>
        <w:t>euro</w:t>
      </w:r>
      <w:r w:rsidRPr="005041AA">
        <w:rPr>
          <w:noProof/>
          <w:color w:val="000000" w:themeColor="text1"/>
          <w:szCs w:val="24"/>
        </w:rPr>
        <w:t xml:space="preserve"> jeb 4% no IKP</w:t>
      </w:r>
      <w:r w:rsidR="00DF45A1">
        <w:rPr>
          <w:noProof/>
          <w:color w:val="000000" w:themeColor="text1"/>
          <w:szCs w:val="24"/>
        </w:rPr>
        <w:t xml:space="preserve"> apmērā</w:t>
      </w:r>
      <w:r w:rsidRPr="005041AA">
        <w:rPr>
          <w:noProof/>
          <w:color w:val="000000" w:themeColor="text1"/>
          <w:szCs w:val="24"/>
        </w:rPr>
        <w:t xml:space="preserve">, </w:t>
      </w:r>
      <w:r w:rsidR="00DF45A1">
        <w:rPr>
          <w:noProof/>
          <w:color w:val="000000" w:themeColor="text1"/>
          <w:szCs w:val="24"/>
        </w:rPr>
        <w:t>savukārt</w:t>
      </w:r>
      <w:r w:rsidRPr="005041AA">
        <w:rPr>
          <w:noProof/>
          <w:color w:val="000000" w:themeColor="text1"/>
          <w:szCs w:val="24"/>
        </w:rPr>
        <w:t xml:space="preserve"> 2023.</w:t>
      </w:r>
      <w:r w:rsidR="00DF45A1">
        <w:rPr>
          <w:noProof/>
          <w:color w:val="000000" w:themeColor="text1"/>
          <w:szCs w:val="24"/>
        </w:rPr>
        <w:t> </w:t>
      </w:r>
      <w:r w:rsidRPr="005041AA">
        <w:rPr>
          <w:noProof/>
          <w:color w:val="000000" w:themeColor="text1"/>
          <w:szCs w:val="24"/>
        </w:rPr>
        <w:t>gad</w:t>
      </w:r>
      <w:r w:rsidR="00DF45A1">
        <w:rPr>
          <w:noProof/>
          <w:color w:val="000000" w:themeColor="text1"/>
          <w:szCs w:val="24"/>
        </w:rPr>
        <w:t xml:space="preserve">ā </w:t>
      </w:r>
      <w:r w:rsidRPr="005041AA">
        <w:rPr>
          <w:noProof/>
          <w:color w:val="000000" w:themeColor="text1"/>
          <w:szCs w:val="24"/>
        </w:rPr>
        <w:t>0,</w:t>
      </w:r>
      <w:r w:rsidR="00DF45A1">
        <w:rPr>
          <w:noProof/>
          <w:color w:val="000000" w:themeColor="text1"/>
          <w:szCs w:val="24"/>
        </w:rPr>
        <w:t>1 </w:t>
      </w:r>
      <w:r w:rsidRPr="005041AA">
        <w:rPr>
          <w:noProof/>
          <w:color w:val="000000" w:themeColor="text1"/>
          <w:szCs w:val="24"/>
        </w:rPr>
        <w:t xml:space="preserve">miljarda </w:t>
      </w:r>
      <w:r w:rsidRPr="005041AA">
        <w:rPr>
          <w:i/>
          <w:noProof/>
          <w:color w:val="000000" w:themeColor="text1"/>
          <w:szCs w:val="24"/>
        </w:rPr>
        <w:t>euro</w:t>
      </w:r>
      <w:r w:rsidRPr="005041AA">
        <w:rPr>
          <w:noProof/>
          <w:color w:val="000000" w:themeColor="text1"/>
          <w:szCs w:val="24"/>
        </w:rPr>
        <w:t xml:space="preserve"> jeb 0,2% no IKP apmērā</w:t>
      </w:r>
      <w:r w:rsidR="00DF45A1">
        <w:rPr>
          <w:noProof/>
          <w:color w:val="000000" w:themeColor="text1"/>
          <w:szCs w:val="24"/>
        </w:rPr>
        <w:t xml:space="preserve"> </w:t>
      </w:r>
      <w:r w:rsidRPr="005041AA">
        <w:rPr>
          <w:noProof/>
          <w:color w:val="000000" w:themeColor="text1"/>
          <w:szCs w:val="24"/>
        </w:rPr>
        <w:t>(skat. 25. attēlu).</w:t>
      </w:r>
    </w:p>
    <w:p w14:paraId="0A532EFD" w14:textId="6A25212A" w:rsidR="00FE3024" w:rsidRPr="00DF45A1" w:rsidRDefault="00DF45A1" w:rsidP="00DF45A1">
      <w:pPr>
        <w:spacing w:before="0"/>
        <w:rPr>
          <w:rFonts w:eastAsia="Calibri" w:cs="Times New Roman"/>
          <w:color w:val="000000"/>
          <w:szCs w:val="24"/>
        </w:rPr>
      </w:pPr>
      <w:r>
        <w:rPr>
          <w:rFonts w:eastAsia="Calibri" w:cs="Times New Roman"/>
          <w:color w:val="000000"/>
          <w:szCs w:val="24"/>
        </w:rPr>
        <w:lastRenderedPageBreak/>
        <w:br/>
      </w:r>
      <w:r w:rsidR="00AF7289" w:rsidRPr="004525D4">
        <w:rPr>
          <w:noProof/>
          <w:color w:val="000000" w:themeColor="text1"/>
          <w:szCs w:val="24"/>
          <w:lang w:eastAsia="lv-LV"/>
        </w:rPr>
        <mc:AlternateContent>
          <mc:Choice Requires="wps">
            <w:drawing>
              <wp:anchor distT="45720" distB="45720" distL="114300" distR="114300" simplePos="0" relativeHeight="251659264" behindDoc="1" locked="0" layoutInCell="1" allowOverlap="1" wp14:anchorId="66C90541" wp14:editId="532796F8">
                <wp:simplePos x="0" y="0"/>
                <wp:positionH relativeFrom="margin">
                  <wp:align>right</wp:align>
                </wp:positionH>
                <wp:positionV relativeFrom="page">
                  <wp:posOffset>3143885</wp:posOffset>
                </wp:positionV>
                <wp:extent cx="2853055" cy="506730"/>
                <wp:effectExtent l="0" t="0" r="4445" b="762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055" cy="506730"/>
                        </a:xfrm>
                        <a:prstGeom prst="rect">
                          <a:avLst/>
                        </a:prstGeom>
                        <a:solidFill>
                          <a:srgbClr val="FFFFFF"/>
                        </a:solidFill>
                        <a:ln w="9525">
                          <a:noFill/>
                          <a:miter lim="800000"/>
                          <a:headEnd/>
                          <a:tailEnd/>
                        </a:ln>
                      </wps:spPr>
                      <wps:txbx>
                        <w:txbxContent>
                          <w:p w14:paraId="63AA1B4C" w14:textId="77777777" w:rsidR="00FE3024" w:rsidRPr="00317AFA" w:rsidRDefault="00FE3024" w:rsidP="00FE3024">
                            <w:pPr>
                              <w:ind w:firstLine="0"/>
                              <w:jc w:val="center"/>
                            </w:pPr>
                            <w:r>
                              <w:rPr>
                                <w:rFonts w:eastAsia="Times New Roman" w:cs="Times New Roman"/>
                                <w:b/>
                                <w:bCs/>
                                <w:color w:val="000000"/>
                                <w:szCs w:val="28"/>
                              </w:rPr>
                              <w:t>26</w:t>
                            </w:r>
                            <w:r w:rsidRPr="006E0164">
                              <w:rPr>
                                <w:rFonts w:eastAsia="Times New Roman" w:cs="Times New Roman"/>
                                <w:b/>
                                <w:bCs/>
                                <w:color w:val="000000"/>
                                <w:szCs w:val="28"/>
                              </w:rPr>
                              <w:t xml:space="preserve">. attēls. </w:t>
                            </w:r>
                            <w:r>
                              <w:rPr>
                                <w:rFonts w:eastAsia="Times New Roman" w:cs="Times New Roman"/>
                                <w:b/>
                                <w:bCs/>
                                <w:color w:val="000000"/>
                                <w:szCs w:val="28"/>
                              </w:rPr>
                              <w:t>Covid-19 a</w:t>
                            </w:r>
                            <w:r w:rsidRPr="006E0164">
                              <w:rPr>
                                <w:rFonts w:eastAsia="Times New Roman" w:cs="Times New Roman"/>
                                <w:b/>
                                <w:bCs/>
                                <w:color w:val="000000"/>
                                <w:szCs w:val="28"/>
                              </w:rPr>
                              <w:t xml:space="preserve">tbalsta ietekme uz budžeta bilanci, </w:t>
                            </w:r>
                            <w:r w:rsidRPr="006E0164">
                              <w:rPr>
                                <w:rFonts w:eastAsia="Times New Roman" w:cs="Times New Roman"/>
                                <w:b/>
                                <w:bCs/>
                                <w:noProof/>
                                <w:color w:val="000000"/>
                                <w:szCs w:val="28"/>
                              </w:rPr>
                              <w:t>milj</w:t>
                            </w:r>
                            <w:r w:rsidRPr="001504EC">
                              <w:rPr>
                                <w:rFonts w:eastAsia="Times New Roman" w:cs="Times New Roman"/>
                                <w:b/>
                                <w:bCs/>
                                <w:noProof/>
                                <w:color w:val="000000"/>
                                <w:szCs w:val="28"/>
                              </w:rPr>
                              <w:t xml:space="preserve">. </w:t>
                            </w:r>
                            <w:r w:rsidRPr="004B6E65">
                              <w:rPr>
                                <w:rFonts w:eastAsia="Times New Roman" w:cs="Times New Roman"/>
                                <w:b/>
                                <w:bCs/>
                                <w:i/>
                                <w:noProof/>
                                <w:color w:val="000000"/>
                                <w:szCs w:val="28"/>
                              </w:rPr>
                              <w:t>euro</w:t>
                            </w:r>
                            <w:r>
                              <w:rPr>
                                <w:rFonts w:eastAsia="Times New Roman" w:cs="Times New Roman"/>
                                <w:b/>
                                <w:bCs/>
                                <w:color w:val="000000"/>
                                <w:szCs w:val="28"/>
                              </w:rPr>
                              <w:t xml:space="preserve"> un % no IKP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C90541" id="_x0000_t202" coordsize="21600,21600" o:spt="202" path="m,l,21600r21600,l21600,xe">
                <v:stroke joinstyle="miter"/>
                <v:path gradientshapeok="t" o:connecttype="rect"/>
              </v:shapetype>
              <v:shape id="Text Box 2" o:spid="_x0000_s1026" type="#_x0000_t202" style="position:absolute;left:0;text-align:left;margin-left:173.45pt;margin-top:247.55pt;width:224.65pt;height:39.9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" stroked="f">
                <v:textbox>
                  <w:txbxContent>
                    <w:p w14:paraId="63AA1B4C" w14:textId="77777777" w:rsidR="00FE3024" w:rsidRPr="00317AFA" w:rsidRDefault="00FE3024" w:rsidP="00FE3024">
                      <w:pPr>
                        <w:ind w:firstLine="0"/>
                        <w:jc w:val="center"/>
                      </w:pPr>
                      <w:r>
                        <w:rPr>
                          <w:rFonts w:eastAsia="Times New Roman" w:cs="Times New Roman"/>
                          <w:b/>
                          <w:bCs/>
                          <w:color w:val="000000"/>
                          <w:szCs w:val="28"/>
                        </w:rPr>
                        <w:t>26</w:t>
                      </w:r>
                      <w:r w:rsidRPr="006E0164">
                        <w:rPr>
                          <w:rFonts w:eastAsia="Times New Roman" w:cs="Times New Roman"/>
                          <w:b/>
                          <w:bCs/>
                          <w:color w:val="000000"/>
                          <w:szCs w:val="28"/>
                        </w:rPr>
                        <w:t xml:space="preserve">. attēls. </w:t>
                      </w:r>
                      <w:r>
                        <w:rPr>
                          <w:rFonts w:eastAsia="Times New Roman" w:cs="Times New Roman"/>
                          <w:b/>
                          <w:bCs/>
                          <w:color w:val="000000"/>
                          <w:szCs w:val="28"/>
                        </w:rPr>
                        <w:t>Covid-19 a</w:t>
                      </w:r>
                      <w:r w:rsidRPr="006E0164">
                        <w:rPr>
                          <w:rFonts w:eastAsia="Times New Roman" w:cs="Times New Roman"/>
                          <w:b/>
                          <w:bCs/>
                          <w:color w:val="000000"/>
                          <w:szCs w:val="28"/>
                        </w:rPr>
                        <w:t xml:space="preserve">tbalsta ietekme uz budžeta bilanci, </w:t>
                      </w:r>
                      <w:r w:rsidRPr="006E0164">
                        <w:rPr>
                          <w:rFonts w:eastAsia="Times New Roman" w:cs="Times New Roman"/>
                          <w:b/>
                          <w:bCs/>
                          <w:noProof/>
                          <w:color w:val="000000"/>
                          <w:szCs w:val="28"/>
                        </w:rPr>
                        <w:t>milj</w:t>
                      </w:r>
                      <w:r w:rsidRPr="001504EC">
                        <w:rPr>
                          <w:rFonts w:eastAsia="Times New Roman" w:cs="Times New Roman"/>
                          <w:b/>
                          <w:bCs/>
                          <w:noProof/>
                          <w:color w:val="000000"/>
                          <w:szCs w:val="28"/>
                        </w:rPr>
                        <w:t xml:space="preserve">. </w:t>
                      </w:r>
                      <w:r w:rsidRPr="004B6E65">
                        <w:rPr>
                          <w:rFonts w:eastAsia="Times New Roman" w:cs="Times New Roman"/>
                          <w:b/>
                          <w:bCs/>
                          <w:i/>
                          <w:noProof/>
                          <w:color w:val="000000"/>
                          <w:szCs w:val="28"/>
                        </w:rPr>
                        <w:t>euro</w:t>
                      </w:r>
                      <w:r>
                        <w:rPr>
                          <w:rFonts w:eastAsia="Times New Roman" w:cs="Times New Roman"/>
                          <w:b/>
                          <w:bCs/>
                          <w:color w:val="000000"/>
                          <w:szCs w:val="28"/>
                        </w:rPr>
                        <w:t xml:space="preserve"> un % no IKP</w:t>
                      </w:r>
                    </w:p>
                  </w:txbxContent>
                </v:textbox>
                <w10:wrap type="square" anchorx="margin" anchory="page"/>
              </v:shape>
            </w:pict>
          </mc:Fallback>
        </mc:AlternateContent>
      </w:r>
      <w:r w:rsidR="00AF7289" w:rsidRPr="005041AA">
        <w:rPr>
          <w:noProof/>
          <w:color w:val="000000" w:themeColor="text1"/>
          <w:szCs w:val="24"/>
          <w:lang w:eastAsia="lv-LV"/>
        </w:rPr>
        <mc:AlternateContent>
          <mc:Choice Requires="wps">
            <w:drawing>
              <wp:anchor distT="45720" distB="45720" distL="114300" distR="114300" simplePos="0" relativeHeight="251660288" behindDoc="1" locked="0" layoutInCell="1" allowOverlap="1" wp14:anchorId="583E1EAD" wp14:editId="23CC12A4">
                <wp:simplePos x="0" y="0"/>
                <wp:positionH relativeFrom="margin">
                  <wp:posOffset>72059</wp:posOffset>
                </wp:positionH>
                <wp:positionV relativeFrom="page">
                  <wp:posOffset>3148192</wp:posOffset>
                </wp:positionV>
                <wp:extent cx="2878455" cy="53022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455" cy="530225"/>
                        </a:xfrm>
                        <a:prstGeom prst="rect">
                          <a:avLst/>
                        </a:prstGeom>
                        <a:noFill/>
                        <a:ln w="9525">
                          <a:noFill/>
                          <a:miter lim="800000"/>
                          <a:headEnd/>
                          <a:tailEnd/>
                        </a:ln>
                      </wps:spPr>
                      <wps:txbx>
                        <w:txbxContent>
                          <w:p w14:paraId="0FE62DB8" w14:textId="77777777" w:rsidR="00FE3024" w:rsidRPr="00E867D9" w:rsidRDefault="00FE3024" w:rsidP="00FE3024">
                            <w:pPr>
                              <w:ind w:firstLine="0"/>
                              <w:jc w:val="center"/>
                              <w:rPr>
                                <w:szCs w:val="24"/>
                              </w:rPr>
                            </w:pPr>
                            <w:r w:rsidRPr="00E867D9">
                              <w:rPr>
                                <w:rFonts w:eastAsia="Times New Roman" w:cs="Times New Roman"/>
                                <w:b/>
                                <w:bCs/>
                                <w:color w:val="000000"/>
                                <w:szCs w:val="24"/>
                              </w:rPr>
                              <w:t>2</w:t>
                            </w:r>
                            <w:r>
                              <w:rPr>
                                <w:rFonts w:eastAsia="Times New Roman" w:cs="Times New Roman"/>
                                <w:b/>
                                <w:bCs/>
                                <w:color w:val="000000"/>
                                <w:szCs w:val="24"/>
                              </w:rPr>
                              <w:t>5</w:t>
                            </w:r>
                            <w:r w:rsidRPr="00E867D9">
                              <w:rPr>
                                <w:rFonts w:eastAsia="Times New Roman" w:cs="Times New Roman"/>
                                <w:b/>
                                <w:bCs/>
                                <w:color w:val="000000"/>
                                <w:szCs w:val="24"/>
                              </w:rPr>
                              <w:t xml:space="preserve">.attēls. </w:t>
                            </w:r>
                            <w:r>
                              <w:rPr>
                                <w:rFonts w:eastAsia="Times New Roman" w:cs="Times New Roman"/>
                                <w:b/>
                                <w:bCs/>
                                <w:color w:val="000000"/>
                                <w:szCs w:val="24"/>
                              </w:rPr>
                              <w:t>Covid-19</w:t>
                            </w:r>
                            <w:r w:rsidRPr="00E867D9">
                              <w:rPr>
                                <w:rFonts w:eastAsia="Times New Roman" w:cs="Times New Roman"/>
                                <w:b/>
                                <w:bCs/>
                                <w:color w:val="000000"/>
                                <w:szCs w:val="24"/>
                              </w:rPr>
                              <w:t xml:space="preserve"> atbalsts tautsaimniecībai, milj.</w:t>
                            </w:r>
                            <w:r w:rsidRPr="00E867D9">
                              <w:rPr>
                                <w:rFonts w:eastAsia="Times New Roman" w:cs="Times New Roman"/>
                                <w:b/>
                                <w:bCs/>
                                <w:i/>
                                <w:iCs/>
                                <w:color w:val="000000"/>
                                <w:szCs w:val="24"/>
                              </w:rPr>
                              <w:t xml:space="preserve"> </w:t>
                            </w:r>
                            <w:r w:rsidRPr="00E867D9">
                              <w:rPr>
                                <w:rFonts w:eastAsia="Times New Roman" w:cs="Times New Roman"/>
                                <w:b/>
                                <w:bCs/>
                                <w:i/>
                                <w:iCs/>
                                <w:noProof/>
                                <w:color w:val="000000"/>
                                <w:szCs w:val="24"/>
                              </w:rPr>
                              <w:t>euro</w:t>
                            </w:r>
                            <w:r w:rsidRPr="00E867D9">
                              <w:rPr>
                                <w:rFonts w:eastAsia="Times New Roman" w:cs="Times New Roman"/>
                                <w:b/>
                                <w:bCs/>
                                <w:iCs/>
                                <w:noProof/>
                                <w:color w:val="000000"/>
                                <w:szCs w:val="24"/>
                              </w:rPr>
                              <w:t xml:space="preserve"> </w:t>
                            </w:r>
                            <w:r w:rsidRPr="00E867D9">
                              <w:rPr>
                                <w:rFonts w:eastAsia="Times New Roman" w:cs="Times New Roman"/>
                                <w:b/>
                                <w:bCs/>
                                <w:iCs/>
                                <w:color w:val="000000"/>
                                <w:szCs w:val="24"/>
                              </w:rPr>
                              <w:t>un % no IKP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E1EAD" id="_x0000_s1027" type="#_x0000_t202" style="position:absolute;left:0;text-align:left;margin-left:5.65pt;margin-top:247.9pt;width:226.65pt;height:41.7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" filled="f" stroked="f">
                <v:textbox>
                  <w:txbxContent>
                    <w:p w14:paraId="0FE62DB8" w14:textId="77777777" w:rsidR="00FE3024" w:rsidRPr="00E867D9" w:rsidRDefault="00FE3024" w:rsidP="00FE3024">
                      <w:pPr>
                        <w:ind w:firstLine="0"/>
                        <w:jc w:val="center"/>
                        <w:rPr>
                          <w:szCs w:val="24"/>
                        </w:rPr>
                      </w:pPr>
                      <w:r w:rsidRPr="00E867D9">
                        <w:rPr>
                          <w:rFonts w:eastAsia="Times New Roman" w:cs="Times New Roman"/>
                          <w:b/>
                          <w:bCs/>
                          <w:color w:val="000000"/>
                          <w:szCs w:val="24"/>
                        </w:rPr>
                        <w:t>2</w:t>
                      </w:r>
                      <w:r>
                        <w:rPr>
                          <w:rFonts w:eastAsia="Times New Roman" w:cs="Times New Roman"/>
                          <w:b/>
                          <w:bCs/>
                          <w:color w:val="000000"/>
                          <w:szCs w:val="24"/>
                        </w:rPr>
                        <w:t>5</w:t>
                      </w:r>
                      <w:r w:rsidRPr="00E867D9">
                        <w:rPr>
                          <w:rFonts w:eastAsia="Times New Roman" w:cs="Times New Roman"/>
                          <w:b/>
                          <w:bCs/>
                          <w:color w:val="000000"/>
                          <w:szCs w:val="24"/>
                        </w:rPr>
                        <w:t xml:space="preserve">.attēls. </w:t>
                      </w:r>
                      <w:r>
                        <w:rPr>
                          <w:rFonts w:eastAsia="Times New Roman" w:cs="Times New Roman"/>
                          <w:b/>
                          <w:bCs/>
                          <w:color w:val="000000"/>
                          <w:szCs w:val="24"/>
                        </w:rPr>
                        <w:t>Covid-19</w:t>
                      </w:r>
                      <w:r w:rsidRPr="00E867D9">
                        <w:rPr>
                          <w:rFonts w:eastAsia="Times New Roman" w:cs="Times New Roman"/>
                          <w:b/>
                          <w:bCs/>
                          <w:color w:val="000000"/>
                          <w:szCs w:val="24"/>
                        </w:rPr>
                        <w:t xml:space="preserve"> atbalsts tautsaimniecībai, milj.</w:t>
                      </w:r>
                      <w:r w:rsidRPr="00E867D9">
                        <w:rPr>
                          <w:rFonts w:eastAsia="Times New Roman" w:cs="Times New Roman"/>
                          <w:b/>
                          <w:bCs/>
                          <w:i/>
                          <w:iCs/>
                          <w:color w:val="000000"/>
                          <w:szCs w:val="24"/>
                        </w:rPr>
                        <w:t xml:space="preserve"> </w:t>
                      </w:r>
                      <w:r w:rsidRPr="00E867D9">
                        <w:rPr>
                          <w:rFonts w:eastAsia="Times New Roman" w:cs="Times New Roman"/>
                          <w:b/>
                          <w:bCs/>
                          <w:i/>
                          <w:iCs/>
                          <w:noProof/>
                          <w:color w:val="000000"/>
                          <w:szCs w:val="24"/>
                        </w:rPr>
                        <w:t>euro</w:t>
                      </w:r>
                      <w:r w:rsidRPr="00E867D9">
                        <w:rPr>
                          <w:rFonts w:eastAsia="Times New Roman" w:cs="Times New Roman"/>
                          <w:b/>
                          <w:bCs/>
                          <w:iCs/>
                          <w:noProof/>
                          <w:color w:val="000000"/>
                          <w:szCs w:val="24"/>
                        </w:rPr>
                        <w:t xml:space="preserve"> </w:t>
                      </w:r>
                      <w:r w:rsidRPr="00E867D9">
                        <w:rPr>
                          <w:rFonts w:eastAsia="Times New Roman" w:cs="Times New Roman"/>
                          <w:b/>
                          <w:bCs/>
                          <w:iCs/>
                          <w:color w:val="000000"/>
                          <w:szCs w:val="24"/>
                        </w:rPr>
                        <w:t>un % no IKP</w:t>
                      </w:r>
                    </w:p>
                  </w:txbxContent>
                </v:textbox>
                <w10:wrap type="square" anchorx="margin" anchory="page"/>
              </v:shape>
            </w:pict>
          </mc:Fallback>
        </mc:AlternateContent>
      </w:r>
      <w:r w:rsidR="00E23F13">
        <w:rPr>
          <w:rFonts w:cs="Times New Roman"/>
          <w:noProof/>
          <w:szCs w:val="24"/>
        </w:rPr>
        <w:drawing>
          <wp:anchor distT="0" distB="0" distL="114300" distR="114300" simplePos="0" relativeHeight="251661312" behindDoc="0" locked="0" layoutInCell="1" allowOverlap="1" wp14:anchorId="292E032B" wp14:editId="219EA426">
            <wp:simplePos x="0" y="0"/>
            <wp:positionH relativeFrom="margin">
              <wp:align>right</wp:align>
            </wp:positionH>
            <wp:positionV relativeFrom="paragraph">
              <wp:posOffset>92489</wp:posOffset>
            </wp:positionV>
            <wp:extent cx="5760085" cy="1972945"/>
            <wp:effectExtent l="0" t="0" r="0" b="8255"/>
            <wp:wrapTopAndBottom/>
            <wp:docPr id="1" name="Picture 1"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 waterfall char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85" cy="1972945"/>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cs="Times New Roman"/>
          <w:color w:val="000000"/>
          <w:szCs w:val="24"/>
        </w:rPr>
        <w:tab/>
      </w:r>
      <w:r w:rsidR="00FE3024" w:rsidRPr="005041AA">
        <w:rPr>
          <w:color w:val="000000" w:themeColor="text1"/>
          <w:szCs w:val="24"/>
        </w:rPr>
        <w:t>Līdz šā gada 30.</w:t>
      </w:r>
      <w:r>
        <w:rPr>
          <w:color w:val="000000" w:themeColor="text1"/>
          <w:szCs w:val="24"/>
        </w:rPr>
        <w:t> </w:t>
      </w:r>
      <w:r w:rsidR="00FE3024" w:rsidRPr="005041AA">
        <w:rPr>
          <w:color w:val="000000" w:themeColor="text1"/>
          <w:szCs w:val="24"/>
        </w:rPr>
        <w:t xml:space="preserve">novembrim faktiski izlietotā atbalsta apmērs sasniedzis 0,8 miljardus </w:t>
      </w:r>
      <w:r w:rsidR="00FE3024" w:rsidRPr="005041AA">
        <w:rPr>
          <w:i/>
          <w:noProof/>
          <w:color w:val="000000" w:themeColor="text1"/>
          <w:szCs w:val="24"/>
        </w:rPr>
        <w:t xml:space="preserve">euro </w:t>
      </w:r>
      <w:r w:rsidR="00FE3024" w:rsidRPr="005041AA">
        <w:rPr>
          <w:iCs/>
          <w:noProof/>
          <w:color w:val="000000" w:themeColor="text1"/>
          <w:szCs w:val="24"/>
        </w:rPr>
        <w:t>jeb 2,1% no IKP</w:t>
      </w:r>
      <w:r w:rsidR="00FE3024" w:rsidRPr="005041AA">
        <w:rPr>
          <w:noProof/>
          <w:color w:val="000000" w:themeColor="text1"/>
          <w:szCs w:val="24"/>
        </w:rPr>
        <w:t>. Ļoti nozīmīgu apmēru izdevumos veido grantu</w:t>
      </w:r>
      <w:r w:rsidR="00FE3024" w:rsidRPr="005041AA">
        <w:rPr>
          <w:color w:val="000000" w:themeColor="text1"/>
          <w:szCs w:val="24"/>
        </w:rPr>
        <w:t xml:space="preserve"> apgrozāmajiem līdzekļiem izmaksas, šogad veicot 6,9 tūkstošus maksājumus 4,2 tūkstošiem saņēmēju. Sagaidāms, ka gada nogalē izdevumi tiks veikti galvenokārt nozaru Covid-19 pasākumu finansēšanai, ar 30. jūniju noslēdzoties dažādu pabalstu izmaksai.</w:t>
      </w:r>
    </w:p>
    <w:p w14:paraId="343E53FD" w14:textId="3F050FE5" w:rsidR="00FE3024" w:rsidRPr="005041AA" w:rsidRDefault="00FE3024" w:rsidP="00DF45A1">
      <w:pPr>
        <w:rPr>
          <w:rFonts w:eastAsia="Times New Roman" w:cs="Times New Roman"/>
          <w:color w:val="000000"/>
          <w:szCs w:val="24"/>
        </w:rPr>
      </w:pPr>
      <w:r w:rsidRPr="005041AA">
        <w:rPr>
          <w:noProof/>
          <w:color w:val="000000" w:themeColor="text1"/>
          <w:szCs w:val="24"/>
        </w:rPr>
        <w:t xml:space="preserve">Aktualizējot vispārējās valdības budžeta bilances vidējam termiņam, tika ņemta vērā apstiprinātā atbalsta negatīvā ietekme uz budžeta bilanci (skat. 26. attēlu). </w:t>
      </w:r>
      <w:r w:rsidR="002E643D">
        <w:rPr>
          <w:noProof/>
          <w:color w:val="000000" w:themeColor="text1"/>
          <w:szCs w:val="24"/>
        </w:rPr>
        <w:t xml:space="preserve">Ja </w:t>
      </w:r>
      <w:r w:rsidRPr="005041AA">
        <w:rPr>
          <w:noProof/>
          <w:color w:val="000000" w:themeColor="text1"/>
          <w:szCs w:val="24"/>
        </w:rPr>
        <w:t xml:space="preserve">2021. gadā novērtētā ietekme uz vispārējās valdības budžeta bilanci veidoja 2,1 miljardu </w:t>
      </w:r>
      <w:r w:rsidRPr="005041AA">
        <w:rPr>
          <w:i/>
          <w:noProof/>
          <w:color w:val="000000" w:themeColor="text1"/>
          <w:szCs w:val="24"/>
        </w:rPr>
        <w:t>euro</w:t>
      </w:r>
      <w:r w:rsidRPr="005041AA">
        <w:rPr>
          <w:noProof/>
          <w:color w:val="000000" w:themeColor="text1"/>
          <w:szCs w:val="24"/>
        </w:rPr>
        <w:t xml:space="preserve"> jeb 6,2% no IKP</w:t>
      </w:r>
      <w:r w:rsidR="002E643D">
        <w:rPr>
          <w:noProof/>
          <w:color w:val="000000" w:themeColor="text1"/>
          <w:szCs w:val="24"/>
        </w:rPr>
        <w:t>, tad, b</w:t>
      </w:r>
      <w:r w:rsidRPr="005041AA">
        <w:rPr>
          <w:noProof/>
          <w:color w:val="000000" w:themeColor="text1"/>
          <w:szCs w:val="24"/>
        </w:rPr>
        <w:t xml:space="preserve">alstoties uz Finanšu ministrijas novērtējumu, 2022. gadā sagaidāms, ka ietekme saniegs 0,8 miljardus </w:t>
      </w:r>
      <w:r w:rsidRPr="005041AA">
        <w:rPr>
          <w:i/>
          <w:iCs/>
          <w:noProof/>
          <w:color w:val="000000" w:themeColor="text1"/>
          <w:szCs w:val="24"/>
        </w:rPr>
        <w:t>euro</w:t>
      </w:r>
      <w:r w:rsidRPr="005041AA">
        <w:rPr>
          <w:noProof/>
          <w:color w:val="000000" w:themeColor="text1"/>
          <w:szCs w:val="24"/>
        </w:rPr>
        <w:t xml:space="preserve"> jeb 2,1% no IKP. Savukārt 2023. gad</w:t>
      </w:r>
      <w:r w:rsidR="0019794B">
        <w:rPr>
          <w:noProof/>
          <w:color w:val="000000" w:themeColor="text1"/>
          <w:szCs w:val="24"/>
        </w:rPr>
        <w:t>ā</w:t>
      </w:r>
      <w:r w:rsidRPr="005041AA">
        <w:rPr>
          <w:noProof/>
          <w:color w:val="000000" w:themeColor="text1"/>
          <w:szCs w:val="24"/>
        </w:rPr>
        <w:t xml:space="preserve"> ietekme uz bilanci tiek vērtēta būtiski zemākā apmērā – 0,1 miljards </w:t>
      </w:r>
      <w:r w:rsidRPr="005041AA">
        <w:rPr>
          <w:i/>
          <w:noProof/>
          <w:color w:val="000000" w:themeColor="text1"/>
          <w:szCs w:val="24"/>
        </w:rPr>
        <w:t>euro</w:t>
      </w:r>
      <w:r w:rsidRPr="005041AA">
        <w:rPr>
          <w:noProof/>
          <w:color w:val="000000" w:themeColor="text1"/>
          <w:szCs w:val="24"/>
        </w:rPr>
        <w:t xml:space="preserve"> jeb 0,2% no IKP, galvenokārt turpinot realizēt augstas gatavības investīciju projektus, kas uzsākti šogad, kā arī paredzot finansējumu Covid-19 vakcīnu iegādei.</w:t>
      </w:r>
      <w:r w:rsidRPr="005041AA">
        <w:rPr>
          <w:rFonts w:eastAsia="Times New Roman" w:cs="Times New Roman"/>
          <w:noProof/>
          <w:color w:val="000000"/>
          <w:szCs w:val="24"/>
        </w:rPr>
        <w:t xml:space="preserve"> </w:t>
      </w:r>
    </w:p>
    <w:p w14:paraId="5628CD9A" w14:textId="5884A7B6" w:rsidR="00FE3024" w:rsidRPr="005041AA" w:rsidRDefault="00FE3024" w:rsidP="00FE3024">
      <w:pPr>
        <w:rPr>
          <w:color w:val="000000" w:themeColor="text1"/>
          <w:szCs w:val="24"/>
        </w:rPr>
      </w:pPr>
      <w:r w:rsidRPr="005041AA">
        <w:rPr>
          <w:rFonts w:eastAsia="Times New Roman" w:cs="Times New Roman"/>
          <w:color w:val="000000"/>
          <w:szCs w:val="24"/>
        </w:rPr>
        <w:t>Pieņemtos atbalsta pasākumu</w:t>
      </w:r>
      <w:r w:rsidR="00A648D3">
        <w:rPr>
          <w:rFonts w:eastAsia="Times New Roman" w:cs="Times New Roman"/>
          <w:color w:val="000000"/>
          <w:szCs w:val="24"/>
        </w:rPr>
        <w:t>s</w:t>
      </w:r>
      <w:r w:rsidRPr="005041AA">
        <w:rPr>
          <w:rFonts w:eastAsia="Times New Roman" w:cs="Times New Roman"/>
          <w:color w:val="000000"/>
          <w:szCs w:val="24"/>
        </w:rPr>
        <w:t xml:space="preserve"> Covid-19 krīzes pārvarēšanai var sadalīt </w:t>
      </w:r>
      <w:r w:rsidR="001072B4">
        <w:rPr>
          <w:rFonts w:eastAsia="Times New Roman" w:cs="Times New Roman"/>
          <w:color w:val="000000"/>
          <w:szCs w:val="24"/>
        </w:rPr>
        <w:t>vairākās</w:t>
      </w:r>
      <w:r w:rsidRPr="005041AA">
        <w:rPr>
          <w:rFonts w:eastAsia="Times New Roman" w:cs="Times New Roman"/>
          <w:color w:val="000000"/>
          <w:szCs w:val="24"/>
        </w:rPr>
        <w:t xml:space="preserve"> kategorijās – atbalsts nodokļu jomā, atbalsts pabalstu jomā, atbalsts aizdevumu un garantiju jomā, atbalsts nozarēm</w:t>
      </w:r>
      <w:r w:rsidR="001072B4">
        <w:rPr>
          <w:rFonts w:eastAsia="Times New Roman" w:cs="Times New Roman"/>
          <w:color w:val="000000"/>
          <w:szCs w:val="24"/>
        </w:rPr>
        <w:t>.</w:t>
      </w:r>
      <w:r w:rsidRPr="005041AA">
        <w:rPr>
          <w:rFonts w:eastAsia="Times New Roman" w:cs="Times New Roman"/>
          <w:color w:val="000000"/>
          <w:szCs w:val="24"/>
        </w:rPr>
        <w:t xml:space="preserve"> Pasākumi ar lielāko fiskālo ietekmi katrā </w:t>
      </w:r>
      <w:r w:rsidR="001072B4">
        <w:rPr>
          <w:rFonts w:eastAsia="Times New Roman" w:cs="Times New Roman"/>
          <w:color w:val="000000"/>
          <w:szCs w:val="24"/>
        </w:rPr>
        <w:t>kategorijā</w:t>
      </w:r>
      <w:r w:rsidRPr="005041AA">
        <w:rPr>
          <w:rFonts w:eastAsia="Times New Roman" w:cs="Times New Roman"/>
          <w:color w:val="000000"/>
          <w:szCs w:val="24"/>
        </w:rPr>
        <w:t xml:space="preserve"> ir atspoguļoti</w:t>
      </w:r>
      <w:r w:rsidRPr="005041AA">
        <w:rPr>
          <w:color w:val="000000" w:themeColor="text1"/>
          <w:szCs w:val="24"/>
        </w:rPr>
        <w:t xml:space="preserve"> </w:t>
      </w:r>
      <w:r w:rsidR="00383816">
        <w:rPr>
          <w:color w:val="000000" w:themeColor="text1"/>
          <w:szCs w:val="24"/>
        </w:rPr>
        <w:t>6</w:t>
      </w:r>
      <w:r w:rsidRPr="005041AA">
        <w:rPr>
          <w:color w:val="000000" w:themeColor="text1"/>
          <w:szCs w:val="24"/>
        </w:rPr>
        <w:t>. tabulā.</w:t>
      </w:r>
    </w:p>
    <w:p w14:paraId="76646BBA" w14:textId="5F2C0E3A" w:rsidR="00FE3024" w:rsidRDefault="00383816" w:rsidP="00FE3024">
      <w:pPr>
        <w:spacing w:after="60"/>
        <w:ind w:firstLine="0"/>
        <w:jc w:val="center"/>
        <w:rPr>
          <w:rFonts w:eastAsia="Calibri" w:cs="Times New Roman"/>
          <w:b/>
          <w:noProof/>
          <w:szCs w:val="24"/>
        </w:rPr>
      </w:pPr>
      <w:r>
        <w:rPr>
          <w:rFonts w:eastAsia="Calibri" w:cs="Times New Roman"/>
          <w:b/>
          <w:szCs w:val="24"/>
        </w:rPr>
        <w:t>6</w:t>
      </w:r>
      <w:r w:rsidR="00FE3024" w:rsidRPr="005041AA">
        <w:rPr>
          <w:rFonts w:eastAsia="Calibri" w:cs="Times New Roman"/>
          <w:b/>
          <w:szCs w:val="24"/>
        </w:rPr>
        <w:t xml:space="preserve">. tabula. </w:t>
      </w:r>
      <w:r w:rsidR="00FE3024" w:rsidRPr="005041AA">
        <w:rPr>
          <w:rFonts w:eastAsia="Calibri" w:cs="Times New Roman"/>
          <w:b/>
          <w:noProof/>
          <w:szCs w:val="24"/>
        </w:rPr>
        <w:t>Atbalsts Covid-19 izraisītās krīzes seku mazināšanai tautsaimniecībā</w:t>
      </w:r>
      <w:r w:rsidR="00FE3024" w:rsidRPr="00AC24F7">
        <w:rPr>
          <w:rFonts w:eastAsia="Calibri" w:cs="Times New Roman"/>
          <w:b/>
          <w:noProof/>
          <w:szCs w:val="24"/>
        </w:rPr>
        <w:t xml:space="preserve"> un t</w:t>
      </w:r>
      <w:r w:rsidR="00FE3024">
        <w:rPr>
          <w:rFonts w:eastAsia="Calibri" w:cs="Times New Roman"/>
          <w:b/>
          <w:noProof/>
          <w:szCs w:val="24"/>
        </w:rPr>
        <w:t xml:space="preserve">ā </w:t>
      </w:r>
      <w:r w:rsidR="00FE3024" w:rsidRPr="00AC24F7">
        <w:rPr>
          <w:rFonts w:eastAsia="Calibri" w:cs="Times New Roman"/>
          <w:b/>
          <w:noProof/>
          <w:szCs w:val="24"/>
        </w:rPr>
        <w:t xml:space="preserve">fiskālā ietekme, % no IKP un milj. </w:t>
      </w:r>
      <w:r w:rsidR="00FE3024" w:rsidRPr="00AC24F7">
        <w:rPr>
          <w:rFonts w:eastAsia="Calibri" w:cs="Times New Roman"/>
          <w:b/>
          <w:i/>
          <w:noProof/>
          <w:szCs w:val="24"/>
        </w:rPr>
        <w:t>euro</w:t>
      </w:r>
    </w:p>
    <w:tbl>
      <w:tblPr>
        <w:tblStyle w:val="TableGrid1"/>
        <w:tblW w:w="9351" w:type="dxa"/>
        <w:jc w:val="center"/>
        <w:tblLayout w:type="fixed"/>
        <w:tblLook w:val="04A0" w:firstRow="1" w:lastRow="0" w:firstColumn="1" w:lastColumn="0" w:noHBand="0" w:noVBand="1"/>
      </w:tblPr>
      <w:tblGrid>
        <w:gridCol w:w="2689"/>
        <w:gridCol w:w="850"/>
        <w:gridCol w:w="992"/>
        <w:gridCol w:w="851"/>
        <w:gridCol w:w="1134"/>
        <w:gridCol w:w="992"/>
        <w:gridCol w:w="851"/>
        <w:gridCol w:w="992"/>
      </w:tblGrid>
      <w:tr w:rsidR="00C158D2" w:rsidRPr="00F42440" w14:paraId="43CBB8A7" w14:textId="77777777" w:rsidTr="00A648D3">
        <w:trPr>
          <w:trHeight w:val="199"/>
          <w:tblHeader/>
          <w:jc w:val="center"/>
        </w:trPr>
        <w:tc>
          <w:tcPr>
            <w:tcW w:w="2689" w:type="dxa"/>
            <w:vMerge w:val="restart"/>
            <w:shd w:val="clear" w:color="auto" w:fill="BDD6EE" w:themeFill="accent1" w:themeFillTint="66"/>
            <w:noWrap/>
            <w:vAlign w:val="center"/>
            <w:hideMark/>
          </w:tcPr>
          <w:p w14:paraId="0585B629" w14:textId="292435F9" w:rsidR="00C158D2" w:rsidRPr="00BE56E3" w:rsidRDefault="00C158D2" w:rsidP="00494C19">
            <w:pPr>
              <w:spacing w:before="0" w:after="0"/>
              <w:ind w:firstLine="0"/>
              <w:jc w:val="center"/>
              <w:rPr>
                <w:rFonts w:eastAsia="Times New Roman"/>
                <w:b/>
                <w:bCs/>
                <w:color w:val="000000"/>
                <w:sz w:val="18"/>
                <w:szCs w:val="18"/>
              </w:rPr>
            </w:pPr>
          </w:p>
        </w:tc>
        <w:tc>
          <w:tcPr>
            <w:tcW w:w="1842" w:type="dxa"/>
            <w:gridSpan w:val="2"/>
            <w:shd w:val="clear" w:color="auto" w:fill="BDD6EE" w:themeFill="accent1" w:themeFillTint="66"/>
            <w:noWrap/>
          </w:tcPr>
          <w:p w14:paraId="75A9F279" w14:textId="77777777" w:rsidR="00C158D2" w:rsidRPr="00BE56E3" w:rsidRDefault="00C158D2" w:rsidP="00494C19">
            <w:pPr>
              <w:spacing w:before="0" w:after="0"/>
              <w:ind w:firstLine="0"/>
              <w:jc w:val="center"/>
              <w:rPr>
                <w:rFonts w:eastAsia="Times New Roman"/>
                <w:b/>
                <w:bCs/>
                <w:color w:val="000000"/>
                <w:sz w:val="18"/>
                <w:szCs w:val="18"/>
              </w:rPr>
            </w:pPr>
            <w:r w:rsidRPr="00BE56E3">
              <w:rPr>
                <w:rFonts w:eastAsia="Times New Roman"/>
                <w:b/>
                <w:bCs/>
                <w:color w:val="000000"/>
                <w:sz w:val="18"/>
                <w:szCs w:val="18"/>
              </w:rPr>
              <w:t>2021</w:t>
            </w:r>
          </w:p>
        </w:tc>
        <w:tc>
          <w:tcPr>
            <w:tcW w:w="2977" w:type="dxa"/>
            <w:gridSpan w:val="3"/>
            <w:shd w:val="clear" w:color="auto" w:fill="BDD6EE" w:themeFill="accent1" w:themeFillTint="66"/>
            <w:noWrap/>
          </w:tcPr>
          <w:p w14:paraId="13C7F2E9" w14:textId="77777777" w:rsidR="00C158D2" w:rsidRPr="00BE56E3" w:rsidRDefault="00C158D2" w:rsidP="00494C19">
            <w:pPr>
              <w:spacing w:before="0" w:after="0"/>
              <w:ind w:firstLine="0"/>
              <w:jc w:val="center"/>
              <w:rPr>
                <w:rFonts w:eastAsia="Times New Roman"/>
                <w:b/>
                <w:bCs/>
                <w:color w:val="000000"/>
                <w:sz w:val="18"/>
                <w:szCs w:val="18"/>
              </w:rPr>
            </w:pPr>
            <w:r w:rsidRPr="00BE56E3">
              <w:rPr>
                <w:rFonts w:eastAsia="Times New Roman"/>
                <w:b/>
                <w:bCs/>
                <w:color w:val="000000"/>
                <w:sz w:val="18"/>
                <w:szCs w:val="18"/>
              </w:rPr>
              <w:t>2022</w:t>
            </w:r>
          </w:p>
        </w:tc>
        <w:tc>
          <w:tcPr>
            <w:tcW w:w="1843" w:type="dxa"/>
            <w:gridSpan w:val="2"/>
            <w:shd w:val="clear" w:color="auto" w:fill="BDD6EE" w:themeFill="accent1" w:themeFillTint="66"/>
          </w:tcPr>
          <w:p w14:paraId="78BE9E4C" w14:textId="77777777" w:rsidR="00C158D2" w:rsidRPr="00BE56E3" w:rsidRDefault="00C158D2" w:rsidP="00494C19">
            <w:pPr>
              <w:spacing w:before="0" w:after="0"/>
              <w:ind w:firstLine="0"/>
              <w:jc w:val="center"/>
              <w:rPr>
                <w:rFonts w:eastAsia="Times New Roman"/>
                <w:b/>
                <w:bCs/>
                <w:color w:val="000000"/>
                <w:sz w:val="18"/>
                <w:szCs w:val="18"/>
              </w:rPr>
            </w:pPr>
            <w:r w:rsidRPr="00BE56E3">
              <w:rPr>
                <w:rFonts w:eastAsia="Times New Roman"/>
                <w:b/>
                <w:bCs/>
                <w:color w:val="000000"/>
                <w:sz w:val="18"/>
                <w:szCs w:val="18"/>
              </w:rPr>
              <w:t>2023</w:t>
            </w:r>
          </w:p>
        </w:tc>
      </w:tr>
      <w:tr w:rsidR="00C158D2" w:rsidRPr="00F42440" w14:paraId="14D45252" w14:textId="77777777" w:rsidTr="00A648D3">
        <w:trPr>
          <w:trHeight w:val="455"/>
          <w:tblHeader/>
          <w:jc w:val="center"/>
        </w:trPr>
        <w:tc>
          <w:tcPr>
            <w:tcW w:w="2689" w:type="dxa"/>
            <w:vMerge/>
            <w:shd w:val="clear" w:color="auto" w:fill="BDD6EE" w:themeFill="accent1" w:themeFillTint="66"/>
            <w:hideMark/>
          </w:tcPr>
          <w:p w14:paraId="7977BFFF" w14:textId="77777777" w:rsidR="00C158D2" w:rsidRPr="00BE56E3" w:rsidRDefault="00C158D2" w:rsidP="00494C19">
            <w:pPr>
              <w:spacing w:before="0" w:after="0"/>
              <w:rPr>
                <w:rFonts w:eastAsia="Times New Roman"/>
                <w:b/>
                <w:bCs/>
                <w:color w:val="000000"/>
                <w:sz w:val="18"/>
                <w:szCs w:val="18"/>
              </w:rPr>
            </w:pPr>
          </w:p>
        </w:tc>
        <w:tc>
          <w:tcPr>
            <w:tcW w:w="1842" w:type="dxa"/>
            <w:gridSpan w:val="2"/>
            <w:shd w:val="clear" w:color="auto" w:fill="BDD6EE" w:themeFill="accent1" w:themeFillTint="66"/>
            <w:noWrap/>
          </w:tcPr>
          <w:p w14:paraId="5E8BC229" w14:textId="431CD5BD" w:rsidR="00C158D2" w:rsidRPr="00BE56E3" w:rsidRDefault="00C158D2" w:rsidP="00494C19">
            <w:pPr>
              <w:spacing w:before="0" w:after="0"/>
              <w:ind w:firstLine="0"/>
              <w:jc w:val="center"/>
              <w:rPr>
                <w:rFonts w:eastAsia="Times New Roman"/>
                <w:b/>
                <w:bCs/>
                <w:color w:val="000000"/>
                <w:sz w:val="18"/>
                <w:szCs w:val="18"/>
              </w:rPr>
            </w:pPr>
            <w:r>
              <w:rPr>
                <w:rFonts w:eastAsia="Times New Roman"/>
                <w:b/>
                <w:bCs/>
                <w:color w:val="000000"/>
                <w:sz w:val="18"/>
                <w:szCs w:val="18"/>
              </w:rPr>
              <w:t>Izpilde</w:t>
            </w:r>
          </w:p>
        </w:tc>
        <w:tc>
          <w:tcPr>
            <w:tcW w:w="851" w:type="dxa"/>
            <w:shd w:val="clear" w:color="auto" w:fill="BDD6EE" w:themeFill="accent1" w:themeFillTint="66"/>
          </w:tcPr>
          <w:p w14:paraId="32A47A29" w14:textId="1F932BAC" w:rsidR="00C158D2" w:rsidRPr="00BE56E3" w:rsidRDefault="00C158D2" w:rsidP="00494C19">
            <w:pPr>
              <w:spacing w:before="0" w:after="0"/>
              <w:ind w:firstLine="0"/>
              <w:jc w:val="center"/>
              <w:rPr>
                <w:rFonts w:eastAsia="Times New Roman"/>
                <w:b/>
                <w:bCs/>
                <w:color w:val="000000"/>
                <w:sz w:val="18"/>
                <w:szCs w:val="18"/>
              </w:rPr>
            </w:pPr>
            <w:r w:rsidRPr="00BE56E3">
              <w:rPr>
                <w:rFonts w:eastAsia="Times New Roman"/>
                <w:b/>
                <w:bCs/>
                <w:color w:val="000000"/>
                <w:sz w:val="18"/>
                <w:szCs w:val="18"/>
              </w:rPr>
              <w:t xml:space="preserve">Plāns </w:t>
            </w:r>
          </w:p>
        </w:tc>
        <w:tc>
          <w:tcPr>
            <w:tcW w:w="1134" w:type="dxa"/>
            <w:shd w:val="clear" w:color="auto" w:fill="BDD6EE" w:themeFill="accent1" w:themeFillTint="66"/>
          </w:tcPr>
          <w:p w14:paraId="6AEF4A83" w14:textId="418868AB" w:rsidR="00C158D2" w:rsidRPr="00BE56E3" w:rsidRDefault="00C158D2" w:rsidP="00494C19">
            <w:pPr>
              <w:spacing w:before="0" w:after="0"/>
              <w:ind w:firstLine="0"/>
              <w:jc w:val="center"/>
              <w:rPr>
                <w:rFonts w:eastAsia="Times New Roman"/>
                <w:b/>
                <w:bCs/>
                <w:color w:val="000000"/>
                <w:sz w:val="18"/>
                <w:szCs w:val="18"/>
              </w:rPr>
            </w:pPr>
            <w:r w:rsidRPr="00BE56E3">
              <w:rPr>
                <w:rFonts w:eastAsia="Times New Roman"/>
                <w:b/>
                <w:bCs/>
                <w:color w:val="000000"/>
                <w:sz w:val="18"/>
                <w:szCs w:val="18"/>
              </w:rPr>
              <w:t>Operatīvā izpilde līdz 30.11</w:t>
            </w:r>
            <w:r>
              <w:rPr>
                <w:rFonts w:eastAsia="Times New Roman"/>
                <w:b/>
                <w:bCs/>
                <w:color w:val="000000"/>
                <w:sz w:val="18"/>
                <w:szCs w:val="18"/>
              </w:rPr>
              <w:t>.2022</w:t>
            </w:r>
          </w:p>
        </w:tc>
        <w:tc>
          <w:tcPr>
            <w:tcW w:w="992" w:type="dxa"/>
            <w:shd w:val="clear" w:color="auto" w:fill="BDD6EE" w:themeFill="accent1" w:themeFillTint="66"/>
          </w:tcPr>
          <w:p w14:paraId="790A78B3" w14:textId="3F7DA399" w:rsidR="00C158D2" w:rsidRPr="00BE56E3" w:rsidRDefault="00C158D2" w:rsidP="00494C19">
            <w:pPr>
              <w:spacing w:before="0" w:after="0"/>
              <w:ind w:firstLine="0"/>
              <w:jc w:val="center"/>
              <w:rPr>
                <w:rFonts w:eastAsia="Times New Roman"/>
                <w:b/>
                <w:bCs/>
                <w:color w:val="000000"/>
                <w:sz w:val="18"/>
                <w:szCs w:val="18"/>
              </w:rPr>
            </w:pPr>
            <w:r>
              <w:rPr>
                <w:rFonts w:eastAsia="Times New Roman"/>
                <w:b/>
                <w:bCs/>
                <w:color w:val="000000"/>
                <w:sz w:val="18"/>
                <w:szCs w:val="18"/>
              </w:rPr>
              <w:t>Novērtē-jums</w:t>
            </w:r>
          </w:p>
        </w:tc>
        <w:tc>
          <w:tcPr>
            <w:tcW w:w="851" w:type="dxa"/>
            <w:shd w:val="clear" w:color="auto" w:fill="BDD6EE" w:themeFill="accent1" w:themeFillTint="66"/>
          </w:tcPr>
          <w:p w14:paraId="21C567A3" w14:textId="12F18E4D" w:rsidR="00C158D2" w:rsidRPr="00BE56E3" w:rsidRDefault="00C158D2" w:rsidP="00494C19">
            <w:pPr>
              <w:spacing w:before="0" w:after="0"/>
              <w:ind w:firstLine="0"/>
              <w:jc w:val="center"/>
              <w:rPr>
                <w:rFonts w:eastAsia="Times New Roman"/>
                <w:b/>
                <w:bCs/>
                <w:color w:val="000000"/>
                <w:sz w:val="18"/>
                <w:szCs w:val="18"/>
              </w:rPr>
            </w:pPr>
            <w:r>
              <w:rPr>
                <w:rFonts w:eastAsia="Times New Roman"/>
                <w:b/>
                <w:bCs/>
                <w:color w:val="000000"/>
                <w:sz w:val="18"/>
                <w:szCs w:val="18"/>
              </w:rPr>
              <w:t xml:space="preserve">Plāns </w:t>
            </w:r>
          </w:p>
        </w:tc>
        <w:tc>
          <w:tcPr>
            <w:tcW w:w="992" w:type="dxa"/>
            <w:shd w:val="clear" w:color="auto" w:fill="BDD6EE" w:themeFill="accent1" w:themeFillTint="66"/>
          </w:tcPr>
          <w:p w14:paraId="2D258E64" w14:textId="0C0C17D2" w:rsidR="00C158D2" w:rsidRPr="00BE56E3" w:rsidRDefault="00DC2FD8" w:rsidP="00494C19">
            <w:pPr>
              <w:spacing w:before="0" w:after="0"/>
              <w:ind w:firstLine="0"/>
              <w:jc w:val="center"/>
              <w:rPr>
                <w:rFonts w:eastAsia="Times New Roman"/>
                <w:b/>
                <w:bCs/>
                <w:color w:val="000000"/>
                <w:sz w:val="18"/>
                <w:szCs w:val="18"/>
              </w:rPr>
            </w:pPr>
            <w:r>
              <w:rPr>
                <w:rFonts w:eastAsia="Times New Roman"/>
                <w:b/>
                <w:bCs/>
                <w:color w:val="000000"/>
                <w:sz w:val="18"/>
                <w:szCs w:val="18"/>
              </w:rPr>
              <w:t>Novērtē-jums</w:t>
            </w:r>
            <w:r w:rsidR="00C158D2" w:rsidRPr="00BE56E3">
              <w:rPr>
                <w:rFonts w:eastAsia="Times New Roman"/>
                <w:b/>
                <w:bCs/>
                <w:color w:val="000000"/>
                <w:sz w:val="18"/>
                <w:szCs w:val="18"/>
              </w:rPr>
              <w:t xml:space="preserve"> </w:t>
            </w:r>
          </w:p>
        </w:tc>
      </w:tr>
      <w:tr w:rsidR="00C158D2" w:rsidRPr="00F42440" w14:paraId="4EFA37EE" w14:textId="77777777" w:rsidTr="00A648D3">
        <w:trPr>
          <w:trHeight w:val="199"/>
          <w:jc w:val="center"/>
        </w:trPr>
        <w:tc>
          <w:tcPr>
            <w:tcW w:w="2689" w:type="dxa"/>
            <w:vMerge/>
            <w:shd w:val="clear" w:color="auto" w:fill="BDD6EE" w:themeFill="accent1" w:themeFillTint="66"/>
            <w:noWrap/>
          </w:tcPr>
          <w:p w14:paraId="3066CBE9" w14:textId="3ABEDA6B" w:rsidR="00C158D2" w:rsidRPr="00BE56E3" w:rsidRDefault="00C158D2" w:rsidP="00494C19">
            <w:pPr>
              <w:spacing w:before="0" w:after="0"/>
              <w:ind w:firstLine="0"/>
              <w:rPr>
                <w:rFonts w:eastAsia="Times New Roman"/>
                <w:b/>
                <w:bCs/>
                <w:color w:val="000000"/>
                <w:sz w:val="18"/>
                <w:szCs w:val="18"/>
              </w:rPr>
            </w:pPr>
          </w:p>
        </w:tc>
        <w:tc>
          <w:tcPr>
            <w:tcW w:w="850" w:type="dxa"/>
            <w:shd w:val="clear" w:color="auto" w:fill="BDD6EE" w:themeFill="accent1" w:themeFillTint="66"/>
            <w:noWrap/>
          </w:tcPr>
          <w:p w14:paraId="72A9855B" w14:textId="4CA2D9EE" w:rsidR="00C158D2" w:rsidRPr="00BE56E3" w:rsidRDefault="00C158D2" w:rsidP="00494C19">
            <w:pPr>
              <w:spacing w:before="0" w:after="0"/>
              <w:ind w:firstLine="0"/>
              <w:jc w:val="center"/>
              <w:rPr>
                <w:rFonts w:eastAsia="Times New Roman"/>
                <w:b/>
                <w:color w:val="000000"/>
                <w:sz w:val="18"/>
                <w:szCs w:val="18"/>
              </w:rPr>
            </w:pPr>
            <w:r>
              <w:rPr>
                <w:rFonts w:eastAsia="Times New Roman"/>
                <w:b/>
                <w:color w:val="000000"/>
                <w:sz w:val="18"/>
                <w:szCs w:val="18"/>
              </w:rPr>
              <w:t xml:space="preserve">Apjoms </w:t>
            </w:r>
          </w:p>
        </w:tc>
        <w:tc>
          <w:tcPr>
            <w:tcW w:w="992" w:type="dxa"/>
            <w:shd w:val="clear" w:color="auto" w:fill="BDD6EE" w:themeFill="accent1" w:themeFillTint="66"/>
            <w:noWrap/>
          </w:tcPr>
          <w:p w14:paraId="6C6DDA7C" w14:textId="5A61EF92" w:rsidR="00C158D2" w:rsidRPr="00BE56E3" w:rsidRDefault="00C158D2" w:rsidP="00494C19">
            <w:pPr>
              <w:spacing w:before="0" w:after="0"/>
              <w:ind w:firstLine="0"/>
              <w:jc w:val="center"/>
              <w:rPr>
                <w:rFonts w:eastAsia="Times New Roman"/>
                <w:b/>
                <w:color w:val="000000"/>
                <w:sz w:val="18"/>
                <w:szCs w:val="18"/>
              </w:rPr>
            </w:pPr>
            <w:r>
              <w:rPr>
                <w:rFonts w:eastAsia="Times New Roman"/>
                <w:b/>
                <w:color w:val="000000"/>
                <w:sz w:val="18"/>
                <w:szCs w:val="18"/>
              </w:rPr>
              <w:t>Ietekme uz bilanci</w:t>
            </w:r>
          </w:p>
        </w:tc>
        <w:tc>
          <w:tcPr>
            <w:tcW w:w="851" w:type="dxa"/>
            <w:shd w:val="clear" w:color="auto" w:fill="BDD6EE" w:themeFill="accent1" w:themeFillTint="66"/>
            <w:noWrap/>
          </w:tcPr>
          <w:p w14:paraId="4D63AC93" w14:textId="26BDECC7" w:rsidR="00C158D2" w:rsidRPr="00BE56E3" w:rsidRDefault="00C158D2" w:rsidP="00494C19">
            <w:pPr>
              <w:spacing w:before="0" w:after="0"/>
              <w:ind w:firstLine="0"/>
              <w:jc w:val="center"/>
              <w:rPr>
                <w:rFonts w:eastAsia="Times New Roman"/>
                <w:b/>
                <w:color w:val="000000" w:themeColor="text1"/>
                <w:sz w:val="18"/>
                <w:szCs w:val="18"/>
              </w:rPr>
            </w:pPr>
            <w:r>
              <w:rPr>
                <w:rFonts w:eastAsia="Times New Roman"/>
                <w:b/>
                <w:color w:val="000000" w:themeColor="text1"/>
                <w:sz w:val="18"/>
                <w:szCs w:val="18"/>
              </w:rPr>
              <w:t>Apjoms</w:t>
            </w:r>
          </w:p>
        </w:tc>
        <w:tc>
          <w:tcPr>
            <w:tcW w:w="1134" w:type="dxa"/>
            <w:shd w:val="clear" w:color="auto" w:fill="BDD6EE" w:themeFill="accent1" w:themeFillTint="66"/>
            <w:noWrap/>
          </w:tcPr>
          <w:p w14:paraId="03E0620A" w14:textId="40006EB0" w:rsidR="00C158D2" w:rsidRPr="00BE56E3" w:rsidRDefault="00C158D2" w:rsidP="00494C19">
            <w:pPr>
              <w:spacing w:before="0" w:after="0"/>
              <w:ind w:firstLine="0"/>
              <w:jc w:val="center"/>
              <w:rPr>
                <w:rFonts w:eastAsia="Times New Roman"/>
                <w:b/>
                <w:color w:val="FF0000"/>
                <w:sz w:val="18"/>
                <w:szCs w:val="18"/>
              </w:rPr>
            </w:pPr>
            <w:r w:rsidRPr="00C158D2">
              <w:rPr>
                <w:rFonts w:eastAsia="Times New Roman"/>
                <w:b/>
                <w:sz w:val="18"/>
                <w:szCs w:val="18"/>
              </w:rPr>
              <w:t>Apjoms</w:t>
            </w:r>
          </w:p>
        </w:tc>
        <w:tc>
          <w:tcPr>
            <w:tcW w:w="992" w:type="dxa"/>
            <w:shd w:val="clear" w:color="auto" w:fill="BDD6EE" w:themeFill="accent1" w:themeFillTint="66"/>
            <w:noWrap/>
          </w:tcPr>
          <w:p w14:paraId="521DDCEB" w14:textId="58CED7C6" w:rsidR="00C158D2" w:rsidRPr="00BE56E3" w:rsidRDefault="00C158D2" w:rsidP="00494C19">
            <w:pPr>
              <w:spacing w:before="0" w:after="0"/>
              <w:ind w:firstLine="0"/>
              <w:jc w:val="center"/>
              <w:rPr>
                <w:rFonts w:eastAsia="Times New Roman"/>
                <w:b/>
                <w:color w:val="000000" w:themeColor="text1"/>
                <w:sz w:val="18"/>
                <w:szCs w:val="18"/>
              </w:rPr>
            </w:pPr>
            <w:r>
              <w:rPr>
                <w:rFonts w:eastAsia="Times New Roman"/>
                <w:b/>
                <w:color w:val="000000" w:themeColor="text1"/>
                <w:sz w:val="18"/>
                <w:szCs w:val="18"/>
              </w:rPr>
              <w:t>Ietekme uz bilanci</w:t>
            </w:r>
          </w:p>
        </w:tc>
        <w:tc>
          <w:tcPr>
            <w:tcW w:w="851" w:type="dxa"/>
            <w:shd w:val="clear" w:color="auto" w:fill="BDD6EE" w:themeFill="accent1" w:themeFillTint="66"/>
          </w:tcPr>
          <w:p w14:paraId="5EB1018E" w14:textId="497CBCE8" w:rsidR="00C158D2" w:rsidRPr="00BE56E3" w:rsidRDefault="00C158D2" w:rsidP="00494C19">
            <w:pPr>
              <w:spacing w:before="0" w:after="0"/>
              <w:ind w:firstLine="0"/>
              <w:jc w:val="center"/>
              <w:rPr>
                <w:rFonts w:eastAsia="Times New Roman"/>
                <w:b/>
                <w:color w:val="000000" w:themeColor="text1"/>
                <w:sz w:val="18"/>
                <w:szCs w:val="18"/>
              </w:rPr>
            </w:pPr>
            <w:r>
              <w:rPr>
                <w:rFonts w:eastAsia="Times New Roman"/>
                <w:b/>
                <w:color w:val="000000" w:themeColor="text1"/>
                <w:sz w:val="18"/>
                <w:szCs w:val="18"/>
              </w:rPr>
              <w:t>Apjoms</w:t>
            </w:r>
          </w:p>
        </w:tc>
        <w:tc>
          <w:tcPr>
            <w:tcW w:w="992" w:type="dxa"/>
            <w:shd w:val="clear" w:color="auto" w:fill="BDD6EE" w:themeFill="accent1" w:themeFillTint="66"/>
            <w:noWrap/>
          </w:tcPr>
          <w:p w14:paraId="47958ACA" w14:textId="6A9426E3" w:rsidR="00C158D2" w:rsidRPr="00BE56E3" w:rsidRDefault="00C158D2" w:rsidP="00494C19">
            <w:pPr>
              <w:spacing w:before="0" w:after="0"/>
              <w:ind w:firstLine="0"/>
              <w:jc w:val="center"/>
              <w:rPr>
                <w:rFonts w:eastAsia="Times New Roman"/>
                <w:b/>
                <w:color w:val="000000" w:themeColor="text1"/>
                <w:sz w:val="18"/>
                <w:szCs w:val="18"/>
              </w:rPr>
            </w:pPr>
            <w:r>
              <w:rPr>
                <w:rFonts w:eastAsia="Times New Roman"/>
                <w:b/>
                <w:color w:val="000000" w:themeColor="text1"/>
                <w:sz w:val="18"/>
                <w:szCs w:val="18"/>
              </w:rPr>
              <w:t>Ietekme uz bilanci</w:t>
            </w:r>
          </w:p>
        </w:tc>
      </w:tr>
      <w:tr w:rsidR="00A648D3" w:rsidRPr="00F42440" w14:paraId="7F607309" w14:textId="77777777" w:rsidTr="00A648D3">
        <w:trPr>
          <w:trHeight w:val="199"/>
          <w:jc w:val="center"/>
        </w:trPr>
        <w:tc>
          <w:tcPr>
            <w:tcW w:w="2689" w:type="dxa"/>
            <w:shd w:val="clear" w:color="auto" w:fill="BDD6EE" w:themeFill="accent1" w:themeFillTint="66"/>
            <w:noWrap/>
            <w:hideMark/>
          </w:tcPr>
          <w:p w14:paraId="5CA20F7F" w14:textId="77777777" w:rsidR="00C158D2" w:rsidRPr="00BE56E3" w:rsidRDefault="00C158D2" w:rsidP="006E3265">
            <w:pPr>
              <w:spacing w:before="0" w:after="0"/>
              <w:ind w:firstLine="0"/>
              <w:rPr>
                <w:rFonts w:eastAsia="Times New Roman"/>
                <w:b/>
                <w:bCs/>
                <w:color w:val="000000"/>
                <w:sz w:val="18"/>
                <w:szCs w:val="18"/>
              </w:rPr>
            </w:pPr>
            <w:r w:rsidRPr="00BE56E3">
              <w:rPr>
                <w:rFonts w:eastAsia="Times New Roman"/>
                <w:b/>
                <w:bCs/>
                <w:color w:val="000000"/>
                <w:sz w:val="18"/>
                <w:szCs w:val="18"/>
              </w:rPr>
              <w:t>ATBALST</w:t>
            </w:r>
            <w:r>
              <w:rPr>
                <w:rFonts w:eastAsia="Times New Roman"/>
                <w:b/>
                <w:bCs/>
                <w:color w:val="000000"/>
                <w:sz w:val="18"/>
                <w:szCs w:val="18"/>
              </w:rPr>
              <w:t>S KOPĀ</w:t>
            </w:r>
          </w:p>
        </w:tc>
        <w:tc>
          <w:tcPr>
            <w:tcW w:w="850" w:type="dxa"/>
            <w:shd w:val="clear" w:color="auto" w:fill="BDD6EE" w:themeFill="accent1" w:themeFillTint="66"/>
            <w:noWrap/>
          </w:tcPr>
          <w:p w14:paraId="50395593" w14:textId="77777777" w:rsidR="00C158D2" w:rsidRPr="00BE56E3" w:rsidRDefault="00C158D2" w:rsidP="006E3265">
            <w:pPr>
              <w:spacing w:before="0" w:after="0"/>
              <w:ind w:firstLine="0"/>
              <w:jc w:val="center"/>
              <w:rPr>
                <w:rFonts w:eastAsia="Times New Roman"/>
                <w:b/>
                <w:color w:val="000000"/>
                <w:sz w:val="18"/>
                <w:szCs w:val="18"/>
              </w:rPr>
            </w:pPr>
            <w:r w:rsidRPr="00BE56E3">
              <w:rPr>
                <w:rFonts w:eastAsia="Times New Roman"/>
                <w:b/>
                <w:color w:val="000000"/>
                <w:sz w:val="18"/>
                <w:szCs w:val="18"/>
              </w:rPr>
              <w:t>2 284,1</w:t>
            </w:r>
          </w:p>
        </w:tc>
        <w:tc>
          <w:tcPr>
            <w:tcW w:w="992" w:type="dxa"/>
            <w:shd w:val="clear" w:color="auto" w:fill="BDD6EE" w:themeFill="accent1" w:themeFillTint="66"/>
            <w:noWrap/>
          </w:tcPr>
          <w:p w14:paraId="4294CB75" w14:textId="77777777" w:rsidR="00C158D2" w:rsidRPr="00BE56E3" w:rsidRDefault="00C158D2" w:rsidP="006E3265">
            <w:pPr>
              <w:spacing w:before="0" w:after="0"/>
              <w:ind w:firstLine="0"/>
              <w:jc w:val="center"/>
              <w:rPr>
                <w:rFonts w:eastAsia="Times New Roman"/>
                <w:b/>
                <w:color w:val="000000"/>
                <w:sz w:val="18"/>
                <w:szCs w:val="18"/>
              </w:rPr>
            </w:pPr>
            <w:r w:rsidRPr="00BE56E3">
              <w:rPr>
                <w:rFonts w:eastAsia="Times New Roman"/>
                <w:b/>
                <w:color w:val="000000"/>
                <w:sz w:val="18"/>
                <w:szCs w:val="18"/>
              </w:rPr>
              <w:t>-2 102,8</w:t>
            </w:r>
          </w:p>
        </w:tc>
        <w:tc>
          <w:tcPr>
            <w:tcW w:w="851" w:type="dxa"/>
            <w:shd w:val="clear" w:color="auto" w:fill="BDD6EE" w:themeFill="accent1" w:themeFillTint="66"/>
            <w:noWrap/>
          </w:tcPr>
          <w:p w14:paraId="614E2649" w14:textId="77777777" w:rsidR="00C158D2" w:rsidRPr="00BE56E3" w:rsidRDefault="00C158D2" w:rsidP="006E3265">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1 590,2</w:t>
            </w:r>
          </w:p>
        </w:tc>
        <w:tc>
          <w:tcPr>
            <w:tcW w:w="1134" w:type="dxa"/>
            <w:shd w:val="clear" w:color="auto" w:fill="BDD6EE" w:themeFill="accent1" w:themeFillTint="66"/>
            <w:noWrap/>
          </w:tcPr>
          <w:p w14:paraId="0E1FB61C" w14:textId="77777777" w:rsidR="00C158D2" w:rsidRPr="00BE56E3" w:rsidRDefault="00C158D2" w:rsidP="006E3265">
            <w:pPr>
              <w:spacing w:before="0" w:after="0"/>
              <w:ind w:firstLine="0"/>
              <w:jc w:val="center"/>
              <w:rPr>
                <w:rFonts w:eastAsia="Times New Roman"/>
                <w:b/>
                <w:color w:val="FF0000"/>
                <w:sz w:val="18"/>
                <w:szCs w:val="18"/>
              </w:rPr>
            </w:pPr>
            <w:r w:rsidRPr="00BE56E3">
              <w:rPr>
                <w:rFonts w:eastAsia="Times New Roman"/>
                <w:b/>
                <w:color w:val="000000" w:themeColor="text1"/>
                <w:sz w:val="18"/>
                <w:szCs w:val="18"/>
              </w:rPr>
              <w:t>808,8</w:t>
            </w:r>
          </w:p>
        </w:tc>
        <w:tc>
          <w:tcPr>
            <w:tcW w:w="992" w:type="dxa"/>
            <w:shd w:val="clear" w:color="auto" w:fill="BDD6EE" w:themeFill="accent1" w:themeFillTint="66"/>
            <w:noWrap/>
          </w:tcPr>
          <w:p w14:paraId="7199FFC0" w14:textId="77777777" w:rsidR="00C158D2" w:rsidRPr="00BE56E3" w:rsidRDefault="00C158D2" w:rsidP="006E3265">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-827,8</w:t>
            </w:r>
          </w:p>
        </w:tc>
        <w:tc>
          <w:tcPr>
            <w:tcW w:w="851" w:type="dxa"/>
            <w:shd w:val="clear" w:color="auto" w:fill="BDD6EE" w:themeFill="accent1" w:themeFillTint="66"/>
          </w:tcPr>
          <w:p w14:paraId="3BF54FB4" w14:textId="77777777" w:rsidR="00C158D2" w:rsidRPr="00BE56E3" w:rsidRDefault="00C158D2" w:rsidP="006E3265">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92,8</w:t>
            </w:r>
          </w:p>
        </w:tc>
        <w:tc>
          <w:tcPr>
            <w:tcW w:w="992" w:type="dxa"/>
            <w:shd w:val="clear" w:color="auto" w:fill="BDD6EE" w:themeFill="accent1" w:themeFillTint="66"/>
            <w:noWrap/>
          </w:tcPr>
          <w:p w14:paraId="4CFF760B" w14:textId="77777777" w:rsidR="00C158D2" w:rsidRPr="00BE56E3" w:rsidRDefault="00C158D2" w:rsidP="006E3265">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-92,6</w:t>
            </w:r>
          </w:p>
        </w:tc>
      </w:tr>
      <w:tr w:rsidR="00C158D2" w:rsidRPr="00F42440" w14:paraId="118767A9" w14:textId="77777777" w:rsidTr="00A648D3">
        <w:trPr>
          <w:trHeight w:val="199"/>
          <w:jc w:val="center"/>
        </w:trPr>
        <w:tc>
          <w:tcPr>
            <w:tcW w:w="2689" w:type="dxa"/>
            <w:shd w:val="clear" w:color="auto" w:fill="BDD6EE" w:themeFill="accent1" w:themeFillTint="66"/>
            <w:noWrap/>
            <w:hideMark/>
          </w:tcPr>
          <w:p w14:paraId="7040896A" w14:textId="77777777" w:rsidR="00FE3024" w:rsidRPr="00BE56E3" w:rsidRDefault="00FE3024" w:rsidP="00494C19">
            <w:pPr>
              <w:spacing w:before="0" w:after="0"/>
              <w:ind w:firstLine="0"/>
              <w:rPr>
                <w:rFonts w:eastAsia="Times New Roman"/>
                <w:b/>
                <w:bCs/>
                <w:color w:val="000000"/>
                <w:sz w:val="18"/>
                <w:szCs w:val="18"/>
              </w:rPr>
            </w:pPr>
            <w:r w:rsidRPr="00BE56E3">
              <w:rPr>
                <w:rFonts w:eastAsia="Times New Roman"/>
                <w:b/>
                <w:bCs/>
                <w:color w:val="000000"/>
                <w:sz w:val="18"/>
                <w:szCs w:val="18"/>
              </w:rPr>
              <w:t>% no attiecīgā gada IKP</w:t>
            </w:r>
          </w:p>
        </w:tc>
        <w:tc>
          <w:tcPr>
            <w:tcW w:w="850" w:type="dxa"/>
            <w:shd w:val="clear" w:color="auto" w:fill="BDD6EE" w:themeFill="accent1" w:themeFillTint="66"/>
          </w:tcPr>
          <w:p w14:paraId="76E48D2F" w14:textId="6426A565" w:rsidR="00FE3024" w:rsidRPr="00BE56E3" w:rsidRDefault="00FE3024" w:rsidP="00494C19">
            <w:pPr>
              <w:spacing w:before="0" w:after="0"/>
              <w:ind w:firstLine="0"/>
              <w:jc w:val="center"/>
              <w:rPr>
                <w:rFonts w:eastAsia="Times New Roman"/>
                <w:b/>
                <w:color w:val="000000"/>
                <w:sz w:val="18"/>
                <w:szCs w:val="18"/>
              </w:rPr>
            </w:pPr>
            <w:r w:rsidRPr="00BE56E3">
              <w:rPr>
                <w:rFonts w:eastAsia="Times New Roman"/>
                <w:b/>
                <w:color w:val="000000"/>
                <w:sz w:val="18"/>
                <w:szCs w:val="18"/>
              </w:rPr>
              <w:t>6,</w:t>
            </w:r>
            <w:r w:rsidR="00386517" w:rsidRPr="00BE56E3">
              <w:rPr>
                <w:rFonts w:eastAsia="Times New Roman"/>
                <w:b/>
                <w:color w:val="000000"/>
                <w:sz w:val="18"/>
                <w:szCs w:val="18"/>
              </w:rPr>
              <w:t>8</w:t>
            </w:r>
          </w:p>
        </w:tc>
        <w:tc>
          <w:tcPr>
            <w:tcW w:w="992" w:type="dxa"/>
            <w:shd w:val="clear" w:color="auto" w:fill="BDD6EE" w:themeFill="accent1" w:themeFillTint="66"/>
          </w:tcPr>
          <w:p w14:paraId="390930A5" w14:textId="63ED08C5" w:rsidR="00FE3024" w:rsidRPr="00BE56E3" w:rsidRDefault="00FE3024" w:rsidP="00494C19">
            <w:pPr>
              <w:spacing w:before="0" w:after="0"/>
              <w:ind w:firstLine="0"/>
              <w:jc w:val="center"/>
              <w:rPr>
                <w:rFonts w:eastAsia="Times New Roman"/>
                <w:b/>
                <w:color w:val="000000"/>
                <w:sz w:val="18"/>
                <w:szCs w:val="18"/>
              </w:rPr>
            </w:pPr>
            <w:r w:rsidRPr="00BE56E3">
              <w:rPr>
                <w:rFonts w:eastAsia="Times New Roman"/>
                <w:b/>
                <w:color w:val="000000"/>
                <w:sz w:val="18"/>
                <w:szCs w:val="18"/>
              </w:rPr>
              <w:t>-6,</w:t>
            </w:r>
            <w:r w:rsidR="00386517" w:rsidRPr="00BE56E3">
              <w:rPr>
                <w:rFonts w:eastAsia="Times New Roman"/>
                <w:b/>
                <w:color w:val="000000"/>
                <w:sz w:val="18"/>
                <w:szCs w:val="18"/>
              </w:rPr>
              <w:t>2</w:t>
            </w:r>
          </w:p>
        </w:tc>
        <w:tc>
          <w:tcPr>
            <w:tcW w:w="851" w:type="dxa"/>
            <w:shd w:val="clear" w:color="auto" w:fill="BDD6EE" w:themeFill="accent1" w:themeFillTint="66"/>
          </w:tcPr>
          <w:p w14:paraId="309C0B6D" w14:textId="77777777" w:rsidR="00FE3024" w:rsidRPr="00BE56E3" w:rsidRDefault="00FE3024" w:rsidP="00494C19">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4,0</w:t>
            </w:r>
          </w:p>
        </w:tc>
        <w:tc>
          <w:tcPr>
            <w:tcW w:w="1134" w:type="dxa"/>
            <w:shd w:val="clear" w:color="auto" w:fill="BDD6EE" w:themeFill="accent1" w:themeFillTint="66"/>
          </w:tcPr>
          <w:p w14:paraId="6D6F1422" w14:textId="77777777" w:rsidR="00FE3024" w:rsidRPr="00BE56E3" w:rsidRDefault="00FE3024" w:rsidP="00494C19">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2,1</w:t>
            </w:r>
          </w:p>
        </w:tc>
        <w:tc>
          <w:tcPr>
            <w:tcW w:w="992" w:type="dxa"/>
            <w:shd w:val="clear" w:color="auto" w:fill="BDD6EE" w:themeFill="accent1" w:themeFillTint="66"/>
          </w:tcPr>
          <w:p w14:paraId="59645DC0" w14:textId="77777777" w:rsidR="00FE3024" w:rsidRPr="00BE56E3" w:rsidRDefault="00FE3024" w:rsidP="00494C19">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-2,1</w:t>
            </w:r>
          </w:p>
        </w:tc>
        <w:tc>
          <w:tcPr>
            <w:tcW w:w="851" w:type="dxa"/>
            <w:shd w:val="clear" w:color="auto" w:fill="BDD6EE" w:themeFill="accent1" w:themeFillTint="66"/>
          </w:tcPr>
          <w:p w14:paraId="7A6D8343" w14:textId="05E6F5C4" w:rsidR="00FE3024" w:rsidRPr="00BE56E3" w:rsidRDefault="00386517" w:rsidP="00494C19">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0,2</w:t>
            </w:r>
          </w:p>
        </w:tc>
        <w:tc>
          <w:tcPr>
            <w:tcW w:w="992" w:type="dxa"/>
            <w:shd w:val="clear" w:color="auto" w:fill="BDD6EE" w:themeFill="accent1" w:themeFillTint="66"/>
          </w:tcPr>
          <w:p w14:paraId="56518C7C" w14:textId="77777777" w:rsidR="00FE3024" w:rsidRPr="00BE56E3" w:rsidRDefault="00FE3024" w:rsidP="00494C19">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-0,2</w:t>
            </w:r>
          </w:p>
        </w:tc>
      </w:tr>
      <w:tr w:rsidR="00C158D2" w:rsidRPr="00F42440" w14:paraId="48586426" w14:textId="77777777" w:rsidTr="00C158D2">
        <w:trPr>
          <w:trHeight w:val="199"/>
          <w:jc w:val="center"/>
        </w:trPr>
        <w:tc>
          <w:tcPr>
            <w:tcW w:w="2689" w:type="dxa"/>
            <w:shd w:val="clear" w:color="auto" w:fill="DEEAF6" w:themeFill="accent1" w:themeFillTint="33"/>
            <w:noWrap/>
            <w:hideMark/>
          </w:tcPr>
          <w:p w14:paraId="12A0867B" w14:textId="77777777" w:rsidR="00FE3024" w:rsidRPr="00BE56E3" w:rsidRDefault="00FE3024" w:rsidP="00494C19">
            <w:pPr>
              <w:spacing w:before="0" w:after="0"/>
              <w:ind w:firstLine="0"/>
              <w:jc w:val="left"/>
              <w:rPr>
                <w:rFonts w:eastAsia="Times New Roman"/>
                <w:b/>
                <w:bCs/>
                <w:color w:val="000000"/>
                <w:sz w:val="18"/>
                <w:szCs w:val="18"/>
              </w:rPr>
            </w:pPr>
            <w:r w:rsidRPr="00BE56E3">
              <w:rPr>
                <w:rFonts w:eastAsia="Times New Roman"/>
                <w:b/>
                <w:bCs/>
                <w:color w:val="000000"/>
                <w:sz w:val="18"/>
                <w:szCs w:val="18"/>
              </w:rPr>
              <w:t>I Atbalsts nodokļu jomā</w:t>
            </w:r>
          </w:p>
        </w:tc>
        <w:tc>
          <w:tcPr>
            <w:tcW w:w="850" w:type="dxa"/>
            <w:shd w:val="clear" w:color="auto" w:fill="DEEAF6" w:themeFill="accent1" w:themeFillTint="33"/>
            <w:noWrap/>
            <w:vAlign w:val="center"/>
          </w:tcPr>
          <w:p w14:paraId="3353C61F"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b/>
                <w:color w:val="000000"/>
                <w:sz w:val="18"/>
                <w:szCs w:val="18"/>
              </w:rPr>
              <w:t>62,6</w:t>
            </w:r>
          </w:p>
        </w:tc>
        <w:tc>
          <w:tcPr>
            <w:tcW w:w="992" w:type="dxa"/>
            <w:shd w:val="clear" w:color="auto" w:fill="DEEAF6" w:themeFill="accent1" w:themeFillTint="33"/>
            <w:noWrap/>
            <w:vAlign w:val="center"/>
          </w:tcPr>
          <w:p w14:paraId="2FE457E6"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b/>
                <w:color w:val="000000"/>
                <w:sz w:val="18"/>
                <w:szCs w:val="18"/>
              </w:rPr>
              <w:t>-12,8</w:t>
            </w:r>
          </w:p>
        </w:tc>
        <w:tc>
          <w:tcPr>
            <w:tcW w:w="851" w:type="dxa"/>
            <w:shd w:val="clear" w:color="auto" w:fill="DEEAF6" w:themeFill="accent1" w:themeFillTint="33"/>
            <w:noWrap/>
            <w:vAlign w:val="center"/>
          </w:tcPr>
          <w:p w14:paraId="660CD4B7"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35,5</w:t>
            </w:r>
          </w:p>
        </w:tc>
        <w:tc>
          <w:tcPr>
            <w:tcW w:w="1134" w:type="dxa"/>
            <w:shd w:val="clear" w:color="auto" w:fill="DEEAF6" w:themeFill="accent1" w:themeFillTint="33"/>
            <w:noWrap/>
            <w:vAlign w:val="center"/>
          </w:tcPr>
          <w:p w14:paraId="1549593C"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1,5</w:t>
            </w:r>
          </w:p>
        </w:tc>
        <w:tc>
          <w:tcPr>
            <w:tcW w:w="992" w:type="dxa"/>
            <w:shd w:val="clear" w:color="auto" w:fill="DEEAF6" w:themeFill="accent1" w:themeFillTint="33"/>
            <w:noWrap/>
            <w:vAlign w:val="center"/>
          </w:tcPr>
          <w:p w14:paraId="39F103BA"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-4,3</w:t>
            </w:r>
          </w:p>
        </w:tc>
        <w:tc>
          <w:tcPr>
            <w:tcW w:w="851" w:type="dxa"/>
            <w:shd w:val="clear" w:color="auto" w:fill="DEEAF6" w:themeFill="accent1" w:themeFillTint="33"/>
          </w:tcPr>
          <w:p w14:paraId="6E28C17F" w14:textId="68AD2993" w:rsidR="00FE3024" w:rsidRPr="00BE56E3" w:rsidRDefault="00386517" w:rsidP="00494C19">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5,5</w:t>
            </w:r>
          </w:p>
        </w:tc>
        <w:tc>
          <w:tcPr>
            <w:tcW w:w="992" w:type="dxa"/>
            <w:shd w:val="clear" w:color="auto" w:fill="DEEAF6" w:themeFill="accent1" w:themeFillTint="33"/>
            <w:noWrap/>
            <w:vAlign w:val="center"/>
          </w:tcPr>
          <w:p w14:paraId="2C94178E"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25,1</w:t>
            </w:r>
          </w:p>
        </w:tc>
      </w:tr>
      <w:tr w:rsidR="00C158D2" w:rsidRPr="00F42440" w14:paraId="4FA793F9" w14:textId="77777777" w:rsidTr="00C158D2">
        <w:trPr>
          <w:trHeight w:val="418"/>
          <w:jc w:val="center"/>
        </w:trPr>
        <w:tc>
          <w:tcPr>
            <w:tcW w:w="2689" w:type="dxa"/>
            <w:shd w:val="clear" w:color="auto" w:fill="DEEAF6" w:themeFill="accent1" w:themeFillTint="33"/>
            <w:noWrap/>
            <w:hideMark/>
          </w:tcPr>
          <w:p w14:paraId="0206DD2D" w14:textId="77777777" w:rsidR="00FE3024" w:rsidRPr="00BE56E3" w:rsidRDefault="00FE3024" w:rsidP="00494C19">
            <w:pPr>
              <w:spacing w:before="0" w:after="0"/>
              <w:ind w:firstLine="0"/>
              <w:jc w:val="left"/>
              <w:rPr>
                <w:rFonts w:eastAsia="Times New Roman"/>
                <w:b/>
                <w:bCs/>
                <w:color w:val="000000"/>
                <w:sz w:val="18"/>
                <w:szCs w:val="18"/>
              </w:rPr>
            </w:pPr>
            <w:r w:rsidRPr="00BE56E3">
              <w:rPr>
                <w:rFonts w:eastAsia="Times New Roman"/>
                <w:b/>
                <w:bCs/>
                <w:color w:val="000000"/>
                <w:sz w:val="18"/>
                <w:szCs w:val="18"/>
              </w:rPr>
              <w:t xml:space="preserve">II Atbalsts pabalstu jomā, </w:t>
            </w:r>
          </w:p>
          <w:p w14:paraId="5C5FB2E1" w14:textId="77777777" w:rsidR="00FE3024" w:rsidRPr="00BE56E3" w:rsidRDefault="00FE3024" w:rsidP="00494C19">
            <w:pPr>
              <w:spacing w:before="0" w:after="0"/>
              <w:ind w:firstLine="0"/>
              <w:jc w:val="left"/>
              <w:rPr>
                <w:rFonts w:eastAsia="Times New Roman"/>
                <w:color w:val="000000"/>
                <w:sz w:val="18"/>
                <w:szCs w:val="18"/>
              </w:rPr>
            </w:pPr>
            <w:r w:rsidRPr="00BE56E3">
              <w:rPr>
                <w:rFonts w:eastAsia="Times New Roman"/>
                <w:color w:val="000000"/>
                <w:sz w:val="18"/>
                <w:szCs w:val="18"/>
              </w:rPr>
              <w:t>tai skaitā</w:t>
            </w:r>
          </w:p>
        </w:tc>
        <w:tc>
          <w:tcPr>
            <w:tcW w:w="850" w:type="dxa"/>
            <w:shd w:val="clear" w:color="auto" w:fill="DEEAF6" w:themeFill="accent1" w:themeFillTint="33"/>
            <w:noWrap/>
            <w:vAlign w:val="center"/>
          </w:tcPr>
          <w:p w14:paraId="5E5E5009"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b/>
                <w:color w:val="000000"/>
                <w:sz w:val="18"/>
                <w:szCs w:val="18"/>
              </w:rPr>
              <w:t>533,5</w:t>
            </w:r>
          </w:p>
        </w:tc>
        <w:tc>
          <w:tcPr>
            <w:tcW w:w="992" w:type="dxa"/>
            <w:shd w:val="clear" w:color="auto" w:fill="DEEAF6" w:themeFill="accent1" w:themeFillTint="33"/>
            <w:noWrap/>
            <w:vAlign w:val="center"/>
          </w:tcPr>
          <w:p w14:paraId="63314222"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b/>
                <w:color w:val="000000"/>
                <w:sz w:val="18"/>
                <w:szCs w:val="18"/>
              </w:rPr>
              <w:t>-533,5</w:t>
            </w:r>
          </w:p>
        </w:tc>
        <w:tc>
          <w:tcPr>
            <w:tcW w:w="851" w:type="dxa"/>
            <w:shd w:val="clear" w:color="auto" w:fill="DEEAF6" w:themeFill="accent1" w:themeFillTint="33"/>
            <w:noWrap/>
            <w:vAlign w:val="center"/>
          </w:tcPr>
          <w:p w14:paraId="73C2FC86" w14:textId="77777777" w:rsidR="00FE3024" w:rsidRPr="00BE56E3" w:rsidRDefault="00FE3024" w:rsidP="00494C19">
            <w:pPr>
              <w:spacing w:before="0" w:after="0"/>
              <w:ind w:firstLine="0"/>
              <w:jc w:val="center"/>
              <w:rPr>
                <w:rFonts w:eastAsia="Times New Roman"/>
                <w:color w:val="FF0000"/>
                <w:sz w:val="18"/>
                <w:szCs w:val="18"/>
              </w:rPr>
            </w:pPr>
            <w:r w:rsidRPr="00BE56E3">
              <w:rPr>
                <w:rFonts w:eastAsia="Times New Roman"/>
                <w:b/>
                <w:color w:val="000000" w:themeColor="text1"/>
                <w:sz w:val="18"/>
                <w:szCs w:val="18"/>
              </w:rPr>
              <w:t>143,2</w:t>
            </w:r>
          </w:p>
        </w:tc>
        <w:tc>
          <w:tcPr>
            <w:tcW w:w="1134" w:type="dxa"/>
            <w:shd w:val="clear" w:color="auto" w:fill="DEEAF6" w:themeFill="accent1" w:themeFillTint="33"/>
            <w:noWrap/>
            <w:vAlign w:val="center"/>
          </w:tcPr>
          <w:p w14:paraId="1A5E8948" w14:textId="77777777" w:rsidR="00FE3024" w:rsidRPr="00BE56E3" w:rsidRDefault="00FE3024" w:rsidP="00494C19">
            <w:pPr>
              <w:spacing w:before="0" w:after="0"/>
              <w:ind w:firstLine="0"/>
              <w:jc w:val="center"/>
              <w:rPr>
                <w:rFonts w:eastAsia="Times New Roman"/>
                <w:color w:val="FF0000"/>
                <w:sz w:val="18"/>
                <w:szCs w:val="18"/>
              </w:rPr>
            </w:pPr>
            <w:r w:rsidRPr="00BE56E3">
              <w:rPr>
                <w:rFonts w:eastAsia="Times New Roman"/>
                <w:b/>
                <w:color w:val="000000" w:themeColor="text1"/>
                <w:sz w:val="18"/>
                <w:szCs w:val="18"/>
              </w:rPr>
              <w:t>86,4</w:t>
            </w:r>
          </w:p>
        </w:tc>
        <w:tc>
          <w:tcPr>
            <w:tcW w:w="992" w:type="dxa"/>
            <w:shd w:val="clear" w:color="auto" w:fill="DEEAF6" w:themeFill="accent1" w:themeFillTint="33"/>
            <w:noWrap/>
            <w:vAlign w:val="center"/>
          </w:tcPr>
          <w:p w14:paraId="37C55883"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-86,6</w:t>
            </w:r>
          </w:p>
        </w:tc>
        <w:tc>
          <w:tcPr>
            <w:tcW w:w="851" w:type="dxa"/>
            <w:shd w:val="clear" w:color="auto" w:fill="DEEAF6" w:themeFill="accent1" w:themeFillTint="33"/>
            <w:vAlign w:val="center"/>
          </w:tcPr>
          <w:p w14:paraId="28E16CC3" w14:textId="77777777" w:rsidR="00FE3024" w:rsidRPr="00BE56E3" w:rsidRDefault="00FE3024" w:rsidP="00494C19">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0,0</w:t>
            </w:r>
          </w:p>
        </w:tc>
        <w:tc>
          <w:tcPr>
            <w:tcW w:w="992" w:type="dxa"/>
            <w:shd w:val="clear" w:color="auto" w:fill="DEEAF6" w:themeFill="accent1" w:themeFillTint="33"/>
            <w:noWrap/>
            <w:vAlign w:val="center"/>
          </w:tcPr>
          <w:p w14:paraId="6B164024"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0,0</w:t>
            </w:r>
          </w:p>
        </w:tc>
      </w:tr>
      <w:tr w:rsidR="00C158D2" w:rsidRPr="00F42440" w14:paraId="5D4A760F" w14:textId="77777777" w:rsidTr="00C158D2">
        <w:trPr>
          <w:trHeight w:val="199"/>
          <w:jc w:val="center"/>
        </w:trPr>
        <w:tc>
          <w:tcPr>
            <w:tcW w:w="2689" w:type="dxa"/>
            <w:noWrap/>
            <w:hideMark/>
          </w:tcPr>
          <w:p w14:paraId="6AE48AB3" w14:textId="77777777" w:rsidR="00FE3024" w:rsidRPr="00BE56E3" w:rsidRDefault="00FE3024" w:rsidP="00494C19">
            <w:pPr>
              <w:spacing w:before="0" w:after="0"/>
              <w:ind w:firstLine="0"/>
              <w:jc w:val="left"/>
              <w:rPr>
                <w:rFonts w:eastAsia="Times New Roman"/>
                <w:color w:val="000000"/>
                <w:sz w:val="18"/>
                <w:szCs w:val="18"/>
              </w:rPr>
            </w:pPr>
            <w:r w:rsidRPr="00BE56E3">
              <w:rPr>
                <w:rFonts w:eastAsia="Times New Roman"/>
                <w:color w:val="000000"/>
                <w:sz w:val="18"/>
                <w:szCs w:val="18"/>
              </w:rPr>
              <w:t>Dīkstāves pabalsti</w:t>
            </w:r>
          </w:p>
        </w:tc>
        <w:tc>
          <w:tcPr>
            <w:tcW w:w="850" w:type="dxa"/>
            <w:noWrap/>
            <w:vAlign w:val="center"/>
          </w:tcPr>
          <w:p w14:paraId="5CA9EDA9"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135,9</w:t>
            </w:r>
          </w:p>
        </w:tc>
        <w:tc>
          <w:tcPr>
            <w:tcW w:w="992" w:type="dxa"/>
            <w:vAlign w:val="center"/>
          </w:tcPr>
          <w:p w14:paraId="7E0F5750" w14:textId="77777777" w:rsidR="00FE3024" w:rsidRPr="00BE56E3" w:rsidRDefault="00FE3024" w:rsidP="00494C19">
            <w:pPr>
              <w:spacing w:before="0" w:after="0"/>
              <w:ind w:firstLine="0"/>
              <w:jc w:val="center"/>
              <w:rPr>
                <w:rFonts w:eastAsia="Times New Roman"/>
                <w:sz w:val="18"/>
                <w:szCs w:val="18"/>
              </w:rPr>
            </w:pPr>
            <w:r w:rsidRPr="00BE56E3">
              <w:rPr>
                <w:rFonts w:eastAsia="Times New Roman"/>
                <w:sz w:val="18"/>
                <w:szCs w:val="18"/>
              </w:rPr>
              <w:t>-135,9</w:t>
            </w:r>
          </w:p>
        </w:tc>
        <w:tc>
          <w:tcPr>
            <w:tcW w:w="851" w:type="dxa"/>
            <w:noWrap/>
            <w:vAlign w:val="center"/>
          </w:tcPr>
          <w:p w14:paraId="2D959FFC"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1134" w:type="dxa"/>
            <w:noWrap/>
            <w:vAlign w:val="center"/>
          </w:tcPr>
          <w:p w14:paraId="60274D34"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992" w:type="dxa"/>
            <w:vAlign w:val="center"/>
          </w:tcPr>
          <w:p w14:paraId="5EC9A8BE"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851" w:type="dxa"/>
          </w:tcPr>
          <w:p w14:paraId="795B6D97" w14:textId="77777777" w:rsidR="00FE3024" w:rsidRPr="00BE56E3" w:rsidRDefault="00FE3024" w:rsidP="00494C19">
            <w:pPr>
              <w:spacing w:before="0" w:after="0"/>
              <w:ind w:firstLine="0"/>
              <w:jc w:val="center"/>
              <w:rPr>
                <w:rFonts w:eastAsia="Times New Roman"/>
                <w:color w:val="FF0000"/>
                <w:sz w:val="18"/>
                <w:szCs w:val="18"/>
              </w:rPr>
            </w:pPr>
          </w:p>
        </w:tc>
        <w:tc>
          <w:tcPr>
            <w:tcW w:w="992" w:type="dxa"/>
            <w:vAlign w:val="center"/>
          </w:tcPr>
          <w:p w14:paraId="438841A0" w14:textId="77777777" w:rsidR="00FE3024" w:rsidRPr="00BE56E3" w:rsidRDefault="00FE3024" w:rsidP="00494C19">
            <w:pPr>
              <w:spacing w:before="0" w:after="0"/>
              <w:ind w:firstLine="0"/>
              <w:jc w:val="center"/>
              <w:rPr>
                <w:rFonts w:eastAsia="Times New Roman"/>
                <w:color w:val="FF0000"/>
                <w:sz w:val="18"/>
                <w:szCs w:val="18"/>
              </w:rPr>
            </w:pPr>
          </w:p>
        </w:tc>
      </w:tr>
      <w:tr w:rsidR="00C158D2" w:rsidRPr="00F42440" w14:paraId="07C975B0" w14:textId="77777777" w:rsidTr="00C158D2">
        <w:trPr>
          <w:trHeight w:val="199"/>
          <w:jc w:val="center"/>
        </w:trPr>
        <w:tc>
          <w:tcPr>
            <w:tcW w:w="2689" w:type="dxa"/>
            <w:hideMark/>
          </w:tcPr>
          <w:p w14:paraId="0C9FFC9D" w14:textId="77777777" w:rsidR="00FE3024" w:rsidRPr="00BE56E3" w:rsidRDefault="00FE3024" w:rsidP="00494C19">
            <w:pPr>
              <w:spacing w:before="0" w:after="0"/>
              <w:ind w:firstLine="0"/>
              <w:jc w:val="left"/>
              <w:rPr>
                <w:rFonts w:eastAsia="Times New Roman"/>
                <w:sz w:val="18"/>
                <w:szCs w:val="18"/>
              </w:rPr>
            </w:pPr>
            <w:r w:rsidRPr="00BE56E3">
              <w:rPr>
                <w:rFonts w:eastAsia="Times New Roman"/>
                <w:sz w:val="18"/>
                <w:szCs w:val="18"/>
              </w:rPr>
              <w:t>Algu subsīdijas</w:t>
            </w:r>
          </w:p>
        </w:tc>
        <w:tc>
          <w:tcPr>
            <w:tcW w:w="850" w:type="dxa"/>
            <w:noWrap/>
            <w:vAlign w:val="center"/>
          </w:tcPr>
          <w:p w14:paraId="70AABA5F" w14:textId="6DBC5896"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32,7</w:t>
            </w:r>
          </w:p>
        </w:tc>
        <w:tc>
          <w:tcPr>
            <w:tcW w:w="992" w:type="dxa"/>
            <w:vAlign w:val="center"/>
          </w:tcPr>
          <w:p w14:paraId="60BCB636"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-32,7</w:t>
            </w:r>
          </w:p>
        </w:tc>
        <w:tc>
          <w:tcPr>
            <w:tcW w:w="851" w:type="dxa"/>
            <w:noWrap/>
            <w:vAlign w:val="center"/>
          </w:tcPr>
          <w:p w14:paraId="42A71E71"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57,0</w:t>
            </w:r>
          </w:p>
        </w:tc>
        <w:tc>
          <w:tcPr>
            <w:tcW w:w="1134" w:type="dxa"/>
            <w:noWrap/>
            <w:vAlign w:val="center"/>
          </w:tcPr>
          <w:p w14:paraId="2047B350"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7,0</w:t>
            </w:r>
          </w:p>
        </w:tc>
        <w:tc>
          <w:tcPr>
            <w:tcW w:w="992" w:type="dxa"/>
            <w:vAlign w:val="center"/>
          </w:tcPr>
          <w:p w14:paraId="79B6CADE"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-7,0</w:t>
            </w:r>
          </w:p>
        </w:tc>
        <w:tc>
          <w:tcPr>
            <w:tcW w:w="851" w:type="dxa"/>
          </w:tcPr>
          <w:p w14:paraId="74919970" w14:textId="77777777" w:rsidR="00FE3024" w:rsidRPr="00BE56E3" w:rsidRDefault="00FE3024" w:rsidP="00494C19">
            <w:pPr>
              <w:spacing w:before="0" w:after="0"/>
              <w:ind w:firstLine="0"/>
              <w:jc w:val="center"/>
              <w:rPr>
                <w:rFonts w:eastAsia="Times New Roman"/>
                <w:color w:val="FF0000"/>
                <w:sz w:val="18"/>
                <w:szCs w:val="18"/>
              </w:rPr>
            </w:pPr>
          </w:p>
        </w:tc>
        <w:tc>
          <w:tcPr>
            <w:tcW w:w="992" w:type="dxa"/>
            <w:vAlign w:val="center"/>
          </w:tcPr>
          <w:p w14:paraId="10B84205" w14:textId="77777777" w:rsidR="00FE3024" w:rsidRPr="00BE56E3" w:rsidRDefault="00FE3024" w:rsidP="00494C19">
            <w:pPr>
              <w:spacing w:before="0" w:after="0"/>
              <w:ind w:firstLine="0"/>
              <w:jc w:val="center"/>
              <w:rPr>
                <w:rFonts w:eastAsia="Times New Roman"/>
                <w:color w:val="FF0000"/>
                <w:sz w:val="18"/>
                <w:szCs w:val="18"/>
              </w:rPr>
            </w:pPr>
          </w:p>
        </w:tc>
      </w:tr>
      <w:tr w:rsidR="00C158D2" w:rsidRPr="00F42440" w14:paraId="1048F94F" w14:textId="77777777" w:rsidTr="00C158D2">
        <w:trPr>
          <w:trHeight w:val="199"/>
          <w:jc w:val="center"/>
        </w:trPr>
        <w:tc>
          <w:tcPr>
            <w:tcW w:w="2689" w:type="dxa"/>
            <w:hideMark/>
          </w:tcPr>
          <w:p w14:paraId="56B4996F" w14:textId="77777777" w:rsidR="00FE3024" w:rsidRPr="00BE56E3" w:rsidRDefault="00FE3024" w:rsidP="00494C19">
            <w:pPr>
              <w:spacing w:before="0" w:after="0"/>
              <w:ind w:firstLine="0"/>
              <w:jc w:val="left"/>
              <w:rPr>
                <w:rFonts w:eastAsia="Times New Roman"/>
                <w:sz w:val="18"/>
                <w:szCs w:val="18"/>
              </w:rPr>
            </w:pPr>
            <w:r w:rsidRPr="00BE56E3">
              <w:rPr>
                <w:rFonts w:eastAsia="Times New Roman"/>
                <w:sz w:val="18"/>
                <w:szCs w:val="18"/>
              </w:rPr>
              <w:t>Pabalsts ģimenēm ar bērniem</w:t>
            </w:r>
          </w:p>
        </w:tc>
        <w:tc>
          <w:tcPr>
            <w:tcW w:w="850" w:type="dxa"/>
            <w:noWrap/>
            <w:vAlign w:val="center"/>
          </w:tcPr>
          <w:p w14:paraId="696F0F83"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187,9</w:t>
            </w:r>
          </w:p>
        </w:tc>
        <w:tc>
          <w:tcPr>
            <w:tcW w:w="992" w:type="dxa"/>
            <w:vAlign w:val="center"/>
          </w:tcPr>
          <w:p w14:paraId="64B30CC6" w14:textId="77777777" w:rsidR="00FE3024" w:rsidRPr="00BE56E3" w:rsidRDefault="00FE3024" w:rsidP="00494C19">
            <w:pPr>
              <w:spacing w:before="0" w:after="0"/>
              <w:ind w:firstLine="0"/>
              <w:jc w:val="center"/>
              <w:rPr>
                <w:rFonts w:eastAsia="Times New Roman"/>
                <w:sz w:val="18"/>
                <w:szCs w:val="18"/>
              </w:rPr>
            </w:pPr>
            <w:r w:rsidRPr="00BE56E3">
              <w:rPr>
                <w:rFonts w:eastAsia="Times New Roman"/>
                <w:sz w:val="18"/>
                <w:szCs w:val="18"/>
              </w:rPr>
              <w:t>-187,9</w:t>
            </w:r>
          </w:p>
        </w:tc>
        <w:tc>
          <w:tcPr>
            <w:tcW w:w="851" w:type="dxa"/>
            <w:noWrap/>
            <w:vAlign w:val="center"/>
          </w:tcPr>
          <w:p w14:paraId="43FDEF42"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1134" w:type="dxa"/>
            <w:noWrap/>
            <w:vAlign w:val="center"/>
          </w:tcPr>
          <w:p w14:paraId="7FD07CF5"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0,2</w:t>
            </w:r>
          </w:p>
        </w:tc>
        <w:tc>
          <w:tcPr>
            <w:tcW w:w="992" w:type="dxa"/>
            <w:vAlign w:val="center"/>
          </w:tcPr>
          <w:p w14:paraId="7C56B5DE"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- 0,2</w:t>
            </w:r>
          </w:p>
        </w:tc>
        <w:tc>
          <w:tcPr>
            <w:tcW w:w="851" w:type="dxa"/>
          </w:tcPr>
          <w:p w14:paraId="258BF106" w14:textId="77777777" w:rsidR="00FE3024" w:rsidRPr="00BE56E3" w:rsidRDefault="00FE3024" w:rsidP="00494C19">
            <w:pPr>
              <w:spacing w:before="0" w:after="0"/>
              <w:ind w:firstLine="0"/>
              <w:jc w:val="center"/>
              <w:rPr>
                <w:rFonts w:eastAsia="Times New Roman"/>
                <w:color w:val="FF0000"/>
                <w:sz w:val="18"/>
                <w:szCs w:val="18"/>
              </w:rPr>
            </w:pPr>
          </w:p>
        </w:tc>
        <w:tc>
          <w:tcPr>
            <w:tcW w:w="992" w:type="dxa"/>
            <w:vAlign w:val="center"/>
          </w:tcPr>
          <w:p w14:paraId="04AA31E6" w14:textId="77777777" w:rsidR="00FE3024" w:rsidRPr="00BE56E3" w:rsidRDefault="00FE3024" w:rsidP="00494C19">
            <w:pPr>
              <w:spacing w:before="0" w:after="0"/>
              <w:ind w:firstLine="0"/>
              <w:jc w:val="center"/>
              <w:rPr>
                <w:rFonts w:eastAsia="Times New Roman"/>
                <w:color w:val="FF0000"/>
                <w:sz w:val="18"/>
                <w:szCs w:val="18"/>
              </w:rPr>
            </w:pPr>
          </w:p>
        </w:tc>
      </w:tr>
      <w:tr w:rsidR="00C158D2" w:rsidRPr="00F42440" w14:paraId="3E8A5EB4" w14:textId="77777777" w:rsidTr="00C158D2">
        <w:trPr>
          <w:trHeight w:val="199"/>
          <w:jc w:val="center"/>
        </w:trPr>
        <w:tc>
          <w:tcPr>
            <w:tcW w:w="2689" w:type="dxa"/>
            <w:hideMark/>
          </w:tcPr>
          <w:p w14:paraId="5A90FA61" w14:textId="77777777" w:rsidR="00FE3024" w:rsidRPr="00BE56E3" w:rsidRDefault="00FE3024" w:rsidP="00494C19">
            <w:pPr>
              <w:spacing w:before="0" w:after="0"/>
              <w:ind w:firstLine="0"/>
              <w:jc w:val="left"/>
              <w:rPr>
                <w:rFonts w:eastAsia="Times New Roman"/>
                <w:sz w:val="18"/>
                <w:szCs w:val="18"/>
              </w:rPr>
            </w:pPr>
            <w:r w:rsidRPr="00BE56E3">
              <w:rPr>
                <w:rFonts w:eastAsia="Times New Roman"/>
                <w:sz w:val="18"/>
                <w:szCs w:val="18"/>
              </w:rPr>
              <w:t>Pabalsts pensionāriem un personām ar invaliditāti</w:t>
            </w:r>
          </w:p>
        </w:tc>
        <w:tc>
          <w:tcPr>
            <w:tcW w:w="850" w:type="dxa"/>
            <w:noWrap/>
            <w:vAlign w:val="center"/>
          </w:tcPr>
          <w:p w14:paraId="06E23B4D" w14:textId="70FD2034"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110,0</w:t>
            </w:r>
          </w:p>
        </w:tc>
        <w:tc>
          <w:tcPr>
            <w:tcW w:w="992" w:type="dxa"/>
            <w:vAlign w:val="center"/>
          </w:tcPr>
          <w:p w14:paraId="3009A734" w14:textId="77777777" w:rsidR="00FE3024" w:rsidRPr="00BE56E3" w:rsidRDefault="00FE3024" w:rsidP="00494C19">
            <w:pPr>
              <w:spacing w:before="0" w:after="0"/>
              <w:ind w:firstLine="0"/>
              <w:jc w:val="center"/>
              <w:rPr>
                <w:rFonts w:eastAsia="Times New Roman"/>
                <w:sz w:val="18"/>
                <w:szCs w:val="18"/>
              </w:rPr>
            </w:pPr>
            <w:r w:rsidRPr="00BE56E3">
              <w:rPr>
                <w:rFonts w:eastAsia="Times New Roman"/>
                <w:sz w:val="18"/>
                <w:szCs w:val="18"/>
              </w:rPr>
              <w:t>-110,0</w:t>
            </w:r>
          </w:p>
        </w:tc>
        <w:tc>
          <w:tcPr>
            <w:tcW w:w="851" w:type="dxa"/>
            <w:noWrap/>
            <w:vAlign w:val="center"/>
          </w:tcPr>
          <w:p w14:paraId="7D605280"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1134" w:type="dxa"/>
            <w:noWrap/>
            <w:vAlign w:val="center"/>
          </w:tcPr>
          <w:p w14:paraId="7349E5D1"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992" w:type="dxa"/>
            <w:vAlign w:val="center"/>
          </w:tcPr>
          <w:p w14:paraId="750283B9"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851" w:type="dxa"/>
          </w:tcPr>
          <w:p w14:paraId="7C8459B2" w14:textId="77777777" w:rsidR="00FE3024" w:rsidRPr="00BE56E3" w:rsidRDefault="00FE3024" w:rsidP="00494C19">
            <w:pPr>
              <w:spacing w:before="0" w:after="0"/>
              <w:ind w:firstLine="0"/>
              <w:jc w:val="center"/>
              <w:rPr>
                <w:rFonts w:eastAsia="Times New Roman"/>
                <w:color w:val="FF0000"/>
                <w:sz w:val="18"/>
                <w:szCs w:val="18"/>
              </w:rPr>
            </w:pPr>
          </w:p>
        </w:tc>
        <w:tc>
          <w:tcPr>
            <w:tcW w:w="992" w:type="dxa"/>
            <w:vAlign w:val="center"/>
          </w:tcPr>
          <w:p w14:paraId="7C720DDA" w14:textId="77777777" w:rsidR="00FE3024" w:rsidRPr="00BE56E3" w:rsidRDefault="00FE3024" w:rsidP="00494C19">
            <w:pPr>
              <w:spacing w:before="0" w:after="0"/>
              <w:ind w:firstLine="0"/>
              <w:jc w:val="center"/>
              <w:rPr>
                <w:rFonts w:eastAsia="Times New Roman"/>
                <w:color w:val="FF0000"/>
                <w:sz w:val="18"/>
                <w:szCs w:val="18"/>
              </w:rPr>
            </w:pPr>
          </w:p>
        </w:tc>
      </w:tr>
      <w:tr w:rsidR="00C158D2" w:rsidRPr="00F42440" w14:paraId="294C1C26" w14:textId="77777777" w:rsidTr="00C158D2">
        <w:trPr>
          <w:trHeight w:val="199"/>
          <w:jc w:val="center"/>
        </w:trPr>
        <w:tc>
          <w:tcPr>
            <w:tcW w:w="2689" w:type="dxa"/>
            <w:hideMark/>
          </w:tcPr>
          <w:p w14:paraId="5D5FF8A1" w14:textId="45AE6973" w:rsidR="00FE3024" w:rsidRPr="00BE56E3" w:rsidRDefault="00FE3024" w:rsidP="00494C19">
            <w:pPr>
              <w:spacing w:before="0" w:after="0"/>
              <w:ind w:firstLine="0"/>
              <w:jc w:val="left"/>
              <w:rPr>
                <w:rFonts w:eastAsia="Times New Roman"/>
                <w:sz w:val="18"/>
                <w:szCs w:val="18"/>
              </w:rPr>
            </w:pPr>
            <w:r w:rsidRPr="00BE56E3">
              <w:rPr>
                <w:rFonts w:eastAsia="Times New Roman"/>
                <w:sz w:val="18"/>
                <w:szCs w:val="18"/>
              </w:rPr>
              <w:lastRenderedPageBreak/>
              <w:t>Slimības pabalsta apmaksa no valsts budžeta līdzekļiem saistībā ar Covid-19</w:t>
            </w:r>
          </w:p>
        </w:tc>
        <w:tc>
          <w:tcPr>
            <w:tcW w:w="850" w:type="dxa"/>
            <w:noWrap/>
            <w:vAlign w:val="center"/>
          </w:tcPr>
          <w:p w14:paraId="45D21F24"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32,7</w:t>
            </w:r>
          </w:p>
        </w:tc>
        <w:tc>
          <w:tcPr>
            <w:tcW w:w="992" w:type="dxa"/>
            <w:vAlign w:val="center"/>
          </w:tcPr>
          <w:p w14:paraId="29017C13" w14:textId="77777777" w:rsidR="00FE3024" w:rsidRPr="00BE56E3" w:rsidRDefault="00FE3024" w:rsidP="00494C19">
            <w:pPr>
              <w:spacing w:before="0" w:after="0"/>
              <w:ind w:firstLine="0"/>
              <w:jc w:val="center"/>
              <w:rPr>
                <w:rFonts w:eastAsia="Times New Roman"/>
                <w:sz w:val="18"/>
                <w:szCs w:val="18"/>
              </w:rPr>
            </w:pPr>
            <w:r w:rsidRPr="00BE56E3">
              <w:rPr>
                <w:rFonts w:eastAsia="Times New Roman"/>
                <w:sz w:val="18"/>
                <w:szCs w:val="18"/>
              </w:rPr>
              <w:t>-32,7</w:t>
            </w:r>
          </w:p>
        </w:tc>
        <w:tc>
          <w:tcPr>
            <w:tcW w:w="851" w:type="dxa"/>
            <w:vAlign w:val="center"/>
          </w:tcPr>
          <w:p w14:paraId="3901B022" w14:textId="77777777" w:rsidR="00FE3024" w:rsidRPr="00BE56E3" w:rsidRDefault="00FE3024" w:rsidP="00494C19">
            <w:pPr>
              <w:spacing w:before="0" w:after="0"/>
              <w:ind w:firstLine="0"/>
              <w:jc w:val="center"/>
              <w:rPr>
                <w:rFonts w:eastAsia="Times New Roman"/>
                <w:color w:val="FF0000"/>
                <w:sz w:val="18"/>
                <w:szCs w:val="18"/>
              </w:rPr>
            </w:pPr>
            <w:r w:rsidRPr="00BE56E3">
              <w:rPr>
                <w:rFonts w:eastAsia="Times New Roman"/>
                <w:color w:val="000000" w:themeColor="text1"/>
                <w:sz w:val="18"/>
                <w:szCs w:val="18"/>
              </w:rPr>
              <w:t>49,0</w:t>
            </w:r>
          </w:p>
        </w:tc>
        <w:tc>
          <w:tcPr>
            <w:tcW w:w="1134" w:type="dxa"/>
            <w:noWrap/>
            <w:vAlign w:val="center"/>
          </w:tcPr>
          <w:p w14:paraId="10CEC9EB"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49,0</w:t>
            </w:r>
          </w:p>
        </w:tc>
        <w:tc>
          <w:tcPr>
            <w:tcW w:w="992" w:type="dxa"/>
            <w:vAlign w:val="center"/>
          </w:tcPr>
          <w:p w14:paraId="6824ED5F"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-49,0</w:t>
            </w:r>
          </w:p>
        </w:tc>
        <w:tc>
          <w:tcPr>
            <w:tcW w:w="851" w:type="dxa"/>
          </w:tcPr>
          <w:p w14:paraId="6BB34DC5" w14:textId="77777777" w:rsidR="00FE3024" w:rsidRPr="00BE56E3" w:rsidRDefault="00FE3024" w:rsidP="00494C19">
            <w:pPr>
              <w:spacing w:before="0" w:after="0"/>
              <w:ind w:firstLine="0"/>
              <w:jc w:val="center"/>
              <w:rPr>
                <w:rFonts w:eastAsia="Times New Roman"/>
                <w:color w:val="FF0000"/>
                <w:sz w:val="18"/>
                <w:szCs w:val="18"/>
              </w:rPr>
            </w:pPr>
          </w:p>
        </w:tc>
        <w:tc>
          <w:tcPr>
            <w:tcW w:w="992" w:type="dxa"/>
            <w:vAlign w:val="center"/>
          </w:tcPr>
          <w:p w14:paraId="58BB6CDC" w14:textId="77777777" w:rsidR="00FE3024" w:rsidRPr="00BE56E3" w:rsidRDefault="00FE3024" w:rsidP="00494C19">
            <w:pPr>
              <w:spacing w:before="0" w:after="0"/>
              <w:ind w:firstLine="0"/>
              <w:jc w:val="center"/>
              <w:rPr>
                <w:rFonts w:eastAsia="Times New Roman"/>
                <w:color w:val="FF0000"/>
                <w:sz w:val="18"/>
                <w:szCs w:val="18"/>
              </w:rPr>
            </w:pPr>
          </w:p>
        </w:tc>
      </w:tr>
      <w:tr w:rsidR="00C158D2" w:rsidRPr="00F42440" w14:paraId="39E7302C" w14:textId="77777777" w:rsidTr="00C158D2">
        <w:trPr>
          <w:trHeight w:val="199"/>
          <w:jc w:val="center"/>
        </w:trPr>
        <w:tc>
          <w:tcPr>
            <w:tcW w:w="2689" w:type="dxa"/>
            <w:hideMark/>
          </w:tcPr>
          <w:p w14:paraId="67E0AAAE" w14:textId="77777777" w:rsidR="00FE3024" w:rsidRPr="00BE56E3" w:rsidRDefault="00FE3024" w:rsidP="00494C19">
            <w:pPr>
              <w:spacing w:before="0" w:after="0"/>
              <w:ind w:firstLine="0"/>
              <w:jc w:val="left"/>
              <w:rPr>
                <w:rFonts w:eastAsia="Times New Roman"/>
                <w:noProof/>
                <w:sz w:val="18"/>
                <w:szCs w:val="18"/>
              </w:rPr>
            </w:pPr>
            <w:r w:rsidRPr="00BE56E3">
              <w:rPr>
                <w:rFonts w:eastAsia="Times New Roman"/>
                <w:noProof/>
                <w:sz w:val="18"/>
                <w:szCs w:val="18"/>
              </w:rPr>
              <w:t>Pabalsts vakcinētām personām virs 60 gadiem</w:t>
            </w:r>
          </w:p>
        </w:tc>
        <w:tc>
          <w:tcPr>
            <w:tcW w:w="850" w:type="dxa"/>
            <w:noWrap/>
            <w:vAlign w:val="center"/>
          </w:tcPr>
          <w:p w14:paraId="3100BCFD"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15,0</w:t>
            </w:r>
          </w:p>
        </w:tc>
        <w:tc>
          <w:tcPr>
            <w:tcW w:w="992" w:type="dxa"/>
            <w:vAlign w:val="center"/>
          </w:tcPr>
          <w:p w14:paraId="045EFF58" w14:textId="77777777" w:rsidR="00FE3024" w:rsidRPr="00BE56E3" w:rsidRDefault="00FE3024" w:rsidP="00494C19">
            <w:pPr>
              <w:spacing w:before="0" w:after="0"/>
              <w:ind w:firstLine="0"/>
              <w:jc w:val="center"/>
              <w:rPr>
                <w:rFonts w:eastAsia="Times New Roman"/>
                <w:sz w:val="18"/>
                <w:szCs w:val="18"/>
              </w:rPr>
            </w:pPr>
            <w:r w:rsidRPr="00BE56E3">
              <w:rPr>
                <w:rFonts w:eastAsia="Times New Roman"/>
                <w:color w:val="000000"/>
                <w:sz w:val="18"/>
                <w:szCs w:val="18"/>
              </w:rPr>
              <w:t>-15,0</w:t>
            </w:r>
          </w:p>
        </w:tc>
        <w:tc>
          <w:tcPr>
            <w:tcW w:w="851" w:type="dxa"/>
            <w:noWrap/>
            <w:vAlign w:val="center"/>
          </w:tcPr>
          <w:p w14:paraId="4B7686BE"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30,1</w:t>
            </w:r>
          </w:p>
        </w:tc>
        <w:tc>
          <w:tcPr>
            <w:tcW w:w="1134" w:type="dxa"/>
            <w:noWrap/>
            <w:vAlign w:val="center"/>
          </w:tcPr>
          <w:p w14:paraId="1D1C1492"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23,8</w:t>
            </w:r>
          </w:p>
        </w:tc>
        <w:tc>
          <w:tcPr>
            <w:tcW w:w="992" w:type="dxa"/>
            <w:vAlign w:val="center"/>
          </w:tcPr>
          <w:p w14:paraId="594DEDF1"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-23,8</w:t>
            </w:r>
          </w:p>
        </w:tc>
        <w:tc>
          <w:tcPr>
            <w:tcW w:w="851" w:type="dxa"/>
          </w:tcPr>
          <w:p w14:paraId="1DAE2CA4" w14:textId="77777777" w:rsidR="00FE3024" w:rsidRPr="00BE56E3" w:rsidRDefault="00FE3024" w:rsidP="00494C19">
            <w:pPr>
              <w:spacing w:before="0" w:after="0"/>
              <w:ind w:firstLine="0"/>
              <w:jc w:val="center"/>
              <w:rPr>
                <w:rFonts w:eastAsia="Times New Roman"/>
                <w:color w:val="FF0000"/>
                <w:sz w:val="18"/>
                <w:szCs w:val="18"/>
              </w:rPr>
            </w:pPr>
          </w:p>
        </w:tc>
        <w:tc>
          <w:tcPr>
            <w:tcW w:w="992" w:type="dxa"/>
            <w:vAlign w:val="center"/>
          </w:tcPr>
          <w:p w14:paraId="3DF34D3F" w14:textId="77777777" w:rsidR="00FE3024" w:rsidRPr="00BE56E3" w:rsidRDefault="00FE3024" w:rsidP="00494C19">
            <w:pPr>
              <w:spacing w:before="0" w:after="0"/>
              <w:ind w:firstLine="0"/>
              <w:jc w:val="center"/>
              <w:rPr>
                <w:rFonts w:eastAsia="Times New Roman"/>
                <w:color w:val="FF0000"/>
                <w:sz w:val="18"/>
                <w:szCs w:val="18"/>
              </w:rPr>
            </w:pPr>
          </w:p>
        </w:tc>
      </w:tr>
      <w:tr w:rsidR="00C158D2" w:rsidRPr="00F42440" w14:paraId="56F3AE9E" w14:textId="77777777" w:rsidTr="00C158D2">
        <w:trPr>
          <w:trHeight w:val="199"/>
          <w:jc w:val="center"/>
        </w:trPr>
        <w:tc>
          <w:tcPr>
            <w:tcW w:w="2689" w:type="dxa"/>
          </w:tcPr>
          <w:p w14:paraId="752FC9FE" w14:textId="77777777" w:rsidR="00FE3024" w:rsidRPr="00BE56E3" w:rsidRDefault="00FE3024" w:rsidP="00494C19">
            <w:pPr>
              <w:spacing w:before="0" w:after="0"/>
              <w:ind w:firstLine="0"/>
              <w:jc w:val="left"/>
              <w:rPr>
                <w:rFonts w:eastAsia="Times New Roman"/>
                <w:noProof/>
                <w:sz w:val="18"/>
                <w:szCs w:val="18"/>
              </w:rPr>
            </w:pPr>
            <w:r w:rsidRPr="00BE56E3">
              <w:rPr>
                <w:rFonts w:eastAsia="Times New Roman"/>
                <w:noProof/>
                <w:sz w:val="18"/>
                <w:szCs w:val="18"/>
              </w:rPr>
              <w:t>Slimības palīdzības pabalsts</w:t>
            </w:r>
          </w:p>
        </w:tc>
        <w:tc>
          <w:tcPr>
            <w:tcW w:w="850" w:type="dxa"/>
            <w:noWrap/>
            <w:vAlign w:val="center"/>
          </w:tcPr>
          <w:p w14:paraId="45651673"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2,9</w:t>
            </w:r>
          </w:p>
        </w:tc>
        <w:tc>
          <w:tcPr>
            <w:tcW w:w="992" w:type="dxa"/>
            <w:vAlign w:val="center"/>
          </w:tcPr>
          <w:p w14:paraId="521B194F"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-2,9</w:t>
            </w:r>
          </w:p>
        </w:tc>
        <w:tc>
          <w:tcPr>
            <w:tcW w:w="851" w:type="dxa"/>
            <w:noWrap/>
            <w:vAlign w:val="center"/>
          </w:tcPr>
          <w:p w14:paraId="74A6DC3D"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1134" w:type="dxa"/>
            <w:noWrap/>
            <w:vAlign w:val="center"/>
          </w:tcPr>
          <w:p w14:paraId="405C099F"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992" w:type="dxa"/>
            <w:vAlign w:val="center"/>
          </w:tcPr>
          <w:p w14:paraId="25E9DD2C"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851" w:type="dxa"/>
          </w:tcPr>
          <w:p w14:paraId="17D6B49B" w14:textId="77777777" w:rsidR="00FE3024" w:rsidRPr="00BE56E3" w:rsidRDefault="00FE3024" w:rsidP="00494C19">
            <w:pPr>
              <w:spacing w:before="0" w:after="0"/>
              <w:ind w:firstLine="0"/>
              <w:jc w:val="center"/>
              <w:rPr>
                <w:rFonts w:eastAsia="Times New Roman"/>
                <w:color w:val="FF0000"/>
                <w:sz w:val="18"/>
                <w:szCs w:val="18"/>
              </w:rPr>
            </w:pPr>
          </w:p>
        </w:tc>
        <w:tc>
          <w:tcPr>
            <w:tcW w:w="992" w:type="dxa"/>
            <w:vAlign w:val="center"/>
          </w:tcPr>
          <w:p w14:paraId="22DB6D0F" w14:textId="77777777" w:rsidR="00FE3024" w:rsidRPr="00BE56E3" w:rsidRDefault="00FE3024" w:rsidP="00494C19">
            <w:pPr>
              <w:spacing w:before="0" w:after="0"/>
              <w:ind w:firstLine="0"/>
              <w:jc w:val="center"/>
              <w:rPr>
                <w:rFonts w:eastAsia="Times New Roman"/>
                <w:color w:val="FF0000"/>
                <w:sz w:val="18"/>
                <w:szCs w:val="18"/>
              </w:rPr>
            </w:pPr>
          </w:p>
        </w:tc>
      </w:tr>
      <w:tr w:rsidR="00C158D2" w:rsidRPr="00F42440" w14:paraId="52942F83" w14:textId="77777777" w:rsidTr="00C158D2">
        <w:trPr>
          <w:trHeight w:val="199"/>
          <w:jc w:val="center"/>
        </w:trPr>
        <w:tc>
          <w:tcPr>
            <w:tcW w:w="2689" w:type="dxa"/>
          </w:tcPr>
          <w:p w14:paraId="5D7EB8E4" w14:textId="77777777" w:rsidR="00FE3024" w:rsidRPr="00BE56E3" w:rsidRDefault="00FE3024" w:rsidP="00494C19">
            <w:pPr>
              <w:spacing w:before="0" w:after="0"/>
              <w:ind w:firstLine="0"/>
              <w:jc w:val="left"/>
              <w:rPr>
                <w:rFonts w:eastAsia="Times New Roman"/>
                <w:noProof/>
                <w:sz w:val="18"/>
                <w:szCs w:val="18"/>
              </w:rPr>
            </w:pPr>
            <w:r w:rsidRPr="00BE56E3">
              <w:rPr>
                <w:rFonts w:eastAsia="Times New Roman"/>
                <w:noProof/>
                <w:sz w:val="18"/>
                <w:szCs w:val="18"/>
              </w:rPr>
              <w:t>Bezdarbnieku palīdzības pabalsts</w:t>
            </w:r>
          </w:p>
        </w:tc>
        <w:tc>
          <w:tcPr>
            <w:tcW w:w="850" w:type="dxa"/>
            <w:noWrap/>
            <w:vAlign w:val="center"/>
          </w:tcPr>
          <w:p w14:paraId="6187E655"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10,8</w:t>
            </w:r>
          </w:p>
        </w:tc>
        <w:tc>
          <w:tcPr>
            <w:tcW w:w="992" w:type="dxa"/>
            <w:vAlign w:val="center"/>
          </w:tcPr>
          <w:p w14:paraId="359C2D1C"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-10,8</w:t>
            </w:r>
          </w:p>
        </w:tc>
        <w:tc>
          <w:tcPr>
            <w:tcW w:w="851" w:type="dxa"/>
            <w:noWrap/>
            <w:vAlign w:val="center"/>
          </w:tcPr>
          <w:p w14:paraId="437B6A08"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1134" w:type="dxa"/>
            <w:noWrap/>
            <w:vAlign w:val="center"/>
          </w:tcPr>
          <w:p w14:paraId="709F8D18"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992" w:type="dxa"/>
            <w:vAlign w:val="center"/>
          </w:tcPr>
          <w:p w14:paraId="33F4C9E8"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851" w:type="dxa"/>
          </w:tcPr>
          <w:p w14:paraId="50F28A3E" w14:textId="77777777" w:rsidR="00FE3024" w:rsidRPr="00BE56E3" w:rsidRDefault="00FE3024" w:rsidP="00494C19">
            <w:pPr>
              <w:spacing w:before="0" w:after="0"/>
              <w:ind w:firstLine="0"/>
              <w:jc w:val="center"/>
              <w:rPr>
                <w:rFonts w:eastAsia="Times New Roman"/>
                <w:color w:val="FF0000"/>
                <w:sz w:val="18"/>
                <w:szCs w:val="18"/>
              </w:rPr>
            </w:pPr>
          </w:p>
        </w:tc>
        <w:tc>
          <w:tcPr>
            <w:tcW w:w="992" w:type="dxa"/>
            <w:vAlign w:val="center"/>
          </w:tcPr>
          <w:p w14:paraId="03AE58E0" w14:textId="77777777" w:rsidR="00FE3024" w:rsidRPr="00BE56E3" w:rsidRDefault="00FE3024" w:rsidP="00494C19">
            <w:pPr>
              <w:spacing w:before="0" w:after="0"/>
              <w:ind w:firstLine="0"/>
              <w:jc w:val="center"/>
              <w:rPr>
                <w:rFonts w:eastAsia="Times New Roman"/>
                <w:color w:val="FF0000"/>
                <w:sz w:val="18"/>
                <w:szCs w:val="18"/>
              </w:rPr>
            </w:pPr>
          </w:p>
        </w:tc>
      </w:tr>
      <w:tr w:rsidR="00C158D2" w:rsidRPr="00F42440" w14:paraId="60B10E3D" w14:textId="77777777" w:rsidTr="00C158D2">
        <w:trPr>
          <w:trHeight w:val="199"/>
          <w:jc w:val="center"/>
        </w:trPr>
        <w:tc>
          <w:tcPr>
            <w:tcW w:w="2689" w:type="dxa"/>
            <w:hideMark/>
          </w:tcPr>
          <w:p w14:paraId="19EF9FE4" w14:textId="77777777" w:rsidR="00FE3024" w:rsidRPr="00BE56E3" w:rsidRDefault="00FE3024" w:rsidP="00494C19">
            <w:pPr>
              <w:spacing w:before="0" w:after="0"/>
              <w:ind w:firstLine="0"/>
              <w:jc w:val="left"/>
              <w:rPr>
                <w:rFonts w:eastAsia="Times New Roman"/>
                <w:noProof/>
                <w:sz w:val="18"/>
                <w:szCs w:val="18"/>
              </w:rPr>
            </w:pPr>
            <w:r w:rsidRPr="00BE56E3">
              <w:rPr>
                <w:rFonts w:eastAsia="Times New Roman"/>
                <w:noProof/>
                <w:sz w:val="18"/>
                <w:szCs w:val="18"/>
              </w:rPr>
              <w:t>Citi pabalsti</w:t>
            </w:r>
          </w:p>
        </w:tc>
        <w:tc>
          <w:tcPr>
            <w:tcW w:w="850" w:type="dxa"/>
            <w:noWrap/>
            <w:vAlign w:val="center"/>
          </w:tcPr>
          <w:p w14:paraId="18D5A581"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5,5</w:t>
            </w:r>
          </w:p>
        </w:tc>
        <w:tc>
          <w:tcPr>
            <w:tcW w:w="992" w:type="dxa"/>
            <w:vAlign w:val="center"/>
          </w:tcPr>
          <w:p w14:paraId="573AF7C4" w14:textId="77777777" w:rsidR="00FE3024" w:rsidRPr="00BE56E3" w:rsidRDefault="00FE3024" w:rsidP="00494C19">
            <w:pPr>
              <w:spacing w:before="0" w:after="0"/>
              <w:ind w:firstLine="0"/>
              <w:jc w:val="center"/>
              <w:rPr>
                <w:rFonts w:eastAsia="Times New Roman"/>
                <w:sz w:val="18"/>
                <w:szCs w:val="18"/>
              </w:rPr>
            </w:pPr>
            <w:r w:rsidRPr="00BE56E3">
              <w:rPr>
                <w:rFonts w:eastAsia="Times New Roman"/>
                <w:color w:val="000000"/>
                <w:sz w:val="18"/>
                <w:szCs w:val="18"/>
              </w:rPr>
              <w:t>-5,5</w:t>
            </w:r>
          </w:p>
        </w:tc>
        <w:tc>
          <w:tcPr>
            <w:tcW w:w="851" w:type="dxa"/>
            <w:noWrap/>
            <w:vAlign w:val="center"/>
          </w:tcPr>
          <w:p w14:paraId="0C3FF2FF"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6,6</w:t>
            </w:r>
          </w:p>
        </w:tc>
        <w:tc>
          <w:tcPr>
            <w:tcW w:w="1134" w:type="dxa"/>
            <w:noWrap/>
            <w:vAlign w:val="center"/>
          </w:tcPr>
          <w:p w14:paraId="0C59DD7B"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6,4</w:t>
            </w:r>
          </w:p>
        </w:tc>
        <w:tc>
          <w:tcPr>
            <w:tcW w:w="992" w:type="dxa"/>
            <w:vAlign w:val="center"/>
          </w:tcPr>
          <w:p w14:paraId="6E927E0A"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-6,6</w:t>
            </w:r>
          </w:p>
        </w:tc>
        <w:tc>
          <w:tcPr>
            <w:tcW w:w="851" w:type="dxa"/>
          </w:tcPr>
          <w:p w14:paraId="04FA34FB" w14:textId="77777777" w:rsidR="00FE3024" w:rsidRPr="00BE56E3" w:rsidRDefault="00FE3024" w:rsidP="00494C19">
            <w:pPr>
              <w:spacing w:before="0" w:after="0"/>
              <w:ind w:firstLine="0"/>
              <w:jc w:val="center"/>
              <w:rPr>
                <w:rFonts w:eastAsia="Times New Roman"/>
                <w:color w:val="FF0000"/>
                <w:sz w:val="18"/>
                <w:szCs w:val="18"/>
              </w:rPr>
            </w:pPr>
          </w:p>
        </w:tc>
        <w:tc>
          <w:tcPr>
            <w:tcW w:w="992" w:type="dxa"/>
            <w:vAlign w:val="center"/>
          </w:tcPr>
          <w:p w14:paraId="0DCF31AA" w14:textId="77777777" w:rsidR="00FE3024" w:rsidRPr="00BE56E3" w:rsidRDefault="00FE3024" w:rsidP="00494C19">
            <w:pPr>
              <w:spacing w:before="0" w:after="0"/>
              <w:ind w:firstLine="0"/>
              <w:jc w:val="center"/>
              <w:rPr>
                <w:rFonts w:eastAsia="Times New Roman"/>
                <w:color w:val="FF0000"/>
                <w:sz w:val="18"/>
                <w:szCs w:val="18"/>
              </w:rPr>
            </w:pPr>
          </w:p>
        </w:tc>
      </w:tr>
      <w:tr w:rsidR="00C158D2" w:rsidRPr="00F42440" w14:paraId="363015A5" w14:textId="77777777" w:rsidTr="00C158D2">
        <w:trPr>
          <w:trHeight w:val="199"/>
          <w:jc w:val="center"/>
        </w:trPr>
        <w:tc>
          <w:tcPr>
            <w:tcW w:w="2689" w:type="dxa"/>
            <w:shd w:val="clear" w:color="auto" w:fill="DEEAF6" w:themeFill="accent1" w:themeFillTint="33"/>
            <w:noWrap/>
            <w:hideMark/>
          </w:tcPr>
          <w:p w14:paraId="037C1EF1" w14:textId="77777777" w:rsidR="00FE3024" w:rsidRPr="00BE56E3" w:rsidRDefault="00FE3024" w:rsidP="00494C19">
            <w:pPr>
              <w:spacing w:before="0" w:after="0"/>
              <w:ind w:firstLine="0"/>
              <w:jc w:val="left"/>
              <w:rPr>
                <w:rFonts w:eastAsia="Times New Roman"/>
                <w:b/>
                <w:bCs/>
                <w:color w:val="000000"/>
                <w:sz w:val="18"/>
                <w:szCs w:val="18"/>
              </w:rPr>
            </w:pPr>
            <w:r w:rsidRPr="00BE56E3">
              <w:rPr>
                <w:rFonts w:eastAsia="Times New Roman"/>
                <w:b/>
                <w:bCs/>
                <w:color w:val="000000"/>
                <w:sz w:val="18"/>
                <w:szCs w:val="18"/>
              </w:rPr>
              <w:t>III Atbalsts aizdevumu un garantiju jomā</w:t>
            </w:r>
          </w:p>
        </w:tc>
        <w:tc>
          <w:tcPr>
            <w:tcW w:w="850" w:type="dxa"/>
            <w:shd w:val="clear" w:color="auto" w:fill="DEEAF6" w:themeFill="accent1" w:themeFillTint="33"/>
            <w:noWrap/>
            <w:vAlign w:val="center"/>
          </w:tcPr>
          <w:p w14:paraId="4BBBC2CA"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b/>
                <w:color w:val="000000"/>
                <w:sz w:val="18"/>
                <w:szCs w:val="18"/>
              </w:rPr>
              <w:t>133,7</w:t>
            </w:r>
          </w:p>
        </w:tc>
        <w:tc>
          <w:tcPr>
            <w:tcW w:w="992" w:type="dxa"/>
            <w:shd w:val="clear" w:color="auto" w:fill="DEEAF6" w:themeFill="accent1" w:themeFillTint="33"/>
            <w:noWrap/>
            <w:vAlign w:val="center"/>
          </w:tcPr>
          <w:p w14:paraId="7D2CA4E8"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b/>
                <w:color w:val="000000"/>
                <w:sz w:val="18"/>
                <w:szCs w:val="18"/>
              </w:rPr>
              <w:t>-91,7</w:t>
            </w:r>
          </w:p>
        </w:tc>
        <w:tc>
          <w:tcPr>
            <w:tcW w:w="851" w:type="dxa"/>
            <w:shd w:val="clear" w:color="auto" w:fill="DEEAF6" w:themeFill="accent1" w:themeFillTint="33"/>
            <w:noWrap/>
            <w:vAlign w:val="center"/>
          </w:tcPr>
          <w:p w14:paraId="34BF5D34" w14:textId="77777777" w:rsidR="00FE3024" w:rsidRPr="00BE56E3" w:rsidRDefault="00FE3024" w:rsidP="00494C19">
            <w:pPr>
              <w:spacing w:before="0" w:after="0"/>
              <w:ind w:firstLine="0"/>
              <w:jc w:val="center"/>
              <w:rPr>
                <w:rFonts w:eastAsia="Times New Roman"/>
                <w:color w:val="FF0000"/>
                <w:sz w:val="18"/>
                <w:szCs w:val="18"/>
              </w:rPr>
            </w:pPr>
            <w:r w:rsidRPr="00BE56E3">
              <w:rPr>
                <w:rFonts w:eastAsia="Times New Roman"/>
                <w:b/>
                <w:color w:val="000000" w:themeColor="text1"/>
                <w:sz w:val="18"/>
                <w:szCs w:val="18"/>
              </w:rPr>
              <w:t>199,8</w:t>
            </w:r>
          </w:p>
        </w:tc>
        <w:tc>
          <w:tcPr>
            <w:tcW w:w="1134" w:type="dxa"/>
            <w:shd w:val="clear" w:color="auto" w:fill="DEEAF6" w:themeFill="accent1" w:themeFillTint="33"/>
            <w:noWrap/>
            <w:vAlign w:val="center"/>
          </w:tcPr>
          <w:p w14:paraId="2C6776B9"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52,2</w:t>
            </w:r>
          </w:p>
        </w:tc>
        <w:tc>
          <w:tcPr>
            <w:tcW w:w="992" w:type="dxa"/>
            <w:shd w:val="clear" w:color="auto" w:fill="DEEAF6" w:themeFill="accent1" w:themeFillTint="33"/>
            <w:noWrap/>
            <w:vAlign w:val="center"/>
          </w:tcPr>
          <w:p w14:paraId="18426117"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-55,3</w:t>
            </w:r>
          </w:p>
        </w:tc>
        <w:tc>
          <w:tcPr>
            <w:tcW w:w="851" w:type="dxa"/>
            <w:shd w:val="clear" w:color="auto" w:fill="DEEAF6" w:themeFill="accent1" w:themeFillTint="33"/>
            <w:vAlign w:val="center"/>
          </w:tcPr>
          <w:p w14:paraId="45936694" w14:textId="337D4962" w:rsidR="00FE3024" w:rsidRPr="00BE56E3" w:rsidRDefault="00835622" w:rsidP="00494C19">
            <w:pPr>
              <w:spacing w:before="0" w:after="0"/>
              <w:ind w:firstLine="0"/>
              <w:jc w:val="center"/>
              <w:rPr>
                <w:rFonts w:eastAsia="Times New Roman"/>
                <w:b/>
                <w:color w:val="FF0000"/>
                <w:sz w:val="18"/>
                <w:szCs w:val="18"/>
              </w:rPr>
            </w:pPr>
            <w:r w:rsidRPr="00BE56E3">
              <w:rPr>
                <w:rFonts w:eastAsia="Times New Roman"/>
                <w:b/>
                <w:color w:val="000000" w:themeColor="text1"/>
                <w:sz w:val="18"/>
                <w:szCs w:val="18"/>
              </w:rPr>
              <w:t>23,7</w:t>
            </w:r>
          </w:p>
        </w:tc>
        <w:tc>
          <w:tcPr>
            <w:tcW w:w="992" w:type="dxa"/>
            <w:shd w:val="clear" w:color="auto" w:fill="DEEAF6" w:themeFill="accent1" w:themeFillTint="33"/>
            <w:noWrap/>
            <w:vAlign w:val="center"/>
          </w:tcPr>
          <w:p w14:paraId="42D31096" w14:textId="77777777" w:rsidR="00FE3024" w:rsidRPr="00BE56E3" w:rsidRDefault="00FE3024" w:rsidP="00494C19">
            <w:pPr>
              <w:spacing w:before="0" w:after="0"/>
              <w:ind w:firstLine="0"/>
              <w:jc w:val="center"/>
              <w:rPr>
                <w:rFonts w:eastAsia="Times New Roman"/>
                <w:color w:val="FF0000"/>
                <w:sz w:val="18"/>
                <w:szCs w:val="18"/>
              </w:rPr>
            </w:pPr>
            <w:r w:rsidRPr="00BE56E3">
              <w:rPr>
                <w:rFonts w:eastAsia="Times New Roman"/>
                <w:b/>
                <w:color w:val="000000" w:themeColor="text1"/>
                <w:sz w:val="18"/>
                <w:szCs w:val="18"/>
              </w:rPr>
              <w:t>-21,3</w:t>
            </w:r>
          </w:p>
        </w:tc>
      </w:tr>
      <w:tr w:rsidR="00C158D2" w:rsidRPr="00F42440" w14:paraId="7C689D19" w14:textId="77777777" w:rsidTr="00C158D2">
        <w:trPr>
          <w:trHeight w:val="199"/>
          <w:jc w:val="center"/>
        </w:trPr>
        <w:tc>
          <w:tcPr>
            <w:tcW w:w="2689" w:type="dxa"/>
            <w:shd w:val="clear" w:color="auto" w:fill="DEEAF6" w:themeFill="accent1" w:themeFillTint="33"/>
            <w:noWrap/>
            <w:hideMark/>
          </w:tcPr>
          <w:p w14:paraId="6DBB3BE5" w14:textId="77777777" w:rsidR="00FE3024" w:rsidRPr="00BE56E3" w:rsidRDefault="00FE3024" w:rsidP="00494C19">
            <w:pPr>
              <w:spacing w:before="0" w:after="0"/>
              <w:ind w:firstLine="0"/>
              <w:jc w:val="left"/>
              <w:rPr>
                <w:rFonts w:eastAsia="Times New Roman"/>
                <w:b/>
                <w:bCs/>
                <w:color w:val="000000"/>
                <w:sz w:val="18"/>
                <w:szCs w:val="18"/>
              </w:rPr>
            </w:pPr>
            <w:r w:rsidRPr="00BE56E3">
              <w:rPr>
                <w:rFonts w:eastAsia="Times New Roman"/>
                <w:b/>
                <w:bCs/>
                <w:color w:val="000000"/>
                <w:sz w:val="18"/>
                <w:szCs w:val="18"/>
              </w:rPr>
              <w:t xml:space="preserve">IV Atbalsts nozarēm, </w:t>
            </w:r>
            <w:r w:rsidRPr="00BE56E3">
              <w:rPr>
                <w:rFonts w:eastAsia="Times New Roman"/>
                <w:color w:val="000000"/>
                <w:sz w:val="18"/>
                <w:szCs w:val="18"/>
              </w:rPr>
              <w:t>tai skaitā</w:t>
            </w:r>
          </w:p>
        </w:tc>
        <w:tc>
          <w:tcPr>
            <w:tcW w:w="850" w:type="dxa"/>
            <w:shd w:val="clear" w:color="auto" w:fill="DEEAF6" w:themeFill="accent1" w:themeFillTint="33"/>
            <w:noWrap/>
            <w:vAlign w:val="center"/>
          </w:tcPr>
          <w:p w14:paraId="42F5C20B"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b/>
                <w:color w:val="000000"/>
                <w:sz w:val="18"/>
                <w:szCs w:val="18"/>
              </w:rPr>
              <w:t>1 497,2</w:t>
            </w:r>
          </w:p>
        </w:tc>
        <w:tc>
          <w:tcPr>
            <w:tcW w:w="992" w:type="dxa"/>
            <w:shd w:val="clear" w:color="auto" w:fill="DEEAF6" w:themeFill="accent1" w:themeFillTint="33"/>
            <w:noWrap/>
            <w:vAlign w:val="center"/>
          </w:tcPr>
          <w:p w14:paraId="6921F197"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b/>
                <w:color w:val="000000"/>
                <w:sz w:val="18"/>
                <w:szCs w:val="18"/>
              </w:rPr>
              <w:t>-1 456,3</w:t>
            </w:r>
          </w:p>
        </w:tc>
        <w:tc>
          <w:tcPr>
            <w:tcW w:w="851" w:type="dxa"/>
            <w:shd w:val="clear" w:color="auto" w:fill="DEEAF6" w:themeFill="accent1" w:themeFillTint="33"/>
            <w:noWrap/>
            <w:vAlign w:val="center"/>
          </w:tcPr>
          <w:p w14:paraId="563E26A4" w14:textId="77777777" w:rsidR="00FE3024" w:rsidRPr="00BE56E3" w:rsidRDefault="00FE3024" w:rsidP="00494C19">
            <w:pPr>
              <w:spacing w:before="0" w:after="0"/>
              <w:ind w:firstLine="0"/>
              <w:jc w:val="center"/>
              <w:rPr>
                <w:rFonts w:eastAsia="Times New Roman"/>
                <w:color w:val="FF0000"/>
                <w:sz w:val="18"/>
                <w:szCs w:val="18"/>
              </w:rPr>
            </w:pPr>
            <w:r w:rsidRPr="00BE56E3">
              <w:rPr>
                <w:rFonts w:eastAsia="Times New Roman"/>
                <w:b/>
                <w:color w:val="000000" w:themeColor="text1"/>
                <w:sz w:val="18"/>
                <w:szCs w:val="18"/>
              </w:rPr>
              <w:t>975,2</w:t>
            </w:r>
          </w:p>
        </w:tc>
        <w:tc>
          <w:tcPr>
            <w:tcW w:w="1134" w:type="dxa"/>
            <w:shd w:val="clear" w:color="auto" w:fill="DEEAF6" w:themeFill="accent1" w:themeFillTint="33"/>
            <w:noWrap/>
            <w:vAlign w:val="center"/>
          </w:tcPr>
          <w:p w14:paraId="295D33ED" w14:textId="77777777" w:rsidR="00FE3024" w:rsidRPr="00BE56E3" w:rsidRDefault="00FE3024" w:rsidP="00494C19">
            <w:pPr>
              <w:spacing w:before="0" w:after="0"/>
              <w:ind w:firstLine="0"/>
              <w:jc w:val="center"/>
              <w:rPr>
                <w:rFonts w:eastAsia="Times New Roman"/>
                <w:color w:val="FF0000"/>
                <w:sz w:val="18"/>
                <w:szCs w:val="18"/>
              </w:rPr>
            </w:pPr>
            <w:r w:rsidRPr="00BE56E3">
              <w:rPr>
                <w:rFonts w:eastAsia="Times New Roman"/>
                <w:b/>
                <w:color w:val="000000" w:themeColor="text1"/>
                <w:sz w:val="18"/>
                <w:szCs w:val="18"/>
              </w:rPr>
              <w:t>537,2</w:t>
            </w:r>
          </w:p>
        </w:tc>
        <w:tc>
          <w:tcPr>
            <w:tcW w:w="992" w:type="dxa"/>
            <w:shd w:val="clear" w:color="auto" w:fill="DEEAF6" w:themeFill="accent1" w:themeFillTint="33"/>
            <w:noWrap/>
            <w:vAlign w:val="center"/>
          </w:tcPr>
          <w:p w14:paraId="779DD679"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-674,7</w:t>
            </w:r>
          </w:p>
        </w:tc>
        <w:tc>
          <w:tcPr>
            <w:tcW w:w="851" w:type="dxa"/>
            <w:shd w:val="clear" w:color="auto" w:fill="DEEAF6" w:themeFill="accent1" w:themeFillTint="33"/>
          </w:tcPr>
          <w:p w14:paraId="7D39D5D1" w14:textId="54ADE107" w:rsidR="00FE3024" w:rsidRPr="00BE56E3" w:rsidRDefault="00835622" w:rsidP="00494C19">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63,6</w:t>
            </w:r>
          </w:p>
        </w:tc>
        <w:tc>
          <w:tcPr>
            <w:tcW w:w="992" w:type="dxa"/>
            <w:shd w:val="clear" w:color="auto" w:fill="DEEAF6" w:themeFill="accent1" w:themeFillTint="33"/>
            <w:noWrap/>
            <w:vAlign w:val="center"/>
          </w:tcPr>
          <w:p w14:paraId="2ECCA87D"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-93,2</w:t>
            </w:r>
          </w:p>
        </w:tc>
      </w:tr>
      <w:tr w:rsidR="00C158D2" w:rsidRPr="00F42440" w14:paraId="33AC73AE" w14:textId="77777777" w:rsidTr="00C158D2">
        <w:trPr>
          <w:trHeight w:val="199"/>
          <w:jc w:val="center"/>
        </w:trPr>
        <w:tc>
          <w:tcPr>
            <w:tcW w:w="2689" w:type="dxa"/>
            <w:noWrap/>
            <w:hideMark/>
          </w:tcPr>
          <w:p w14:paraId="545FB22E" w14:textId="77777777" w:rsidR="00FE3024" w:rsidRPr="00BE56E3" w:rsidRDefault="00FE3024" w:rsidP="00494C19">
            <w:pPr>
              <w:spacing w:before="0" w:after="0"/>
              <w:ind w:firstLine="0"/>
              <w:jc w:val="left"/>
              <w:rPr>
                <w:rFonts w:eastAsia="Times New Roman"/>
                <w:color w:val="000000"/>
                <w:sz w:val="18"/>
                <w:szCs w:val="18"/>
              </w:rPr>
            </w:pPr>
            <w:r w:rsidRPr="00BE56E3">
              <w:rPr>
                <w:rFonts w:eastAsia="Times New Roman"/>
                <w:color w:val="000000"/>
                <w:sz w:val="18"/>
                <w:szCs w:val="18"/>
              </w:rPr>
              <w:t>Veselības nozarei</w:t>
            </w:r>
            <w:r w:rsidRPr="00BE56E3">
              <w:rPr>
                <w:rFonts w:eastAsia="Times New Roman"/>
                <w:color w:val="000000"/>
                <w:sz w:val="18"/>
                <w:szCs w:val="18"/>
                <w:vertAlign w:val="superscript"/>
              </w:rPr>
              <w:t xml:space="preserve"> </w:t>
            </w:r>
          </w:p>
        </w:tc>
        <w:tc>
          <w:tcPr>
            <w:tcW w:w="850" w:type="dxa"/>
            <w:noWrap/>
            <w:vAlign w:val="center"/>
          </w:tcPr>
          <w:p w14:paraId="76437057"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578,4</w:t>
            </w:r>
          </w:p>
        </w:tc>
        <w:tc>
          <w:tcPr>
            <w:tcW w:w="992" w:type="dxa"/>
            <w:vAlign w:val="center"/>
          </w:tcPr>
          <w:p w14:paraId="1439AD73"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-538,2</w:t>
            </w:r>
          </w:p>
        </w:tc>
        <w:tc>
          <w:tcPr>
            <w:tcW w:w="851" w:type="dxa"/>
            <w:noWrap/>
            <w:vAlign w:val="center"/>
          </w:tcPr>
          <w:p w14:paraId="03BFC15D" w14:textId="77777777" w:rsidR="00FE3024" w:rsidRPr="00BE56E3" w:rsidRDefault="00FE3024" w:rsidP="00494C19">
            <w:pPr>
              <w:spacing w:before="0" w:after="0"/>
              <w:ind w:firstLine="0"/>
              <w:jc w:val="center"/>
              <w:rPr>
                <w:rFonts w:eastAsia="Times New Roman"/>
                <w:color w:val="FF0000"/>
                <w:sz w:val="18"/>
                <w:szCs w:val="18"/>
              </w:rPr>
            </w:pPr>
            <w:r w:rsidRPr="00BE56E3">
              <w:rPr>
                <w:rFonts w:eastAsia="Times New Roman"/>
                <w:color w:val="000000" w:themeColor="text1"/>
                <w:sz w:val="18"/>
                <w:szCs w:val="18"/>
              </w:rPr>
              <w:t>571,0</w:t>
            </w:r>
          </w:p>
        </w:tc>
        <w:tc>
          <w:tcPr>
            <w:tcW w:w="1134" w:type="dxa"/>
            <w:noWrap/>
            <w:vAlign w:val="center"/>
          </w:tcPr>
          <w:p w14:paraId="6E69C32E"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321,8</w:t>
            </w:r>
          </w:p>
        </w:tc>
        <w:tc>
          <w:tcPr>
            <w:tcW w:w="992" w:type="dxa"/>
            <w:vAlign w:val="center"/>
          </w:tcPr>
          <w:p w14:paraId="6A71B6F7"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-436,9</w:t>
            </w:r>
          </w:p>
        </w:tc>
        <w:tc>
          <w:tcPr>
            <w:tcW w:w="851" w:type="dxa"/>
          </w:tcPr>
          <w:p w14:paraId="27851A4B" w14:textId="38FAE2A3" w:rsidR="00FE3024" w:rsidRPr="00BE56E3" w:rsidRDefault="00835622"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63,6</w:t>
            </w:r>
          </w:p>
        </w:tc>
        <w:tc>
          <w:tcPr>
            <w:tcW w:w="992" w:type="dxa"/>
            <w:vAlign w:val="center"/>
          </w:tcPr>
          <w:p w14:paraId="384E6CB0"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-79,7</w:t>
            </w:r>
          </w:p>
        </w:tc>
      </w:tr>
      <w:tr w:rsidR="00C158D2" w:rsidRPr="00F42440" w14:paraId="48C60E7C" w14:textId="77777777" w:rsidTr="00C158D2">
        <w:trPr>
          <w:trHeight w:val="199"/>
          <w:jc w:val="center"/>
        </w:trPr>
        <w:tc>
          <w:tcPr>
            <w:tcW w:w="2689" w:type="dxa"/>
            <w:noWrap/>
            <w:hideMark/>
          </w:tcPr>
          <w:p w14:paraId="79DEA895" w14:textId="77777777" w:rsidR="00FE3024" w:rsidRPr="00BE56E3" w:rsidRDefault="00FE3024" w:rsidP="00494C19">
            <w:pPr>
              <w:spacing w:before="0" w:after="0"/>
              <w:ind w:firstLine="0"/>
              <w:jc w:val="left"/>
              <w:rPr>
                <w:rFonts w:eastAsia="Times New Roman"/>
                <w:color w:val="000000"/>
                <w:sz w:val="18"/>
                <w:szCs w:val="18"/>
              </w:rPr>
            </w:pPr>
            <w:r w:rsidRPr="00BE56E3">
              <w:rPr>
                <w:rFonts w:eastAsia="Times New Roman"/>
                <w:color w:val="000000"/>
                <w:sz w:val="18"/>
                <w:szCs w:val="18"/>
              </w:rPr>
              <w:t>Satiksmes nozarei (t.sk. avio nozarei un autoceļiem)</w:t>
            </w:r>
          </w:p>
        </w:tc>
        <w:tc>
          <w:tcPr>
            <w:tcW w:w="850" w:type="dxa"/>
            <w:noWrap/>
            <w:vAlign w:val="center"/>
          </w:tcPr>
          <w:p w14:paraId="6DF65C2E"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227,9</w:t>
            </w:r>
          </w:p>
        </w:tc>
        <w:tc>
          <w:tcPr>
            <w:tcW w:w="992" w:type="dxa"/>
            <w:vAlign w:val="center"/>
          </w:tcPr>
          <w:p w14:paraId="1F3B3AE3"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-227,9</w:t>
            </w:r>
          </w:p>
        </w:tc>
        <w:tc>
          <w:tcPr>
            <w:tcW w:w="851" w:type="dxa"/>
            <w:noWrap/>
            <w:vAlign w:val="center"/>
          </w:tcPr>
          <w:p w14:paraId="3E4ED8C7"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68,8</w:t>
            </w:r>
          </w:p>
        </w:tc>
        <w:tc>
          <w:tcPr>
            <w:tcW w:w="1134" w:type="dxa"/>
            <w:noWrap/>
            <w:vAlign w:val="center"/>
          </w:tcPr>
          <w:p w14:paraId="71DF1A9D"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67,5</w:t>
            </w:r>
          </w:p>
        </w:tc>
        <w:tc>
          <w:tcPr>
            <w:tcW w:w="992" w:type="dxa"/>
            <w:vAlign w:val="center"/>
          </w:tcPr>
          <w:p w14:paraId="170CEE73"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-68,8</w:t>
            </w:r>
          </w:p>
        </w:tc>
        <w:tc>
          <w:tcPr>
            <w:tcW w:w="851" w:type="dxa"/>
          </w:tcPr>
          <w:p w14:paraId="66247D87" w14:textId="77777777" w:rsidR="00FE3024" w:rsidRPr="00BE56E3" w:rsidRDefault="00FE3024" w:rsidP="00494C19">
            <w:pPr>
              <w:spacing w:before="0" w:after="0"/>
              <w:ind w:firstLine="0"/>
              <w:jc w:val="center"/>
              <w:rPr>
                <w:rFonts w:eastAsia="Times New Roman"/>
                <w:color w:val="000000"/>
                <w:sz w:val="18"/>
                <w:szCs w:val="18"/>
              </w:rPr>
            </w:pPr>
          </w:p>
        </w:tc>
        <w:tc>
          <w:tcPr>
            <w:tcW w:w="992" w:type="dxa"/>
            <w:vAlign w:val="center"/>
          </w:tcPr>
          <w:p w14:paraId="20F09663" w14:textId="77777777" w:rsidR="00FE3024" w:rsidRPr="00BE56E3" w:rsidRDefault="00FE3024" w:rsidP="00494C19">
            <w:pPr>
              <w:spacing w:before="0" w:after="0"/>
              <w:ind w:firstLine="0"/>
              <w:jc w:val="center"/>
              <w:rPr>
                <w:rFonts w:eastAsia="Times New Roman"/>
                <w:color w:val="000000"/>
                <w:sz w:val="18"/>
                <w:szCs w:val="18"/>
              </w:rPr>
            </w:pPr>
          </w:p>
        </w:tc>
      </w:tr>
      <w:tr w:rsidR="00C158D2" w:rsidRPr="00F42440" w14:paraId="374C907E" w14:textId="77777777" w:rsidTr="00C158D2">
        <w:trPr>
          <w:trHeight w:val="199"/>
          <w:jc w:val="center"/>
        </w:trPr>
        <w:tc>
          <w:tcPr>
            <w:tcW w:w="2689" w:type="dxa"/>
            <w:hideMark/>
          </w:tcPr>
          <w:p w14:paraId="71267F90" w14:textId="77777777" w:rsidR="00FE3024" w:rsidRPr="00BE56E3" w:rsidRDefault="00FE3024" w:rsidP="00494C19">
            <w:pPr>
              <w:spacing w:before="0" w:after="0"/>
              <w:ind w:firstLine="0"/>
              <w:jc w:val="left"/>
              <w:rPr>
                <w:rFonts w:eastAsia="Times New Roman"/>
                <w:color w:val="000000"/>
                <w:sz w:val="18"/>
                <w:szCs w:val="18"/>
              </w:rPr>
            </w:pPr>
            <w:r w:rsidRPr="00BE56E3">
              <w:rPr>
                <w:rFonts w:eastAsia="Times New Roman"/>
                <w:color w:val="000000"/>
                <w:sz w:val="18"/>
                <w:szCs w:val="18"/>
              </w:rPr>
              <w:t>Izglītībai un zinātnei (t.sk. sportam un attālinātajām mācībām)</w:t>
            </w:r>
          </w:p>
        </w:tc>
        <w:tc>
          <w:tcPr>
            <w:tcW w:w="850" w:type="dxa"/>
            <w:noWrap/>
            <w:vAlign w:val="center"/>
          </w:tcPr>
          <w:p w14:paraId="6CF8B351"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36,9</w:t>
            </w:r>
          </w:p>
        </w:tc>
        <w:tc>
          <w:tcPr>
            <w:tcW w:w="992" w:type="dxa"/>
            <w:vAlign w:val="center"/>
          </w:tcPr>
          <w:p w14:paraId="1C041BF2"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-36,9</w:t>
            </w:r>
          </w:p>
        </w:tc>
        <w:tc>
          <w:tcPr>
            <w:tcW w:w="851" w:type="dxa"/>
            <w:noWrap/>
            <w:vAlign w:val="center"/>
          </w:tcPr>
          <w:p w14:paraId="64B0CD95" w14:textId="77777777" w:rsidR="00FE3024" w:rsidRPr="00BE56E3" w:rsidRDefault="00FE3024" w:rsidP="00494C19">
            <w:pPr>
              <w:spacing w:before="0" w:after="0"/>
              <w:ind w:firstLine="0"/>
              <w:jc w:val="center"/>
              <w:rPr>
                <w:rFonts w:eastAsia="Times New Roman"/>
                <w:color w:val="FF0000"/>
                <w:sz w:val="18"/>
                <w:szCs w:val="18"/>
              </w:rPr>
            </w:pPr>
            <w:r w:rsidRPr="00BE56E3">
              <w:rPr>
                <w:rFonts w:eastAsia="Times New Roman"/>
                <w:color w:val="000000" w:themeColor="text1"/>
                <w:sz w:val="18"/>
                <w:szCs w:val="18"/>
              </w:rPr>
              <w:t>16,1</w:t>
            </w:r>
          </w:p>
        </w:tc>
        <w:tc>
          <w:tcPr>
            <w:tcW w:w="1134" w:type="dxa"/>
            <w:noWrap/>
            <w:vAlign w:val="center"/>
          </w:tcPr>
          <w:p w14:paraId="6DCBAF95"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16,7</w:t>
            </w:r>
          </w:p>
        </w:tc>
        <w:tc>
          <w:tcPr>
            <w:tcW w:w="992" w:type="dxa"/>
            <w:vAlign w:val="center"/>
          </w:tcPr>
          <w:p w14:paraId="3A1BDAE5"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-16,1</w:t>
            </w:r>
          </w:p>
        </w:tc>
        <w:tc>
          <w:tcPr>
            <w:tcW w:w="851" w:type="dxa"/>
          </w:tcPr>
          <w:p w14:paraId="59A94F18" w14:textId="77777777" w:rsidR="00FE3024" w:rsidRPr="00BE56E3" w:rsidRDefault="00FE3024" w:rsidP="00494C19">
            <w:pPr>
              <w:spacing w:before="0" w:after="0"/>
              <w:ind w:firstLine="0"/>
              <w:jc w:val="center"/>
              <w:rPr>
                <w:rFonts w:eastAsia="Times New Roman"/>
                <w:color w:val="000000"/>
                <w:sz w:val="18"/>
                <w:szCs w:val="18"/>
              </w:rPr>
            </w:pPr>
          </w:p>
        </w:tc>
        <w:tc>
          <w:tcPr>
            <w:tcW w:w="992" w:type="dxa"/>
            <w:vAlign w:val="center"/>
          </w:tcPr>
          <w:p w14:paraId="4F4C25A2" w14:textId="77777777" w:rsidR="00FE3024" w:rsidRPr="00BE56E3" w:rsidRDefault="00FE3024" w:rsidP="00494C19">
            <w:pPr>
              <w:spacing w:before="0" w:after="0"/>
              <w:ind w:firstLine="0"/>
              <w:jc w:val="center"/>
              <w:rPr>
                <w:rFonts w:eastAsia="Times New Roman"/>
                <w:color w:val="000000"/>
                <w:sz w:val="18"/>
                <w:szCs w:val="18"/>
              </w:rPr>
            </w:pPr>
          </w:p>
        </w:tc>
      </w:tr>
      <w:tr w:rsidR="00C158D2" w:rsidRPr="00F42440" w14:paraId="57A0C87E" w14:textId="77777777" w:rsidTr="00C158D2">
        <w:trPr>
          <w:trHeight w:val="199"/>
          <w:jc w:val="center"/>
        </w:trPr>
        <w:tc>
          <w:tcPr>
            <w:tcW w:w="2689" w:type="dxa"/>
            <w:noWrap/>
            <w:hideMark/>
          </w:tcPr>
          <w:p w14:paraId="0F50070C" w14:textId="77777777" w:rsidR="00FE3024" w:rsidRPr="00BE56E3" w:rsidRDefault="00FE3024" w:rsidP="00494C19">
            <w:pPr>
              <w:spacing w:before="0" w:after="0"/>
              <w:ind w:firstLine="0"/>
              <w:jc w:val="left"/>
              <w:rPr>
                <w:rFonts w:eastAsia="Times New Roman"/>
                <w:color w:val="000000"/>
                <w:sz w:val="18"/>
                <w:szCs w:val="18"/>
              </w:rPr>
            </w:pPr>
            <w:r w:rsidRPr="00BE56E3">
              <w:rPr>
                <w:rFonts w:eastAsia="Times New Roman"/>
                <w:color w:val="000000"/>
                <w:sz w:val="18"/>
                <w:szCs w:val="18"/>
              </w:rPr>
              <w:t>Kultūras nozarei</w:t>
            </w:r>
          </w:p>
        </w:tc>
        <w:tc>
          <w:tcPr>
            <w:tcW w:w="850" w:type="dxa"/>
            <w:noWrap/>
            <w:vAlign w:val="center"/>
          </w:tcPr>
          <w:p w14:paraId="0C2AFF99"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19,8</w:t>
            </w:r>
          </w:p>
        </w:tc>
        <w:tc>
          <w:tcPr>
            <w:tcW w:w="992" w:type="dxa"/>
            <w:vAlign w:val="center"/>
          </w:tcPr>
          <w:p w14:paraId="689C58D0"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-19,8</w:t>
            </w:r>
          </w:p>
        </w:tc>
        <w:tc>
          <w:tcPr>
            <w:tcW w:w="851" w:type="dxa"/>
            <w:noWrap/>
            <w:vAlign w:val="center"/>
          </w:tcPr>
          <w:p w14:paraId="5108014C"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6,3</w:t>
            </w:r>
          </w:p>
        </w:tc>
        <w:tc>
          <w:tcPr>
            <w:tcW w:w="1134" w:type="dxa"/>
            <w:noWrap/>
            <w:vAlign w:val="center"/>
          </w:tcPr>
          <w:p w14:paraId="3B26A35E"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4,8</w:t>
            </w:r>
          </w:p>
        </w:tc>
        <w:tc>
          <w:tcPr>
            <w:tcW w:w="992" w:type="dxa"/>
            <w:vAlign w:val="center"/>
          </w:tcPr>
          <w:p w14:paraId="5456100F"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-6,5</w:t>
            </w:r>
          </w:p>
        </w:tc>
        <w:tc>
          <w:tcPr>
            <w:tcW w:w="851" w:type="dxa"/>
          </w:tcPr>
          <w:p w14:paraId="04B2F129" w14:textId="77777777" w:rsidR="00FE3024" w:rsidRPr="00BE56E3" w:rsidRDefault="00FE3024" w:rsidP="00494C19">
            <w:pPr>
              <w:spacing w:before="0" w:after="0"/>
              <w:ind w:firstLine="0"/>
              <w:jc w:val="center"/>
              <w:rPr>
                <w:rFonts w:eastAsia="Times New Roman"/>
                <w:color w:val="000000"/>
                <w:sz w:val="18"/>
                <w:szCs w:val="18"/>
              </w:rPr>
            </w:pPr>
          </w:p>
        </w:tc>
        <w:tc>
          <w:tcPr>
            <w:tcW w:w="992" w:type="dxa"/>
            <w:vAlign w:val="center"/>
          </w:tcPr>
          <w:p w14:paraId="5FDA5FF9" w14:textId="77777777" w:rsidR="00FE3024" w:rsidRPr="00BE56E3" w:rsidRDefault="00FE3024" w:rsidP="00494C19">
            <w:pPr>
              <w:spacing w:before="0" w:after="0"/>
              <w:ind w:firstLine="0"/>
              <w:rPr>
                <w:rFonts w:eastAsia="Times New Roman"/>
                <w:color w:val="000000"/>
                <w:sz w:val="18"/>
                <w:szCs w:val="18"/>
              </w:rPr>
            </w:pPr>
          </w:p>
        </w:tc>
      </w:tr>
      <w:tr w:rsidR="00C158D2" w:rsidRPr="00F42440" w14:paraId="0E67035D" w14:textId="77777777" w:rsidTr="00C158D2">
        <w:trPr>
          <w:trHeight w:val="199"/>
          <w:jc w:val="center"/>
        </w:trPr>
        <w:tc>
          <w:tcPr>
            <w:tcW w:w="2689" w:type="dxa"/>
            <w:hideMark/>
          </w:tcPr>
          <w:p w14:paraId="4E387F56" w14:textId="77777777" w:rsidR="00FE3024" w:rsidRPr="00BE56E3" w:rsidRDefault="00FE3024" w:rsidP="00494C19">
            <w:pPr>
              <w:spacing w:before="0" w:after="0"/>
              <w:ind w:firstLine="0"/>
              <w:jc w:val="left"/>
              <w:rPr>
                <w:rFonts w:eastAsia="Times New Roman"/>
                <w:color w:val="000000"/>
                <w:sz w:val="18"/>
                <w:szCs w:val="18"/>
              </w:rPr>
            </w:pPr>
            <w:r w:rsidRPr="00BE56E3">
              <w:rPr>
                <w:rFonts w:eastAsia="Times New Roman"/>
                <w:color w:val="000000"/>
                <w:sz w:val="18"/>
                <w:szCs w:val="18"/>
              </w:rPr>
              <w:t>Zemkopības nozarei</w:t>
            </w:r>
          </w:p>
        </w:tc>
        <w:tc>
          <w:tcPr>
            <w:tcW w:w="850" w:type="dxa"/>
            <w:noWrap/>
            <w:vAlign w:val="center"/>
          </w:tcPr>
          <w:p w14:paraId="6879DFDB"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24,1</w:t>
            </w:r>
          </w:p>
        </w:tc>
        <w:tc>
          <w:tcPr>
            <w:tcW w:w="992" w:type="dxa"/>
            <w:vAlign w:val="center"/>
          </w:tcPr>
          <w:p w14:paraId="268DB7B1"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-24,1</w:t>
            </w:r>
          </w:p>
        </w:tc>
        <w:tc>
          <w:tcPr>
            <w:tcW w:w="851" w:type="dxa"/>
            <w:noWrap/>
            <w:vAlign w:val="center"/>
          </w:tcPr>
          <w:p w14:paraId="25CCC0B1"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0,3</w:t>
            </w:r>
          </w:p>
        </w:tc>
        <w:tc>
          <w:tcPr>
            <w:tcW w:w="1134" w:type="dxa"/>
            <w:noWrap/>
            <w:vAlign w:val="center"/>
          </w:tcPr>
          <w:p w14:paraId="3B091367"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0,2</w:t>
            </w:r>
          </w:p>
        </w:tc>
        <w:tc>
          <w:tcPr>
            <w:tcW w:w="992" w:type="dxa"/>
            <w:vAlign w:val="center"/>
          </w:tcPr>
          <w:p w14:paraId="663A2CBC"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-0,3</w:t>
            </w:r>
          </w:p>
        </w:tc>
        <w:tc>
          <w:tcPr>
            <w:tcW w:w="851" w:type="dxa"/>
          </w:tcPr>
          <w:p w14:paraId="60D30BBA" w14:textId="77777777" w:rsidR="00FE3024" w:rsidRPr="00BE56E3" w:rsidRDefault="00FE3024" w:rsidP="00494C19">
            <w:pPr>
              <w:spacing w:before="0" w:after="0"/>
              <w:ind w:firstLine="0"/>
              <w:jc w:val="center"/>
              <w:rPr>
                <w:rFonts w:eastAsia="Times New Roman"/>
                <w:color w:val="000000"/>
                <w:sz w:val="18"/>
                <w:szCs w:val="18"/>
              </w:rPr>
            </w:pPr>
          </w:p>
        </w:tc>
        <w:tc>
          <w:tcPr>
            <w:tcW w:w="992" w:type="dxa"/>
            <w:vAlign w:val="center"/>
          </w:tcPr>
          <w:p w14:paraId="1B75B9D6" w14:textId="77777777" w:rsidR="00FE3024" w:rsidRPr="00BE56E3" w:rsidRDefault="00FE3024" w:rsidP="00494C19">
            <w:pPr>
              <w:spacing w:before="0" w:after="0"/>
              <w:ind w:firstLine="0"/>
              <w:jc w:val="center"/>
              <w:rPr>
                <w:rFonts w:eastAsia="Times New Roman"/>
                <w:color w:val="000000"/>
                <w:sz w:val="18"/>
                <w:szCs w:val="18"/>
              </w:rPr>
            </w:pPr>
          </w:p>
        </w:tc>
      </w:tr>
      <w:tr w:rsidR="00C158D2" w:rsidRPr="00F42440" w14:paraId="180638B8" w14:textId="77777777" w:rsidTr="00C158D2">
        <w:trPr>
          <w:trHeight w:val="208"/>
          <w:jc w:val="center"/>
        </w:trPr>
        <w:tc>
          <w:tcPr>
            <w:tcW w:w="2689" w:type="dxa"/>
            <w:hideMark/>
          </w:tcPr>
          <w:p w14:paraId="20F8B83D" w14:textId="77777777" w:rsidR="00FE3024" w:rsidRPr="00BE56E3" w:rsidRDefault="00FE3024" w:rsidP="00494C19">
            <w:pPr>
              <w:spacing w:before="0" w:after="0"/>
              <w:ind w:firstLine="0"/>
              <w:jc w:val="left"/>
              <w:rPr>
                <w:rFonts w:eastAsia="Times New Roman"/>
                <w:color w:val="000000"/>
                <w:sz w:val="18"/>
                <w:szCs w:val="18"/>
              </w:rPr>
            </w:pPr>
            <w:r w:rsidRPr="00BE56E3">
              <w:rPr>
                <w:rFonts w:eastAsia="Times New Roman"/>
                <w:color w:val="000000"/>
                <w:sz w:val="18"/>
                <w:szCs w:val="18"/>
              </w:rPr>
              <w:t>Augstas gatavības projekti (bez autoceļiem)</w:t>
            </w:r>
          </w:p>
        </w:tc>
        <w:tc>
          <w:tcPr>
            <w:tcW w:w="850" w:type="dxa"/>
            <w:noWrap/>
            <w:vAlign w:val="center"/>
          </w:tcPr>
          <w:p w14:paraId="00C0D182"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color w:val="000000"/>
                <w:sz w:val="18"/>
                <w:szCs w:val="18"/>
              </w:rPr>
              <w:t>52,5</w:t>
            </w:r>
          </w:p>
        </w:tc>
        <w:tc>
          <w:tcPr>
            <w:tcW w:w="992" w:type="dxa"/>
            <w:vAlign w:val="center"/>
          </w:tcPr>
          <w:p w14:paraId="00321770"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-51,8</w:t>
            </w:r>
          </w:p>
        </w:tc>
        <w:tc>
          <w:tcPr>
            <w:tcW w:w="851" w:type="dxa"/>
            <w:noWrap/>
            <w:vAlign w:val="center"/>
          </w:tcPr>
          <w:p w14:paraId="1CB9C170"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93,1</w:t>
            </w:r>
          </w:p>
        </w:tc>
        <w:tc>
          <w:tcPr>
            <w:tcW w:w="1134" w:type="dxa"/>
            <w:noWrap/>
            <w:vAlign w:val="center"/>
          </w:tcPr>
          <w:p w14:paraId="1D3EA8F0"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50,2</w:t>
            </w:r>
          </w:p>
        </w:tc>
        <w:tc>
          <w:tcPr>
            <w:tcW w:w="992" w:type="dxa"/>
            <w:vAlign w:val="center"/>
          </w:tcPr>
          <w:p w14:paraId="07E3B298"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-69,3</w:t>
            </w:r>
          </w:p>
        </w:tc>
        <w:tc>
          <w:tcPr>
            <w:tcW w:w="851" w:type="dxa"/>
            <w:vAlign w:val="center"/>
          </w:tcPr>
          <w:p w14:paraId="4547158F" w14:textId="528A5544" w:rsidR="00FE3024" w:rsidRPr="00BE56E3" w:rsidRDefault="00835622"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0</w:t>
            </w:r>
          </w:p>
        </w:tc>
        <w:tc>
          <w:tcPr>
            <w:tcW w:w="992" w:type="dxa"/>
            <w:vAlign w:val="center"/>
          </w:tcPr>
          <w:p w14:paraId="5312EC75"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-13,5</w:t>
            </w:r>
          </w:p>
        </w:tc>
      </w:tr>
      <w:tr w:rsidR="00C158D2" w:rsidRPr="003F732B" w14:paraId="01208CFE" w14:textId="77777777" w:rsidTr="00C158D2">
        <w:trPr>
          <w:trHeight w:val="199"/>
          <w:jc w:val="center"/>
        </w:trPr>
        <w:tc>
          <w:tcPr>
            <w:tcW w:w="2689" w:type="dxa"/>
            <w:noWrap/>
            <w:hideMark/>
          </w:tcPr>
          <w:p w14:paraId="41BABA1E" w14:textId="77777777" w:rsidR="00FE3024" w:rsidRPr="00BE56E3" w:rsidRDefault="00FE3024" w:rsidP="00494C19">
            <w:pPr>
              <w:spacing w:before="0" w:after="0"/>
              <w:ind w:firstLine="0"/>
              <w:jc w:val="left"/>
              <w:rPr>
                <w:rFonts w:eastAsia="Times New Roman"/>
                <w:color w:val="000000" w:themeColor="text1"/>
                <w:sz w:val="18"/>
                <w:szCs w:val="18"/>
              </w:rPr>
            </w:pPr>
            <w:r w:rsidRPr="00BE56E3">
              <w:rPr>
                <w:rFonts w:eastAsia="Times New Roman"/>
                <w:color w:val="000000" w:themeColor="text1"/>
                <w:sz w:val="18"/>
                <w:szCs w:val="18"/>
              </w:rPr>
              <w:t>Granti apgrozāmajiem līdzekļiem</w:t>
            </w:r>
          </w:p>
        </w:tc>
        <w:tc>
          <w:tcPr>
            <w:tcW w:w="850" w:type="dxa"/>
            <w:noWrap/>
            <w:vAlign w:val="center"/>
          </w:tcPr>
          <w:p w14:paraId="3382F17B"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513,1</w:t>
            </w:r>
          </w:p>
        </w:tc>
        <w:tc>
          <w:tcPr>
            <w:tcW w:w="992" w:type="dxa"/>
            <w:vAlign w:val="center"/>
          </w:tcPr>
          <w:p w14:paraId="4176DAB1"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-513,1</w:t>
            </w:r>
          </w:p>
        </w:tc>
        <w:tc>
          <w:tcPr>
            <w:tcW w:w="851" w:type="dxa"/>
            <w:noWrap/>
            <w:vAlign w:val="center"/>
          </w:tcPr>
          <w:p w14:paraId="07B09E6F"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160,0</w:t>
            </w:r>
          </w:p>
        </w:tc>
        <w:tc>
          <w:tcPr>
            <w:tcW w:w="1134" w:type="dxa"/>
            <w:noWrap/>
            <w:vAlign w:val="center"/>
          </w:tcPr>
          <w:p w14:paraId="1DBAAB8B"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57,9</w:t>
            </w:r>
          </w:p>
        </w:tc>
        <w:tc>
          <w:tcPr>
            <w:tcW w:w="992" w:type="dxa"/>
            <w:vAlign w:val="center"/>
          </w:tcPr>
          <w:p w14:paraId="1D53B536"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color w:val="000000" w:themeColor="text1"/>
                <w:sz w:val="18"/>
                <w:szCs w:val="18"/>
              </w:rPr>
              <w:t>-57,9</w:t>
            </w:r>
          </w:p>
        </w:tc>
        <w:tc>
          <w:tcPr>
            <w:tcW w:w="851" w:type="dxa"/>
          </w:tcPr>
          <w:p w14:paraId="2F5B978F" w14:textId="77777777" w:rsidR="00FE3024" w:rsidRPr="00BE56E3" w:rsidRDefault="00FE3024" w:rsidP="00494C19">
            <w:pPr>
              <w:spacing w:before="0" w:after="0"/>
              <w:ind w:firstLine="0"/>
              <w:jc w:val="center"/>
              <w:rPr>
                <w:rFonts w:eastAsia="Times New Roman"/>
                <w:color w:val="000000" w:themeColor="text1"/>
                <w:sz w:val="18"/>
                <w:szCs w:val="18"/>
              </w:rPr>
            </w:pPr>
          </w:p>
        </w:tc>
        <w:tc>
          <w:tcPr>
            <w:tcW w:w="992" w:type="dxa"/>
            <w:vAlign w:val="center"/>
          </w:tcPr>
          <w:p w14:paraId="67D2129A" w14:textId="77777777" w:rsidR="00FE3024" w:rsidRPr="00BE56E3" w:rsidRDefault="00FE3024" w:rsidP="00494C19">
            <w:pPr>
              <w:spacing w:before="0" w:after="0"/>
              <w:ind w:firstLine="0"/>
              <w:jc w:val="center"/>
              <w:rPr>
                <w:rFonts w:eastAsia="Times New Roman"/>
                <w:color w:val="000000" w:themeColor="text1"/>
                <w:sz w:val="18"/>
                <w:szCs w:val="18"/>
              </w:rPr>
            </w:pPr>
          </w:p>
        </w:tc>
      </w:tr>
      <w:tr w:rsidR="00C158D2" w:rsidRPr="00F42440" w14:paraId="72DD0C11" w14:textId="77777777" w:rsidTr="00A648D3">
        <w:trPr>
          <w:trHeight w:val="208"/>
          <w:jc w:val="center"/>
        </w:trPr>
        <w:tc>
          <w:tcPr>
            <w:tcW w:w="2689" w:type="dxa"/>
            <w:shd w:val="clear" w:color="auto" w:fill="DEEAF6" w:themeFill="accent1" w:themeFillTint="33"/>
            <w:noWrap/>
            <w:hideMark/>
          </w:tcPr>
          <w:p w14:paraId="58CDA717" w14:textId="77777777" w:rsidR="00FE3024" w:rsidRPr="00BE56E3" w:rsidRDefault="00FE3024" w:rsidP="00494C19">
            <w:pPr>
              <w:spacing w:before="0" w:after="0"/>
              <w:ind w:firstLine="0"/>
              <w:jc w:val="left"/>
              <w:rPr>
                <w:rFonts w:eastAsia="Times New Roman"/>
                <w:b/>
                <w:bCs/>
                <w:color w:val="000000"/>
                <w:sz w:val="18"/>
                <w:szCs w:val="18"/>
              </w:rPr>
            </w:pPr>
            <w:r w:rsidRPr="00BE56E3">
              <w:rPr>
                <w:rFonts w:eastAsia="Times New Roman"/>
                <w:b/>
                <w:bCs/>
                <w:color w:val="000000"/>
                <w:sz w:val="18"/>
                <w:szCs w:val="18"/>
              </w:rPr>
              <w:t>V ES fondu finansējuma atbalsts</w:t>
            </w:r>
          </w:p>
        </w:tc>
        <w:tc>
          <w:tcPr>
            <w:tcW w:w="850" w:type="dxa"/>
            <w:shd w:val="clear" w:color="auto" w:fill="DEEAF6" w:themeFill="accent1" w:themeFillTint="33"/>
            <w:noWrap/>
            <w:vAlign w:val="center"/>
          </w:tcPr>
          <w:p w14:paraId="64900DBF" w14:textId="77777777" w:rsidR="00FE3024" w:rsidRPr="00BE56E3" w:rsidRDefault="00FE3024" w:rsidP="00494C19">
            <w:pPr>
              <w:spacing w:before="0" w:after="0"/>
              <w:ind w:firstLine="0"/>
              <w:jc w:val="center"/>
              <w:rPr>
                <w:rFonts w:eastAsia="Times New Roman"/>
                <w:sz w:val="18"/>
                <w:szCs w:val="18"/>
              </w:rPr>
            </w:pPr>
            <w:r w:rsidRPr="00BE56E3">
              <w:rPr>
                <w:rFonts w:eastAsia="Times New Roman"/>
                <w:b/>
                <w:sz w:val="18"/>
                <w:szCs w:val="18"/>
              </w:rPr>
              <w:t>57,2</w:t>
            </w:r>
          </w:p>
        </w:tc>
        <w:tc>
          <w:tcPr>
            <w:tcW w:w="992" w:type="dxa"/>
            <w:shd w:val="clear" w:color="auto" w:fill="DEEAF6" w:themeFill="accent1" w:themeFillTint="33"/>
            <w:noWrap/>
            <w:vAlign w:val="center"/>
          </w:tcPr>
          <w:p w14:paraId="056C4F60" w14:textId="77777777" w:rsidR="00FE3024" w:rsidRPr="00BE56E3" w:rsidRDefault="00FE3024" w:rsidP="00494C19">
            <w:pPr>
              <w:spacing w:before="0" w:after="0"/>
              <w:ind w:firstLine="0"/>
              <w:jc w:val="center"/>
              <w:rPr>
                <w:rFonts w:eastAsia="Times New Roman"/>
                <w:color w:val="000000"/>
                <w:sz w:val="18"/>
                <w:szCs w:val="18"/>
              </w:rPr>
            </w:pPr>
            <w:r w:rsidRPr="00BE56E3">
              <w:rPr>
                <w:rFonts w:eastAsia="Times New Roman"/>
                <w:b/>
                <w:color w:val="000000"/>
                <w:sz w:val="18"/>
                <w:szCs w:val="18"/>
              </w:rPr>
              <w:t>-8,6</w:t>
            </w:r>
          </w:p>
        </w:tc>
        <w:tc>
          <w:tcPr>
            <w:tcW w:w="851" w:type="dxa"/>
            <w:shd w:val="clear" w:color="auto" w:fill="DEEAF6" w:themeFill="accent1" w:themeFillTint="33"/>
            <w:noWrap/>
            <w:vAlign w:val="center"/>
          </w:tcPr>
          <w:p w14:paraId="272DDA70"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236,5</w:t>
            </w:r>
          </w:p>
        </w:tc>
        <w:tc>
          <w:tcPr>
            <w:tcW w:w="1134" w:type="dxa"/>
            <w:shd w:val="clear" w:color="auto" w:fill="DEEAF6" w:themeFill="accent1" w:themeFillTint="33"/>
            <w:noWrap/>
            <w:vAlign w:val="center"/>
          </w:tcPr>
          <w:p w14:paraId="2521B5E2"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131,5</w:t>
            </w:r>
          </w:p>
        </w:tc>
        <w:tc>
          <w:tcPr>
            <w:tcW w:w="992" w:type="dxa"/>
            <w:shd w:val="clear" w:color="auto" w:fill="DEEAF6" w:themeFill="accent1" w:themeFillTint="33"/>
            <w:noWrap/>
            <w:vAlign w:val="center"/>
          </w:tcPr>
          <w:p w14:paraId="194B659D"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-6,9</w:t>
            </w:r>
          </w:p>
        </w:tc>
        <w:tc>
          <w:tcPr>
            <w:tcW w:w="851" w:type="dxa"/>
            <w:shd w:val="clear" w:color="auto" w:fill="DEEAF6" w:themeFill="accent1" w:themeFillTint="33"/>
            <w:vAlign w:val="center"/>
          </w:tcPr>
          <w:p w14:paraId="7C85E896" w14:textId="77777777" w:rsidR="00FE3024" w:rsidRPr="00BE56E3" w:rsidRDefault="00FE3024" w:rsidP="00494C19">
            <w:pPr>
              <w:spacing w:before="0" w:after="0"/>
              <w:ind w:firstLine="0"/>
              <w:jc w:val="center"/>
              <w:rPr>
                <w:rFonts w:eastAsia="Times New Roman"/>
                <w:b/>
                <w:color w:val="000000" w:themeColor="text1"/>
                <w:sz w:val="18"/>
                <w:szCs w:val="18"/>
              </w:rPr>
            </w:pPr>
            <w:r w:rsidRPr="00BE56E3">
              <w:rPr>
                <w:rFonts w:eastAsia="Times New Roman"/>
                <w:b/>
                <w:color w:val="000000" w:themeColor="text1"/>
                <w:sz w:val="18"/>
                <w:szCs w:val="18"/>
              </w:rPr>
              <w:t>0</w:t>
            </w:r>
          </w:p>
        </w:tc>
        <w:tc>
          <w:tcPr>
            <w:tcW w:w="992" w:type="dxa"/>
            <w:shd w:val="clear" w:color="auto" w:fill="DEEAF6" w:themeFill="accent1" w:themeFillTint="33"/>
            <w:noWrap/>
            <w:vAlign w:val="center"/>
          </w:tcPr>
          <w:p w14:paraId="3838B74E" w14:textId="77777777" w:rsidR="00FE3024" w:rsidRPr="00BE56E3" w:rsidRDefault="00FE3024" w:rsidP="00494C19">
            <w:pPr>
              <w:spacing w:before="0" w:after="0"/>
              <w:ind w:firstLine="0"/>
              <w:jc w:val="center"/>
              <w:rPr>
                <w:rFonts w:eastAsia="Times New Roman"/>
                <w:color w:val="000000" w:themeColor="text1"/>
                <w:sz w:val="18"/>
                <w:szCs w:val="18"/>
              </w:rPr>
            </w:pPr>
            <w:r w:rsidRPr="00BE56E3">
              <w:rPr>
                <w:rFonts w:eastAsia="Times New Roman"/>
                <w:b/>
                <w:color w:val="000000" w:themeColor="text1"/>
                <w:sz w:val="18"/>
                <w:szCs w:val="18"/>
              </w:rPr>
              <w:t>-3,1</w:t>
            </w:r>
          </w:p>
        </w:tc>
      </w:tr>
    </w:tbl>
    <w:p w14:paraId="2524D520" w14:textId="77777777" w:rsidR="00FE3024" w:rsidRPr="00E867D9" w:rsidRDefault="00FE3024" w:rsidP="00FE3024">
      <w:pPr>
        <w:spacing w:before="280"/>
        <w:ind w:firstLine="709"/>
        <w:rPr>
          <w:rFonts w:eastAsia="Calibri" w:cs="Times New Roman"/>
          <w:b/>
          <w:bCs/>
          <w:noProof/>
          <w:color w:val="000000"/>
          <w:szCs w:val="24"/>
        </w:rPr>
      </w:pPr>
      <w:r>
        <w:rPr>
          <w:rFonts w:eastAsia="Calibri" w:cs="Times New Roman"/>
          <w:b/>
          <w:bCs/>
          <w:noProof/>
          <w:color w:val="000000"/>
          <w:szCs w:val="24"/>
        </w:rPr>
        <w:t xml:space="preserve">Energoatbalsts </w:t>
      </w:r>
    </w:p>
    <w:p w14:paraId="1110E44D" w14:textId="77777777" w:rsidR="00FE3024" w:rsidRPr="005041AA" w:rsidRDefault="00FE3024" w:rsidP="00FE3024">
      <w:pPr>
        <w:rPr>
          <w:rFonts w:eastAsia="Times New Roman" w:cs="Times New Roman"/>
          <w:color w:val="000000" w:themeColor="text1"/>
          <w:szCs w:val="24"/>
        </w:rPr>
      </w:pPr>
      <w:r w:rsidRPr="0003150A">
        <w:rPr>
          <w:rFonts w:eastAsia="Times New Roman" w:cs="Times New Roman"/>
          <w:color w:val="000000"/>
          <w:szCs w:val="24"/>
        </w:rPr>
        <w:t>Valsts atbalsts energoresursu cenu pieauguma apstākļos</w:t>
      </w:r>
      <w:r w:rsidRPr="0003150A">
        <w:rPr>
          <w:rFonts w:eastAsia="Times New Roman" w:cs="Times New Roman"/>
          <w:b/>
          <w:bCs/>
          <w:color w:val="000000"/>
          <w:szCs w:val="24"/>
        </w:rPr>
        <w:t xml:space="preserve"> </w:t>
      </w:r>
      <w:r w:rsidRPr="0003150A">
        <w:rPr>
          <w:rFonts w:eastAsia="Times New Roman" w:cs="Times New Roman"/>
          <w:color w:val="000000"/>
          <w:szCs w:val="24"/>
        </w:rPr>
        <w:t xml:space="preserve">paredz pasākumu kopumu, kas ietverts Energoresursu cenu ārkārtēja pieauguma samazinājuma pasākumu likumā. Četrus mēnešus – no 2022. gada 1. janvāra līdz 30. aprīlim tika nodrošināti dažāda veida atbalsta pasākumi juridiskām un fiziskām personām, lai daļēji kompensētu pieaugošās energoresursu izmaksas. Atbalsta pasākumu mērķis bija mazināt negatīvo sociālekonomisko ietekmi uz iedzīvotāju labklājību un tautsaimniecības izaugsmi, kas saistīta ar iepriekš nepieredzētu </w:t>
      </w:r>
      <w:r w:rsidRPr="005041AA">
        <w:rPr>
          <w:rFonts w:eastAsia="Times New Roman" w:cs="Times New Roman"/>
          <w:color w:val="000000"/>
          <w:szCs w:val="24"/>
        </w:rPr>
        <w:t>energoresursu strauju cenu kāpumu.</w:t>
      </w:r>
    </w:p>
    <w:p w14:paraId="50130FE0" w14:textId="068F8B56" w:rsidR="00FE3024" w:rsidRPr="005041AA" w:rsidRDefault="00FE3024" w:rsidP="00FE3024">
      <w:pPr>
        <w:rPr>
          <w:rFonts w:cs="Times New Roman"/>
          <w:noProof/>
          <w:szCs w:val="24"/>
        </w:rPr>
      </w:pPr>
      <w:r w:rsidRPr="005041AA">
        <w:rPr>
          <w:rFonts w:cs="Times New Roman"/>
          <w:noProof/>
          <w:szCs w:val="24"/>
        </w:rPr>
        <w:t xml:space="preserve">Energoatbalsta pakete 2021./2022. gada apkures sezonai tika plānota </w:t>
      </w:r>
      <w:r w:rsidR="00C92D5D">
        <w:rPr>
          <w:rFonts w:cs="Times New Roman"/>
          <w:noProof/>
          <w:color w:val="000000" w:themeColor="text1"/>
          <w:szCs w:val="24"/>
        </w:rPr>
        <w:t>372 milj.</w:t>
      </w:r>
      <w:r w:rsidRPr="005041AA">
        <w:rPr>
          <w:rFonts w:cs="Times New Roman"/>
          <w:noProof/>
          <w:color w:val="000000" w:themeColor="text1"/>
          <w:szCs w:val="24"/>
        </w:rPr>
        <w:t xml:space="preserve"> </w:t>
      </w:r>
      <w:r w:rsidRPr="005041AA">
        <w:rPr>
          <w:rFonts w:cs="Times New Roman"/>
          <w:i/>
          <w:iCs/>
          <w:noProof/>
          <w:color w:val="000000" w:themeColor="text1"/>
          <w:szCs w:val="24"/>
        </w:rPr>
        <w:t>euro</w:t>
      </w:r>
      <w:r w:rsidRPr="005041AA">
        <w:rPr>
          <w:rFonts w:cs="Times New Roman"/>
          <w:noProof/>
          <w:color w:val="000000" w:themeColor="text1"/>
          <w:szCs w:val="24"/>
        </w:rPr>
        <w:t>, un</w:t>
      </w:r>
      <w:r w:rsidR="00C92D5D">
        <w:rPr>
          <w:rFonts w:cs="Times New Roman"/>
          <w:noProof/>
          <w:color w:val="000000" w:themeColor="text1"/>
          <w:szCs w:val="24"/>
        </w:rPr>
        <w:t xml:space="preserve"> līdz šā gada 30. novembrim</w:t>
      </w:r>
      <w:r w:rsidRPr="005041AA">
        <w:rPr>
          <w:rFonts w:cs="Times New Roman"/>
          <w:noProof/>
          <w:color w:val="000000" w:themeColor="text1"/>
          <w:szCs w:val="24"/>
        </w:rPr>
        <w:t xml:space="preserve"> tika realizēta </w:t>
      </w:r>
      <w:r w:rsidR="00C92D5D">
        <w:rPr>
          <w:rFonts w:cs="Times New Roman"/>
          <w:noProof/>
          <w:color w:val="000000" w:themeColor="text1"/>
          <w:szCs w:val="24"/>
        </w:rPr>
        <w:t>328</w:t>
      </w:r>
      <w:r w:rsidRPr="005041AA">
        <w:rPr>
          <w:rFonts w:cs="Times New Roman"/>
          <w:noProof/>
          <w:color w:val="000000" w:themeColor="text1"/>
          <w:szCs w:val="24"/>
        </w:rPr>
        <w:t> milj</w:t>
      </w:r>
      <w:r w:rsidR="00C92D5D">
        <w:rPr>
          <w:rFonts w:cs="Times New Roman"/>
          <w:noProof/>
          <w:color w:val="000000" w:themeColor="text1"/>
          <w:szCs w:val="24"/>
        </w:rPr>
        <w:t>.</w:t>
      </w:r>
      <w:r w:rsidRPr="005041AA">
        <w:rPr>
          <w:rFonts w:cs="Times New Roman"/>
          <w:noProof/>
          <w:color w:val="000000" w:themeColor="text1"/>
          <w:szCs w:val="24"/>
        </w:rPr>
        <w:t xml:space="preserve"> </w:t>
      </w:r>
      <w:r w:rsidRPr="005041AA">
        <w:rPr>
          <w:rFonts w:cs="Times New Roman"/>
          <w:i/>
          <w:iCs/>
          <w:noProof/>
          <w:color w:val="000000" w:themeColor="text1"/>
          <w:szCs w:val="24"/>
        </w:rPr>
        <w:t xml:space="preserve">euro </w:t>
      </w:r>
      <w:r w:rsidRPr="005041AA">
        <w:rPr>
          <w:rFonts w:cs="Times New Roman"/>
          <w:noProof/>
          <w:color w:val="000000" w:themeColor="text1"/>
          <w:szCs w:val="24"/>
        </w:rPr>
        <w:t>apmērā, tai skaitā sniedzot atbalstu gan uz</w:t>
      </w:r>
      <w:r w:rsidRPr="005041AA">
        <w:rPr>
          <w:rFonts w:cs="Times New Roman"/>
          <w:noProof/>
          <w:szCs w:val="24"/>
        </w:rPr>
        <w:t xml:space="preserve">ņēmumiem, gan mājsaimniecībām, </w:t>
      </w:r>
      <w:r w:rsidR="00C92D5D">
        <w:rPr>
          <w:rFonts w:cs="Times New Roman"/>
          <w:noProof/>
          <w:szCs w:val="24"/>
        </w:rPr>
        <w:t>tai skaitā</w:t>
      </w:r>
      <w:r w:rsidRPr="005041AA">
        <w:rPr>
          <w:rFonts w:cs="Times New Roman"/>
          <w:noProof/>
          <w:szCs w:val="24"/>
        </w:rPr>
        <w:t xml:space="preserve"> izmaksā</w:t>
      </w:r>
      <w:r w:rsidR="00C92D5D">
        <w:rPr>
          <w:rFonts w:cs="Times New Roman"/>
          <w:noProof/>
          <w:szCs w:val="24"/>
        </w:rPr>
        <w:t>jot</w:t>
      </w:r>
      <w:r w:rsidRPr="005041AA">
        <w:rPr>
          <w:rFonts w:cs="Times New Roman"/>
          <w:noProof/>
          <w:szCs w:val="24"/>
        </w:rPr>
        <w:t xml:space="preserve"> pabalst</w:t>
      </w:r>
      <w:r w:rsidR="00C92D5D">
        <w:rPr>
          <w:rFonts w:cs="Times New Roman"/>
          <w:noProof/>
          <w:szCs w:val="24"/>
        </w:rPr>
        <w:t>us</w:t>
      </w:r>
      <w:r w:rsidRPr="005041AA">
        <w:rPr>
          <w:rFonts w:cs="Times New Roman"/>
          <w:noProof/>
          <w:szCs w:val="24"/>
        </w:rPr>
        <w:t xml:space="preserve"> </w:t>
      </w:r>
      <w:r w:rsidR="001072B4" w:rsidRPr="005041AA">
        <w:rPr>
          <w:rFonts w:cs="Times New Roman"/>
          <w:noProof/>
          <w:szCs w:val="24"/>
        </w:rPr>
        <w:t>neaizsargātām sabiedrības sociālām grupām</w:t>
      </w:r>
      <w:r w:rsidR="00C92D5D">
        <w:rPr>
          <w:rFonts w:cs="Times New Roman"/>
          <w:noProof/>
          <w:szCs w:val="24"/>
        </w:rPr>
        <w:t>.</w:t>
      </w:r>
    </w:p>
    <w:p w14:paraId="4A817D78" w14:textId="77777777" w:rsidR="00AB3B68" w:rsidRDefault="00FE3024" w:rsidP="00AB3B68">
      <w:pPr>
        <w:rPr>
          <w:rFonts w:cs="Times New Roman"/>
          <w:noProof/>
          <w:szCs w:val="24"/>
        </w:rPr>
      </w:pPr>
      <w:r w:rsidRPr="005041AA">
        <w:rPr>
          <w:rFonts w:cs="Times New Roman"/>
          <w:noProof/>
          <w:szCs w:val="24"/>
        </w:rPr>
        <w:t>2022./2023. gada apkures sezonas energoatbalsta pak</w:t>
      </w:r>
      <w:r w:rsidR="001072B4">
        <w:rPr>
          <w:rFonts w:cs="Times New Roman"/>
          <w:noProof/>
          <w:szCs w:val="24"/>
        </w:rPr>
        <w:t>ete</w:t>
      </w:r>
      <w:r w:rsidRPr="005041AA">
        <w:rPr>
          <w:rFonts w:cs="Times New Roman"/>
          <w:noProof/>
          <w:szCs w:val="24"/>
        </w:rPr>
        <w:t xml:space="preserve">, ņemot vērā līdz 6. decembrim pieņemtos Ministru kabineta lēmumus, tiek plānota virs 1 miljarda </w:t>
      </w:r>
      <w:r w:rsidRPr="005041AA">
        <w:rPr>
          <w:rFonts w:cs="Times New Roman"/>
          <w:i/>
          <w:iCs/>
          <w:noProof/>
          <w:szCs w:val="24"/>
        </w:rPr>
        <w:t>euro</w:t>
      </w:r>
      <w:r w:rsidRPr="005041AA">
        <w:rPr>
          <w:rFonts w:cs="Times New Roman"/>
          <w:noProof/>
          <w:szCs w:val="24"/>
        </w:rPr>
        <w:t xml:space="preserve"> apmērā. No tiem 935,1 milj. </w:t>
      </w:r>
      <w:r w:rsidRPr="005041AA">
        <w:rPr>
          <w:rFonts w:cs="Times New Roman"/>
          <w:i/>
          <w:iCs/>
          <w:noProof/>
          <w:szCs w:val="24"/>
        </w:rPr>
        <w:t>euro</w:t>
      </w:r>
      <w:r w:rsidRPr="005041AA">
        <w:rPr>
          <w:rFonts w:cs="Times New Roman"/>
          <w:noProof/>
          <w:szCs w:val="24"/>
        </w:rPr>
        <w:t xml:space="preserve"> paredzēti mājsaimniecībām un uzņēmumiem elektroenerģijas, centralizētās siltumapgādes izmaksu sadārdzinājuma un dažādu veidu kurināmo iegādes daļējai kompensēšanai, savukārt </w:t>
      </w:r>
      <w:r w:rsidR="001072B4">
        <w:rPr>
          <w:rFonts w:cs="Times New Roman"/>
          <w:noProof/>
          <w:szCs w:val="24"/>
        </w:rPr>
        <w:t xml:space="preserve">mērķētos </w:t>
      </w:r>
      <w:r w:rsidRPr="005041AA">
        <w:rPr>
          <w:rFonts w:cs="Times New Roman"/>
          <w:noProof/>
          <w:szCs w:val="24"/>
        </w:rPr>
        <w:t xml:space="preserve">sociālajos pabalstos plānots izmaksāt 150,1 milj. </w:t>
      </w:r>
      <w:r w:rsidRPr="005041AA">
        <w:rPr>
          <w:rFonts w:cs="Times New Roman"/>
          <w:i/>
          <w:iCs/>
          <w:noProof/>
          <w:szCs w:val="24"/>
        </w:rPr>
        <w:t>euro</w:t>
      </w:r>
      <w:r w:rsidR="001072B4">
        <w:rPr>
          <w:rFonts w:cs="Times New Roman"/>
          <w:noProof/>
          <w:szCs w:val="24"/>
        </w:rPr>
        <w:t>.</w:t>
      </w:r>
    </w:p>
    <w:p w14:paraId="0654DD2B" w14:textId="4965434D" w:rsidR="00FE3024" w:rsidRDefault="001072B4" w:rsidP="00AB3B68">
      <w:pPr>
        <w:rPr>
          <w:rFonts w:cs="Times New Roman"/>
          <w:noProof/>
          <w:szCs w:val="24"/>
        </w:rPr>
      </w:pPr>
      <w:r>
        <w:rPr>
          <w:rFonts w:cs="Times New Roman"/>
          <w:noProof/>
          <w:szCs w:val="24"/>
        </w:rPr>
        <w:t xml:space="preserve">Atbilstoši Finanšu ministrijas novērtējumam, ņemot vērā </w:t>
      </w:r>
      <w:r w:rsidR="00AB3B68">
        <w:rPr>
          <w:rFonts w:cs="Times New Roman"/>
          <w:noProof/>
          <w:szCs w:val="24"/>
        </w:rPr>
        <w:t xml:space="preserve">pasākumu </w:t>
      </w:r>
      <w:r>
        <w:rPr>
          <w:rFonts w:cs="Times New Roman"/>
          <w:noProof/>
          <w:szCs w:val="24"/>
        </w:rPr>
        <w:t xml:space="preserve">operatīvo izpildi līdz šā gada 30. novembrim, valsts budžeta izdevumi energoatbalstam </w:t>
      </w:r>
      <w:r w:rsidR="00AB3B68">
        <w:rPr>
          <w:rFonts w:cs="Times New Roman"/>
          <w:noProof/>
          <w:szCs w:val="24"/>
        </w:rPr>
        <w:t xml:space="preserve">2022. gadā nesasniegs plānoto par 177 milj. </w:t>
      </w:r>
      <w:r w:rsidR="00AB3B68" w:rsidRPr="00AB3B68">
        <w:rPr>
          <w:rFonts w:cs="Times New Roman"/>
          <w:i/>
          <w:iCs/>
          <w:noProof/>
          <w:szCs w:val="24"/>
        </w:rPr>
        <w:t>euro</w:t>
      </w:r>
      <w:r w:rsidR="00AB3B68">
        <w:rPr>
          <w:rFonts w:cs="Times New Roman"/>
          <w:noProof/>
          <w:szCs w:val="24"/>
        </w:rPr>
        <w:t xml:space="preserve"> un būs 659</w:t>
      </w:r>
      <w:r>
        <w:rPr>
          <w:rFonts w:cs="Times New Roman"/>
          <w:noProof/>
          <w:szCs w:val="24"/>
        </w:rPr>
        <w:t> milj</w:t>
      </w:r>
      <w:r w:rsidR="00AB3B68">
        <w:rPr>
          <w:rFonts w:cs="Times New Roman"/>
          <w:noProof/>
          <w:szCs w:val="24"/>
        </w:rPr>
        <w:t>.</w:t>
      </w:r>
      <w:r>
        <w:rPr>
          <w:rFonts w:cs="Times New Roman"/>
          <w:noProof/>
          <w:szCs w:val="24"/>
        </w:rPr>
        <w:t xml:space="preserve"> </w:t>
      </w:r>
      <w:r w:rsidRPr="00AB3B68">
        <w:rPr>
          <w:rFonts w:cs="Times New Roman"/>
          <w:i/>
          <w:iCs/>
          <w:noProof/>
          <w:szCs w:val="24"/>
        </w:rPr>
        <w:t>euro</w:t>
      </w:r>
      <w:r>
        <w:rPr>
          <w:rFonts w:cs="Times New Roman"/>
          <w:noProof/>
          <w:szCs w:val="24"/>
        </w:rPr>
        <w:t xml:space="preserve"> jeb 1,7% no IKP</w:t>
      </w:r>
      <w:r w:rsidR="00AB3B68">
        <w:rPr>
          <w:rFonts w:cs="Times New Roman"/>
          <w:noProof/>
          <w:szCs w:val="24"/>
        </w:rPr>
        <w:t xml:space="preserve">, savukārt 2023. gadā tiek prognozēts, ka plāns 622 milj. </w:t>
      </w:r>
      <w:r w:rsidR="00AB3B68" w:rsidRPr="00AB3B68">
        <w:rPr>
          <w:rFonts w:cs="Times New Roman"/>
          <w:i/>
          <w:iCs/>
          <w:noProof/>
          <w:szCs w:val="24"/>
        </w:rPr>
        <w:t>e</w:t>
      </w:r>
      <w:r w:rsidR="00AB3B68">
        <w:rPr>
          <w:rFonts w:cs="Times New Roman"/>
          <w:i/>
          <w:iCs/>
          <w:noProof/>
          <w:szCs w:val="24"/>
        </w:rPr>
        <w:t>u</w:t>
      </w:r>
      <w:r w:rsidR="00AB3B68" w:rsidRPr="00AB3B68">
        <w:rPr>
          <w:rFonts w:cs="Times New Roman"/>
          <w:i/>
          <w:iCs/>
          <w:noProof/>
          <w:szCs w:val="24"/>
        </w:rPr>
        <w:t>ro</w:t>
      </w:r>
      <w:r w:rsidR="00AB3B68">
        <w:rPr>
          <w:rFonts w:cs="Times New Roman"/>
          <w:noProof/>
          <w:szCs w:val="24"/>
        </w:rPr>
        <w:t xml:space="preserve"> jeb 1,5% no IKP apmērā tiks izpildīts.</w:t>
      </w:r>
    </w:p>
    <w:p w14:paraId="71539C9E" w14:textId="77777777" w:rsidR="00AB3B68" w:rsidRDefault="00AB3B68">
      <w:pPr>
        <w:spacing w:before="0" w:after="0"/>
        <w:ind w:firstLine="0"/>
        <w:jc w:val="left"/>
        <w:rPr>
          <w:rFonts w:eastAsia="Calibri" w:cs="Times New Roman"/>
          <w:b/>
          <w:szCs w:val="24"/>
        </w:rPr>
      </w:pPr>
      <w:r>
        <w:rPr>
          <w:rFonts w:eastAsia="Calibri" w:cs="Times New Roman"/>
          <w:b/>
          <w:szCs w:val="24"/>
        </w:rPr>
        <w:br w:type="page"/>
      </w:r>
    </w:p>
    <w:p w14:paraId="00B57778" w14:textId="271F2823" w:rsidR="00FE3024" w:rsidRPr="004040ED" w:rsidRDefault="00383816" w:rsidP="00FE3024">
      <w:pPr>
        <w:rPr>
          <w:rFonts w:cs="Times New Roman"/>
          <w:szCs w:val="24"/>
        </w:rPr>
      </w:pPr>
      <w:r>
        <w:rPr>
          <w:rFonts w:eastAsia="Calibri" w:cs="Times New Roman"/>
          <w:b/>
          <w:szCs w:val="24"/>
        </w:rPr>
        <w:lastRenderedPageBreak/>
        <w:t>7</w:t>
      </w:r>
      <w:r w:rsidR="00FE3024" w:rsidRPr="0003150A">
        <w:rPr>
          <w:rFonts w:eastAsia="Calibri" w:cs="Times New Roman"/>
          <w:b/>
          <w:szCs w:val="24"/>
        </w:rPr>
        <w:t>.</w:t>
      </w:r>
      <w:r w:rsidR="00FE3024">
        <w:rPr>
          <w:rFonts w:eastAsia="Calibri" w:cs="Times New Roman"/>
          <w:b/>
          <w:szCs w:val="24"/>
        </w:rPr>
        <w:t> </w:t>
      </w:r>
      <w:r w:rsidR="00FE3024" w:rsidRPr="0003150A">
        <w:rPr>
          <w:rFonts w:eastAsia="Calibri" w:cs="Times New Roman"/>
          <w:b/>
          <w:szCs w:val="24"/>
        </w:rPr>
        <w:t>tabula. Atbalsts energoresursu cenu pieauguma samazināšanai, milj</w:t>
      </w:r>
      <w:r w:rsidR="00FE3024" w:rsidRPr="0003150A">
        <w:rPr>
          <w:rFonts w:eastAsia="Calibri" w:cs="Times New Roman"/>
          <w:b/>
          <w:noProof/>
          <w:szCs w:val="24"/>
        </w:rPr>
        <w:t xml:space="preserve">. </w:t>
      </w:r>
      <w:r w:rsidR="00FE3024" w:rsidRPr="00EF1710">
        <w:rPr>
          <w:rFonts w:eastAsia="Calibri" w:cs="Times New Roman"/>
          <w:b/>
          <w:i/>
          <w:iCs/>
          <w:noProof/>
          <w:szCs w:val="24"/>
        </w:rPr>
        <w:t>euro</w:t>
      </w:r>
    </w:p>
    <w:tbl>
      <w:tblPr>
        <w:tblStyle w:val="TableGrid"/>
        <w:tblW w:w="9302" w:type="dxa"/>
        <w:tblInd w:w="-5" w:type="dxa"/>
        <w:tblLayout w:type="fixed"/>
        <w:tblLook w:val="04A0" w:firstRow="1" w:lastRow="0" w:firstColumn="1" w:lastColumn="0" w:noHBand="0" w:noVBand="1"/>
      </w:tblPr>
      <w:tblGrid>
        <w:gridCol w:w="5103"/>
        <w:gridCol w:w="851"/>
        <w:gridCol w:w="709"/>
        <w:gridCol w:w="850"/>
        <w:gridCol w:w="1100"/>
        <w:gridCol w:w="689"/>
      </w:tblGrid>
      <w:tr w:rsidR="00FE3024" w:rsidRPr="00BE56E3" w14:paraId="1014134E" w14:textId="77777777" w:rsidTr="00E16932">
        <w:trPr>
          <w:trHeight w:val="230"/>
          <w:tblHeader/>
        </w:trPr>
        <w:tc>
          <w:tcPr>
            <w:tcW w:w="5103" w:type="dxa"/>
            <w:vMerge w:val="restart"/>
            <w:shd w:val="clear" w:color="auto" w:fill="BDD6EE" w:themeFill="accent1" w:themeFillTint="66"/>
            <w:noWrap/>
            <w:hideMark/>
          </w:tcPr>
          <w:p w14:paraId="4CB4D696" w14:textId="77777777" w:rsidR="00FE3024" w:rsidRPr="00BE56E3" w:rsidRDefault="00FE3024" w:rsidP="00494C19">
            <w:pPr>
              <w:spacing w:before="0" w:after="0"/>
              <w:ind w:left="0" w:firstLine="0"/>
              <w:jc w:val="center"/>
              <w:rPr>
                <w:b/>
                <w:bCs/>
                <w:color w:val="000000"/>
                <w:sz w:val="18"/>
                <w:szCs w:val="18"/>
              </w:rPr>
            </w:pPr>
          </w:p>
          <w:p w14:paraId="509927D6" w14:textId="77777777" w:rsidR="00FE3024" w:rsidRPr="00BE56E3" w:rsidRDefault="00FE3024" w:rsidP="00494C19">
            <w:pPr>
              <w:spacing w:before="0" w:after="0"/>
              <w:ind w:left="0" w:firstLine="0"/>
              <w:jc w:val="center"/>
              <w:rPr>
                <w:b/>
                <w:bCs/>
                <w:color w:val="000000"/>
                <w:sz w:val="18"/>
                <w:szCs w:val="18"/>
              </w:rPr>
            </w:pPr>
          </w:p>
          <w:p w14:paraId="1E9A1EE7" w14:textId="77777777" w:rsidR="00FE3024" w:rsidRPr="00BE56E3" w:rsidRDefault="00FE3024" w:rsidP="00494C19">
            <w:pPr>
              <w:spacing w:before="0" w:after="0"/>
              <w:ind w:left="0" w:firstLine="0"/>
              <w:jc w:val="center"/>
              <w:rPr>
                <w:b/>
                <w:bCs/>
                <w:color w:val="000000"/>
                <w:sz w:val="18"/>
                <w:szCs w:val="18"/>
              </w:rPr>
            </w:pPr>
            <w:r w:rsidRPr="00BE56E3">
              <w:rPr>
                <w:b/>
                <w:bCs/>
                <w:color w:val="000000"/>
                <w:sz w:val="18"/>
                <w:szCs w:val="18"/>
              </w:rPr>
              <w:t>Pasākumi</w:t>
            </w:r>
          </w:p>
        </w:tc>
        <w:tc>
          <w:tcPr>
            <w:tcW w:w="851" w:type="dxa"/>
            <w:shd w:val="clear" w:color="auto" w:fill="BDD6EE" w:themeFill="accent1" w:themeFillTint="66"/>
          </w:tcPr>
          <w:p w14:paraId="19A03573" w14:textId="77777777" w:rsidR="00FE3024" w:rsidRPr="00BE56E3" w:rsidRDefault="00FE3024" w:rsidP="00494C19">
            <w:pPr>
              <w:spacing w:before="0" w:after="0"/>
              <w:ind w:left="0" w:firstLine="0"/>
              <w:jc w:val="center"/>
              <w:rPr>
                <w:b/>
                <w:bCs/>
                <w:color w:val="000000"/>
                <w:sz w:val="18"/>
                <w:szCs w:val="18"/>
              </w:rPr>
            </w:pPr>
            <w:r w:rsidRPr="00BE56E3">
              <w:rPr>
                <w:b/>
                <w:bCs/>
                <w:color w:val="000000"/>
                <w:sz w:val="18"/>
                <w:szCs w:val="18"/>
              </w:rPr>
              <w:t>2021</w:t>
            </w:r>
          </w:p>
        </w:tc>
        <w:tc>
          <w:tcPr>
            <w:tcW w:w="2659" w:type="dxa"/>
            <w:gridSpan w:val="3"/>
            <w:shd w:val="clear" w:color="auto" w:fill="BDD6EE" w:themeFill="accent1" w:themeFillTint="66"/>
          </w:tcPr>
          <w:p w14:paraId="322F32BA" w14:textId="77777777" w:rsidR="00FE3024" w:rsidRPr="00BE56E3" w:rsidRDefault="00FE3024" w:rsidP="00494C19">
            <w:pPr>
              <w:spacing w:before="0" w:after="0"/>
              <w:ind w:left="0" w:firstLine="0"/>
              <w:jc w:val="center"/>
              <w:rPr>
                <w:b/>
                <w:bCs/>
                <w:color w:val="000000"/>
                <w:sz w:val="18"/>
                <w:szCs w:val="18"/>
              </w:rPr>
            </w:pPr>
            <w:r w:rsidRPr="00BE56E3">
              <w:rPr>
                <w:b/>
                <w:bCs/>
                <w:color w:val="000000"/>
                <w:sz w:val="18"/>
                <w:szCs w:val="18"/>
              </w:rPr>
              <w:t>2022</w:t>
            </w:r>
          </w:p>
        </w:tc>
        <w:tc>
          <w:tcPr>
            <w:tcW w:w="689" w:type="dxa"/>
            <w:shd w:val="clear" w:color="auto" w:fill="BDD6EE" w:themeFill="accent1" w:themeFillTint="66"/>
            <w:noWrap/>
            <w:hideMark/>
          </w:tcPr>
          <w:p w14:paraId="57B9DB04" w14:textId="77777777" w:rsidR="00FE3024" w:rsidRPr="00BE56E3" w:rsidRDefault="00FE3024" w:rsidP="00494C19">
            <w:pPr>
              <w:spacing w:before="0" w:after="0"/>
              <w:ind w:left="0" w:firstLine="0"/>
              <w:jc w:val="center"/>
              <w:rPr>
                <w:b/>
                <w:bCs/>
                <w:color w:val="000000"/>
                <w:sz w:val="18"/>
                <w:szCs w:val="18"/>
              </w:rPr>
            </w:pPr>
            <w:r w:rsidRPr="00BE56E3">
              <w:rPr>
                <w:b/>
                <w:bCs/>
                <w:color w:val="000000"/>
                <w:sz w:val="18"/>
                <w:szCs w:val="18"/>
              </w:rPr>
              <w:t>2023</w:t>
            </w:r>
          </w:p>
        </w:tc>
      </w:tr>
      <w:tr w:rsidR="00E16932" w:rsidRPr="00BE56E3" w14:paraId="680241B2" w14:textId="77777777" w:rsidTr="00E16932">
        <w:trPr>
          <w:trHeight w:val="588"/>
          <w:tblHeader/>
        </w:trPr>
        <w:tc>
          <w:tcPr>
            <w:tcW w:w="5103" w:type="dxa"/>
            <w:vMerge/>
            <w:shd w:val="clear" w:color="auto" w:fill="BDD6EE" w:themeFill="accent1" w:themeFillTint="66"/>
            <w:hideMark/>
          </w:tcPr>
          <w:p w14:paraId="6D354B8F" w14:textId="77777777" w:rsidR="00E16932" w:rsidRPr="00BE56E3" w:rsidRDefault="00E16932" w:rsidP="00E16932">
            <w:pPr>
              <w:spacing w:before="0" w:after="0"/>
              <w:ind w:left="0" w:firstLine="0"/>
              <w:jc w:val="center"/>
              <w:rPr>
                <w:b/>
                <w:bCs/>
                <w:color w:val="000000"/>
                <w:sz w:val="18"/>
                <w:szCs w:val="18"/>
              </w:rPr>
            </w:pPr>
          </w:p>
        </w:tc>
        <w:tc>
          <w:tcPr>
            <w:tcW w:w="851" w:type="dxa"/>
            <w:shd w:val="clear" w:color="auto" w:fill="BDD6EE" w:themeFill="accent1" w:themeFillTint="66"/>
            <w:noWrap/>
            <w:vAlign w:val="center"/>
            <w:hideMark/>
          </w:tcPr>
          <w:p w14:paraId="1CD7FD18" w14:textId="77777777" w:rsidR="00E16932" w:rsidRPr="00BE56E3" w:rsidRDefault="00E16932" w:rsidP="00E16932">
            <w:pPr>
              <w:spacing w:before="0" w:after="0"/>
              <w:ind w:left="0" w:firstLine="0"/>
              <w:jc w:val="center"/>
              <w:rPr>
                <w:b/>
                <w:bCs/>
                <w:color w:val="000000"/>
                <w:sz w:val="18"/>
                <w:szCs w:val="18"/>
              </w:rPr>
            </w:pPr>
            <w:r w:rsidRPr="00BE56E3">
              <w:rPr>
                <w:b/>
                <w:bCs/>
                <w:color w:val="000000"/>
                <w:sz w:val="18"/>
                <w:szCs w:val="18"/>
              </w:rPr>
              <w:t>Izpilde</w:t>
            </w:r>
          </w:p>
        </w:tc>
        <w:tc>
          <w:tcPr>
            <w:tcW w:w="709" w:type="dxa"/>
            <w:shd w:val="clear" w:color="auto" w:fill="BDD6EE" w:themeFill="accent1" w:themeFillTint="66"/>
            <w:vAlign w:val="center"/>
          </w:tcPr>
          <w:p w14:paraId="251553B1" w14:textId="3EA1EE65" w:rsidR="00E16932" w:rsidRPr="00BE56E3" w:rsidRDefault="00E16932" w:rsidP="00E16932">
            <w:pPr>
              <w:spacing w:before="0" w:after="0"/>
              <w:ind w:left="30" w:firstLine="0"/>
              <w:jc w:val="center"/>
              <w:rPr>
                <w:b/>
                <w:bCs/>
                <w:color w:val="000000"/>
                <w:sz w:val="18"/>
                <w:szCs w:val="18"/>
              </w:rPr>
            </w:pPr>
            <w:r w:rsidRPr="00BE56E3">
              <w:rPr>
                <w:b/>
                <w:bCs/>
                <w:color w:val="000000"/>
                <w:sz w:val="18"/>
                <w:szCs w:val="18"/>
              </w:rPr>
              <w:t>Plāns</w:t>
            </w:r>
          </w:p>
        </w:tc>
        <w:tc>
          <w:tcPr>
            <w:tcW w:w="850" w:type="dxa"/>
            <w:shd w:val="clear" w:color="auto" w:fill="BDD6EE" w:themeFill="accent1" w:themeFillTint="66"/>
            <w:vAlign w:val="center"/>
          </w:tcPr>
          <w:p w14:paraId="3E387C33" w14:textId="2B004265" w:rsidR="00E16932" w:rsidRPr="00BE56E3" w:rsidRDefault="00E16932" w:rsidP="00E16932">
            <w:pPr>
              <w:spacing w:before="0" w:after="0"/>
              <w:ind w:left="0" w:firstLine="0"/>
              <w:jc w:val="center"/>
              <w:rPr>
                <w:b/>
                <w:bCs/>
                <w:color w:val="000000"/>
                <w:sz w:val="18"/>
                <w:szCs w:val="18"/>
              </w:rPr>
            </w:pPr>
            <w:r w:rsidRPr="00BE56E3">
              <w:rPr>
                <w:b/>
                <w:bCs/>
                <w:color w:val="000000"/>
                <w:sz w:val="18"/>
                <w:szCs w:val="18"/>
              </w:rPr>
              <w:t>Novērt</w:t>
            </w:r>
            <w:r>
              <w:rPr>
                <w:b/>
                <w:bCs/>
                <w:color w:val="000000"/>
                <w:sz w:val="18"/>
                <w:szCs w:val="18"/>
              </w:rPr>
              <w:t>ē-jums</w:t>
            </w:r>
          </w:p>
        </w:tc>
        <w:tc>
          <w:tcPr>
            <w:tcW w:w="1100" w:type="dxa"/>
            <w:shd w:val="clear" w:color="auto" w:fill="BDD6EE" w:themeFill="accent1" w:themeFillTint="66"/>
            <w:hideMark/>
          </w:tcPr>
          <w:p w14:paraId="180194A2" w14:textId="78AB8AB3" w:rsidR="00E16932" w:rsidRPr="00BE56E3" w:rsidRDefault="00E16932" w:rsidP="00E16932">
            <w:pPr>
              <w:spacing w:before="0" w:after="0"/>
              <w:ind w:left="0" w:firstLine="0"/>
              <w:jc w:val="center"/>
              <w:rPr>
                <w:b/>
                <w:bCs/>
                <w:color w:val="000000"/>
                <w:sz w:val="18"/>
                <w:szCs w:val="18"/>
              </w:rPr>
            </w:pPr>
            <w:r w:rsidRPr="00BE56E3">
              <w:rPr>
                <w:b/>
                <w:bCs/>
                <w:color w:val="000000"/>
                <w:sz w:val="18"/>
                <w:szCs w:val="18"/>
              </w:rPr>
              <w:t>Operatīvā izpilde līdz 30.11</w:t>
            </w:r>
            <w:r>
              <w:rPr>
                <w:b/>
                <w:bCs/>
                <w:color w:val="000000"/>
                <w:sz w:val="18"/>
                <w:szCs w:val="18"/>
              </w:rPr>
              <w:t>.2022</w:t>
            </w:r>
          </w:p>
        </w:tc>
        <w:tc>
          <w:tcPr>
            <w:tcW w:w="689" w:type="dxa"/>
            <w:shd w:val="clear" w:color="auto" w:fill="BDD6EE" w:themeFill="accent1" w:themeFillTint="66"/>
            <w:vAlign w:val="center"/>
            <w:hideMark/>
          </w:tcPr>
          <w:p w14:paraId="0FAFD81B" w14:textId="67F4DB14" w:rsidR="00E16932" w:rsidRPr="00BE56E3" w:rsidRDefault="00E16932" w:rsidP="00E16932">
            <w:pPr>
              <w:spacing w:before="0" w:after="0"/>
              <w:ind w:left="0" w:firstLine="0"/>
              <w:jc w:val="center"/>
              <w:rPr>
                <w:b/>
                <w:bCs/>
                <w:color w:val="000000"/>
                <w:sz w:val="18"/>
                <w:szCs w:val="18"/>
              </w:rPr>
            </w:pPr>
            <w:r w:rsidRPr="00BE56E3">
              <w:rPr>
                <w:b/>
                <w:bCs/>
                <w:color w:val="000000"/>
                <w:sz w:val="18"/>
                <w:szCs w:val="18"/>
              </w:rPr>
              <w:t>Plāns</w:t>
            </w:r>
            <w:r w:rsidRPr="00BE56E3">
              <w:rPr>
                <w:b/>
                <w:bCs/>
                <w:color w:val="000000"/>
                <w:sz w:val="18"/>
                <w:szCs w:val="18"/>
              </w:rPr>
              <w:br/>
            </w:r>
          </w:p>
        </w:tc>
      </w:tr>
      <w:tr w:rsidR="00E16932" w:rsidRPr="00BE56E3" w14:paraId="28340194" w14:textId="77777777" w:rsidTr="00E16932">
        <w:trPr>
          <w:trHeight w:val="222"/>
        </w:trPr>
        <w:tc>
          <w:tcPr>
            <w:tcW w:w="5103" w:type="dxa"/>
            <w:shd w:val="clear" w:color="auto" w:fill="BDD6EE" w:themeFill="accent1" w:themeFillTint="66"/>
            <w:noWrap/>
            <w:hideMark/>
          </w:tcPr>
          <w:p w14:paraId="399F4B37" w14:textId="79397E37" w:rsidR="00E16932" w:rsidRPr="00BE56E3" w:rsidRDefault="00E16932" w:rsidP="00E16932">
            <w:pPr>
              <w:spacing w:before="0" w:after="0"/>
              <w:ind w:left="0" w:firstLine="0"/>
              <w:jc w:val="left"/>
              <w:rPr>
                <w:b/>
                <w:bCs/>
                <w:color w:val="000000"/>
                <w:sz w:val="18"/>
                <w:szCs w:val="18"/>
              </w:rPr>
            </w:pPr>
            <w:r w:rsidRPr="00BE56E3">
              <w:rPr>
                <w:b/>
                <w:bCs/>
                <w:color w:val="000000"/>
                <w:sz w:val="18"/>
                <w:szCs w:val="18"/>
              </w:rPr>
              <w:t>ATBALST</w:t>
            </w:r>
            <w:r w:rsidR="00AD4588">
              <w:rPr>
                <w:b/>
                <w:bCs/>
                <w:color w:val="000000"/>
                <w:sz w:val="18"/>
                <w:szCs w:val="18"/>
              </w:rPr>
              <w:t>S KOPĀ</w:t>
            </w:r>
          </w:p>
        </w:tc>
        <w:tc>
          <w:tcPr>
            <w:tcW w:w="851" w:type="dxa"/>
            <w:shd w:val="clear" w:color="auto" w:fill="BDD6EE" w:themeFill="accent1" w:themeFillTint="66"/>
            <w:noWrap/>
            <w:vAlign w:val="center"/>
            <w:hideMark/>
          </w:tcPr>
          <w:p w14:paraId="2F1558FE"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1,9</w:t>
            </w:r>
          </w:p>
        </w:tc>
        <w:tc>
          <w:tcPr>
            <w:tcW w:w="709" w:type="dxa"/>
            <w:shd w:val="clear" w:color="auto" w:fill="BDD6EE" w:themeFill="accent1" w:themeFillTint="66"/>
            <w:vAlign w:val="center"/>
          </w:tcPr>
          <w:p w14:paraId="6103E435" w14:textId="77777777" w:rsidR="00E16932" w:rsidRPr="00BE56E3" w:rsidRDefault="00E16932" w:rsidP="00E16932">
            <w:pPr>
              <w:spacing w:before="0" w:after="0"/>
              <w:ind w:left="30" w:firstLine="0"/>
              <w:jc w:val="center"/>
              <w:rPr>
                <w:b/>
                <w:bCs/>
                <w:color w:val="000000" w:themeColor="text1"/>
                <w:sz w:val="18"/>
                <w:szCs w:val="18"/>
              </w:rPr>
            </w:pPr>
            <w:r w:rsidRPr="00BE56E3">
              <w:rPr>
                <w:b/>
                <w:bCs/>
                <w:color w:val="000000" w:themeColor="text1"/>
                <w:sz w:val="18"/>
                <w:szCs w:val="18"/>
              </w:rPr>
              <w:t>836,1</w:t>
            </w:r>
          </w:p>
        </w:tc>
        <w:tc>
          <w:tcPr>
            <w:tcW w:w="850" w:type="dxa"/>
            <w:shd w:val="clear" w:color="auto" w:fill="BDD6EE" w:themeFill="accent1" w:themeFillTint="66"/>
            <w:noWrap/>
            <w:vAlign w:val="center"/>
          </w:tcPr>
          <w:p w14:paraId="6D56C095"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658,7</w:t>
            </w:r>
          </w:p>
        </w:tc>
        <w:tc>
          <w:tcPr>
            <w:tcW w:w="1100" w:type="dxa"/>
            <w:shd w:val="clear" w:color="auto" w:fill="BDD6EE" w:themeFill="accent1" w:themeFillTint="66"/>
            <w:noWrap/>
            <w:vAlign w:val="center"/>
            <w:hideMark/>
          </w:tcPr>
          <w:p w14:paraId="34271395"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445,5</w:t>
            </w:r>
          </w:p>
        </w:tc>
        <w:tc>
          <w:tcPr>
            <w:tcW w:w="689" w:type="dxa"/>
            <w:shd w:val="clear" w:color="auto" w:fill="BDD6EE" w:themeFill="accent1" w:themeFillTint="66"/>
            <w:noWrap/>
            <w:vAlign w:val="center"/>
            <w:hideMark/>
          </w:tcPr>
          <w:p w14:paraId="5A2713EB"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621,6</w:t>
            </w:r>
          </w:p>
        </w:tc>
      </w:tr>
      <w:tr w:rsidR="00E16932" w:rsidRPr="00BE56E3" w14:paraId="014225BF" w14:textId="77777777" w:rsidTr="00E16932">
        <w:trPr>
          <w:trHeight w:val="225"/>
        </w:trPr>
        <w:tc>
          <w:tcPr>
            <w:tcW w:w="5103" w:type="dxa"/>
            <w:shd w:val="clear" w:color="auto" w:fill="BDD6EE" w:themeFill="accent1" w:themeFillTint="66"/>
            <w:noWrap/>
            <w:hideMark/>
          </w:tcPr>
          <w:p w14:paraId="6E2D511F" w14:textId="77777777" w:rsidR="00E16932" w:rsidRPr="00BE56E3" w:rsidRDefault="00E16932" w:rsidP="00E16932">
            <w:pPr>
              <w:spacing w:before="0" w:after="0"/>
              <w:ind w:left="0" w:firstLine="0"/>
              <w:jc w:val="left"/>
              <w:rPr>
                <w:b/>
                <w:bCs/>
                <w:color w:val="000000"/>
                <w:sz w:val="18"/>
                <w:szCs w:val="18"/>
              </w:rPr>
            </w:pPr>
            <w:r w:rsidRPr="00BE56E3">
              <w:rPr>
                <w:b/>
                <w:bCs/>
                <w:color w:val="000000"/>
                <w:sz w:val="18"/>
                <w:szCs w:val="18"/>
              </w:rPr>
              <w:t>% no attiecīgā gada IKP</w:t>
            </w:r>
          </w:p>
        </w:tc>
        <w:tc>
          <w:tcPr>
            <w:tcW w:w="851" w:type="dxa"/>
            <w:shd w:val="clear" w:color="auto" w:fill="BDD6EE" w:themeFill="accent1" w:themeFillTint="66"/>
            <w:noWrap/>
            <w:vAlign w:val="center"/>
            <w:hideMark/>
          </w:tcPr>
          <w:p w14:paraId="5B8E019B"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0,0%</w:t>
            </w:r>
          </w:p>
        </w:tc>
        <w:tc>
          <w:tcPr>
            <w:tcW w:w="709" w:type="dxa"/>
            <w:shd w:val="clear" w:color="auto" w:fill="BDD6EE" w:themeFill="accent1" w:themeFillTint="66"/>
            <w:vAlign w:val="center"/>
          </w:tcPr>
          <w:p w14:paraId="71E06E26" w14:textId="77777777" w:rsidR="00E16932" w:rsidRPr="00BE56E3" w:rsidRDefault="00E16932" w:rsidP="00E16932">
            <w:pPr>
              <w:spacing w:before="0" w:after="0"/>
              <w:ind w:left="30" w:firstLine="0"/>
              <w:jc w:val="center"/>
              <w:rPr>
                <w:b/>
                <w:bCs/>
                <w:color w:val="000000" w:themeColor="text1"/>
                <w:sz w:val="18"/>
                <w:szCs w:val="18"/>
              </w:rPr>
            </w:pPr>
            <w:r w:rsidRPr="00BE56E3">
              <w:rPr>
                <w:b/>
                <w:bCs/>
                <w:color w:val="000000" w:themeColor="text1"/>
                <w:sz w:val="18"/>
                <w:szCs w:val="18"/>
              </w:rPr>
              <w:t>2,1%</w:t>
            </w:r>
          </w:p>
        </w:tc>
        <w:tc>
          <w:tcPr>
            <w:tcW w:w="850" w:type="dxa"/>
            <w:shd w:val="clear" w:color="auto" w:fill="BDD6EE" w:themeFill="accent1" w:themeFillTint="66"/>
            <w:noWrap/>
            <w:vAlign w:val="center"/>
          </w:tcPr>
          <w:p w14:paraId="49EE95A6"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1,7%</w:t>
            </w:r>
          </w:p>
        </w:tc>
        <w:tc>
          <w:tcPr>
            <w:tcW w:w="1100" w:type="dxa"/>
            <w:shd w:val="clear" w:color="auto" w:fill="BDD6EE" w:themeFill="accent1" w:themeFillTint="66"/>
            <w:noWrap/>
            <w:vAlign w:val="center"/>
            <w:hideMark/>
          </w:tcPr>
          <w:p w14:paraId="60EFE63B"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1,1%</w:t>
            </w:r>
          </w:p>
        </w:tc>
        <w:tc>
          <w:tcPr>
            <w:tcW w:w="689" w:type="dxa"/>
            <w:shd w:val="clear" w:color="auto" w:fill="BDD6EE" w:themeFill="accent1" w:themeFillTint="66"/>
            <w:noWrap/>
            <w:vAlign w:val="center"/>
            <w:hideMark/>
          </w:tcPr>
          <w:p w14:paraId="6E6058F8"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1,5%</w:t>
            </w:r>
          </w:p>
        </w:tc>
      </w:tr>
      <w:tr w:rsidR="00E16932" w:rsidRPr="00BE56E3" w14:paraId="1CF8FBB7" w14:textId="77777777" w:rsidTr="00E16932">
        <w:trPr>
          <w:trHeight w:val="267"/>
        </w:trPr>
        <w:tc>
          <w:tcPr>
            <w:tcW w:w="5103" w:type="dxa"/>
            <w:shd w:val="clear" w:color="auto" w:fill="DEEAF6" w:themeFill="accent1" w:themeFillTint="33"/>
            <w:hideMark/>
          </w:tcPr>
          <w:p w14:paraId="61AEC968" w14:textId="77777777" w:rsidR="00E16932" w:rsidRPr="00BE56E3" w:rsidRDefault="00E16932" w:rsidP="00E16932">
            <w:pPr>
              <w:spacing w:before="0" w:after="0"/>
              <w:ind w:left="0" w:firstLine="0"/>
              <w:jc w:val="left"/>
              <w:rPr>
                <w:b/>
                <w:bCs/>
                <w:color w:val="000000" w:themeColor="text1"/>
                <w:sz w:val="18"/>
                <w:szCs w:val="18"/>
              </w:rPr>
            </w:pPr>
            <w:r w:rsidRPr="00BE56E3">
              <w:rPr>
                <w:b/>
                <w:bCs/>
                <w:color w:val="000000" w:themeColor="text1"/>
                <w:sz w:val="18"/>
                <w:szCs w:val="18"/>
              </w:rPr>
              <w:t>Kompensējošie pasākumi cenu pieauguma samazināšanai</w:t>
            </w:r>
          </w:p>
        </w:tc>
        <w:tc>
          <w:tcPr>
            <w:tcW w:w="851" w:type="dxa"/>
            <w:shd w:val="clear" w:color="auto" w:fill="DEEAF6" w:themeFill="accent1" w:themeFillTint="33"/>
            <w:noWrap/>
            <w:vAlign w:val="center"/>
            <w:hideMark/>
          </w:tcPr>
          <w:p w14:paraId="09717D64"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1,9</w:t>
            </w:r>
          </w:p>
        </w:tc>
        <w:tc>
          <w:tcPr>
            <w:tcW w:w="709" w:type="dxa"/>
            <w:shd w:val="clear" w:color="auto" w:fill="DEEAF6" w:themeFill="accent1" w:themeFillTint="33"/>
            <w:vAlign w:val="center"/>
          </w:tcPr>
          <w:p w14:paraId="61E425C4" w14:textId="77777777" w:rsidR="00E16932" w:rsidRPr="00BE56E3" w:rsidRDefault="00E16932" w:rsidP="00E16932">
            <w:pPr>
              <w:spacing w:before="0" w:after="0"/>
              <w:ind w:left="30" w:firstLine="0"/>
              <w:jc w:val="center"/>
              <w:rPr>
                <w:b/>
                <w:bCs/>
                <w:color w:val="000000" w:themeColor="text1"/>
                <w:sz w:val="18"/>
                <w:szCs w:val="18"/>
              </w:rPr>
            </w:pPr>
            <w:r w:rsidRPr="00BE56E3">
              <w:rPr>
                <w:b/>
                <w:bCs/>
                <w:color w:val="000000" w:themeColor="text1"/>
                <w:sz w:val="18"/>
                <w:szCs w:val="18"/>
              </w:rPr>
              <w:t>571,1</w:t>
            </w:r>
          </w:p>
        </w:tc>
        <w:tc>
          <w:tcPr>
            <w:tcW w:w="850" w:type="dxa"/>
            <w:shd w:val="clear" w:color="auto" w:fill="DEEAF6" w:themeFill="accent1" w:themeFillTint="33"/>
            <w:noWrap/>
            <w:vAlign w:val="center"/>
          </w:tcPr>
          <w:p w14:paraId="0889B223"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381,1</w:t>
            </w:r>
          </w:p>
        </w:tc>
        <w:tc>
          <w:tcPr>
            <w:tcW w:w="1100" w:type="dxa"/>
            <w:shd w:val="clear" w:color="auto" w:fill="DEEAF6" w:themeFill="accent1" w:themeFillTint="33"/>
            <w:noWrap/>
            <w:vAlign w:val="center"/>
            <w:hideMark/>
          </w:tcPr>
          <w:p w14:paraId="2583ABB4" w14:textId="53394EEC" w:rsidR="00E16932" w:rsidRPr="00BE56E3" w:rsidRDefault="00E16932" w:rsidP="00E16932">
            <w:pPr>
              <w:spacing w:before="0" w:after="0"/>
              <w:ind w:left="0" w:firstLine="0"/>
              <w:jc w:val="center"/>
              <w:rPr>
                <w:b/>
                <w:bCs/>
                <w:color w:val="000000" w:themeColor="text1"/>
                <w:sz w:val="18"/>
                <w:szCs w:val="18"/>
              </w:rPr>
            </w:pPr>
            <w:r>
              <w:rPr>
                <w:b/>
                <w:bCs/>
                <w:color w:val="000000" w:themeColor="text1"/>
                <w:sz w:val="18"/>
                <w:szCs w:val="18"/>
              </w:rPr>
              <w:t>214,6</w:t>
            </w:r>
          </w:p>
        </w:tc>
        <w:tc>
          <w:tcPr>
            <w:tcW w:w="689" w:type="dxa"/>
            <w:shd w:val="clear" w:color="auto" w:fill="DEEAF6" w:themeFill="accent1" w:themeFillTint="33"/>
            <w:noWrap/>
            <w:vAlign w:val="center"/>
            <w:hideMark/>
          </w:tcPr>
          <w:p w14:paraId="475EDAB4"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547,0</w:t>
            </w:r>
          </w:p>
        </w:tc>
      </w:tr>
      <w:tr w:rsidR="00E16932" w:rsidRPr="00BE56E3" w14:paraId="66B6E6E1" w14:textId="77777777" w:rsidTr="00E16932">
        <w:trPr>
          <w:trHeight w:val="185"/>
        </w:trPr>
        <w:tc>
          <w:tcPr>
            <w:tcW w:w="5103" w:type="dxa"/>
            <w:shd w:val="clear" w:color="auto" w:fill="DEEAF6" w:themeFill="accent1" w:themeFillTint="33"/>
            <w:hideMark/>
          </w:tcPr>
          <w:p w14:paraId="16DD6A88" w14:textId="77777777" w:rsidR="00E16932" w:rsidRPr="00BE56E3" w:rsidRDefault="00E16932" w:rsidP="00E16932">
            <w:pPr>
              <w:spacing w:before="0" w:after="0"/>
              <w:ind w:left="0" w:firstLine="0"/>
              <w:jc w:val="left"/>
              <w:rPr>
                <w:b/>
                <w:bCs/>
                <w:color w:val="000000"/>
                <w:sz w:val="18"/>
                <w:szCs w:val="18"/>
              </w:rPr>
            </w:pPr>
            <w:r w:rsidRPr="00BE56E3">
              <w:rPr>
                <w:b/>
                <w:bCs/>
                <w:color w:val="000000"/>
                <w:sz w:val="18"/>
                <w:szCs w:val="18"/>
              </w:rPr>
              <w:t xml:space="preserve">Sociālie pabalsti </w:t>
            </w:r>
          </w:p>
        </w:tc>
        <w:tc>
          <w:tcPr>
            <w:tcW w:w="851" w:type="dxa"/>
            <w:shd w:val="clear" w:color="auto" w:fill="DEEAF6" w:themeFill="accent1" w:themeFillTint="33"/>
            <w:noWrap/>
            <w:vAlign w:val="center"/>
          </w:tcPr>
          <w:p w14:paraId="474CAF15" w14:textId="79058696" w:rsidR="00E16932" w:rsidRPr="00BE56E3" w:rsidRDefault="00E16932" w:rsidP="00E16932">
            <w:pPr>
              <w:spacing w:before="0" w:after="0"/>
              <w:ind w:left="0" w:firstLine="0"/>
              <w:jc w:val="center"/>
              <w:rPr>
                <w:b/>
                <w:bCs/>
                <w:color w:val="000000" w:themeColor="text1"/>
                <w:sz w:val="18"/>
                <w:szCs w:val="18"/>
              </w:rPr>
            </w:pPr>
          </w:p>
        </w:tc>
        <w:tc>
          <w:tcPr>
            <w:tcW w:w="709" w:type="dxa"/>
            <w:shd w:val="clear" w:color="auto" w:fill="DEEAF6" w:themeFill="accent1" w:themeFillTint="33"/>
            <w:vAlign w:val="center"/>
          </w:tcPr>
          <w:p w14:paraId="63E5A400" w14:textId="77777777" w:rsidR="00E16932" w:rsidRPr="00BE56E3" w:rsidRDefault="00E16932" w:rsidP="00E16932">
            <w:pPr>
              <w:spacing w:before="0" w:after="0"/>
              <w:ind w:left="30" w:firstLine="0"/>
              <w:jc w:val="center"/>
              <w:rPr>
                <w:b/>
                <w:bCs/>
                <w:color w:val="000000" w:themeColor="text1"/>
                <w:sz w:val="18"/>
                <w:szCs w:val="18"/>
              </w:rPr>
            </w:pPr>
            <w:r w:rsidRPr="00BE56E3">
              <w:rPr>
                <w:b/>
                <w:bCs/>
                <w:color w:val="000000" w:themeColor="text1"/>
                <w:sz w:val="18"/>
                <w:szCs w:val="18"/>
              </w:rPr>
              <w:t>214,9</w:t>
            </w:r>
          </w:p>
        </w:tc>
        <w:tc>
          <w:tcPr>
            <w:tcW w:w="850" w:type="dxa"/>
            <w:shd w:val="clear" w:color="auto" w:fill="DEEAF6" w:themeFill="accent1" w:themeFillTint="33"/>
            <w:noWrap/>
            <w:vAlign w:val="center"/>
          </w:tcPr>
          <w:p w14:paraId="7BD17900"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253,1</w:t>
            </w:r>
          </w:p>
        </w:tc>
        <w:tc>
          <w:tcPr>
            <w:tcW w:w="1100" w:type="dxa"/>
            <w:shd w:val="clear" w:color="auto" w:fill="DEEAF6" w:themeFill="accent1" w:themeFillTint="33"/>
            <w:noWrap/>
            <w:vAlign w:val="center"/>
            <w:hideMark/>
          </w:tcPr>
          <w:p w14:paraId="2E1BEF82"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230,9</w:t>
            </w:r>
          </w:p>
        </w:tc>
        <w:tc>
          <w:tcPr>
            <w:tcW w:w="689" w:type="dxa"/>
            <w:shd w:val="clear" w:color="auto" w:fill="DEEAF6" w:themeFill="accent1" w:themeFillTint="33"/>
            <w:noWrap/>
            <w:vAlign w:val="center"/>
            <w:hideMark/>
          </w:tcPr>
          <w:p w14:paraId="00C02778"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74,6</w:t>
            </w:r>
          </w:p>
        </w:tc>
      </w:tr>
      <w:tr w:rsidR="00E16932" w:rsidRPr="00BE56E3" w14:paraId="1522A053" w14:textId="77777777" w:rsidTr="00E16932">
        <w:trPr>
          <w:trHeight w:val="185"/>
        </w:trPr>
        <w:tc>
          <w:tcPr>
            <w:tcW w:w="5103" w:type="dxa"/>
            <w:shd w:val="clear" w:color="auto" w:fill="DEEAF6" w:themeFill="accent1" w:themeFillTint="33"/>
          </w:tcPr>
          <w:p w14:paraId="1F5EA50F" w14:textId="3F0DAFA8" w:rsidR="00E16932" w:rsidRPr="00BE56E3" w:rsidRDefault="00E16932" w:rsidP="00E16932">
            <w:pPr>
              <w:spacing w:before="0" w:after="0"/>
              <w:ind w:left="0" w:firstLine="0"/>
              <w:jc w:val="left"/>
              <w:rPr>
                <w:b/>
                <w:bCs/>
                <w:color w:val="000000"/>
                <w:sz w:val="18"/>
                <w:szCs w:val="18"/>
              </w:rPr>
            </w:pPr>
            <w:r w:rsidRPr="00BD6FBB">
              <w:rPr>
                <w:b/>
                <w:bCs/>
                <w:color w:val="000000"/>
                <w:sz w:val="18"/>
                <w:szCs w:val="18"/>
              </w:rPr>
              <w:t>Atbalsts energoefektīvajiem uzņēmumiem</w:t>
            </w:r>
          </w:p>
        </w:tc>
        <w:tc>
          <w:tcPr>
            <w:tcW w:w="851" w:type="dxa"/>
            <w:shd w:val="clear" w:color="auto" w:fill="DEEAF6" w:themeFill="accent1" w:themeFillTint="33"/>
            <w:noWrap/>
            <w:vAlign w:val="center"/>
          </w:tcPr>
          <w:p w14:paraId="0CEEEB45" w14:textId="6409162F" w:rsidR="00E16932" w:rsidRPr="00BE56E3" w:rsidRDefault="00E16932" w:rsidP="00E16932">
            <w:pPr>
              <w:spacing w:before="0" w:after="0"/>
              <w:ind w:left="0" w:firstLine="0"/>
              <w:jc w:val="center"/>
              <w:rPr>
                <w:b/>
                <w:bCs/>
                <w:color w:val="000000" w:themeColor="text1"/>
                <w:sz w:val="18"/>
                <w:szCs w:val="18"/>
              </w:rPr>
            </w:pPr>
          </w:p>
        </w:tc>
        <w:tc>
          <w:tcPr>
            <w:tcW w:w="709" w:type="dxa"/>
            <w:shd w:val="clear" w:color="auto" w:fill="DEEAF6" w:themeFill="accent1" w:themeFillTint="33"/>
            <w:vAlign w:val="center"/>
          </w:tcPr>
          <w:p w14:paraId="44C48018" w14:textId="0B188917" w:rsidR="00E16932" w:rsidRPr="00BE56E3" w:rsidRDefault="00E16932" w:rsidP="00E16932">
            <w:pPr>
              <w:spacing w:before="0" w:after="0"/>
              <w:ind w:left="30" w:firstLine="0"/>
              <w:jc w:val="center"/>
              <w:rPr>
                <w:b/>
                <w:bCs/>
                <w:color w:val="000000" w:themeColor="text1"/>
                <w:sz w:val="18"/>
                <w:szCs w:val="18"/>
              </w:rPr>
            </w:pPr>
            <w:r>
              <w:rPr>
                <w:b/>
                <w:bCs/>
                <w:color w:val="000000" w:themeColor="text1"/>
                <w:sz w:val="18"/>
                <w:szCs w:val="18"/>
              </w:rPr>
              <w:t>50,0</w:t>
            </w:r>
          </w:p>
        </w:tc>
        <w:tc>
          <w:tcPr>
            <w:tcW w:w="850" w:type="dxa"/>
            <w:shd w:val="clear" w:color="auto" w:fill="DEEAF6" w:themeFill="accent1" w:themeFillTint="33"/>
            <w:noWrap/>
            <w:vAlign w:val="center"/>
          </w:tcPr>
          <w:p w14:paraId="4173043E" w14:textId="474FEEA7" w:rsidR="00E16932" w:rsidRPr="00BE56E3" w:rsidRDefault="00E16932" w:rsidP="00E16932">
            <w:pPr>
              <w:spacing w:before="0" w:after="0"/>
              <w:ind w:left="0" w:firstLine="0"/>
              <w:jc w:val="center"/>
              <w:rPr>
                <w:b/>
                <w:bCs/>
                <w:color w:val="000000" w:themeColor="text1"/>
                <w:sz w:val="18"/>
                <w:szCs w:val="18"/>
              </w:rPr>
            </w:pPr>
            <w:r>
              <w:rPr>
                <w:b/>
                <w:bCs/>
                <w:color w:val="000000" w:themeColor="text1"/>
                <w:sz w:val="18"/>
                <w:szCs w:val="18"/>
              </w:rPr>
              <w:t>24,5</w:t>
            </w:r>
          </w:p>
        </w:tc>
        <w:tc>
          <w:tcPr>
            <w:tcW w:w="1100" w:type="dxa"/>
            <w:shd w:val="clear" w:color="auto" w:fill="DEEAF6" w:themeFill="accent1" w:themeFillTint="33"/>
            <w:noWrap/>
            <w:vAlign w:val="center"/>
          </w:tcPr>
          <w:p w14:paraId="74768B19" w14:textId="77777777" w:rsidR="00E16932" w:rsidRPr="00BE56E3" w:rsidRDefault="00E16932" w:rsidP="00E16932">
            <w:pPr>
              <w:spacing w:before="0" w:after="0"/>
              <w:ind w:firstLine="0"/>
              <w:jc w:val="center"/>
              <w:rPr>
                <w:b/>
                <w:bCs/>
                <w:color w:val="000000" w:themeColor="text1"/>
                <w:sz w:val="18"/>
                <w:szCs w:val="18"/>
              </w:rPr>
            </w:pPr>
          </w:p>
        </w:tc>
        <w:tc>
          <w:tcPr>
            <w:tcW w:w="689" w:type="dxa"/>
            <w:shd w:val="clear" w:color="auto" w:fill="DEEAF6" w:themeFill="accent1" w:themeFillTint="33"/>
            <w:noWrap/>
            <w:vAlign w:val="center"/>
          </w:tcPr>
          <w:p w14:paraId="02C3305A" w14:textId="77777777" w:rsidR="00E16932" w:rsidRPr="00BE56E3" w:rsidRDefault="00E16932" w:rsidP="00E16932">
            <w:pPr>
              <w:spacing w:before="0" w:after="0"/>
              <w:ind w:firstLine="0"/>
              <w:jc w:val="center"/>
              <w:rPr>
                <w:b/>
                <w:bCs/>
                <w:color w:val="000000" w:themeColor="text1"/>
                <w:sz w:val="18"/>
                <w:szCs w:val="18"/>
              </w:rPr>
            </w:pPr>
          </w:p>
        </w:tc>
      </w:tr>
      <w:tr w:rsidR="00E16932" w:rsidRPr="00AB3B68" w14:paraId="0FB7177B" w14:textId="77777777" w:rsidTr="00E16932">
        <w:trPr>
          <w:trHeight w:val="58"/>
        </w:trPr>
        <w:tc>
          <w:tcPr>
            <w:tcW w:w="9302" w:type="dxa"/>
            <w:gridSpan w:val="6"/>
            <w:shd w:val="clear" w:color="auto" w:fill="auto"/>
          </w:tcPr>
          <w:p w14:paraId="18304AED" w14:textId="77777777" w:rsidR="00E16932" w:rsidRPr="00AB3B68" w:rsidRDefault="00E16932" w:rsidP="00E16932">
            <w:pPr>
              <w:spacing w:before="0" w:after="0"/>
              <w:ind w:firstLine="0"/>
              <w:jc w:val="center"/>
              <w:rPr>
                <w:b/>
                <w:bCs/>
                <w:color w:val="000000" w:themeColor="text1"/>
                <w:sz w:val="6"/>
                <w:szCs w:val="6"/>
              </w:rPr>
            </w:pPr>
          </w:p>
        </w:tc>
      </w:tr>
      <w:tr w:rsidR="00E16932" w:rsidRPr="00BE56E3" w14:paraId="7618874E" w14:textId="77777777" w:rsidTr="00E16932">
        <w:trPr>
          <w:trHeight w:val="231"/>
        </w:trPr>
        <w:tc>
          <w:tcPr>
            <w:tcW w:w="5103" w:type="dxa"/>
            <w:shd w:val="clear" w:color="auto" w:fill="D9D9D9" w:themeFill="background1" w:themeFillShade="D9"/>
            <w:hideMark/>
          </w:tcPr>
          <w:p w14:paraId="11C4401A" w14:textId="1017FB89" w:rsidR="00E16932" w:rsidRPr="00BE56E3" w:rsidRDefault="00E16932" w:rsidP="00E16932">
            <w:pPr>
              <w:spacing w:before="0" w:after="0"/>
              <w:ind w:left="0" w:firstLine="0"/>
              <w:jc w:val="left"/>
              <w:rPr>
                <w:b/>
                <w:bCs/>
                <w:color w:val="000000"/>
                <w:sz w:val="18"/>
                <w:szCs w:val="18"/>
              </w:rPr>
            </w:pPr>
            <w:r w:rsidRPr="00BE56E3">
              <w:rPr>
                <w:b/>
                <w:bCs/>
                <w:color w:val="000000"/>
                <w:sz w:val="18"/>
                <w:szCs w:val="18"/>
              </w:rPr>
              <w:t>2021./2022.</w:t>
            </w:r>
            <w:r>
              <w:rPr>
                <w:b/>
                <w:bCs/>
                <w:color w:val="000000"/>
                <w:sz w:val="18"/>
                <w:szCs w:val="18"/>
              </w:rPr>
              <w:t xml:space="preserve"> </w:t>
            </w:r>
            <w:r w:rsidRPr="00BE56E3">
              <w:rPr>
                <w:b/>
                <w:bCs/>
                <w:color w:val="000000"/>
                <w:sz w:val="18"/>
                <w:szCs w:val="18"/>
              </w:rPr>
              <w:t>apkures sezona</w:t>
            </w:r>
          </w:p>
        </w:tc>
        <w:tc>
          <w:tcPr>
            <w:tcW w:w="851" w:type="dxa"/>
            <w:shd w:val="clear" w:color="auto" w:fill="D9D9D9" w:themeFill="background1" w:themeFillShade="D9"/>
            <w:vAlign w:val="center"/>
            <w:hideMark/>
          </w:tcPr>
          <w:p w14:paraId="30DBD5C6"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1,9</w:t>
            </w:r>
          </w:p>
        </w:tc>
        <w:tc>
          <w:tcPr>
            <w:tcW w:w="709" w:type="dxa"/>
            <w:shd w:val="clear" w:color="auto" w:fill="D9D9D9" w:themeFill="background1" w:themeFillShade="D9"/>
            <w:vAlign w:val="center"/>
          </w:tcPr>
          <w:p w14:paraId="7CA4ECD6" w14:textId="3993D875" w:rsidR="00E16932" w:rsidRPr="00BE56E3" w:rsidRDefault="00E16932" w:rsidP="00E16932">
            <w:pPr>
              <w:spacing w:before="0" w:after="0"/>
              <w:ind w:left="30" w:firstLine="0"/>
              <w:jc w:val="center"/>
              <w:rPr>
                <w:b/>
                <w:bCs/>
                <w:color w:val="FF0000"/>
                <w:sz w:val="18"/>
                <w:szCs w:val="18"/>
              </w:rPr>
            </w:pPr>
            <w:r>
              <w:rPr>
                <w:b/>
                <w:bCs/>
                <w:color w:val="000000" w:themeColor="text1"/>
                <w:sz w:val="18"/>
                <w:szCs w:val="18"/>
              </w:rPr>
              <w:t>372,4</w:t>
            </w:r>
          </w:p>
        </w:tc>
        <w:tc>
          <w:tcPr>
            <w:tcW w:w="850" w:type="dxa"/>
            <w:shd w:val="clear" w:color="auto" w:fill="D9D9D9" w:themeFill="background1" w:themeFillShade="D9"/>
            <w:vAlign w:val="center"/>
          </w:tcPr>
          <w:p w14:paraId="5E1EBAC3" w14:textId="06C67BC6" w:rsidR="00E16932" w:rsidRPr="00BE56E3" w:rsidRDefault="00E16932" w:rsidP="00E16932">
            <w:pPr>
              <w:spacing w:before="0" w:after="0"/>
              <w:ind w:left="0" w:firstLine="0"/>
              <w:jc w:val="center"/>
              <w:rPr>
                <w:b/>
                <w:bCs/>
                <w:color w:val="000000" w:themeColor="text1"/>
                <w:sz w:val="18"/>
                <w:szCs w:val="18"/>
              </w:rPr>
            </w:pPr>
            <w:r>
              <w:rPr>
                <w:b/>
                <w:bCs/>
                <w:color w:val="000000" w:themeColor="text1"/>
                <w:sz w:val="18"/>
                <w:szCs w:val="18"/>
              </w:rPr>
              <w:t>366,6</w:t>
            </w:r>
          </w:p>
        </w:tc>
        <w:tc>
          <w:tcPr>
            <w:tcW w:w="1100" w:type="dxa"/>
            <w:shd w:val="clear" w:color="auto" w:fill="D9D9D9" w:themeFill="background1" w:themeFillShade="D9"/>
            <w:vAlign w:val="center"/>
            <w:hideMark/>
          </w:tcPr>
          <w:p w14:paraId="5BEFAFC4"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328,1</w:t>
            </w:r>
          </w:p>
        </w:tc>
        <w:tc>
          <w:tcPr>
            <w:tcW w:w="689" w:type="dxa"/>
            <w:shd w:val="clear" w:color="auto" w:fill="D9D9D9" w:themeFill="background1" w:themeFillShade="D9"/>
            <w:vAlign w:val="center"/>
            <w:hideMark/>
          </w:tcPr>
          <w:p w14:paraId="1536E5BF" w14:textId="77777777" w:rsidR="00E16932" w:rsidRPr="00BE56E3" w:rsidRDefault="00E16932" w:rsidP="00E16932">
            <w:pPr>
              <w:spacing w:before="0" w:after="0"/>
              <w:ind w:left="0" w:firstLine="0"/>
              <w:jc w:val="center"/>
              <w:rPr>
                <w:color w:val="FF0000"/>
                <w:sz w:val="18"/>
                <w:szCs w:val="18"/>
              </w:rPr>
            </w:pPr>
            <w:r w:rsidRPr="00BE56E3">
              <w:rPr>
                <w:color w:val="FF0000"/>
                <w:sz w:val="18"/>
                <w:szCs w:val="18"/>
              </w:rPr>
              <w:t> </w:t>
            </w:r>
          </w:p>
        </w:tc>
      </w:tr>
      <w:tr w:rsidR="00E16932" w:rsidRPr="00BE56E3" w14:paraId="593BADE3" w14:textId="77777777" w:rsidTr="00E16932">
        <w:trPr>
          <w:trHeight w:val="415"/>
        </w:trPr>
        <w:tc>
          <w:tcPr>
            <w:tcW w:w="5103" w:type="dxa"/>
            <w:hideMark/>
          </w:tcPr>
          <w:p w14:paraId="260BC103" w14:textId="77777777" w:rsidR="00E16932" w:rsidRPr="00BE56E3" w:rsidRDefault="00E16932" w:rsidP="00E16932">
            <w:pPr>
              <w:spacing w:before="0" w:after="0"/>
              <w:ind w:left="0" w:firstLine="0"/>
              <w:jc w:val="left"/>
              <w:rPr>
                <w:color w:val="000000"/>
                <w:sz w:val="18"/>
                <w:szCs w:val="18"/>
              </w:rPr>
            </w:pPr>
            <w:r w:rsidRPr="00BE56E3">
              <w:rPr>
                <w:b/>
                <w:bCs/>
                <w:color w:val="000000"/>
                <w:sz w:val="18"/>
                <w:szCs w:val="18"/>
              </w:rPr>
              <w:t>Kompensējošie pasākumi cenu pieauguma samazināšanai,</w:t>
            </w:r>
            <w:r w:rsidRPr="00BE56E3">
              <w:rPr>
                <w:color w:val="000000"/>
                <w:sz w:val="18"/>
                <w:szCs w:val="18"/>
              </w:rPr>
              <w:br/>
              <w:t>tai skaitā:</w:t>
            </w:r>
          </w:p>
        </w:tc>
        <w:tc>
          <w:tcPr>
            <w:tcW w:w="851" w:type="dxa"/>
            <w:vAlign w:val="center"/>
            <w:hideMark/>
          </w:tcPr>
          <w:p w14:paraId="2BF8455E"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1,9</w:t>
            </w:r>
          </w:p>
        </w:tc>
        <w:tc>
          <w:tcPr>
            <w:tcW w:w="709" w:type="dxa"/>
            <w:vAlign w:val="center"/>
          </w:tcPr>
          <w:p w14:paraId="6E89E03E" w14:textId="77777777" w:rsidR="00E16932" w:rsidRPr="00BE56E3" w:rsidRDefault="00E16932" w:rsidP="00E16932">
            <w:pPr>
              <w:spacing w:before="0" w:after="0"/>
              <w:ind w:left="30" w:firstLine="0"/>
              <w:jc w:val="center"/>
              <w:rPr>
                <w:b/>
                <w:bCs/>
                <w:color w:val="FF0000"/>
                <w:sz w:val="18"/>
                <w:szCs w:val="18"/>
              </w:rPr>
            </w:pPr>
            <w:r w:rsidRPr="00BE56E3">
              <w:rPr>
                <w:b/>
                <w:bCs/>
                <w:color w:val="000000" w:themeColor="text1"/>
                <w:sz w:val="18"/>
                <w:szCs w:val="18"/>
              </w:rPr>
              <w:t>232,9</w:t>
            </w:r>
          </w:p>
        </w:tc>
        <w:tc>
          <w:tcPr>
            <w:tcW w:w="850" w:type="dxa"/>
            <w:vAlign w:val="center"/>
          </w:tcPr>
          <w:p w14:paraId="3A6C9419"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227,7</w:t>
            </w:r>
          </w:p>
        </w:tc>
        <w:tc>
          <w:tcPr>
            <w:tcW w:w="1100" w:type="dxa"/>
            <w:vAlign w:val="center"/>
            <w:hideMark/>
          </w:tcPr>
          <w:p w14:paraId="727A5A5F"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199,1</w:t>
            </w:r>
          </w:p>
        </w:tc>
        <w:tc>
          <w:tcPr>
            <w:tcW w:w="689" w:type="dxa"/>
            <w:vAlign w:val="center"/>
            <w:hideMark/>
          </w:tcPr>
          <w:p w14:paraId="5AE9DFCD"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r>
      <w:tr w:rsidR="00E16932" w:rsidRPr="00BE56E3" w14:paraId="32FCABBF" w14:textId="77777777" w:rsidTr="00E16932">
        <w:trPr>
          <w:trHeight w:val="617"/>
        </w:trPr>
        <w:tc>
          <w:tcPr>
            <w:tcW w:w="5103" w:type="dxa"/>
            <w:hideMark/>
          </w:tcPr>
          <w:p w14:paraId="618AC550"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Elektroenerģijas sistēmas pakalpojuma maksas kompensācija pilnā apmērā visiem galalietotājiem no 2021.gada 1.decembra līdz 2022.gada 30.aprīlim</w:t>
            </w:r>
          </w:p>
        </w:tc>
        <w:tc>
          <w:tcPr>
            <w:tcW w:w="851" w:type="dxa"/>
            <w:noWrap/>
            <w:vAlign w:val="center"/>
            <w:hideMark/>
          </w:tcPr>
          <w:p w14:paraId="23C084D3"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 </w:t>
            </w:r>
          </w:p>
        </w:tc>
        <w:tc>
          <w:tcPr>
            <w:tcW w:w="709" w:type="dxa"/>
            <w:vAlign w:val="center"/>
          </w:tcPr>
          <w:p w14:paraId="2BB468AC"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141,4</w:t>
            </w:r>
          </w:p>
        </w:tc>
        <w:tc>
          <w:tcPr>
            <w:tcW w:w="850" w:type="dxa"/>
            <w:noWrap/>
            <w:vAlign w:val="center"/>
          </w:tcPr>
          <w:p w14:paraId="4320560B"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134,8</w:t>
            </w:r>
          </w:p>
        </w:tc>
        <w:tc>
          <w:tcPr>
            <w:tcW w:w="1100" w:type="dxa"/>
            <w:noWrap/>
            <w:vAlign w:val="center"/>
            <w:hideMark/>
          </w:tcPr>
          <w:p w14:paraId="4A91A961"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134,8</w:t>
            </w:r>
          </w:p>
        </w:tc>
        <w:tc>
          <w:tcPr>
            <w:tcW w:w="689" w:type="dxa"/>
            <w:noWrap/>
            <w:vAlign w:val="center"/>
            <w:hideMark/>
          </w:tcPr>
          <w:p w14:paraId="511BCFB8"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r>
      <w:tr w:rsidR="00E16932" w:rsidRPr="00BE56E3" w14:paraId="114C0862" w14:textId="77777777" w:rsidTr="00E16932">
        <w:trPr>
          <w:trHeight w:val="497"/>
        </w:trPr>
        <w:tc>
          <w:tcPr>
            <w:tcW w:w="5103" w:type="dxa"/>
            <w:hideMark/>
          </w:tcPr>
          <w:p w14:paraId="2255996D"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Dabasgāzes tirdzniecības pakalpojuma maksas kompensācija no 2022.gada 1.janvāra līdz 2022.gada 30.aprīlim</w:t>
            </w:r>
          </w:p>
        </w:tc>
        <w:tc>
          <w:tcPr>
            <w:tcW w:w="851" w:type="dxa"/>
            <w:noWrap/>
            <w:vAlign w:val="center"/>
            <w:hideMark/>
          </w:tcPr>
          <w:p w14:paraId="48EBB8AC"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 </w:t>
            </w:r>
          </w:p>
        </w:tc>
        <w:tc>
          <w:tcPr>
            <w:tcW w:w="709" w:type="dxa"/>
            <w:vAlign w:val="center"/>
          </w:tcPr>
          <w:p w14:paraId="161882AB"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27,4</w:t>
            </w:r>
          </w:p>
        </w:tc>
        <w:tc>
          <w:tcPr>
            <w:tcW w:w="850" w:type="dxa"/>
            <w:noWrap/>
            <w:vAlign w:val="center"/>
          </w:tcPr>
          <w:p w14:paraId="455987FA"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26,5</w:t>
            </w:r>
          </w:p>
        </w:tc>
        <w:tc>
          <w:tcPr>
            <w:tcW w:w="1100" w:type="dxa"/>
            <w:noWrap/>
            <w:vAlign w:val="center"/>
            <w:hideMark/>
          </w:tcPr>
          <w:p w14:paraId="16C261F5"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26,5</w:t>
            </w:r>
          </w:p>
        </w:tc>
        <w:tc>
          <w:tcPr>
            <w:tcW w:w="689" w:type="dxa"/>
            <w:noWrap/>
            <w:vAlign w:val="center"/>
            <w:hideMark/>
          </w:tcPr>
          <w:p w14:paraId="3A34A934"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r>
      <w:tr w:rsidR="00E16932" w:rsidRPr="00BE56E3" w14:paraId="45938621" w14:textId="77777777" w:rsidTr="00E16932">
        <w:trPr>
          <w:trHeight w:val="497"/>
        </w:trPr>
        <w:tc>
          <w:tcPr>
            <w:tcW w:w="5103" w:type="dxa"/>
            <w:hideMark/>
          </w:tcPr>
          <w:p w14:paraId="2CEA5EEF" w14:textId="77777777" w:rsidR="00E16932" w:rsidRPr="00BE56E3" w:rsidRDefault="00E16932" w:rsidP="00E16932">
            <w:pPr>
              <w:spacing w:before="0" w:after="0"/>
              <w:ind w:left="0" w:firstLine="0"/>
              <w:jc w:val="left"/>
              <w:rPr>
                <w:color w:val="000000" w:themeColor="text1"/>
                <w:sz w:val="18"/>
                <w:szCs w:val="18"/>
              </w:rPr>
            </w:pPr>
            <w:r w:rsidRPr="00BE56E3">
              <w:rPr>
                <w:color w:val="000000" w:themeColor="text1"/>
                <w:sz w:val="18"/>
                <w:szCs w:val="18"/>
              </w:rPr>
              <w:t>Obligātā iepirkuma komponentes maksas  kompensācija par periodu no 2022.gada 1.janvāra līdz 2022.gada 30.aprīlim</w:t>
            </w:r>
          </w:p>
        </w:tc>
        <w:tc>
          <w:tcPr>
            <w:tcW w:w="851" w:type="dxa"/>
            <w:noWrap/>
            <w:vAlign w:val="center"/>
            <w:hideMark/>
          </w:tcPr>
          <w:p w14:paraId="3648CDAB"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 </w:t>
            </w:r>
          </w:p>
        </w:tc>
        <w:tc>
          <w:tcPr>
            <w:tcW w:w="709" w:type="dxa"/>
            <w:vAlign w:val="center"/>
          </w:tcPr>
          <w:p w14:paraId="2206E09B"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21,2</w:t>
            </w:r>
          </w:p>
        </w:tc>
        <w:tc>
          <w:tcPr>
            <w:tcW w:w="850" w:type="dxa"/>
            <w:noWrap/>
            <w:vAlign w:val="center"/>
          </w:tcPr>
          <w:p w14:paraId="7CE358B8"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21,8</w:t>
            </w:r>
          </w:p>
        </w:tc>
        <w:tc>
          <w:tcPr>
            <w:tcW w:w="1100" w:type="dxa"/>
            <w:noWrap/>
            <w:vAlign w:val="center"/>
            <w:hideMark/>
          </w:tcPr>
          <w:p w14:paraId="38CF96D0"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21,8</w:t>
            </w:r>
          </w:p>
        </w:tc>
        <w:tc>
          <w:tcPr>
            <w:tcW w:w="689" w:type="dxa"/>
            <w:noWrap/>
            <w:vAlign w:val="center"/>
            <w:hideMark/>
          </w:tcPr>
          <w:p w14:paraId="0ED968BB"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 </w:t>
            </w:r>
          </w:p>
        </w:tc>
      </w:tr>
      <w:tr w:rsidR="00E16932" w:rsidRPr="00BE56E3" w14:paraId="1254C02E" w14:textId="77777777" w:rsidTr="00E16932">
        <w:trPr>
          <w:trHeight w:val="220"/>
        </w:trPr>
        <w:tc>
          <w:tcPr>
            <w:tcW w:w="5103" w:type="dxa"/>
            <w:hideMark/>
          </w:tcPr>
          <w:p w14:paraId="478D82AB" w14:textId="15E3D964" w:rsidR="00E16932" w:rsidRPr="00BE56E3" w:rsidRDefault="00E16932" w:rsidP="00E16932">
            <w:pPr>
              <w:spacing w:before="0" w:after="0"/>
              <w:ind w:left="0" w:firstLine="0"/>
              <w:jc w:val="left"/>
              <w:rPr>
                <w:color w:val="000000"/>
                <w:sz w:val="18"/>
                <w:szCs w:val="18"/>
              </w:rPr>
            </w:pPr>
            <w:r w:rsidRPr="00BE56E3">
              <w:rPr>
                <w:b/>
                <w:bCs/>
                <w:color w:val="000000"/>
                <w:sz w:val="18"/>
                <w:szCs w:val="18"/>
              </w:rPr>
              <w:t>Sociālie pabalsti,</w:t>
            </w:r>
            <w:r>
              <w:rPr>
                <w:b/>
                <w:bCs/>
                <w:color w:val="000000"/>
                <w:sz w:val="18"/>
                <w:szCs w:val="18"/>
              </w:rPr>
              <w:t xml:space="preserve"> </w:t>
            </w:r>
            <w:r w:rsidRPr="00BE56E3">
              <w:rPr>
                <w:color w:val="000000"/>
                <w:sz w:val="18"/>
                <w:szCs w:val="18"/>
              </w:rPr>
              <w:t>tai skaitā:</w:t>
            </w:r>
          </w:p>
        </w:tc>
        <w:tc>
          <w:tcPr>
            <w:tcW w:w="851" w:type="dxa"/>
            <w:noWrap/>
            <w:vAlign w:val="center"/>
            <w:hideMark/>
          </w:tcPr>
          <w:p w14:paraId="1ADABC6E" w14:textId="77777777" w:rsidR="00E16932" w:rsidRPr="00BE56E3" w:rsidRDefault="00E16932" w:rsidP="00E16932">
            <w:pPr>
              <w:spacing w:before="0" w:after="0"/>
              <w:ind w:left="0" w:firstLine="0"/>
              <w:jc w:val="center"/>
              <w:rPr>
                <w:color w:val="000000"/>
                <w:sz w:val="18"/>
                <w:szCs w:val="18"/>
              </w:rPr>
            </w:pPr>
            <w:r w:rsidRPr="00BE56E3">
              <w:rPr>
                <w:b/>
                <w:bCs/>
                <w:color w:val="000000"/>
                <w:sz w:val="18"/>
                <w:szCs w:val="18"/>
              </w:rPr>
              <w:t> </w:t>
            </w:r>
          </w:p>
        </w:tc>
        <w:tc>
          <w:tcPr>
            <w:tcW w:w="709" w:type="dxa"/>
            <w:vAlign w:val="center"/>
          </w:tcPr>
          <w:p w14:paraId="547B876D" w14:textId="33606511" w:rsidR="00E16932" w:rsidRPr="00BE56E3" w:rsidRDefault="00E16932" w:rsidP="00E16932">
            <w:pPr>
              <w:spacing w:before="0" w:after="0"/>
              <w:ind w:left="30" w:firstLine="0"/>
              <w:jc w:val="center"/>
              <w:rPr>
                <w:b/>
                <w:bCs/>
                <w:color w:val="000000" w:themeColor="text1"/>
                <w:sz w:val="18"/>
                <w:szCs w:val="18"/>
              </w:rPr>
            </w:pPr>
            <w:r>
              <w:rPr>
                <w:b/>
                <w:bCs/>
                <w:color w:val="000000" w:themeColor="text1"/>
                <w:sz w:val="18"/>
                <w:szCs w:val="18"/>
              </w:rPr>
              <w:t>139,4</w:t>
            </w:r>
          </w:p>
        </w:tc>
        <w:tc>
          <w:tcPr>
            <w:tcW w:w="850" w:type="dxa"/>
            <w:noWrap/>
            <w:vAlign w:val="center"/>
          </w:tcPr>
          <w:p w14:paraId="220734AB" w14:textId="4309689B" w:rsidR="00E16932" w:rsidRPr="00BE56E3" w:rsidRDefault="00E16932" w:rsidP="00E16932">
            <w:pPr>
              <w:spacing w:before="0" w:after="0"/>
              <w:ind w:left="0" w:firstLine="0"/>
              <w:jc w:val="center"/>
              <w:rPr>
                <w:b/>
                <w:bCs/>
                <w:color w:val="000000" w:themeColor="text1"/>
                <w:sz w:val="18"/>
                <w:szCs w:val="18"/>
              </w:rPr>
            </w:pPr>
            <w:r>
              <w:rPr>
                <w:b/>
                <w:bCs/>
                <w:color w:val="000000" w:themeColor="text1"/>
                <w:sz w:val="18"/>
                <w:szCs w:val="18"/>
              </w:rPr>
              <w:t>138,9</w:t>
            </w:r>
          </w:p>
        </w:tc>
        <w:tc>
          <w:tcPr>
            <w:tcW w:w="1100" w:type="dxa"/>
            <w:noWrap/>
            <w:vAlign w:val="center"/>
            <w:hideMark/>
          </w:tcPr>
          <w:p w14:paraId="097C5652"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129,0</w:t>
            </w:r>
          </w:p>
        </w:tc>
        <w:tc>
          <w:tcPr>
            <w:tcW w:w="689" w:type="dxa"/>
            <w:noWrap/>
            <w:vAlign w:val="center"/>
            <w:hideMark/>
          </w:tcPr>
          <w:p w14:paraId="0208453C"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r>
      <w:tr w:rsidR="00E16932" w:rsidRPr="00BE56E3" w14:paraId="554FDD82" w14:textId="77777777" w:rsidTr="00E16932">
        <w:trPr>
          <w:trHeight w:val="279"/>
        </w:trPr>
        <w:tc>
          <w:tcPr>
            <w:tcW w:w="5103" w:type="dxa"/>
            <w:hideMark/>
          </w:tcPr>
          <w:p w14:paraId="585D4CB9" w14:textId="77777777" w:rsidR="00E16932" w:rsidRPr="00BE56E3" w:rsidRDefault="00E16932" w:rsidP="00E16932">
            <w:pPr>
              <w:spacing w:before="0" w:after="0"/>
              <w:ind w:left="0" w:firstLine="0"/>
              <w:jc w:val="left"/>
              <w:rPr>
                <w:b/>
                <w:bCs/>
                <w:color w:val="000000"/>
                <w:sz w:val="18"/>
                <w:szCs w:val="18"/>
              </w:rPr>
            </w:pPr>
            <w:r w:rsidRPr="00BE56E3">
              <w:rPr>
                <w:color w:val="000000"/>
                <w:sz w:val="18"/>
                <w:szCs w:val="18"/>
              </w:rPr>
              <w:t>Valsts budžeta mērķdotācija pašvaldībām mājokļa pabalsta nodrošināšanai - 50 procentu apmērā no faktiskajiem izdevumiem mājokļa pabalstam, kas radušies laikposmā no 2022.gada 1.janvāra līdz 2022.gada 31.decembrim</w:t>
            </w:r>
          </w:p>
        </w:tc>
        <w:tc>
          <w:tcPr>
            <w:tcW w:w="851" w:type="dxa"/>
            <w:noWrap/>
            <w:vAlign w:val="center"/>
            <w:hideMark/>
          </w:tcPr>
          <w:p w14:paraId="0E5545E7" w14:textId="77777777" w:rsidR="00E16932" w:rsidRPr="00BE56E3" w:rsidRDefault="00E16932" w:rsidP="00E16932">
            <w:pPr>
              <w:spacing w:before="0" w:after="0"/>
              <w:ind w:left="0" w:firstLine="0"/>
              <w:jc w:val="center"/>
              <w:rPr>
                <w:b/>
                <w:bCs/>
                <w:color w:val="000000"/>
                <w:sz w:val="18"/>
                <w:szCs w:val="18"/>
              </w:rPr>
            </w:pPr>
          </w:p>
        </w:tc>
        <w:tc>
          <w:tcPr>
            <w:tcW w:w="709" w:type="dxa"/>
            <w:vAlign w:val="center"/>
          </w:tcPr>
          <w:p w14:paraId="78676995"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14,1</w:t>
            </w:r>
          </w:p>
        </w:tc>
        <w:tc>
          <w:tcPr>
            <w:tcW w:w="850" w:type="dxa"/>
            <w:noWrap/>
            <w:vAlign w:val="center"/>
          </w:tcPr>
          <w:p w14:paraId="324A81F3"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14,1</w:t>
            </w:r>
          </w:p>
        </w:tc>
        <w:tc>
          <w:tcPr>
            <w:tcW w:w="1100" w:type="dxa"/>
            <w:noWrap/>
            <w:vAlign w:val="center"/>
          </w:tcPr>
          <w:p w14:paraId="6F6814D3"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4,2</w:t>
            </w:r>
          </w:p>
        </w:tc>
        <w:tc>
          <w:tcPr>
            <w:tcW w:w="689" w:type="dxa"/>
            <w:noWrap/>
            <w:vAlign w:val="center"/>
            <w:hideMark/>
          </w:tcPr>
          <w:p w14:paraId="06F3E2C9"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r>
      <w:tr w:rsidR="00E16932" w:rsidRPr="00BE56E3" w14:paraId="7C5E6370" w14:textId="77777777" w:rsidTr="00E16932">
        <w:trPr>
          <w:trHeight w:val="627"/>
        </w:trPr>
        <w:tc>
          <w:tcPr>
            <w:tcW w:w="5103" w:type="dxa"/>
            <w:hideMark/>
          </w:tcPr>
          <w:p w14:paraId="73F1AFAC" w14:textId="77777777" w:rsidR="00E16932" w:rsidRPr="00BE56E3" w:rsidRDefault="00E16932" w:rsidP="00E16932">
            <w:pPr>
              <w:spacing w:before="0" w:after="0"/>
              <w:ind w:left="0" w:firstLine="0"/>
              <w:jc w:val="left"/>
              <w:rPr>
                <w:color w:val="000000"/>
                <w:sz w:val="18"/>
                <w:szCs w:val="18"/>
              </w:rPr>
            </w:pPr>
            <w:r w:rsidRPr="00BE56E3">
              <w:rPr>
                <w:noProof/>
                <w:color w:val="000000"/>
                <w:sz w:val="18"/>
                <w:szCs w:val="18"/>
              </w:rPr>
              <w:t xml:space="preserve">Atbalsta izmaksa 20 </w:t>
            </w:r>
            <w:r w:rsidRPr="00BE56E3">
              <w:rPr>
                <w:i/>
                <w:iCs/>
                <w:noProof/>
                <w:color w:val="000000"/>
                <w:sz w:val="18"/>
                <w:szCs w:val="18"/>
              </w:rPr>
              <w:t>euro</w:t>
            </w:r>
            <w:r w:rsidRPr="00BE56E3">
              <w:rPr>
                <w:noProof/>
                <w:color w:val="000000"/>
                <w:sz w:val="18"/>
                <w:szCs w:val="18"/>
              </w:rPr>
              <w:t xml:space="preserve"> mēnesī senioriem un personām ar invaliditāti laikposmā no 2022.gada 1.janvāra līdz 2022.gada 30.aprīlim</w:t>
            </w:r>
          </w:p>
        </w:tc>
        <w:tc>
          <w:tcPr>
            <w:tcW w:w="851" w:type="dxa"/>
            <w:noWrap/>
            <w:vAlign w:val="center"/>
            <w:hideMark/>
          </w:tcPr>
          <w:p w14:paraId="19ED4575"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c>
          <w:tcPr>
            <w:tcW w:w="709" w:type="dxa"/>
            <w:vAlign w:val="center"/>
          </w:tcPr>
          <w:p w14:paraId="3E8E699A"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44,3</w:t>
            </w:r>
          </w:p>
        </w:tc>
        <w:tc>
          <w:tcPr>
            <w:tcW w:w="850" w:type="dxa"/>
            <w:noWrap/>
            <w:vAlign w:val="center"/>
          </w:tcPr>
          <w:p w14:paraId="78761973"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43,8</w:t>
            </w:r>
          </w:p>
        </w:tc>
        <w:tc>
          <w:tcPr>
            <w:tcW w:w="1100" w:type="dxa"/>
            <w:noWrap/>
            <w:vAlign w:val="center"/>
            <w:hideMark/>
          </w:tcPr>
          <w:p w14:paraId="65BB4F2E"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43,8</w:t>
            </w:r>
          </w:p>
        </w:tc>
        <w:tc>
          <w:tcPr>
            <w:tcW w:w="689" w:type="dxa"/>
            <w:noWrap/>
            <w:vAlign w:val="center"/>
            <w:hideMark/>
          </w:tcPr>
          <w:p w14:paraId="5DD98208"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r>
      <w:tr w:rsidR="00E16932" w:rsidRPr="00BE56E3" w14:paraId="30DAE488" w14:textId="77777777" w:rsidTr="00E16932">
        <w:trPr>
          <w:trHeight w:val="433"/>
        </w:trPr>
        <w:tc>
          <w:tcPr>
            <w:tcW w:w="5103" w:type="dxa"/>
            <w:hideMark/>
          </w:tcPr>
          <w:p w14:paraId="4C19CD87" w14:textId="77777777" w:rsidR="00E16932" w:rsidRPr="00BE56E3" w:rsidRDefault="00E16932" w:rsidP="00E16932">
            <w:pPr>
              <w:spacing w:before="0" w:after="0"/>
              <w:ind w:left="0" w:firstLine="0"/>
              <w:jc w:val="left"/>
              <w:rPr>
                <w:noProof/>
                <w:color w:val="000000"/>
                <w:sz w:val="18"/>
                <w:szCs w:val="18"/>
              </w:rPr>
            </w:pPr>
            <w:r w:rsidRPr="00BE56E3">
              <w:rPr>
                <w:noProof/>
                <w:color w:val="000000"/>
                <w:sz w:val="18"/>
                <w:szCs w:val="18"/>
              </w:rPr>
              <w:t xml:space="preserve">Atbalsta izmaksa 50 </w:t>
            </w:r>
            <w:r w:rsidRPr="00BE56E3">
              <w:rPr>
                <w:i/>
                <w:iCs/>
                <w:noProof/>
                <w:color w:val="000000"/>
                <w:sz w:val="18"/>
                <w:szCs w:val="18"/>
              </w:rPr>
              <w:t>euro</w:t>
            </w:r>
            <w:r w:rsidRPr="00BE56E3">
              <w:rPr>
                <w:noProof/>
                <w:color w:val="000000"/>
                <w:sz w:val="18"/>
                <w:szCs w:val="18"/>
              </w:rPr>
              <w:t xml:space="preserve"> mēnesī ģimenēm ar bērniem laikposmā no 2022.gada 1.janvāra līdz 2022.gada 30.aprīlim</w:t>
            </w:r>
          </w:p>
        </w:tc>
        <w:tc>
          <w:tcPr>
            <w:tcW w:w="851" w:type="dxa"/>
            <w:noWrap/>
            <w:vAlign w:val="center"/>
            <w:hideMark/>
          </w:tcPr>
          <w:p w14:paraId="14EE880A"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c>
          <w:tcPr>
            <w:tcW w:w="709" w:type="dxa"/>
            <w:vAlign w:val="center"/>
          </w:tcPr>
          <w:p w14:paraId="1DE5B2DD"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81,1</w:t>
            </w:r>
          </w:p>
        </w:tc>
        <w:tc>
          <w:tcPr>
            <w:tcW w:w="850" w:type="dxa"/>
            <w:noWrap/>
            <w:vAlign w:val="center"/>
          </w:tcPr>
          <w:p w14:paraId="100B89DA"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81,0</w:t>
            </w:r>
          </w:p>
        </w:tc>
        <w:tc>
          <w:tcPr>
            <w:tcW w:w="1100" w:type="dxa"/>
            <w:noWrap/>
            <w:vAlign w:val="center"/>
            <w:hideMark/>
          </w:tcPr>
          <w:p w14:paraId="25B42133"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81,0</w:t>
            </w:r>
          </w:p>
        </w:tc>
        <w:tc>
          <w:tcPr>
            <w:tcW w:w="689" w:type="dxa"/>
            <w:noWrap/>
            <w:vAlign w:val="center"/>
            <w:hideMark/>
          </w:tcPr>
          <w:p w14:paraId="0A6A736D"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r>
      <w:tr w:rsidR="00E16932" w:rsidRPr="00BE56E3" w14:paraId="059CD42E" w14:textId="77777777" w:rsidTr="00E16932">
        <w:trPr>
          <w:trHeight w:val="198"/>
        </w:trPr>
        <w:tc>
          <w:tcPr>
            <w:tcW w:w="5103" w:type="dxa"/>
            <w:shd w:val="clear" w:color="auto" w:fill="D9D9D9" w:themeFill="background1" w:themeFillShade="D9"/>
            <w:hideMark/>
          </w:tcPr>
          <w:p w14:paraId="587DF744" w14:textId="16E5FC97" w:rsidR="00E16932" w:rsidRPr="00BE56E3" w:rsidRDefault="00E16932" w:rsidP="00E16932">
            <w:pPr>
              <w:spacing w:before="0" w:after="0"/>
              <w:ind w:left="0" w:firstLine="0"/>
              <w:jc w:val="left"/>
              <w:rPr>
                <w:noProof/>
                <w:color w:val="000000"/>
                <w:sz w:val="18"/>
                <w:szCs w:val="18"/>
              </w:rPr>
            </w:pPr>
            <w:r w:rsidRPr="00BE56E3">
              <w:rPr>
                <w:b/>
                <w:bCs/>
                <w:color w:val="000000"/>
                <w:sz w:val="18"/>
                <w:szCs w:val="18"/>
              </w:rPr>
              <w:t>2022./2023.</w:t>
            </w:r>
            <w:r>
              <w:rPr>
                <w:b/>
                <w:bCs/>
                <w:color w:val="000000"/>
                <w:sz w:val="18"/>
                <w:szCs w:val="18"/>
              </w:rPr>
              <w:t xml:space="preserve"> </w:t>
            </w:r>
            <w:r w:rsidRPr="00BE56E3">
              <w:rPr>
                <w:b/>
                <w:bCs/>
                <w:color w:val="000000"/>
                <w:sz w:val="18"/>
                <w:szCs w:val="18"/>
              </w:rPr>
              <w:t>gada apkures sezona</w:t>
            </w:r>
          </w:p>
        </w:tc>
        <w:tc>
          <w:tcPr>
            <w:tcW w:w="851" w:type="dxa"/>
            <w:shd w:val="clear" w:color="auto" w:fill="D9D9D9" w:themeFill="background1" w:themeFillShade="D9"/>
            <w:noWrap/>
            <w:vAlign w:val="center"/>
            <w:hideMark/>
          </w:tcPr>
          <w:p w14:paraId="7383DEF1" w14:textId="77777777" w:rsidR="00E16932" w:rsidRPr="00BE56E3" w:rsidRDefault="00E16932" w:rsidP="00E16932">
            <w:pPr>
              <w:spacing w:before="0" w:after="0"/>
              <w:ind w:left="0" w:firstLine="0"/>
              <w:jc w:val="center"/>
              <w:rPr>
                <w:color w:val="000000"/>
                <w:sz w:val="18"/>
                <w:szCs w:val="18"/>
              </w:rPr>
            </w:pPr>
            <w:r w:rsidRPr="00BE56E3">
              <w:rPr>
                <w:b/>
                <w:bCs/>
                <w:color w:val="000000"/>
                <w:sz w:val="18"/>
                <w:szCs w:val="18"/>
              </w:rPr>
              <w:t> </w:t>
            </w:r>
          </w:p>
        </w:tc>
        <w:tc>
          <w:tcPr>
            <w:tcW w:w="709" w:type="dxa"/>
            <w:shd w:val="clear" w:color="auto" w:fill="D9D9D9" w:themeFill="background1" w:themeFillShade="D9"/>
            <w:vAlign w:val="center"/>
          </w:tcPr>
          <w:p w14:paraId="250CAB54" w14:textId="7077B80A" w:rsidR="00E16932" w:rsidRPr="00BE56E3" w:rsidRDefault="00E16932" w:rsidP="00E16932">
            <w:pPr>
              <w:spacing w:before="0" w:after="0"/>
              <w:ind w:left="30" w:firstLine="0"/>
              <w:jc w:val="center"/>
              <w:rPr>
                <w:b/>
                <w:bCs/>
                <w:color w:val="000000" w:themeColor="text1"/>
                <w:sz w:val="18"/>
                <w:szCs w:val="18"/>
              </w:rPr>
            </w:pPr>
            <w:r>
              <w:rPr>
                <w:b/>
                <w:bCs/>
                <w:color w:val="000000" w:themeColor="text1"/>
                <w:sz w:val="18"/>
                <w:szCs w:val="18"/>
              </w:rPr>
              <w:t>413,7</w:t>
            </w:r>
          </w:p>
        </w:tc>
        <w:tc>
          <w:tcPr>
            <w:tcW w:w="850" w:type="dxa"/>
            <w:shd w:val="clear" w:color="auto" w:fill="D9D9D9" w:themeFill="background1" w:themeFillShade="D9"/>
            <w:noWrap/>
            <w:vAlign w:val="center"/>
          </w:tcPr>
          <w:p w14:paraId="72157F04" w14:textId="08FA5CFB" w:rsidR="00E16932" w:rsidRPr="00BE56E3" w:rsidRDefault="00E16932" w:rsidP="00E16932">
            <w:pPr>
              <w:spacing w:before="0" w:after="0"/>
              <w:ind w:left="0" w:firstLine="0"/>
              <w:jc w:val="center"/>
              <w:rPr>
                <w:b/>
                <w:bCs/>
                <w:color w:val="000000" w:themeColor="text1"/>
                <w:sz w:val="18"/>
                <w:szCs w:val="18"/>
              </w:rPr>
            </w:pPr>
            <w:r>
              <w:rPr>
                <w:b/>
                <w:bCs/>
                <w:color w:val="000000" w:themeColor="text1"/>
                <w:sz w:val="18"/>
                <w:szCs w:val="18"/>
              </w:rPr>
              <w:t>267,6</w:t>
            </w:r>
          </w:p>
        </w:tc>
        <w:tc>
          <w:tcPr>
            <w:tcW w:w="1100" w:type="dxa"/>
            <w:shd w:val="clear" w:color="auto" w:fill="D9D9D9" w:themeFill="background1" w:themeFillShade="D9"/>
            <w:noWrap/>
            <w:vAlign w:val="center"/>
            <w:hideMark/>
          </w:tcPr>
          <w:p w14:paraId="3DB6C3ED" w14:textId="341CF70E" w:rsidR="00E16932" w:rsidRPr="00BE56E3" w:rsidRDefault="00E16932" w:rsidP="00E16932">
            <w:pPr>
              <w:spacing w:before="0" w:after="0"/>
              <w:ind w:left="0" w:firstLine="0"/>
              <w:jc w:val="center"/>
              <w:rPr>
                <w:b/>
                <w:bCs/>
                <w:color w:val="000000" w:themeColor="text1"/>
                <w:sz w:val="18"/>
                <w:szCs w:val="18"/>
              </w:rPr>
            </w:pPr>
            <w:r>
              <w:rPr>
                <w:b/>
                <w:bCs/>
                <w:color w:val="000000" w:themeColor="text1"/>
                <w:sz w:val="18"/>
                <w:szCs w:val="18"/>
              </w:rPr>
              <w:t>117,4</w:t>
            </w:r>
          </w:p>
        </w:tc>
        <w:tc>
          <w:tcPr>
            <w:tcW w:w="689" w:type="dxa"/>
            <w:shd w:val="clear" w:color="auto" w:fill="D9D9D9" w:themeFill="background1" w:themeFillShade="D9"/>
            <w:noWrap/>
            <w:vAlign w:val="center"/>
            <w:hideMark/>
          </w:tcPr>
          <w:p w14:paraId="27871E29" w14:textId="77777777" w:rsidR="00E16932" w:rsidRPr="00BE56E3" w:rsidRDefault="00E16932" w:rsidP="00E16932">
            <w:pPr>
              <w:spacing w:before="0" w:after="0"/>
              <w:ind w:left="0" w:firstLine="0"/>
              <w:jc w:val="center"/>
              <w:rPr>
                <w:color w:val="000000" w:themeColor="text1"/>
                <w:sz w:val="18"/>
                <w:szCs w:val="18"/>
              </w:rPr>
            </w:pPr>
            <w:r w:rsidRPr="00BE56E3">
              <w:rPr>
                <w:b/>
                <w:bCs/>
                <w:color w:val="000000" w:themeColor="text1"/>
                <w:sz w:val="18"/>
                <w:szCs w:val="18"/>
              </w:rPr>
              <w:t>621,6</w:t>
            </w:r>
          </w:p>
        </w:tc>
      </w:tr>
      <w:tr w:rsidR="00E16932" w:rsidRPr="00BE56E3" w14:paraId="6B4F2531" w14:textId="77777777" w:rsidTr="00E16932">
        <w:trPr>
          <w:trHeight w:val="100"/>
        </w:trPr>
        <w:tc>
          <w:tcPr>
            <w:tcW w:w="5103" w:type="dxa"/>
            <w:hideMark/>
          </w:tcPr>
          <w:p w14:paraId="6C848E8C" w14:textId="77777777" w:rsidR="00E16932" w:rsidRPr="00BE56E3" w:rsidRDefault="00E16932" w:rsidP="00E16932">
            <w:pPr>
              <w:spacing w:before="0" w:after="0"/>
              <w:ind w:left="0" w:firstLine="0"/>
              <w:jc w:val="left"/>
              <w:rPr>
                <w:b/>
                <w:bCs/>
                <w:color w:val="000000"/>
                <w:sz w:val="18"/>
                <w:szCs w:val="18"/>
              </w:rPr>
            </w:pPr>
            <w:r w:rsidRPr="00BE56E3">
              <w:rPr>
                <w:b/>
                <w:bCs/>
                <w:color w:val="000000"/>
                <w:sz w:val="18"/>
                <w:szCs w:val="18"/>
              </w:rPr>
              <w:t xml:space="preserve">Kompensējošie pasākumi cenu pieauguma samazināšanai, </w:t>
            </w:r>
            <w:r w:rsidRPr="00BE56E3">
              <w:rPr>
                <w:color w:val="000000"/>
                <w:sz w:val="18"/>
                <w:szCs w:val="18"/>
              </w:rPr>
              <w:t>tai skaitā:</w:t>
            </w:r>
          </w:p>
        </w:tc>
        <w:tc>
          <w:tcPr>
            <w:tcW w:w="851" w:type="dxa"/>
            <w:vAlign w:val="center"/>
            <w:hideMark/>
          </w:tcPr>
          <w:p w14:paraId="345D86A6" w14:textId="77777777" w:rsidR="00E16932" w:rsidRPr="00BE56E3" w:rsidRDefault="00E16932" w:rsidP="00E16932">
            <w:pPr>
              <w:spacing w:before="0" w:after="0"/>
              <w:ind w:left="0" w:firstLine="0"/>
              <w:jc w:val="left"/>
              <w:rPr>
                <w:b/>
                <w:bCs/>
                <w:color w:val="000000"/>
                <w:sz w:val="18"/>
                <w:szCs w:val="18"/>
              </w:rPr>
            </w:pPr>
            <w:r w:rsidRPr="00BE56E3">
              <w:rPr>
                <w:color w:val="000000"/>
                <w:sz w:val="18"/>
                <w:szCs w:val="18"/>
              </w:rPr>
              <w:t> </w:t>
            </w:r>
          </w:p>
        </w:tc>
        <w:tc>
          <w:tcPr>
            <w:tcW w:w="709" w:type="dxa"/>
            <w:vAlign w:val="center"/>
          </w:tcPr>
          <w:p w14:paraId="03035677" w14:textId="43FC13E4" w:rsidR="00E16932" w:rsidRPr="00BE56E3" w:rsidRDefault="00E16932" w:rsidP="00E16932">
            <w:pPr>
              <w:spacing w:before="0" w:after="0"/>
              <w:ind w:left="30" w:firstLine="0"/>
              <w:jc w:val="center"/>
              <w:rPr>
                <w:b/>
                <w:bCs/>
                <w:color w:val="FF0000"/>
                <w:sz w:val="18"/>
                <w:szCs w:val="18"/>
              </w:rPr>
            </w:pPr>
            <w:r>
              <w:rPr>
                <w:b/>
                <w:bCs/>
                <w:color w:val="000000" w:themeColor="text1"/>
                <w:sz w:val="18"/>
                <w:szCs w:val="18"/>
              </w:rPr>
              <w:t>338,2</w:t>
            </w:r>
          </w:p>
        </w:tc>
        <w:tc>
          <w:tcPr>
            <w:tcW w:w="850" w:type="dxa"/>
            <w:vAlign w:val="center"/>
          </w:tcPr>
          <w:p w14:paraId="3218C3A3" w14:textId="5ABC112B" w:rsidR="00E16932" w:rsidRPr="00BE56E3" w:rsidRDefault="00E16932" w:rsidP="00E16932">
            <w:pPr>
              <w:spacing w:before="0" w:after="0"/>
              <w:ind w:left="0" w:firstLine="0"/>
              <w:jc w:val="center"/>
              <w:rPr>
                <w:b/>
                <w:bCs/>
                <w:color w:val="000000" w:themeColor="text1"/>
                <w:sz w:val="18"/>
                <w:szCs w:val="18"/>
              </w:rPr>
            </w:pPr>
            <w:r>
              <w:rPr>
                <w:b/>
                <w:bCs/>
                <w:color w:val="000000" w:themeColor="text1"/>
                <w:sz w:val="18"/>
                <w:szCs w:val="18"/>
              </w:rPr>
              <w:t>153,4</w:t>
            </w:r>
          </w:p>
        </w:tc>
        <w:tc>
          <w:tcPr>
            <w:tcW w:w="1100" w:type="dxa"/>
            <w:vAlign w:val="center"/>
            <w:hideMark/>
          </w:tcPr>
          <w:p w14:paraId="7B1604BA" w14:textId="6955BE47" w:rsidR="00E16932" w:rsidRPr="00BE56E3" w:rsidRDefault="00E16932" w:rsidP="00E16932">
            <w:pPr>
              <w:spacing w:before="0" w:after="0"/>
              <w:ind w:left="0" w:firstLine="0"/>
              <w:jc w:val="center"/>
              <w:rPr>
                <w:b/>
                <w:bCs/>
                <w:color w:val="000000" w:themeColor="text1"/>
                <w:sz w:val="18"/>
                <w:szCs w:val="18"/>
              </w:rPr>
            </w:pPr>
            <w:r>
              <w:rPr>
                <w:b/>
                <w:bCs/>
                <w:color w:val="000000" w:themeColor="text1"/>
                <w:sz w:val="18"/>
                <w:szCs w:val="18"/>
              </w:rPr>
              <w:t>15,5</w:t>
            </w:r>
          </w:p>
        </w:tc>
        <w:tc>
          <w:tcPr>
            <w:tcW w:w="689" w:type="dxa"/>
            <w:vAlign w:val="center"/>
            <w:hideMark/>
          </w:tcPr>
          <w:p w14:paraId="16C0537A"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547,0</w:t>
            </w:r>
          </w:p>
        </w:tc>
      </w:tr>
      <w:tr w:rsidR="00E16932" w:rsidRPr="00BE56E3" w14:paraId="17ED1F7F" w14:textId="77777777" w:rsidTr="00E16932">
        <w:trPr>
          <w:trHeight w:val="250"/>
        </w:trPr>
        <w:tc>
          <w:tcPr>
            <w:tcW w:w="5103" w:type="dxa"/>
            <w:hideMark/>
          </w:tcPr>
          <w:p w14:paraId="5652B9A4" w14:textId="77777777" w:rsidR="00E16932" w:rsidRPr="00BE56E3" w:rsidRDefault="00E16932" w:rsidP="00E16932">
            <w:pPr>
              <w:spacing w:before="0" w:after="0"/>
              <w:ind w:left="0" w:firstLine="0"/>
              <w:jc w:val="left"/>
              <w:rPr>
                <w:b/>
                <w:bCs/>
                <w:color w:val="000000"/>
                <w:sz w:val="18"/>
                <w:szCs w:val="18"/>
              </w:rPr>
            </w:pPr>
            <w:r w:rsidRPr="00BE56E3">
              <w:rPr>
                <w:color w:val="000000"/>
                <w:sz w:val="18"/>
                <w:szCs w:val="18"/>
              </w:rPr>
              <w:t>Elektroenerģijas izmaksu pieauguma kompensācija mājsaimniecībām, kuras apkurei izmanto elektroenerģiju</w:t>
            </w:r>
          </w:p>
        </w:tc>
        <w:tc>
          <w:tcPr>
            <w:tcW w:w="851" w:type="dxa"/>
            <w:vAlign w:val="center"/>
            <w:hideMark/>
          </w:tcPr>
          <w:p w14:paraId="3EA8B7B2"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 </w:t>
            </w:r>
          </w:p>
        </w:tc>
        <w:tc>
          <w:tcPr>
            <w:tcW w:w="709" w:type="dxa"/>
            <w:vAlign w:val="center"/>
          </w:tcPr>
          <w:p w14:paraId="699C0FD0"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15,2</w:t>
            </w:r>
          </w:p>
        </w:tc>
        <w:tc>
          <w:tcPr>
            <w:tcW w:w="850" w:type="dxa"/>
            <w:vAlign w:val="center"/>
          </w:tcPr>
          <w:p w14:paraId="23178AD6"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0,02</w:t>
            </w:r>
          </w:p>
        </w:tc>
        <w:tc>
          <w:tcPr>
            <w:tcW w:w="1100" w:type="dxa"/>
            <w:vAlign w:val="center"/>
            <w:hideMark/>
          </w:tcPr>
          <w:p w14:paraId="5935F946"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0,006</w:t>
            </w:r>
          </w:p>
        </w:tc>
        <w:tc>
          <w:tcPr>
            <w:tcW w:w="689" w:type="dxa"/>
            <w:vAlign w:val="center"/>
            <w:hideMark/>
          </w:tcPr>
          <w:p w14:paraId="06A8E1DA"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37,9</w:t>
            </w:r>
          </w:p>
        </w:tc>
      </w:tr>
      <w:tr w:rsidR="00E16932" w:rsidRPr="00BE56E3" w14:paraId="520CF998" w14:textId="77777777" w:rsidTr="00E16932">
        <w:trPr>
          <w:trHeight w:val="266"/>
        </w:trPr>
        <w:tc>
          <w:tcPr>
            <w:tcW w:w="5103" w:type="dxa"/>
            <w:hideMark/>
          </w:tcPr>
          <w:p w14:paraId="7EDE008F" w14:textId="77777777" w:rsidR="00E16932" w:rsidRPr="00BE56E3" w:rsidRDefault="00E16932" w:rsidP="00E16932">
            <w:pPr>
              <w:spacing w:before="0" w:after="0"/>
              <w:ind w:left="0" w:firstLine="0"/>
              <w:jc w:val="left"/>
              <w:rPr>
                <w:color w:val="000000" w:themeColor="text1"/>
                <w:sz w:val="18"/>
                <w:szCs w:val="18"/>
              </w:rPr>
            </w:pPr>
            <w:r w:rsidRPr="00BE56E3">
              <w:rPr>
                <w:color w:val="000000" w:themeColor="text1"/>
                <w:sz w:val="18"/>
                <w:szCs w:val="18"/>
              </w:rPr>
              <w:t>Dabasgāzes izmaksu pieauguma kompensācija mājsaimniecībām</w:t>
            </w:r>
          </w:p>
        </w:tc>
        <w:tc>
          <w:tcPr>
            <w:tcW w:w="851" w:type="dxa"/>
            <w:noWrap/>
            <w:vAlign w:val="center"/>
            <w:hideMark/>
          </w:tcPr>
          <w:p w14:paraId="25C85B59" w14:textId="77777777" w:rsidR="00E16932" w:rsidRPr="00BE56E3" w:rsidRDefault="00E16932" w:rsidP="00E16932">
            <w:pPr>
              <w:spacing w:before="0" w:after="0"/>
              <w:ind w:left="0" w:firstLine="0"/>
              <w:jc w:val="left"/>
              <w:rPr>
                <w:color w:val="000000" w:themeColor="text1"/>
                <w:sz w:val="18"/>
                <w:szCs w:val="18"/>
              </w:rPr>
            </w:pPr>
            <w:r w:rsidRPr="00BE56E3">
              <w:rPr>
                <w:color w:val="000000" w:themeColor="text1"/>
                <w:sz w:val="18"/>
                <w:szCs w:val="18"/>
              </w:rPr>
              <w:t> </w:t>
            </w:r>
          </w:p>
        </w:tc>
        <w:tc>
          <w:tcPr>
            <w:tcW w:w="709" w:type="dxa"/>
            <w:vAlign w:val="center"/>
          </w:tcPr>
          <w:p w14:paraId="1265204E"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26,1</w:t>
            </w:r>
          </w:p>
        </w:tc>
        <w:tc>
          <w:tcPr>
            <w:tcW w:w="850" w:type="dxa"/>
            <w:noWrap/>
            <w:vAlign w:val="center"/>
          </w:tcPr>
          <w:p w14:paraId="4C9501F0"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13,8</w:t>
            </w:r>
          </w:p>
        </w:tc>
        <w:tc>
          <w:tcPr>
            <w:tcW w:w="1100" w:type="dxa"/>
            <w:noWrap/>
            <w:vAlign w:val="center"/>
            <w:hideMark/>
          </w:tcPr>
          <w:p w14:paraId="0B783779"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2,9</w:t>
            </w:r>
          </w:p>
        </w:tc>
        <w:tc>
          <w:tcPr>
            <w:tcW w:w="689" w:type="dxa"/>
            <w:noWrap/>
            <w:vAlign w:val="center"/>
            <w:hideMark/>
          </w:tcPr>
          <w:p w14:paraId="1DF4C3EC"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17,4</w:t>
            </w:r>
          </w:p>
        </w:tc>
      </w:tr>
      <w:tr w:rsidR="00E16932" w:rsidRPr="00BE56E3" w14:paraId="46231AF7" w14:textId="77777777" w:rsidTr="00E16932">
        <w:trPr>
          <w:trHeight w:val="338"/>
        </w:trPr>
        <w:tc>
          <w:tcPr>
            <w:tcW w:w="5103" w:type="dxa"/>
            <w:hideMark/>
          </w:tcPr>
          <w:p w14:paraId="56D01349"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CSA centralizētās siltumenerģijas izmaksu pieauguma kompensācija mājsaimniecībām</w:t>
            </w:r>
          </w:p>
        </w:tc>
        <w:tc>
          <w:tcPr>
            <w:tcW w:w="851" w:type="dxa"/>
            <w:noWrap/>
            <w:vAlign w:val="center"/>
            <w:hideMark/>
          </w:tcPr>
          <w:p w14:paraId="0780B3E9"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 </w:t>
            </w:r>
          </w:p>
        </w:tc>
        <w:tc>
          <w:tcPr>
            <w:tcW w:w="709" w:type="dxa"/>
            <w:vAlign w:val="center"/>
          </w:tcPr>
          <w:p w14:paraId="6F82A3B2"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72,0</w:t>
            </w:r>
          </w:p>
        </w:tc>
        <w:tc>
          <w:tcPr>
            <w:tcW w:w="850" w:type="dxa"/>
            <w:noWrap/>
            <w:vAlign w:val="center"/>
          </w:tcPr>
          <w:p w14:paraId="01CECA65"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32,2</w:t>
            </w:r>
          </w:p>
        </w:tc>
        <w:tc>
          <w:tcPr>
            <w:tcW w:w="1100" w:type="dxa"/>
            <w:noWrap/>
            <w:vAlign w:val="center"/>
            <w:hideMark/>
          </w:tcPr>
          <w:p w14:paraId="7537395D"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0,3</w:t>
            </w:r>
          </w:p>
        </w:tc>
        <w:tc>
          <w:tcPr>
            <w:tcW w:w="689" w:type="dxa"/>
            <w:noWrap/>
            <w:vAlign w:val="center"/>
            <w:hideMark/>
          </w:tcPr>
          <w:p w14:paraId="62A09939"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96,0</w:t>
            </w:r>
          </w:p>
        </w:tc>
      </w:tr>
      <w:tr w:rsidR="00E16932" w:rsidRPr="00BE56E3" w14:paraId="5D201D98" w14:textId="77777777" w:rsidTr="00E16932">
        <w:trPr>
          <w:trHeight w:val="426"/>
        </w:trPr>
        <w:tc>
          <w:tcPr>
            <w:tcW w:w="5103" w:type="dxa"/>
            <w:hideMark/>
          </w:tcPr>
          <w:p w14:paraId="4BCE47DA"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Malkas iegādes izmaksu pieauguma kompensācija mājsaimniecībām (ar čeku)</w:t>
            </w:r>
          </w:p>
        </w:tc>
        <w:tc>
          <w:tcPr>
            <w:tcW w:w="851" w:type="dxa"/>
            <w:noWrap/>
            <w:vAlign w:val="center"/>
            <w:hideMark/>
          </w:tcPr>
          <w:p w14:paraId="43A75308"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 </w:t>
            </w:r>
          </w:p>
        </w:tc>
        <w:tc>
          <w:tcPr>
            <w:tcW w:w="709" w:type="dxa"/>
            <w:vAlign w:val="center"/>
          </w:tcPr>
          <w:p w14:paraId="052935C6"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21,8</w:t>
            </w:r>
          </w:p>
        </w:tc>
        <w:tc>
          <w:tcPr>
            <w:tcW w:w="850" w:type="dxa"/>
            <w:noWrap/>
            <w:vAlign w:val="center"/>
          </w:tcPr>
          <w:p w14:paraId="19009492"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0,2</w:t>
            </w:r>
          </w:p>
        </w:tc>
        <w:tc>
          <w:tcPr>
            <w:tcW w:w="1100" w:type="dxa"/>
            <w:noWrap/>
            <w:vAlign w:val="center"/>
            <w:hideMark/>
          </w:tcPr>
          <w:p w14:paraId="46505BE3"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0,1</w:t>
            </w:r>
          </w:p>
        </w:tc>
        <w:tc>
          <w:tcPr>
            <w:tcW w:w="689" w:type="dxa"/>
            <w:noWrap/>
            <w:vAlign w:val="center"/>
            <w:hideMark/>
          </w:tcPr>
          <w:p w14:paraId="13E1EBCF"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21,8</w:t>
            </w:r>
          </w:p>
        </w:tc>
      </w:tr>
      <w:tr w:rsidR="00E16932" w:rsidRPr="00BE56E3" w14:paraId="1A36DE87" w14:textId="77777777" w:rsidTr="00E16932">
        <w:trPr>
          <w:trHeight w:val="338"/>
        </w:trPr>
        <w:tc>
          <w:tcPr>
            <w:tcW w:w="5103" w:type="dxa"/>
            <w:hideMark/>
          </w:tcPr>
          <w:p w14:paraId="341C2F4E"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 xml:space="preserve">Malka ar kuru nav </w:t>
            </w:r>
            <w:r w:rsidRPr="00BE56E3">
              <w:rPr>
                <w:noProof/>
                <w:color w:val="000000"/>
                <w:sz w:val="18"/>
                <w:szCs w:val="18"/>
              </w:rPr>
              <w:t xml:space="preserve">saglabāts čeks, 60 </w:t>
            </w:r>
            <w:r w:rsidRPr="00BE56E3">
              <w:rPr>
                <w:i/>
                <w:iCs/>
                <w:noProof/>
                <w:color w:val="000000"/>
                <w:sz w:val="18"/>
                <w:szCs w:val="18"/>
              </w:rPr>
              <w:t>euro</w:t>
            </w:r>
            <w:r w:rsidRPr="00BE56E3">
              <w:rPr>
                <w:noProof/>
                <w:color w:val="000000"/>
                <w:sz w:val="18"/>
                <w:szCs w:val="18"/>
              </w:rPr>
              <w:t xml:space="preserve"> pabalsts (līdz 31.augustam iegāde notikusi)</w:t>
            </w:r>
          </w:p>
        </w:tc>
        <w:tc>
          <w:tcPr>
            <w:tcW w:w="851" w:type="dxa"/>
            <w:noWrap/>
            <w:vAlign w:val="center"/>
            <w:hideMark/>
          </w:tcPr>
          <w:p w14:paraId="384F8A12"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 </w:t>
            </w:r>
          </w:p>
        </w:tc>
        <w:tc>
          <w:tcPr>
            <w:tcW w:w="709" w:type="dxa"/>
            <w:vAlign w:val="center"/>
          </w:tcPr>
          <w:p w14:paraId="5E7099FF"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4,8</w:t>
            </w:r>
          </w:p>
        </w:tc>
        <w:tc>
          <w:tcPr>
            <w:tcW w:w="850" w:type="dxa"/>
            <w:noWrap/>
            <w:vAlign w:val="center"/>
          </w:tcPr>
          <w:p w14:paraId="20D0B417"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15,1</w:t>
            </w:r>
          </w:p>
        </w:tc>
        <w:tc>
          <w:tcPr>
            <w:tcW w:w="1100" w:type="dxa"/>
            <w:noWrap/>
            <w:vAlign w:val="center"/>
            <w:hideMark/>
          </w:tcPr>
          <w:p w14:paraId="019991C7"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11,1</w:t>
            </w:r>
          </w:p>
        </w:tc>
        <w:tc>
          <w:tcPr>
            <w:tcW w:w="689" w:type="dxa"/>
            <w:noWrap/>
            <w:vAlign w:val="center"/>
            <w:hideMark/>
          </w:tcPr>
          <w:p w14:paraId="7B7A3457" w14:textId="77777777" w:rsidR="00E16932" w:rsidRPr="00BE56E3" w:rsidRDefault="00E16932" w:rsidP="00E16932">
            <w:pPr>
              <w:spacing w:before="0" w:after="0"/>
              <w:ind w:left="0" w:firstLine="0"/>
              <w:jc w:val="center"/>
              <w:rPr>
                <w:color w:val="000000" w:themeColor="text1"/>
                <w:sz w:val="18"/>
                <w:szCs w:val="18"/>
              </w:rPr>
            </w:pPr>
          </w:p>
        </w:tc>
      </w:tr>
      <w:tr w:rsidR="00E16932" w:rsidRPr="00BE56E3" w14:paraId="37671C04" w14:textId="77777777" w:rsidTr="00E16932">
        <w:trPr>
          <w:trHeight w:val="427"/>
        </w:trPr>
        <w:tc>
          <w:tcPr>
            <w:tcW w:w="5103" w:type="dxa"/>
            <w:hideMark/>
          </w:tcPr>
          <w:p w14:paraId="460395DE"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Brikešu iegādes izmaksu pieauguma kompensācija mājsaimniecībām</w:t>
            </w:r>
          </w:p>
        </w:tc>
        <w:tc>
          <w:tcPr>
            <w:tcW w:w="851" w:type="dxa"/>
            <w:noWrap/>
            <w:vAlign w:val="center"/>
            <w:hideMark/>
          </w:tcPr>
          <w:p w14:paraId="129941AA"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 </w:t>
            </w:r>
          </w:p>
        </w:tc>
        <w:tc>
          <w:tcPr>
            <w:tcW w:w="709" w:type="dxa"/>
            <w:vAlign w:val="center"/>
          </w:tcPr>
          <w:p w14:paraId="1C78CC56"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2,0</w:t>
            </w:r>
          </w:p>
        </w:tc>
        <w:tc>
          <w:tcPr>
            <w:tcW w:w="850" w:type="dxa"/>
            <w:noWrap/>
            <w:vAlign w:val="center"/>
          </w:tcPr>
          <w:p w14:paraId="6143ADD9"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0,1</w:t>
            </w:r>
          </w:p>
        </w:tc>
        <w:tc>
          <w:tcPr>
            <w:tcW w:w="1100" w:type="dxa"/>
            <w:noWrap/>
            <w:vAlign w:val="center"/>
            <w:hideMark/>
          </w:tcPr>
          <w:p w14:paraId="7C7136EB"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0,04</w:t>
            </w:r>
          </w:p>
        </w:tc>
        <w:tc>
          <w:tcPr>
            <w:tcW w:w="689" w:type="dxa"/>
            <w:noWrap/>
            <w:vAlign w:val="center"/>
            <w:hideMark/>
          </w:tcPr>
          <w:p w14:paraId="1E54D474"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2,0</w:t>
            </w:r>
          </w:p>
        </w:tc>
      </w:tr>
      <w:tr w:rsidR="00E16932" w:rsidRPr="00BE56E3" w14:paraId="354866B9" w14:textId="77777777" w:rsidTr="00E16932">
        <w:trPr>
          <w:trHeight w:val="265"/>
        </w:trPr>
        <w:tc>
          <w:tcPr>
            <w:tcW w:w="5103" w:type="dxa"/>
            <w:hideMark/>
          </w:tcPr>
          <w:p w14:paraId="09AA8FEF" w14:textId="77777777" w:rsidR="00E16932" w:rsidRPr="00BE56E3" w:rsidRDefault="00E16932" w:rsidP="00E16932">
            <w:pPr>
              <w:spacing w:before="0" w:after="0"/>
              <w:ind w:left="0" w:firstLine="0"/>
              <w:jc w:val="left"/>
              <w:rPr>
                <w:color w:val="000000" w:themeColor="text1"/>
                <w:sz w:val="18"/>
                <w:szCs w:val="18"/>
              </w:rPr>
            </w:pPr>
            <w:r w:rsidRPr="00BE56E3">
              <w:rPr>
                <w:color w:val="000000" w:themeColor="text1"/>
                <w:sz w:val="18"/>
                <w:szCs w:val="18"/>
              </w:rPr>
              <w:t>Granulu izmaksu pieauguma kompensācija mājsaimniecībām</w:t>
            </w:r>
          </w:p>
        </w:tc>
        <w:tc>
          <w:tcPr>
            <w:tcW w:w="851" w:type="dxa"/>
            <w:noWrap/>
            <w:vAlign w:val="center"/>
            <w:hideMark/>
          </w:tcPr>
          <w:p w14:paraId="6F608C6D" w14:textId="77777777" w:rsidR="00E16932" w:rsidRPr="00BE56E3" w:rsidRDefault="00E16932" w:rsidP="00E16932">
            <w:pPr>
              <w:spacing w:before="0" w:after="0"/>
              <w:ind w:left="0" w:firstLine="0"/>
              <w:jc w:val="left"/>
              <w:rPr>
                <w:color w:val="000000" w:themeColor="text1"/>
                <w:sz w:val="18"/>
                <w:szCs w:val="18"/>
              </w:rPr>
            </w:pPr>
            <w:r w:rsidRPr="00BE56E3">
              <w:rPr>
                <w:color w:val="000000" w:themeColor="text1"/>
                <w:sz w:val="18"/>
                <w:szCs w:val="18"/>
              </w:rPr>
              <w:t> </w:t>
            </w:r>
          </w:p>
        </w:tc>
        <w:tc>
          <w:tcPr>
            <w:tcW w:w="709" w:type="dxa"/>
            <w:vAlign w:val="center"/>
          </w:tcPr>
          <w:p w14:paraId="65F8322C"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10,5</w:t>
            </w:r>
          </w:p>
        </w:tc>
        <w:tc>
          <w:tcPr>
            <w:tcW w:w="850" w:type="dxa"/>
            <w:noWrap/>
            <w:vAlign w:val="center"/>
          </w:tcPr>
          <w:p w14:paraId="7DA9B67F"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2,5</w:t>
            </w:r>
          </w:p>
        </w:tc>
        <w:tc>
          <w:tcPr>
            <w:tcW w:w="1100" w:type="dxa"/>
            <w:noWrap/>
            <w:vAlign w:val="center"/>
            <w:hideMark/>
          </w:tcPr>
          <w:p w14:paraId="72CB1148"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0,8</w:t>
            </w:r>
          </w:p>
        </w:tc>
        <w:tc>
          <w:tcPr>
            <w:tcW w:w="689" w:type="dxa"/>
            <w:noWrap/>
            <w:vAlign w:val="center"/>
            <w:hideMark/>
          </w:tcPr>
          <w:p w14:paraId="7362EDC4"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11,9</w:t>
            </w:r>
          </w:p>
        </w:tc>
      </w:tr>
      <w:tr w:rsidR="00E16932" w:rsidRPr="00BE56E3" w14:paraId="3CD3638F" w14:textId="77777777" w:rsidTr="00E16932">
        <w:trPr>
          <w:trHeight w:val="220"/>
        </w:trPr>
        <w:tc>
          <w:tcPr>
            <w:tcW w:w="5103" w:type="dxa"/>
            <w:hideMark/>
          </w:tcPr>
          <w:p w14:paraId="35999E0D" w14:textId="77777777" w:rsidR="00E16932" w:rsidRPr="00BE56E3" w:rsidRDefault="00E16932" w:rsidP="00E16932">
            <w:pPr>
              <w:spacing w:before="0" w:after="0"/>
              <w:ind w:left="0" w:firstLine="0"/>
              <w:jc w:val="left"/>
              <w:rPr>
                <w:color w:val="000000" w:themeColor="text1"/>
                <w:sz w:val="18"/>
                <w:szCs w:val="18"/>
              </w:rPr>
            </w:pPr>
            <w:r w:rsidRPr="00BE56E3">
              <w:rPr>
                <w:color w:val="000000" w:themeColor="text1"/>
                <w:sz w:val="18"/>
                <w:szCs w:val="18"/>
              </w:rPr>
              <w:t>Elektroenerģijas sistēmas pakalpojuma maksas samazinājumu uzņēmumiem pilnā apmērā</w:t>
            </w:r>
          </w:p>
        </w:tc>
        <w:tc>
          <w:tcPr>
            <w:tcW w:w="851" w:type="dxa"/>
            <w:noWrap/>
            <w:vAlign w:val="center"/>
            <w:hideMark/>
          </w:tcPr>
          <w:p w14:paraId="61512034"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 </w:t>
            </w:r>
          </w:p>
        </w:tc>
        <w:tc>
          <w:tcPr>
            <w:tcW w:w="709" w:type="dxa"/>
            <w:vAlign w:val="center"/>
          </w:tcPr>
          <w:p w14:paraId="004D4FAC"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53,0</w:t>
            </w:r>
          </w:p>
        </w:tc>
        <w:tc>
          <w:tcPr>
            <w:tcW w:w="850" w:type="dxa"/>
            <w:noWrap/>
            <w:vAlign w:val="center"/>
          </w:tcPr>
          <w:p w14:paraId="30F638BA"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38,0</w:t>
            </w:r>
          </w:p>
        </w:tc>
        <w:tc>
          <w:tcPr>
            <w:tcW w:w="1100" w:type="dxa"/>
            <w:noWrap/>
            <w:vAlign w:val="center"/>
            <w:hideMark/>
          </w:tcPr>
          <w:p w14:paraId="70EAF6BC" w14:textId="77777777" w:rsidR="00E16932" w:rsidRPr="00BE56E3" w:rsidRDefault="00E16932" w:rsidP="00E16932">
            <w:pPr>
              <w:spacing w:before="0" w:after="0"/>
              <w:ind w:left="0" w:firstLine="0"/>
              <w:jc w:val="center"/>
              <w:rPr>
                <w:color w:val="000000" w:themeColor="text1"/>
                <w:sz w:val="18"/>
                <w:szCs w:val="18"/>
              </w:rPr>
            </w:pPr>
          </w:p>
        </w:tc>
        <w:tc>
          <w:tcPr>
            <w:tcW w:w="689" w:type="dxa"/>
            <w:noWrap/>
            <w:vAlign w:val="center"/>
            <w:hideMark/>
          </w:tcPr>
          <w:p w14:paraId="0108773F"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70,6</w:t>
            </w:r>
          </w:p>
        </w:tc>
      </w:tr>
      <w:tr w:rsidR="00E16932" w:rsidRPr="00BE56E3" w14:paraId="55C08EEA" w14:textId="77777777" w:rsidTr="00E16932">
        <w:trPr>
          <w:trHeight w:val="193"/>
        </w:trPr>
        <w:tc>
          <w:tcPr>
            <w:tcW w:w="5103" w:type="dxa"/>
            <w:hideMark/>
          </w:tcPr>
          <w:p w14:paraId="149F3D38"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Dabasgāzes slieksnis</w:t>
            </w:r>
          </w:p>
        </w:tc>
        <w:tc>
          <w:tcPr>
            <w:tcW w:w="851" w:type="dxa"/>
            <w:noWrap/>
            <w:vAlign w:val="center"/>
            <w:hideMark/>
          </w:tcPr>
          <w:p w14:paraId="3BFC4B3C"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c>
          <w:tcPr>
            <w:tcW w:w="709" w:type="dxa"/>
            <w:vAlign w:val="center"/>
          </w:tcPr>
          <w:p w14:paraId="58DF17FC"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3,1</w:t>
            </w:r>
          </w:p>
        </w:tc>
        <w:tc>
          <w:tcPr>
            <w:tcW w:w="850" w:type="dxa"/>
            <w:noWrap/>
            <w:vAlign w:val="center"/>
          </w:tcPr>
          <w:p w14:paraId="01A7FA90"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2,5</w:t>
            </w:r>
          </w:p>
        </w:tc>
        <w:tc>
          <w:tcPr>
            <w:tcW w:w="1100" w:type="dxa"/>
            <w:noWrap/>
            <w:vAlign w:val="center"/>
            <w:hideMark/>
          </w:tcPr>
          <w:p w14:paraId="24441BE3" w14:textId="77777777" w:rsidR="00E16932" w:rsidRPr="00BE56E3" w:rsidRDefault="00E16932" w:rsidP="00E16932">
            <w:pPr>
              <w:spacing w:before="0" w:after="0"/>
              <w:ind w:left="0" w:firstLine="0"/>
              <w:jc w:val="center"/>
              <w:rPr>
                <w:color w:val="000000" w:themeColor="text1"/>
                <w:sz w:val="18"/>
                <w:szCs w:val="18"/>
              </w:rPr>
            </w:pPr>
          </w:p>
        </w:tc>
        <w:tc>
          <w:tcPr>
            <w:tcW w:w="689" w:type="dxa"/>
            <w:noWrap/>
            <w:vAlign w:val="center"/>
            <w:hideMark/>
          </w:tcPr>
          <w:p w14:paraId="63EEA86F"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7,8</w:t>
            </w:r>
          </w:p>
        </w:tc>
      </w:tr>
      <w:tr w:rsidR="00E16932" w:rsidRPr="00BE56E3" w14:paraId="2B57C965" w14:textId="77777777" w:rsidTr="00E16932">
        <w:trPr>
          <w:trHeight w:val="189"/>
        </w:trPr>
        <w:tc>
          <w:tcPr>
            <w:tcW w:w="5103" w:type="dxa"/>
            <w:hideMark/>
          </w:tcPr>
          <w:p w14:paraId="57378E68"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Elektroenerģijas kompensēšana</w:t>
            </w:r>
          </w:p>
        </w:tc>
        <w:tc>
          <w:tcPr>
            <w:tcW w:w="851" w:type="dxa"/>
            <w:noWrap/>
            <w:vAlign w:val="center"/>
            <w:hideMark/>
          </w:tcPr>
          <w:p w14:paraId="095F1F19"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c>
          <w:tcPr>
            <w:tcW w:w="709" w:type="dxa"/>
            <w:vAlign w:val="center"/>
          </w:tcPr>
          <w:p w14:paraId="2138CA77"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19,2</w:t>
            </w:r>
          </w:p>
        </w:tc>
        <w:tc>
          <w:tcPr>
            <w:tcW w:w="850" w:type="dxa"/>
            <w:noWrap/>
            <w:vAlign w:val="center"/>
          </w:tcPr>
          <w:p w14:paraId="1ABBFC8B"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5,4</w:t>
            </w:r>
          </w:p>
        </w:tc>
        <w:tc>
          <w:tcPr>
            <w:tcW w:w="1100" w:type="dxa"/>
            <w:noWrap/>
            <w:vAlign w:val="center"/>
            <w:hideMark/>
          </w:tcPr>
          <w:p w14:paraId="38D414A6" w14:textId="77777777" w:rsidR="00E16932" w:rsidRPr="00BE56E3" w:rsidRDefault="00E16932" w:rsidP="00E16932">
            <w:pPr>
              <w:spacing w:before="0" w:after="0"/>
              <w:ind w:left="0" w:firstLine="0"/>
              <w:jc w:val="center"/>
              <w:rPr>
                <w:color w:val="000000" w:themeColor="text1"/>
                <w:sz w:val="18"/>
                <w:szCs w:val="18"/>
              </w:rPr>
            </w:pPr>
          </w:p>
        </w:tc>
        <w:tc>
          <w:tcPr>
            <w:tcW w:w="689" w:type="dxa"/>
            <w:noWrap/>
            <w:vAlign w:val="center"/>
            <w:hideMark/>
          </w:tcPr>
          <w:p w14:paraId="3B28E7F7"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47,9</w:t>
            </w:r>
          </w:p>
        </w:tc>
      </w:tr>
      <w:tr w:rsidR="00E16932" w:rsidRPr="00BE56E3" w14:paraId="63B51D89" w14:textId="77777777" w:rsidTr="00E16932">
        <w:trPr>
          <w:trHeight w:val="228"/>
        </w:trPr>
        <w:tc>
          <w:tcPr>
            <w:tcW w:w="5103" w:type="dxa"/>
            <w:hideMark/>
          </w:tcPr>
          <w:p w14:paraId="61D5F949"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Centralizētās siltumapgādes izmaksu kompensēšana</w:t>
            </w:r>
          </w:p>
        </w:tc>
        <w:tc>
          <w:tcPr>
            <w:tcW w:w="851" w:type="dxa"/>
            <w:noWrap/>
            <w:vAlign w:val="center"/>
            <w:hideMark/>
          </w:tcPr>
          <w:p w14:paraId="68C95E4D"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c>
          <w:tcPr>
            <w:tcW w:w="709" w:type="dxa"/>
            <w:vAlign w:val="center"/>
          </w:tcPr>
          <w:p w14:paraId="1033A8AF"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24,9</w:t>
            </w:r>
          </w:p>
        </w:tc>
        <w:tc>
          <w:tcPr>
            <w:tcW w:w="850" w:type="dxa"/>
            <w:noWrap/>
            <w:vAlign w:val="center"/>
          </w:tcPr>
          <w:p w14:paraId="28DB0CF4"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17,6</w:t>
            </w:r>
          </w:p>
        </w:tc>
        <w:tc>
          <w:tcPr>
            <w:tcW w:w="1100" w:type="dxa"/>
            <w:noWrap/>
            <w:vAlign w:val="center"/>
            <w:hideMark/>
          </w:tcPr>
          <w:p w14:paraId="768CBC23"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0,1</w:t>
            </w:r>
          </w:p>
        </w:tc>
        <w:tc>
          <w:tcPr>
            <w:tcW w:w="689" w:type="dxa"/>
            <w:noWrap/>
            <w:vAlign w:val="center"/>
            <w:hideMark/>
          </w:tcPr>
          <w:p w14:paraId="101A8035"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62,2</w:t>
            </w:r>
          </w:p>
        </w:tc>
      </w:tr>
      <w:tr w:rsidR="00E16932" w:rsidRPr="00BE56E3" w14:paraId="18C10D35" w14:textId="77777777" w:rsidTr="00E16932">
        <w:trPr>
          <w:trHeight w:val="219"/>
        </w:trPr>
        <w:tc>
          <w:tcPr>
            <w:tcW w:w="5103" w:type="dxa"/>
            <w:hideMark/>
          </w:tcPr>
          <w:p w14:paraId="363AF806"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Juridisko lietotāju elektroenerģijas kompensācijas</w:t>
            </w:r>
          </w:p>
        </w:tc>
        <w:tc>
          <w:tcPr>
            <w:tcW w:w="851" w:type="dxa"/>
            <w:noWrap/>
            <w:vAlign w:val="center"/>
            <w:hideMark/>
          </w:tcPr>
          <w:p w14:paraId="0F49BD33"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c>
          <w:tcPr>
            <w:tcW w:w="709" w:type="dxa"/>
            <w:vAlign w:val="center"/>
          </w:tcPr>
          <w:p w14:paraId="1AEBF7CA"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85,7</w:t>
            </w:r>
          </w:p>
        </w:tc>
        <w:tc>
          <w:tcPr>
            <w:tcW w:w="850" w:type="dxa"/>
            <w:noWrap/>
            <w:vAlign w:val="center"/>
          </w:tcPr>
          <w:p w14:paraId="698DC4F1"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26,0</w:t>
            </w:r>
          </w:p>
        </w:tc>
        <w:tc>
          <w:tcPr>
            <w:tcW w:w="1100" w:type="dxa"/>
            <w:noWrap/>
            <w:vAlign w:val="center"/>
            <w:hideMark/>
          </w:tcPr>
          <w:p w14:paraId="7EC9331B"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0,004</w:t>
            </w:r>
          </w:p>
        </w:tc>
        <w:tc>
          <w:tcPr>
            <w:tcW w:w="689" w:type="dxa"/>
            <w:noWrap/>
            <w:vAlign w:val="center"/>
            <w:hideMark/>
          </w:tcPr>
          <w:p w14:paraId="07BA7FAF"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171,4</w:t>
            </w:r>
          </w:p>
        </w:tc>
      </w:tr>
      <w:tr w:rsidR="00E16932" w:rsidRPr="00BE56E3" w14:paraId="5B2D4049" w14:textId="77777777" w:rsidTr="00E16932">
        <w:trPr>
          <w:trHeight w:val="235"/>
        </w:trPr>
        <w:tc>
          <w:tcPr>
            <w:tcW w:w="5103" w:type="dxa"/>
            <w:hideMark/>
          </w:tcPr>
          <w:p w14:paraId="4124594F" w14:textId="59E49791" w:rsidR="00E16932" w:rsidRPr="00BE56E3" w:rsidRDefault="00E16932" w:rsidP="00E16932">
            <w:pPr>
              <w:spacing w:before="0" w:after="0"/>
              <w:ind w:left="0" w:firstLine="0"/>
              <w:jc w:val="left"/>
              <w:rPr>
                <w:color w:val="000000"/>
                <w:sz w:val="18"/>
                <w:szCs w:val="18"/>
              </w:rPr>
            </w:pPr>
            <w:r w:rsidRPr="00BE56E3">
              <w:rPr>
                <w:b/>
                <w:bCs/>
                <w:color w:val="000000"/>
                <w:sz w:val="18"/>
                <w:szCs w:val="18"/>
              </w:rPr>
              <w:t>Sociālie pabalsti,</w:t>
            </w:r>
            <w:r>
              <w:rPr>
                <w:color w:val="000000"/>
                <w:sz w:val="18"/>
                <w:szCs w:val="18"/>
              </w:rPr>
              <w:t xml:space="preserve"> </w:t>
            </w:r>
            <w:r w:rsidRPr="00BE56E3">
              <w:rPr>
                <w:color w:val="000000"/>
                <w:sz w:val="18"/>
                <w:szCs w:val="18"/>
              </w:rPr>
              <w:t>tai skaitā:</w:t>
            </w:r>
          </w:p>
        </w:tc>
        <w:tc>
          <w:tcPr>
            <w:tcW w:w="851" w:type="dxa"/>
            <w:noWrap/>
            <w:vAlign w:val="center"/>
            <w:hideMark/>
          </w:tcPr>
          <w:p w14:paraId="2A83083D" w14:textId="77777777" w:rsidR="00E16932" w:rsidRPr="00BE56E3" w:rsidRDefault="00E16932" w:rsidP="00E16932">
            <w:pPr>
              <w:spacing w:before="0" w:after="0"/>
              <w:ind w:left="0" w:firstLine="0"/>
              <w:jc w:val="center"/>
              <w:rPr>
                <w:color w:val="000000"/>
                <w:sz w:val="18"/>
                <w:szCs w:val="18"/>
              </w:rPr>
            </w:pPr>
            <w:r w:rsidRPr="00BE56E3">
              <w:rPr>
                <w:color w:val="000000"/>
                <w:sz w:val="18"/>
                <w:szCs w:val="18"/>
              </w:rPr>
              <w:t> </w:t>
            </w:r>
          </w:p>
        </w:tc>
        <w:tc>
          <w:tcPr>
            <w:tcW w:w="709" w:type="dxa"/>
            <w:vAlign w:val="center"/>
          </w:tcPr>
          <w:p w14:paraId="7FDFCC25" w14:textId="1D38697F" w:rsidR="00E16932" w:rsidRPr="00BE56E3" w:rsidRDefault="00E16932" w:rsidP="00E16932">
            <w:pPr>
              <w:spacing w:before="0" w:after="0"/>
              <w:ind w:left="30" w:firstLine="0"/>
              <w:jc w:val="center"/>
              <w:rPr>
                <w:b/>
                <w:bCs/>
                <w:color w:val="000000" w:themeColor="text1"/>
                <w:sz w:val="18"/>
                <w:szCs w:val="18"/>
              </w:rPr>
            </w:pPr>
            <w:r>
              <w:rPr>
                <w:b/>
                <w:bCs/>
                <w:color w:val="000000" w:themeColor="text1"/>
                <w:sz w:val="18"/>
                <w:szCs w:val="18"/>
              </w:rPr>
              <w:t>75,5</w:t>
            </w:r>
          </w:p>
        </w:tc>
        <w:tc>
          <w:tcPr>
            <w:tcW w:w="850" w:type="dxa"/>
            <w:noWrap/>
            <w:vAlign w:val="center"/>
          </w:tcPr>
          <w:p w14:paraId="47A7AC4A" w14:textId="09D8E5BD" w:rsidR="00E16932" w:rsidRPr="00BE56E3" w:rsidRDefault="00E16932" w:rsidP="00E16932">
            <w:pPr>
              <w:spacing w:before="0" w:after="0"/>
              <w:ind w:left="0" w:firstLine="0"/>
              <w:jc w:val="center"/>
              <w:rPr>
                <w:b/>
                <w:bCs/>
                <w:color w:val="000000" w:themeColor="text1"/>
                <w:sz w:val="18"/>
                <w:szCs w:val="18"/>
              </w:rPr>
            </w:pPr>
            <w:r>
              <w:rPr>
                <w:b/>
                <w:bCs/>
                <w:color w:val="000000" w:themeColor="text1"/>
                <w:sz w:val="18"/>
                <w:szCs w:val="18"/>
              </w:rPr>
              <w:t>114,2</w:t>
            </w:r>
          </w:p>
        </w:tc>
        <w:tc>
          <w:tcPr>
            <w:tcW w:w="1100" w:type="dxa"/>
            <w:noWrap/>
            <w:vAlign w:val="center"/>
            <w:hideMark/>
          </w:tcPr>
          <w:p w14:paraId="06896EAC" w14:textId="0E02286F" w:rsidR="00E16932" w:rsidRPr="00BE56E3" w:rsidRDefault="00E16932" w:rsidP="00E16932">
            <w:pPr>
              <w:spacing w:before="0" w:after="0"/>
              <w:ind w:left="0" w:firstLine="0"/>
              <w:jc w:val="center"/>
              <w:rPr>
                <w:b/>
                <w:bCs/>
                <w:color w:val="000000" w:themeColor="text1"/>
                <w:sz w:val="18"/>
                <w:szCs w:val="18"/>
              </w:rPr>
            </w:pPr>
            <w:r>
              <w:rPr>
                <w:b/>
                <w:bCs/>
                <w:color w:val="000000" w:themeColor="text1"/>
                <w:sz w:val="18"/>
                <w:szCs w:val="18"/>
              </w:rPr>
              <w:t>101,9</w:t>
            </w:r>
          </w:p>
        </w:tc>
        <w:tc>
          <w:tcPr>
            <w:tcW w:w="689" w:type="dxa"/>
            <w:noWrap/>
            <w:vAlign w:val="center"/>
            <w:hideMark/>
          </w:tcPr>
          <w:p w14:paraId="61678384" w14:textId="77777777" w:rsidR="00E16932" w:rsidRPr="00BE56E3" w:rsidRDefault="00E16932" w:rsidP="00E16932">
            <w:pPr>
              <w:spacing w:before="0" w:after="0"/>
              <w:ind w:left="0" w:firstLine="0"/>
              <w:jc w:val="center"/>
              <w:rPr>
                <w:b/>
                <w:bCs/>
                <w:color w:val="000000" w:themeColor="text1"/>
                <w:sz w:val="18"/>
                <w:szCs w:val="18"/>
              </w:rPr>
            </w:pPr>
            <w:r w:rsidRPr="00BE56E3">
              <w:rPr>
                <w:b/>
                <w:bCs/>
                <w:color w:val="000000" w:themeColor="text1"/>
                <w:sz w:val="18"/>
                <w:szCs w:val="18"/>
              </w:rPr>
              <w:t>74,6</w:t>
            </w:r>
          </w:p>
        </w:tc>
      </w:tr>
      <w:tr w:rsidR="00E16932" w:rsidRPr="00BE56E3" w14:paraId="0A6CDEBE" w14:textId="77777777" w:rsidTr="00E16932">
        <w:trPr>
          <w:trHeight w:val="234"/>
        </w:trPr>
        <w:tc>
          <w:tcPr>
            <w:tcW w:w="5103" w:type="dxa"/>
            <w:hideMark/>
          </w:tcPr>
          <w:p w14:paraId="7208087C"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Valsts budžeta mērķdotācija pašvaldībām mājokļa pabalsta nodrošināšanai - 50 procentu apmērā no faktiskajiem izdevumiem mājokļa pabalstam, kas radušies 2023.gadā</w:t>
            </w:r>
          </w:p>
        </w:tc>
        <w:tc>
          <w:tcPr>
            <w:tcW w:w="851" w:type="dxa"/>
            <w:noWrap/>
            <w:vAlign w:val="center"/>
            <w:hideMark/>
          </w:tcPr>
          <w:p w14:paraId="393A6054" w14:textId="77777777" w:rsidR="00E16932" w:rsidRPr="00BE56E3" w:rsidRDefault="00E16932" w:rsidP="00E16932">
            <w:pPr>
              <w:spacing w:before="0" w:after="0"/>
              <w:ind w:firstLine="0"/>
              <w:jc w:val="center"/>
              <w:rPr>
                <w:color w:val="000000"/>
                <w:sz w:val="18"/>
                <w:szCs w:val="18"/>
              </w:rPr>
            </w:pPr>
          </w:p>
        </w:tc>
        <w:tc>
          <w:tcPr>
            <w:tcW w:w="709" w:type="dxa"/>
            <w:vAlign w:val="center"/>
          </w:tcPr>
          <w:p w14:paraId="0F8E43EB" w14:textId="77777777" w:rsidR="00E16932" w:rsidRPr="00BE56E3" w:rsidRDefault="00E16932" w:rsidP="00E16932">
            <w:pPr>
              <w:spacing w:before="0" w:after="0"/>
              <w:ind w:left="30" w:firstLine="0"/>
              <w:jc w:val="center"/>
              <w:rPr>
                <w:color w:val="000000" w:themeColor="text1"/>
                <w:sz w:val="18"/>
                <w:szCs w:val="18"/>
              </w:rPr>
            </w:pPr>
          </w:p>
        </w:tc>
        <w:tc>
          <w:tcPr>
            <w:tcW w:w="850" w:type="dxa"/>
            <w:noWrap/>
            <w:vAlign w:val="center"/>
          </w:tcPr>
          <w:p w14:paraId="5FD05A32" w14:textId="77777777" w:rsidR="00E16932" w:rsidRPr="00BE56E3" w:rsidRDefault="00E16932" w:rsidP="00E16932">
            <w:pPr>
              <w:spacing w:before="0" w:after="0"/>
              <w:ind w:firstLine="0"/>
              <w:rPr>
                <w:color w:val="000000" w:themeColor="text1"/>
                <w:sz w:val="18"/>
                <w:szCs w:val="18"/>
              </w:rPr>
            </w:pPr>
          </w:p>
        </w:tc>
        <w:tc>
          <w:tcPr>
            <w:tcW w:w="1100" w:type="dxa"/>
            <w:noWrap/>
            <w:vAlign w:val="center"/>
            <w:hideMark/>
          </w:tcPr>
          <w:p w14:paraId="57212979" w14:textId="77777777" w:rsidR="00E16932" w:rsidRPr="00BE56E3" w:rsidRDefault="00E16932" w:rsidP="00E16932">
            <w:pPr>
              <w:spacing w:before="0" w:after="0"/>
              <w:ind w:firstLine="0"/>
              <w:jc w:val="center"/>
              <w:rPr>
                <w:color w:val="000000" w:themeColor="text1"/>
                <w:sz w:val="18"/>
                <w:szCs w:val="18"/>
              </w:rPr>
            </w:pPr>
          </w:p>
        </w:tc>
        <w:tc>
          <w:tcPr>
            <w:tcW w:w="689" w:type="dxa"/>
            <w:noWrap/>
            <w:vAlign w:val="center"/>
            <w:hideMark/>
          </w:tcPr>
          <w:p w14:paraId="2E40E3B8"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14,7</w:t>
            </w:r>
          </w:p>
        </w:tc>
      </w:tr>
      <w:tr w:rsidR="00E16932" w:rsidRPr="00BE56E3" w14:paraId="539746D6" w14:textId="77777777" w:rsidTr="00E16932">
        <w:trPr>
          <w:trHeight w:val="93"/>
        </w:trPr>
        <w:tc>
          <w:tcPr>
            <w:tcW w:w="5103" w:type="dxa"/>
            <w:hideMark/>
          </w:tcPr>
          <w:p w14:paraId="0DA9CAC9"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Ātrāka pensiju indeksācija (no 2022.gada 1.augusta)</w:t>
            </w:r>
          </w:p>
        </w:tc>
        <w:tc>
          <w:tcPr>
            <w:tcW w:w="851" w:type="dxa"/>
            <w:vAlign w:val="center"/>
            <w:hideMark/>
          </w:tcPr>
          <w:p w14:paraId="45D5377E"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 </w:t>
            </w:r>
          </w:p>
        </w:tc>
        <w:tc>
          <w:tcPr>
            <w:tcW w:w="709" w:type="dxa"/>
            <w:vAlign w:val="center"/>
          </w:tcPr>
          <w:p w14:paraId="1FBEB8A3"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52,1</w:t>
            </w:r>
          </w:p>
        </w:tc>
        <w:tc>
          <w:tcPr>
            <w:tcW w:w="850" w:type="dxa"/>
            <w:vAlign w:val="center"/>
          </w:tcPr>
          <w:p w14:paraId="72BE1336"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90,8</w:t>
            </w:r>
          </w:p>
        </w:tc>
        <w:tc>
          <w:tcPr>
            <w:tcW w:w="1100" w:type="dxa"/>
            <w:vAlign w:val="center"/>
            <w:hideMark/>
          </w:tcPr>
          <w:p w14:paraId="00F40232"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90,8</w:t>
            </w:r>
          </w:p>
        </w:tc>
        <w:tc>
          <w:tcPr>
            <w:tcW w:w="689" w:type="dxa"/>
            <w:vAlign w:val="center"/>
            <w:hideMark/>
          </w:tcPr>
          <w:p w14:paraId="2C04EA25" w14:textId="77777777" w:rsidR="00E16932" w:rsidRPr="00BE56E3" w:rsidRDefault="00E16932" w:rsidP="00E16932">
            <w:pPr>
              <w:spacing w:before="0" w:after="0"/>
              <w:ind w:left="0" w:firstLine="0"/>
              <w:jc w:val="center"/>
              <w:rPr>
                <w:color w:val="000000" w:themeColor="text1"/>
                <w:sz w:val="18"/>
                <w:szCs w:val="18"/>
              </w:rPr>
            </w:pPr>
          </w:p>
        </w:tc>
      </w:tr>
      <w:tr w:rsidR="00E16932" w:rsidRPr="00BE56E3" w14:paraId="15DBBBC6" w14:textId="77777777" w:rsidTr="00E16932">
        <w:trPr>
          <w:trHeight w:val="169"/>
        </w:trPr>
        <w:tc>
          <w:tcPr>
            <w:tcW w:w="5103" w:type="dxa"/>
            <w:hideMark/>
          </w:tcPr>
          <w:p w14:paraId="6D856A53"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IT sistēmu pielāgošana</w:t>
            </w:r>
          </w:p>
        </w:tc>
        <w:tc>
          <w:tcPr>
            <w:tcW w:w="851" w:type="dxa"/>
            <w:noWrap/>
            <w:vAlign w:val="center"/>
            <w:hideMark/>
          </w:tcPr>
          <w:p w14:paraId="324CEDEF"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 </w:t>
            </w:r>
          </w:p>
        </w:tc>
        <w:tc>
          <w:tcPr>
            <w:tcW w:w="709" w:type="dxa"/>
            <w:vAlign w:val="center"/>
          </w:tcPr>
          <w:p w14:paraId="4C50C65C"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0,3</w:t>
            </w:r>
          </w:p>
        </w:tc>
        <w:tc>
          <w:tcPr>
            <w:tcW w:w="850" w:type="dxa"/>
            <w:noWrap/>
            <w:vAlign w:val="center"/>
          </w:tcPr>
          <w:p w14:paraId="51D69DC6"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0,3</w:t>
            </w:r>
          </w:p>
        </w:tc>
        <w:tc>
          <w:tcPr>
            <w:tcW w:w="1100" w:type="dxa"/>
            <w:noWrap/>
            <w:vAlign w:val="center"/>
            <w:hideMark/>
          </w:tcPr>
          <w:p w14:paraId="316F936A" w14:textId="77777777" w:rsidR="00E16932" w:rsidRPr="00BE56E3" w:rsidRDefault="00E16932" w:rsidP="00E16932">
            <w:pPr>
              <w:spacing w:before="0" w:after="0"/>
              <w:ind w:left="0" w:firstLine="0"/>
              <w:jc w:val="center"/>
              <w:rPr>
                <w:color w:val="000000" w:themeColor="text1"/>
                <w:sz w:val="18"/>
                <w:szCs w:val="18"/>
              </w:rPr>
            </w:pPr>
          </w:p>
        </w:tc>
        <w:tc>
          <w:tcPr>
            <w:tcW w:w="689" w:type="dxa"/>
            <w:noWrap/>
            <w:vAlign w:val="center"/>
            <w:hideMark/>
          </w:tcPr>
          <w:p w14:paraId="20772539" w14:textId="77777777" w:rsidR="00E16932" w:rsidRPr="00BE56E3" w:rsidRDefault="00E16932" w:rsidP="00E16932">
            <w:pPr>
              <w:spacing w:before="0" w:after="0"/>
              <w:ind w:left="0" w:firstLine="0"/>
              <w:jc w:val="center"/>
              <w:rPr>
                <w:color w:val="000000" w:themeColor="text1"/>
                <w:sz w:val="18"/>
                <w:szCs w:val="18"/>
              </w:rPr>
            </w:pPr>
          </w:p>
        </w:tc>
      </w:tr>
      <w:tr w:rsidR="00E16932" w:rsidRPr="00BE56E3" w14:paraId="50CE886B" w14:textId="77777777" w:rsidTr="00E16932">
        <w:trPr>
          <w:trHeight w:val="166"/>
        </w:trPr>
        <w:tc>
          <w:tcPr>
            <w:tcW w:w="5103" w:type="dxa"/>
            <w:hideMark/>
          </w:tcPr>
          <w:p w14:paraId="29BF5A05" w14:textId="77777777" w:rsidR="00E16932" w:rsidRPr="00BE56E3" w:rsidRDefault="00E16932" w:rsidP="00E16932">
            <w:pPr>
              <w:spacing w:before="0" w:after="0"/>
              <w:ind w:left="0" w:firstLine="0"/>
              <w:jc w:val="left"/>
              <w:rPr>
                <w:color w:val="000000"/>
                <w:sz w:val="18"/>
                <w:szCs w:val="18"/>
              </w:rPr>
            </w:pPr>
            <w:r w:rsidRPr="00BE56E3">
              <w:rPr>
                <w:color w:val="000000"/>
                <w:sz w:val="18"/>
                <w:szCs w:val="18"/>
              </w:rPr>
              <w:t xml:space="preserve">Atbalsts senioriem, personām ar invaliditāti, apgādnieku zaudējušām personām (01.11.2022. līdz 30.05.2023 tik izmaksāti 10, </w:t>
            </w:r>
            <w:r w:rsidRPr="00BE56E3">
              <w:rPr>
                <w:noProof/>
                <w:color w:val="000000"/>
                <w:sz w:val="18"/>
                <w:szCs w:val="18"/>
              </w:rPr>
              <w:t xml:space="preserve">20 vai 30 </w:t>
            </w:r>
            <w:r w:rsidRPr="00BE56E3">
              <w:rPr>
                <w:i/>
                <w:iCs/>
                <w:noProof/>
                <w:color w:val="000000"/>
                <w:sz w:val="18"/>
                <w:szCs w:val="18"/>
              </w:rPr>
              <w:t>euro</w:t>
            </w:r>
            <w:r w:rsidRPr="00BE56E3">
              <w:rPr>
                <w:noProof/>
                <w:color w:val="000000"/>
                <w:sz w:val="18"/>
                <w:szCs w:val="18"/>
              </w:rPr>
              <w:t xml:space="preserve"> mēnes</w:t>
            </w:r>
            <w:r w:rsidRPr="00BE56E3">
              <w:rPr>
                <w:color w:val="000000"/>
                <w:sz w:val="18"/>
                <w:szCs w:val="18"/>
              </w:rPr>
              <w:t>ī, atkarībā no saņēmēja pensijas ienākuma apmēra)</w:t>
            </w:r>
          </w:p>
        </w:tc>
        <w:tc>
          <w:tcPr>
            <w:tcW w:w="851" w:type="dxa"/>
            <w:noWrap/>
            <w:vAlign w:val="center"/>
            <w:hideMark/>
          </w:tcPr>
          <w:p w14:paraId="2CED4969"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 </w:t>
            </w:r>
          </w:p>
        </w:tc>
        <w:tc>
          <w:tcPr>
            <w:tcW w:w="709" w:type="dxa"/>
            <w:vAlign w:val="center"/>
          </w:tcPr>
          <w:p w14:paraId="26260196" w14:textId="77777777" w:rsidR="00E16932" w:rsidRPr="00BE56E3" w:rsidRDefault="00E16932" w:rsidP="00E16932">
            <w:pPr>
              <w:spacing w:before="0" w:after="0"/>
              <w:ind w:left="30" w:firstLine="0"/>
              <w:jc w:val="center"/>
              <w:rPr>
                <w:color w:val="000000" w:themeColor="text1"/>
                <w:sz w:val="18"/>
                <w:szCs w:val="18"/>
              </w:rPr>
            </w:pPr>
            <w:r w:rsidRPr="00BE56E3">
              <w:rPr>
                <w:color w:val="000000" w:themeColor="text1"/>
                <w:sz w:val="18"/>
                <w:szCs w:val="18"/>
              </w:rPr>
              <w:t>23,1</w:t>
            </w:r>
          </w:p>
        </w:tc>
        <w:tc>
          <w:tcPr>
            <w:tcW w:w="850" w:type="dxa"/>
            <w:noWrap/>
            <w:vAlign w:val="center"/>
          </w:tcPr>
          <w:p w14:paraId="1B179310"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23,1</w:t>
            </w:r>
          </w:p>
        </w:tc>
        <w:tc>
          <w:tcPr>
            <w:tcW w:w="1100" w:type="dxa"/>
            <w:noWrap/>
            <w:vAlign w:val="center"/>
            <w:hideMark/>
          </w:tcPr>
          <w:p w14:paraId="72718FCC"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11,1</w:t>
            </w:r>
          </w:p>
        </w:tc>
        <w:tc>
          <w:tcPr>
            <w:tcW w:w="689" w:type="dxa"/>
            <w:noWrap/>
            <w:vAlign w:val="center"/>
            <w:hideMark/>
          </w:tcPr>
          <w:p w14:paraId="09A66DCA" w14:textId="77777777" w:rsidR="00E16932" w:rsidRPr="00BE56E3" w:rsidRDefault="00E16932" w:rsidP="00E16932">
            <w:pPr>
              <w:spacing w:before="0" w:after="0"/>
              <w:ind w:left="0" w:firstLine="0"/>
              <w:jc w:val="center"/>
              <w:rPr>
                <w:color w:val="000000" w:themeColor="text1"/>
                <w:sz w:val="18"/>
                <w:szCs w:val="18"/>
              </w:rPr>
            </w:pPr>
            <w:r w:rsidRPr="00BE56E3">
              <w:rPr>
                <w:color w:val="000000" w:themeColor="text1"/>
                <w:sz w:val="18"/>
                <w:szCs w:val="18"/>
              </w:rPr>
              <w:t>59,9</w:t>
            </w:r>
          </w:p>
        </w:tc>
      </w:tr>
    </w:tbl>
    <w:p w14:paraId="22306063" w14:textId="77777777" w:rsidR="00FE3024" w:rsidRPr="00D1498B" w:rsidRDefault="00FE3024" w:rsidP="00E16932">
      <w:pPr>
        <w:spacing w:before="240"/>
        <w:ind w:firstLine="709"/>
        <w:jc w:val="left"/>
        <w:rPr>
          <w:rFonts w:eastAsia="Calibri" w:cs="Times New Roman"/>
          <w:b/>
          <w:bCs/>
          <w:color w:val="000000"/>
          <w:szCs w:val="24"/>
        </w:rPr>
      </w:pPr>
      <w:r w:rsidRPr="00D1498B">
        <w:rPr>
          <w:rFonts w:eastAsia="Calibri" w:cs="Times New Roman"/>
          <w:b/>
          <w:bCs/>
          <w:color w:val="000000"/>
          <w:szCs w:val="24"/>
        </w:rPr>
        <w:lastRenderedPageBreak/>
        <w:t>Atbalsts Ukrainas civiliedzīvotājiem</w:t>
      </w:r>
    </w:p>
    <w:p w14:paraId="34EE7B59" w14:textId="66281E12" w:rsidR="00FE3024" w:rsidRPr="00E867D9" w:rsidRDefault="00FE3024" w:rsidP="00FE3024">
      <w:pPr>
        <w:ind w:firstLine="709"/>
        <w:rPr>
          <w:rFonts w:eastAsia="Times New Roman" w:cs="Times New Roman"/>
          <w:noProof/>
          <w:color w:val="000000" w:themeColor="text1"/>
          <w:szCs w:val="24"/>
        </w:rPr>
      </w:pPr>
      <w:r w:rsidRPr="003220ED">
        <w:rPr>
          <w:rFonts w:eastAsia="Calibri" w:cs="Times New Roman"/>
          <w:noProof/>
          <w:color w:val="000000"/>
          <w:szCs w:val="24"/>
        </w:rPr>
        <w:t xml:space="preserve">Šā gada 24. februārī Krievijas Federācijas militārie spēki </w:t>
      </w:r>
      <w:r>
        <w:rPr>
          <w:rFonts w:eastAsia="Calibri" w:cs="Times New Roman"/>
          <w:noProof/>
          <w:color w:val="000000"/>
          <w:szCs w:val="24"/>
        </w:rPr>
        <w:t>iebruka</w:t>
      </w:r>
      <w:r w:rsidRPr="003220ED">
        <w:rPr>
          <w:rFonts w:eastAsia="Calibri" w:cs="Times New Roman"/>
          <w:noProof/>
          <w:color w:val="000000"/>
          <w:szCs w:val="24"/>
        </w:rPr>
        <w:t xml:space="preserve"> Ukrainā, kā rezultātā miljoniem ukraiņu ir spiesti</w:t>
      </w:r>
      <w:r w:rsidRPr="003220ED">
        <w:rPr>
          <w:rFonts w:eastAsia="Times New Roman" w:cs="Times New Roman"/>
          <w:noProof/>
          <w:color w:val="000000" w:themeColor="text1"/>
          <w:szCs w:val="24"/>
        </w:rPr>
        <w:t xml:space="preserve"> pamest savas mājas un emigrēt uz citām valstīm. </w:t>
      </w:r>
      <w:bookmarkStart w:id="29" w:name="_Hlk115165691"/>
      <w:bookmarkStart w:id="30" w:name="_Hlk115099851"/>
      <w:r w:rsidRPr="001064EE">
        <w:rPr>
          <w:rFonts w:eastAsia="Times New Roman" w:cs="Times New Roman"/>
          <w:noProof/>
          <w:color w:val="000000" w:themeColor="text1"/>
          <w:szCs w:val="24"/>
        </w:rPr>
        <w:t>Atbilstoši Iekšlietu ministrijas informācijai</w:t>
      </w:r>
      <w:r w:rsidR="00AD4588">
        <w:rPr>
          <w:rFonts w:eastAsia="Times New Roman" w:cs="Times New Roman"/>
          <w:noProof/>
          <w:color w:val="000000" w:themeColor="text1"/>
          <w:szCs w:val="24"/>
        </w:rPr>
        <w:t xml:space="preserve"> </w:t>
      </w:r>
      <w:r w:rsidRPr="001064EE">
        <w:rPr>
          <w:rFonts w:eastAsia="Times New Roman" w:cs="Times New Roman"/>
          <w:noProof/>
          <w:color w:val="000000" w:themeColor="text1"/>
          <w:szCs w:val="24"/>
        </w:rPr>
        <w:t xml:space="preserve">Latvijā kopš kara sākuma Ukrainā </w:t>
      </w:r>
      <w:r w:rsidRPr="00E26741">
        <w:rPr>
          <w:rFonts w:eastAsia="Times New Roman" w:cs="Times New Roman"/>
          <w:noProof/>
          <w:color w:val="000000" w:themeColor="text1"/>
          <w:szCs w:val="24"/>
        </w:rPr>
        <w:t>37 810 personām izsniegti uzturēšanās dokumenti</w:t>
      </w:r>
      <w:r w:rsidR="00AD4588">
        <w:rPr>
          <w:rFonts w:eastAsia="Times New Roman" w:cs="Times New Roman"/>
          <w:noProof/>
          <w:color w:val="000000" w:themeColor="text1"/>
          <w:szCs w:val="24"/>
        </w:rPr>
        <w:t xml:space="preserve"> </w:t>
      </w:r>
      <w:r w:rsidRPr="00E26741">
        <w:rPr>
          <w:rFonts w:eastAsia="Times New Roman" w:cs="Times New Roman"/>
          <w:noProof/>
          <w:color w:val="000000" w:themeColor="text1"/>
          <w:szCs w:val="24"/>
        </w:rPr>
        <w:t>ar tiesībām uz nodarbinātību</w:t>
      </w:r>
      <w:r w:rsidRPr="001064EE">
        <w:rPr>
          <w:rFonts w:eastAsia="Times New Roman" w:cs="Times New Roman"/>
          <w:noProof/>
          <w:color w:val="000000" w:themeColor="text1"/>
          <w:szCs w:val="24"/>
        </w:rPr>
        <w:t>.</w:t>
      </w:r>
      <w:bookmarkEnd w:id="29"/>
      <w:r w:rsidRPr="001064EE">
        <w:rPr>
          <w:rFonts w:eastAsia="Times New Roman" w:cs="Times New Roman"/>
          <w:noProof/>
          <w:color w:val="000000" w:themeColor="text1"/>
          <w:szCs w:val="24"/>
        </w:rPr>
        <w:t xml:space="preserve"> </w:t>
      </w:r>
      <w:bookmarkEnd w:id="30"/>
      <w:r w:rsidRPr="001064EE">
        <w:rPr>
          <w:rFonts w:eastAsia="Times New Roman" w:cs="Times New Roman"/>
          <w:noProof/>
          <w:color w:val="000000" w:themeColor="text1"/>
          <w:szCs w:val="24"/>
        </w:rPr>
        <w:t>20</w:t>
      </w:r>
      <w:r w:rsidRPr="003220ED">
        <w:rPr>
          <w:rFonts w:eastAsia="Times New Roman" w:cs="Times New Roman"/>
          <w:noProof/>
          <w:color w:val="000000" w:themeColor="text1"/>
          <w:szCs w:val="24"/>
        </w:rPr>
        <w:t>22.</w:t>
      </w:r>
      <w:r>
        <w:rPr>
          <w:rFonts w:eastAsia="Times New Roman" w:cs="Times New Roman"/>
          <w:noProof/>
          <w:color w:val="000000" w:themeColor="text1"/>
          <w:szCs w:val="24"/>
        </w:rPr>
        <w:t> </w:t>
      </w:r>
      <w:r w:rsidRPr="003220ED">
        <w:rPr>
          <w:rFonts w:eastAsia="Times New Roman" w:cs="Times New Roman"/>
          <w:noProof/>
          <w:color w:val="000000" w:themeColor="text1"/>
          <w:szCs w:val="24"/>
        </w:rPr>
        <w:t>gada 3.</w:t>
      </w:r>
      <w:r>
        <w:rPr>
          <w:rFonts w:eastAsia="Times New Roman" w:cs="Times New Roman"/>
          <w:noProof/>
          <w:color w:val="000000" w:themeColor="text1"/>
          <w:szCs w:val="24"/>
        </w:rPr>
        <w:t> </w:t>
      </w:r>
      <w:r w:rsidRPr="003220ED">
        <w:rPr>
          <w:rFonts w:eastAsia="Times New Roman" w:cs="Times New Roman"/>
          <w:noProof/>
          <w:color w:val="000000" w:themeColor="text1"/>
          <w:szCs w:val="24"/>
        </w:rPr>
        <w:t xml:space="preserve">martā Saeima pieņēma </w:t>
      </w:r>
      <w:r w:rsidRPr="003220ED">
        <w:rPr>
          <w:rFonts w:cs="Times New Roman"/>
          <w:noProof/>
          <w:color w:val="000000" w:themeColor="text1"/>
          <w:szCs w:val="24"/>
          <w:shd w:val="clear" w:color="auto" w:fill="FFFFFF"/>
        </w:rPr>
        <w:t>Ukrainas civiliedzīvotāju atbalsta likumu, kurā noteikta kārtība atbalsta sniegšanai termiņā līdz 120 dienām.</w:t>
      </w:r>
      <w:r w:rsidRPr="003220ED">
        <w:rPr>
          <w:rFonts w:eastAsia="Times New Roman" w:cs="Times New Roman"/>
          <w:noProof/>
          <w:color w:val="000000" w:themeColor="text1"/>
          <w:szCs w:val="24"/>
        </w:rPr>
        <w:t xml:space="preserve"> Ukrainas iedzīvotājiem, kuri ieceļojuši Latvijā, tiek sniegta sociālā palīdzība un nodrošināti sociālie pakalpojumi. Tiek segti ēdināšanas un izmitināšanas izdevumi, pašvaldības izmaksā </w:t>
      </w:r>
      <w:r w:rsidRPr="003220ED">
        <w:rPr>
          <w:rFonts w:cs="Times New Roman"/>
          <w:noProof/>
          <w:color w:val="000000" w:themeColor="text1"/>
          <w:szCs w:val="24"/>
          <w:shd w:val="clear" w:color="auto" w:fill="FFFFFF"/>
        </w:rPr>
        <w:t xml:space="preserve">vienreizēju pabalstu krīzes situācijā </w:t>
      </w:r>
      <w:r w:rsidRPr="00B35A18">
        <w:rPr>
          <w:rFonts w:cs="Times New Roman"/>
          <w:noProof/>
          <w:color w:val="000000" w:themeColor="text1"/>
          <w:szCs w:val="24"/>
          <w:shd w:val="clear" w:color="auto" w:fill="FFFFFF"/>
        </w:rPr>
        <w:t>272 </w:t>
      </w:r>
      <w:r w:rsidRPr="00B35A18">
        <w:rPr>
          <w:rFonts w:cs="Times New Roman"/>
          <w:i/>
          <w:iCs/>
          <w:noProof/>
          <w:color w:val="000000" w:themeColor="text1"/>
          <w:szCs w:val="24"/>
          <w:shd w:val="clear" w:color="auto" w:fill="FFFFFF"/>
        </w:rPr>
        <w:t>euro</w:t>
      </w:r>
      <w:r w:rsidRPr="00B35A18">
        <w:rPr>
          <w:rFonts w:cs="Times New Roman"/>
          <w:noProof/>
          <w:color w:val="000000" w:themeColor="text1"/>
          <w:szCs w:val="24"/>
          <w:shd w:val="clear" w:color="auto" w:fill="FFFFFF"/>
        </w:rPr>
        <w:t> pilngadīgai personai un 190 </w:t>
      </w:r>
      <w:r w:rsidRPr="00B35A18">
        <w:rPr>
          <w:rFonts w:cs="Times New Roman"/>
          <w:i/>
          <w:iCs/>
          <w:noProof/>
          <w:color w:val="000000" w:themeColor="text1"/>
          <w:szCs w:val="24"/>
          <w:shd w:val="clear" w:color="auto" w:fill="FFFFFF"/>
        </w:rPr>
        <w:t>euro</w:t>
      </w:r>
      <w:r w:rsidRPr="00B35A18">
        <w:rPr>
          <w:rFonts w:cs="Times New Roman"/>
          <w:noProof/>
          <w:color w:val="000000" w:themeColor="text1"/>
          <w:szCs w:val="24"/>
          <w:shd w:val="clear" w:color="auto" w:fill="FFFFFF"/>
        </w:rPr>
        <w:t xml:space="preserve"> par katru bērnu. </w:t>
      </w:r>
      <w:r w:rsidRPr="00B35A18">
        <w:rPr>
          <w:rFonts w:eastAsia="Times New Roman" w:cs="Times New Roman"/>
          <w:noProof/>
          <w:color w:val="000000" w:themeColor="text1"/>
          <w:szCs w:val="24"/>
        </w:rPr>
        <w:t xml:space="preserve">Tāpat 7,2 milj. </w:t>
      </w:r>
      <w:r w:rsidRPr="00B35A18">
        <w:rPr>
          <w:rFonts w:eastAsia="Times New Roman" w:cs="Times New Roman"/>
          <w:i/>
          <w:iCs/>
          <w:noProof/>
          <w:color w:val="000000" w:themeColor="text1"/>
          <w:szCs w:val="24"/>
        </w:rPr>
        <w:t>euro</w:t>
      </w:r>
      <w:r w:rsidRPr="00B35A18">
        <w:rPr>
          <w:rFonts w:eastAsia="Times New Roman" w:cs="Times New Roman"/>
          <w:noProof/>
          <w:color w:val="000000" w:themeColor="text1"/>
          <w:szCs w:val="24"/>
        </w:rPr>
        <w:t xml:space="preserve"> apmērā ir</w:t>
      </w:r>
      <w:r w:rsidRPr="003220ED">
        <w:rPr>
          <w:rFonts w:eastAsia="Times New Roman" w:cs="Times New Roman"/>
          <w:noProof/>
          <w:color w:val="000000" w:themeColor="text1"/>
          <w:szCs w:val="24"/>
        </w:rPr>
        <w:t xml:space="preserve"> veiktas iemaksas starptautiskajās organizācijās humānās un militārās palīdzības sniegšanai Ukrainai, piešķirts finansējums pirmsskolas izglītības pakalpojuma nodrošināšanai bēgļu bērniem, kā arī līdzekļi latviešu valodas kursiem. Papildus</w:t>
      </w:r>
      <w:r>
        <w:rPr>
          <w:rFonts w:eastAsia="Times New Roman" w:cs="Times New Roman"/>
          <w:noProof/>
          <w:color w:val="000000" w:themeColor="text1"/>
          <w:szCs w:val="24"/>
        </w:rPr>
        <w:t xml:space="preserve"> valsts atbalstam, Latvijas iedzīvotāji ik dienu sniedz palīdzību ukraiņiem uz vietas Latvijā, kā arī ar brīvprātīgo organizāciju koordināciju, tiek izsūtītās humānās palīdzības kravas, ko veido saziedotie līdzekļi.</w:t>
      </w:r>
    </w:p>
    <w:p w14:paraId="3BFEE6D0" w14:textId="681B0967" w:rsidR="00FE3024" w:rsidRDefault="00715F59" w:rsidP="00FE3024">
      <w:pPr>
        <w:jc w:val="center"/>
      </w:pPr>
      <w:r w:rsidRPr="00715F59">
        <w:rPr>
          <w:noProof/>
        </w:rPr>
        <w:drawing>
          <wp:inline distT="0" distB="0" distL="0" distR="0" wp14:anchorId="70449393" wp14:editId="47CF386F">
            <wp:extent cx="2848708" cy="2595821"/>
            <wp:effectExtent l="0" t="0" r="8890" b="0"/>
            <wp:docPr id="7" name="Picture 7"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 waterfall chart&#10;&#10;Description automatically generated"/>
                    <pic:cNvPicPr/>
                  </pic:nvPicPr>
                  <pic:blipFill>
                    <a:blip r:embed="rId34"/>
                    <a:stretch>
                      <a:fillRect/>
                    </a:stretch>
                  </pic:blipFill>
                  <pic:spPr>
                    <a:xfrm>
                      <a:off x="0" y="0"/>
                      <a:ext cx="2872099" cy="2617136"/>
                    </a:xfrm>
                    <a:prstGeom prst="rect">
                      <a:avLst/>
                    </a:prstGeom>
                  </pic:spPr>
                </pic:pic>
              </a:graphicData>
            </a:graphic>
          </wp:inline>
        </w:drawing>
      </w:r>
    </w:p>
    <w:p w14:paraId="3CE99F77" w14:textId="74E4BCF8" w:rsidR="00FE3024" w:rsidRPr="00202712" w:rsidRDefault="00FE3024" w:rsidP="00FE3024">
      <w:pPr>
        <w:jc w:val="center"/>
        <w:rPr>
          <w:highlight w:val="green"/>
        </w:rPr>
      </w:pPr>
      <w:r w:rsidRPr="005929B5">
        <w:rPr>
          <w:b/>
          <w:bCs/>
          <w:szCs w:val="24"/>
        </w:rPr>
        <w:t>2</w:t>
      </w:r>
      <w:r>
        <w:rPr>
          <w:b/>
          <w:bCs/>
          <w:szCs w:val="24"/>
        </w:rPr>
        <w:t>7</w:t>
      </w:r>
      <w:r w:rsidRPr="005929B5">
        <w:rPr>
          <w:b/>
          <w:bCs/>
          <w:szCs w:val="24"/>
        </w:rPr>
        <w:t>.</w:t>
      </w:r>
      <w:r>
        <w:rPr>
          <w:b/>
          <w:bCs/>
          <w:szCs w:val="24"/>
        </w:rPr>
        <w:t> </w:t>
      </w:r>
      <w:r w:rsidRPr="005929B5">
        <w:rPr>
          <w:b/>
          <w:bCs/>
          <w:szCs w:val="24"/>
        </w:rPr>
        <w:t xml:space="preserve">attēls. </w:t>
      </w:r>
      <w:r w:rsidR="00AD4588">
        <w:rPr>
          <w:b/>
          <w:bCs/>
          <w:szCs w:val="24"/>
        </w:rPr>
        <w:t>Atbalsts</w:t>
      </w:r>
      <w:r w:rsidRPr="005929B5">
        <w:rPr>
          <w:b/>
          <w:bCs/>
          <w:szCs w:val="24"/>
        </w:rPr>
        <w:t xml:space="preserve"> Ukrainas civiliedzīvotāj</w:t>
      </w:r>
      <w:r w:rsidR="00AD4588">
        <w:rPr>
          <w:b/>
          <w:bCs/>
          <w:szCs w:val="24"/>
        </w:rPr>
        <w:t>iem</w:t>
      </w:r>
      <w:r w:rsidR="00E408C9">
        <w:rPr>
          <w:rStyle w:val="FootnoteReference"/>
          <w:b/>
          <w:bCs/>
          <w:szCs w:val="24"/>
        </w:rPr>
        <w:footnoteReference w:id="2"/>
      </w:r>
      <w:r w:rsidRPr="005929B5">
        <w:rPr>
          <w:b/>
          <w:bCs/>
          <w:szCs w:val="24"/>
        </w:rPr>
        <w:t xml:space="preserve">, </w:t>
      </w:r>
      <w:r w:rsidRPr="005929B5">
        <w:rPr>
          <w:b/>
          <w:bCs/>
          <w:noProof/>
          <w:szCs w:val="24"/>
        </w:rPr>
        <w:t xml:space="preserve">milj. </w:t>
      </w:r>
      <w:r w:rsidRPr="000D4ED5">
        <w:rPr>
          <w:b/>
          <w:bCs/>
          <w:i/>
          <w:iCs/>
          <w:noProof/>
          <w:szCs w:val="24"/>
        </w:rPr>
        <w:t>euro</w:t>
      </w:r>
      <w:r w:rsidR="00E408C9">
        <w:rPr>
          <w:b/>
          <w:bCs/>
          <w:i/>
          <w:iCs/>
          <w:noProof/>
          <w:szCs w:val="24"/>
        </w:rPr>
        <w:t xml:space="preserve"> </w:t>
      </w:r>
      <w:r w:rsidR="00E408C9" w:rsidRPr="00E408C9">
        <w:rPr>
          <w:b/>
          <w:bCs/>
          <w:noProof/>
          <w:szCs w:val="24"/>
        </w:rPr>
        <w:t>un % no IKP</w:t>
      </w:r>
    </w:p>
    <w:p w14:paraId="3BC00076" w14:textId="77777777" w:rsidR="005700B6" w:rsidRDefault="005700B6">
      <w:pPr>
        <w:spacing w:before="0" w:after="0"/>
        <w:ind w:firstLine="0"/>
        <w:jc w:val="left"/>
        <w:rPr>
          <w:rFonts w:eastAsiaTheme="majorEastAsia" w:cstheme="majorBidi"/>
          <w:b/>
          <w:sz w:val="28"/>
          <w:szCs w:val="28"/>
        </w:rPr>
      </w:pPr>
      <w:r>
        <w:rPr>
          <w:sz w:val="28"/>
          <w:szCs w:val="28"/>
        </w:rPr>
        <w:br w:type="page"/>
      </w:r>
    </w:p>
    <w:p w14:paraId="55AE1EB6" w14:textId="7E5AA17B" w:rsidR="008C2A5C" w:rsidRDefault="00377CA0" w:rsidP="008C63F6">
      <w:pPr>
        <w:pStyle w:val="Heading1"/>
        <w:ind w:left="360"/>
        <w:rPr>
          <w:sz w:val="28"/>
          <w:szCs w:val="28"/>
        </w:rPr>
      </w:pPr>
      <w:bookmarkStart w:id="31" w:name="_Toc122369563"/>
      <w:r w:rsidRPr="008C2A5C">
        <w:rPr>
          <w:sz w:val="28"/>
          <w:szCs w:val="28"/>
        </w:rPr>
        <w:lastRenderedPageBreak/>
        <w:t>Vispārējās valdības budžeta bilances prognoze</w:t>
      </w:r>
      <w:r w:rsidR="003714E5">
        <w:rPr>
          <w:sz w:val="28"/>
          <w:szCs w:val="28"/>
        </w:rPr>
        <w:t xml:space="preserve"> </w:t>
      </w:r>
      <w:r w:rsidRPr="008C2A5C">
        <w:rPr>
          <w:sz w:val="28"/>
          <w:szCs w:val="28"/>
        </w:rPr>
        <w:t>pie nemainīgas valdības politikas 202</w:t>
      </w:r>
      <w:r w:rsidR="0027377E" w:rsidRPr="008C2A5C">
        <w:rPr>
          <w:sz w:val="28"/>
          <w:szCs w:val="28"/>
        </w:rPr>
        <w:t>3</w:t>
      </w:r>
      <w:r w:rsidRPr="008C2A5C">
        <w:rPr>
          <w:sz w:val="28"/>
          <w:szCs w:val="28"/>
        </w:rPr>
        <w:t>.-202</w:t>
      </w:r>
      <w:r w:rsidR="0027377E" w:rsidRPr="008C2A5C">
        <w:rPr>
          <w:sz w:val="28"/>
          <w:szCs w:val="28"/>
        </w:rPr>
        <w:t>5</w:t>
      </w:r>
      <w:r w:rsidRPr="008C2A5C">
        <w:rPr>
          <w:sz w:val="28"/>
          <w:szCs w:val="28"/>
        </w:rPr>
        <w:t>.</w:t>
      </w:r>
      <w:r w:rsidR="00F51ED8">
        <w:rPr>
          <w:sz w:val="28"/>
          <w:szCs w:val="28"/>
        </w:rPr>
        <w:t> </w:t>
      </w:r>
      <w:r w:rsidRPr="008C2A5C">
        <w:rPr>
          <w:sz w:val="28"/>
          <w:szCs w:val="28"/>
        </w:rPr>
        <w:t>gadam</w:t>
      </w:r>
      <w:bookmarkEnd w:id="27"/>
      <w:bookmarkEnd w:id="31"/>
    </w:p>
    <w:p w14:paraId="701A07A1" w14:textId="55FB2AC7" w:rsidR="0027377E" w:rsidRDefault="0027377E" w:rsidP="00553819">
      <w:pPr>
        <w:spacing w:before="60" w:after="60"/>
        <w:rPr>
          <w:color w:val="000000" w:themeColor="text1"/>
        </w:rPr>
      </w:pPr>
      <w:r w:rsidRPr="008C2A5C">
        <w:rPr>
          <w:color w:val="000000" w:themeColor="text1"/>
        </w:rPr>
        <w:t xml:space="preserve">Finanšu ministrija ir aktualizējusi vispārējās valdības budžeta bilances vidējam termiņam, ņemot vērā Valsts kases datus par konsolidētā kopbudžeta izpildi šā gada pirmajos </w:t>
      </w:r>
      <w:r w:rsidR="00F70CA8">
        <w:rPr>
          <w:color w:val="000000" w:themeColor="text1"/>
        </w:rPr>
        <w:t>desmit</w:t>
      </w:r>
      <w:r w:rsidRPr="008C2A5C">
        <w:rPr>
          <w:color w:val="000000" w:themeColor="text1"/>
        </w:rPr>
        <w:t xml:space="preserve"> mēnešos, aktualizētās nodokļu un </w:t>
      </w:r>
      <w:r w:rsidRPr="008C2A5C">
        <w:rPr>
          <w:noProof/>
          <w:color w:val="000000" w:themeColor="text1"/>
        </w:rPr>
        <w:t>nenodokļu ieņēmumu prognozes, valsts pamatbudžeta un speciālā budžeta bāzes izdevumus</w:t>
      </w:r>
      <w:r w:rsidRPr="008C2A5C">
        <w:rPr>
          <w:color w:val="000000" w:themeColor="text1"/>
        </w:rPr>
        <w:t xml:space="preserve"> vidējam termiņam</w:t>
      </w:r>
      <w:r w:rsidR="003714E5">
        <w:rPr>
          <w:color w:val="000000" w:themeColor="text1"/>
        </w:rPr>
        <w:t xml:space="preserve">, kā arī ņemot vērā valdības pieņemtos lēmumus </w:t>
      </w:r>
      <w:r w:rsidR="00F51ED8">
        <w:rPr>
          <w:color w:val="000000" w:themeColor="text1"/>
        </w:rPr>
        <w:t xml:space="preserve">par atbalsta pasākumiem </w:t>
      </w:r>
      <w:r w:rsidR="003714E5">
        <w:rPr>
          <w:color w:val="000000" w:themeColor="text1"/>
        </w:rPr>
        <w:t xml:space="preserve">līdz šā </w:t>
      </w:r>
      <w:r w:rsidR="003714E5">
        <w:rPr>
          <w:noProof/>
          <w:color w:val="000000" w:themeColor="text1"/>
        </w:rPr>
        <w:t xml:space="preserve">gada </w:t>
      </w:r>
      <w:r w:rsidR="00DF2698" w:rsidRPr="00F51ED8">
        <w:rPr>
          <w:noProof/>
          <w:color w:val="000000" w:themeColor="text1"/>
        </w:rPr>
        <w:t>6</w:t>
      </w:r>
      <w:r w:rsidR="003714E5" w:rsidRPr="00F51ED8">
        <w:rPr>
          <w:noProof/>
          <w:color w:val="000000" w:themeColor="text1"/>
        </w:rPr>
        <w:t>. </w:t>
      </w:r>
      <w:r w:rsidR="007C2042" w:rsidRPr="00F51ED8">
        <w:rPr>
          <w:noProof/>
          <w:color w:val="000000" w:themeColor="text1"/>
        </w:rPr>
        <w:t>decembrim</w:t>
      </w:r>
      <w:r w:rsidR="00AD6B0A">
        <w:rPr>
          <w:color w:val="000000" w:themeColor="text1"/>
        </w:rPr>
        <w:t xml:space="preserve"> (ieskaitot)</w:t>
      </w:r>
      <w:r w:rsidR="003714E5">
        <w:rPr>
          <w:color w:val="000000" w:themeColor="text1"/>
        </w:rPr>
        <w:t xml:space="preserve">. </w:t>
      </w:r>
    </w:p>
    <w:p w14:paraId="7B40F10E" w14:textId="707AAF95" w:rsidR="0094183F" w:rsidRDefault="00427EBB" w:rsidP="0094183F">
      <w:pPr>
        <w:rPr>
          <w:color w:val="000000" w:themeColor="text1"/>
        </w:rPr>
      </w:pPr>
      <w:r w:rsidRPr="0030039E">
        <w:rPr>
          <w:color w:val="000000" w:themeColor="text1"/>
        </w:rPr>
        <w:t xml:space="preserve">Aktualizētais vispārējās valdības budžeta </w:t>
      </w:r>
      <w:r w:rsidRPr="00F51ED8">
        <w:rPr>
          <w:color w:val="000000" w:themeColor="text1"/>
        </w:rPr>
        <w:t xml:space="preserve">deficīts </w:t>
      </w:r>
      <w:r w:rsidRPr="001A6678">
        <w:rPr>
          <w:b/>
          <w:bCs/>
          <w:color w:val="000000" w:themeColor="text1"/>
        </w:rPr>
        <w:t>2022. gadam</w:t>
      </w:r>
      <w:r w:rsidRPr="00F51ED8">
        <w:rPr>
          <w:color w:val="000000" w:themeColor="text1"/>
        </w:rPr>
        <w:t xml:space="preserve"> tiek</w:t>
      </w:r>
      <w:r w:rsidR="00FC2060" w:rsidRPr="00F51ED8">
        <w:rPr>
          <w:color w:val="000000" w:themeColor="text1"/>
        </w:rPr>
        <w:t xml:space="preserve"> novērtēts</w:t>
      </w:r>
      <w:r w:rsidRPr="0030039E">
        <w:rPr>
          <w:color w:val="000000" w:themeColor="text1"/>
        </w:rPr>
        <w:t xml:space="preserve"> </w:t>
      </w:r>
      <w:r w:rsidR="007C2042">
        <w:rPr>
          <w:color w:val="000000" w:themeColor="text1"/>
        </w:rPr>
        <w:t>5</w:t>
      </w:r>
      <w:r w:rsidRPr="0030039E">
        <w:rPr>
          <w:color w:val="000000" w:themeColor="text1"/>
        </w:rPr>
        <w:t>,</w:t>
      </w:r>
      <w:r w:rsidR="00FC2060">
        <w:rPr>
          <w:color w:val="000000" w:themeColor="text1"/>
        </w:rPr>
        <w:t>0</w:t>
      </w:r>
      <w:r w:rsidRPr="0030039E">
        <w:rPr>
          <w:color w:val="000000" w:themeColor="text1"/>
        </w:rPr>
        <w:t xml:space="preserve">% no IKP </w:t>
      </w:r>
      <w:r w:rsidR="00FC2060">
        <w:rPr>
          <w:color w:val="000000" w:themeColor="text1"/>
        </w:rPr>
        <w:t>apmērā</w:t>
      </w:r>
      <w:r w:rsidR="00A74D1D">
        <w:rPr>
          <w:color w:val="000000" w:themeColor="text1"/>
        </w:rPr>
        <w:t>,</w:t>
      </w:r>
      <w:r w:rsidR="00F51ED8">
        <w:rPr>
          <w:color w:val="000000" w:themeColor="text1"/>
        </w:rPr>
        <w:t xml:space="preserve"> un tas ir</w:t>
      </w:r>
      <w:r w:rsidR="00F70CA8">
        <w:rPr>
          <w:color w:val="000000" w:themeColor="text1"/>
        </w:rPr>
        <w:t xml:space="preserve"> par 2 procentpunktiem zemāks </w:t>
      </w:r>
      <w:r w:rsidR="00F51ED8">
        <w:rPr>
          <w:color w:val="000000" w:themeColor="text1"/>
        </w:rPr>
        <w:t>ne</w:t>
      </w:r>
      <w:r w:rsidR="00F70CA8">
        <w:rPr>
          <w:color w:val="000000" w:themeColor="text1"/>
        </w:rPr>
        <w:t xml:space="preserve">kā </w:t>
      </w:r>
      <w:r w:rsidR="00F51ED8">
        <w:rPr>
          <w:color w:val="000000" w:themeColor="text1"/>
        </w:rPr>
        <w:t xml:space="preserve">prognozēts iepriekš (skat. </w:t>
      </w:r>
      <w:r w:rsidR="00F70CA8">
        <w:rPr>
          <w:color w:val="000000" w:themeColor="text1"/>
        </w:rPr>
        <w:t xml:space="preserve">Ministru kabinetā </w:t>
      </w:r>
      <w:r w:rsidR="00A74D1D">
        <w:rPr>
          <w:color w:val="000000" w:themeColor="text1"/>
        </w:rPr>
        <w:t>2022. gada</w:t>
      </w:r>
      <w:r w:rsidR="00F70CA8">
        <w:rPr>
          <w:color w:val="000000" w:themeColor="text1"/>
        </w:rPr>
        <w:t xml:space="preserve"> 11.</w:t>
      </w:r>
      <w:r w:rsidR="00F51ED8">
        <w:rPr>
          <w:color w:val="000000" w:themeColor="text1"/>
        </w:rPr>
        <w:t> </w:t>
      </w:r>
      <w:r w:rsidR="00F70CA8">
        <w:rPr>
          <w:color w:val="000000" w:themeColor="text1"/>
        </w:rPr>
        <w:t>oktobr</w:t>
      </w:r>
      <w:r w:rsidR="00A74D1D">
        <w:rPr>
          <w:color w:val="000000" w:themeColor="text1"/>
        </w:rPr>
        <w:t>a sēdē izskatīto</w:t>
      </w:r>
      <w:r w:rsidR="00F70CA8">
        <w:rPr>
          <w:color w:val="000000" w:themeColor="text1"/>
        </w:rPr>
        <w:t xml:space="preserve"> informatī</w:t>
      </w:r>
      <w:r w:rsidR="00A74D1D">
        <w:rPr>
          <w:color w:val="000000" w:themeColor="text1"/>
        </w:rPr>
        <w:t>vo</w:t>
      </w:r>
      <w:r w:rsidR="00F70CA8">
        <w:rPr>
          <w:color w:val="000000" w:themeColor="text1"/>
        </w:rPr>
        <w:t xml:space="preserve"> ziņojum</w:t>
      </w:r>
      <w:r w:rsidR="00A74D1D">
        <w:rPr>
          <w:color w:val="000000" w:themeColor="text1"/>
        </w:rPr>
        <w:t>u</w:t>
      </w:r>
      <w:r w:rsidR="00F70CA8">
        <w:rPr>
          <w:color w:val="000000" w:themeColor="text1"/>
        </w:rPr>
        <w:t xml:space="preserve"> </w:t>
      </w:r>
      <w:r w:rsidR="00F70CA8" w:rsidRPr="007C2042">
        <w:rPr>
          <w:color w:val="000000" w:themeColor="text1"/>
        </w:rPr>
        <w:t xml:space="preserve">„Par makroekonomisko rādītāju, </w:t>
      </w:r>
      <w:r w:rsidR="00F70CA8" w:rsidRPr="00313290">
        <w:rPr>
          <w:color w:val="000000" w:themeColor="text1"/>
        </w:rPr>
        <w:t>ieņēmumu un vispārējās valdības budžeta bilances prognozēm 2023.-2025.gadā”</w:t>
      </w:r>
      <w:r w:rsidR="001A6678">
        <w:rPr>
          <w:color w:val="000000" w:themeColor="text1"/>
        </w:rPr>
        <w:t xml:space="preserve"> un 28. attēlu</w:t>
      </w:r>
      <w:r w:rsidR="00A74D1D">
        <w:rPr>
          <w:color w:val="000000" w:themeColor="text1"/>
        </w:rPr>
        <w:t>).</w:t>
      </w:r>
    </w:p>
    <w:p w14:paraId="74637B51" w14:textId="43832BF2" w:rsidR="00A0791E" w:rsidRPr="00963A08" w:rsidRDefault="00A0791E" w:rsidP="001A6678">
      <w:pPr>
        <w:ind w:firstLine="0"/>
        <w:jc w:val="center"/>
        <w:rPr>
          <w:color w:val="000000" w:themeColor="text1"/>
        </w:rPr>
      </w:pPr>
      <w:r w:rsidRPr="00A0791E">
        <w:rPr>
          <w:noProof/>
        </w:rPr>
        <w:drawing>
          <wp:inline distT="0" distB="0" distL="0" distR="0" wp14:anchorId="53B33946" wp14:editId="57A3FD65">
            <wp:extent cx="5760085" cy="333184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085" cy="3331845"/>
                    </a:xfrm>
                    <a:prstGeom prst="rect">
                      <a:avLst/>
                    </a:prstGeom>
                    <a:noFill/>
                    <a:ln>
                      <a:noFill/>
                    </a:ln>
                  </pic:spPr>
                </pic:pic>
              </a:graphicData>
            </a:graphic>
          </wp:inline>
        </w:drawing>
      </w:r>
    </w:p>
    <w:p w14:paraId="5D4750AF" w14:textId="4F8C67AD" w:rsidR="00DD5336" w:rsidRDefault="006426B3" w:rsidP="00862CE6">
      <w:pPr>
        <w:jc w:val="center"/>
        <w:rPr>
          <w:rFonts w:eastAsia="Calibri"/>
          <w:b/>
          <w:iCs/>
          <w:noProof/>
        </w:rPr>
      </w:pPr>
      <w:r w:rsidRPr="00963A08">
        <w:rPr>
          <w:rFonts w:eastAsia="Calibri"/>
          <w:b/>
          <w:iCs/>
          <w:noProof/>
        </w:rPr>
        <w:t>2</w:t>
      </w:r>
      <w:r w:rsidR="00F51ED8">
        <w:rPr>
          <w:rFonts w:eastAsia="Calibri"/>
          <w:b/>
          <w:iCs/>
          <w:noProof/>
        </w:rPr>
        <w:t>8</w:t>
      </w:r>
      <w:r w:rsidRPr="00963A08">
        <w:rPr>
          <w:rFonts w:eastAsia="Calibri"/>
          <w:b/>
          <w:iCs/>
          <w:noProof/>
        </w:rPr>
        <w:t xml:space="preserve">. attēls. Vispārējās valdības budžeta </w:t>
      </w:r>
      <w:r w:rsidR="001A6678">
        <w:rPr>
          <w:rFonts w:eastAsia="Calibri"/>
          <w:b/>
          <w:iCs/>
          <w:noProof/>
        </w:rPr>
        <w:t xml:space="preserve">ieņēmumi, izdevumi un </w:t>
      </w:r>
      <w:r w:rsidRPr="00963A08">
        <w:rPr>
          <w:rFonts w:eastAsia="Calibri"/>
          <w:b/>
          <w:iCs/>
          <w:noProof/>
        </w:rPr>
        <w:t>bilance, % no IKP</w:t>
      </w:r>
    </w:p>
    <w:p w14:paraId="0A930515" w14:textId="33F6C4B4" w:rsidR="008328F2" w:rsidRPr="0030039E" w:rsidRDefault="00313290" w:rsidP="006426B3">
      <w:pPr>
        <w:rPr>
          <w:noProof/>
          <w:color w:val="000000" w:themeColor="text1"/>
        </w:rPr>
      </w:pPr>
      <w:r w:rsidRPr="00313290">
        <w:rPr>
          <w:noProof/>
          <w:color w:val="000000" w:themeColor="text1"/>
        </w:rPr>
        <w:t>Šogad Krievijas uzsāktā kara Ukrainā ietekmē izraisītais straujais energoresursu cenu pieaugums veicinājis spēju kopējā preču un pakalpojumu cenu līmeņa celšanos, tādējādi nodokļu ieņēmumi šogad bijuši būtiski augstāki kā iepriekš plānots. Salīdzinot ar oktobrī apstiprinātajām prognozēm</w:t>
      </w:r>
      <w:r w:rsidR="001A6678">
        <w:rPr>
          <w:noProof/>
          <w:color w:val="000000" w:themeColor="text1"/>
        </w:rPr>
        <w:t>,</w:t>
      </w:r>
      <w:r w:rsidRPr="00313290">
        <w:rPr>
          <w:noProof/>
          <w:color w:val="000000" w:themeColor="text1"/>
        </w:rPr>
        <w:t xml:space="preserve"> šogad palielināts novērtējums gan par sagaidāmo nodokļu, gan arī nenodokļu ieņēmumu apmēru, kas būtiski uzlabo bilances apmēru. Tāpat Finanšu ministrija veikusi šogad apstiprināto plašo atbalstu faktiskās un sagaidāmās izpildes novērtējumu, tādējādi gada pēdējiem mēnešiem un šogad kopumā paredzot zemāku izdevumu līmeni kā tika plānots. Galvenās izmaiņas salīdzinājumā ar </w:t>
      </w:r>
      <w:r w:rsidR="001A6678">
        <w:rPr>
          <w:noProof/>
          <w:color w:val="000000" w:themeColor="text1"/>
        </w:rPr>
        <w:t xml:space="preserve">šā gada oktobrī </w:t>
      </w:r>
      <w:r w:rsidRPr="00313290">
        <w:rPr>
          <w:noProof/>
          <w:color w:val="000000" w:themeColor="text1"/>
        </w:rPr>
        <w:t>apstiprinātajām prognozēm apkopotas</w:t>
      </w:r>
      <w:r w:rsidR="005F7C2B" w:rsidRPr="00313290">
        <w:rPr>
          <w:rFonts w:eastAsia="Times New Roman" w:cs="Times New Roman"/>
          <w:noProof/>
          <w:color w:val="000000"/>
          <w:szCs w:val="24"/>
        </w:rPr>
        <w:t xml:space="preserve"> 2</w:t>
      </w:r>
      <w:r w:rsidR="001A6678">
        <w:rPr>
          <w:rFonts w:eastAsia="Times New Roman" w:cs="Times New Roman"/>
          <w:noProof/>
          <w:color w:val="000000"/>
          <w:szCs w:val="24"/>
        </w:rPr>
        <w:t>9</w:t>
      </w:r>
      <w:r w:rsidR="005F7C2B" w:rsidRPr="00313290">
        <w:rPr>
          <w:rFonts w:eastAsia="Times New Roman" w:cs="Times New Roman"/>
          <w:noProof/>
          <w:color w:val="000000"/>
          <w:szCs w:val="24"/>
        </w:rPr>
        <w:t>. attēl</w:t>
      </w:r>
      <w:r w:rsidRPr="00313290">
        <w:rPr>
          <w:rFonts w:eastAsia="Times New Roman" w:cs="Times New Roman"/>
          <w:noProof/>
          <w:color w:val="000000"/>
          <w:szCs w:val="24"/>
        </w:rPr>
        <w:t>ā</w:t>
      </w:r>
      <w:r w:rsidR="00357F80" w:rsidRPr="00313290">
        <w:rPr>
          <w:rFonts w:eastAsia="Times New Roman" w:cs="Times New Roman"/>
          <w:noProof/>
          <w:color w:val="000000"/>
          <w:szCs w:val="24"/>
        </w:rPr>
        <w:t>.</w:t>
      </w:r>
    </w:p>
    <w:p w14:paraId="7BAE79DB" w14:textId="5023FFC8" w:rsidR="006426B3" w:rsidRDefault="006426B3" w:rsidP="006426B3">
      <w:pPr>
        <w:jc w:val="center"/>
        <w:rPr>
          <w:b/>
          <w:color w:val="000000" w:themeColor="text1"/>
        </w:rPr>
      </w:pPr>
    </w:p>
    <w:p w14:paraId="5D10D2EC" w14:textId="09C87711" w:rsidR="00DD5336" w:rsidRDefault="00DD5336" w:rsidP="006426B3">
      <w:pPr>
        <w:jc w:val="center"/>
        <w:rPr>
          <w:b/>
          <w:color w:val="000000" w:themeColor="text1"/>
        </w:rPr>
      </w:pPr>
    </w:p>
    <w:p w14:paraId="47778989" w14:textId="2FD59C1E" w:rsidR="001A6678" w:rsidRDefault="001A6678" w:rsidP="006426B3">
      <w:pPr>
        <w:jc w:val="center"/>
        <w:rPr>
          <w:b/>
          <w:color w:val="000000" w:themeColor="text1"/>
        </w:rPr>
      </w:pPr>
    </w:p>
    <w:p w14:paraId="6593CF88" w14:textId="56AFA1C4" w:rsidR="00A0791E" w:rsidRDefault="006A7261" w:rsidP="006426B3">
      <w:pPr>
        <w:jc w:val="center"/>
        <w:rPr>
          <w:b/>
          <w:color w:val="000000" w:themeColor="text1"/>
        </w:rPr>
      </w:pPr>
      <w:r w:rsidRPr="006A7261">
        <w:rPr>
          <w:noProof/>
        </w:rPr>
        <w:lastRenderedPageBreak/>
        <w:drawing>
          <wp:inline distT="0" distB="0" distL="0" distR="0" wp14:anchorId="14A6651B" wp14:editId="12D5D192">
            <wp:extent cx="5040000" cy="32070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40000" cy="3207020"/>
                    </a:xfrm>
                    <a:prstGeom prst="rect">
                      <a:avLst/>
                    </a:prstGeom>
                    <a:noFill/>
                    <a:ln>
                      <a:noFill/>
                    </a:ln>
                  </pic:spPr>
                </pic:pic>
              </a:graphicData>
            </a:graphic>
          </wp:inline>
        </w:drawing>
      </w:r>
    </w:p>
    <w:p w14:paraId="266F13B3" w14:textId="725853B3" w:rsidR="00225C99" w:rsidRPr="001A6678" w:rsidRDefault="006426B3" w:rsidP="00862CE6">
      <w:pPr>
        <w:jc w:val="center"/>
        <w:rPr>
          <w:rFonts w:eastAsia="Calibri"/>
          <w:b/>
          <w:i/>
          <w:noProof/>
        </w:rPr>
      </w:pPr>
      <w:r w:rsidRPr="001A6678">
        <w:rPr>
          <w:rFonts w:eastAsia="Calibri"/>
          <w:b/>
          <w:iCs/>
          <w:noProof/>
        </w:rPr>
        <w:t>2</w:t>
      </w:r>
      <w:r w:rsidR="001A6678" w:rsidRPr="001A6678">
        <w:rPr>
          <w:rFonts w:eastAsia="Calibri"/>
          <w:b/>
          <w:iCs/>
          <w:noProof/>
        </w:rPr>
        <w:t>9</w:t>
      </w:r>
      <w:r w:rsidRPr="001A6678">
        <w:rPr>
          <w:rFonts w:eastAsia="Calibri"/>
          <w:b/>
          <w:iCs/>
          <w:noProof/>
        </w:rPr>
        <w:t xml:space="preserve">. attēls. Vispārējās valdības budžeta bilances izmaiņas salīdzinājumā ar </w:t>
      </w:r>
      <w:r w:rsidR="001A6678" w:rsidRPr="001A6678">
        <w:rPr>
          <w:rFonts w:eastAsia="Calibri"/>
          <w:b/>
          <w:iCs/>
          <w:noProof/>
        </w:rPr>
        <w:t>2022. gada oktobrī apstiprinātajām prognozēm</w:t>
      </w:r>
      <w:r w:rsidRPr="001A6678">
        <w:rPr>
          <w:rFonts w:eastAsia="Calibri"/>
          <w:b/>
          <w:iCs/>
          <w:noProof/>
        </w:rPr>
        <w:t xml:space="preserve">, milj. </w:t>
      </w:r>
      <w:r w:rsidRPr="001A6678">
        <w:rPr>
          <w:rFonts w:eastAsia="Calibri"/>
          <w:b/>
          <w:i/>
          <w:noProof/>
        </w:rPr>
        <w:t>euro</w:t>
      </w:r>
    </w:p>
    <w:p w14:paraId="60C9D8AE" w14:textId="1E86ED89" w:rsidR="00427EBB" w:rsidRDefault="00427EBB" w:rsidP="00321FB5">
      <w:pPr>
        <w:rPr>
          <w:color w:val="000000" w:themeColor="text1"/>
        </w:rPr>
      </w:pPr>
      <w:r w:rsidRPr="003E3163">
        <w:rPr>
          <w:b/>
          <w:color w:val="000000" w:themeColor="text1"/>
        </w:rPr>
        <w:t>2023. -2025. gadā</w:t>
      </w:r>
      <w:r w:rsidRPr="003E3163">
        <w:rPr>
          <w:color w:val="000000" w:themeColor="text1"/>
        </w:rPr>
        <w:t xml:space="preserve"> vispārējās valdības budžeta deficīts pie nemainīgas valdības politikas </w:t>
      </w:r>
      <w:r w:rsidR="006A7261" w:rsidRPr="003E3163">
        <w:rPr>
          <w:color w:val="000000" w:themeColor="text1"/>
        </w:rPr>
        <w:t xml:space="preserve">2023. gadā </w:t>
      </w:r>
      <w:r w:rsidRPr="003E3163">
        <w:rPr>
          <w:color w:val="000000" w:themeColor="text1"/>
        </w:rPr>
        <w:t xml:space="preserve">tiek </w:t>
      </w:r>
      <w:r w:rsidRPr="007E34B1">
        <w:rPr>
          <w:color w:val="000000" w:themeColor="text1"/>
        </w:rPr>
        <w:t xml:space="preserve">prognozēts </w:t>
      </w:r>
      <w:r w:rsidR="003E3163" w:rsidRPr="007E34B1">
        <w:rPr>
          <w:color w:val="000000" w:themeColor="text1"/>
        </w:rPr>
        <w:t>2,</w:t>
      </w:r>
      <w:r w:rsidR="007E34B1" w:rsidRPr="007E34B1">
        <w:rPr>
          <w:color w:val="000000" w:themeColor="text1"/>
        </w:rPr>
        <w:t>6</w:t>
      </w:r>
      <w:r w:rsidRPr="007E34B1">
        <w:rPr>
          <w:color w:val="000000" w:themeColor="text1"/>
        </w:rPr>
        <w:t>% no IKP</w:t>
      </w:r>
      <w:r w:rsidR="00321FB5">
        <w:rPr>
          <w:color w:val="000000" w:themeColor="text1"/>
        </w:rPr>
        <w:t xml:space="preserve">, </w:t>
      </w:r>
      <w:r w:rsidR="00321FB5" w:rsidRPr="003E3163">
        <w:rPr>
          <w:color w:val="000000" w:themeColor="text1"/>
        </w:rPr>
        <w:t>2024. gadā</w:t>
      </w:r>
      <w:r w:rsidR="00321FB5">
        <w:rPr>
          <w:color w:val="000000" w:themeColor="text1"/>
        </w:rPr>
        <w:t xml:space="preserve"> </w:t>
      </w:r>
      <w:r w:rsidR="006A7261" w:rsidRPr="003E3163">
        <w:rPr>
          <w:color w:val="000000" w:themeColor="text1"/>
        </w:rPr>
        <w:t>0,</w:t>
      </w:r>
      <w:r w:rsidR="006A7261">
        <w:rPr>
          <w:color w:val="000000" w:themeColor="text1"/>
        </w:rPr>
        <w:t>4</w:t>
      </w:r>
      <w:r w:rsidR="006A7261" w:rsidRPr="003E3163">
        <w:rPr>
          <w:color w:val="000000" w:themeColor="text1"/>
        </w:rPr>
        <w:t xml:space="preserve">% no IKP </w:t>
      </w:r>
      <w:r w:rsidR="00321FB5">
        <w:rPr>
          <w:color w:val="000000" w:themeColor="text1"/>
        </w:rPr>
        <w:t xml:space="preserve">un </w:t>
      </w:r>
      <w:r w:rsidR="00321FB5" w:rsidRPr="003E3163">
        <w:rPr>
          <w:color w:val="000000" w:themeColor="text1"/>
        </w:rPr>
        <w:t>2025. gadā</w:t>
      </w:r>
      <w:r w:rsidR="00321FB5">
        <w:rPr>
          <w:color w:val="000000" w:themeColor="text1"/>
        </w:rPr>
        <w:t xml:space="preserve"> </w:t>
      </w:r>
      <w:r w:rsidR="006A7261">
        <w:rPr>
          <w:color w:val="000000" w:themeColor="text1"/>
        </w:rPr>
        <w:t xml:space="preserve">0,4% no IKP </w:t>
      </w:r>
      <w:r w:rsidR="00321FB5" w:rsidRPr="003E3163">
        <w:rPr>
          <w:color w:val="000000" w:themeColor="text1"/>
        </w:rPr>
        <w:t xml:space="preserve">(skat. </w:t>
      </w:r>
      <w:r w:rsidR="00321FB5">
        <w:rPr>
          <w:color w:val="000000" w:themeColor="text1"/>
        </w:rPr>
        <w:t>8</w:t>
      </w:r>
      <w:r w:rsidR="00321FB5" w:rsidRPr="003E3163">
        <w:rPr>
          <w:color w:val="000000" w:themeColor="text1"/>
        </w:rPr>
        <w:t>. tabulu).</w:t>
      </w:r>
    </w:p>
    <w:p w14:paraId="30F9C2D1" w14:textId="3A504E07" w:rsidR="00600564" w:rsidRPr="003E3163" w:rsidRDefault="001717F9" w:rsidP="00600564">
      <w:pPr>
        <w:rPr>
          <w:noProof/>
          <w:color w:val="000000" w:themeColor="text1"/>
        </w:rPr>
      </w:pPr>
      <w:r w:rsidRPr="003E3163">
        <w:rPr>
          <w:color w:val="000000" w:themeColor="text1"/>
        </w:rPr>
        <w:t>Sagatavojot v</w:t>
      </w:r>
      <w:r w:rsidR="0013467D" w:rsidRPr="003E3163">
        <w:rPr>
          <w:color w:val="000000" w:themeColor="text1"/>
        </w:rPr>
        <w:t>ispārējās valdības budžeta bilanc</w:t>
      </w:r>
      <w:r w:rsidR="00600564" w:rsidRPr="003E3163">
        <w:rPr>
          <w:color w:val="000000" w:themeColor="text1"/>
        </w:rPr>
        <w:t>e</w:t>
      </w:r>
      <w:r w:rsidR="0013467D" w:rsidRPr="003E3163">
        <w:rPr>
          <w:color w:val="000000" w:themeColor="text1"/>
        </w:rPr>
        <w:t>s vidējam termiņam</w:t>
      </w:r>
      <w:r w:rsidR="00600564" w:rsidRPr="003E3163">
        <w:rPr>
          <w:color w:val="000000" w:themeColor="text1"/>
        </w:rPr>
        <w:t>,</w:t>
      </w:r>
      <w:r w:rsidR="0013467D" w:rsidRPr="003E3163">
        <w:rPr>
          <w:color w:val="000000" w:themeColor="text1"/>
        </w:rPr>
        <w:t xml:space="preserve"> ir ņemts vērā valdības lēmums š</w:t>
      </w:r>
      <w:r w:rsidR="00600564" w:rsidRPr="003E3163">
        <w:rPr>
          <w:color w:val="000000" w:themeColor="text1"/>
        </w:rPr>
        <w:t xml:space="preserve">ā gada </w:t>
      </w:r>
      <w:r w:rsidR="0013467D" w:rsidRPr="003E3163">
        <w:rPr>
          <w:color w:val="000000" w:themeColor="text1"/>
        </w:rPr>
        <w:t xml:space="preserve">pavasarī </w:t>
      </w:r>
      <w:r w:rsidR="00600564" w:rsidRPr="003E3163">
        <w:rPr>
          <w:color w:val="000000" w:themeColor="text1"/>
        </w:rPr>
        <w:t>kāpināt</w:t>
      </w:r>
      <w:r w:rsidR="0013467D" w:rsidRPr="003E3163">
        <w:rPr>
          <w:color w:val="000000" w:themeColor="text1"/>
        </w:rPr>
        <w:t xml:space="preserve"> </w:t>
      </w:r>
      <w:r w:rsidR="00600564" w:rsidRPr="003E3163">
        <w:rPr>
          <w:color w:val="000000" w:themeColor="text1"/>
        </w:rPr>
        <w:t xml:space="preserve">valsts budžeta </w:t>
      </w:r>
      <w:r w:rsidR="0013467D" w:rsidRPr="003E3163">
        <w:rPr>
          <w:color w:val="000000" w:themeColor="text1"/>
        </w:rPr>
        <w:t>izdevumu</w:t>
      </w:r>
      <w:r w:rsidR="00600564" w:rsidRPr="003E3163">
        <w:rPr>
          <w:color w:val="000000" w:themeColor="text1"/>
        </w:rPr>
        <w:t>s</w:t>
      </w:r>
      <w:r w:rsidR="0013467D" w:rsidRPr="003E3163">
        <w:rPr>
          <w:color w:val="000000" w:themeColor="text1"/>
        </w:rPr>
        <w:t xml:space="preserve"> aizsardzībai</w:t>
      </w:r>
      <w:r w:rsidR="00600564" w:rsidRPr="003E3163">
        <w:rPr>
          <w:color w:val="000000" w:themeColor="text1"/>
        </w:rPr>
        <w:t xml:space="preserve"> līdz 2,5% no IKP 2025. gadā. Tāpat ņemts vērā atalgojuma pieaugums </w:t>
      </w:r>
      <w:r w:rsidR="00600564" w:rsidRPr="003E3163">
        <w:rPr>
          <w:noProof/>
          <w:color w:val="000000" w:themeColor="text1"/>
        </w:rPr>
        <w:t>iekšlietu resorā</w:t>
      </w:r>
      <w:r w:rsidR="00600564" w:rsidRPr="003E3163">
        <w:rPr>
          <w:color w:val="000000" w:themeColor="text1"/>
        </w:rPr>
        <w:t xml:space="preserve"> nodarbinātajām amatpersonām ar speciālajām dienesta pakāpēm, tieslietu resorā nodarbinātajiem, ņemot vērā valsts pārvaldes atlīdzības sistēmas reform</w:t>
      </w:r>
      <w:r w:rsidR="001E2CFA" w:rsidRPr="003E3163">
        <w:rPr>
          <w:color w:val="000000" w:themeColor="text1"/>
        </w:rPr>
        <w:t>as stāšanos spēkā ar</w:t>
      </w:r>
      <w:r w:rsidR="00600564" w:rsidRPr="003E3163">
        <w:rPr>
          <w:color w:val="000000" w:themeColor="text1"/>
        </w:rPr>
        <w:t xml:space="preserve"> šā gada 1. jūlij</w:t>
      </w:r>
      <w:r w:rsidR="001E2CFA" w:rsidRPr="003E3163">
        <w:rPr>
          <w:color w:val="000000" w:themeColor="text1"/>
        </w:rPr>
        <w:t>u</w:t>
      </w:r>
      <w:r w:rsidR="00600564" w:rsidRPr="003E3163">
        <w:rPr>
          <w:color w:val="000000" w:themeColor="text1"/>
        </w:rPr>
        <w:t>, kā arī pedagogu zemākās mēneša darba samaksas likmes pieaugum</w:t>
      </w:r>
      <w:r w:rsidR="00757043" w:rsidRPr="003E3163">
        <w:rPr>
          <w:color w:val="000000" w:themeColor="text1"/>
        </w:rPr>
        <w:t xml:space="preserve">s </w:t>
      </w:r>
      <w:r w:rsidR="00600564" w:rsidRPr="003E3163">
        <w:rPr>
          <w:color w:val="000000" w:themeColor="text1"/>
        </w:rPr>
        <w:t xml:space="preserve">no 2023. gada 1. </w:t>
      </w:r>
      <w:r w:rsidR="007C0D85" w:rsidRPr="003E3163">
        <w:rPr>
          <w:color w:val="000000" w:themeColor="text1"/>
        </w:rPr>
        <w:t>janvāra</w:t>
      </w:r>
      <w:r w:rsidR="003E3163" w:rsidRPr="003E3163">
        <w:rPr>
          <w:color w:val="000000" w:themeColor="text1"/>
        </w:rPr>
        <w:t xml:space="preserve"> un minimālās algas celšana valstī </w:t>
      </w:r>
      <w:r w:rsidR="003E3163" w:rsidRPr="003E3163">
        <w:rPr>
          <w:noProof/>
          <w:color w:val="000000" w:themeColor="text1"/>
        </w:rPr>
        <w:t xml:space="preserve">līdz 620 </w:t>
      </w:r>
      <w:r w:rsidR="003E3163" w:rsidRPr="003E3163">
        <w:rPr>
          <w:i/>
          <w:iCs/>
          <w:noProof/>
          <w:color w:val="000000" w:themeColor="text1"/>
        </w:rPr>
        <w:t>euro</w:t>
      </w:r>
      <w:r w:rsidR="003E3163" w:rsidRPr="003E3163">
        <w:rPr>
          <w:noProof/>
          <w:color w:val="000000" w:themeColor="text1"/>
        </w:rPr>
        <w:t xml:space="preserve"> ar 2023. gada 1.</w:t>
      </w:r>
      <w:r w:rsidR="001A6678">
        <w:rPr>
          <w:noProof/>
          <w:color w:val="000000" w:themeColor="text1"/>
        </w:rPr>
        <w:t> </w:t>
      </w:r>
      <w:r w:rsidR="003E3163" w:rsidRPr="003E3163">
        <w:rPr>
          <w:noProof/>
          <w:color w:val="000000" w:themeColor="text1"/>
        </w:rPr>
        <w:t xml:space="preserve">janvāri un līdz 700 </w:t>
      </w:r>
      <w:r w:rsidR="003E3163" w:rsidRPr="003E3163">
        <w:rPr>
          <w:i/>
          <w:iCs/>
          <w:noProof/>
          <w:color w:val="000000" w:themeColor="text1"/>
        </w:rPr>
        <w:t>euro</w:t>
      </w:r>
      <w:r w:rsidR="003E3163" w:rsidRPr="003E3163">
        <w:rPr>
          <w:noProof/>
          <w:color w:val="000000" w:themeColor="text1"/>
        </w:rPr>
        <w:t xml:space="preserve"> ar 2024.</w:t>
      </w:r>
      <w:r w:rsidR="001A6678">
        <w:rPr>
          <w:noProof/>
          <w:color w:val="000000" w:themeColor="text1"/>
        </w:rPr>
        <w:t> </w:t>
      </w:r>
      <w:r w:rsidR="003E3163" w:rsidRPr="003E3163">
        <w:rPr>
          <w:noProof/>
          <w:color w:val="000000" w:themeColor="text1"/>
        </w:rPr>
        <w:t>gada 1.janvāri</w:t>
      </w:r>
      <w:r w:rsidR="007C0D85" w:rsidRPr="003E3163">
        <w:rPr>
          <w:noProof/>
          <w:color w:val="000000" w:themeColor="text1"/>
        </w:rPr>
        <w:t xml:space="preserve">. </w:t>
      </w:r>
    </w:p>
    <w:p w14:paraId="79C39DFC" w14:textId="5613D522" w:rsidR="00757043" w:rsidRPr="003E3163" w:rsidRDefault="00757043" w:rsidP="00757043">
      <w:pPr>
        <w:rPr>
          <w:noProof/>
          <w:color w:val="000000" w:themeColor="text1"/>
        </w:rPr>
      </w:pPr>
      <w:r w:rsidRPr="003E3163">
        <w:rPr>
          <w:noProof/>
          <w:color w:val="000000" w:themeColor="text1"/>
        </w:rPr>
        <w:t>Augsto energoresursu cenu mazināšanai 2023.</w:t>
      </w:r>
      <w:r w:rsidR="001A6678">
        <w:rPr>
          <w:noProof/>
          <w:color w:val="000000" w:themeColor="text1"/>
        </w:rPr>
        <w:t> </w:t>
      </w:r>
      <w:r w:rsidRPr="003E3163">
        <w:rPr>
          <w:noProof/>
          <w:color w:val="000000" w:themeColor="text1"/>
        </w:rPr>
        <w:t>gad</w:t>
      </w:r>
      <w:r w:rsidR="001D5DE9">
        <w:rPr>
          <w:noProof/>
          <w:color w:val="000000" w:themeColor="text1"/>
        </w:rPr>
        <w:t>ā</w:t>
      </w:r>
      <w:r w:rsidRPr="003E3163">
        <w:rPr>
          <w:noProof/>
          <w:color w:val="000000" w:themeColor="text1"/>
        </w:rPr>
        <w:t xml:space="preserve"> </w:t>
      </w:r>
      <w:r w:rsidR="001A6678">
        <w:rPr>
          <w:noProof/>
          <w:color w:val="000000" w:themeColor="text1"/>
        </w:rPr>
        <w:t xml:space="preserve">tika paredzēts atbalsts </w:t>
      </w:r>
      <w:r w:rsidR="0036353B" w:rsidRPr="003E3163">
        <w:rPr>
          <w:noProof/>
          <w:color w:val="000000" w:themeColor="text1"/>
        </w:rPr>
        <w:t>622 milj.</w:t>
      </w:r>
      <w:r w:rsidR="000E0615" w:rsidRPr="003E3163">
        <w:rPr>
          <w:noProof/>
          <w:color w:val="000000" w:themeColor="text1"/>
        </w:rPr>
        <w:t> </w:t>
      </w:r>
      <w:r w:rsidR="0036353B" w:rsidRPr="003E3163">
        <w:rPr>
          <w:i/>
          <w:iCs/>
          <w:noProof/>
          <w:color w:val="000000" w:themeColor="text1"/>
        </w:rPr>
        <w:t>euro</w:t>
      </w:r>
      <w:r w:rsidR="000E0615" w:rsidRPr="003E3163">
        <w:rPr>
          <w:i/>
          <w:iCs/>
          <w:noProof/>
          <w:color w:val="000000" w:themeColor="text1"/>
        </w:rPr>
        <w:t xml:space="preserve"> </w:t>
      </w:r>
      <w:r w:rsidR="000E0615" w:rsidRPr="003E3163">
        <w:rPr>
          <w:noProof/>
          <w:color w:val="000000" w:themeColor="text1"/>
        </w:rPr>
        <w:t>apmērā</w:t>
      </w:r>
      <w:r w:rsidR="0036353B" w:rsidRPr="003E3163">
        <w:rPr>
          <w:noProof/>
          <w:color w:val="000000" w:themeColor="text1"/>
        </w:rPr>
        <w:t xml:space="preserve">. </w:t>
      </w:r>
      <w:r w:rsidRPr="003E3163">
        <w:rPr>
          <w:noProof/>
          <w:color w:val="000000" w:themeColor="text1"/>
        </w:rPr>
        <w:t>2023.</w:t>
      </w:r>
      <w:r w:rsidR="000E0615" w:rsidRPr="003E3163">
        <w:rPr>
          <w:noProof/>
          <w:color w:val="000000" w:themeColor="text1"/>
        </w:rPr>
        <w:t> </w:t>
      </w:r>
      <w:r w:rsidRPr="003E3163">
        <w:rPr>
          <w:noProof/>
          <w:color w:val="000000" w:themeColor="text1"/>
        </w:rPr>
        <w:t>gads ir pēdējais</w:t>
      </w:r>
      <w:r w:rsidR="000E0615" w:rsidRPr="003E3163">
        <w:rPr>
          <w:noProof/>
          <w:color w:val="000000" w:themeColor="text1"/>
        </w:rPr>
        <w:t xml:space="preserve"> gads</w:t>
      </w:r>
      <w:r w:rsidRPr="003E3163">
        <w:rPr>
          <w:noProof/>
          <w:color w:val="000000" w:themeColor="text1"/>
        </w:rPr>
        <w:t xml:space="preserve">, kad valsts pamatbudžetā </w:t>
      </w:r>
      <w:r w:rsidR="000E0615" w:rsidRPr="003E3163">
        <w:rPr>
          <w:noProof/>
          <w:color w:val="000000" w:themeColor="text1"/>
        </w:rPr>
        <w:t xml:space="preserve">ir </w:t>
      </w:r>
      <w:r w:rsidRPr="003E3163">
        <w:rPr>
          <w:noProof/>
          <w:color w:val="000000" w:themeColor="text1"/>
        </w:rPr>
        <w:t>atvēlēti līdzekļi vakcīnu pret Covid-19 iegādei</w:t>
      </w:r>
      <w:r w:rsidR="000E0615" w:rsidRPr="003E3163">
        <w:rPr>
          <w:noProof/>
          <w:color w:val="000000" w:themeColor="text1"/>
        </w:rPr>
        <w:t xml:space="preserve"> 63,4 milj. </w:t>
      </w:r>
      <w:r w:rsidR="000E0615" w:rsidRPr="003E3163">
        <w:rPr>
          <w:i/>
          <w:iCs/>
          <w:noProof/>
          <w:color w:val="000000" w:themeColor="text1"/>
        </w:rPr>
        <w:t>euro</w:t>
      </w:r>
      <w:r w:rsidR="000E0615" w:rsidRPr="003E3163">
        <w:rPr>
          <w:noProof/>
          <w:color w:val="000000" w:themeColor="text1"/>
        </w:rPr>
        <w:t xml:space="preserve"> apmērā.</w:t>
      </w:r>
      <w:r w:rsidR="003E3163">
        <w:rPr>
          <w:noProof/>
          <w:color w:val="000000" w:themeColor="text1"/>
        </w:rPr>
        <w:t xml:space="preserve"> Tāpat 2023. gadam</w:t>
      </w:r>
      <w:r w:rsidR="001D5DE9">
        <w:rPr>
          <w:noProof/>
          <w:color w:val="000000" w:themeColor="text1"/>
        </w:rPr>
        <w:t xml:space="preserve"> šobrīd ir</w:t>
      </w:r>
      <w:r w:rsidR="003E3163">
        <w:rPr>
          <w:noProof/>
          <w:color w:val="000000" w:themeColor="text1"/>
        </w:rPr>
        <w:t xml:space="preserve"> ieplānot</w:t>
      </w:r>
      <w:r w:rsidR="001D5DE9">
        <w:rPr>
          <w:noProof/>
          <w:color w:val="000000" w:themeColor="text1"/>
        </w:rPr>
        <w:t xml:space="preserve">s </w:t>
      </w:r>
      <w:r w:rsidR="003E3163">
        <w:rPr>
          <w:noProof/>
          <w:color w:val="000000" w:themeColor="text1"/>
        </w:rPr>
        <w:t>30</w:t>
      </w:r>
      <w:r w:rsidR="001D5DE9">
        <w:rPr>
          <w:noProof/>
          <w:color w:val="000000" w:themeColor="text1"/>
        </w:rPr>
        <w:t> </w:t>
      </w:r>
      <w:r w:rsidR="003E3163">
        <w:rPr>
          <w:noProof/>
          <w:color w:val="000000" w:themeColor="text1"/>
        </w:rPr>
        <w:t xml:space="preserve">milj. </w:t>
      </w:r>
      <w:r w:rsidR="003E3163" w:rsidRPr="003E3163">
        <w:rPr>
          <w:i/>
          <w:iCs/>
          <w:noProof/>
          <w:color w:val="000000" w:themeColor="text1"/>
        </w:rPr>
        <w:t>euro</w:t>
      </w:r>
      <w:r w:rsidR="003E3163">
        <w:rPr>
          <w:noProof/>
          <w:color w:val="000000" w:themeColor="text1"/>
        </w:rPr>
        <w:t xml:space="preserve"> finansējums Ukrainas civiliedzīvotāju atbalstam.</w:t>
      </w:r>
    </w:p>
    <w:p w14:paraId="4B9178B6" w14:textId="1D302138" w:rsidR="00757043" w:rsidRPr="003E3163" w:rsidRDefault="00757043" w:rsidP="00757043">
      <w:pPr>
        <w:rPr>
          <w:color w:val="000000" w:themeColor="text1"/>
        </w:rPr>
      </w:pPr>
      <w:r w:rsidRPr="003E3163">
        <w:rPr>
          <w:color w:val="000000" w:themeColor="text1"/>
        </w:rPr>
        <w:t>2023.</w:t>
      </w:r>
      <w:r w:rsidR="000E0615" w:rsidRPr="003E3163">
        <w:rPr>
          <w:color w:val="000000" w:themeColor="text1"/>
        </w:rPr>
        <w:t> </w:t>
      </w:r>
      <w:r w:rsidRPr="003E3163">
        <w:rPr>
          <w:color w:val="000000" w:themeColor="text1"/>
        </w:rPr>
        <w:t>gadā un tālākajos gados valsts pamatbudžetā tiek prognozēti ievērojami lielāki izdevumi ārvalstu finanšu palīdzības līdzfinansēto projektu īstenošanai salīdzinājumā ar iepriekšējiem gadiem. To sekmēs finansējums 2021.-2027.</w:t>
      </w:r>
      <w:r w:rsidR="000E0615" w:rsidRPr="003E3163">
        <w:rPr>
          <w:color w:val="000000" w:themeColor="text1"/>
        </w:rPr>
        <w:t> </w:t>
      </w:r>
      <w:r w:rsidRPr="003E3163">
        <w:rPr>
          <w:color w:val="000000" w:themeColor="text1"/>
        </w:rPr>
        <w:t xml:space="preserve">gada plānošanas perioda ES fondu projektu īstenošanai, kā arī finansējums Atveseļošanas un noturības mehānisma projektiem un </w:t>
      </w:r>
      <w:r w:rsidRPr="003E3163">
        <w:rPr>
          <w:i/>
          <w:iCs/>
          <w:noProof/>
          <w:color w:val="000000" w:themeColor="text1"/>
        </w:rPr>
        <w:t>Rail</w:t>
      </w:r>
      <w:r w:rsidR="003E3163">
        <w:rPr>
          <w:i/>
          <w:iCs/>
          <w:noProof/>
          <w:color w:val="000000" w:themeColor="text1"/>
        </w:rPr>
        <w:t xml:space="preserve"> </w:t>
      </w:r>
      <w:r w:rsidRPr="003E3163">
        <w:rPr>
          <w:i/>
          <w:iCs/>
          <w:noProof/>
          <w:color w:val="000000" w:themeColor="text1"/>
        </w:rPr>
        <w:t>Baltica</w:t>
      </w:r>
      <w:r w:rsidRPr="003E3163">
        <w:rPr>
          <w:noProof/>
          <w:color w:val="000000" w:themeColor="text1"/>
        </w:rPr>
        <w:t xml:space="preserve"> projekta</w:t>
      </w:r>
      <w:r w:rsidRPr="003E3163">
        <w:rPr>
          <w:color w:val="000000" w:themeColor="text1"/>
        </w:rPr>
        <w:t xml:space="preserve"> īstenošanai. </w:t>
      </w:r>
    </w:p>
    <w:p w14:paraId="2CC51F75" w14:textId="09FCD20D" w:rsidR="00757043" w:rsidRPr="003E3163" w:rsidRDefault="00757043" w:rsidP="00757043">
      <w:pPr>
        <w:rPr>
          <w:color w:val="000000" w:themeColor="text1"/>
        </w:rPr>
      </w:pPr>
      <w:r w:rsidRPr="003E3163">
        <w:rPr>
          <w:color w:val="000000" w:themeColor="text1"/>
        </w:rPr>
        <w:t>2023.</w:t>
      </w:r>
      <w:r w:rsidR="000E0615" w:rsidRPr="003E3163">
        <w:rPr>
          <w:color w:val="000000" w:themeColor="text1"/>
        </w:rPr>
        <w:t> </w:t>
      </w:r>
      <w:r w:rsidRPr="003E3163">
        <w:rPr>
          <w:color w:val="000000" w:themeColor="text1"/>
        </w:rPr>
        <w:t xml:space="preserve">gadā Latvijā sagaidāma 32 jaunu elektrovilcienu </w:t>
      </w:r>
      <w:r w:rsidR="002D0B67" w:rsidRPr="003E3163">
        <w:rPr>
          <w:color w:val="000000" w:themeColor="text1"/>
        </w:rPr>
        <w:t>p</w:t>
      </w:r>
      <w:r w:rsidRPr="003E3163">
        <w:rPr>
          <w:color w:val="000000" w:themeColor="text1"/>
        </w:rPr>
        <w:t xml:space="preserve">iegāde, negatīvi ietekmējot </w:t>
      </w:r>
      <w:r w:rsidR="002D0B67" w:rsidRPr="003E3163">
        <w:rPr>
          <w:color w:val="000000" w:themeColor="text1"/>
        </w:rPr>
        <w:t xml:space="preserve">komersantu bilances </w:t>
      </w:r>
      <w:r w:rsidRPr="003E3163">
        <w:rPr>
          <w:color w:val="000000" w:themeColor="text1"/>
        </w:rPr>
        <w:t>vispārējās valdības budžet</w:t>
      </w:r>
      <w:r w:rsidR="002D0B67" w:rsidRPr="003E3163">
        <w:rPr>
          <w:color w:val="000000" w:themeColor="text1"/>
        </w:rPr>
        <w:t>ā</w:t>
      </w:r>
      <w:r w:rsidRPr="003E3163">
        <w:rPr>
          <w:color w:val="000000" w:themeColor="text1"/>
        </w:rPr>
        <w:t xml:space="preserve">. Lai gan liela daļa no vilcienu iegādes darījuma tiek finansēta no Eiropas Savienības Kohēzijas fonda līdzekļiem, </w:t>
      </w:r>
      <w:r w:rsidR="002D0B67" w:rsidRPr="003E3163">
        <w:rPr>
          <w:color w:val="000000" w:themeColor="text1"/>
        </w:rPr>
        <w:t xml:space="preserve">tiek nodrošināts </w:t>
      </w:r>
      <w:r w:rsidRPr="003E3163">
        <w:rPr>
          <w:color w:val="000000" w:themeColor="text1"/>
        </w:rPr>
        <w:t>arī valsts budžeta līdzfinansējums vilcienu iegād</w:t>
      </w:r>
      <w:r w:rsidR="002D0B67" w:rsidRPr="003E3163">
        <w:rPr>
          <w:color w:val="000000" w:themeColor="text1"/>
        </w:rPr>
        <w:t>ei</w:t>
      </w:r>
      <w:r w:rsidR="0036169F" w:rsidRPr="003E3163">
        <w:rPr>
          <w:color w:val="000000" w:themeColor="text1"/>
        </w:rPr>
        <w:t>,</w:t>
      </w:r>
      <w:r w:rsidR="002D0B67" w:rsidRPr="003E3163">
        <w:rPr>
          <w:color w:val="000000" w:themeColor="text1"/>
        </w:rPr>
        <w:t xml:space="preserve"> un atbilstoši Eiropas kontu sistēmas metodoloģijai izdevumi tiek uzskaitīti atbilstoši faktiskajai piegādei.</w:t>
      </w:r>
    </w:p>
    <w:p w14:paraId="67854981" w14:textId="1F70E0B7" w:rsidR="0027377E" w:rsidRPr="00757043" w:rsidRDefault="00383816" w:rsidP="00757043">
      <w:pPr>
        <w:spacing w:before="0" w:after="0"/>
        <w:ind w:firstLine="0"/>
        <w:jc w:val="center"/>
        <w:rPr>
          <w:rFonts w:eastAsia="Calibri" w:cs="Times New Roman"/>
          <w:b/>
          <w:noProof/>
          <w:szCs w:val="24"/>
          <w:highlight w:val="yellow"/>
        </w:rPr>
      </w:pPr>
      <w:r>
        <w:rPr>
          <w:rFonts w:eastAsia="Calibri" w:cs="Times New Roman"/>
          <w:b/>
          <w:noProof/>
          <w:szCs w:val="24"/>
        </w:rPr>
        <w:t>8</w:t>
      </w:r>
      <w:r w:rsidR="0027377E" w:rsidRPr="00E96403">
        <w:rPr>
          <w:rFonts w:eastAsia="Calibri" w:cs="Times New Roman"/>
          <w:b/>
          <w:noProof/>
          <w:szCs w:val="24"/>
        </w:rPr>
        <w:t>.</w:t>
      </w:r>
      <w:r w:rsidR="00C417A7">
        <w:rPr>
          <w:rFonts w:eastAsia="Calibri" w:cs="Times New Roman"/>
          <w:b/>
          <w:noProof/>
          <w:szCs w:val="24"/>
        </w:rPr>
        <w:t> </w:t>
      </w:r>
      <w:r w:rsidR="0027377E" w:rsidRPr="00E96403">
        <w:rPr>
          <w:rFonts w:eastAsia="Calibri" w:cs="Times New Roman"/>
          <w:b/>
          <w:noProof/>
          <w:szCs w:val="24"/>
        </w:rPr>
        <w:t>tabula.</w:t>
      </w:r>
      <w:r w:rsidR="0027377E" w:rsidRPr="00E96403">
        <w:rPr>
          <w:rFonts w:eastAsia="Calibri" w:cs="Times New Roman"/>
          <w:b/>
          <w:szCs w:val="24"/>
        </w:rPr>
        <w:t xml:space="preserve"> Vispārējās valdības budžeta bilance pa budžeta līmeņiem,</w:t>
      </w:r>
      <w:r w:rsidR="00AA50C1">
        <w:rPr>
          <w:rFonts w:eastAsia="Calibri" w:cs="Times New Roman"/>
          <w:b/>
          <w:noProof/>
          <w:szCs w:val="24"/>
        </w:rPr>
        <w:br/>
      </w:r>
      <w:r w:rsidR="001B4BB8" w:rsidRPr="00E96403">
        <w:rPr>
          <w:rFonts w:eastAsia="Calibri" w:cs="Times New Roman"/>
          <w:b/>
          <w:noProof/>
          <w:szCs w:val="24"/>
        </w:rPr>
        <w:t xml:space="preserve">milj. </w:t>
      </w:r>
      <w:r w:rsidR="001B4BB8" w:rsidRPr="00E96403">
        <w:rPr>
          <w:rFonts w:eastAsia="Calibri" w:cs="Times New Roman"/>
          <w:b/>
          <w:i/>
          <w:noProof/>
          <w:szCs w:val="24"/>
        </w:rPr>
        <w:t>euro</w:t>
      </w:r>
      <w:r w:rsidR="001B4BB8" w:rsidRPr="00E96403">
        <w:rPr>
          <w:rFonts w:eastAsia="Calibri" w:cs="Times New Roman"/>
          <w:b/>
          <w:szCs w:val="24"/>
        </w:rPr>
        <w:t xml:space="preserve"> un </w:t>
      </w:r>
      <w:r w:rsidR="0027377E" w:rsidRPr="00E96403">
        <w:rPr>
          <w:rFonts w:eastAsia="Calibri" w:cs="Times New Roman"/>
          <w:b/>
          <w:szCs w:val="24"/>
        </w:rPr>
        <w:t>% no IKP</w:t>
      </w:r>
    </w:p>
    <w:tbl>
      <w:tblPr>
        <w:tblW w:w="5354" w:type="pct"/>
        <w:jc w:val="center"/>
        <w:tblLayout w:type="fixed"/>
        <w:tblLook w:val="04A0" w:firstRow="1" w:lastRow="0" w:firstColumn="1" w:lastColumn="0" w:noHBand="0" w:noVBand="1"/>
      </w:tblPr>
      <w:tblGrid>
        <w:gridCol w:w="3335"/>
        <w:gridCol w:w="904"/>
        <w:gridCol w:w="910"/>
        <w:gridCol w:w="909"/>
        <w:gridCol w:w="9"/>
        <w:gridCol w:w="906"/>
        <w:gridCol w:w="909"/>
        <w:gridCol w:w="910"/>
        <w:gridCol w:w="911"/>
      </w:tblGrid>
      <w:tr w:rsidR="0027377E" w:rsidRPr="005A3253" w14:paraId="3C086645" w14:textId="77777777" w:rsidTr="002C56D8">
        <w:trPr>
          <w:trHeight w:val="121"/>
          <w:tblHeader/>
          <w:jc w:val="center"/>
        </w:trPr>
        <w:tc>
          <w:tcPr>
            <w:tcW w:w="3335" w:type="dxa"/>
            <w:tcBorders>
              <w:top w:val="single" w:sz="4" w:space="0" w:color="auto"/>
              <w:left w:val="single" w:sz="4" w:space="0" w:color="auto"/>
              <w:bottom w:val="nil"/>
              <w:right w:val="single" w:sz="4" w:space="0" w:color="auto"/>
            </w:tcBorders>
            <w:shd w:val="clear" w:color="auto" w:fill="auto"/>
            <w:noWrap/>
            <w:vAlign w:val="bottom"/>
            <w:hideMark/>
          </w:tcPr>
          <w:p w14:paraId="7F61C754" w14:textId="77777777" w:rsidR="0027377E" w:rsidRPr="007C4388" w:rsidRDefault="0027377E" w:rsidP="00907163">
            <w:pPr>
              <w:spacing w:before="0" w:after="0"/>
              <w:ind w:firstLine="0"/>
              <w:contextualSpacing/>
              <w:jc w:val="left"/>
              <w:rPr>
                <w:rFonts w:eastAsia="Times New Roman" w:cs="Times New Roman"/>
                <w:color w:val="000000"/>
                <w:sz w:val="16"/>
                <w:szCs w:val="16"/>
                <w:lang w:eastAsia="lv-LV"/>
              </w:rPr>
            </w:pPr>
            <w:r w:rsidRPr="007C4388">
              <w:rPr>
                <w:rFonts w:eastAsia="Times New Roman" w:cs="Times New Roman"/>
                <w:color w:val="000000"/>
                <w:sz w:val="16"/>
                <w:szCs w:val="16"/>
                <w:lang w:eastAsia="lv-LV"/>
              </w:rPr>
              <w:lastRenderedPageBreak/>
              <w:t> </w:t>
            </w:r>
          </w:p>
        </w:tc>
        <w:tc>
          <w:tcPr>
            <w:tcW w:w="904" w:type="dxa"/>
            <w:tcBorders>
              <w:top w:val="single" w:sz="4" w:space="0" w:color="auto"/>
              <w:left w:val="nil"/>
              <w:bottom w:val="single" w:sz="4" w:space="0" w:color="auto"/>
              <w:right w:val="single" w:sz="4" w:space="0" w:color="auto"/>
            </w:tcBorders>
            <w:shd w:val="clear" w:color="auto" w:fill="auto"/>
            <w:noWrap/>
            <w:vAlign w:val="center"/>
            <w:hideMark/>
          </w:tcPr>
          <w:p w14:paraId="6528F02D" w14:textId="77777777" w:rsidR="0027377E" w:rsidRPr="007C4388" w:rsidRDefault="0027377E" w:rsidP="00907163">
            <w:pPr>
              <w:spacing w:before="0" w:after="0"/>
              <w:ind w:firstLine="0"/>
              <w:contextualSpacing/>
              <w:jc w:val="center"/>
              <w:rPr>
                <w:rFonts w:eastAsia="Times New Roman" w:cs="Times New Roman"/>
                <w:b/>
                <w:bCs/>
                <w:sz w:val="16"/>
                <w:szCs w:val="16"/>
                <w:lang w:eastAsia="lv-LV"/>
              </w:rPr>
            </w:pPr>
            <w:r w:rsidRPr="007C4388">
              <w:rPr>
                <w:rFonts w:eastAsia="Times New Roman" w:cs="Times New Roman"/>
                <w:b/>
                <w:bCs/>
                <w:sz w:val="16"/>
                <w:szCs w:val="16"/>
                <w:lang w:eastAsia="lv-LV"/>
              </w:rPr>
              <w:t>2019</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6E92E88E" w14:textId="77777777" w:rsidR="0027377E" w:rsidRPr="007C4388" w:rsidRDefault="0027377E" w:rsidP="00907163">
            <w:pPr>
              <w:spacing w:before="0" w:after="0"/>
              <w:ind w:firstLine="0"/>
              <w:contextualSpacing/>
              <w:jc w:val="center"/>
              <w:rPr>
                <w:rFonts w:eastAsia="Times New Roman" w:cs="Times New Roman"/>
                <w:b/>
                <w:bCs/>
                <w:sz w:val="16"/>
                <w:szCs w:val="16"/>
                <w:lang w:eastAsia="lv-LV"/>
              </w:rPr>
            </w:pPr>
            <w:r w:rsidRPr="007C4388">
              <w:rPr>
                <w:rFonts w:eastAsia="Times New Roman" w:cs="Times New Roman"/>
                <w:b/>
                <w:bCs/>
                <w:sz w:val="16"/>
                <w:szCs w:val="16"/>
                <w:lang w:eastAsia="lv-LV"/>
              </w:rPr>
              <w:t>2020</w:t>
            </w:r>
          </w:p>
        </w:tc>
        <w:tc>
          <w:tcPr>
            <w:tcW w:w="909" w:type="dxa"/>
            <w:tcBorders>
              <w:top w:val="single" w:sz="4" w:space="0" w:color="auto"/>
              <w:left w:val="nil"/>
              <w:bottom w:val="single" w:sz="4" w:space="0" w:color="auto"/>
              <w:right w:val="single" w:sz="4" w:space="0" w:color="auto"/>
            </w:tcBorders>
            <w:shd w:val="clear" w:color="auto" w:fill="auto"/>
            <w:noWrap/>
            <w:vAlign w:val="center"/>
            <w:hideMark/>
          </w:tcPr>
          <w:p w14:paraId="14F0733E" w14:textId="77777777" w:rsidR="0027377E" w:rsidRPr="007C4388" w:rsidRDefault="0027377E" w:rsidP="00907163">
            <w:pPr>
              <w:spacing w:before="0" w:after="0"/>
              <w:ind w:firstLine="0"/>
              <w:contextualSpacing/>
              <w:jc w:val="center"/>
              <w:rPr>
                <w:rFonts w:eastAsia="Times New Roman" w:cs="Times New Roman"/>
                <w:b/>
                <w:bCs/>
                <w:sz w:val="16"/>
                <w:szCs w:val="16"/>
                <w:lang w:eastAsia="lv-LV"/>
              </w:rPr>
            </w:pPr>
            <w:r w:rsidRPr="007C4388">
              <w:rPr>
                <w:rFonts w:eastAsia="Times New Roman" w:cs="Times New Roman"/>
                <w:b/>
                <w:bCs/>
                <w:sz w:val="16"/>
                <w:szCs w:val="16"/>
                <w:lang w:eastAsia="lv-LV"/>
              </w:rPr>
              <w:t>2021</w:t>
            </w:r>
          </w:p>
        </w:tc>
        <w:tc>
          <w:tcPr>
            <w:tcW w:w="91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81DB7A" w14:textId="77777777" w:rsidR="0027377E" w:rsidRPr="007C4388" w:rsidRDefault="0027377E" w:rsidP="00907163">
            <w:pPr>
              <w:spacing w:before="0" w:after="0"/>
              <w:ind w:firstLine="0"/>
              <w:contextualSpacing/>
              <w:jc w:val="center"/>
              <w:rPr>
                <w:rFonts w:eastAsia="Times New Roman" w:cs="Times New Roman"/>
                <w:b/>
                <w:bCs/>
                <w:sz w:val="16"/>
                <w:szCs w:val="16"/>
                <w:lang w:eastAsia="lv-LV"/>
              </w:rPr>
            </w:pPr>
            <w:r w:rsidRPr="007C4388">
              <w:rPr>
                <w:rFonts w:eastAsia="Times New Roman" w:cs="Times New Roman"/>
                <w:b/>
                <w:bCs/>
                <w:sz w:val="16"/>
                <w:szCs w:val="16"/>
                <w:lang w:eastAsia="lv-LV"/>
              </w:rPr>
              <w:t>2022</w:t>
            </w:r>
          </w:p>
        </w:tc>
        <w:tc>
          <w:tcPr>
            <w:tcW w:w="909" w:type="dxa"/>
            <w:tcBorders>
              <w:top w:val="single" w:sz="4" w:space="0" w:color="auto"/>
              <w:left w:val="nil"/>
              <w:bottom w:val="single" w:sz="4" w:space="0" w:color="auto"/>
              <w:right w:val="single" w:sz="4" w:space="0" w:color="auto"/>
            </w:tcBorders>
            <w:shd w:val="clear" w:color="auto" w:fill="auto"/>
            <w:noWrap/>
            <w:vAlign w:val="center"/>
            <w:hideMark/>
          </w:tcPr>
          <w:p w14:paraId="7BCDBBDF" w14:textId="77777777" w:rsidR="0027377E" w:rsidRPr="005C6D02" w:rsidRDefault="0027377E" w:rsidP="00907163">
            <w:pPr>
              <w:spacing w:before="0" w:after="0"/>
              <w:ind w:firstLine="0"/>
              <w:contextualSpacing/>
              <w:jc w:val="center"/>
              <w:rPr>
                <w:rFonts w:eastAsia="Times New Roman" w:cs="Times New Roman"/>
                <w:b/>
                <w:bCs/>
                <w:sz w:val="16"/>
                <w:szCs w:val="16"/>
                <w:lang w:eastAsia="lv-LV"/>
              </w:rPr>
            </w:pPr>
            <w:r w:rsidRPr="005C6D02">
              <w:rPr>
                <w:rFonts w:eastAsia="Times New Roman" w:cs="Times New Roman"/>
                <w:b/>
                <w:bCs/>
                <w:sz w:val="16"/>
                <w:szCs w:val="16"/>
                <w:lang w:eastAsia="lv-LV"/>
              </w:rPr>
              <w:t>2023</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1EAD5113" w14:textId="77777777" w:rsidR="0027377E" w:rsidRPr="005C6D02" w:rsidRDefault="0027377E" w:rsidP="00907163">
            <w:pPr>
              <w:spacing w:before="0" w:after="0"/>
              <w:ind w:firstLine="0"/>
              <w:contextualSpacing/>
              <w:jc w:val="center"/>
              <w:rPr>
                <w:rFonts w:eastAsia="Times New Roman" w:cs="Times New Roman"/>
                <w:b/>
                <w:bCs/>
                <w:sz w:val="16"/>
                <w:szCs w:val="16"/>
                <w:lang w:eastAsia="lv-LV"/>
              </w:rPr>
            </w:pPr>
            <w:r w:rsidRPr="005C6D02">
              <w:rPr>
                <w:rFonts w:eastAsia="Times New Roman" w:cs="Times New Roman"/>
                <w:b/>
                <w:bCs/>
                <w:sz w:val="16"/>
                <w:szCs w:val="16"/>
                <w:lang w:eastAsia="lv-LV"/>
              </w:rPr>
              <w:t>2024</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7A0C1180" w14:textId="77777777" w:rsidR="0027377E" w:rsidRPr="005C6D02" w:rsidRDefault="0027377E" w:rsidP="00907163">
            <w:pPr>
              <w:spacing w:before="0" w:after="0"/>
              <w:ind w:firstLine="0"/>
              <w:contextualSpacing/>
              <w:jc w:val="center"/>
              <w:rPr>
                <w:rFonts w:eastAsia="Times New Roman" w:cs="Times New Roman"/>
                <w:b/>
                <w:bCs/>
                <w:sz w:val="16"/>
                <w:szCs w:val="16"/>
                <w:lang w:eastAsia="lv-LV"/>
              </w:rPr>
            </w:pPr>
            <w:r w:rsidRPr="005C6D02">
              <w:rPr>
                <w:rFonts w:eastAsia="Times New Roman" w:cs="Times New Roman"/>
                <w:b/>
                <w:bCs/>
                <w:sz w:val="16"/>
                <w:szCs w:val="16"/>
                <w:lang w:eastAsia="lv-LV"/>
              </w:rPr>
              <w:t>2025</w:t>
            </w:r>
          </w:p>
        </w:tc>
      </w:tr>
      <w:tr w:rsidR="0027377E" w:rsidRPr="005A3253" w14:paraId="7D1BE473" w14:textId="77777777" w:rsidTr="002C56D8">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14:paraId="294827D4" w14:textId="77777777" w:rsidR="0027377E" w:rsidRPr="007C4388" w:rsidRDefault="0027377E" w:rsidP="00907163">
            <w:pPr>
              <w:spacing w:before="0" w:after="0"/>
              <w:ind w:firstLine="0"/>
              <w:contextualSpacing/>
              <w:jc w:val="left"/>
              <w:rPr>
                <w:rFonts w:eastAsia="Times New Roman" w:cs="Times New Roman"/>
                <w:b/>
                <w:bCs/>
                <w:color w:val="000000"/>
                <w:sz w:val="16"/>
                <w:szCs w:val="16"/>
                <w:lang w:eastAsia="lv-LV"/>
              </w:rPr>
            </w:pPr>
            <w:r w:rsidRPr="007C4388">
              <w:rPr>
                <w:rFonts w:eastAsia="Times New Roman" w:cs="Times New Roman"/>
                <w:b/>
                <w:bCs/>
                <w:color w:val="000000"/>
                <w:sz w:val="16"/>
                <w:szCs w:val="16"/>
                <w:lang w:eastAsia="lv-LV"/>
              </w:rPr>
              <w:t> </w:t>
            </w:r>
          </w:p>
        </w:tc>
        <w:tc>
          <w:tcPr>
            <w:tcW w:w="2732" w:type="dxa"/>
            <w:gridSpan w:val="4"/>
            <w:tcBorders>
              <w:top w:val="single" w:sz="4" w:space="0" w:color="auto"/>
              <w:left w:val="nil"/>
              <w:bottom w:val="single" w:sz="4" w:space="0" w:color="auto"/>
              <w:right w:val="single" w:sz="4" w:space="0" w:color="auto"/>
            </w:tcBorders>
            <w:shd w:val="clear" w:color="auto" w:fill="auto"/>
            <w:vAlign w:val="center"/>
            <w:hideMark/>
          </w:tcPr>
          <w:p w14:paraId="502CC3C9" w14:textId="77777777" w:rsidR="0027377E" w:rsidRPr="007C4388" w:rsidRDefault="0027377E" w:rsidP="00907163">
            <w:pPr>
              <w:spacing w:before="0" w:after="0"/>
              <w:ind w:firstLine="0"/>
              <w:contextualSpacing/>
              <w:jc w:val="center"/>
              <w:rPr>
                <w:rFonts w:eastAsia="Times New Roman" w:cs="Times New Roman"/>
                <w:sz w:val="16"/>
                <w:szCs w:val="16"/>
                <w:lang w:eastAsia="lv-LV"/>
              </w:rPr>
            </w:pPr>
            <w:r w:rsidRPr="007C4388">
              <w:rPr>
                <w:rFonts w:eastAsia="Times New Roman" w:cs="Times New Roman"/>
                <w:sz w:val="16"/>
                <w:szCs w:val="16"/>
                <w:lang w:eastAsia="lv-LV"/>
              </w:rPr>
              <w:t>Fakts</w:t>
            </w:r>
          </w:p>
        </w:tc>
        <w:tc>
          <w:tcPr>
            <w:tcW w:w="906" w:type="dxa"/>
            <w:tcBorders>
              <w:top w:val="nil"/>
              <w:left w:val="single" w:sz="4" w:space="0" w:color="auto"/>
              <w:bottom w:val="single" w:sz="4" w:space="0" w:color="auto"/>
              <w:right w:val="single" w:sz="4" w:space="0" w:color="auto"/>
            </w:tcBorders>
            <w:shd w:val="clear" w:color="auto" w:fill="auto"/>
            <w:vAlign w:val="center"/>
            <w:hideMark/>
          </w:tcPr>
          <w:p w14:paraId="605FD2B4" w14:textId="77777777" w:rsidR="0027377E" w:rsidRPr="007C4388" w:rsidRDefault="0027377E" w:rsidP="00907163">
            <w:pPr>
              <w:spacing w:before="0" w:after="0"/>
              <w:ind w:firstLine="0"/>
              <w:contextualSpacing/>
              <w:jc w:val="center"/>
              <w:rPr>
                <w:rFonts w:eastAsia="Times New Roman" w:cs="Times New Roman"/>
                <w:sz w:val="16"/>
                <w:szCs w:val="16"/>
                <w:lang w:eastAsia="lv-LV"/>
              </w:rPr>
            </w:pPr>
            <w:r w:rsidRPr="007C4388">
              <w:rPr>
                <w:rFonts w:eastAsia="Times New Roman" w:cs="Times New Roman"/>
                <w:sz w:val="16"/>
                <w:szCs w:val="16"/>
                <w:lang w:eastAsia="lv-LV"/>
              </w:rPr>
              <w:t>Novērt.</w:t>
            </w:r>
          </w:p>
        </w:tc>
        <w:tc>
          <w:tcPr>
            <w:tcW w:w="2730" w:type="dxa"/>
            <w:gridSpan w:val="3"/>
            <w:tcBorders>
              <w:top w:val="single" w:sz="4" w:space="0" w:color="auto"/>
              <w:left w:val="nil"/>
              <w:bottom w:val="single" w:sz="4" w:space="0" w:color="auto"/>
              <w:right w:val="single" w:sz="4" w:space="0" w:color="auto"/>
            </w:tcBorders>
            <w:shd w:val="clear" w:color="auto" w:fill="auto"/>
            <w:vAlign w:val="center"/>
            <w:hideMark/>
          </w:tcPr>
          <w:p w14:paraId="572337AE" w14:textId="77777777" w:rsidR="0027377E" w:rsidRPr="005C6D02" w:rsidRDefault="0027377E" w:rsidP="00907163">
            <w:pPr>
              <w:spacing w:before="0" w:after="0"/>
              <w:ind w:firstLine="0"/>
              <w:contextualSpacing/>
              <w:jc w:val="center"/>
              <w:rPr>
                <w:rFonts w:eastAsia="Times New Roman" w:cs="Times New Roman"/>
                <w:sz w:val="16"/>
                <w:szCs w:val="16"/>
                <w:lang w:eastAsia="lv-LV"/>
              </w:rPr>
            </w:pPr>
            <w:r w:rsidRPr="005C6D02">
              <w:rPr>
                <w:rFonts w:eastAsia="Times New Roman" w:cs="Times New Roman"/>
                <w:sz w:val="16"/>
                <w:szCs w:val="16"/>
                <w:lang w:eastAsia="lv-LV"/>
              </w:rPr>
              <w:t>Prognoze</w:t>
            </w:r>
          </w:p>
        </w:tc>
      </w:tr>
      <w:tr w:rsidR="002C56D8" w:rsidRPr="005A3253" w14:paraId="1AC41DCB" w14:textId="77777777" w:rsidTr="005C6D02">
        <w:trPr>
          <w:trHeight w:val="111"/>
          <w:tblHeader/>
          <w:jc w:val="center"/>
        </w:trPr>
        <w:tc>
          <w:tcPr>
            <w:tcW w:w="333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3218129A" w14:textId="77777777" w:rsidR="002C56D8" w:rsidRPr="007C4388" w:rsidRDefault="002C56D8" w:rsidP="002C56D8">
            <w:pPr>
              <w:spacing w:before="0" w:after="0"/>
              <w:ind w:firstLine="0"/>
              <w:contextualSpacing/>
              <w:jc w:val="left"/>
              <w:rPr>
                <w:rFonts w:eastAsia="Times New Roman" w:cs="Times New Roman"/>
                <w:b/>
                <w:bCs/>
                <w:sz w:val="16"/>
                <w:szCs w:val="16"/>
                <w:lang w:eastAsia="lv-LV"/>
              </w:rPr>
            </w:pPr>
            <w:r w:rsidRPr="007C4388">
              <w:rPr>
                <w:rFonts w:eastAsia="Times New Roman" w:cs="Times New Roman"/>
                <w:b/>
                <w:bCs/>
                <w:sz w:val="16"/>
                <w:szCs w:val="16"/>
                <w:lang w:eastAsia="lv-LV"/>
              </w:rPr>
              <w:t>Vispārējās valdības budžeta bilance, % no IKP</w:t>
            </w:r>
          </w:p>
        </w:tc>
        <w:tc>
          <w:tcPr>
            <w:tcW w:w="904"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608E7D7A" w14:textId="015D9C7D"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 xml:space="preserve">-0,6 </w:t>
            </w:r>
          </w:p>
        </w:tc>
        <w:tc>
          <w:tcPr>
            <w:tcW w:w="91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570A1DD" w14:textId="3262AA99"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 xml:space="preserve">-4,3 </w:t>
            </w:r>
          </w:p>
        </w:tc>
        <w:tc>
          <w:tcPr>
            <w:tcW w:w="909"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CFE6E61" w14:textId="7FC8B222"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 xml:space="preserve">-7,0 </w:t>
            </w:r>
          </w:p>
        </w:tc>
        <w:tc>
          <w:tcPr>
            <w:tcW w:w="915" w:type="dxa"/>
            <w:gridSpan w:val="2"/>
            <w:tcBorders>
              <w:top w:val="nil"/>
              <w:left w:val="nil"/>
              <w:bottom w:val="single" w:sz="4" w:space="0" w:color="auto"/>
              <w:right w:val="single" w:sz="4" w:space="0" w:color="auto"/>
            </w:tcBorders>
            <w:shd w:val="clear" w:color="auto" w:fill="BDD6EE" w:themeFill="accent1" w:themeFillTint="66"/>
            <w:noWrap/>
            <w:vAlign w:val="center"/>
            <w:hideMark/>
          </w:tcPr>
          <w:p w14:paraId="27DD69F0" w14:textId="6CB02570"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 xml:space="preserve">-5,0 </w:t>
            </w:r>
          </w:p>
        </w:tc>
        <w:tc>
          <w:tcPr>
            <w:tcW w:w="909" w:type="dxa"/>
            <w:tcBorders>
              <w:top w:val="nil"/>
              <w:left w:val="nil"/>
              <w:bottom w:val="single" w:sz="4" w:space="0" w:color="auto"/>
              <w:right w:val="single" w:sz="4" w:space="0" w:color="auto"/>
            </w:tcBorders>
            <w:shd w:val="clear" w:color="auto" w:fill="BDD6EE" w:themeFill="accent1" w:themeFillTint="66"/>
            <w:noWrap/>
            <w:vAlign w:val="center"/>
            <w:hideMark/>
          </w:tcPr>
          <w:p w14:paraId="7435E8D6" w14:textId="6A5B1899" w:rsidR="002C56D8" w:rsidRPr="005C6D02" w:rsidRDefault="002C56D8" w:rsidP="002C56D8">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 xml:space="preserve">-2,6 </w:t>
            </w:r>
          </w:p>
        </w:tc>
        <w:tc>
          <w:tcPr>
            <w:tcW w:w="910" w:type="dxa"/>
            <w:tcBorders>
              <w:top w:val="nil"/>
              <w:left w:val="nil"/>
              <w:bottom w:val="single" w:sz="4" w:space="0" w:color="auto"/>
              <w:right w:val="single" w:sz="4" w:space="0" w:color="auto"/>
            </w:tcBorders>
            <w:shd w:val="clear" w:color="auto" w:fill="BDD6EE" w:themeFill="accent1" w:themeFillTint="66"/>
            <w:noWrap/>
            <w:vAlign w:val="center"/>
            <w:hideMark/>
          </w:tcPr>
          <w:p w14:paraId="533252FA" w14:textId="71E11886" w:rsidR="002C56D8" w:rsidRPr="005C6D02" w:rsidRDefault="002C56D8" w:rsidP="002C56D8">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 xml:space="preserve">-0,4 </w:t>
            </w:r>
          </w:p>
        </w:tc>
        <w:tc>
          <w:tcPr>
            <w:tcW w:w="911" w:type="dxa"/>
            <w:tcBorders>
              <w:top w:val="nil"/>
              <w:left w:val="nil"/>
              <w:bottom w:val="single" w:sz="4" w:space="0" w:color="auto"/>
              <w:right w:val="single" w:sz="4" w:space="0" w:color="auto"/>
            </w:tcBorders>
            <w:shd w:val="clear" w:color="auto" w:fill="BDD6EE" w:themeFill="accent1" w:themeFillTint="66"/>
            <w:noWrap/>
            <w:vAlign w:val="center"/>
            <w:hideMark/>
          </w:tcPr>
          <w:p w14:paraId="4CA616C3" w14:textId="5CF2AAA0" w:rsidR="002C56D8" w:rsidRPr="005C6D02" w:rsidRDefault="002C56D8" w:rsidP="002C56D8">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 xml:space="preserve">-0,4 </w:t>
            </w:r>
          </w:p>
        </w:tc>
      </w:tr>
      <w:tr w:rsidR="002C56D8" w:rsidRPr="005A3253" w14:paraId="24FC90D6"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70B7BE40" w14:textId="77777777" w:rsidR="002C56D8" w:rsidRPr="007C4388" w:rsidRDefault="002C56D8" w:rsidP="002C56D8">
            <w:pPr>
              <w:spacing w:before="0" w:after="0"/>
              <w:ind w:firstLine="0"/>
              <w:contextualSpacing/>
              <w:jc w:val="left"/>
              <w:rPr>
                <w:rFonts w:eastAsia="Times New Roman" w:cs="Times New Roman"/>
                <w:b/>
                <w:bCs/>
                <w:sz w:val="16"/>
                <w:szCs w:val="16"/>
                <w:lang w:eastAsia="lv-LV"/>
              </w:rPr>
            </w:pPr>
            <w:r w:rsidRPr="007C4388">
              <w:rPr>
                <w:rFonts w:eastAsia="Times New Roman" w:cs="Times New Roman"/>
                <w:b/>
                <w:bCs/>
                <w:sz w:val="16"/>
                <w:szCs w:val="16"/>
                <w:lang w:eastAsia="lv-LV"/>
              </w:rPr>
              <w:t>Vispārējās valdības budžeta bilance</w:t>
            </w:r>
          </w:p>
        </w:tc>
        <w:tc>
          <w:tcPr>
            <w:tcW w:w="904" w:type="dxa"/>
            <w:tcBorders>
              <w:top w:val="nil"/>
              <w:left w:val="nil"/>
              <w:bottom w:val="single" w:sz="4" w:space="0" w:color="auto"/>
              <w:right w:val="single" w:sz="4" w:space="0" w:color="auto"/>
            </w:tcBorders>
            <w:shd w:val="clear" w:color="auto" w:fill="DEEAF6" w:themeFill="accent1" w:themeFillTint="33"/>
            <w:noWrap/>
            <w:vAlign w:val="center"/>
            <w:hideMark/>
          </w:tcPr>
          <w:p w14:paraId="540A7E5B" w14:textId="47BC3790"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 xml:space="preserve">-173,6 </w:t>
            </w:r>
          </w:p>
        </w:tc>
        <w:tc>
          <w:tcPr>
            <w:tcW w:w="910" w:type="dxa"/>
            <w:tcBorders>
              <w:top w:val="nil"/>
              <w:left w:val="nil"/>
              <w:bottom w:val="single" w:sz="4" w:space="0" w:color="auto"/>
              <w:right w:val="single" w:sz="4" w:space="0" w:color="auto"/>
            </w:tcBorders>
            <w:shd w:val="clear" w:color="auto" w:fill="DEEAF6" w:themeFill="accent1" w:themeFillTint="33"/>
            <w:noWrap/>
            <w:vAlign w:val="center"/>
            <w:hideMark/>
          </w:tcPr>
          <w:p w14:paraId="319E527C" w14:textId="611A480F"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 xml:space="preserve">-1 315,1 </w:t>
            </w:r>
          </w:p>
        </w:tc>
        <w:tc>
          <w:tcPr>
            <w:tcW w:w="909" w:type="dxa"/>
            <w:tcBorders>
              <w:top w:val="nil"/>
              <w:left w:val="nil"/>
              <w:bottom w:val="single" w:sz="4" w:space="0" w:color="auto"/>
              <w:right w:val="single" w:sz="4" w:space="0" w:color="auto"/>
            </w:tcBorders>
            <w:shd w:val="clear" w:color="auto" w:fill="DEEAF6" w:themeFill="accent1" w:themeFillTint="33"/>
            <w:noWrap/>
            <w:vAlign w:val="center"/>
            <w:hideMark/>
          </w:tcPr>
          <w:p w14:paraId="21CF2854" w14:textId="09B5A9D3"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 xml:space="preserve">-2 350,6 </w:t>
            </w:r>
          </w:p>
        </w:tc>
        <w:tc>
          <w:tcPr>
            <w:tcW w:w="915" w:type="dxa"/>
            <w:gridSpan w:val="2"/>
            <w:tcBorders>
              <w:top w:val="nil"/>
              <w:left w:val="nil"/>
              <w:bottom w:val="single" w:sz="4" w:space="0" w:color="auto"/>
              <w:right w:val="single" w:sz="4" w:space="0" w:color="auto"/>
            </w:tcBorders>
            <w:shd w:val="clear" w:color="auto" w:fill="DEEAF6" w:themeFill="accent1" w:themeFillTint="33"/>
            <w:noWrap/>
            <w:vAlign w:val="center"/>
            <w:hideMark/>
          </w:tcPr>
          <w:p w14:paraId="234AEAB8" w14:textId="65CEFB5A"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 xml:space="preserve">-1 962,1 </w:t>
            </w:r>
          </w:p>
        </w:tc>
        <w:tc>
          <w:tcPr>
            <w:tcW w:w="909" w:type="dxa"/>
            <w:tcBorders>
              <w:top w:val="nil"/>
              <w:left w:val="nil"/>
              <w:bottom w:val="single" w:sz="4" w:space="0" w:color="auto"/>
              <w:right w:val="single" w:sz="4" w:space="0" w:color="auto"/>
            </w:tcBorders>
            <w:shd w:val="clear" w:color="auto" w:fill="DEEAF6" w:themeFill="accent1" w:themeFillTint="33"/>
            <w:noWrap/>
            <w:vAlign w:val="center"/>
            <w:hideMark/>
          </w:tcPr>
          <w:p w14:paraId="0C1B6445" w14:textId="7EB9ABF9" w:rsidR="002C56D8" w:rsidRPr="005C6D02" w:rsidRDefault="002C56D8" w:rsidP="002C56D8">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 xml:space="preserve">-1 129,2 </w:t>
            </w:r>
          </w:p>
        </w:tc>
        <w:tc>
          <w:tcPr>
            <w:tcW w:w="910" w:type="dxa"/>
            <w:tcBorders>
              <w:top w:val="nil"/>
              <w:left w:val="nil"/>
              <w:bottom w:val="single" w:sz="4" w:space="0" w:color="auto"/>
              <w:right w:val="single" w:sz="4" w:space="0" w:color="auto"/>
            </w:tcBorders>
            <w:shd w:val="clear" w:color="auto" w:fill="DEEAF6" w:themeFill="accent1" w:themeFillTint="33"/>
            <w:noWrap/>
            <w:vAlign w:val="center"/>
            <w:hideMark/>
          </w:tcPr>
          <w:p w14:paraId="11E2733A" w14:textId="19DDF464" w:rsidR="002C56D8" w:rsidRPr="005C6D02" w:rsidRDefault="002C56D8" w:rsidP="002C56D8">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 xml:space="preserve">-196,4 </w:t>
            </w:r>
          </w:p>
        </w:tc>
        <w:tc>
          <w:tcPr>
            <w:tcW w:w="911" w:type="dxa"/>
            <w:tcBorders>
              <w:top w:val="nil"/>
              <w:left w:val="nil"/>
              <w:bottom w:val="single" w:sz="4" w:space="0" w:color="auto"/>
              <w:right w:val="single" w:sz="4" w:space="0" w:color="auto"/>
            </w:tcBorders>
            <w:shd w:val="clear" w:color="auto" w:fill="DEEAF6" w:themeFill="accent1" w:themeFillTint="33"/>
            <w:noWrap/>
            <w:vAlign w:val="center"/>
            <w:hideMark/>
          </w:tcPr>
          <w:p w14:paraId="376B287A" w14:textId="4B90D57F" w:rsidR="002C56D8" w:rsidRPr="005C6D02" w:rsidRDefault="002C56D8" w:rsidP="002C56D8">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 xml:space="preserve">-181,4 </w:t>
            </w:r>
          </w:p>
        </w:tc>
      </w:tr>
      <w:tr w:rsidR="002C56D8" w:rsidRPr="005A3253" w14:paraId="79D4CA01"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084D2448" w14:textId="77777777" w:rsidR="002C56D8" w:rsidRPr="007C4388" w:rsidRDefault="002C56D8" w:rsidP="002C56D8">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EKS KOREKCIJAS</w:t>
            </w:r>
          </w:p>
        </w:tc>
        <w:tc>
          <w:tcPr>
            <w:tcW w:w="904" w:type="dxa"/>
            <w:tcBorders>
              <w:top w:val="nil"/>
              <w:left w:val="nil"/>
              <w:bottom w:val="single" w:sz="4" w:space="0" w:color="auto"/>
              <w:right w:val="single" w:sz="4" w:space="0" w:color="auto"/>
            </w:tcBorders>
            <w:shd w:val="clear" w:color="000000" w:fill="FFFFFF"/>
            <w:noWrap/>
            <w:vAlign w:val="center"/>
            <w:hideMark/>
          </w:tcPr>
          <w:p w14:paraId="12759D06" w14:textId="3D036594"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-56,2</w:t>
            </w:r>
          </w:p>
        </w:tc>
        <w:tc>
          <w:tcPr>
            <w:tcW w:w="910" w:type="dxa"/>
            <w:tcBorders>
              <w:top w:val="nil"/>
              <w:left w:val="nil"/>
              <w:bottom w:val="single" w:sz="4" w:space="0" w:color="auto"/>
              <w:right w:val="single" w:sz="4" w:space="0" w:color="auto"/>
            </w:tcBorders>
            <w:shd w:val="clear" w:color="auto" w:fill="auto"/>
            <w:noWrap/>
            <w:vAlign w:val="center"/>
            <w:hideMark/>
          </w:tcPr>
          <w:p w14:paraId="4515B1DE" w14:textId="6B34A5BB"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-190,2</w:t>
            </w:r>
          </w:p>
        </w:tc>
        <w:tc>
          <w:tcPr>
            <w:tcW w:w="909" w:type="dxa"/>
            <w:tcBorders>
              <w:top w:val="nil"/>
              <w:left w:val="nil"/>
              <w:bottom w:val="single" w:sz="4" w:space="0" w:color="auto"/>
              <w:right w:val="single" w:sz="4" w:space="0" w:color="auto"/>
            </w:tcBorders>
            <w:shd w:val="clear" w:color="auto" w:fill="auto"/>
            <w:noWrap/>
            <w:vAlign w:val="center"/>
            <w:hideMark/>
          </w:tcPr>
          <w:p w14:paraId="6C555E73" w14:textId="352929B5"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-505,8</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22154296" w14:textId="1CDC79EC"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-324,5</w:t>
            </w:r>
          </w:p>
        </w:tc>
        <w:tc>
          <w:tcPr>
            <w:tcW w:w="909" w:type="dxa"/>
            <w:tcBorders>
              <w:top w:val="nil"/>
              <w:left w:val="nil"/>
              <w:bottom w:val="single" w:sz="4" w:space="0" w:color="auto"/>
              <w:right w:val="single" w:sz="4" w:space="0" w:color="auto"/>
            </w:tcBorders>
            <w:shd w:val="clear" w:color="auto" w:fill="auto"/>
            <w:noWrap/>
            <w:vAlign w:val="center"/>
            <w:hideMark/>
          </w:tcPr>
          <w:p w14:paraId="24A8420C" w14:textId="32BE605B"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262,3</w:t>
            </w:r>
          </w:p>
        </w:tc>
        <w:tc>
          <w:tcPr>
            <w:tcW w:w="910" w:type="dxa"/>
            <w:tcBorders>
              <w:top w:val="nil"/>
              <w:left w:val="nil"/>
              <w:bottom w:val="single" w:sz="4" w:space="0" w:color="auto"/>
              <w:right w:val="single" w:sz="4" w:space="0" w:color="auto"/>
            </w:tcBorders>
            <w:shd w:val="clear" w:color="auto" w:fill="auto"/>
            <w:noWrap/>
            <w:vAlign w:val="center"/>
            <w:hideMark/>
          </w:tcPr>
          <w:p w14:paraId="65FA79C2" w14:textId="661F9A45"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-147,1</w:t>
            </w:r>
          </w:p>
        </w:tc>
        <w:tc>
          <w:tcPr>
            <w:tcW w:w="911" w:type="dxa"/>
            <w:tcBorders>
              <w:top w:val="nil"/>
              <w:left w:val="nil"/>
              <w:bottom w:val="single" w:sz="4" w:space="0" w:color="auto"/>
              <w:right w:val="single" w:sz="4" w:space="0" w:color="auto"/>
            </w:tcBorders>
            <w:shd w:val="clear" w:color="auto" w:fill="auto"/>
            <w:noWrap/>
            <w:vAlign w:val="center"/>
            <w:hideMark/>
          </w:tcPr>
          <w:p w14:paraId="551DF88B" w14:textId="4E43842F"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507,6</w:t>
            </w:r>
          </w:p>
        </w:tc>
      </w:tr>
      <w:tr w:rsidR="002C56D8" w:rsidRPr="005A3253" w14:paraId="137B1D3F"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73567C93" w14:textId="77777777" w:rsidR="002C56D8" w:rsidRPr="007C4388" w:rsidRDefault="002C56D8" w:rsidP="002C56D8">
            <w:pPr>
              <w:spacing w:before="0" w:after="0"/>
              <w:ind w:firstLine="0"/>
              <w:contextualSpacing/>
              <w:jc w:val="left"/>
              <w:rPr>
                <w:rFonts w:eastAsia="Times New Roman" w:cs="Times New Roman"/>
                <w:b/>
                <w:bCs/>
                <w:sz w:val="16"/>
                <w:szCs w:val="16"/>
                <w:lang w:eastAsia="lv-LV"/>
              </w:rPr>
            </w:pPr>
            <w:r w:rsidRPr="007C4388">
              <w:rPr>
                <w:rFonts w:eastAsia="Times New Roman" w:cs="Times New Roman"/>
                <w:b/>
                <w:bCs/>
                <w:sz w:val="16"/>
                <w:szCs w:val="16"/>
                <w:lang w:eastAsia="lv-LV"/>
              </w:rPr>
              <w:t>KOPBUDŽETA BILANCE</w:t>
            </w:r>
          </w:p>
        </w:tc>
        <w:tc>
          <w:tcPr>
            <w:tcW w:w="904" w:type="dxa"/>
            <w:tcBorders>
              <w:top w:val="nil"/>
              <w:left w:val="nil"/>
              <w:bottom w:val="single" w:sz="4" w:space="0" w:color="auto"/>
              <w:right w:val="single" w:sz="4" w:space="0" w:color="auto"/>
            </w:tcBorders>
            <w:shd w:val="clear" w:color="auto" w:fill="DEEAF6" w:themeFill="accent1" w:themeFillTint="33"/>
            <w:noWrap/>
            <w:vAlign w:val="center"/>
            <w:hideMark/>
          </w:tcPr>
          <w:p w14:paraId="57F6091D" w14:textId="61B85588"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-117,4</w:t>
            </w:r>
          </w:p>
        </w:tc>
        <w:tc>
          <w:tcPr>
            <w:tcW w:w="910" w:type="dxa"/>
            <w:tcBorders>
              <w:top w:val="nil"/>
              <w:left w:val="nil"/>
              <w:bottom w:val="single" w:sz="4" w:space="0" w:color="auto"/>
              <w:right w:val="single" w:sz="4" w:space="0" w:color="auto"/>
            </w:tcBorders>
            <w:shd w:val="clear" w:color="auto" w:fill="DEEAF6" w:themeFill="accent1" w:themeFillTint="33"/>
            <w:noWrap/>
            <w:vAlign w:val="center"/>
            <w:hideMark/>
          </w:tcPr>
          <w:p w14:paraId="14C8852A" w14:textId="241B03E2"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-1 124,9</w:t>
            </w:r>
          </w:p>
        </w:tc>
        <w:tc>
          <w:tcPr>
            <w:tcW w:w="909" w:type="dxa"/>
            <w:tcBorders>
              <w:top w:val="nil"/>
              <w:left w:val="nil"/>
              <w:bottom w:val="single" w:sz="4" w:space="0" w:color="auto"/>
              <w:right w:val="single" w:sz="4" w:space="0" w:color="auto"/>
            </w:tcBorders>
            <w:shd w:val="clear" w:color="auto" w:fill="DEEAF6" w:themeFill="accent1" w:themeFillTint="33"/>
            <w:noWrap/>
            <w:vAlign w:val="center"/>
            <w:hideMark/>
          </w:tcPr>
          <w:p w14:paraId="6BA957C0" w14:textId="6F1963BE"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-1 844,8</w:t>
            </w:r>
          </w:p>
        </w:tc>
        <w:tc>
          <w:tcPr>
            <w:tcW w:w="915" w:type="dxa"/>
            <w:gridSpan w:val="2"/>
            <w:tcBorders>
              <w:top w:val="nil"/>
              <w:left w:val="nil"/>
              <w:bottom w:val="single" w:sz="4" w:space="0" w:color="auto"/>
              <w:right w:val="single" w:sz="4" w:space="0" w:color="auto"/>
            </w:tcBorders>
            <w:shd w:val="clear" w:color="auto" w:fill="DEEAF6" w:themeFill="accent1" w:themeFillTint="33"/>
            <w:noWrap/>
            <w:vAlign w:val="center"/>
            <w:hideMark/>
          </w:tcPr>
          <w:p w14:paraId="5A984321" w14:textId="73569E87" w:rsidR="002C56D8" w:rsidRPr="007C4388" w:rsidRDefault="002C56D8" w:rsidP="002C56D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-1 637,7</w:t>
            </w:r>
          </w:p>
        </w:tc>
        <w:tc>
          <w:tcPr>
            <w:tcW w:w="909" w:type="dxa"/>
            <w:tcBorders>
              <w:top w:val="nil"/>
              <w:left w:val="nil"/>
              <w:bottom w:val="single" w:sz="4" w:space="0" w:color="auto"/>
              <w:right w:val="single" w:sz="4" w:space="0" w:color="auto"/>
            </w:tcBorders>
            <w:shd w:val="clear" w:color="auto" w:fill="DEEAF6" w:themeFill="accent1" w:themeFillTint="33"/>
            <w:noWrap/>
            <w:vAlign w:val="center"/>
            <w:hideMark/>
          </w:tcPr>
          <w:p w14:paraId="1E5435DD" w14:textId="28CE6A7A" w:rsidR="002C56D8" w:rsidRPr="005C6D02" w:rsidRDefault="002C56D8" w:rsidP="002C56D8">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-1 391,5</w:t>
            </w:r>
          </w:p>
        </w:tc>
        <w:tc>
          <w:tcPr>
            <w:tcW w:w="910" w:type="dxa"/>
            <w:tcBorders>
              <w:top w:val="nil"/>
              <w:left w:val="nil"/>
              <w:bottom w:val="single" w:sz="4" w:space="0" w:color="auto"/>
              <w:right w:val="single" w:sz="4" w:space="0" w:color="auto"/>
            </w:tcBorders>
            <w:shd w:val="clear" w:color="auto" w:fill="DEEAF6" w:themeFill="accent1" w:themeFillTint="33"/>
            <w:noWrap/>
            <w:vAlign w:val="center"/>
            <w:hideMark/>
          </w:tcPr>
          <w:p w14:paraId="1FA30FD7" w14:textId="24D4805E" w:rsidR="002C56D8" w:rsidRPr="005C6D02" w:rsidRDefault="002C56D8" w:rsidP="002C56D8">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-49,4</w:t>
            </w:r>
          </w:p>
        </w:tc>
        <w:tc>
          <w:tcPr>
            <w:tcW w:w="911" w:type="dxa"/>
            <w:tcBorders>
              <w:top w:val="nil"/>
              <w:left w:val="nil"/>
              <w:bottom w:val="single" w:sz="4" w:space="0" w:color="auto"/>
              <w:right w:val="single" w:sz="4" w:space="0" w:color="auto"/>
            </w:tcBorders>
            <w:shd w:val="clear" w:color="auto" w:fill="DEEAF6" w:themeFill="accent1" w:themeFillTint="33"/>
            <w:noWrap/>
            <w:vAlign w:val="center"/>
            <w:hideMark/>
          </w:tcPr>
          <w:p w14:paraId="4DA3798E" w14:textId="1D49A184" w:rsidR="002C56D8" w:rsidRPr="005C6D02" w:rsidRDefault="002C56D8" w:rsidP="002C56D8">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-689,0</w:t>
            </w:r>
          </w:p>
        </w:tc>
      </w:tr>
      <w:tr w:rsidR="002C56D8" w:rsidRPr="005A3253" w14:paraId="1319AF2A"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751DB97F" w14:textId="77777777" w:rsidR="002C56D8" w:rsidRPr="007C4388" w:rsidRDefault="002C56D8" w:rsidP="002C56D8">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Ieņēmumi</w:t>
            </w:r>
          </w:p>
        </w:tc>
        <w:tc>
          <w:tcPr>
            <w:tcW w:w="904" w:type="dxa"/>
            <w:tcBorders>
              <w:top w:val="nil"/>
              <w:left w:val="nil"/>
              <w:bottom w:val="single" w:sz="4" w:space="0" w:color="auto"/>
              <w:right w:val="single" w:sz="4" w:space="0" w:color="auto"/>
            </w:tcBorders>
            <w:shd w:val="clear" w:color="000000" w:fill="FFFFFF"/>
            <w:noWrap/>
            <w:vAlign w:val="center"/>
            <w:hideMark/>
          </w:tcPr>
          <w:p w14:paraId="10624582" w14:textId="4EE55DFA" w:rsidR="002C56D8" w:rsidRPr="007C4388" w:rsidRDefault="002C56D8" w:rsidP="002C56D8">
            <w:pPr>
              <w:spacing w:before="0" w:after="0"/>
              <w:ind w:firstLine="0"/>
              <w:contextualSpacing/>
              <w:rPr>
                <w:rFonts w:eastAsia="Times New Roman" w:cs="Times New Roman"/>
                <w:sz w:val="16"/>
                <w:szCs w:val="16"/>
                <w:highlight w:val="yellow"/>
                <w:lang w:eastAsia="lv-LV"/>
              </w:rPr>
            </w:pPr>
            <w:r w:rsidRPr="007C4388">
              <w:rPr>
                <w:rFonts w:cs="Times New Roman"/>
                <w:sz w:val="16"/>
                <w:szCs w:val="16"/>
              </w:rPr>
              <w:t>11 407,6</w:t>
            </w:r>
          </w:p>
        </w:tc>
        <w:tc>
          <w:tcPr>
            <w:tcW w:w="910" w:type="dxa"/>
            <w:tcBorders>
              <w:top w:val="nil"/>
              <w:left w:val="nil"/>
              <w:bottom w:val="single" w:sz="4" w:space="0" w:color="auto"/>
              <w:right w:val="single" w:sz="4" w:space="0" w:color="auto"/>
            </w:tcBorders>
            <w:shd w:val="clear" w:color="auto" w:fill="auto"/>
            <w:noWrap/>
            <w:vAlign w:val="center"/>
            <w:hideMark/>
          </w:tcPr>
          <w:p w14:paraId="2511562F" w14:textId="1E0985B5"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11 337,4</w:t>
            </w:r>
          </w:p>
        </w:tc>
        <w:tc>
          <w:tcPr>
            <w:tcW w:w="909" w:type="dxa"/>
            <w:tcBorders>
              <w:top w:val="nil"/>
              <w:left w:val="nil"/>
              <w:bottom w:val="single" w:sz="4" w:space="0" w:color="auto"/>
              <w:right w:val="single" w:sz="4" w:space="0" w:color="auto"/>
            </w:tcBorders>
            <w:shd w:val="clear" w:color="auto" w:fill="auto"/>
            <w:noWrap/>
            <w:vAlign w:val="center"/>
            <w:hideMark/>
          </w:tcPr>
          <w:p w14:paraId="25240744" w14:textId="3D4F91A7"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12 549,2</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72378C66" w14:textId="27130CA0"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14 295,0</w:t>
            </w:r>
          </w:p>
        </w:tc>
        <w:tc>
          <w:tcPr>
            <w:tcW w:w="909" w:type="dxa"/>
            <w:tcBorders>
              <w:top w:val="nil"/>
              <w:left w:val="nil"/>
              <w:bottom w:val="single" w:sz="4" w:space="0" w:color="auto"/>
              <w:right w:val="single" w:sz="4" w:space="0" w:color="auto"/>
            </w:tcBorders>
            <w:shd w:val="clear" w:color="auto" w:fill="auto"/>
            <w:noWrap/>
            <w:vAlign w:val="center"/>
            <w:hideMark/>
          </w:tcPr>
          <w:p w14:paraId="581216F2" w14:textId="185FCEF7"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14 952,7</w:t>
            </w:r>
          </w:p>
        </w:tc>
        <w:tc>
          <w:tcPr>
            <w:tcW w:w="910" w:type="dxa"/>
            <w:tcBorders>
              <w:top w:val="nil"/>
              <w:left w:val="nil"/>
              <w:bottom w:val="single" w:sz="4" w:space="0" w:color="auto"/>
              <w:right w:val="single" w:sz="4" w:space="0" w:color="auto"/>
            </w:tcBorders>
            <w:shd w:val="clear" w:color="auto" w:fill="auto"/>
            <w:noWrap/>
            <w:vAlign w:val="center"/>
            <w:hideMark/>
          </w:tcPr>
          <w:p w14:paraId="49071F59" w14:textId="3ECB85BB"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16 238,8</w:t>
            </w:r>
          </w:p>
        </w:tc>
        <w:tc>
          <w:tcPr>
            <w:tcW w:w="911" w:type="dxa"/>
            <w:tcBorders>
              <w:top w:val="nil"/>
              <w:left w:val="nil"/>
              <w:bottom w:val="single" w:sz="4" w:space="0" w:color="auto"/>
              <w:right w:val="single" w:sz="4" w:space="0" w:color="auto"/>
            </w:tcBorders>
            <w:shd w:val="clear" w:color="auto" w:fill="auto"/>
            <w:noWrap/>
            <w:vAlign w:val="center"/>
            <w:hideMark/>
          </w:tcPr>
          <w:p w14:paraId="314A8694" w14:textId="45BAF8E3"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16 034,6</w:t>
            </w:r>
          </w:p>
        </w:tc>
      </w:tr>
      <w:tr w:rsidR="002C56D8" w:rsidRPr="005A3253" w14:paraId="3E981837"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5B61981A"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Nodokļu ieņēmumi</w:t>
            </w:r>
          </w:p>
        </w:tc>
        <w:tc>
          <w:tcPr>
            <w:tcW w:w="904" w:type="dxa"/>
            <w:tcBorders>
              <w:top w:val="nil"/>
              <w:left w:val="nil"/>
              <w:bottom w:val="single" w:sz="4" w:space="0" w:color="auto"/>
              <w:right w:val="single" w:sz="4" w:space="0" w:color="auto"/>
            </w:tcBorders>
            <w:shd w:val="clear" w:color="000000" w:fill="FFFFFF"/>
            <w:noWrap/>
            <w:vAlign w:val="center"/>
            <w:hideMark/>
          </w:tcPr>
          <w:p w14:paraId="4A14FFFA" w14:textId="6838B4D6"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9 057,3</w:t>
            </w:r>
          </w:p>
        </w:tc>
        <w:tc>
          <w:tcPr>
            <w:tcW w:w="910" w:type="dxa"/>
            <w:tcBorders>
              <w:top w:val="nil"/>
              <w:left w:val="nil"/>
              <w:bottom w:val="single" w:sz="4" w:space="0" w:color="auto"/>
              <w:right w:val="single" w:sz="4" w:space="0" w:color="auto"/>
            </w:tcBorders>
            <w:shd w:val="clear" w:color="auto" w:fill="auto"/>
            <w:noWrap/>
            <w:vAlign w:val="center"/>
            <w:hideMark/>
          </w:tcPr>
          <w:p w14:paraId="22ACEE31" w14:textId="23A5CE75"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9 006,5</w:t>
            </w:r>
          </w:p>
        </w:tc>
        <w:tc>
          <w:tcPr>
            <w:tcW w:w="909" w:type="dxa"/>
            <w:tcBorders>
              <w:top w:val="nil"/>
              <w:left w:val="nil"/>
              <w:bottom w:val="single" w:sz="4" w:space="0" w:color="auto"/>
              <w:right w:val="single" w:sz="4" w:space="0" w:color="auto"/>
            </w:tcBorders>
            <w:shd w:val="clear" w:color="auto" w:fill="auto"/>
            <w:noWrap/>
            <w:vAlign w:val="center"/>
            <w:hideMark/>
          </w:tcPr>
          <w:p w14:paraId="5F3A9581" w14:textId="0C7941BC"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10 031,0</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65866F8B" w14:textId="5AF7F676"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11 579,3</w:t>
            </w:r>
          </w:p>
        </w:tc>
        <w:tc>
          <w:tcPr>
            <w:tcW w:w="909" w:type="dxa"/>
            <w:tcBorders>
              <w:top w:val="nil"/>
              <w:left w:val="nil"/>
              <w:bottom w:val="single" w:sz="4" w:space="0" w:color="auto"/>
              <w:right w:val="single" w:sz="4" w:space="0" w:color="auto"/>
            </w:tcBorders>
            <w:shd w:val="clear" w:color="auto" w:fill="auto"/>
            <w:noWrap/>
            <w:vAlign w:val="center"/>
            <w:hideMark/>
          </w:tcPr>
          <w:p w14:paraId="71722719" w14:textId="714BD181"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12 244,2</w:t>
            </w:r>
          </w:p>
        </w:tc>
        <w:tc>
          <w:tcPr>
            <w:tcW w:w="910" w:type="dxa"/>
            <w:tcBorders>
              <w:top w:val="nil"/>
              <w:left w:val="nil"/>
              <w:bottom w:val="single" w:sz="4" w:space="0" w:color="auto"/>
              <w:right w:val="single" w:sz="4" w:space="0" w:color="auto"/>
            </w:tcBorders>
            <w:shd w:val="clear" w:color="auto" w:fill="auto"/>
            <w:noWrap/>
            <w:vAlign w:val="center"/>
            <w:hideMark/>
          </w:tcPr>
          <w:p w14:paraId="4352D0BC" w14:textId="5558FF3F"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12 899,9</w:t>
            </w:r>
          </w:p>
        </w:tc>
        <w:tc>
          <w:tcPr>
            <w:tcW w:w="911" w:type="dxa"/>
            <w:tcBorders>
              <w:top w:val="nil"/>
              <w:left w:val="nil"/>
              <w:bottom w:val="single" w:sz="4" w:space="0" w:color="auto"/>
              <w:right w:val="single" w:sz="4" w:space="0" w:color="auto"/>
            </w:tcBorders>
            <w:shd w:val="clear" w:color="auto" w:fill="auto"/>
            <w:noWrap/>
            <w:vAlign w:val="center"/>
            <w:hideMark/>
          </w:tcPr>
          <w:p w14:paraId="5B1E9071" w14:textId="3FEF6BE8"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13 574,7</w:t>
            </w:r>
          </w:p>
        </w:tc>
      </w:tr>
      <w:tr w:rsidR="002C56D8" w:rsidRPr="005A3253" w14:paraId="1A42C601"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6BE5D5A9"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noProof/>
                <w:sz w:val="16"/>
                <w:szCs w:val="16"/>
                <w:lang w:eastAsia="lv-LV"/>
              </w:rPr>
              <w:t>Nenodokļu ieņēmum</w:t>
            </w:r>
            <w:r w:rsidRPr="007C4388">
              <w:rPr>
                <w:rFonts w:eastAsia="Times New Roman" w:cs="Times New Roman"/>
                <w:sz w:val="16"/>
                <w:szCs w:val="16"/>
                <w:lang w:eastAsia="lv-LV"/>
              </w:rPr>
              <w:t>i</w:t>
            </w:r>
          </w:p>
        </w:tc>
        <w:tc>
          <w:tcPr>
            <w:tcW w:w="904" w:type="dxa"/>
            <w:tcBorders>
              <w:top w:val="nil"/>
              <w:left w:val="nil"/>
              <w:bottom w:val="single" w:sz="4" w:space="0" w:color="auto"/>
              <w:right w:val="single" w:sz="4" w:space="0" w:color="auto"/>
            </w:tcBorders>
            <w:shd w:val="clear" w:color="000000" w:fill="FFFFFF"/>
            <w:noWrap/>
            <w:vAlign w:val="center"/>
            <w:hideMark/>
          </w:tcPr>
          <w:p w14:paraId="6B42B2DF" w14:textId="477407CB"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642,5</w:t>
            </w:r>
          </w:p>
        </w:tc>
        <w:tc>
          <w:tcPr>
            <w:tcW w:w="910" w:type="dxa"/>
            <w:tcBorders>
              <w:top w:val="nil"/>
              <w:left w:val="nil"/>
              <w:bottom w:val="single" w:sz="4" w:space="0" w:color="auto"/>
              <w:right w:val="single" w:sz="4" w:space="0" w:color="auto"/>
            </w:tcBorders>
            <w:shd w:val="clear" w:color="auto" w:fill="auto"/>
            <w:noWrap/>
            <w:vAlign w:val="center"/>
            <w:hideMark/>
          </w:tcPr>
          <w:p w14:paraId="78D5063A" w14:textId="5FB77AAF"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666,3</w:t>
            </w:r>
          </w:p>
        </w:tc>
        <w:tc>
          <w:tcPr>
            <w:tcW w:w="909" w:type="dxa"/>
            <w:tcBorders>
              <w:top w:val="nil"/>
              <w:left w:val="nil"/>
              <w:bottom w:val="single" w:sz="4" w:space="0" w:color="auto"/>
              <w:right w:val="single" w:sz="4" w:space="0" w:color="auto"/>
            </w:tcBorders>
            <w:shd w:val="clear" w:color="auto" w:fill="auto"/>
            <w:noWrap/>
            <w:vAlign w:val="center"/>
            <w:hideMark/>
          </w:tcPr>
          <w:p w14:paraId="1F5CCA98" w14:textId="69358EAD"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771,2</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45D4F5DF" w14:textId="523889F3"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819,4</w:t>
            </w:r>
          </w:p>
        </w:tc>
        <w:tc>
          <w:tcPr>
            <w:tcW w:w="909" w:type="dxa"/>
            <w:tcBorders>
              <w:top w:val="nil"/>
              <w:left w:val="nil"/>
              <w:bottom w:val="single" w:sz="4" w:space="0" w:color="auto"/>
              <w:right w:val="single" w:sz="4" w:space="0" w:color="auto"/>
            </w:tcBorders>
            <w:shd w:val="clear" w:color="auto" w:fill="auto"/>
            <w:noWrap/>
            <w:vAlign w:val="center"/>
            <w:hideMark/>
          </w:tcPr>
          <w:p w14:paraId="15E93EE3" w14:textId="1DD62838"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781,3</w:t>
            </w:r>
          </w:p>
        </w:tc>
        <w:tc>
          <w:tcPr>
            <w:tcW w:w="910" w:type="dxa"/>
            <w:tcBorders>
              <w:top w:val="nil"/>
              <w:left w:val="nil"/>
              <w:bottom w:val="single" w:sz="4" w:space="0" w:color="auto"/>
              <w:right w:val="single" w:sz="4" w:space="0" w:color="auto"/>
            </w:tcBorders>
            <w:shd w:val="clear" w:color="auto" w:fill="auto"/>
            <w:noWrap/>
            <w:vAlign w:val="center"/>
            <w:hideMark/>
          </w:tcPr>
          <w:p w14:paraId="301E39E5" w14:textId="39BFA5FA"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690,7</w:t>
            </w:r>
          </w:p>
        </w:tc>
        <w:tc>
          <w:tcPr>
            <w:tcW w:w="911" w:type="dxa"/>
            <w:tcBorders>
              <w:top w:val="nil"/>
              <w:left w:val="nil"/>
              <w:bottom w:val="single" w:sz="4" w:space="0" w:color="auto"/>
              <w:right w:val="single" w:sz="4" w:space="0" w:color="auto"/>
            </w:tcBorders>
            <w:shd w:val="clear" w:color="auto" w:fill="auto"/>
            <w:noWrap/>
            <w:vAlign w:val="center"/>
            <w:hideMark/>
          </w:tcPr>
          <w:p w14:paraId="129FDF36" w14:textId="560E2878"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704,6</w:t>
            </w:r>
          </w:p>
        </w:tc>
      </w:tr>
      <w:tr w:rsidR="002C56D8" w:rsidRPr="005A3253" w14:paraId="4F68F30D"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0EB2CE5C"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Pašu ieņēmumi</w:t>
            </w:r>
          </w:p>
        </w:tc>
        <w:tc>
          <w:tcPr>
            <w:tcW w:w="904" w:type="dxa"/>
            <w:tcBorders>
              <w:top w:val="nil"/>
              <w:left w:val="nil"/>
              <w:bottom w:val="single" w:sz="4" w:space="0" w:color="auto"/>
              <w:right w:val="single" w:sz="4" w:space="0" w:color="auto"/>
            </w:tcBorders>
            <w:shd w:val="clear" w:color="000000" w:fill="FFFFFF"/>
            <w:noWrap/>
            <w:vAlign w:val="center"/>
            <w:hideMark/>
          </w:tcPr>
          <w:p w14:paraId="7CA36986" w14:textId="4AD87EE0"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382,5</w:t>
            </w:r>
          </w:p>
        </w:tc>
        <w:tc>
          <w:tcPr>
            <w:tcW w:w="910" w:type="dxa"/>
            <w:tcBorders>
              <w:top w:val="nil"/>
              <w:left w:val="nil"/>
              <w:bottom w:val="single" w:sz="4" w:space="0" w:color="auto"/>
              <w:right w:val="single" w:sz="4" w:space="0" w:color="auto"/>
            </w:tcBorders>
            <w:shd w:val="clear" w:color="auto" w:fill="auto"/>
            <w:noWrap/>
            <w:vAlign w:val="center"/>
            <w:hideMark/>
          </w:tcPr>
          <w:p w14:paraId="24142C2C" w14:textId="7AD79102"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348,4</w:t>
            </w:r>
          </w:p>
        </w:tc>
        <w:tc>
          <w:tcPr>
            <w:tcW w:w="909" w:type="dxa"/>
            <w:tcBorders>
              <w:top w:val="nil"/>
              <w:left w:val="nil"/>
              <w:bottom w:val="single" w:sz="4" w:space="0" w:color="auto"/>
              <w:right w:val="single" w:sz="4" w:space="0" w:color="auto"/>
            </w:tcBorders>
            <w:shd w:val="clear" w:color="auto" w:fill="auto"/>
            <w:noWrap/>
            <w:vAlign w:val="center"/>
            <w:hideMark/>
          </w:tcPr>
          <w:p w14:paraId="34EF5C71" w14:textId="32725C00"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372,5</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5DBA2754" w14:textId="0231D866"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417,2</w:t>
            </w:r>
          </w:p>
        </w:tc>
        <w:tc>
          <w:tcPr>
            <w:tcW w:w="909" w:type="dxa"/>
            <w:tcBorders>
              <w:top w:val="nil"/>
              <w:left w:val="nil"/>
              <w:bottom w:val="single" w:sz="4" w:space="0" w:color="auto"/>
              <w:right w:val="single" w:sz="4" w:space="0" w:color="auto"/>
            </w:tcBorders>
            <w:shd w:val="clear" w:color="auto" w:fill="auto"/>
            <w:noWrap/>
            <w:vAlign w:val="center"/>
            <w:hideMark/>
          </w:tcPr>
          <w:p w14:paraId="498397E8" w14:textId="77FABE45"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421,8</w:t>
            </w:r>
          </w:p>
        </w:tc>
        <w:tc>
          <w:tcPr>
            <w:tcW w:w="910" w:type="dxa"/>
            <w:tcBorders>
              <w:top w:val="nil"/>
              <w:left w:val="nil"/>
              <w:bottom w:val="single" w:sz="4" w:space="0" w:color="auto"/>
              <w:right w:val="single" w:sz="4" w:space="0" w:color="auto"/>
            </w:tcBorders>
            <w:shd w:val="clear" w:color="auto" w:fill="auto"/>
            <w:noWrap/>
            <w:vAlign w:val="center"/>
            <w:hideMark/>
          </w:tcPr>
          <w:p w14:paraId="586789AE" w14:textId="606386EC"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414,4</w:t>
            </w:r>
          </w:p>
        </w:tc>
        <w:tc>
          <w:tcPr>
            <w:tcW w:w="911" w:type="dxa"/>
            <w:tcBorders>
              <w:top w:val="nil"/>
              <w:left w:val="nil"/>
              <w:bottom w:val="single" w:sz="4" w:space="0" w:color="auto"/>
              <w:right w:val="single" w:sz="4" w:space="0" w:color="auto"/>
            </w:tcBorders>
            <w:shd w:val="clear" w:color="auto" w:fill="auto"/>
            <w:noWrap/>
            <w:vAlign w:val="center"/>
            <w:hideMark/>
          </w:tcPr>
          <w:p w14:paraId="1719AF5B" w14:textId="660737D2"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416,6</w:t>
            </w:r>
          </w:p>
        </w:tc>
      </w:tr>
      <w:tr w:rsidR="002C56D8" w:rsidRPr="005A3253" w14:paraId="39AF24F3"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08410E05"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Ārvalstu finanšu palīdzība</w:t>
            </w:r>
          </w:p>
        </w:tc>
        <w:tc>
          <w:tcPr>
            <w:tcW w:w="904" w:type="dxa"/>
            <w:tcBorders>
              <w:top w:val="nil"/>
              <w:left w:val="nil"/>
              <w:bottom w:val="single" w:sz="4" w:space="0" w:color="auto"/>
              <w:right w:val="single" w:sz="4" w:space="0" w:color="auto"/>
            </w:tcBorders>
            <w:shd w:val="clear" w:color="000000" w:fill="FFFFFF"/>
            <w:noWrap/>
            <w:vAlign w:val="center"/>
            <w:hideMark/>
          </w:tcPr>
          <w:p w14:paraId="42C3968E" w14:textId="3E796A11"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1 320,1</w:t>
            </w:r>
          </w:p>
        </w:tc>
        <w:tc>
          <w:tcPr>
            <w:tcW w:w="910" w:type="dxa"/>
            <w:tcBorders>
              <w:top w:val="nil"/>
              <w:left w:val="nil"/>
              <w:bottom w:val="single" w:sz="4" w:space="0" w:color="auto"/>
              <w:right w:val="single" w:sz="4" w:space="0" w:color="auto"/>
            </w:tcBorders>
            <w:shd w:val="clear" w:color="auto" w:fill="auto"/>
            <w:noWrap/>
            <w:vAlign w:val="center"/>
            <w:hideMark/>
          </w:tcPr>
          <w:p w14:paraId="64739D06" w14:textId="7CADD229"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1 310,3</w:t>
            </w:r>
          </w:p>
        </w:tc>
        <w:tc>
          <w:tcPr>
            <w:tcW w:w="909" w:type="dxa"/>
            <w:tcBorders>
              <w:top w:val="nil"/>
              <w:left w:val="nil"/>
              <w:bottom w:val="single" w:sz="4" w:space="0" w:color="auto"/>
              <w:right w:val="single" w:sz="4" w:space="0" w:color="auto"/>
            </w:tcBorders>
            <w:shd w:val="clear" w:color="auto" w:fill="auto"/>
            <w:noWrap/>
            <w:vAlign w:val="center"/>
            <w:hideMark/>
          </w:tcPr>
          <w:p w14:paraId="425BEE68" w14:textId="2DB3B317"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1 371,0</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5BD5F5F4" w14:textId="74A3610D"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1 478,4</w:t>
            </w:r>
          </w:p>
        </w:tc>
        <w:tc>
          <w:tcPr>
            <w:tcW w:w="909" w:type="dxa"/>
            <w:tcBorders>
              <w:top w:val="nil"/>
              <w:left w:val="nil"/>
              <w:bottom w:val="single" w:sz="4" w:space="0" w:color="auto"/>
              <w:right w:val="single" w:sz="4" w:space="0" w:color="auto"/>
            </w:tcBorders>
            <w:shd w:val="clear" w:color="auto" w:fill="auto"/>
            <w:noWrap/>
            <w:vAlign w:val="center"/>
            <w:hideMark/>
          </w:tcPr>
          <w:p w14:paraId="3A497A3E" w14:textId="7ED4840C"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1 504,6</w:t>
            </w:r>
          </w:p>
        </w:tc>
        <w:tc>
          <w:tcPr>
            <w:tcW w:w="910" w:type="dxa"/>
            <w:tcBorders>
              <w:top w:val="nil"/>
              <w:left w:val="nil"/>
              <w:bottom w:val="single" w:sz="4" w:space="0" w:color="auto"/>
              <w:right w:val="single" w:sz="4" w:space="0" w:color="auto"/>
            </w:tcBorders>
            <w:shd w:val="clear" w:color="auto" w:fill="auto"/>
            <w:noWrap/>
            <w:vAlign w:val="center"/>
            <w:hideMark/>
          </w:tcPr>
          <w:p w14:paraId="2FE365E1" w14:textId="495B421D"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2 233,0</w:t>
            </w:r>
          </w:p>
        </w:tc>
        <w:tc>
          <w:tcPr>
            <w:tcW w:w="911" w:type="dxa"/>
            <w:tcBorders>
              <w:top w:val="nil"/>
              <w:left w:val="nil"/>
              <w:bottom w:val="single" w:sz="4" w:space="0" w:color="auto"/>
              <w:right w:val="single" w:sz="4" w:space="0" w:color="auto"/>
            </w:tcBorders>
            <w:shd w:val="clear" w:color="auto" w:fill="auto"/>
            <w:noWrap/>
            <w:vAlign w:val="center"/>
            <w:hideMark/>
          </w:tcPr>
          <w:p w14:paraId="41C83BE9" w14:textId="0A9C0EA0"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1 337,9</w:t>
            </w:r>
          </w:p>
        </w:tc>
      </w:tr>
      <w:tr w:rsidR="002C56D8" w:rsidRPr="005A3253" w14:paraId="2204E3BD"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0F2946D0"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Pārējie ieņēmumi</w:t>
            </w:r>
          </w:p>
        </w:tc>
        <w:tc>
          <w:tcPr>
            <w:tcW w:w="904" w:type="dxa"/>
            <w:tcBorders>
              <w:top w:val="nil"/>
              <w:left w:val="nil"/>
              <w:bottom w:val="single" w:sz="4" w:space="0" w:color="auto"/>
              <w:right w:val="single" w:sz="4" w:space="0" w:color="auto"/>
            </w:tcBorders>
            <w:shd w:val="clear" w:color="000000" w:fill="FFFFFF"/>
            <w:noWrap/>
            <w:vAlign w:val="center"/>
            <w:hideMark/>
          </w:tcPr>
          <w:p w14:paraId="3D8E4672" w14:textId="22365B0C"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5,1</w:t>
            </w:r>
          </w:p>
        </w:tc>
        <w:tc>
          <w:tcPr>
            <w:tcW w:w="910" w:type="dxa"/>
            <w:tcBorders>
              <w:top w:val="nil"/>
              <w:left w:val="nil"/>
              <w:bottom w:val="single" w:sz="4" w:space="0" w:color="auto"/>
              <w:right w:val="single" w:sz="4" w:space="0" w:color="auto"/>
            </w:tcBorders>
            <w:shd w:val="clear" w:color="auto" w:fill="auto"/>
            <w:noWrap/>
            <w:vAlign w:val="center"/>
            <w:hideMark/>
          </w:tcPr>
          <w:p w14:paraId="163155B0" w14:textId="7AD6A603"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5,8</w:t>
            </w:r>
          </w:p>
        </w:tc>
        <w:tc>
          <w:tcPr>
            <w:tcW w:w="909" w:type="dxa"/>
            <w:tcBorders>
              <w:top w:val="nil"/>
              <w:left w:val="nil"/>
              <w:bottom w:val="single" w:sz="4" w:space="0" w:color="auto"/>
              <w:right w:val="single" w:sz="4" w:space="0" w:color="auto"/>
            </w:tcBorders>
            <w:shd w:val="clear" w:color="auto" w:fill="auto"/>
            <w:noWrap/>
            <w:vAlign w:val="center"/>
            <w:hideMark/>
          </w:tcPr>
          <w:p w14:paraId="7DB10558" w14:textId="326B3445"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3,4</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0B26FAF5" w14:textId="6B8DF6FA"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0,7</w:t>
            </w:r>
          </w:p>
        </w:tc>
        <w:tc>
          <w:tcPr>
            <w:tcW w:w="909" w:type="dxa"/>
            <w:tcBorders>
              <w:top w:val="nil"/>
              <w:left w:val="nil"/>
              <w:bottom w:val="single" w:sz="4" w:space="0" w:color="auto"/>
              <w:right w:val="single" w:sz="4" w:space="0" w:color="auto"/>
            </w:tcBorders>
            <w:shd w:val="clear" w:color="auto" w:fill="auto"/>
            <w:noWrap/>
            <w:vAlign w:val="center"/>
            <w:hideMark/>
          </w:tcPr>
          <w:p w14:paraId="71763163" w14:textId="17484F94"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0,7</w:t>
            </w:r>
          </w:p>
        </w:tc>
        <w:tc>
          <w:tcPr>
            <w:tcW w:w="910" w:type="dxa"/>
            <w:tcBorders>
              <w:top w:val="nil"/>
              <w:left w:val="nil"/>
              <w:bottom w:val="single" w:sz="4" w:space="0" w:color="auto"/>
              <w:right w:val="single" w:sz="4" w:space="0" w:color="auto"/>
            </w:tcBorders>
            <w:shd w:val="clear" w:color="auto" w:fill="auto"/>
            <w:noWrap/>
            <w:vAlign w:val="center"/>
            <w:hideMark/>
          </w:tcPr>
          <w:p w14:paraId="5E519F7F" w14:textId="32F95E21"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0,7</w:t>
            </w:r>
          </w:p>
        </w:tc>
        <w:tc>
          <w:tcPr>
            <w:tcW w:w="911" w:type="dxa"/>
            <w:tcBorders>
              <w:top w:val="nil"/>
              <w:left w:val="nil"/>
              <w:bottom w:val="single" w:sz="4" w:space="0" w:color="auto"/>
              <w:right w:val="single" w:sz="4" w:space="0" w:color="auto"/>
            </w:tcBorders>
            <w:shd w:val="clear" w:color="auto" w:fill="auto"/>
            <w:noWrap/>
            <w:vAlign w:val="center"/>
            <w:hideMark/>
          </w:tcPr>
          <w:p w14:paraId="7C60A0C7" w14:textId="648C0D6D"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0,7</w:t>
            </w:r>
          </w:p>
        </w:tc>
      </w:tr>
      <w:tr w:rsidR="002C56D8" w:rsidRPr="005A3253" w14:paraId="5952C4F3"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30A17D70" w14:textId="77777777" w:rsidR="002C56D8" w:rsidRPr="007C4388" w:rsidRDefault="002C56D8" w:rsidP="002C56D8">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Izdevumi</w:t>
            </w:r>
          </w:p>
        </w:tc>
        <w:tc>
          <w:tcPr>
            <w:tcW w:w="904" w:type="dxa"/>
            <w:tcBorders>
              <w:top w:val="nil"/>
              <w:left w:val="nil"/>
              <w:bottom w:val="single" w:sz="4" w:space="0" w:color="auto"/>
              <w:right w:val="single" w:sz="4" w:space="0" w:color="auto"/>
            </w:tcBorders>
            <w:shd w:val="clear" w:color="000000" w:fill="FFFFFF"/>
            <w:noWrap/>
            <w:vAlign w:val="center"/>
            <w:hideMark/>
          </w:tcPr>
          <w:p w14:paraId="3E55F8DF" w14:textId="2686A8E5" w:rsidR="002C56D8" w:rsidRPr="007C4388" w:rsidRDefault="002C56D8" w:rsidP="002C56D8">
            <w:pPr>
              <w:spacing w:before="0" w:after="0"/>
              <w:ind w:firstLine="0"/>
              <w:contextualSpacing/>
              <w:rPr>
                <w:rFonts w:eastAsia="Times New Roman" w:cs="Times New Roman"/>
                <w:sz w:val="16"/>
                <w:szCs w:val="16"/>
                <w:highlight w:val="yellow"/>
                <w:lang w:eastAsia="lv-LV"/>
              </w:rPr>
            </w:pPr>
            <w:r w:rsidRPr="007C4388">
              <w:rPr>
                <w:rFonts w:cs="Times New Roman"/>
                <w:sz w:val="16"/>
                <w:szCs w:val="16"/>
              </w:rPr>
              <w:t>11 525,0</w:t>
            </w:r>
          </w:p>
        </w:tc>
        <w:tc>
          <w:tcPr>
            <w:tcW w:w="910" w:type="dxa"/>
            <w:tcBorders>
              <w:top w:val="nil"/>
              <w:left w:val="nil"/>
              <w:bottom w:val="single" w:sz="4" w:space="0" w:color="auto"/>
              <w:right w:val="single" w:sz="4" w:space="0" w:color="auto"/>
            </w:tcBorders>
            <w:shd w:val="clear" w:color="auto" w:fill="auto"/>
            <w:noWrap/>
            <w:vAlign w:val="center"/>
            <w:hideMark/>
          </w:tcPr>
          <w:p w14:paraId="03394BEC" w14:textId="78D99F2D"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12 462,2</w:t>
            </w:r>
          </w:p>
        </w:tc>
        <w:tc>
          <w:tcPr>
            <w:tcW w:w="909" w:type="dxa"/>
            <w:tcBorders>
              <w:top w:val="nil"/>
              <w:left w:val="nil"/>
              <w:bottom w:val="single" w:sz="4" w:space="0" w:color="auto"/>
              <w:right w:val="single" w:sz="4" w:space="0" w:color="auto"/>
            </w:tcBorders>
            <w:shd w:val="clear" w:color="auto" w:fill="auto"/>
            <w:noWrap/>
            <w:vAlign w:val="center"/>
            <w:hideMark/>
          </w:tcPr>
          <w:p w14:paraId="48224618" w14:textId="0CE57A02"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14 394,0</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65E7EAC0" w14:textId="6BE19F85"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15 932,7</w:t>
            </w:r>
          </w:p>
        </w:tc>
        <w:tc>
          <w:tcPr>
            <w:tcW w:w="909" w:type="dxa"/>
            <w:tcBorders>
              <w:top w:val="nil"/>
              <w:left w:val="nil"/>
              <w:bottom w:val="single" w:sz="4" w:space="0" w:color="auto"/>
              <w:right w:val="single" w:sz="4" w:space="0" w:color="auto"/>
            </w:tcBorders>
            <w:shd w:val="clear" w:color="auto" w:fill="auto"/>
            <w:noWrap/>
            <w:vAlign w:val="center"/>
            <w:hideMark/>
          </w:tcPr>
          <w:p w14:paraId="0D25A50A" w14:textId="405D7364"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16 344,1</w:t>
            </w:r>
          </w:p>
        </w:tc>
        <w:tc>
          <w:tcPr>
            <w:tcW w:w="910" w:type="dxa"/>
            <w:tcBorders>
              <w:top w:val="nil"/>
              <w:left w:val="nil"/>
              <w:bottom w:val="single" w:sz="4" w:space="0" w:color="auto"/>
              <w:right w:val="single" w:sz="4" w:space="0" w:color="auto"/>
            </w:tcBorders>
            <w:shd w:val="clear" w:color="auto" w:fill="auto"/>
            <w:noWrap/>
            <w:vAlign w:val="center"/>
            <w:hideMark/>
          </w:tcPr>
          <w:p w14:paraId="78392993" w14:textId="52C0342F"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16 288,2</w:t>
            </w:r>
          </w:p>
        </w:tc>
        <w:tc>
          <w:tcPr>
            <w:tcW w:w="911" w:type="dxa"/>
            <w:tcBorders>
              <w:top w:val="nil"/>
              <w:left w:val="nil"/>
              <w:bottom w:val="single" w:sz="4" w:space="0" w:color="auto"/>
              <w:right w:val="single" w:sz="4" w:space="0" w:color="auto"/>
            </w:tcBorders>
            <w:shd w:val="clear" w:color="auto" w:fill="auto"/>
            <w:noWrap/>
            <w:vAlign w:val="center"/>
            <w:hideMark/>
          </w:tcPr>
          <w:p w14:paraId="43FCEE67" w14:textId="59BBA33F"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16 723,6</w:t>
            </w:r>
          </w:p>
        </w:tc>
      </w:tr>
      <w:tr w:rsidR="002C56D8" w:rsidRPr="005A3253" w14:paraId="744C7366"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575A8ED2"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Atlīdzība</w:t>
            </w:r>
          </w:p>
        </w:tc>
        <w:tc>
          <w:tcPr>
            <w:tcW w:w="904" w:type="dxa"/>
            <w:tcBorders>
              <w:top w:val="nil"/>
              <w:left w:val="nil"/>
              <w:bottom w:val="single" w:sz="4" w:space="0" w:color="auto"/>
              <w:right w:val="single" w:sz="4" w:space="0" w:color="auto"/>
            </w:tcBorders>
            <w:shd w:val="clear" w:color="000000" w:fill="FFFFFF"/>
            <w:noWrap/>
            <w:vAlign w:val="center"/>
            <w:hideMark/>
          </w:tcPr>
          <w:p w14:paraId="4825E162" w14:textId="5D0A3EAE"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2 611,9</w:t>
            </w:r>
          </w:p>
        </w:tc>
        <w:tc>
          <w:tcPr>
            <w:tcW w:w="910" w:type="dxa"/>
            <w:tcBorders>
              <w:top w:val="nil"/>
              <w:left w:val="nil"/>
              <w:bottom w:val="single" w:sz="4" w:space="0" w:color="auto"/>
              <w:right w:val="single" w:sz="4" w:space="0" w:color="auto"/>
            </w:tcBorders>
            <w:shd w:val="clear" w:color="auto" w:fill="auto"/>
            <w:noWrap/>
            <w:vAlign w:val="center"/>
            <w:hideMark/>
          </w:tcPr>
          <w:p w14:paraId="7044574C" w14:textId="1E374B23"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2 712,2</w:t>
            </w:r>
          </w:p>
        </w:tc>
        <w:tc>
          <w:tcPr>
            <w:tcW w:w="909" w:type="dxa"/>
            <w:tcBorders>
              <w:top w:val="nil"/>
              <w:left w:val="nil"/>
              <w:bottom w:val="single" w:sz="4" w:space="0" w:color="auto"/>
              <w:right w:val="single" w:sz="4" w:space="0" w:color="auto"/>
            </w:tcBorders>
            <w:shd w:val="clear" w:color="auto" w:fill="auto"/>
            <w:noWrap/>
            <w:vAlign w:val="center"/>
            <w:hideMark/>
          </w:tcPr>
          <w:p w14:paraId="08D5F1A1" w14:textId="1FC04343"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2 939,5</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12A35A13" w14:textId="317D89DB"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3 128,3</w:t>
            </w:r>
          </w:p>
        </w:tc>
        <w:tc>
          <w:tcPr>
            <w:tcW w:w="909" w:type="dxa"/>
            <w:tcBorders>
              <w:top w:val="nil"/>
              <w:left w:val="nil"/>
              <w:bottom w:val="single" w:sz="4" w:space="0" w:color="auto"/>
              <w:right w:val="single" w:sz="4" w:space="0" w:color="auto"/>
            </w:tcBorders>
            <w:shd w:val="clear" w:color="auto" w:fill="auto"/>
            <w:noWrap/>
            <w:vAlign w:val="center"/>
            <w:hideMark/>
          </w:tcPr>
          <w:p w14:paraId="1FC3414D" w14:textId="6C4294E2"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3 385,9</w:t>
            </w:r>
          </w:p>
        </w:tc>
        <w:tc>
          <w:tcPr>
            <w:tcW w:w="910" w:type="dxa"/>
            <w:tcBorders>
              <w:top w:val="nil"/>
              <w:left w:val="nil"/>
              <w:bottom w:val="single" w:sz="4" w:space="0" w:color="auto"/>
              <w:right w:val="single" w:sz="4" w:space="0" w:color="auto"/>
            </w:tcBorders>
            <w:shd w:val="clear" w:color="auto" w:fill="auto"/>
            <w:noWrap/>
            <w:vAlign w:val="center"/>
            <w:hideMark/>
          </w:tcPr>
          <w:p w14:paraId="20ACFBDE" w14:textId="121E18B5"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3 459,6</w:t>
            </w:r>
          </w:p>
        </w:tc>
        <w:tc>
          <w:tcPr>
            <w:tcW w:w="911" w:type="dxa"/>
            <w:tcBorders>
              <w:top w:val="nil"/>
              <w:left w:val="nil"/>
              <w:bottom w:val="single" w:sz="4" w:space="0" w:color="auto"/>
              <w:right w:val="single" w:sz="4" w:space="0" w:color="auto"/>
            </w:tcBorders>
            <w:shd w:val="clear" w:color="auto" w:fill="auto"/>
            <w:noWrap/>
            <w:vAlign w:val="center"/>
            <w:hideMark/>
          </w:tcPr>
          <w:p w14:paraId="274745C6" w14:textId="5D2EE87A"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3 479,0</w:t>
            </w:r>
          </w:p>
        </w:tc>
      </w:tr>
      <w:tr w:rsidR="002C56D8" w:rsidRPr="005A3253" w14:paraId="551E4452"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33F41248"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Preces un pakalpojumi</w:t>
            </w:r>
          </w:p>
        </w:tc>
        <w:tc>
          <w:tcPr>
            <w:tcW w:w="904" w:type="dxa"/>
            <w:tcBorders>
              <w:top w:val="nil"/>
              <w:left w:val="nil"/>
              <w:bottom w:val="single" w:sz="4" w:space="0" w:color="auto"/>
              <w:right w:val="single" w:sz="4" w:space="0" w:color="auto"/>
            </w:tcBorders>
            <w:shd w:val="clear" w:color="000000" w:fill="FFFFFF"/>
            <w:noWrap/>
            <w:vAlign w:val="center"/>
            <w:hideMark/>
          </w:tcPr>
          <w:p w14:paraId="356E224F" w14:textId="023A0351"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1 504,2</w:t>
            </w:r>
          </w:p>
        </w:tc>
        <w:tc>
          <w:tcPr>
            <w:tcW w:w="910" w:type="dxa"/>
            <w:tcBorders>
              <w:top w:val="nil"/>
              <w:left w:val="nil"/>
              <w:bottom w:val="single" w:sz="4" w:space="0" w:color="auto"/>
              <w:right w:val="single" w:sz="4" w:space="0" w:color="auto"/>
            </w:tcBorders>
            <w:shd w:val="clear" w:color="auto" w:fill="auto"/>
            <w:noWrap/>
            <w:vAlign w:val="center"/>
            <w:hideMark/>
          </w:tcPr>
          <w:p w14:paraId="5D26F57B" w14:textId="7104E7E3"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1 470,2</w:t>
            </w:r>
          </w:p>
        </w:tc>
        <w:tc>
          <w:tcPr>
            <w:tcW w:w="909" w:type="dxa"/>
            <w:tcBorders>
              <w:top w:val="nil"/>
              <w:left w:val="nil"/>
              <w:bottom w:val="single" w:sz="4" w:space="0" w:color="auto"/>
              <w:right w:val="single" w:sz="4" w:space="0" w:color="auto"/>
            </w:tcBorders>
            <w:shd w:val="clear" w:color="auto" w:fill="auto"/>
            <w:noWrap/>
            <w:vAlign w:val="center"/>
            <w:hideMark/>
          </w:tcPr>
          <w:p w14:paraId="3AA46625" w14:textId="27D2A47B"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1 554,6</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4FEF79F3" w14:textId="38EAA8CC"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2 305,9</w:t>
            </w:r>
          </w:p>
        </w:tc>
        <w:tc>
          <w:tcPr>
            <w:tcW w:w="909" w:type="dxa"/>
            <w:tcBorders>
              <w:top w:val="nil"/>
              <w:left w:val="nil"/>
              <w:bottom w:val="single" w:sz="4" w:space="0" w:color="auto"/>
              <w:right w:val="single" w:sz="4" w:space="0" w:color="auto"/>
            </w:tcBorders>
            <w:shd w:val="clear" w:color="auto" w:fill="auto"/>
            <w:noWrap/>
            <w:vAlign w:val="center"/>
            <w:hideMark/>
          </w:tcPr>
          <w:p w14:paraId="31263752" w14:textId="00FF9A4B"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1 908,2</w:t>
            </w:r>
          </w:p>
        </w:tc>
        <w:tc>
          <w:tcPr>
            <w:tcW w:w="910" w:type="dxa"/>
            <w:tcBorders>
              <w:top w:val="nil"/>
              <w:left w:val="nil"/>
              <w:bottom w:val="single" w:sz="4" w:space="0" w:color="auto"/>
              <w:right w:val="single" w:sz="4" w:space="0" w:color="auto"/>
            </w:tcBorders>
            <w:shd w:val="clear" w:color="auto" w:fill="auto"/>
            <w:noWrap/>
            <w:vAlign w:val="center"/>
            <w:hideMark/>
          </w:tcPr>
          <w:p w14:paraId="222508AD" w14:textId="3B8B845B"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1 847,8</w:t>
            </w:r>
          </w:p>
        </w:tc>
        <w:tc>
          <w:tcPr>
            <w:tcW w:w="911" w:type="dxa"/>
            <w:tcBorders>
              <w:top w:val="nil"/>
              <w:left w:val="nil"/>
              <w:bottom w:val="single" w:sz="4" w:space="0" w:color="auto"/>
              <w:right w:val="single" w:sz="4" w:space="0" w:color="auto"/>
            </w:tcBorders>
            <w:shd w:val="clear" w:color="auto" w:fill="auto"/>
            <w:noWrap/>
            <w:vAlign w:val="center"/>
            <w:hideMark/>
          </w:tcPr>
          <w:p w14:paraId="01CA9E0F" w14:textId="7B1C8F70"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1 903,8</w:t>
            </w:r>
          </w:p>
        </w:tc>
      </w:tr>
      <w:tr w:rsidR="002C56D8" w:rsidRPr="005A3253" w14:paraId="0A5B310F"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052FD157"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Procentu izdevumi</w:t>
            </w:r>
          </w:p>
        </w:tc>
        <w:tc>
          <w:tcPr>
            <w:tcW w:w="904" w:type="dxa"/>
            <w:tcBorders>
              <w:top w:val="nil"/>
              <w:left w:val="nil"/>
              <w:bottom w:val="single" w:sz="4" w:space="0" w:color="auto"/>
              <w:right w:val="single" w:sz="4" w:space="0" w:color="auto"/>
            </w:tcBorders>
            <w:shd w:val="clear" w:color="000000" w:fill="FFFFFF"/>
            <w:noWrap/>
            <w:vAlign w:val="center"/>
            <w:hideMark/>
          </w:tcPr>
          <w:p w14:paraId="167EAF08" w14:textId="06504DF6"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263,1</w:t>
            </w:r>
          </w:p>
        </w:tc>
        <w:tc>
          <w:tcPr>
            <w:tcW w:w="910" w:type="dxa"/>
            <w:tcBorders>
              <w:top w:val="nil"/>
              <w:left w:val="nil"/>
              <w:bottom w:val="single" w:sz="4" w:space="0" w:color="auto"/>
              <w:right w:val="single" w:sz="4" w:space="0" w:color="auto"/>
            </w:tcBorders>
            <w:shd w:val="clear" w:color="auto" w:fill="auto"/>
            <w:noWrap/>
            <w:vAlign w:val="center"/>
            <w:hideMark/>
          </w:tcPr>
          <w:p w14:paraId="150D70C5" w14:textId="09684A27"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262,9</w:t>
            </w:r>
          </w:p>
        </w:tc>
        <w:tc>
          <w:tcPr>
            <w:tcW w:w="909" w:type="dxa"/>
            <w:tcBorders>
              <w:top w:val="nil"/>
              <w:left w:val="nil"/>
              <w:bottom w:val="single" w:sz="4" w:space="0" w:color="auto"/>
              <w:right w:val="single" w:sz="4" w:space="0" w:color="auto"/>
            </w:tcBorders>
            <w:shd w:val="clear" w:color="auto" w:fill="auto"/>
            <w:noWrap/>
            <w:vAlign w:val="center"/>
            <w:hideMark/>
          </w:tcPr>
          <w:p w14:paraId="3FABE525" w14:textId="48364E0E"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256,6</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4082A365" w14:textId="22C9747D"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200,1</w:t>
            </w:r>
          </w:p>
        </w:tc>
        <w:tc>
          <w:tcPr>
            <w:tcW w:w="909" w:type="dxa"/>
            <w:tcBorders>
              <w:top w:val="nil"/>
              <w:left w:val="nil"/>
              <w:bottom w:val="single" w:sz="4" w:space="0" w:color="auto"/>
              <w:right w:val="single" w:sz="4" w:space="0" w:color="auto"/>
            </w:tcBorders>
            <w:shd w:val="clear" w:color="auto" w:fill="auto"/>
            <w:noWrap/>
            <w:vAlign w:val="center"/>
            <w:hideMark/>
          </w:tcPr>
          <w:p w14:paraId="6EC32332" w14:textId="660D2BA9"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229,0</w:t>
            </w:r>
          </w:p>
        </w:tc>
        <w:tc>
          <w:tcPr>
            <w:tcW w:w="910" w:type="dxa"/>
            <w:tcBorders>
              <w:top w:val="nil"/>
              <w:left w:val="nil"/>
              <w:bottom w:val="single" w:sz="4" w:space="0" w:color="auto"/>
              <w:right w:val="single" w:sz="4" w:space="0" w:color="auto"/>
            </w:tcBorders>
            <w:shd w:val="clear" w:color="auto" w:fill="auto"/>
            <w:noWrap/>
            <w:vAlign w:val="center"/>
            <w:hideMark/>
          </w:tcPr>
          <w:p w14:paraId="4F2A1645" w14:textId="1E7A21A3"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362,6</w:t>
            </w:r>
          </w:p>
        </w:tc>
        <w:tc>
          <w:tcPr>
            <w:tcW w:w="911" w:type="dxa"/>
            <w:tcBorders>
              <w:top w:val="nil"/>
              <w:left w:val="nil"/>
              <w:bottom w:val="single" w:sz="4" w:space="0" w:color="auto"/>
              <w:right w:val="single" w:sz="4" w:space="0" w:color="auto"/>
            </w:tcBorders>
            <w:shd w:val="clear" w:color="auto" w:fill="auto"/>
            <w:noWrap/>
            <w:vAlign w:val="center"/>
            <w:hideMark/>
          </w:tcPr>
          <w:p w14:paraId="1CA53E7E" w14:textId="4FB2F6F4"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484,2</w:t>
            </w:r>
          </w:p>
        </w:tc>
      </w:tr>
      <w:tr w:rsidR="002C56D8" w:rsidRPr="005A3253" w14:paraId="5D3093CA"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6775B249"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Subsīdijas un dotācijas</w:t>
            </w:r>
          </w:p>
        </w:tc>
        <w:tc>
          <w:tcPr>
            <w:tcW w:w="904" w:type="dxa"/>
            <w:tcBorders>
              <w:top w:val="nil"/>
              <w:left w:val="nil"/>
              <w:bottom w:val="single" w:sz="4" w:space="0" w:color="auto"/>
              <w:right w:val="single" w:sz="4" w:space="0" w:color="auto"/>
            </w:tcBorders>
            <w:shd w:val="clear" w:color="000000" w:fill="FFFFFF"/>
            <w:noWrap/>
            <w:vAlign w:val="center"/>
            <w:hideMark/>
          </w:tcPr>
          <w:p w14:paraId="2945904F" w14:textId="05B9821D"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2 329,5</w:t>
            </w:r>
          </w:p>
        </w:tc>
        <w:tc>
          <w:tcPr>
            <w:tcW w:w="910" w:type="dxa"/>
            <w:tcBorders>
              <w:top w:val="nil"/>
              <w:left w:val="nil"/>
              <w:bottom w:val="single" w:sz="4" w:space="0" w:color="auto"/>
              <w:right w:val="single" w:sz="4" w:space="0" w:color="auto"/>
            </w:tcBorders>
            <w:shd w:val="clear" w:color="auto" w:fill="auto"/>
            <w:noWrap/>
            <w:vAlign w:val="center"/>
            <w:hideMark/>
          </w:tcPr>
          <w:p w14:paraId="6CBDEEDA" w14:textId="67716C3D"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2 773,8</w:t>
            </w:r>
          </w:p>
        </w:tc>
        <w:tc>
          <w:tcPr>
            <w:tcW w:w="909" w:type="dxa"/>
            <w:tcBorders>
              <w:top w:val="nil"/>
              <w:left w:val="nil"/>
              <w:bottom w:val="single" w:sz="4" w:space="0" w:color="auto"/>
              <w:right w:val="single" w:sz="4" w:space="0" w:color="auto"/>
            </w:tcBorders>
            <w:shd w:val="clear" w:color="auto" w:fill="auto"/>
            <w:noWrap/>
            <w:vAlign w:val="center"/>
            <w:hideMark/>
          </w:tcPr>
          <w:p w14:paraId="4D811E53" w14:textId="3F6539B7"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3 627,6</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6D753D2D" w14:textId="7A0C7D36"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3 977,7</w:t>
            </w:r>
          </w:p>
        </w:tc>
        <w:tc>
          <w:tcPr>
            <w:tcW w:w="909" w:type="dxa"/>
            <w:tcBorders>
              <w:top w:val="nil"/>
              <w:left w:val="nil"/>
              <w:bottom w:val="single" w:sz="4" w:space="0" w:color="auto"/>
              <w:right w:val="single" w:sz="4" w:space="0" w:color="auto"/>
            </w:tcBorders>
            <w:shd w:val="clear" w:color="auto" w:fill="auto"/>
            <w:noWrap/>
            <w:vAlign w:val="center"/>
            <w:hideMark/>
          </w:tcPr>
          <w:p w14:paraId="45B8DE2F" w14:textId="12AC14F8"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4 145,2</w:t>
            </w:r>
          </w:p>
        </w:tc>
        <w:tc>
          <w:tcPr>
            <w:tcW w:w="910" w:type="dxa"/>
            <w:tcBorders>
              <w:top w:val="nil"/>
              <w:left w:val="nil"/>
              <w:bottom w:val="single" w:sz="4" w:space="0" w:color="auto"/>
              <w:right w:val="single" w:sz="4" w:space="0" w:color="auto"/>
            </w:tcBorders>
            <w:shd w:val="clear" w:color="auto" w:fill="auto"/>
            <w:noWrap/>
            <w:vAlign w:val="center"/>
            <w:hideMark/>
          </w:tcPr>
          <w:p w14:paraId="60308E35" w14:textId="317CA2C9"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3 748,5</w:t>
            </w:r>
          </w:p>
        </w:tc>
        <w:tc>
          <w:tcPr>
            <w:tcW w:w="911" w:type="dxa"/>
            <w:tcBorders>
              <w:top w:val="nil"/>
              <w:left w:val="nil"/>
              <w:bottom w:val="single" w:sz="4" w:space="0" w:color="auto"/>
              <w:right w:val="single" w:sz="4" w:space="0" w:color="auto"/>
            </w:tcBorders>
            <w:shd w:val="clear" w:color="auto" w:fill="auto"/>
            <w:noWrap/>
            <w:vAlign w:val="center"/>
            <w:hideMark/>
          </w:tcPr>
          <w:p w14:paraId="41CC7EFD" w14:textId="1284DF1B"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3 699,2</w:t>
            </w:r>
          </w:p>
        </w:tc>
      </w:tr>
      <w:tr w:rsidR="002C56D8" w:rsidRPr="005A3253" w14:paraId="40E89F22"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2BA28B18"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Sociālie pabalsti</w:t>
            </w:r>
          </w:p>
        </w:tc>
        <w:tc>
          <w:tcPr>
            <w:tcW w:w="904" w:type="dxa"/>
            <w:tcBorders>
              <w:top w:val="nil"/>
              <w:left w:val="nil"/>
              <w:bottom w:val="single" w:sz="4" w:space="0" w:color="auto"/>
              <w:right w:val="single" w:sz="4" w:space="0" w:color="auto"/>
            </w:tcBorders>
            <w:shd w:val="clear" w:color="000000" w:fill="FFFFFF"/>
            <w:noWrap/>
            <w:vAlign w:val="center"/>
            <w:hideMark/>
          </w:tcPr>
          <w:p w14:paraId="15BEE1FA" w14:textId="7DAFEAC7"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3 258,7</w:t>
            </w:r>
          </w:p>
        </w:tc>
        <w:tc>
          <w:tcPr>
            <w:tcW w:w="910" w:type="dxa"/>
            <w:tcBorders>
              <w:top w:val="nil"/>
              <w:left w:val="nil"/>
              <w:bottom w:val="single" w:sz="4" w:space="0" w:color="auto"/>
              <w:right w:val="single" w:sz="4" w:space="0" w:color="auto"/>
            </w:tcBorders>
            <w:shd w:val="clear" w:color="auto" w:fill="auto"/>
            <w:noWrap/>
            <w:vAlign w:val="center"/>
            <w:hideMark/>
          </w:tcPr>
          <w:p w14:paraId="56EFE785" w14:textId="7864CD32"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3 620,3</w:t>
            </w:r>
          </w:p>
        </w:tc>
        <w:tc>
          <w:tcPr>
            <w:tcW w:w="909" w:type="dxa"/>
            <w:tcBorders>
              <w:top w:val="nil"/>
              <w:left w:val="nil"/>
              <w:bottom w:val="single" w:sz="4" w:space="0" w:color="auto"/>
              <w:right w:val="single" w:sz="4" w:space="0" w:color="auto"/>
            </w:tcBorders>
            <w:shd w:val="clear" w:color="auto" w:fill="auto"/>
            <w:noWrap/>
            <w:vAlign w:val="center"/>
            <w:hideMark/>
          </w:tcPr>
          <w:p w14:paraId="4C91BFE5" w14:textId="606E5219"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4 291,3</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0E7B8139" w14:textId="4339AC7E"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4 534,1</w:t>
            </w:r>
          </w:p>
        </w:tc>
        <w:tc>
          <w:tcPr>
            <w:tcW w:w="909" w:type="dxa"/>
            <w:tcBorders>
              <w:top w:val="nil"/>
              <w:left w:val="nil"/>
              <w:bottom w:val="single" w:sz="4" w:space="0" w:color="auto"/>
              <w:right w:val="single" w:sz="4" w:space="0" w:color="auto"/>
            </w:tcBorders>
            <w:shd w:val="clear" w:color="auto" w:fill="auto"/>
            <w:noWrap/>
            <w:vAlign w:val="center"/>
            <w:hideMark/>
          </w:tcPr>
          <w:p w14:paraId="331910B2" w14:textId="04A29C0F"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4 854,7</w:t>
            </w:r>
          </w:p>
        </w:tc>
        <w:tc>
          <w:tcPr>
            <w:tcW w:w="910" w:type="dxa"/>
            <w:tcBorders>
              <w:top w:val="nil"/>
              <w:left w:val="nil"/>
              <w:bottom w:val="single" w:sz="4" w:space="0" w:color="auto"/>
              <w:right w:val="single" w:sz="4" w:space="0" w:color="auto"/>
            </w:tcBorders>
            <w:shd w:val="clear" w:color="auto" w:fill="auto"/>
            <w:noWrap/>
            <w:vAlign w:val="center"/>
            <w:hideMark/>
          </w:tcPr>
          <w:p w14:paraId="63A23DDA" w14:textId="1423B539"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5 067,8</w:t>
            </w:r>
          </w:p>
        </w:tc>
        <w:tc>
          <w:tcPr>
            <w:tcW w:w="911" w:type="dxa"/>
            <w:tcBorders>
              <w:top w:val="nil"/>
              <w:left w:val="nil"/>
              <w:bottom w:val="single" w:sz="4" w:space="0" w:color="auto"/>
              <w:right w:val="single" w:sz="4" w:space="0" w:color="auto"/>
            </w:tcBorders>
            <w:shd w:val="clear" w:color="auto" w:fill="auto"/>
            <w:noWrap/>
            <w:vAlign w:val="center"/>
            <w:hideMark/>
          </w:tcPr>
          <w:p w14:paraId="622BAF15" w14:textId="6EE22EAF"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5 327,5</w:t>
            </w:r>
          </w:p>
        </w:tc>
      </w:tr>
      <w:tr w:rsidR="002C56D8" w:rsidRPr="005A3253" w14:paraId="484D5898"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372DA169"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Iemaksas ES budžetā</w:t>
            </w:r>
          </w:p>
        </w:tc>
        <w:tc>
          <w:tcPr>
            <w:tcW w:w="904" w:type="dxa"/>
            <w:tcBorders>
              <w:top w:val="nil"/>
              <w:left w:val="nil"/>
              <w:bottom w:val="single" w:sz="4" w:space="0" w:color="auto"/>
              <w:right w:val="single" w:sz="4" w:space="0" w:color="auto"/>
            </w:tcBorders>
            <w:shd w:val="clear" w:color="000000" w:fill="FFFFFF"/>
            <w:noWrap/>
            <w:vAlign w:val="center"/>
            <w:hideMark/>
          </w:tcPr>
          <w:p w14:paraId="6C960C9D" w14:textId="17866540"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291,9</w:t>
            </w:r>
          </w:p>
        </w:tc>
        <w:tc>
          <w:tcPr>
            <w:tcW w:w="910" w:type="dxa"/>
            <w:tcBorders>
              <w:top w:val="nil"/>
              <w:left w:val="nil"/>
              <w:bottom w:val="single" w:sz="4" w:space="0" w:color="auto"/>
              <w:right w:val="single" w:sz="4" w:space="0" w:color="auto"/>
            </w:tcBorders>
            <w:shd w:val="clear" w:color="auto" w:fill="auto"/>
            <w:noWrap/>
            <w:vAlign w:val="center"/>
            <w:hideMark/>
          </w:tcPr>
          <w:p w14:paraId="536ECA36" w14:textId="4E67D3D4"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321,6</w:t>
            </w:r>
          </w:p>
        </w:tc>
        <w:tc>
          <w:tcPr>
            <w:tcW w:w="909" w:type="dxa"/>
            <w:tcBorders>
              <w:top w:val="nil"/>
              <w:left w:val="nil"/>
              <w:bottom w:val="single" w:sz="4" w:space="0" w:color="auto"/>
              <w:right w:val="single" w:sz="4" w:space="0" w:color="auto"/>
            </w:tcBorders>
            <w:shd w:val="clear" w:color="auto" w:fill="auto"/>
            <w:noWrap/>
            <w:vAlign w:val="center"/>
            <w:hideMark/>
          </w:tcPr>
          <w:p w14:paraId="5C50581A" w14:textId="3B4589B3"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398,4</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1150B929" w14:textId="71D4BD9A"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400,5</w:t>
            </w:r>
          </w:p>
        </w:tc>
        <w:tc>
          <w:tcPr>
            <w:tcW w:w="909" w:type="dxa"/>
            <w:tcBorders>
              <w:top w:val="nil"/>
              <w:left w:val="nil"/>
              <w:bottom w:val="single" w:sz="4" w:space="0" w:color="auto"/>
              <w:right w:val="single" w:sz="4" w:space="0" w:color="auto"/>
            </w:tcBorders>
            <w:shd w:val="clear" w:color="auto" w:fill="auto"/>
            <w:noWrap/>
            <w:vAlign w:val="center"/>
            <w:hideMark/>
          </w:tcPr>
          <w:p w14:paraId="60DC19F5" w14:textId="3A745204"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384,6</w:t>
            </w:r>
          </w:p>
        </w:tc>
        <w:tc>
          <w:tcPr>
            <w:tcW w:w="910" w:type="dxa"/>
            <w:tcBorders>
              <w:top w:val="nil"/>
              <w:left w:val="nil"/>
              <w:bottom w:val="single" w:sz="4" w:space="0" w:color="auto"/>
              <w:right w:val="single" w:sz="4" w:space="0" w:color="auto"/>
            </w:tcBorders>
            <w:shd w:val="clear" w:color="auto" w:fill="auto"/>
            <w:noWrap/>
            <w:vAlign w:val="center"/>
            <w:hideMark/>
          </w:tcPr>
          <w:p w14:paraId="76DCB174" w14:textId="5030C52D"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382,1</w:t>
            </w:r>
          </w:p>
        </w:tc>
        <w:tc>
          <w:tcPr>
            <w:tcW w:w="911" w:type="dxa"/>
            <w:tcBorders>
              <w:top w:val="nil"/>
              <w:left w:val="nil"/>
              <w:bottom w:val="single" w:sz="4" w:space="0" w:color="auto"/>
              <w:right w:val="single" w:sz="4" w:space="0" w:color="auto"/>
            </w:tcBorders>
            <w:shd w:val="clear" w:color="auto" w:fill="auto"/>
            <w:noWrap/>
            <w:vAlign w:val="center"/>
            <w:hideMark/>
          </w:tcPr>
          <w:p w14:paraId="0B90AD19" w14:textId="24AF422F"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436,1</w:t>
            </w:r>
          </w:p>
        </w:tc>
      </w:tr>
      <w:tr w:rsidR="002C56D8" w:rsidRPr="005A3253" w14:paraId="6FC9861C"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5A4CA81E"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Kapitālie izdevumi</w:t>
            </w:r>
          </w:p>
        </w:tc>
        <w:tc>
          <w:tcPr>
            <w:tcW w:w="904" w:type="dxa"/>
            <w:tcBorders>
              <w:top w:val="nil"/>
              <w:left w:val="nil"/>
              <w:bottom w:val="single" w:sz="4" w:space="0" w:color="auto"/>
              <w:right w:val="single" w:sz="4" w:space="0" w:color="auto"/>
            </w:tcBorders>
            <w:shd w:val="clear" w:color="000000" w:fill="FFFFFF"/>
            <w:noWrap/>
            <w:vAlign w:val="center"/>
            <w:hideMark/>
          </w:tcPr>
          <w:p w14:paraId="49DA6C20" w14:textId="1D9EB586"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1 208,6</w:t>
            </w:r>
          </w:p>
        </w:tc>
        <w:tc>
          <w:tcPr>
            <w:tcW w:w="910" w:type="dxa"/>
            <w:tcBorders>
              <w:top w:val="nil"/>
              <w:left w:val="nil"/>
              <w:bottom w:val="single" w:sz="4" w:space="0" w:color="auto"/>
              <w:right w:val="single" w:sz="4" w:space="0" w:color="auto"/>
            </w:tcBorders>
            <w:shd w:val="clear" w:color="auto" w:fill="auto"/>
            <w:noWrap/>
            <w:vAlign w:val="center"/>
            <w:hideMark/>
          </w:tcPr>
          <w:p w14:paraId="5B72F0AC" w14:textId="4CF3E92D"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1 251,9</w:t>
            </w:r>
          </w:p>
        </w:tc>
        <w:tc>
          <w:tcPr>
            <w:tcW w:w="909" w:type="dxa"/>
            <w:tcBorders>
              <w:top w:val="nil"/>
              <w:left w:val="nil"/>
              <w:bottom w:val="single" w:sz="4" w:space="0" w:color="auto"/>
              <w:right w:val="single" w:sz="4" w:space="0" w:color="auto"/>
            </w:tcBorders>
            <w:shd w:val="clear" w:color="auto" w:fill="auto"/>
            <w:noWrap/>
            <w:vAlign w:val="center"/>
            <w:hideMark/>
          </w:tcPr>
          <w:p w14:paraId="6387E9A6" w14:textId="2F492C1C"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1 268,2</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701B661C" w14:textId="71E4ED89"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1 317,3</w:t>
            </w:r>
          </w:p>
        </w:tc>
        <w:tc>
          <w:tcPr>
            <w:tcW w:w="909" w:type="dxa"/>
            <w:tcBorders>
              <w:top w:val="nil"/>
              <w:left w:val="nil"/>
              <w:bottom w:val="single" w:sz="4" w:space="0" w:color="auto"/>
              <w:right w:val="single" w:sz="4" w:space="0" w:color="auto"/>
            </w:tcBorders>
            <w:shd w:val="clear" w:color="auto" w:fill="auto"/>
            <w:noWrap/>
            <w:vAlign w:val="center"/>
            <w:hideMark/>
          </w:tcPr>
          <w:p w14:paraId="66293415" w14:textId="5EDD5B18"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1 375,8</w:t>
            </w:r>
          </w:p>
        </w:tc>
        <w:tc>
          <w:tcPr>
            <w:tcW w:w="910" w:type="dxa"/>
            <w:tcBorders>
              <w:top w:val="nil"/>
              <w:left w:val="nil"/>
              <w:bottom w:val="single" w:sz="4" w:space="0" w:color="auto"/>
              <w:right w:val="single" w:sz="4" w:space="0" w:color="auto"/>
            </w:tcBorders>
            <w:shd w:val="clear" w:color="auto" w:fill="auto"/>
            <w:noWrap/>
            <w:vAlign w:val="center"/>
            <w:hideMark/>
          </w:tcPr>
          <w:p w14:paraId="55C009D5" w14:textId="4F5DC700"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1 376,8</w:t>
            </w:r>
          </w:p>
        </w:tc>
        <w:tc>
          <w:tcPr>
            <w:tcW w:w="911" w:type="dxa"/>
            <w:tcBorders>
              <w:top w:val="nil"/>
              <w:left w:val="nil"/>
              <w:bottom w:val="single" w:sz="4" w:space="0" w:color="auto"/>
              <w:right w:val="single" w:sz="4" w:space="0" w:color="auto"/>
            </w:tcBorders>
            <w:shd w:val="clear" w:color="auto" w:fill="auto"/>
            <w:noWrap/>
            <w:vAlign w:val="center"/>
            <w:hideMark/>
          </w:tcPr>
          <w:p w14:paraId="4346020D" w14:textId="4F8EC29E"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1 351,7</w:t>
            </w:r>
          </w:p>
        </w:tc>
      </w:tr>
      <w:tr w:rsidR="002C56D8" w:rsidRPr="005A3253" w14:paraId="7C919BB2"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212AD4C3" w14:textId="77777777" w:rsidR="002C56D8" w:rsidRPr="007C4388" w:rsidRDefault="002C56D8" w:rsidP="002C56D8">
            <w:pPr>
              <w:spacing w:before="0" w:after="0"/>
              <w:ind w:firstLineChars="100" w:firstLine="160"/>
              <w:contextualSpacing/>
              <w:jc w:val="left"/>
              <w:rPr>
                <w:rFonts w:eastAsia="Times New Roman" w:cs="Times New Roman"/>
                <w:sz w:val="16"/>
                <w:szCs w:val="16"/>
                <w:lang w:eastAsia="lv-LV"/>
              </w:rPr>
            </w:pPr>
            <w:r w:rsidRPr="007C4388">
              <w:rPr>
                <w:rFonts w:eastAsia="Times New Roman" w:cs="Times New Roman"/>
                <w:sz w:val="16"/>
                <w:szCs w:val="16"/>
                <w:lang w:eastAsia="lv-LV"/>
              </w:rPr>
              <w:t>Pārējie izdevumi</w:t>
            </w:r>
          </w:p>
        </w:tc>
        <w:tc>
          <w:tcPr>
            <w:tcW w:w="904" w:type="dxa"/>
            <w:tcBorders>
              <w:top w:val="single" w:sz="4" w:space="0" w:color="auto"/>
              <w:left w:val="nil"/>
              <w:bottom w:val="single" w:sz="4" w:space="0" w:color="auto"/>
              <w:right w:val="single" w:sz="4" w:space="0" w:color="auto"/>
            </w:tcBorders>
            <w:shd w:val="clear" w:color="auto" w:fill="auto"/>
            <w:noWrap/>
            <w:vAlign w:val="center"/>
            <w:hideMark/>
          </w:tcPr>
          <w:p w14:paraId="03310899" w14:textId="1C0F3E5A"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56,9</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37B33" w14:textId="638B2F9A"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49,4</w:t>
            </w:r>
          </w:p>
        </w:tc>
        <w:tc>
          <w:tcPr>
            <w:tcW w:w="909" w:type="dxa"/>
            <w:tcBorders>
              <w:top w:val="nil"/>
              <w:left w:val="nil"/>
              <w:bottom w:val="single" w:sz="4" w:space="0" w:color="auto"/>
              <w:right w:val="single" w:sz="4" w:space="0" w:color="auto"/>
            </w:tcBorders>
            <w:shd w:val="clear" w:color="auto" w:fill="auto"/>
            <w:noWrap/>
            <w:vAlign w:val="center"/>
            <w:hideMark/>
          </w:tcPr>
          <w:p w14:paraId="6B3A0E0C" w14:textId="476C702D"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57,8</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2D39CDE0" w14:textId="0A124815" w:rsidR="002C56D8" w:rsidRPr="007C4388" w:rsidRDefault="002C56D8" w:rsidP="002C56D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68,7</w:t>
            </w:r>
          </w:p>
        </w:tc>
        <w:tc>
          <w:tcPr>
            <w:tcW w:w="909" w:type="dxa"/>
            <w:tcBorders>
              <w:top w:val="nil"/>
              <w:left w:val="nil"/>
              <w:bottom w:val="single" w:sz="4" w:space="0" w:color="auto"/>
              <w:right w:val="single" w:sz="4" w:space="0" w:color="auto"/>
            </w:tcBorders>
            <w:shd w:val="clear" w:color="auto" w:fill="auto"/>
            <w:noWrap/>
            <w:vAlign w:val="center"/>
            <w:hideMark/>
          </w:tcPr>
          <w:p w14:paraId="1D9BC7BE" w14:textId="2F33CEEA"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60,8</w:t>
            </w:r>
          </w:p>
        </w:tc>
        <w:tc>
          <w:tcPr>
            <w:tcW w:w="910" w:type="dxa"/>
            <w:tcBorders>
              <w:top w:val="nil"/>
              <w:left w:val="nil"/>
              <w:bottom w:val="single" w:sz="4" w:space="0" w:color="auto"/>
              <w:right w:val="single" w:sz="4" w:space="0" w:color="auto"/>
            </w:tcBorders>
            <w:shd w:val="clear" w:color="auto" w:fill="auto"/>
            <w:noWrap/>
            <w:vAlign w:val="center"/>
            <w:hideMark/>
          </w:tcPr>
          <w:p w14:paraId="7C4A94CB" w14:textId="5F6E7D30"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43,0</w:t>
            </w:r>
          </w:p>
        </w:tc>
        <w:tc>
          <w:tcPr>
            <w:tcW w:w="911" w:type="dxa"/>
            <w:tcBorders>
              <w:top w:val="nil"/>
              <w:left w:val="nil"/>
              <w:bottom w:val="single" w:sz="4" w:space="0" w:color="auto"/>
              <w:right w:val="single" w:sz="4" w:space="0" w:color="auto"/>
            </w:tcBorders>
            <w:shd w:val="clear" w:color="auto" w:fill="auto"/>
            <w:noWrap/>
            <w:vAlign w:val="center"/>
            <w:hideMark/>
          </w:tcPr>
          <w:p w14:paraId="543B289B" w14:textId="7E61CB12" w:rsidR="002C56D8" w:rsidRPr="005C6D02" w:rsidRDefault="002C56D8" w:rsidP="002C56D8">
            <w:pPr>
              <w:spacing w:before="0" w:after="0"/>
              <w:ind w:firstLine="0"/>
              <w:contextualSpacing/>
              <w:jc w:val="right"/>
              <w:rPr>
                <w:rFonts w:eastAsia="Times New Roman" w:cs="Times New Roman"/>
                <w:sz w:val="16"/>
                <w:szCs w:val="16"/>
                <w:highlight w:val="yellow"/>
                <w:lang w:eastAsia="lv-LV"/>
              </w:rPr>
            </w:pPr>
            <w:r w:rsidRPr="005C6D02">
              <w:rPr>
                <w:sz w:val="16"/>
                <w:szCs w:val="16"/>
              </w:rPr>
              <w:t>42,1</w:t>
            </w:r>
          </w:p>
        </w:tc>
      </w:tr>
      <w:tr w:rsidR="005C6D02" w:rsidRPr="005A3253" w14:paraId="6F3FC745" w14:textId="77777777" w:rsidTr="005C6D02">
        <w:trPr>
          <w:trHeight w:val="357"/>
          <w:tblHeader/>
          <w:jc w:val="center"/>
        </w:trPr>
        <w:tc>
          <w:tcPr>
            <w:tcW w:w="3335"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790EF040" w14:textId="77777777" w:rsidR="005C6D02" w:rsidRPr="007C4388" w:rsidRDefault="005C6D02" w:rsidP="005C6D02">
            <w:pPr>
              <w:spacing w:before="0" w:after="0"/>
              <w:ind w:firstLine="0"/>
              <w:contextualSpacing/>
              <w:jc w:val="left"/>
              <w:rPr>
                <w:rFonts w:eastAsia="Times New Roman" w:cs="Times New Roman"/>
                <w:b/>
                <w:bCs/>
                <w:sz w:val="16"/>
                <w:szCs w:val="16"/>
                <w:lang w:eastAsia="lv-LV"/>
              </w:rPr>
            </w:pPr>
            <w:r w:rsidRPr="007C4388">
              <w:rPr>
                <w:rFonts w:eastAsia="Times New Roman" w:cs="Times New Roman"/>
                <w:b/>
                <w:bCs/>
                <w:sz w:val="16"/>
                <w:szCs w:val="16"/>
                <w:lang w:eastAsia="lv-LV"/>
              </w:rPr>
              <w:t xml:space="preserve">VALSTS BUDŽETA BILANCE (ieskaitot </w:t>
            </w:r>
            <w:r w:rsidRPr="007C4388">
              <w:rPr>
                <w:rFonts w:eastAsia="Times New Roman" w:cs="Times New Roman"/>
                <w:b/>
                <w:bCs/>
                <w:noProof/>
                <w:sz w:val="16"/>
                <w:szCs w:val="16"/>
                <w:lang w:eastAsia="lv-LV"/>
              </w:rPr>
              <w:t>atvasinātās publ. pers.)</w:t>
            </w:r>
          </w:p>
        </w:tc>
        <w:tc>
          <w:tcPr>
            <w:tcW w:w="904" w:type="dxa"/>
            <w:tcBorders>
              <w:top w:val="nil"/>
              <w:left w:val="nil"/>
              <w:bottom w:val="single" w:sz="4" w:space="0" w:color="auto"/>
              <w:right w:val="single" w:sz="4" w:space="0" w:color="auto"/>
            </w:tcBorders>
            <w:shd w:val="clear" w:color="auto" w:fill="DEEAF6" w:themeFill="accent1" w:themeFillTint="33"/>
            <w:noWrap/>
            <w:vAlign w:val="center"/>
            <w:hideMark/>
          </w:tcPr>
          <w:p w14:paraId="4D23B95E" w14:textId="4093299F"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-167,9</w:t>
            </w:r>
          </w:p>
        </w:tc>
        <w:tc>
          <w:tcPr>
            <w:tcW w:w="910" w:type="dxa"/>
            <w:tcBorders>
              <w:top w:val="nil"/>
              <w:left w:val="nil"/>
              <w:bottom w:val="single" w:sz="4" w:space="0" w:color="auto"/>
              <w:right w:val="single" w:sz="4" w:space="0" w:color="auto"/>
            </w:tcBorders>
            <w:shd w:val="clear" w:color="auto" w:fill="DEEAF6" w:themeFill="accent1" w:themeFillTint="33"/>
            <w:noWrap/>
            <w:vAlign w:val="center"/>
            <w:hideMark/>
          </w:tcPr>
          <w:p w14:paraId="6E8B1733" w14:textId="595C6AF6"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-1 085,2</w:t>
            </w:r>
          </w:p>
        </w:tc>
        <w:tc>
          <w:tcPr>
            <w:tcW w:w="909" w:type="dxa"/>
            <w:tcBorders>
              <w:top w:val="nil"/>
              <w:left w:val="nil"/>
              <w:bottom w:val="single" w:sz="4" w:space="0" w:color="auto"/>
              <w:right w:val="single" w:sz="4" w:space="0" w:color="auto"/>
            </w:tcBorders>
            <w:shd w:val="clear" w:color="auto" w:fill="DEEAF6" w:themeFill="accent1" w:themeFillTint="33"/>
            <w:noWrap/>
            <w:vAlign w:val="center"/>
            <w:hideMark/>
          </w:tcPr>
          <w:p w14:paraId="6905E760" w14:textId="57D1AFE8"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-1 753,9</w:t>
            </w:r>
          </w:p>
        </w:tc>
        <w:tc>
          <w:tcPr>
            <w:tcW w:w="915" w:type="dxa"/>
            <w:gridSpan w:val="2"/>
            <w:tcBorders>
              <w:top w:val="nil"/>
              <w:left w:val="nil"/>
              <w:bottom w:val="single" w:sz="4" w:space="0" w:color="auto"/>
              <w:right w:val="single" w:sz="4" w:space="0" w:color="auto"/>
            </w:tcBorders>
            <w:shd w:val="clear" w:color="auto" w:fill="DEEAF6" w:themeFill="accent1" w:themeFillTint="33"/>
            <w:noWrap/>
            <w:vAlign w:val="center"/>
            <w:hideMark/>
          </w:tcPr>
          <w:p w14:paraId="228A44CA" w14:textId="618A2E35"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-1 742,8</w:t>
            </w:r>
          </w:p>
        </w:tc>
        <w:tc>
          <w:tcPr>
            <w:tcW w:w="909" w:type="dxa"/>
            <w:tcBorders>
              <w:top w:val="nil"/>
              <w:left w:val="nil"/>
              <w:bottom w:val="single" w:sz="4" w:space="0" w:color="auto"/>
              <w:right w:val="single" w:sz="4" w:space="0" w:color="auto"/>
            </w:tcBorders>
            <w:shd w:val="clear" w:color="auto" w:fill="DEEAF6" w:themeFill="accent1" w:themeFillTint="33"/>
            <w:noWrap/>
            <w:vAlign w:val="center"/>
            <w:hideMark/>
          </w:tcPr>
          <w:p w14:paraId="2D7DB6FA" w14:textId="31FA94ED" w:rsidR="005C6D02" w:rsidRPr="005C6D02" w:rsidRDefault="005C6D02" w:rsidP="005C6D02">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-1 349,8</w:t>
            </w:r>
          </w:p>
        </w:tc>
        <w:tc>
          <w:tcPr>
            <w:tcW w:w="910" w:type="dxa"/>
            <w:tcBorders>
              <w:top w:val="nil"/>
              <w:left w:val="nil"/>
              <w:bottom w:val="single" w:sz="4" w:space="0" w:color="auto"/>
              <w:right w:val="single" w:sz="4" w:space="0" w:color="auto"/>
            </w:tcBorders>
            <w:shd w:val="clear" w:color="auto" w:fill="DEEAF6" w:themeFill="accent1" w:themeFillTint="33"/>
            <w:noWrap/>
            <w:vAlign w:val="center"/>
            <w:hideMark/>
          </w:tcPr>
          <w:p w14:paraId="4AE15422" w14:textId="684189CA" w:rsidR="005C6D02" w:rsidRPr="005C6D02" w:rsidRDefault="005C6D02" w:rsidP="005C6D02">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-4,9</w:t>
            </w:r>
          </w:p>
        </w:tc>
        <w:tc>
          <w:tcPr>
            <w:tcW w:w="911" w:type="dxa"/>
            <w:tcBorders>
              <w:top w:val="nil"/>
              <w:left w:val="nil"/>
              <w:bottom w:val="single" w:sz="4" w:space="0" w:color="auto"/>
              <w:right w:val="single" w:sz="4" w:space="0" w:color="auto"/>
            </w:tcBorders>
            <w:shd w:val="clear" w:color="auto" w:fill="DEEAF6" w:themeFill="accent1" w:themeFillTint="33"/>
            <w:noWrap/>
            <w:vAlign w:val="center"/>
            <w:hideMark/>
          </w:tcPr>
          <w:p w14:paraId="416588D9" w14:textId="36EF3814" w:rsidR="005C6D02" w:rsidRPr="005C6D02" w:rsidRDefault="005C6D02" w:rsidP="005C6D02">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-672,6</w:t>
            </w:r>
          </w:p>
        </w:tc>
      </w:tr>
      <w:tr w:rsidR="005C6D02" w:rsidRPr="005A3253" w14:paraId="67FB44BD"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7CCC851E" w14:textId="77777777" w:rsidR="005C6D02" w:rsidRPr="007C4388" w:rsidRDefault="005C6D02" w:rsidP="005C6D02">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Ieņēmumi</w:t>
            </w:r>
          </w:p>
        </w:tc>
        <w:tc>
          <w:tcPr>
            <w:tcW w:w="904" w:type="dxa"/>
            <w:tcBorders>
              <w:top w:val="nil"/>
              <w:left w:val="nil"/>
              <w:bottom w:val="single" w:sz="4" w:space="0" w:color="auto"/>
              <w:right w:val="single" w:sz="4" w:space="0" w:color="auto"/>
            </w:tcBorders>
            <w:shd w:val="clear" w:color="000000" w:fill="FFFFFF"/>
            <w:noWrap/>
            <w:vAlign w:val="center"/>
            <w:hideMark/>
          </w:tcPr>
          <w:p w14:paraId="4D1BD532" w14:textId="08D2C00E"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9 425,9</w:t>
            </w:r>
          </w:p>
        </w:tc>
        <w:tc>
          <w:tcPr>
            <w:tcW w:w="910" w:type="dxa"/>
            <w:tcBorders>
              <w:top w:val="nil"/>
              <w:left w:val="nil"/>
              <w:bottom w:val="single" w:sz="4" w:space="0" w:color="auto"/>
              <w:right w:val="single" w:sz="4" w:space="0" w:color="auto"/>
            </w:tcBorders>
            <w:shd w:val="clear" w:color="auto" w:fill="auto"/>
            <w:noWrap/>
            <w:vAlign w:val="center"/>
            <w:hideMark/>
          </w:tcPr>
          <w:p w14:paraId="3FCEBE66" w14:textId="668D6749"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9 486,9</w:t>
            </w:r>
          </w:p>
        </w:tc>
        <w:tc>
          <w:tcPr>
            <w:tcW w:w="909" w:type="dxa"/>
            <w:tcBorders>
              <w:top w:val="nil"/>
              <w:left w:val="nil"/>
              <w:bottom w:val="single" w:sz="4" w:space="0" w:color="auto"/>
              <w:right w:val="single" w:sz="4" w:space="0" w:color="auto"/>
            </w:tcBorders>
            <w:shd w:val="clear" w:color="auto" w:fill="auto"/>
            <w:noWrap/>
            <w:vAlign w:val="center"/>
            <w:hideMark/>
          </w:tcPr>
          <w:p w14:paraId="796B23B8" w14:textId="400DA219"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10 676,9</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1E4653CA" w14:textId="225D1F28"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12 151,9</w:t>
            </w:r>
          </w:p>
        </w:tc>
        <w:tc>
          <w:tcPr>
            <w:tcW w:w="909" w:type="dxa"/>
            <w:tcBorders>
              <w:top w:val="nil"/>
              <w:left w:val="nil"/>
              <w:bottom w:val="single" w:sz="4" w:space="0" w:color="auto"/>
              <w:right w:val="single" w:sz="4" w:space="0" w:color="auto"/>
            </w:tcBorders>
            <w:shd w:val="clear" w:color="auto" w:fill="auto"/>
            <w:noWrap/>
            <w:vAlign w:val="center"/>
            <w:hideMark/>
          </w:tcPr>
          <w:p w14:paraId="0B092F4C" w14:textId="52A6E4F4"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12 783,0</w:t>
            </w:r>
          </w:p>
        </w:tc>
        <w:tc>
          <w:tcPr>
            <w:tcW w:w="910" w:type="dxa"/>
            <w:tcBorders>
              <w:top w:val="nil"/>
              <w:left w:val="nil"/>
              <w:bottom w:val="single" w:sz="4" w:space="0" w:color="auto"/>
              <w:right w:val="single" w:sz="4" w:space="0" w:color="auto"/>
            </w:tcBorders>
            <w:shd w:val="clear" w:color="auto" w:fill="auto"/>
            <w:noWrap/>
            <w:vAlign w:val="center"/>
            <w:hideMark/>
          </w:tcPr>
          <w:p w14:paraId="7A6831F3" w14:textId="57CA6FA9"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13 970,7</w:t>
            </w:r>
          </w:p>
        </w:tc>
        <w:tc>
          <w:tcPr>
            <w:tcW w:w="911" w:type="dxa"/>
            <w:tcBorders>
              <w:top w:val="nil"/>
              <w:left w:val="nil"/>
              <w:bottom w:val="single" w:sz="4" w:space="0" w:color="auto"/>
              <w:right w:val="single" w:sz="4" w:space="0" w:color="auto"/>
            </w:tcBorders>
            <w:shd w:val="clear" w:color="auto" w:fill="auto"/>
            <w:noWrap/>
            <w:vAlign w:val="center"/>
            <w:hideMark/>
          </w:tcPr>
          <w:p w14:paraId="0A513217" w14:textId="51531D8C"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13 659,5</w:t>
            </w:r>
          </w:p>
        </w:tc>
      </w:tr>
      <w:tr w:rsidR="005C6D02" w:rsidRPr="005A3253" w14:paraId="2B0F9152"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2D890331" w14:textId="77777777" w:rsidR="005C6D02" w:rsidRPr="007C4388" w:rsidRDefault="005C6D02" w:rsidP="005C6D02">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Izdevumi</w:t>
            </w:r>
          </w:p>
        </w:tc>
        <w:tc>
          <w:tcPr>
            <w:tcW w:w="904" w:type="dxa"/>
            <w:tcBorders>
              <w:top w:val="nil"/>
              <w:left w:val="nil"/>
              <w:bottom w:val="single" w:sz="4" w:space="0" w:color="auto"/>
              <w:right w:val="single" w:sz="4" w:space="0" w:color="auto"/>
            </w:tcBorders>
            <w:shd w:val="clear" w:color="000000" w:fill="FFFFFF"/>
            <w:noWrap/>
            <w:vAlign w:val="center"/>
            <w:hideMark/>
          </w:tcPr>
          <w:p w14:paraId="7C4C444A" w14:textId="64D1B66B"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9 593,8</w:t>
            </w:r>
          </w:p>
        </w:tc>
        <w:tc>
          <w:tcPr>
            <w:tcW w:w="910" w:type="dxa"/>
            <w:tcBorders>
              <w:top w:val="nil"/>
              <w:left w:val="nil"/>
              <w:bottom w:val="single" w:sz="4" w:space="0" w:color="auto"/>
              <w:right w:val="single" w:sz="4" w:space="0" w:color="auto"/>
            </w:tcBorders>
            <w:shd w:val="clear" w:color="auto" w:fill="auto"/>
            <w:noWrap/>
            <w:vAlign w:val="center"/>
            <w:hideMark/>
          </w:tcPr>
          <w:p w14:paraId="14E4D4C1" w14:textId="04FE6EDF"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10 572,2</w:t>
            </w:r>
          </w:p>
        </w:tc>
        <w:tc>
          <w:tcPr>
            <w:tcW w:w="909" w:type="dxa"/>
            <w:tcBorders>
              <w:top w:val="nil"/>
              <w:left w:val="nil"/>
              <w:bottom w:val="single" w:sz="4" w:space="0" w:color="auto"/>
              <w:right w:val="single" w:sz="4" w:space="0" w:color="auto"/>
            </w:tcBorders>
            <w:shd w:val="clear" w:color="auto" w:fill="auto"/>
            <w:noWrap/>
            <w:vAlign w:val="center"/>
            <w:hideMark/>
          </w:tcPr>
          <w:p w14:paraId="29C2ABFC" w14:textId="25DF0D26"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12 430,8</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2C4C9B0B" w14:textId="49364E0A"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13 894,7</w:t>
            </w:r>
          </w:p>
        </w:tc>
        <w:tc>
          <w:tcPr>
            <w:tcW w:w="909" w:type="dxa"/>
            <w:tcBorders>
              <w:top w:val="nil"/>
              <w:left w:val="nil"/>
              <w:bottom w:val="single" w:sz="4" w:space="0" w:color="auto"/>
              <w:right w:val="single" w:sz="4" w:space="0" w:color="auto"/>
            </w:tcBorders>
            <w:shd w:val="clear" w:color="auto" w:fill="auto"/>
            <w:noWrap/>
            <w:vAlign w:val="center"/>
            <w:hideMark/>
          </w:tcPr>
          <w:p w14:paraId="11E4CD31" w14:textId="0A8A7695"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14 132,8</w:t>
            </w:r>
          </w:p>
        </w:tc>
        <w:tc>
          <w:tcPr>
            <w:tcW w:w="910" w:type="dxa"/>
            <w:tcBorders>
              <w:top w:val="nil"/>
              <w:left w:val="nil"/>
              <w:bottom w:val="single" w:sz="4" w:space="0" w:color="auto"/>
              <w:right w:val="single" w:sz="4" w:space="0" w:color="auto"/>
            </w:tcBorders>
            <w:shd w:val="clear" w:color="auto" w:fill="auto"/>
            <w:noWrap/>
            <w:vAlign w:val="center"/>
            <w:hideMark/>
          </w:tcPr>
          <w:p w14:paraId="11A07C43" w14:textId="546F7C03"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13 975,6</w:t>
            </w:r>
          </w:p>
        </w:tc>
        <w:tc>
          <w:tcPr>
            <w:tcW w:w="911" w:type="dxa"/>
            <w:tcBorders>
              <w:top w:val="nil"/>
              <w:left w:val="nil"/>
              <w:bottom w:val="single" w:sz="4" w:space="0" w:color="auto"/>
              <w:right w:val="single" w:sz="4" w:space="0" w:color="auto"/>
            </w:tcBorders>
            <w:shd w:val="clear" w:color="auto" w:fill="auto"/>
            <w:noWrap/>
            <w:vAlign w:val="center"/>
            <w:hideMark/>
          </w:tcPr>
          <w:p w14:paraId="54CBD74D" w14:textId="56FE9D67"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14 332,0</w:t>
            </w:r>
          </w:p>
        </w:tc>
      </w:tr>
      <w:tr w:rsidR="005C6D02" w:rsidRPr="005A3253" w14:paraId="5FFD09AA" w14:textId="77777777" w:rsidTr="005C6D02">
        <w:trPr>
          <w:trHeight w:val="368"/>
          <w:tblHeader/>
          <w:jc w:val="center"/>
        </w:trPr>
        <w:tc>
          <w:tcPr>
            <w:tcW w:w="3335"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0F46C34B" w14:textId="77777777" w:rsidR="005C6D02" w:rsidRPr="007C4388" w:rsidRDefault="005C6D02" w:rsidP="005C6D02">
            <w:pPr>
              <w:spacing w:before="0" w:after="0"/>
              <w:ind w:firstLine="0"/>
              <w:contextualSpacing/>
              <w:jc w:val="left"/>
              <w:rPr>
                <w:rFonts w:eastAsia="Times New Roman" w:cs="Times New Roman"/>
                <w:b/>
                <w:bCs/>
                <w:sz w:val="16"/>
                <w:szCs w:val="16"/>
                <w:lang w:eastAsia="lv-LV"/>
              </w:rPr>
            </w:pPr>
            <w:r w:rsidRPr="007C4388">
              <w:rPr>
                <w:rFonts w:eastAsia="Times New Roman" w:cs="Times New Roman"/>
                <w:b/>
                <w:bCs/>
                <w:sz w:val="16"/>
                <w:szCs w:val="16"/>
                <w:lang w:eastAsia="lv-LV"/>
              </w:rPr>
              <w:t>VALSTS BUDŽETA BILANCE (pamatbudžets un speciālais b.)</w:t>
            </w:r>
          </w:p>
        </w:tc>
        <w:tc>
          <w:tcPr>
            <w:tcW w:w="904" w:type="dxa"/>
            <w:tcBorders>
              <w:top w:val="nil"/>
              <w:left w:val="nil"/>
              <w:bottom w:val="single" w:sz="4" w:space="0" w:color="auto"/>
              <w:right w:val="single" w:sz="4" w:space="0" w:color="auto"/>
            </w:tcBorders>
            <w:shd w:val="clear" w:color="auto" w:fill="DEEAF6" w:themeFill="accent1" w:themeFillTint="33"/>
            <w:noWrap/>
            <w:vAlign w:val="center"/>
            <w:hideMark/>
          </w:tcPr>
          <w:p w14:paraId="28BED92F" w14:textId="5D94BF7E"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-185,7</w:t>
            </w:r>
          </w:p>
        </w:tc>
        <w:tc>
          <w:tcPr>
            <w:tcW w:w="910" w:type="dxa"/>
            <w:tcBorders>
              <w:top w:val="nil"/>
              <w:left w:val="nil"/>
              <w:bottom w:val="single" w:sz="4" w:space="0" w:color="auto"/>
              <w:right w:val="single" w:sz="4" w:space="0" w:color="auto"/>
            </w:tcBorders>
            <w:shd w:val="clear" w:color="auto" w:fill="DEEAF6" w:themeFill="accent1" w:themeFillTint="33"/>
            <w:noWrap/>
            <w:vAlign w:val="center"/>
            <w:hideMark/>
          </w:tcPr>
          <w:p w14:paraId="3C9E97BF" w14:textId="7859B1C5"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-1 102,7</w:t>
            </w:r>
          </w:p>
        </w:tc>
        <w:tc>
          <w:tcPr>
            <w:tcW w:w="909" w:type="dxa"/>
            <w:tcBorders>
              <w:top w:val="nil"/>
              <w:left w:val="nil"/>
              <w:bottom w:val="single" w:sz="4" w:space="0" w:color="auto"/>
              <w:right w:val="single" w:sz="4" w:space="0" w:color="auto"/>
            </w:tcBorders>
            <w:shd w:val="clear" w:color="auto" w:fill="DEEAF6" w:themeFill="accent1" w:themeFillTint="33"/>
            <w:noWrap/>
            <w:vAlign w:val="center"/>
            <w:hideMark/>
          </w:tcPr>
          <w:p w14:paraId="2B3052A7" w14:textId="0FDDD105"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-1 780,0</w:t>
            </w:r>
          </w:p>
        </w:tc>
        <w:tc>
          <w:tcPr>
            <w:tcW w:w="915" w:type="dxa"/>
            <w:gridSpan w:val="2"/>
            <w:tcBorders>
              <w:top w:val="nil"/>
              <w:left w:val="nil"/>
              <w:bottom w:val="single" w:sz="4" w:space="0" w:color="auto"/>
              <w:right w:val="single" w:sz="4" w:space="0" w:color="auto"/>
            </w:tcBorders>
            <w:shd w:val="clear" w:color="auto" w:fill="DEEAF6" w:themeFill="accent1" w:themeFillTint="33"/>
            <w:noWrap/>
            <w:vAlign w:val="center"/>
            <w:hideMark/>
          </w:tcPr>
          <w:p w14:paraId="77DFA974" w14:textId="192924E4"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-1 786,2</w:t>
            </w:r>
          </w:p>
        </w:tc>
        <w:tc>
          <w:tcPr>
            <w:tcW w:w="909" w:type="dxa"/>
            <w:tcBorders>
              <w:top w:val="nil"/>
              <w:left w:val="nil"/>
              <w:bottom w:val="single" w:sz="4" w:space="0" w:color="auto"/>
              <w:right w:val="single" w:sz="4" w:space="0" w:color="auto"/>
            </w:tcBorders>
            <w:shd w:val="clear" w:color="auto" w:fill="DEEAF6" w:themeFill="accent1" w:themeFillTint="33"/>
            <w:noWrap/>
            <w:vAlign w:val="center"/>
            <w:hideMark/>
          </w:tcPr>
          <w:p w14:paraId="5A74D0B5" w14:textId="330FC4BE" w:rsidR="005C6D02" w:rsidRPr="005C6D02" w:rsidRDefault="005C6D02" w:rsidP="005C6D02">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-1 344,0</w:t>
            </w:r>
          </w:p>
        </w:tc>
        <w:tc>
          <w:tcPr>
            <w:tcW w:w="910" w:type="dxa"/>
            <w:tcBorders>
              <w:top w:val="nil"/>
              <w:left w:val="nil"/>
              <w:bottom w:val="single" w:sz="4" w:space="0" w:color="auto"/>
              <w:right w:val="single" w:sz="4" w:space="0" w:color="auto"/>
            </w:tcBorders>
            <w:shd w:val="clear" w:color="auto" w:fill="DEEAF6" w:themeFill="accent1" w:themeFillTint="33"/>
            <w:noWrap/>
            <w:vAlign w:val="center"/>
            <w:hideMark/>
          </w:tcPr>
          <w:p w14:paraId="4E779C79" w14:textId="08BA391B" w:rsidR="005C6D02" w:rsidRPr="005C6D02" w:rsidRDefault="005C6D02" w:rsidP="005C6D02">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4,3</w:t>
            </w:r>
          </w:p>
        </w:tc>
        <w:tc>
          <w:tcPr>
            <w:tcW w:w="911" w:type="dxa"/>
            <w:tcBorders>
              <w:top w:val="nil"/>
              <w:left w:val="nil"/>
              <w:bottom w:val="single" w:sz="4" w:space="0" w:color="auto"/>
              <w:right w:val="single" w:sz="4" w:space="0" w:color="auto"/>
            </w:tcBorders>
            <w:shd w:val="clear" w:color="auto" w:fill="DEEAF6" w:themeFill="accent1" w:themeFillTint="33"/>
            <w:noWrap/>
            <w:vAlign w:val="center"/>
            <w:hideMark/>
          </w:tcPr>
          <w:p w14:paraId="5DBABD4D" w14:textId="14A061A6" w:rsidR="005C6D02" w:rsidRPr="005C6D02" w:rsidRDefault="005C6D02" w:rsidP="005C6D02">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-646,8</w:t>
            </w:r>
          </w:p>
        </w:tc>
      </w:tr>
      <w:tr w:rsidR="005C6D02" w:rsidRPr="005A3253" w14:paraId="63298A45"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09689EAB" w14:textId="77777777" w:rsidR="005C6D02" w:rsidRPr="007C4388" w:rsidRDefault="005C6D02" w:rsidP="005C6D02">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Ieņēmumi</w:t>
            </w:r>
          </w:p>
        </w:tc>
        <w:tc>
          <w:tcPr>
            <w:tcW w:w="904" w:type="dxa"/>
            <w:tcBorders>
              <w:top w:val="nil"/>
              <w:left w:val="nil"/>
              <w:bottom w:val="single" w:sz="4" w:space="0" w:color="auto"/>
              <w:right w:val="single" w:sz="4" w:space="0" w:color="auto"/>
            </w:tcBorders>
            <w:shd w:val="clear" w:color="000000" w:fill="FFFFFF"/>
            <w:noWrap/>
            <w:vAlign w:val="center"/>
            <w:hideMark/>
          </w:tcPr>
          <w:p w14:paraId="0D9BCCC8" w14:textId="09924BBD"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9 281,6</w:t>
            </w:r>
          </w:p>
        </w:tc>
        <w:tc>
          <w:tcPr>
            <w:tcW w:w="910" w:type="dxa"/>
            <w:tcBorders>
              <w:top w:val="nil"/>
              <w:left w:val="nil"/>
              <w:bottom w:val="single" w:sz="4" w:space="0" w:color="auto"/>
              <w:right w:val="single" w:sz="4" w:space="0" w:color="auto"/>
            </w:tcBorders>
            <w:shd w:val="clear" w:color="auto" w:fill="auto"/>
            <w:noWrap/>
            <w:vAlign w:val="center"/>
            <w:hideMark/>
          </w:tcPr>
          <w:p w14:paraId="2D0BD326" w14:textId="0D2F9DD3"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9 329,4</w:t>
            </w:r>
          </w:p>
        </w:tc>
        <w:tc>
          <w:tcPr>
            <w:tcW w:w="909" w:type="dxa"/>
            <w:tcBorders>
              <w:top w:val="nil"/>
              <w:left w:val="nil"/>
              <w:bottom w:val="single" w:sz="4" w:space="0" w:color="auto"/>
              <w:right w:val="single" w:sz="4" w:space="0" w:color="auto"/>
            </w:tcBorders>
            <w:shd w:val="clear" w:color="auto" w:fill="auto"/>
            <w:noWrap/>
            <w:vAlign w:val="center"/>
            <w:hideMark/>
          </w:tcPr>
          <w:p w14:paraId="39B01F03" w14:textId="3535150C"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10 511,0</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34A2977F" w14:textId="3AB8698D"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11 965,3</w:t>
            </w:r>
          </w:p>
        </w:tc>
        <w:tc>
          <w:tcPr>
            <w:tcW w:w="909" w:type="dxa"/>
            <w:tcBorders>
              <w:top w:val="nil"/>
              <w:left w:val="nil"/>
              <w:bottom w:val="single" w:sz="4" w:space="0" w:color="auto"/>
              <w:right w:val="single" w:sz="4" w:space="0" w:color="auto"/>
            </w:tcBorders>
            <w:shd w:val="clear" w:color="auto" w:fill="auto"/>
            <w:noWrap/>
            <w:vAlign w:val="center"/>
            <w:hideMark/>
          </w:tcPr>
          <w:p w14:paraId="5C9AC212" w14:textId="0F35C335"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12 591,0</w:t>
            </w:r>
          </w:p>
        </w:tc>
        <w:tc>
          <w:tcPr>
            <w:tcW w:w="910" w:type="dxa"/>
            <w:tcBorders>
              <w:top w:val="nil"/>
              <w:left w:val="nil"/>
              <w:bottom w:val="single" w:sz="4" w:space="0" w:color="auto"/>
              <w:right w:val="single" w:sz="4" w:space="0" w:color="auto"/>
            </w:tcBorders>
            <w:shd w:val="clear" w:color="auto" w:fill="auto"/>
            <w:noWrap/>
            <w:vAlign w:val="center"/>
            <w:hideMark/>
          </w:tcPr>
          <w:p w14:paraId="38140BB3" w14:textId="4CE962A0"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13 773,5</w:t>
            </w:r>
          </w:p>
        </w:tc>
        <w:tc>
          <w:tcPr>
            <w:tcW w:w="911" w:type="dxa"/>
            <w:tcBorders>
              <w:top w:val="nil"/>
              <w:left w:val="nil"/>
              <w:bottom w:val="single" w:sz="4" w:space="0" w:color="auto"/>
              <w:right w:val="single" w:sz="4" w:space="0" w:color="auto"/>
            </w:tcBorders>
            <w:shd w:val="clear" w:color="auto" w:fill="auto"/>
            <w:noWrap/>
            <w:vAlign w:val="center"/>
            <w:hideMark/>
          </w:tcPr>
          <w:p w14:paraId="74119FBA" w14:textId="048E2170"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13 458,4</w:t>
            </w:r>
          </w:p>
        </w:tc>
      </w:tr>
      <w:tr w:rsidR="005C6D02" w:rsidRPr="005A3253" w14:paraId="2D582FE6"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4BAA61E4" w14:textId="77777777" w:rsidR="005C6D02" w:rsidRPr="007C4388" w:rsidRDefault="005C6D02" w:rsidP="005C6D02">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Izdevumi</w:t>
            </w:r>
          </w:p>
        </w:tc>
        <w:tc>
          <w:tcPr>
            <w:tcW w:w="904" w:type="dxa"/>
            <w:tcBorders>
              <w:top w:val="nil"/>
              <w:left w:val="nil"/>
              <w:bottom w:val="single" w:sz="4" w:space="0" w:color="auto"/>
              <w:right w:val="single" w:sz="4" w:space="0" w:color="auto"/>
            </w:tcBorders>
            <w:shd w:val="clear" w:color="000000" w:fill="FFFFFF"/>
            <w:noWrap/>
            <w:vAlign w:val="center"/>
            <w:hideMark/>
          </w:tcPr>
          <w:p w14:paraId="627A4616" w14:textId="36382C53"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9 467,3</w:t>
            </w:r>
          </w:p>
        </w:tc>
        <w:tc>
          <w:tcPr>
            <w:tcW w:w="910" w:type="dxa"/>
            <w:tcBorders>
              <w:top w:val="nil"/>
              <w:left w:val="nil"/>
              <w:bottom w:val="single" w:sz="4" w:space="0" w:color="auto"/>
              <w:right w:val="single" w:sz="4" w:space="0" w:color="auto"/>
            </w:tcBorders>
            <w:shd w:val="clear" w:color="auto" w:fill="auto"/>
            <w:noWrap/>
            <w:vAlign w:val="center"/>
            <w:hideMark/>
          </w:tcPr>
          <w:p w14:paraId="07DFA72B" w14:textId="13F705A1"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10 432,1</w:t>
            </w:r>
          </w:p>
        </w:tc>
        <w:tc>
          <w:tcPr>
            <w:tcW w:w="909" w:type="dxa"/>
            <w:tcBorders>
              <w:top w:val="nil"/>
              <w:left w:val="nil"/>
              <w:bottom w:val="single" w:sz="4" w:space="0" w:color="auto"/>
              <w:right w:val="single" w:sz="4" w:space="0" w:color="auto"/>
            </w:tcBorders>
            <w:shd w:val="clear" w:color="auto" w:fill="auto"/>
            <w:noWrap/>
            <w:vAlign w:val="center"/>
            <w:hideMark/>
          </w:tcPr>
          <w:p w14:paraId="2A1CC2B0" w14:textId="35184E72"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12 291,0</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2C6597E8" w14:textId="3B213484"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13 751,4</w:t>
            </w:r>
          </w:p>
        </w:tc>
        <w:tc>
          <w:tcPr>
            <w:tcW w:w="909" w:type="dxa"/>
            <w:tcBorders>
              <w:top w:val="nil"/>
              <w:left w:val="nil"/>
              <w:bottom w:val="single" w:sz="4" w:space="0" w:color="auto"/>
              <w:right w:val="single" w:sz="4" w:space="0" w:color="auto"/>
            </w:tcBorders>
            <w:shd w:val="clear" w:color="auto" w:fill="auto"/>
            <w:noWrap/>
            <w:vAlign w:val="center"/>
            <w:hideMark/>
          </w:tcPr>
          <w:p w14:paraId="50815B13" w14:textId="20C60B43"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13 935,0</w:t>
            </w:r>
          </w:p>
        </w:tc>
        <w:tc>
          <w:tcPr>
            <w:tcW w:w="910" w:type="dxa"/>
            <w:tcBorders>
              <w:top w:val="nil"/>
              <w:left w:val="nil"/>
              <w:bottom w:val="single" w:sz="4" w:space="0" w:color="auto"/>
              <w:right w:val="single" w:sz="4" w:space="0" w:color="auto"/>
            </w:tcBorders>
            <w:shd w:val="clear" w:color="auto" w:fill="auto"/>
            <w:noWrap/>
            <w:vAlign w:val="center"/>
            <w:hideMark/>
          </w:tcPr>
          <w:p w14:paraId="0D8FBFCC" w14:textId="401190A8"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13 769,2</w:t>
            </w:r>
          </w:p>
        </w:tc>
        <w:tc>
          <w:tcPr>
            <w:tcW w:w="911" w:type="dxa"/>
            <w:tcBorders>
              <w:top w:val="nil"/>
              <w:left w:val="nil"/>
              <w:bottom w:val="single" w:sz="4" w:space="0" w:color="auto"/>
              <w:right w:val="single" w:sz="4" w:space="0" w:color="auto"/>
            </w:tcBorders>
            <w:shd w:val="clear" w:color="auto" w:fill="auto"/>
            <w:noWrap/>
            <w:vAlign w:val="center"/>
            <w:hideMark/>
          </w:tcPr>
          <w:p w14:paraId="5EBDAB0E" w14:textId="748544AE"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14 105,2</w:t>
            </w:r>
          </w:p>
        </w:tc>
      </w:tr>
      <w:tr w:rsidR="005C6D02" w:rsidRPr="005A3253" w14:paraId="21DB87D3"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2B324F0A" w14:textId="77777777" w:rsidR="005C6D02" w:rsidRPr="007C4388" w:rsidRDefault="005C6D02" w:rsidP="005C6D02">
            <w:pPr>
              <w:spacing w:before="0" w:after="0"/>
              <w:ind w:firstLine="0"/>
              <w:contextualSpacing/>
              <w:jc w:val="left"/>
              <w:rPr>
                <w:rFonts w:eastAsia="Times New Roman" w:cs="Times New Roman"/>
                <w:b/>
                <w:bCs/>
                <w:sz w:val="16"/>
                <w:szCs w:val="16"/>
                <w:lang w:eastAsia="lv-LV"/>
              </w:rPr>
            </w:pPr>
            <w:r w:rsidRPr="007C4388">
              <w:rPr>
                <w:rFonts w:eastAsia="Times New Roman" w:cs="Times New Roman"/>
                <w:b/>
                <w:bCs/>
                <w:sz w:val="16"/>
                <w:szCs w:val="16"/>
                <w:lang w:eastAsia="lv-LV"/>
              </w:rPr>
              <w:t>VALSTS PAMATBUDŽETA BILANCE</w:t>
            </w:r>
          </w:p>
        </w:tc>
        <w:tc>
          <w:tcPr>
            <w:tcW w:w="904" w:type="dxa"/>
            <w:tcBorders>
              <w:top w:val="nil"/>
              <w:left w:val="nil"/>
              <w:bottom w:val="single" w:sz="4" w:space="0" w:color="auto"/>
              <w:right w:val="single" w:sz="4" w:space="0" w:color="auto"/>
            </w:tcBorders>
            <w:shd w:val="clear" w:color="000000" w:fill="FFFFFF"/>
            <w:noWrap/>
            <w:vAlign w:val="center"/>
            <w:hideMark/>
          </w:tcPr>
          <w:p w14:paraId="440F0D39" w14:textId="5AE0444F"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i/>
                <w:iCs/>
                <w:sz w:val="16"/>
                <w:szCs w:val="16"/>
              </w:rPr>
              <w:t>-485,2</w:t>
            </w:r>
          </w:p>
        </w:tc>
        <w:tc>
          <w:tcPr>
            <w:tcW w:w="910" w:type="dxa"/>
            <w:tcBorders>
              <w:top w:val="nil"/>
              <w:left w:val="nil"/>
              <w:bottom w:val="single" w:sz="4" w:space="0" w:color="auto"/>
              <w:right w:val="single" w:sz="4" w:space="0" w:color="auto"/>
            </w:tcBorders>
            <w:shd w:val="clear" w:color="auto" w:fill="auto"/>
            <w:noWrap/>
            <w:vAlign w:val="center"/>
            <w:hideMark/>
          </w:tcPr>
          <w:p w14:paraId="107B0E57" w14:textId="48A1EFDA"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-1 224,4</w:t>
            </w:r>
          </w:p>
        </w:tc>
        <w:tc>
          <w:tcPr>
            <w:tcW w:w="909" w:type="dxa"/>
            <w:tcBorders>
              <w:top w:val="nil"/>
              <w:left w:val="nil"/>
              <w:bottom w:val="single" w:sz="4" w:space="0" w:color="auto"/>
              <w:right w:val="single" w:sz="4" w:space="0" w:color="auto"/>
            </w:tcBorders>
            <w:shd w:val="clear" w:color="auto" w:fill="auto"/>
            <w:noWrap/>
            <w:vAlign w:val="center"/>
            <w:hideMark/>
          </w:tcPr>
          <w:p w14:paraId="5BE1CFC8" w14:textId="22A51AAB"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-1 980,5</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00ED23FF" w14:textId="26DC08C1" w:rsidR="005C6D02" w:rsidRPr="007C4388" w:rsidRDefault="005C6D02" w:rsidP="005C6D02">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-2 134,1</w:t>
            </w:r>
          </w:p>
        </w:tc>
        <w:tc>
          <w:tcPr>
            <w:tcW w:w="909" w:type="dxa"/>
            <w:tcBorders>
              <w:top w:val="nil"/>
              <w:left w:val="nil"/>
              <w:bottom w:val="single" w:sz="4" w:space="0" w:color="auto"/>
              <w:right w:val="single" w:sz="4" w:space="0" w:color="auto"/>
            </w:tcBorders>
            <w:shd w:val="clear" w:color="auto" w:fill="auto"/>
            <w:noWrap/>
            <w:vAlign w:val="center"/>
            <w:hideMark/>
          </w:tcPr>
          <w:p w14:paraId="248A962D" w14:textId="7E0576F3" w:rsidR="005C6D02" w:rsidRPr="005C6D02" w:rsidRDefault="005C6D02" w:rsidP="005C6D02">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-1 435,2</w:t>
            </w:r>
          </w:p>
        </w:tc>
        <w:tc>
          <w:tcPr>
            <w:tcW w:w="910" w:type="dxa"/>
            <w:tcBorders>
              <w:top w:val="nil"/>
              <w:left w:val="nil"/>
              <w:bottom w:val="single" w:sz="4" w:space="0" w:color="auto"/>
              <w:right w:val="single" w:sz="4" w:space="0" w:color="auto"/>
            </w:tcBorders>
            <w:shd w:val="clear" w:color="auto" w:fill="auto"/>
            <w:noWrap/>
            <w:vAlign w:val="center"/>
            <w:hideMark/>
          </w:tcPr>
          <w:p w14:paraId="73AFFA16" w14:textId="539A680F" w:rsidR="005C6D02" w:rsidRPr="005C6D02" w:rsidRDefault="005C6D02" w:rsidP="005C6D02">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-95,1</w:t>
            </w:r>
          </w:p>
        </w:tc>
        <w:tc>
          <w:tcPr>
            <w:tcW w:w="911" w:type="dxa"/>
            <w:tcBorders>
              <w:top w:val="nil"/>
              <w:left w:val="nil"/>
              <w:bottom w:val="single" w:sz="4" w:space="0" w:color="auto"/>
              <w:right w:val="single" w:sz="4" w:space="0" w:color="auto"/>
            </w:tcBorders>
            <w:shd w:val="clear" w:color="auto" w:fill="auto"/>
            <w:noWrap/>
            <w:vAlign w:val="center"/>
            <w:hideMark/>
          </w:tcPr>
          <w:p w14:paraId="411A1D1C" w14:textId="5E75FC05" w:rsidR="005C6D02" w:rsidRPr="005C6D02" w:rsidRDefault="005C6D02" w:rsidP="005C6D02">
            <w:pPr>
              <w:spacing w:before="0" w:after="0"/>
              <w:ind w:firstLine="0"/>
              <w:contextualSpacing/>
              <w:jc w:val="right"/>
              <w:rPr>
                <w:rFonts w:eastAsia="Times New Roman" w:cs="Times New Roman"/>
                <w:b/>
                <w:bCs/>
                <w:sz w:val="16"/>
                <w:szCs w:val="16"/>
                <w:highlight w:val="yellow"/>
                <w:lang w:eastAsia="lv-LV"/>
              </w:rPr>
            </w:pPr>
            <w:r w:rsidRPr="005C6D02">
              <w:rPr>
                <w:b/>
                <w:bCs/>
                <w:sz w:val="16"/>
                <w:szCs w:val="16"/>
              </w:rPr>
              <w:t>-707,3</w:t>
            </w:r>
          </w:p>
        </w:tc>
      </w:tr>
      <w:tr w:rsidR="005C6D02" w:rsidRPr="005A3253" w14:paraId="078F4E88"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7DF67C85" w14:textId="77777777" w:rsidR="005C6D02" w:rsidRPr="007C4388" w:rsidRDefault="005C6D02" w:rsidP="005C6D02">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Ieņēmumi</w:t>
            </w:r>
          </w:p>
        </w:tc>
        <w:tc>
          <w:tcPr>
            <w:tcW w:w="904" w:type="dxa"/>
            <w:tcBorders>
              <w:top w:val="nil"/>
              <w:left w:val="nil"/>
              <w:bottom w:val="single" w:sz="4" w:space="0" w:color="auto"/>
              <w:right w:val="single" w:sz="4" w:space="0" w:color="auto"/>
            </w:tcBorders>
            <w:shd w:val="clear" w:color="000000" w:fill="FFFFFF"/>
            <w:noWrap/>
            <w:vAlign w:val="center"/>
            <w:hideMark/>
          </w:tcPr>
          <w:p w14:paraId="7413F678" w14:textId="0A02BBB4"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i/>
                <w:iCs/>
                <w:sz w:val="16"/>
                <w:szCs w:val="16"/>
              </w:rPr>
              <w:t>6 429,6</w:t>
            </w:r>
          </w:p>
        </w:tc>
        <w:tc>
          <w:tcPr>
            <w:tcW w:w="910" w:type="dxa"/>
            <w:tcBorders>
              <w:top w:val="nil"/>
              <w:left w:val="nil"/>
              <w:bottom w:val="single" w:sz="4" w:space="0" w:color="auto"/>
              <w:right w:val="single" w:sz="4" w:space="0" w:color="auto"/>
            </w:tcBorders>
            <w:shd w:val="clear" w:color="auto" w:fill="auto"/>
            <w:noWrap/>
            <w:vAlign w:val="center"/>
            <w:hideMark/>
          </w:tcPr>
          <w:p w14:paraId="3CE3590C" w14:textId="3F81BA45"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6 442,7</w:t>
            </w:r>
          </w:p>
        </w:tc>
        <w:tc>
          <w:tcPr>
            <w:tcW w:w="909" w:type="dxa"/>
            <w:tcBorders>
              <w:top w:val="nil"/>
              <w:left w:val="nil"/>
              <w:bottom w:val="single" w:sz="4" w:space="0" w:color="auto"/>
              <w:right w:val="single" w:sz="4" w:space="0" w:color="auto"/>
            </w:tcBorders>
            <w:shd w:val="clear" w:color="auto" w:fill="auto"/>
            <w:noWrap/>
            <w:vAlign w:val="center"/>
            <w:hideMark/>
          </w:tcPr>
          <w:p w14:paraId="78DBFA25" w14:textId="4F27F616"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7 418,6</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2A186703" w14:textId="0971B26E"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8 310,3</w:t>
            </w:r>
          </w:p>
        </w:tc>
        <w:tc>
          <w:tcPr>
            <w:tcW w:w="909" w:type="dxa"/>
            <w:tcBorders>
              <w:top w:val="nil"/>
              <w:left w:val="nil"/>
              <w:bottom w:val="single" w:sz="4" w:space="0" w:color="auto"/>
              <w:right w:val="single" w:sz="4" w:space="0" w:color="auto"/>
            </w:tcBorders>
            <w:shd w:val="clear" w:color="auto" w:fill="auto"/>
            <w:noWrap/>
            <w:vAlign w:val="center"/>
            <w:hideMark/>
          </w:tcPr>
          <w:p w14:paraId="0534A474" w14:textId="55DA6C91"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8 686,8</w:t>
            </w:r>
          </w:p>
        </w:tc>
        <w:tc>
          <w:tcPr>
            <w:tcW w:w="910" w:type="dxa"/>
            <w:tcBorders>
              <w:top w:val="nil"/>
              <w:left w:val="nil"/>
              <w:bottom w:val="single" w:sz="4" w:space="0" w:color="auto"/>
              <w:right w:val="single" w:sz="4" w:space="0" w:color="auto"/>
            </w:tcBorders>
            <w:shd w:val="clear" w:color="auto" w:fill="auto"/>
            <w:noWrap/>
            <w:vAlign w:val="center"/>
            <w:hideMark/>
          </w:tcPr>
          <w:p w14:paraId="4F9598C2" w14:textId="6B5002E5"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9 622,0</w:t>
            </w:r>
          </w:p>
        </w:tc>
        <w:tc>
          <w:tcPr>
            <w:tcW w:w="911" w:type="dxa"/>
            <w:tcBorders>
              <w:top w:val="nil"/>
              <w:left w:val="nil"/>
              <w:bottom w:val="single" w:sz="4" w:space="0" w:color="auto"/>
              <w:right w:val="single" w:sz="4" w:space="0" w:color="auto"/>
            </w:tcBorders>
            <w:shd w:val="clear" w:color="auto" w:fill="auto"/>
            <w:noWrap/>
            <w:vAlign w:val="center"/>
            <w:hideMark/>
          </w:tcPr>
          <w:p w14:paraId="3912212B" w14:textId="3D281374"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9 100,7</w:t>
            </w:r>
          </w:p>
        </w:tc>
      </w:tr>
      <w:tr w:rsidR="005C6D02" w:rsidRPr="005A3253" w14:paraId="063B58AD"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1FC47E11" w14:textId="77777777" w:rsidR="005C6D02" w:rsidRPr="007C4388" w:rsidRDefault="005C6D02" w:rsidP="005C6D02">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Izdevumi</w:t>
            </w:r>
          </w:p>
        </w:tc>
        <w:tc>
          <w:tcPr>
            <w:tcW w:w="904" w:type="dxa"/>
            <w:tcBorders>
              <w:top w:val="nil"/>
              <w:left w:val="nil"/>
              <w:bottom w:val="single" w:sz="4" w:space="0" w:color="auto"/>
              <w:right w:val="single" w:sz="4" w:space="0" w:color="auto"/>
            </w:tcBorders>
            <w:shd w:val="clear" w:color="000000" w:fill="FFFFFF"/>
            <w:noWrap/>
            <w:vAlign w:val="center"/>
            <w:hideMark/>
          </w:tcPr>
          <w:p w14:paraId="502510AA" w14:textId="5020AEA8"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i/>
                <w:iCs/>
                <w:sz w:val="16"/>
                <w:szCs w:val="16"/>
              </w:rPr>
              <w:t>6 914,9</w:t>
            </w:r>
          </w:p>
        </w:tc>
        <w:tc>
          <w:tcPr>
            <w:tcW w:w="910" w:type="dxa"/>
            <w:tcBorders>
              <w:top w:val="nil"/>
              <w:left w:val="nil"/>
              <w:bottom w:val="single" w:sz="4" w:space="0" w:color="auto"/>
              <w:right w:val="single" w:sz="4" w:space="0" w:color="auto"/>
            </w:tcBorders>
            <w:shd w:val="clear" w:color="auto" w:fill="auto"/>
            <w:noWrap/>
            <w:vAlign w:val="center"/>
            <w:hideMark/>
          </w:tcPr>
          <w:p w14:paraId="38FD3654" w14:textId="77C7B6C7"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7 667,0</w:t>
            </w:r>
          </w:p>
        </w:tc>
        <w:tc>
          <w:tcPr>
            <w:tcW w:w="909" w:type="dxa"/>
            <w:tcBorders>
              <w:top w:val="nil"/>
              <w:left w:val="nil"/>
              <w:bottom w:val="single" w:sz="4" w:space="0" w:color="auto"/>
              <w:right w:val="single" w:sz="4" w:space="0" w:color="auto"/>
            </w:tcBorders>
            <w:shd w:val="clear" w:color="auto" w:fill="auto"/>
            <w:noWrap/>
            <w:vAlign w:val="center"/>
            <w:hideMark/>
          </w:tcPr>
          <w:p w14:paraId="651A15EC" w14:textId="1A487DDB"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9 399,2</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34C7DDAB" w14:textId="2A3496A7"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10 444,4</w:t>
            </w:r>
          </w:p>
        </w:tc>
        <w:tc>
          <w:tcPr>
            <w:tcW w:w="909" w:type="dxa"/>
            <w:tcBorders>
              <w:top w:val="nil"/>
              <w:left w:val="nil"/>
              <w:bottom w:val="single" w:sz="4" w:space="0" w:color="auto"/>
              <w:right w:val="single" w:sz="4" w:space="0" w:color="auto"/>
            </w:tcBorders>
            <w:shd w:val="clear" w:color="auto" w:fill="auto"/>
            <w:noWrap/>
            <w:vAlign w:val="center"/>
            <w:hideMark/>
          </w:tcPr>
          <w:p w14:paraId="728FC847" w14:textId="5A612167"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10 121,9</w:t>
            </w:r>
          </w:p>
        </w:tc>
        <w:tc>
          <w:tcPr>
            <w:tcW w:w="910" w:type="dxa"/>
            <w:tcBorders>
              <w:top w:val="nil"/>
              <w:left w:val="nil"/>
              <w:bottom w:val="single" w:sz="4" w:space="0" w:color="auto"/>
              <w:right w:val="single" w:sz="4" w:space="0" w:color="auto"/>
            </w:tcBorders>
            <w:shd w:val="clear" w:color="auto" w:fill="auto"/>
            <w:noWrap/>
            <w:vAlign w:val="center"/>
            <w:hideMark/>
          </w:tcPr>
          <w:p w14:paraId="11033FDC" w14:textId="4E036876"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9 717,1</w:t>
            </w:r>
          </w:p>
        </w:tc>
        <w:tc>
          <w:tcPr>
            <w:tcW w:w="911" w:type="dxa"/>
            <w:tcBorders>
              <w:top w:val="nil"/>
              <w:left w:val="nil"/>
              <w:bottom w:val="single" w:sz="4" w:space="0" w:color="auto"/>
              <w:right w:val="single" w:sz="4" w:space="0" w:color="auto"/>
            </w:tcBorders>
            <w:shd w:val="clear" w:color="auto" w:fill="auto"/>
            <w:noWrap/>
            <w:vAlign w:val="center"/>
            <w:hideMark/>
          </w:tcPr>
          <w:p w14:paraId="44B59C56" w14:textId="3A0901DF"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9 808,0</w:t>
            </w:r>
          </w:p>
        </w:tc>
      </w:tr>
      <w:tr w:rsidR="005C6D02" w:rsidRPr="005A3253" w14:paraId="53242FD0"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2DC598A0" w14:textId="77777777" w:rsidR="005C6D02" w:rsidRPr="007C4388" w:rsidRDefault="005C6D02" w:rsidP="005C6D02">
            <w:pPr>
              <w:spacing w:before="0" w:after="0"/>
              <w:ind w:firstLineChars="300" w:firstLine="480"/>
              <w:contextualSpacing/>
              <w:jc w:val="left"/>
              <w:rPr>
                <w:rFonts w:eastAsia="Times New Roman" w:cs="Times New Roman"/>
                <w:i/>
                <w:iCs/>
                <w:sz w:val="16"/>
                <w:szCs w:val="16"/>
                <w:lang w:eastAsia="lv-LV"/>
              </w:rPr>
            </w:pPr>
            <w:r w:rsidRPr="007C4388">
              <w:rPr>
                <w:rFonts w:eastAsia="Times New Roman" w:cs="Times New Roman"/>
                <w:i/>
                <w:iCs/>
                <w:sz w:val="16"/>
                <w:szCs w:val="16"/>
                <w:lang w:eastAsia="lv-LV"/>
              </w:rPr>
              <w:t>Pamatfunkciju daļa</w:t>
            </w:r>
          </w:p>
        </w:tc>
        <w:tc>
          <w:tcPr>
            <w:tcW w:w="904" w:type="dxa"/>
            <w:tcBorders>
              <w:top w:val="nil"/>
              <w:left w:val="nil"/>
              <w:bottom w:val="single" w:sz="4" w:space="0" w:color="auto"/>
              <w:right w:val="single" w:sz="4" w:space="0" w:color="auto"/>
            </w:tcBorders>
            <w:shd w:val="clear" w:color="000000" w:fill="FFFFFF"/>
            <w:noWrap/>
            <w:vAlign w:val="center"/>
            <w:hideMark/>
          </w:tcPr>
          <w:p w14:paraId="107CF94F" w14:textId="22DEC545" w:rsidR="005C6D02" w:rsidRPr="007C4388" w:rsidRDefault="005C6D02" w:rsidP="005C6D02">
            <w:pPr>
              <w:spacing w:before="0" w:after="0"/>
              <w:ind w:firstLine="0"/>
              <w:contextualSpacing/>
              <w:jc w:val="right"/>
              <w:rPr>
                <w:rFonts w:eastAsia="Times New Roman" w:cs="Times New Roman"/>
                <w:i/>
                <w:iCs/>
                <w:sz w:val="16"/>
                <w:szCs w:val="16"/>
                <w:highlight w:val="yellow"/>
                <w:lang w:eastAsia="lv-LV"/>
              </w:rPr>
            </w:pPr>
            <w:r w:rsidRPr="007C4388">
              <w:rPr>
                <w:rFonts w:cs="Times New Roman"/>
                <w:i/>
                <w:iCs/>
                <w:sz w:val="16"/>
                <w:szCs w:val="16"/>
              </w:rPr>
              <w:t>5 478,9</w:t>
            </w:r>
          </w:p>
        </w:tc>
        <w:tc>
          <w:tcPr>
            <w:tcW w:w="910" w:type="dxa"/>
            <w:tcBorders>
              <w:top w:val="nil"/>
              <w:left w:val="nil"/>
              <w:bottom w:val="single" w:sz="4" w:space="0" w:color="auto"/>
              <w:right w:val="single" w:sz="4" w:space="0" w:color="auto"/>
            </w:tcBorders>
            <w:shd w:val="clear" w:color="auto" w:fill="auto"/>
            <w:noWrap/>
            <w:vAlign w:val="center"/>
            <w:hideMark/>
          </w:tcPr>
          <w:p w14:paraId="2575149B" w14:textId="342774B5"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6 326,9</w:t>
            </w:r>
          </w:p>
        </w:tc>
        <w:tc>
          <w:tcPr>
            <w:tcW w:w="909" w:type="dxa"/>
            <w:tcBorders>
              <w:top w:val="nil"/>
              <w:left w:val="nil"/>
              <w:bottom w:val="single" w:sz="4" w:space="0" w:color="auto"/>
              <w:right w:val="single" w:sz="4" w:space="0" w:color="auto"/>
            </w:tcBorders>
            <w:shd w:val="clear" w:color="auto" w:fill="auto"/>
            <w:noWrap/>
            <w:vAlign w:val="center"/>
            <w:hideMark/>
          </w:tcPr>
          <w:p w14:paraId="17A44E09" w14:textId="07628037"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8 125,9</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15526CF0" w14:textId="0FFDA235"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8 973,7</w:t>
            </w:r>
          </w:p>
        </w:tc>
        <w:tc>
          <w:tcPr>
            <w:tcW w:w="909" w:type="dxa"/>
            <w:tcBorders>
              <w:top w:val="nil"/>
              <w:left w:val="nil"/>
              <w:bottom w:val="single" w:sz="4" w:space="0" w:color="auto"/>
              <w:right w:val="single" w:sz="4" w:space="0" w:color="auto"/>
            </w:tcBorders>
            <w:shd w:val="clear" w:color="auto" w:fill="auto"/>
            <w:noWrap/>
            <w:vAlign w:val="center"/>
            <w:hideMark/>
          </w:tcPr>
          <w:p w14:paraId="1629F979" w14:textId="7528DD3C"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8 039,4</w:t>
            </w:r>
          </w:p>
        </w:tc>
        <w:tc>
          <w:tcPr>
            <w:tcW w:w="910" w:type="dxa"/>
            <w:tcBorders>
              <w:top w:val="nil"/>
              <w:left w:val="nil"/>
              <w:bottom w:val="single" w:sz="4" w:space="0" w:color="auto"/>
              <w:right w:val="single" w:sz="4" w:space="0" w:color="auto"/>
            </w:tcBorders>
            <w:shd w:val="clear" w:color="auto" w:fill="auto"/>
            <w:noWrap/>
            <w:vAlign w:val="center"/>
            <w:hideMark/>
          </w:tcPr>
          <w:p w14:paraId="635458F8" w14:textId="5B203333"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7 577,1</w:t>
            </w:r>
          </w:p>
        </w:tc>
        <w:tc>
          <w:tcPr>
            <w:tcW w:w="911" w:type="dxa"/>
            <w:tcBorders>
              <w:top w:val="nil"/>
              <w:left w:val="nil"/>
              <w:bottom w:val="single" w:sz="4" w:space="0" w:color="auto"/>
              <w:right w:val="single" w:sz="4" w:space="0" w:color="auto"/>
            </w:tcBorders>
            <w:shd w:val="clear" w:color="auto" w:fill="auto"/>
            <w:noWrap/>
            <w:vAlign w:val="center"/>
            <w:hideMark/>
          </w:tcPr>
          <w:p w14:paraId="35E5FCE8" w14:textId="4FF6ED74"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7 717,9</w:t>
            </w:r>
          </w:p>
        </w:tc>
      </w:tr>
      <w:tr w:rsidR="005C6D02" w:rsidRPr="005A3253" w14:paraId="329F01F2"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2E4B2F1B" w14:textId="77777777" w:rsidR="005C6D02" w:rsidRPr="007C4388" w:rsidRDefault="005C6D02" w:rsidP="005C6D02">
            <w:pPr>
              <w:spacing w:before="0" w:after="0"/>
              <w:ind w:firstLineChars="300" w:firstLine="480"/>
              <w:contextualSpacing/>
              <w:jc w:val="left"/>
              <w:rPr>
                <w:rFonts w:eastAsia="Times New Roman" w:cs="Times New Roman"/>
                <w:i/>
                <w:iCs/>
                <w:sz w:val="16"/>
                <w:szCs w:val="16"/>
                <w:lang w:eastAsia="lv-LV"/>
              </w:rPr>
            </w:pPr>
            <w:r w:rsidRPr="007C4388">
              <w:rPr>
                <w:rFonts w:eastAsia="Times New Roman" w:cs="Times New Roman"/>
                <w:i/>
                <w:iCs/>
                <w:sz w:val="16"/>
                <w:szCs w:val="16"/>
                <w:lang w:eastAsia="lv-LV"/>
              </w:rPr>
              <w:t>ĀFP daļa</w:t>
            </w:r>
          </w:p>
        </w:tc>
        <w:tc>
          <w:tcPr>
            <w:tcW w:w="904" w:type="dxa"/>
            <w:tcBorders>
              <w:top w:val="nil"/>
              <w:left w:val="nil"/>
              <w:bottom w:val="single" w:sz="4" w:space="0" w:color="auto"/>
              <w:right w:val="single" w:sz="4" w:space="0" w:color="auto"/>
            </w:tcBorders>
            <w:shd w:val="clear" w:color="000000" w:fill="FFFFFF"/>
            <w:noWrap/>
            <w:vAlign w:val="center"/>
            <w:hideMark/>
          </w:tcPr>
          <w:p w14:paraId="155AF1E8" w14:textId="1BF14399" w:rsidR="005C6D02" w:rsidRPr="007C4388" w:rsidRDefault="005C6D02" w:rsidP="005C6D02">
            <w:pPr>
              <w:spacing w:before="0" w:after="0"/>
              <w:ind w:firstLine="0"/>
              <w:contextualSpacing/>
              <w:jc w:val="right"/>
              <w:rPr>
                <w:rFonts w:eastAsia="Times New Roman" w:cs="Times New Roman"/>
                <w:i/>
                <w:iCs/>
                <w:sz w:val="16"/>
                <w:szCs w:val="16"/>
                <w:highlight w:val="yellow"/>
                <w:lang w:eastAsia="lv-LV"/>
              </w:rPr>
            </w:pPr>
            <w:r w:rsidRPr="007C4388">
              <w:rPr>
                <w:rFonts w:cs="Times New Roman"/>
                <w:i/>
                <w:iCs/>
                <w:sz w:val="16"/>
                <w:szCs w:val="16"/>
              </w:rPr>
              <w:t>1 435,9</w:t>
            </w:r>
          </w:p>
        </w:tc>
        <w:tc>
          <w:tcPr>
            <w:tcW w:w="910" w:type="dxa"/>
            <w:tcBorders>
              <w:top w:val="nil"/>
              <w:left w:val="nil"/>
              <w:bottom w:val="single" w:sz="4" w:space="0" w:color="auto"/>
              <w:right w:val="single" w:sz="4" w:space="0" w:color="auto"/>
            </w:tcBorders>
            <w:shd w:val="clear" w:color="auto" w:fill="auto"/>
            <w:noWrap/>
            <w:vAlign w:val="center"/>
            <w:hideMark/>
          </w:tcPr>
          <w:p w14:paraId="5CFF159D" w14:textId="4CD6A89A"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1 340,1</w:t>
            </w:r>
          </w:p>
        </w:tc>
        <w:tc>
          <w:tcPr>
            <w:tcW w:w="909" w:type="dxa"/>
            <w:tcBorders>
              <w:top w:val="nil"/>
              <w:left w:val="nil"/>
              <w:bottom w:val="single" w:sz="4" w:space="0" w:color="auto"/>
              <w:right w:val="single" w:sz="4" w:space="0" w:color="auto"/>
            </w:tcBorders>
            <w:shd w:val="clear" w:color="auto" w:fill="auto"/>
            <w:noWrap/>
            <w:vAlign w:val="center"/>
            <w:hideMark/>
          </w:tcPr>
          <w:p w14:paraId="40ED1B0D" w14:textId="762E0CB4"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1 273,3</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63339497" w14:textId="2069AA98" w:rsidR="005C6D02" w:rsidRPr="007C4388" w:rsidRDefault="005C6D02" w:rsidP="005C6D02">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1 470,7</w:t>
            </w:r>
          </w:p>
        </w:tc>
        <w:tc>
          <w:tcPr>
            <w:tcW w:w="909" w:type="dxa"/>
            <w:tcBorders>
              <w:top w:val="nil"/>
              <w:left w:val="nil"/>
              <w:bottom w:val="single" w:sz="4" w:space="0" w:color="auto"/>
              <w:right w:val="single" w:sz="4" w:space="0" w:color="auto"/>
            </w:tcBorders>
            <w:shd w:val="clear" w:color="auto" w:fill="auto"/>
            <w:noWrap/>
            <w:vAlign w:val="center"/>
            <w:hideMark/>
          </w:tcPr>
          <w:p w14:paraId="4CD86103" w14:textId="41783743"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2 082,5</w:t>
            </w:r>
          </w:p>
        </w:tc>
        <w:tc>
          <w:tcPr>
            <w:tcW w:w="910" w:type="dxa"/>
            <w:tcBorders>
              <w:top w:val="nil"/>
              <w:left w:val="nil"/>
              <w:bottom w:val="single" w:sz="4" w:space="0" w:color="auto"/>
              <w:right w:val="single" w:sz="4" w:space="0" w:color="auto"/>
            </w:tcBorders>
            <w:shd w:val="clear" w:color="auto" w:fill="auto"/>
            <w:noWrap/>
            <w:vAlign w:val="center"/>
            <w:hideMark/>
          </w:tcPr>
          <w:p w14:paraId="240E891B" w14:textId="5C2CAD70"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2 140,0</w:t>
            </w:r>
          </w:p>
        </w:tc>
        <w:tc>
          <w:tcPr>
            <w:tcW w:w="911" w:type="dxa"/>
            <w:tcBorders>
              <w:top w:val="nil"/>
              <w:left w:val="nil"/>
              <w:bottom w:val="single" w:sz="4" w:space="0" w:color="auto"/>
              <w:right w:val="single" w:sz="4" w:space="0" w:color="auto"/>
            </w:tcBorders>
            <w:shd w:val="clear" w:color="auto" w:fill="auto"/>
            <w:noWrap/>
            <w:vAlign w:val="center"/>
            <w:hideMark/>
          </w:tcPr>
          <w:p w14:paraId="5CAEA28E" w14:textId="58EBC853" w:rsidR="005C6D02" w:rsidRPr="005C6D02" w:rsidRDefault="005C6D02" w:rsidP="005C6D02">
            <w:pPr>
              <w:spacing w:before="0" w:after="0"/>
              <w:ind w:firstLine="0"/>
              <w:contextualSpacing/>
              <w:jc w:val="right"/>
              <w:rPr>
                <w:rFonts w:eastAsia="Times New Roman" w:cs="Times New Roman"/>
                <w:sz w:val="16"/>
                <w:szCs w:val="16"/>
                <w:highlight w:val="yellow"/>
                <w:lang w:eastAsia="lv-LV"/>
              </w:rPr>
            </w:pPr>
            <w:r w:rsidRPr="005C6D02">
              <w:rPr>
                <w:sz w:val="16"/>
                <w:szCs w:val="16"/>
              </w:rPr>
              <w:t>2 090,1</w:t>
            </w:r>
          </w:p>
        </w:tc>
      </w:tr>
      <w:tr w:rsidR="00D71818" w:rsidRPr="005A3253" w14:paraId="2C6AFD00" w14:textId="77777777" w:rsidTr="005C6D02">
        <w:trPr>
          <w:trHeight w:val="133"/>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191A6B05" w14:textId="77777777" w:rsidR="00D71818" w:rsidRPr="007C4388" w:rsidRDefault="00D71818" w:rsidP="00D71818">
            <w:pPr>
              <w:spacing w:before="0" w:after="0"/>
              <w:ind w:firstLine="0"/>
              <w:contextualSpacing/>
              <w:jc w:val="left"/>
              <w:rPr>
                <w:rFonts w:eastAsia="Times New Roman" w:cs="Times New Roman"/>
                <w:b/>
                <w:bCs/>
                <w:sz w:val="16"/>
                <w:szCs w:val="16"/>
                <w:lang w:eastAsia="lv-LV"/>
              </w:rPr>
            </w:pPr>
            <w:r w:rsidRPr="007C4388">
              <w:rPr>
                <w:rFonts w:eastAsia="Times New Roman" w:cs="Times New Roman"/>
                <w:b/>
                <w:bCs/>
                <w:sz w:val="16"/>
                <w:szCs w:val="16"/>
                <w:lang w:eastAsia="lv-LV"/>
              </w:rPr>
              <w:t>VALSTS SPECIĀLĀ BUDŽETA BILANCE</w:t>
            </w:r>
          </w:p>
        </w:tc>
        <w:tc>
          <w:tcPr>
            <w:tcW w:w="904" w:type="dxa"/>
            <w:tcBorders>
              <w:top w:val="nil"/>
              <w:left w:val="nil"/>
              <w:bottom w:val="single" w:sz="4" w:space="0" w:color="auto"/>
              <w:right w:val="single" w:sz="4" w:space="0" w:color="auto"/>
            </w:tcBorders>
            <w:shd w:val="clear" w:color="000000" w:fill="FFFFFF"/>
            <w:noWrap/>
            <w:vAlign w:val="center"/>
            <w:hideMark/>
          </w:tcPr>
          <w:p w14:paraId="25886AF2" w14:textId="08B9DDBA"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i/>
                <w:iCs/>
                <w:sz w:val="16"/>
                <w:szCs w:val="16"/>
              </w:rPr>
              <w:t>299,6</w:t>
            </w:r>
          </w:p>
        </w:tc>
        <w:tc>
          <w:tcPr>
            <w:tcW w:w="910" w:type="dxa"/>
            <w:tcBorders>
              <w:top w:val="nil"/>
              <w:left w:val="nil"/>
              <w:bottom w:val="single" w:sz="4" w:space="0" w:color="auto"/>
              <w:right w:val="single" w:sz="4" w:space="0" w:color="auto"/>
            </w:tcBorders>
            <w:shd w:val="clear" w:color="auto" w:fill="auto"/>
            <w:noWrap/>
            <w:vAlign w:val="center"/>
            <w:hideMark/>
          </w:tcPr>
          <w:p w14:paraId="7D7B8E5E" w14:textId="73428F34"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114,9</w:t>
            </w:r>
          </w:p>
        </w:tc>
        <w:tc>
          <w:tcPr>
            <w:tcW w:w="909" w:type="dxa"/>
            <w:tcBorders>
              <w:top w:val="nil"/>
              <w:left w:val="nil"/>
              <w:bottom w:val="single" w:sz="4" w:space="0" w:color="auto"/>
              <w:right w:val="single" w:sz="4" w:space="0" w:color="auto"/>
            </w:tcBorders>
            <w:shd w:val="clear" w:color="auto" w:fill="auto"/>
            <w:noWrap/>
            <w:vAlign w:val="center"/>
            <w:hideMark/>
          </w:tcPr>
          <w:p w14:paraId="08119ECB" w14:textId="57795FCC"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200,5</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270581ED" w14:textId="191371C0"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347,9</w:t>
            </w:r>
          </w:p>
        </w:tc>
        <w:tc>
          <w:tcPr>
            <w:tcW w:w="909" w:type="dxa"/>
            <w:tcBorders>
              <w:top w:val="nil"/>
              <w:left w:val="nil"/>
              <w:bottom w:val="single" w:sz="4" w:space="0" w:color="auto"/>
              <w:right w:val="single" w:sz="4" w:space="0" w:color="auto"/>
            </w:tcBorders>
            <w:shd w:val="clear" w:color="auto" w:fill="auto"/>
            <w:noWrap/>
            <w:vAlign w:val="center"/>
            <w:hideMark/>
          </w:tcPr>
          <w:p w14:paraId="19563312" w14:textId="7C2EC0D5" w:rsidR="00D71818" w:rsidRPr="005C6D02" w:rsidRDefault="00D71818" w:rsidP="00D71818">
            <w:pPr>
              <w:spacing w:before="0" w:after="0"/>
              <w:ind w:firstLine="0"/>
              <w:contextualSpacing/>
              <w:jc w:val="right"/>
              <w:rPr>
                <w:rFonts w:eastAsia="Times New Roman" w:cs="Times New Roman"/>
                <w:b/>
                <w:bCs/>
                <w:sz w:val="16"/>
                <w:szCs w:val="16"/>
                <w:highlight w:val="yellow"/>
                <w:lang w:eastAsia="lv-LV"/>
              </w:rPr>
            </w:pPr>
            <w:r w:rsidRPr="005C6D02">
              <w:rPr>
                <w:rFonts w:cs="Times New Roman"/>
                <w:b/>
                <w:bCs/>
                <w:sz w:val="16"/>
                <w:szCs w:val="16"/>
              </w:rPr>
              <w:t>91,1</w:t>
            </w:r>
          </w:p>
        </w:tc>
        <w:tc>
          <w:tcPr>
            <w:tcW w:w="910" w:type="dxa"/>
            <w:tcBorders>
              <w:top w:val="nil"/>
              <w:left w:val="nil"/>
              <w:bottom w:val="single" w:sz="4" w:space="0" w:color="auto"/>
              <w:right w:val="single" w:sz="4" w:space="0" w:color="auto"/>
            </w:tcBorders>
            <w:shd w:val="clear" w:color="auto" w:fill="auto"/>
            <w:noWrap/>
            <w:vAlign w:val="center"/>
            <w:hideMark/>
          </w:tcPr>
          <w:p w14:paraId="1AF20871" w14:textId="6880B3AC" w:rsidR="00D71818" w:rsidRPr="005C6D02" w:rsidRDefault="00D71818" w:rsidP="00D71818">
            <w:pPr>
              <w:spacing w:before="0" w:after="0"/>
              <w:ind w:firstLine="0"/>
              <w:contextualSpacing/>
              <w:jc w:val="right"/>
              <w:rPr>
                <w:rFonts w:eastAsia="Times New Roman" w:cs="Times New Roman"/>
                <w:b/>
                <w:bCs/>
                <w:sz w:val="16"/>
                <w:szCs w:val="16"/>
                <w:highlight w:val="yellow"/>
                <w:lang w:eastAsia="lv-LV"/>
              </w:rPr>
            </w:pPr>
            <w:r w:rsidRPr="005C6D02">
              <w:rPr>
                <w:rFonts w:cs="Times New Roman"/>
                <w:b/>
                <w:bCs/>
                <w:sz w:val="16"/>
                <w:szCs w:val="16"/>
              </w:rPr>
              <w:t>99,4</w:t>
            </w:r>
          </w:p>
        </w:tc>
        <w:tc>
          <w:tcPr>
            <w:tcW w:w="911" w:type="dxa"/>
            <w:tcBorders>
              <w:top w:val="nil"/>
              <w:left w:val="nil"/>
              <w:bottom w:val="single" w:sz="4" w:space="0" w:color="auto"/>
              <w:right w:val="single" w:sz="4" w:space="0" w:color="auto"/>
            </w:tcBorders>
            <w:shd w:val="clear" w:color="auto" w:fill="auto"/>
            <w:noWrap/>
            <w:vAlign w:val="center"/>
            <w:hideMark/>
          </w:tcPr>
          <w:p w14:paraId="523A94CA" w14:textId="540BF631" w:rsidR="00D71818" w:rsidRPr="005C6D02" w:rsidRDefault="00D71818" w:rsidP="00D71818">
            <w:pPr>
              <w:spacing w:before="0" w:after="0"/>
              <w:ind w:firstLine="0"/>
              <w:contextualSpacing/>
              <w:jc w:val="right"/>
              <w:rPr>
                <w:rFonts w:eastAsia="Times New Roman" w:cs="Times New Roman"/>
                <w:b/>
                <w:bCs/>
                <w:sz w:val="16"/>
                <w:szCs w:val="16"/>
                <w:highlight w:val="yellow"/>
                <w:lang w:eastAsia="lv-LV"/>
              </w:rPr>
            </w:pPr>
            <w:r w:rsidRPr="005C6D02">
              <w:rPr>
                <w:rFonts w:cs="Times New Roman"/>
                <w:b/>
                <w:bCs/>
                <w:sz w:val="16"/>
                <w:szCs w:val="16"/>
              </w:rPr>
              <w:t>60,6</w:t>
            </w:r>
          </w:p>
        </w:tc>
      </w:tr>
      <w:tr w:rsidR="00D71818" w:rsidRPr="005A3253" w14:paraId="63C6E30C"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1F78A6E5" w14:textId="77777777" w:rsidR="00D71818" w:rsidRPr="007C4388" w:rsidRDefault="00D71818" w:rsidP="00D71818">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Ieņēmumi</w:t>
            </w:r>
          </w:p>
        </w:tc>
        <w:tc>
          <w:tcPr>
            <w:tcW w:w="904" w:type="dxa"/>
            <w:tcBorders>
              <w:top w:val="nil"/>
              <w:left w:val="nil"/>
              <w:bottom w:val="single" w:sz="4" w:space="0" w:color="auto"/>
              <w:right w:val="single" w:sz="4" w:space="0" w:color="auto"/>
            </w:tcBorders>
            <w:shd w:val="clear" w:color="000000" w:fill="FFFFFF"/>
            <w:noWrap/>
            <w:vAlign w:val="center"/>
            <w:hideMark/>
          </w:tcPr>
          <w:p w14:paraId="72A75403" w14:textId="4DDA2BB4"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i/>
                <w:iCs/>
                <w:sz w:val="16"/>
                <w:szCs w:val="16"/>
              </w:rPr>
              <w:t>3 050,3</w:t>
            </w:r>
          </w:p>
        </w:tc>
        <w:tc>
          <w:tcPr>
            <w:tcW w:w="910" w:type="dxa"/>
            <w:tcBorders>
              <w:top w:val="nil"/>
              <w:left w:val="nil"/>
              <w:bottom w:val="single" w:sz="4" w:space="0" w:color="auto"/>
              <w:right w:val="single" w:sz="4" w:space="0" w:color="auto"/>
            </w:tcBorders>
            <w:shd w:val="clear" w:color="auto" w:fill="auto"/>
            <w:noWrap/>
            <w:vAlign w:val="center"/>
            <w:hideMark/>
          </w:tcPr>
          <w:p w14:paraId="184EF978" w14:textId="2C2E8D79"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3 107,6</w:t>
            </w:r>
          </w:p>
        </w:tc>
        <w:tc>
          <w:tcPr>
            <w:tcW w:w="909" w:type="dxa"/>
            <w:tcBorders>
              <w:top w:val="nil"/>
              <w:left w:val="nil"/>
              <w:bottom w:val="single" w:sz="4" w:space="0" w:color="auto"/>
              <w:right w:val="single" w:sz="4" w:space="0" w:color="auto"/>
            </w:tcBorders>
            <w:shd w:val="clear" w:color="auto" w:fill="auto"/>
            <w:noWrap/>
            <w:vAlign w:val="center"/>
            <w:hideMark/>
          </w:tcPr>
          <w:p w14:paraId="28C5262B" w14:textId="4EC4B9C2"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3 410,1</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2E561497" w14:textId="4DF01766"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3 948,0</w:t>
            </w:r>
          </w:p>
        </w:tc>
        <w:tc>
          <w:tcPr>
            <w:tcW w:w="909" w:type="dxa"/>
            <w:tcBorders>
              <w:top w:val="nil"/>
              <w:left w:val="nil"/>
              <w:bottom w:val="single" w:sz="4" w:space="0" w:color="auto"/>
              <w:right w:val="single" w:sz="4" w:space="0" w:color="auto"/>
            </w:tcBorders>
            <w:shd w:val="clear" w:color="auto" w:fill="auto"/>
            <w:noWrap/>
            <w:vAlign w:val="center"/>
            <w:hideMark/>
          </w:tcPr>
          <w:p w14:paraId="3760BDF2" w14:textId="3F3531BD"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4 174,0</w:t>
            </w:r>
          </w:p>
        </w:tc>
        <w:tc>
          <w:tcPr>
            <w:tcW w:w="910" w:type="dxa"/>
            <w:tcBorders>
              <w:top w:val="nil"/>
              <w:left w:val="nil"/>
              <w:bottom w:val="single" w:sz="4" w:space="0" w:color="auto"/>
              <w:right w:val="single" w:sz="4" w:space="0" w:color="auto"/>
            </w:tcBorders>
            <w:shd w:val="clear" w:color="auto" w:fill="auto"/>
            <w:noWrap/>
            <w:vAlign w:val="center"/>
            <w:hideMark/>
          </w:tcPr>
          <w:p w14:paraId="1563C5A2" w14:textId="0C36E209"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4 417,2</w:t>
            </w:r>
          </w:p>
        </w:tc>
        <w:tc>
          <w:tcPr>
            <w:tcW w:w="911" w:type="dxa"/>
            <w:tcBorders>
              <w:top w:val="nil"/>
              <w:left w:val="nil"/>
              <w:bottom w:val="single" w:sz="4" w:space="0" w:color="auto"/>
              <w:right w:val="single" w:sz="4" w:space="0" w:color="auto"/>
            </w:tcBorders>
            <w:shd w:val="clear" w:color="auto" w:fill="auto"/>
            <w:noWrap/>
            <w:vAlign w:val="center"/>
            <w:hideMark/>
          </w:tcPr>
          <w:p w14:paraId="2FA18DBA" w14:textId="3F8738DA"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4 628,5</w:t>
            </w:r>
          </w:p>
        </w:tc>
      </w:tr>
      <w:tr w:rsidR="00D71818" w:rsidRPr="005A3253" w14:paraId="69714C7C"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60013254" w14:textId="77777777" w:rsidR="00D71818" w:rsidRPr="007C4388" w:rsidRDefault="00D71818" w:rsidP="00D71818">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Izdevumi</w:t>
            </w:r>
          </w:p>
        </w:tc>
        <w:tc>
          <w:tcPr>
            <w:tcW w:w="904" w:type="dxa"/>
            <w:tcBorders>
              <w:top w:val="nil"/>
              <w:left w:val="nil"/>
              <w:bottom w:val="single" w:sz="4" w:space="0" w:color="auto"/>
              <w:right w:val="single" w:sz="4" w:space="0" w:color="auto"/>
            </w:tcBorders>
            <w:shd w:val="clear" w:color="000000" w:fill="FFFFFF"/>
            <w:noWrap/>
            <w:vAlign w:val="center"/>
            <w:hideMark/>
          </w:tcPr>
          <w:p w14:paraId="28F49ABB" w14:textId="38E13F10"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i/>
                <w:iCs/>
                <w:sz w:val="16"/>
                <w:szCs w:val="16"/>
              </w:rPr>
              <w:t>2 750,8</w:t>
            </w:r>
          </w:p>
        </w:tc>
        <w:tc>
          <w:tcPr>
            <w:tcW w:w="910" w:type="dxa"/>
            <w:tcBorders>
              <w:top w:val="nil"/>
              <w:left w:val="nil"/>
              <w:bottom w:val="single" w:sz="4" w:space="0" w:color="auto"/>
              <w:right w:val="single" w:sz="4" w:space="0" w:color="auto"/>
            </w:tcBorders>
            <w:shd w:val="clear" w:color="auto" w:fill="auto"/>
            <w:noWrap/>
            <w:vAlign w:val="center"/>
            <w:hideMark/>
          </w:tcPr>
          <w:p w14:paraId="4AE0C615" w14:textId="29B4A357"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2 992,6</w:t>
            </w:r>
          </w:p>
        </w:tc>
        <w:tc>
          <w:tcPr>
            <w:tcW w:w="909" w:type="dxa"/>
            <w:tcBorders>
              <w:top w:val="nil"/>
              <w:left w:val="nil"/>
              <w:bottom w:val="single" w:sz="4" w:space="0" w:color="auto"/>
              <w:right w:val="single" w:sz="4" w:space="0" w:color="auto"/>
            </w:tcBorders>
            <w:shd w:val="clear" w:color="auto" w:fill="auto"/>
            <w:noWrap/>
            <w:vAlign w:val="center"/>
            <w:hideMark/>
          </w:tcPr>
          <w:p w14:paraId="2C1BFEC7" w14:textId="00AAB863"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3 209,6</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4909E864" w14:textId="623FFEC2"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3 600,1</w:t>
            </w:r>
          </w:p>
        </w:tc>
        <w:tc>
          <w:tcPr>
            <w:tcW w:w="909" w:type="dxa"/>
            <w:tcBorders>
              <w:top w:val="nil"/>
              <w:left w:val="nil"/>
              <w:bottom w:val="single" w:sz="4" w:space="0" w:color="auto"/>
              <w:right w:val="single" w:sz="4" w:space="0" w:color="auto"/>
            </w:tcBorders>
            <w:shd w:val="clear" w:color="auto" w:fill="auto"/>
            <w:noWrap/>
            <w:vAlign w:val="center"/>
            <w:hideMark/>
          </w:tcPr>
          <w:p w14:paraId="1C2524D7" w14:textId="17F92560"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4 082,8</w:t>
            </w:r>
          </w:p>
        </w:tc>
        <w:tc>
          <w:tcPr>
            <w:tcW w:w="910" w:type="dxa"/>
            <w:tcBorders>
              <w:top w:val="nil"/>
              <w:left w:val="nil"/>
              <w:bottom w:val="single" w:sz="4" w:space="0" w:color="auto"/>
              <w:right w:val="single" w:sz="4" w:space="0" w:color="auto"/>
            </w:tcBorders>
            <w:shd w:val="clear" w:color="auto" w:fill="auto"/>
            <w:noWrap/>
            <w:vAlign w:val="center"/>
            <w:hideMark/>
          </w:tcPr>
          <w:p w14:paraId="5802FDC8" w14:textId="56F65B6F"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4 317,8</w:t>
            </w:r>
          </w:p>
        </w:tc>
        <w:tc>
          <w:tcPr>
            <w:tcW w:w="911" w:type="dxa"/>
            <w:tcBorders>
              <w:top w:val="nil"/>
              <w:left w:val="nil"/>
              <w:bottom w:val="single" w:sz="4" w:space="0" w:color="auto"/>
              <w:right w:val="single" w:sz="4" w:space="0" w:color="auto"/>
            </w:tcBorders>
            <w:shd w:val="clear" w:color="auto" w:fill="auto"/>
            <w:noWrap/>
            <w:vAlign w:val="center"/>
            <w:hideMark/>
          </w:tcPr>
          <w:p w14:paraId="05CECBE9" w14:textId="66DE2D1D"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4 567,9</w:t>
            </w:r>
          </w:p>
        </w:tc>
      </w:tr>
      <w:tr w:rsidR="00D71818" w:rsidRPr="005A3253" w14:paraId="1FC2A317" w14:textId="77777777" w:rsidTr="005C6D02">
        <w:trPr>
          <w:trHeight w:val="368"/>
          <w:tblHeader/>
          <w:jc w:val="center"/>
        </w:trPr>
        <w:tc>
          <w:tcPr>
            <w:tcW w:w="3335" w:type="dxa"/>
            <w:tcBorders>
              <w:top w:val="nil"/>
              <w:left w:val="single" w:sz="4" w:space="0" w:color="auto"/>
              <w:bottom w:val="single" w:sz="4" w:space="0" w:color="auto"/>
              <w:right w:val="single" w:sz="4" w:space="0" w:color="auto"/>
            </w:tcBorders>
            <w:shd w:val="clear" w:color="auto" w:fill="auto"/>
            <w:vAlign w:val="center"/>
            <w:hideMark/>
          </w:tcPr>
          <w:p w14:paraId="3A901CA5" w14:textId="77777777" w:rsidR="00D71818" w:rsidRPr="007C4388" w:rsidRDefault="00D71818" w:rsidP="00D71818">
            <w:pPr>
              <w:spacing w:before="0" w:after="0"/>
              <w:ind w:firstLine="0"/>
              <w:contextualSpacing/>
              <w:jc w:val="left"/>
              <w:rPr>
                <w:rFonts w:eastAsia="Times New Roman" w:cs="Times New Roman"/>
                <w:b/>
                <w:bCs/>
                <w:sz w:val="16"/>
                <w:szCs w:val="16"/>
                <w:lang w:eastAsia="lv-LV"/>
              </w:rPr>
            </w:pPr>
            <w:r w:rsidRPr="007C4388">
              <w:rPr>
                <w:rFonts w:eastAsia="Times New Roman" w:cs="Times New Roman"/>
                <w:b/>
                <w:bCs/>
                <w:sz w:val="16"/>
                <w:szCs w:val="16"/>
                <w:lang w:eastAsia="lv-LV"/>
              </w:rPr>
              <w:t>ATVAS. PUBL. PERS. BUDŽETA BILANCE</w:t>
            </w:r>
          </w:p>
        </w:tc>
        <w:tc>
          <w:tcPr>
            <w:tcW w:w="904" w:type="dxa"/>
            <w:tcBorders>
              <w:top w:val="nil"/>
              <w:left w:val="nil"/>
              <w:bottom w:val="single" w:sz="4" w:space="0" w:color="auto"/>
              <w:right w:val="single" w:sz="4" w:space="0" w:color="auto"/>
            </w:tcBorders>
            <w:shd w:val="clear" w:color="000000" w:fill="FFFFFF"/>
            <w:noWrap/>
            <w:vAlign w:val="center"/>
            <w:hideMark/>
          </w:tcPr>
          <w:p w14:paraId="45A7B97D" w14:textId="5D062CD2"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i/>
                <w:iCs/>
                <w:sz w:val="16"/>
                <w:szCs w:val="16"/>
              </w:rPr>
              <w:t>17,7</w:t>
            </w:r>
          </w:p>
        </w:tc>
        <w:tc>
          <w:tcPr>
            <w:tcW w:w="910" w:type="dxa"/>
            <w:tcBorders>
              <w:top w:val="nil"/>
              <w:left w:val="nil"/>
              <w:bottom w:val="single" w:sz="4" w:space="0" w:color="auto"/>
              <w:right w:val="single" w:sz="4" w:space="0" w:color="auto"/>
            </w:tcBorders>
            <w:shd w:val="clear" w:color="auto" w:fill="auto"/>
            <w:noWrap/>
            <w:vAlign w:val="center"/>
            <w:hideMark/>
          </w:tcPr>
          <w:p w14:paraId="4E83B831" w14:textId="7D01FEC2"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17,5</w:t>
            </w:r>
          </w:p>
        </w:tc>
        <w:tc>
          <w:tcPr>
            <w:tcW w:w="909" w:type="dxa"/>
            <w:tcBorders>
              <w:top w:val="nil"/>
              <w:left w:val="nil"/>
              <w:bottom w:val="single" w:sz="4" w:space="0" w:color="auto"/>
              <w:right w:val="single" w:sz="4" w:space="0" w:color="auto"/>
            </w:tcBorders>
            <w:shd w:val="clear" w:color="auto" w:fill="auto"/>
            <w:noWrap/>
            <w:vAlign w:val="center"/>
            <w:hideMark/>
          </w:tcPr>
          <w:p w14:paraId="2E3E0A17" w14:textId="5726B47E"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26,1</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1D15E97A" w14:textId="7BD94BFC"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43,4</w:t>
            </w:r>
          </w:p>
        </w:tc>
        <w:tc>
          <w:tcPr>
            <w:tcW w:w="909" w:type="dxa"/>
            <w:tcBorders>
              <w:top w:val="nil"/>
              <w:left w:val="nil"/>
              <w:bottom w:val="single" w:sz="4" w:space="0" w:color="auto"/>
              <w:right w:val="single" w:sz="4" w:space="0" w:color="auto"/>
            </w:tcBorders>
            <w:shd w:val="clear" w:color="auto" w:fill="auto"/>
            <w:noWrap/>
            <w:vAlign w:val="center"/>
            <w:hideMark/>
          </w:tcPr>
          <w:p w14:paraId="6CAAADFB" w14:textId="20CA3391" w:rsidR="00D71818" w:rsidRPr="005C6D02" w:rsidRDefault="00D71818" w:rsidP="00D71818">
            <w:pPr>
              <w:spacing w:before="0" w:after="0"/>
              <w:ind w:firstLine="0"/>
              <w:contextualSpacing/>
              <w:jc w:val="right"/>
              <w:rPr>
                <w:rFonts w:eastAsia="Times New Roman" w:cs="Times New Roman"/>
                <w:b/>
                <w:bCs/>
                <w:sz w:val="16"/>
                <w:szCs w:val="16"/>
                <w:highlight w:val="yellow"/>
                <w:lang w:eastAsia="lv-LV"/>
              </w:rPr>
            </w:pPr>
            <w:r w:rsidRPr="005C6D02">
              <w:rPr>
                <w:rFonts w:cs="Times New Roman"/>
                <w:b/>
                <w:bCs/>
                <w:sz w:val="16"/>
                <w:szCs w:val="16"/>
              </w:rPr>
              <w:t>-5,7</w:t>
            </w:r>
          </w:p>
        </w:tc>
        <w:tc>
          <w:tcPr>
            <w:tcW w:w="910" w:type="dxa"/>
            <w:tcBorders>
              <w:top w:val="nil"/>
              <w:left w:val="nil"/>
              <w:bottom w:val="single" w:sz="4" w:space="0" w:color="auto"/>
              <w:right w:val="single" w:sz="4" w:space="0" w:color="auto"/>
            </w:tcBorders>
            <w:shd w:val="clear" w:color="auto" w:fill="auto"/>
            <w:noWrap/>
            <w:vAlign w:val="center"/>
            <w:hideMark/>
          </w:tcPr>
          <w:p w14:paraId="6AE16D05" w14:textId="2A5F5C28" w:rsidR="00D71818" w:rsidRPr="005C6D02" w:rsidRDefault="00D71818" w:rsidP="00D71818">
            <w:pPr>
              <w:spacing w:before="0" w:after="0"/>
              <w:ind w:firstLine="0"/>
              <w:contextualSpacing/>
              <w:jc w:val="right"/>
              <w:rPr>
                <w:rFonts w:eastAsia="Times New Roman" w:cs="Times New Roman"/>
                <w:b/>
                <w:bCs/>
                <w:sz w:val="16"/>
                <w:szCs w:val="16"/>
                <w:highlight w:val="yellow"/>
                <w:lang w:eastAsia="lv-LV"/>
              </w:rPr>
            </w:pPr>
            <w:r w:rsidRPr="005C6D02">
              <w:rPr>
                <w:rFonts w:cs="Times New Roman"/>
                <w:b/>
                <w:bCs/>
                <w:sz w:val="16"/>
                <w:szCs w:val="16"/>
              </w:rPr>
              <w:t>-9,2</w:t>
            </w:r>
          </w:p>
        </w:tc>
        <w:tc>
          <w:tcPr>
            <w:tcW w:w="911" w:type="dxa"/>
            <w:tcBorders>
              <w:top w:val="nil"/>
              <w:left w:val="nil"/>
              <w:bottom w:val="single" w:sz="4" w:space="0" w:color="auto"/>
              <w:right w:val="single" w:sz="4" w:space="0" w:color="auto"/>
            </w:tcBorders>
            <w:shd w:val="clear" w:color="auto" w:fill="auto"/>
            <w:noWrap/>
            <w:vAlign w:val="center"/>
            <w:hideMark/>
          </w:tcPr>
          <w:p w14:paraId="652035F3" w14:textId="08429690" w:rsidR="00D71818" w:rsidRPr="005C6D02" w:rsidRDefault="00D71818" w:rsidP="00D71818">
            <w:pPr>
              <w:spacing w:before="0" w:after="0"/>
              <w:ind w:firstLine="0"/>
              <w:contextualSpacing/>
              <w:jc w:val="right"/>
              <w:rPr>
                <w:rFonts w:eastAsia="Times New Roman" w:cs="Times New Roman"/>
                <w:b/>
                <w:bCs/>
                <w:sz w:val="16"/>
                <w:szCs w:val="16"/>
                <w:highlight w:val="yellow"/>
                <w:lang w:eastAsia="lv-LV"/>
              </w:rPr>
            </w:pPr>
            <w:r w:rsidRPr="005C6D02">
              <w:rPr>
                <w:rFonts w:cs="Times New Roman"/>
                <w:b/>
                <w:bCs/>
                <w:sz w:val="16"/>
                <w:szCs w:val="16"/>
              </w:rPr>
              <w:t>-25,8</w:t>
            </w:r>
          </w:p>
        </w:tc>
      </w:tr>
      <w:tr w:rsidR="00D71818" w:rsidRPr="005A3253" w14:paraId="735CA27C"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08F76DD8" w14:textId="77777777" w:rsidR="00D71818" w:rsidRPr="007C4388" w:rsidRDefault="00D71818" w:rsidP="00D71818">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Ieņēmumi</w:t>
            </w:r>
          </w:p>
        </w:tc>
        <w:tc>
          <w:tcPr>
            <w:tcW w:w="904" w:type="dxa"/>
            <w:tcBorders>
              <w:top w:val="nil"/>
              <w:left w:val="nil"/>
              <w:bottom w:val="single" w:sz="4" w:space="0" w:color="auto"/>
              <w:right w:val="single" w:sz="4" w:space="0" w:color="auto"/>
            </w:tcBorders>
            <w:shd w:val="clear" w:color="000000" w:fill="FFFFFF"/>
            <w:noWrap/>
            <w:vAlign w:val="center"/>
            <w:hideMark/>
          </w:tcPr>
          <w:p w14:paraId="173DABB2" w14:textId="1F05E756"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i/>
                <w:iCs/>
                <w:sz w:val="16"/>
                <w:szCs w:val="16"/>
              </w:rPr>
              <w:t>458,7</w:t>
            </w:r>
          </w:p>
        </w:tc>
        <w:tc>
          <w:tcPr>
            <w:tcW w:w="910" w:type="dxa"/>
            <w:tcBorders>
              <w:top w:val="nil"/>
              <w:left w:val="nil"/>
              <w:bottom w:val="single" w:sz="4" w:space="0" w:color="auto"/>
              <w:right w:val="single" w:sz="4" w:space="0" w:color="auto"/>
            </w:tcBorders>
            <w:shd w:val="clear" w:color="auto" w:fill="auto"/>
            <w:noWrap/>
            <w:vAlign w:val="center"/>
            <w:hideMark/>
          </w:tcPr>
          <w:p w14:paraId="33F0964B" w14:textId="54910BB7"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460,6</w:t>
            </w:r>
          </w:p>
        </w:tc>
        <w:tc>
          <w:tcPr>
            <w:tcW w:w="909" w:type="dxa"/>
            <w:tcBorders>
              <w:top w:val="nil"/>
              <w:left w:val="nil"/>
              <w:bottom w:val="single" w:sz="4" w:space="0" w:color="auto"/>
              <w:right w:val="single" w:sz="4" w:space="0" w:color="auto"/>
            </w:tcBorders>
            <w:shd w:val="clear" w:color="auto" w:fill="auto"/>
            <w:noWrap/>
            <w:vAlign w:val="center"/>
            <w:hideMark/>
          </w:tcPr>
          <w:p w14:paraId="2FC291CA" w14:textId="24D9D88C"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508,0</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565FC45A" w14:textId="643BE56D"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577,7</w:t>
            </w:r>
          </w:p>
        </w:tc>
        <w:tc>
          <w:tcPr>
            <w:tcW w:w="909" w:type="dxa"/>
            <w:tcBorders>
              <w:top w:val="nil"/>
              <w:left w:val="nil"/>
              <w:bottom w:val="single" w:sz="4" w:space="0" w:color="auto"/>
              <w:right w:val="single" w:sz="4" w:space="0" w:color="auto"/>
            </w:tcBorders>
            <w:shd w:val="clear" w:color="auto" w:fill="auto"/>
            <w:noWrap/>
            <w:vAlign w:val="center"/>
            <w:hideMark/>
          </w:tcPr>
          <w:p w14:paraId="32FCA5F6" w14:textId="12A39983"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551,1</w:t>
            </w:r>
          </w:p>
        </w:tc>
        <w:tc>
          <w:tcPr>
            <w:tcW w:w="910" w:type="dxa"/>
            <w:tcBorders>
              <w:top w:val="nil"/>
              <w:left w:val="nil"/>
              <w:bottom w:val="single" w:sz="4" w:space="0" w:color="auto"/>
              <w:right w:val="single" w:sz="4" w:space="0" w:color="auto"/>
            </w:tcBorders>
            <w:shd w:val="clear" w:color="auto" w:fill="auto"/>
            <w:noWrap/>
            <w:vAlign w:val="center"/>
            <w:hideMark/>
          </w:tcPr>
          <w:p w14:paraId="21778C1C" w14:textId="57DF314A"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557,3</w:t>
            </w:r>
          </w:p>
        </w:tc>
        <w:tc>
          <w:tcPr>
            <w:tcW w:w="911" w:type="dxa"/>
            <w:tcBorders>
              <w:top w:val="nil"/>
              <w:left w:val="nil"/>
              <w:bottom w:val="single" w:sz="4" w:space="0" w:color="auto"/>
              <w:right w:val="single" w:sz="4" w:space="0" w:color="auto"/>
            </w:tcBorders>
            <w:shd w:val="clear" w:color="auto" w:fill="auto"/>
            <w:noWrap/>
            <w:vAlign w:val="center"/>
            <w:hideMark/>
          </w:tcPr>
          <w:p w14:paraId="0246DB6D" w14:textId="56B6DEED"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555,6</w:t>
            </w:r>
          </w:p>
        </w:tc>
      </w:tr>
      <w:tr w:rsidR="00D71818" w:rsidRPr="005A3253" w14:paraId="6245807B"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43D2709A" w14:textId="77777777" w:rsidR="00D71818" w:rsidRPr="007C4388" w:rsidRDefault="00D71818" w:rsidP="00D71818">
            <w:pPr>
              <w:spacing w:before="0" w:after="0"/>
              <w:ind w:firstLine="0"/>
              <w:contextualSpacing/>
              <w:jc w:val="left"/>
              <w:rPr>
                <w:rFonts w:eastAsia="Times New Roman" w:cs="Times New Roman"/>
                <w:i/>
                <w:iCs/>
                <w:sz w:val="16"/>
                <w:szCs w:val="16"/>
                <w:lang w:eastAsia="lv-LV"/>
              </w:rPr>
            </w:pPr>
            <w:r w:rsidRPr="007C4388">
              <w:rPr>
                <w:rFonts w:eastAsia="Times New Roman" w:cs="Times New Roman"/>
                <w:i/>
                <w:iCs/>
                <w:sz w:val="16"/>
                <w:szCs w:val="16"/>
                <w:lang w:eastAsia="lv-LV"/>
              </w:rPr>
              <w:t>Izdevumi</w:t>
            </w:r>
          </w:p>
        </w:tc>
        <w:tc>
          <w:tcPr>
            <w:tcW w:w="904" w:type="dxa"/>
            <w:tcBorders>
              <w:top w:val="nil"/>
              <w:left w:val="nil"/>
              <w:bottom w:val="single" w:sz="4" w:space="0" w:color="auto"/>
              <w:right w:val="single" w:sz="4" w:space="0" w:color="auto"/>
            </w:tcBorders>
            <w:shd w:val="clear" w:color="000000" w:fill="FFFFFF"/>
            <w:noWrap/>
            <w:vAlign w:val="center"/>
            <w:hideMark/>
          </w:tcPr>
          <w:p w14:paraId="7B369098" w14:textId="6669390F"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i/>
                <w:iCs/>
                <w:sz w:val="16"/>
                <w:szCs w:val="16"/>
              </w:rPr>
              <w:t>441,0</w:t>
            </w:r>
          </w:p>
        </w:tc>
        <w:tc>
          <w:tcPr>
            <w:tcW w:w="910" w:type="dxa"/>
            <w:tcBorders>
              <w:top w:val="nil"/>
              <w:left w:val="nil"/>
              <w:bottom w:val="single" w:sz="4" w:space="0" w:color="auto"/>
              <w:right w:val="single" w:sz="4" w:space="0" w:color="auto"/>
            </w:tcBorders>
            <w:shd w:val="clear" w:color="auto" w:fill="auto"/>
            <w:noWrap/>
            <w:vAlign w:val="center"/>
            <w:hideMark/>
          </w:tcPr>
          <w:p w14:paraId="77561073" w14:textId="505DCC1E"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443,1</w:t>
            </w:r>
          </w:p>
        </w:tc>
        <w:tc>
          <w:tcPr>
            <w:tcW w:w="909" w:type="dxa"/>
            <w:tcBorders>
              <w:top w:val="nil"/>
              <w:left w:val="nil"/>
              <w:bottom w:val="single" w:sz="4" w:space="0" w:color="auto"/>
              <w:right w:val="single" w:sz="4" w:space="0" w:color="auto"/>
            </w:tcBorders>
            <w:shd w:val="clear" w:color="auto" w:fill="auto"/>
            <w:noWrap/>
            <w:vAlign w:val="center"/>
            <w:hideMark/>
          </w:tcPr>
          <w:p w14:paraId="3BC20815" w14:textId="11514221"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481,9</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1DBCF4A8" w14:textId="62953506"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534,4</w:t>
            </w:r>
          </w:p>
        </w:tc>
        <w:tc>
          <w:tcPr>
            <w:tcW w:w="909" w:type="dxa"/>
            <w:tcBorders>
              <w:top w:val="nil"/>
              <w:left w:val="nil"/>
              <w:bottom w:val="single" w:sz="4" w:space="0" w:color="auto"/>
              <w:right w:val="single" w:sz="4" w:space="0" w:color="auto"/>
            </w:tcBorders>
            <w:shd w:val="clear" w:color="auto" w:fill="auto"/>
            <w:noWrap/>
            <w:vAlign w:val="center"/>
            <w:hideMark/>
          </w:tcPr>
          <w:p w14:paraId="7502A180" w14:textId="15215F7D"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556,8</w:t>
            </w:r>
          </w:p>
        </w:tc>
        <w:tc>
          <w:tcPr>
            <w:tcW w:w="910" w:type="dxa"/>
            <w:tcBorders>
              <w:top w:val="nil"/>
              <w:left w:val="nil"/>
              <w:bottom w:val="single" w:sz="4" w:space="0" w:color="auto"/>
              <w:right w:val="single" w:sz="4" w:space="0" w:color="auto"/>
            </w:tcBorders>
            <w:shd w:val="clear" w:color="auto" w:fill="auto"/>
            <w:noWrap/>
            <w:vAlign w:val="center"/>
            <w:hideMark/>
          </w:tcPr>
          <w:p w14:paraId="00FAAEDA" w14:textId="3E4C8038"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566,5</w:t>
            </w:r>
          </w:p>
        </w:tc>
        <w:tc>
          <w:tcPr>
            <w:tcW w:w="911" w:type="dxa"/>
            <w:tcBorders>
              <w:top w:val="nil"/>
              <w:left w:val="nil"/>
              <w:bottom w:val="single" w:sz="4" w:space="0" w:color="auto"/>
              <w:right w:val="single" w:sz="4" w:space="0" w:color="auto"/>
            </w:tcBorders>
            <w:shd w:val="clear" w:color="auto" w:fill="auto"/>
            <w:noWrap/>
            <w:vAlign w:val="center"/>
            <w:hideMark/>
          </w:tcPr>
          <w:p w14:paraId="2C12A4B5" w14:textId="7D78E3C7"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581,5</w:t>
            </w:r>
          </w:p>
        </w:tc>
      </w:tr>
      <w:tr w:rsidR="00D71818" w:rsidRPr="005A3253" w14:paraId="053C4B39" w14:textId="77777777" w:rsidTr="005C6D02">
        <w:trPr>
          <w:trHeight w:val="196"/>
          <w:tblHeader/>
          <w:jc w:val="center"/>
        </w:trPr>
        <w:tc>
          <w:tcPr>
            <w:tcW w:w="3335"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F5ED407" w14:textId="77777777" w:rsidR="00D71818" w:rsidRPr="007C4388" w:rsidRDefault="00D71818" w:rsidP="00D71818">
            <w:pPr>
              <w:spacing w:before="0" w:after="0"/>
              <w:ind w:firstLine="0"/>
              <w:contextualSpacing/>
              <w:jc w:val="left"/>
              <w:rPr>
                <w:rFonts w:eastAsia="Times New Roman" w:cs="Times New Roman"/>
                <w:b/>
                <w:bCs/>
                <w:sz w:val="16"/>
                <w:szCs w:val="16"/>
                <w:lang w:eastAsia="lv-LV"/>
              </w:rPr>
            </w:pPr>
            <w:r w:rsidRPr="007C4388">
              <w:rPr>
                <w:rFonts w:eastAsia="Times New Roman" w:cs="Times New Roman"/>
                <w:b/>
                <w:bCs/>
                <w:sz w:val="16"/>
                <w:szCs w:val="16"/>
                <w:lang w:eastAsia="lv-LV"/>
              </w:rPr>
              <w:t>PAŠVALDĪBU BUDŽETA BILANCE</w:t>
            </w:r>
          </w:p>
        </w:tc>
        <w:tc>
          <w:tcPr>
            <w:tcW w:w="904" w:type="dxa"/>
            <w:tcBorders>
              <w:top w:val="nil"/>
              <w:left w:val="nil"/>
              <w:bottom w:val="single" w:sz="4" w:space="0" w:color="auto"/>
              <w:right w:val="single" w:sz="4" w:space="0" w:color="auto"/>
            </w:tcBorders>
            <w:shd w:val="clear" w:color="auto" w:fill="DEEAF6" w:themeFill="accent1" w:themeFillTint="33"/>
            <w:noWrap/>
            <w:vAlign w:val="center"/>
            <w:hideMark/>
          </w:tcPr>
          <w:p w14:paraId="13F8CA8A" w14:textId="747B28F8"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50,5</w:t>
            </w:r>
          </w:p>
        </w:tc>
        <w:tc>
          <w:tcPr>
            <w:tcW w:w="910" w:type="dxa"/>
            <w:tcBorders>
              <w:top w:val="nil"/>
              <w:left w:val="nil"/>
              <w:bottom w:val="single" w:sz="4" w:space="0" w:color="auto"/>
              <w:right w:val="single" w:sz="4" w:space="0" w:color="auto"/>
            </w:tcBorders>
            <w:shd w:val="clear" w:color="auto" w:fill="DEEAF6" w:themeFill="accent1" w:themeFillTint="33"/>
            <w:noWrap/>
            <w:vAlign w:val="center"/>
            <w:hideMark/>
          </w:tcPr>
          <w:p w14:paraId="4A7EDA3D" w14:textId="252FDD28"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-39,6</w:t>
            </w:r>
          </w:p>
        </w:tc>
        <w:tc>
          <w:tcPr>
            <w:tcW w:w="909" w:type="dxa"/>
            <w:tcBorders>
              <w:top w:val="nil"/>
              <w:left w:val="nil"/>
              <w:bottom w:val="single" w:sz="4" w:space="0" w:color="auto"/>
              <w:right w:val="single" w:sz="4" w:space="0" w:color="auto"/>
            </w:tcBorders>
            <w:shd w:val="clear" w:color="auto" w:fill="DEEAF6" w:themeFill="accent1" w:themeFillTint="33"/>
            <w:noWrap/>
            <w:vAlign w:val="center"/>
            <w:hideMark/>
          </w:tcPr>
          <w:p w14:paraId="7F872249" w14:textId="279EB83F"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-90,9</w:t>
            </w:r>
          </w:p>
        </w:tc>
        <w:tc>
          <w:tcPr>
            <w:tcW w:w="915" w:type="dxa"/>
            <w:gridSpan w:val="2"/>
            <w:tcBorders>
              <w:top w:val="nil"/>
              <w:left w:val="nil"/>
              <w:bottom w:val="single" w:sz="4" w:space="0" w:color="auto"/>
              <w:right w:val="single" w:sz="4" w:space="0" w:color="auto"/>
            </w:tcBorders>
            <w:shd w:val="clear" w:color="auto" w:fill="DEEAF6" w:themeFill="accent1" w:themeFillTint="33"/>
            <w:noWrap/>
            <w:vAlign w:val="center"/>
            <w:hideMark/>
          </w:tcPr>
          <w:p w14:paraId="7E3B3956" w14:textId="51C575FA" w:rsidR="00D71818" w:rsidRPr="007C4388" w:rsidRDefault="00D71818" w:rsidP="00D71818">
            <w:pPr>
              <w:spacing w:before="0" w:after="0"/>
              <w:ind w:firstLine="0"/>
              <w:contextualSpacing/>
              <w:jc w:val="right"/>
              <w:rPr>
                <w:rFonts w:eastAsia="Times New Roman" w:cs="Times New Roman"/>
                <w:b/>
                <w:bCs/>
                <w:sz w:val="16"/>
                <w:szCs w:val="16"/>
                <w:highlight w:val="yellow"/>
                <w:lang w:eastAsia="lv-LV"/>
              </w:rPr>
            </w:pPr>
            <w:r w:rsidRPr="007C4388">
              <w:rPr>
                <w:rFonts w:cs="Times New Roman"/>
                <w:b/>
                <w:bCs/>
                <w:sz w:val="16"/>
                <w:szCs w:val="16"/>
              </w:rPr>
              <w:t>105,1</w:t>
            </w:r>
          </w:p>
        </w:tc>
        <w:tc>
          <w:tcPr>
            <w:tcW w:w="909" w:type="dxa"/>
            <w:tcBorders>
              <w:top w:val="nil"/>
              <w:left w:val="nil"/>
              <w:bottom w:val="single" w:sz="4" w:space="0" w:color="auto"/>
              <w:right w:val="single" w:sz="4" w:space="0" w:color="auto"/>
            </w:tcBorders>
            <w:shd w:val="clear" w:color="auto" w:fill="DEEAF6" w:themeFill="accent1" w:themeFillTint="33"/>
            <w:noWrap/>
            <w:vAlign w:val="center"/>
            <w:hideMark/>
          </w:tcPr>
          <w:p w14:paraId="41138AF5" w14:textId="3A2A3867" w:rsidR="00D71818" w:rsidRPr="005C6D02" w:rsidRDefault="00D71818" w:rsidP="00D71818">
            <w:pPr>
              <w:spacing w:before="0" w:after="0"/>
              <w:ind w:firstLine="0"/>
              <w:contextualSpacing/>
              <w:jc w:val="right"/>
              <w:rPr>
                <w:rFonts w:eastAsia="Times New Roman" w:cs="Times New Roman"/>
                <w:b/>
                <w:bCs/>
                <w:sz w:val="16"/>
                <w:szCs w:val="16"/>
                <w:highlight w:val="yellow"/>
                <w:lang w:eastAsia="lv-LV"/>
              </w:rPr>
            </w:pPr>
            <w:r w:rsidRPr="005C6D02">
              <w:rPr>
                <w:rFonts w:cs="Times New Roman"/>
                <w:b/>
                <w:bCs/>
                <w:sz w:val="16"/>
                <w:szCs w:val="16"/>
              </w:rPr>
              <w:t>-41,7</w:t>
            </w:r>
          </w:p>
        </w:tc>
        <w:tc>
          <w:tcPr>
            <w:tcW w:w="910" w:type="dxa"/>
            <w:tcBorders>
              <w:top w:val="nil"/>
              <w:left w:val="nil"/>
              <w:bottom w:val="single" w:sz="4" w:space="0" w:color="auto"/>
              <w:right w:val="single" w:sz="4" w:space="0" w:color="auto"/>
            </w:tcBorders>
            <w:shd w:val="clear" w:color="auto" w:fill="DEEAF6" w:themeFill="accent1" w:themeFillTint="33"/>
            <w:noWrap/>
            <w:vAlign w:val="center"/>
            <w:hideMark/>
          </w:tcPr>
          <w:p w14:paraId="25C6B671" w14:textId="472401F7" w:rsidR="00D71818" w:rsidRPr="005C6D02" w:rsidRDefault="00D71818" w:rsidP="00D71818">
            <w:pPr>
              <w:spacing w:before="0" w:after="0"/>
              <w:ind w:firstLine="0"/>
              <w:contextualSpacing/>
              <w:jc w:val="right"/>
              <w:rPr>
                <w:rFonts w:eastAsia="Times New Roman" w:cs="Times New Roman"/>
                <w:b/>
                <w:bCs/>
                <w:sz w:val="16"/>
                <w:szCs w:val="16"/>
                <w:highlight w:val="yellow"/>
                <w:lang w:eastAsia="lv-LV"/>
              </w:rPr>
            </w:pPr>
            <w:r w:rsidRPr="005C6D02">
              <w:rPr>
                <w:rFonts w:cs="Times New Roman"/>
                <w:b/>
                <w:bCs/>
                <w:sz w:val="16"/>
                <w:szCs w:val="16"/>
              </w:rPr>
              <w:t>-44,5</w:t>
            </w:r>
          </w:p>
        </w:tc>
        <w:tc>
          <w:tcPr>
            <w:tcW w:w="911" w:type="dxa"/>
            <w:tcBorders>
              <w:top w:val="nil"/>
              <w:left w:val="nil"/>
              <w:bottom w:val="single" w:sz="4" w:space="0" w:color="auto"/>
              <w:right w:val="single" w:sz="4" w:space="0" w:color="auto"/>
            </w:tcBorders>
            <w:shd w:val="clear" w:color="auto" w:fill="DEEAF6" w:themeFill="accent1" w:themeFillTint="33"/>
            <w:noWrap/>
            <w:vAlign w:val="center"/>
            <w:hideMark/>
          </w:tcPr>
          <w:p w14:paraId="5351D3EF" w14:textId="12D06783" w:rsidR="00D71818" w:rsidRPr="005C6D02" w:rsidRDefault="00D71818" w:rsidP="00D71818">
            <w:pPr>
              <w:spacing w:before="0" w:after="0"/>
              <w:ind w:firstLine="0"/>
              <w:contextualSpacing/>
              <w:jc w:val="right"/>
              <w:rPr>
                <w:rFonts w:eastAsia="Times New Roman" w:cs="Times New Roman"/>
                <w:b/>
                <w:bCs/>
                <w:sz w:val="16"/>
                <w:szCs w:val="16"/>
                <w:highlight w:val="yellow"/>
                <w:lang w:eastAsia="lv-LV"/>
              </w:rPr>
            </w:pPr>
            <w:r w:rsidRPr="005C6D02">
              <w:rPr>
                <w:rFonts w:cs="Times New Roman"/>
                <w:b/>
                <w:bCs/>
                <w:sz w:val="16"/>
                <w:szCs w:val="16"/>
              </w:rPr>
              <w:t>-16,4</w:t>
            </w:r>
          </w:p>
        </w:tc>
      </w:tr>
      <w:tr w:rsidR="00D71818" w:rsidRPr="005A3253" w14:paraId="1B678428"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751E838C" w14:textId="77777777" w:rsidR="00D71818" w:rsidRPr="007C4388" w:rsidRDefault="00D71818" w:rsidP="00D71818">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Ieņēmumi</w:t>
            </w:r>
          </w:p>
        </w:tc>
        <w:tc>
          <w:tcPr>
            <w:tcW w:w="904" w:type="dxa"/>
            <w:tcBorders>
              <w:top w:val="nil"/>
              <w:left w:val="nil"/>
              <w:bottom w:val="single" w:sz="4" w:space="0" w:color="auto"/>
              <w:right w:val="single" w:sz="4" w:space="0" w:color="auto"/>
            </w:tcBorders>
            <w:shd w:val="clear" w:color="000000" w:fill="FFFFFF"/>
            <w:noWrap/>
            <w:vAlign w:val="center"/>
            <w:hideMark/>
          </w:tcPr>
          <w:p w14:paraId="2EA99AC1" w14:textId="4070B74F"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2 919,6</w:t>
            </w:r>
          </w:p>
        </w:tc>
        <w:tc>
          <w:tcPr>
            <w:tcW w:w="910" w:type="dxa"/>
            <w:tcBorders>
              <w:top w:val="nil"/>
              <w:left w:val="nil"/>
              <w:bottom w:val="single" w:sz="4" w:space="0" w:color="auto"/>
              <w:right w:val="single" w:sz="4" w:space="0" w:color="auto"/>
            </w:tcBorders>
            <w:shd w:val="clear" w:color="auto" w:fill="auto"/>
            <w:noWrap/>
            <w:vAlign w:val="center"/>
            <w:hideMark/>
          </w:tcPr>
          <w:p w14:paraId="3BA2B28F" w14:textId="75B1A05B"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2 816,5</w:t>
            </w:r>
          </w:p>
        </w:tc>
        <w:tc>
          <w:tcPr>
            <w:tcW w:w="909" w:type="dxa"/>
            <w:tcBorders>
              <w:top w:val="nil"/>
              <w:left w:val="nil"/>
              <w:bottom w:val="single" w:sz="4" w:space="0" w:color="auto"/>
              <w:right w:val="single" w:sz="4" w:space="0" w:color="auto"/>
            </w:tcBorders>
            <w:shd w:val="clear" w:color="auto" w:fill="auto"/>
            <w:noWrap/>
            <w:vAlign w:val="center"/>
            <w:hideMark/>
          </w:tcPr>
          <w:p w14:paraId="6BA8E69F" w14:textId="4F6522F0"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2 875,7</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49A45753" w14:textId="18D5E2C7"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3 251,3</w:t>
            </w:r>
          </w:p>
        </w:tc>
        <w:tc>
          <w:tcPr>
            <w:tcW w:w="909" w:type="dxa"/>
            <w:tcBorders>
              <w:top w:val="nil"/>
              <w:left w:val="nil"/>
              <w:bottom w:val="single" w:sz="4" w:space="0" w:color="auto"/>
              <w:right w:val="single" w:sz="4" w:space="0" w:color="auto"/>
            </w:tcBorders>
            <w:shd w:val="clear" w:color="auto" w:fill="auto"/>
            <w:noWrap/>
            <w:vAlign w:val="center"/>
            <w:hideMark/>
          </w:tcPr>
          <w:p w14:paraId="40B6E4D7" w14:textId="52A3F1E3"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3 315,2</w:t>
            </w:r>
          </w:p>
        </w:tc>
        <w:tc>
          <w:tcPr>
            <w:tcW w:w="910" w:type="dxa"/>
            <w:tcBorders>
              <w:top w:val="nil"/>
              <w:left w:val="nil"/>
              <w:bottom w:val="single" w:sz="4" w:space="0" w:color="auto"/>
              <w:right w:val="single" w:sz="4" w:space="0" w:color="auto"/>
            </w:tcBorders>
            <w:shd w:val="clear" w:color="auto" w:fill="auto"/>
            <w:noWrap/>
            <w:vAlign w:val="center"/>
            <w:hideMark/>
          </w:tcPr>
          <w:p w14:paraId="4375F634" w14:textId="2D7001B6"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3 315,2</w:t>
            </w:r>
          </w:p>
        </w:tc>
        <w:tc>
          <w:tcPr>
            <w:tcW w:w="911" w:type="dxa"/>
            <w:tcBorders>
              <w:top w:val="nil"/>
              <w:left w:val="nil"/>
              <w:bottom w:val="single" w:sz="4" w:space="0" w:color="auto"/>
              <w:right w:val="single" w:sz="4" w:space="0" w:color="auto"/>
            </w:tcBorders>
            <w:shd w:val="clear" w:color="auto" w:fill="auto"/>
            <w:noWrap/>
            <w:vAlign w:val="center"/>
            <w:hideMark/>
          </w:tcPr>
          <w:p w14:paraId="1F730A86" w14:textId="0A011532"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3 421,9</w:t>
            </w:r>
          </w:p>
        </w:tc>
      </w:tr>
      <w:tr w:rsidR="00D71818" w:rsidRPr="005A3253" w14:paraId="618E9A3C" w14:textId="77777777" w:rsidTr="005C6D02">
        <w:trPr>
          <w:trHeight w:val="187"/>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6D45C553" w14:textId="77777777" w:rsidR="00D71818" w:rsidRPr="007C4388" w:rsidRDefault="00D71818" w:rsidP="00D71818">
            <w:pPr>
              <w:spacing w:before="0" w:after="0"/>
              <w:ind w:firstLine="0"/>
              <w:contextualSpacing/>
              <w:jc w:val="left"/>
              <w:rPr>
                <w:rFonts w:eastAsia="Times New Roman" w:cs="Times New Roman"/>
                <w:sz w:val="16"/>
                <w:szCs w:val="16"/>
                <w:lang w:eastAsia="lv-LV"/>
              </w:rPr>
            </w:pPr>
            <w:r w:rsidRPr="007C4388">
              <w:rPr>
                <w:rFonts w:eastAsia="Times New Roman" w:cs="Times New Roman"/>
                <w:sz w:val="16"/>
                <w:szCs w:val="16"/>
                <w:lang w:eastAsia="lv-LV"/>
              </w:rPr>
              <w:t>Izdevumi</w:t>
            </w:r>
          </w:p>
        </w:tc>
        <w:tc>
          <w:tcPr>
            <w:tcW w:w="904" w:type="dxa"/>
            <w:tcBorders>
              <w:top w:val="nil"/>
              <w:left w:val="nil"/>
              <w:bottom w:val="single" w:sz="4" w:space="0" w:color="auto"/>
              <w:right w:val="single" w:sz="4" w:space="0" w:color="auto"/>
            </w:tcBorders>
            <w:shd w:val="clear" w:color="auto" w:fill="auto"/>
            <w:noWrap/>
            <w:vAlign w:val="center"/>
            <w:hideMark/>
          </w:tcPr>
          <w:p w14:paraId="28AFF658" w14:textId="4582D393"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2 869,1</w:t>
            </w:r>
          </w:p>
        </w:tc>
        <w:tc>
          <w:tcPr>
            <w:tcW w:w="910" w:type="dxa"/>
            <w:tcBorders>
              <w:top w:val="nil"/>
              <w:left w:val="nil"/>
              <w:bottom w:val="single" w:sz="4" w:space="0" w:color="auto"/>
              <w:right w:val="single" w:sz="4" w:space="0" w:color="auto"/>
            </w:tcBorders>
            <w:shd w:val="clear" w:color="auto" w:fill="auto"/>
            <w:noWrap/>
            <w:vAlign w:val="center"/>
            <w:hideMark/>
          </w:tcPr>
          <w:p w14:paraId="018A44BF" w14:textId="3AA68432"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2 856,1</w:t>
            </w:r>
          </w:p>
        </w:tc>
        <w:tc>
          <w:tcPr>
            <w:tcW w:w="909" w:type="dxa"/>
            <w:tcBorders>
              <w:top w:val="nil"/>
              <w:left w:val="nil"/>
              <w:bottom w:val="single" w:sz="4" w:space="0" w:color="auto"/>
              <w:right w:val="single" w:sz="4" w:space="0" w:color="auto"/>
            </w:tcBorders>
            <w:shd w:val="clear" w:color="auto" w:fill="auto"/>
            <w:noWrap/>
            <w:vAlign w:val="center"/>
            <w:hideMark/>
          </w:tcPr>
          <w:p w14:paraId="307BFE66" w14:textId="6EA154CF"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2 966,6</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1FDB4C93" w14:textId="246A9E7B"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3 146,2</w:t>
            </w:r>
          </w:p>
        </w:tc>
        <w:tc>
          <w:tcPr>
            <w:tcW w:w="909" w:type="dxa"/>
            <w:tcBorders>
              <w:top w:val="nil"/>
              <w:left w:val="nil"/>
              <w:bottom w:val="single" w:sz="4" w:space="0" w:color="auto"/>
              <w:right w:val="single" w:sz="4" w:space="0" w:color="auto"/>
            </w:tcBorders>
            <w:shd w:val="clear" w:color="auto" w:fill="auto"/>
            <w:noWrap/>
            <w:vAlign w:val="center"/>
            <w:hideMark/>
          </w:tcPr>
          <w:p w14:paraId="3B156740" w14:textId="46E3E662"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3 356,9</w:t>
            </w:r>
          </w:p>
        </w:tc>
        <w:tc>
          <w:tcPr>
            <w:tcW w:w="910" w:type="dxa"/>
            <w:tcBorders>
              <w:top w:val="nil"/>
              <w:left w:val="nil"/>
              <w:bottom w:val="single" w:sz="4" w:space="0" w:color="auto"/>
              <w:right w:val="single" w:sz="4" w:space="0" w:color="auto"/>
            </w:tcBorders>
            <w:shd w:val="clear" w:color="auto" w:fill="auto"/>
            <w:noWrap/>
            <w:vAlign w:val="center"/>
            <w:hideMark/>
          </w:tcPr>
          <w:p w14:paraId="3F26DB27" w14:textId="0D9F8252"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3 359,6</w:t>
            </w:r>
          </w:p>
        </w:tc>
        <w:tc>
          <w:tcPr>
            <w:tcW w:w="911" w:type="dxa"/>
            <w:tcBorders>
              <w:top w:val="nil"/>
              <w:left w:val="nil"/>
              <w:bottom w:val="single" w:sz="4" w:space="0" w:color="auto"/>
              <w:right w:val="single" w:sz="4" w:space="0" w:color="auto"/>
            </w:tcBorders>
            <w:shd w:val="clear" w:color="auto" w:fill="auto"/>
            <w:noWrap/>
            <w:vAlign w:val="center"/>
            <w:hideMark/>
          </w:tcPr>
          <w:p w14:paraId="50B241AE" w14:textId="1E9EFE78"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3 438,3</w:t>
            </w:r>
          </w:p>
        </w:tc>
      </w:tr>
      <w:tr w:rsidR="00D71818" w:rsidRPr="005A3253" w14:paraId="1172FBB7" w14:textId="77777777" w:rsidTr="005C6D02">
        <w:trPr>
          <w:trHeight w:val="115"/>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36BFCA76" w14:textId="77777777" w:rsidR="00D71818" w:rsidRPr="007C4388" w:rsidRDefault="00D71818" w:rsidP="00D71818">
            <w:pPr>
              <w:spacing w:before="0" w:after="0"/>
              <w:ind w:firstLineChars="300" w:firstLine="480"/>
              <w:contextualSpacing/>
              <w:jc w:val="left"/>
              <w:rPr>
                <w:rFonts w:eastAsia="Times New Roman" w:cs="Times New Roman"/>
                <w:i/>
                <w:iCs/>
                <w:sz w:val="16"/>
                <w:szCs w:val="16"/>
                <w:lang w:eastAsia="lv-LV"/>
              </w:rPr>
            </w:pPr>
            <w:r w:rsidRPr="007C4388">
              <w:rPr>
                <w:rFonts w:eastAsia="Times New Roman" w:cs="Times New Roman"/>
                <w:i/>
                <w:iCs/>
                <w:sz w:val="16"/>
                <w:szCs w:val="16"/>
                <w:lang w:eastAsia="lv-LV"/>
              </w:rPr>
              <w:t>Pamatfunkciju daļa</w:t>
            </w:r>
          </w:p>
        </w:tc>
        <w:tc>
          <w:tcPr>
            <w:tcW w:w="904" w:type="dxa"/>
            <w:tcBorders>
              <w:top w:val="nil"/>
              <w:left w:val="nil"/>
              <w:bottom w:val="single" w:sz="4" w:space="0" w:color="auto"/>
              <w:right w:val="single" w:sz="4" w:space="0" w:color="auto"/>
            </w:tcBorders>
            <w:shd w:val="clear" w:color="000000" w:fill="FFFFFF"/>
            <w:noWrap/>
            <w:vAlign w:val="center"/>
            <w:hideMark/>
          </w:tcPr>
          <w:p w14:paraId="76C6E276" w14:textId="73595063"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i/>
                <w:iCs/>
                <w:sz w:val="16"/>
                <w:szCs w:val="16"/>
              </w:rPr>
              <w:t>2 498,6</w:t>
            </w:r>
          </w:p>
        </w:tc>
        <w:tc>
          <w:tcPr>
            <w:tcW w:w="910" w:type="dxa"/>
            <w:tcBorders>
              <w:top w:val="nil"/>
              <w:left w:val="nil"/>
              <w:bottom w:val="single" w:sz="4" w:space="0" w:color="auto"/>
              <w:right w:val="single" w:sz="4" w:space="0" w:color="auto"/>
            </w:tcBorders>
            <w:shd w:val="clear" w:color="auto" w:fill="auto"/>
            <w:noWrap/>
            <w:vAlign w:val="center"/>
            <w:hideMark/>
          </w:tcPr>
          <w:p w14:paraId="46EAC1A7" w14:textId="456085BF"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2 520,8</w:t>
            </w:r>
          </w:p>
        </w:tc>
        <w:tc>
          <w:tcPr>
            <w:tcW w:w="909" w:type="dxa"/>
            <w:tcBorders>
              <w:top w:val="nil"/>
              <w:left w:val="nil"/>
              <w:bottom w:val="single" w:sz="4" w:space="0" w:color="auto"/>
              <w:right w:val="single" w:sz="4" w:space="0" w:color="auto"/>
            </w:tcBorders>
            <w:shd w:val="clear" w:color="auto" w:fill="auto"/>
            <w:noWrap/>
            <w:vAlign w:val="center"/>
            <w:hideMark/>
          </w:tcPr>
          <w:p w14:paraId="3713F604" w14:textId="1854F664"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2 644,5</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13D1C2D6" w14:textId="6EE6453D"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2 867,1</w:t>
            </w:r>
          </w:p>
        </w:tc>
        <w:tc>
          <w:tcPr>
            <w:tcW w:w="909" w:type="dxa"/>
            <w:tcBorders>
              <w:top w:val="nil"/>
              <w:left w:val="nil"/>
              <w:bottom w:val="single" w:sz="4" w:space="0" w:color="auto"/>
              <w:right w:val="single" w:sz="4" w:space="0" w:color="auto"/>
            </w:tcBorders>
            <w:shd w:val="clear" w:color="auto" w:fill="auto"/>
            <w:noWrap/>
            <w:vAlign w:val="center"/>
            <w:hideMark/>
          </w:tcPr>
          <w:p w14:paraId="712C34E0" w14:textId="4707C777"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3 010,9</w:t>
            </w:r>
          </w:p>
        </w:tc>
        <w:tc>
          <w:tcPr>
            <w:tcW w:w="910" w:type="dxa"/>
            <w:tcBorders>
              <w:top w:val="nil"/>
              <w:left w:val="nil"/>
              <w:bottom w:val="single" w:sz="4" w:space="0" w:color="auto"/>
              <w:right w:val="single" w:sz="4" w:space="0" w:color="auto"/>
            </w:tcBorders>
            <w:shd w:val="clear" w:color="auto" w:fill="auto"/>
            <w:noWrap/>
            <w:vAlign w:val="center"/>
            <w:hideMark/>
          </w:tcPr>
          <w:p w14:paraId="47F56ADD" w14:textId="7F047868"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3 090,5</w:t>
            </w:r>
          </w:p>
        </w:tc>
        <w:tc>
          <w:tcPr>
            <w:tcW w:w="911" w:type="dxa"/>
            <w:tcBorders>
              <w:top w:val="nil"/>
              <w:left w:val="nil"/>
              <w:bottom w:val="single" w:sz="4" w:space="0" w:color="auto"/>
              <w:right w:val="single" w:sz="4" w:space="0" w:color="auto"/>
            </w:tcBorders>
            <w:shd w:val="clear" w:color="auto" w:fill="auto"/>
            <w:noWrap/>
            <w:vAlign w:val="center"/>
            <w:hideMark/>
          </w:tcPr>
          <w:p w14:paraId="2D1172EF" w14:textId="40BBDA81"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3 174,5</w:t>
            </w:r>
          </w:p>
        </w:tc>
      </w:tr>
      <w:tr w:rsidR="00D71818" w:rsidRPr="005A3253" w14:paraId="721B9DA6" w14:textId="77777777" w:rsidTr="005C6D02">
        <w:trPr>
          <w:trHeight w:val="70"/>
          <w:tblHeader/>
          <w:jc w:val="center"/>
        </w:trPr>
        <w:tc>
          <w:tcPr>
            <w:tcW w:w="3335" w:type="dxa"/>
            <w:tcBorders>
              <w:top w:val="nil"/>
              <w:left w:val="single" w:sz="4" w:space="0" w:color="auto"/>
              <w:bottom w:val="single" w:sz="4" w:space="0" w:color="auto"/>
              <w:right w:val="single" w:sz="4" w:space="0" w:color="auto"/>
            </w:tcBorders>
            <w:shd w:val="clear" w:color="auto" w:fill="auto"/>
            <w:noWrap/>
            <w:vAlign w:val="center"/>
            <w:hideMark/>
          </w:tcPr>
          <w:p w14:paraId="032F5A80" w14:textId="77777777" w:rsidR="00D71818" w:rsidRPr="007C4388" w:rsidRDefault="00D71818" w:rsidP="00D71818">
            <w:pPr>
              <w:spacing w:before="0" w:after="0"/>
              <w:ind w:firstLineChars="300" w:firstLine="480"/>
              <w:contextualSpacing/>
              <w:jc w:val="left"/>
              <w:rPr>
                <w:rFonts w:eastAsia="Times New Roman" w:cs="Times New Roman"/>
                <w:i/>
                <w:iCs/>
                <w:sz w:val="16"/>
                <w:szCs w:val="16"/>
                <w:lang w:eastAsia="lv-LV"/>
              </w:rPr>
            </w:pPr>
            <w:r w:rsidRPr="007C4388">
              <w:rPr>
                <w:rFonts w:eastAsia="Times New Roman" w:cs="Times New Roman"/>
                <w:i/>
                <w:iCs/>
                <w:sz w:val="16"/>
                <w:szCs w:val="16"/>
                <w:lang w:eastAsia="lv-LV"/>
              </w:rPr>
              <w:t>ĀFP daļa</w:t>
            </w:r>
          </w:p>
        </w:tc>
        <w:tc>
          <w:tcPr>
            <w:tcW w:w="904" w:type="dxa"/>
            <w:tcBorders>
              <w:top w:val="nil"/>
              <w:left w:val="nil"/>
              <w:bottom w:val="single" w:sz="4" w:space="0" w:color="auto"/>
              <w:right w:val="single" w:sz="4" w:space="0" w:color="auto"/>
            </w:tcBorders>
            <w:shd w:val="clear" w:color="000000" w:fill="FFFFFF"/>
            <w:noWrap/>
            <w:vAlign w:val="center"/>
            <w:hideMark/>
          </w:tcPr>
          <w:p w14:paraId="4AAF8AC2" w14:textId="67393E42"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i/>
                <w:iCs/>
                <w:sz w:val="16"/>
                <w:szCs w:val="16"/>
              </w:rPr>
              <w:t>370,4</w:t>
            </w:r>
          </w:p>
        </w:tc>
        <w:tc>
          <w:tcPr>
            <w:tcW w:w="910" w:type="dxa"/>
            <w:tcBorders>
              <w:top w:val="nil"/>
              <w:left w:val="nil"/>
              <w:bottom w:val="single" w:sz="4" w:space="0" w:color="auto"/>
              <w:right w:val="single" w:sz="4" w:space="0" w:color="auto"/>
            </w:tcBorders>
            <w:shd w:val="clear" w:color="auto" w:fill="auto"/>
            <w:noWrap/>
            <w:vAlign w:val="center"/>
            <w:hideMark/>
          </w:tcPr>
          <w:p w14:paraId="4B6B1F67" w14:textId="653CDA31"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335,3</w:t>
            </w:r>
          </w:p>
        </w:tc>
        <w:tc>
          <w:tcPr>
            <w:tcW w:w="909" w:type="dxa"/>
            <w:tcBorders>
              <w:top w:val="nil"/>
              <w:left w:val="nil"/>
              <w:bottom w:val="single" w:sz="4" w:space="0" w:color="auto"/>
              <w:right w:val="single" w:sz="4" w:space="0" w:color="auto"/>
            </w:tcBorders>
            <w:shd w:val="clear" w:color="auto" w:fill="auto"/>
            <w:noWrap/>
            <w:vAlign w:val="center"/>
            <w:hideMark/>
          </w:tcPr>
          <w:p w14:paraId="67A0849D" w14:textId="024087D2"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322,1</w:t>
            </w:r>
          </w:p>
        </w:tc>
        <w:tc>
          <w:tcPr>
            <w:tcW w:w="915" w:type="dxa"/>
            <w:gridSpan w:val="2"/>
            <w:tcBorders>
              <w:top w:val="nil"/>
              <w:left w:val="nil"/>
              <w:bottom w:val="single" w:sz="4" w:space="0" w:color="auto"/>
              <w:right w:val="single" w:sz="4" w:space="0" w:color="auto"/>
            </w:tcBorders>
            <w:shd w:val="clear" w:color="auto" w:fill="auto"/>
            <w:noWrap/>
            <w:vAlign w:val="center"/>
            <w:hideMark/>
          </w:tcPr>
          <w:p w14:paraId="140C5ED8" w14:textId="2A03CDD8" w:rsidR="00D71818" w:rsidRPr="007C4388" w:rsidRDefault="00D71818" w:rsidP="00D71818">
            <w:pPr>
              <w:spacing w:before="0" w:after="0"/>
              <w:ind w:firstLine="0"/>
              <w:contextualSpacing/>
              <w:jc w:val="right"/>
              <w:rPr>
                <w:rFonts w:eastAsia="Times New Roman" w:cs="Times New Roman"/>
                <w:sz w:val="16"/>
                <w:szCs w:val="16"/>
                <w:highlight w:val="yellow"/>
                <w:lang w:eastAsia="lv-LV"/>
              </w:rPr>
            </w:pPr>
            <w:r w:rsidRPr="007C4388">
              <w:rPr>
                <w:rFonts w:cs="Times New Roman"/>
                <w:sz w:val="16"/>
                <w:szCs w:val="16"/>
              </w:rPr>
              <w:t>279,1</w:t>
            </w:r>
          </w:p>
        </w:tc>
        <w:tc>
          <w:tcPr>
            <w:tcW w:w="909" w:type="dxa"/>
            <w:tcBorders>
              <w:top w:val="nil"/>
              <w:left w:val="nil"/>
              <w:bottom w:val="single" w:sz="4" w:space="0" w:color="auto"/>
              <w:right w:val="single" w:sz="4" w:space="0" w:color="auto"/>
            </w:tcBorders>
            <w:shd w:val="clear" w:color="auto" w:fill="auto"/>
            <w:noWrap/>
            <w:vAlign w:val="center"/>
            <w:hideMark/>
          </w:tcPr>
          <w:p w14:paraId="399F35D9" w14:textId="6D9B2DD6"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346,0</w:t>
            </w:r>
          </w:p>
        </w:tc>
        <w:tc>
          <w:tcPr>
            <w:tcW w:w="910" w:type="dxa"/>
            <w:tcBorders>
              <w:top w:val="nil"/>
              <w:left w:val="nil"/>
              <w:bottom w:val="single" w:sz="4" w:space="0" w:color="auto"/>
              <w:right w:val="single" w:sz="4" w:space="0" w:color="auto"/>
            </w:tcBorders>
            <w:shd w:val="clear" w:color="auto" w:fill="auto"/>
            <w:noWrap/>
            <w:vAlign w:val="center"/>
            <w:hideMark/>
          </w:tcPr>
          <w:p w14:paraId="2BE19435" w14:textId="5D36D6E2"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269,1</w:t>
            </w:r>
          </w:p>
        </w:tc>
        <w:tc>
          <w:tcPr>
            <w:tcW w:w="911" w:type="dxa"/>
            <w:tcBorders>
              <w:top w:val="nil"/>
              <w:left w:val="nil"/>
              <w:bottom w:val="single" w:sz="4" w:space="0" w:color="auto"/>
              <w:right w:val="single" w:sz="4" w:space="0" w:color="auto"/>
            </w:tcBorders>
            <w:shd w:val="clear" w:color="auto" w:fill="auto"/>
            <w:noWrap/>
            <w:vAlign w:val="center"/>
            <w:hideMark/>
          </w:tcPr>
          <w:p w14:paraId="07FF8EF2" w14:textId="43678D4E" w:rsidR="00D71818" w:rsidRPr="005C6D02" w:rsidRDefault="00D71818" w:rsidP="00D71818">
            <w:pPr>
              <w:spacing w:before="0" w:after="0"/>
              <w:ind w:firstLine="0"/>
              <w:contextualSpacing/>
              <w:jc w:val="right"/>
              <w:rPr>
                <w:rFonts w:eastAsia="Times New Roman" w:cs="Times New Roman"/>
                <w:sz w:val="16"/>
                <w:szCs w:val="16"/>
                <w:highlight w:val="yellow"/>
                <w:lang w:eastAsia="lv-LV"/>
              </w:rPr>
            </w:pPr>
            <w:r w:rsidRPr="005C6D02">
              <w:rPr>
                <w:rFonts w:cs="Times New Roman"/>
                <w:sz w:val="16"/>
                <w:szCs w:val="16"/>
              </w:rPr>
              <w:t>263,8</w:t>
            </w:r>
          </w:p>
        </w:tc>
      </w:tr>
    </w:tbl>
    <w:p w14:paraId="725233D0" w14:textId="77777777" w:rsidR="006A7261" w:rsidRPr="003E3163" w:rsidRDefault="006A7261" w:rsidP="006A7261">
      <w:pPr>
        <w:rPr>
          <w:color w:val="000000" w:themeColor="text1"/>
        </w:rPr>
      </w:pPr>
      <w:bookmarkStart w:id="32" w:name="_Toc48048101"/>
      <w:r w:rsidRPr="003E3163">
        <w:rPr>
          <w:color w:val="000000" w:themeColor="text1"/>
        </w:rPr>
        <w:t>Valsts speciālajā budžetā, ņemot vērā salīdzinoši augsto pensiju indeksu, vidējā termiņā sagaidāms straujš izdevumu pieaugums, tādējādi valsts speciālā budžeta bilance vidējā termiņā pasliktināsies. Izdevumu pieaugumu ietekmēs arī augstāks reģistrētā bezdarba līmenis 2023.</w:t>
      </w:r>
      <w:r>
        <w:rPr>
          <w:color w:val="000000" w:themeColor="text1"/>
        </w:rPr>
        <w:t> </w:t>
      </w:r>
      <w:r w:rsidRPr="003E3163">
        <w:rPr>
          <w:color w:val="000000" w:themeColor="text1"/>
        </w:rPr>
        <w:t xml:space="preserve">gadā, līdz ar ko sagaidāmi augstāki izdevumi bezdarbnieka pabalstiem. Pensiju saņēmēju skaits pensionēšanās vecuma paaugstināšanas dēļ turpina sarukt, tomēr 2025. gadā pensiju reforma noslēgsies un pēc tās atbilstoši </w:t>
      </w:r>
      <w:r w:rsidRPr="003E3163">
        <w:rPr>
          <w:i/>
          <w:iCs/>
          <w:noProof/>
          <w:color w:val="000000" w:themeColor="text1"/>
        </w:rPr>
        <w:t xml:space="preserve">Eurostat </w:t>
      </w:r>
      <w:r w:rsidRPr="003E3163">
        <w:rPr>
          <w:color w:val="000000" w:themeColor="text1"/>
        </w:rPr>
        <w:t>demogrāfiskajām prognozēm ir sagaidāms iedzīvotāju 65+ pieaugums.</w:t>
      </w:r>
    </w:p>
    <w:p w14:paraId="42FD220C" w14:textId="77777777" w:rsidR="006A7261" w:rsidRPr="00862CE6" w:rsidRDefault="006A7261" w:rsidP="006A7261">
      <w:pPr>
        <w:rPr>
          <w:color w:val="000000" w:themeColor="text1"/>
        </w:rPr>
      </w:pPr>
      <w:r w:rsidRPr="003E3163">
        <w:rPr>
          <w:color w:val="000000" w:themeColor="text1"/>
        </w:rPr>
        <w:t>Pašvaldību budžetā sagaidāms izdevumu pieaugums, straujāk pieaugot izdevumiem visa veida preču un pakalpojumu iegādei, ko nosaka augstās energoresursu cenas un inflācija.</w:t>
      </w:r>
      <w:r>
        <w:rPr>
          <w:color w:val="000000" w:themeColor="text1"/>
        </w:rPr>
        <w:t xml:space="preserve"> Tāpat tiek prognozēti augstāki izdevumi sociālajam atbalstam </w:t>
      </w:r>
      <w:r>
        <w:rPr>
          <w:noProof/>
          <w:color w:val="000000" w:themeColor="text1"/>
        </w:rPr>
        <w:t>dēļ atsevišķām energoatbalsta izmaksām</w:t>
      </w:r>
      <w:r>
        <w:rPr>
          <w:color w:val="000000" w:themeColor="text1"/>
        </w:rPr>
        <w:t xml:space="preserve"> un atbalsta ukraiņu bēgļiem, ņemot vērā, ka šos jautājumus koordinē pašvaldības. </w:t>
      </w:r>
      <w:r w:rsidRPr="003E3163">
        <w:rPr>
          <w:color w:val="000000" w:themeColor="text1"/>
        </w:rPr>
        <w:t>Pēc salīdzinoši zemāka investīciju apmēra</w:t>
      </w:r>
      <w:r>
        <w:rPr>
          <w:color w:val="000000" w:themeColor="text1"/>
        </w:rPr>
        <w:t>, kāds ir šogad,</w:t>
      </w:r>
      <w:r w:rsidRPr="003E3163">
        <w:rPr>
          <w:color w:val="000000" w:themeColor="text1"/>
        </w:rPr>
        <w:t xml:space="preserve"> </w:t>
      </w:r>
      <w:r>
        <w:rPr>
          <w:color w:val="000000" w:themeColor="text1"/>
        </w:rPr>
        <w:t>2023. gadā</w:t>
      </w:r>
      <w:r w:rsidRPr="003E3163">
        <w:rPr>
          <w:color w:val="000000" w:themeColor="text1"/>
        </w:rPr>
        <w:t xml:space="preserve"> sagaidāms kapitālo izdevumu pieaugums, ko sekmēs ārvalstu finanšu palīdzības līdzfinansēto projektu aktīvāka īstenošana. Augstāku izdevumu līmeni pašvaldību budžetā nosaka arī papildus piešķirtais finansējums pedagogu darba samaksas paaugstināšanai</w:t>
      </w:r>
      <w:r>
        <w:rPr>
          <w:color w:val="000000" w:themeColor="text1"/>
        </w:rPr>
        <w:t xml:space="preserve"> un minimālās algas paaugstināšana 2023. un 2024. gadā.</w:t>
      </w:r>
    </w:p>
    <w:p w14:paraId="1EB98D08" w14:textId="77777777" w:rsidR="006A7261" w:rsidRDefault="006A7261" w:rsidP="006A7261">
      <w:pPr>
        <w:pStyle w:val="Heading1"/>
        <w:numPr>
          <w:ilvl w:val="0"/>
          <w:numId w:val="0"/>
        </w:numPr>
        <w:ind w:left="360"/>
        <w:jc w:val="both"/>
        <w:rPr>
          <w:sz w:val="28"/>
          <w:szCs w:val="28"/>
        </w:rPr>
      </w:pPr>
    </w:p>
    <w:p w14:paraId="5136EBB3" w14:textId="77777777" w:rsidR="006A7261" w:rsidRDefault="006A7261">
      <w:pPr>
        <w:spacing w:before="0" w:after="0"/>
        <w:ind w:firstLine="0"/>
        <w:jc w:val="left"/>
        <w:rPr>
          <w:rFonts w:eastAsiaTheme="majorEastAsia" w:cstheme="majorBidi"/>
          <w:b/>
          <w:sz w:val="28"/>
          <w:szCs w:val="28"/>
        </w:rPr>
      </w:pPr>
      <w:r>
        <w:rPr>
          <w:sz w:val="28"/>
          <w:szCs w:val="28"/>
        </w:rPr>
        <w:br w:type="page"/>
      </w:r>
    </w:p>
    <w:p w14:paraId="7237FEFE" w14:textId="4F642D9E" w:rsidR="00BD5F81" w:rsidRDefault="001D3FB0" w:rsidP="00BD5F81">
      <w:pPr>
        <w:pStyle w:val="Heading1"/>
        <w:ind w:left="360"/>
        <w:rPr>
          <w:sz w:val="28"/>
          <w:szCs w:val="28"/>
        </w:rPr>
      </w:pPr>
      <w:bookmarkStart w:id="33" w:name="_Toc122369564"/>
      <w:r w:rsidRPr="00E867D9">
        <w:rPr>
          <w:sz w:val="28"/>
          <w:szCs w:val="28"/>
        </w:rPr>
        <w:lastRenderedPageBreak/>
        <w:t>Vispārējās valdības parāda prognoze</w:t>
      </w:r>
      <w:r w:rsidR="0022712C">
        <w:rPr>
          <w:sz w:val="28"/>
          <w:szCs w:val="28"/>
        </w:rPr>
        <w:t xml:space="preserve"> </w:t>
      </w:r>
      <w:r w:rsidRPr="00E867D9">
        <w:rPr>
          <w:sz w:val="28"/>
          <w:szCs w:val="28"/>
        </w:rPr>
        <w:t>pie nemainīgas valdības politikas 202</w:t>
      </w:r>
      <w:r w:rsidR="00CD4F8D">
        <w:rPr>
          <w:sz w:val="28"/>
          <w:szCs w:val="28"/>
        </w:rPr>
        <w:t>3</w:t>
      </w:r>
      <w:r w:rsidRPr="00E867D9">
        <w:rPr>
          <w:sz w:val="28"/>
          <w:szCs w:val="28"/>
        </w:rPr>
        <w:t>.-202</w:t>
      </w:r>
      <w:r w:rsidR="00BD5F81" w:rsidRPr="00E867D9">
        <w:rPr>
          <w:sz w:val="28"/>
          <w:szCs w:val="28"/>
        </w:rPr>
        <w:t>5</w:t>
      </w:r>
      <w:r w:rsidRPr="00E867D9">
        <w:rPr>
          <w:sz w:val="28"/>
          <w:szCs w:val="28"/>
        </w:rPr>
        <w:t>. gad</w:t>
      </w:r>
      <w:bookmarkEnd w:id="32"/>
      <w:r w:rsidR="00CD4F8D">
        <w:rPr>
          <w:sz w:val="28"/>
          <w:szCs w:val="28"/>
        </w:rPr>
        <w:t>am</w:t>
      </w:r>
      <w:bookmarkEnd w:id="33"/>
    </w:p>
    <w:p w14:paraId="49FEE199" w14:textId="5974A9D5" w:rsidR="005A3253" w:rsidRDefault="005A3253" w:rsidP="005A3253">
      <w:pPr>
        <w:rPr>
          <w:color w:val="000000" w:themeColor="text1"/>
          <w:szCs w:val="24"/>
        </w:rPr>
      </w:pPr>
      <w:r>
        <w:rPr>
          <w:color w:val="000000" w:themeColor="text1"/>
          <w:szCs w:val="24"/>
        </w:rPr>
        <w:t>Vispārējās valdības parāda prognoze sagatavota, ņemot vērā Finanšu ministrijas aktualizētās valsts budžeta finansiālās bilances prognozes scenārijā pie nemainīgas valdības politikas, kā arī aktualizētas iekšzemes kopprodukta</w:t>
      </w:r>
      <w:r w:rsidR="007447CC">
        <w:rPr>
          <w:color w:val="000000" w:themeColor="text1"/>
          <w:szCs w:val="24"/>
        </w:rPr>
        <w:t xml:space="preserve"> </w:t>
      </w:r>
      <w:r>
        <w:rPr>
          <w:color w:val="000000" w:themeColor="text1"/>
          <w:szCs w:val="24"/>
        </w:rPr>
        <w:t xml:space="preserve">faktiskajās cenās prognozes. </w:t>
      </w:r>
    </w:p>
    <w:p w14:paraId="52217D14" w14:textId="1ED8529B" w:rsidR="005A3253" w:rsidRPr="00A7668E" w:rsidRDefault="005A3253" w:rsidP="005A3253">
      <w:pPr>
        <w:rPr>
          <w:color w:val="000000" w:themeColor="text1"/>
          <w:szCs w:val="24"/>
        </w:rPr>
      </w:pPr>
      <w:r w:rsidRPr="00A7668E">
        <w:rPr>
          <w:color w:val="000000" w:themeColor="text1"/>
          <w:szCs w:val="24"/>
        </w:rPr>
        <w:t>Vispārējās valdības parāda prognoze 2022.-202</w:t>
      </w:r>
      <w:r>
        <w:rPr>
          <w:color w:val="000000" w:themeColor="text1"/>
          <w:szCs w:val="24"/>
        </w:rPr>
        <w:t>5</w:t>
      </w:r>
      <w:r w:rsidRPr="00A7668E">
        <w:rPr>
          <w:color w:val="000000" w:themeColor="text1"/>
          <w:szCs w:val="24"/>
        </w:rPr>
        <w:t>.gad</w:t>
      </w:r>
      <w:r>
        <w:rPr>
          <w:color w:val="000000" w:themeColor="text1"/>
          <w:szCs w:val="24"/>
        </w:rPr>
        <w:t>am</w:t>
      </w:r>
      <w:r w:rsidRPr="003442B6">
        <w:rPr>
          <w:color w:val="000000" w:themeColor="text1"/>
          <w:szCs w:val="24"/>
        </w:rPr>
        <w:t xml:space="preserve"> </w:t>
      </w:r>
      <w:r w:rsidRPr="00A7668E">
        <w:rPr>
          <w:color w:val="000000" w:themeColor="text1"/>
          <w:szCs w:val="24"/>
        </w:rPr>
        <w:t xml:space="preserve">ir samazināta, salīdzinot ar </w:t>
      </w:r>
      <w:r>
        <w:rPr>
          <w:color w:val="000000" w:themeColor="text1"/>
          <w:szCs w:val="24"/>
        </w:rPr>
        <w:t>š</w:t>
      </w:r>
      <w:r w:rsidR="007447CC">
        <w:rPr>
          <w:color w:val="000000" w:themeColor="text1"/>
          <w:szCs w:val="24"/>
        </w:rPr>
        <w:t>ā gada</w:t>
      </w:r>
      <w:r>
        <w:rPr>
          <w:color w:val="000000" w:themeColor="text1"/>
          <w:szCs w:val="24"/>
        </w:rPr>
        <w:t xml:space="preserve"> 11.oktobra </w:t>
      </w:r>
      <w:r w:rsidRPr="00D31AFB">
        <w:rPr>
          <w:color w:val="000000" w:themeColor="text1"/>
          <w:szCs w:val="24"/>
        </w:rPr>
        <w:t>Ministru kabineta</w:t>
      </w:r>
      <w:r>
        <w:rPr>
          <w:color w:val="000000" w:themeColor="text1"/>
          <w:szCs w:val="24"/>
        </w:rPr>
        <w:t xml:space="preserve"> sēdē izskatītajā ziņojumā “</w:t>
      </w:r>
      <w:r w:rsidRPr="00D31AFB">
        <w:rPr>
          <w:color w:val="000000" w:themeColor="text1"/>
          <w:szCs w:val="24"/>
        </w:rPr>
        <w:t>Par makroekonomisko rādītāju, ieņēmumu un vispārējās valdības budžeta bilances prognozēm 2023., 2024. un 2025. gadā</w:t>
      </w:r>
      <w:r>
        <w:rPr>
          <w:color w:val="000000" w:themeColor="text1"/>
          <w:szCs w:val="24"/>
        </w:rPr>
        <w:t>” iekļautajām</w:t>
      </w:r>
      <w:r w:rsidRPr="00A7668E">
        <w:rPr>
          <w:color w:val="000000" w:themeColor="text1"/>
          <w:szCs w:val="24"/>
        </w:rPr>
        <w:t xml:space="preserve"> prognozēm</w:t>
      </w:r>
      <w:r>
        <w:rPr>
          <w:color w:val="000000" w:themeColor="text1"/>
          <w:szCs w:val="24"/>
        </w:rPr>
        <w:t xml:space="preserve"> (turpmāk </w:t>
      </w:r>
      <w:r w:rsidR="007447CC">
        <w:rPr>
          <w:color w:val="000000" w:themeColor="text1"/>
          <w:szCs w:val="24"/>
        </w:rPr>
        <w:t xml:space="preserve">tekstā </w:t>
      </w:r>
      <w:r>
        <w:rPr>
          <w:color w:val="000000" w:themeColor="text1"/>
          <w:szCs w:val="24"/>
        </w:rPr>
        <w:t>oktobra prognoze</w:t>
      </w:r>
      <w:r w:rsidR="007447CC">
        <w:rPr>
          <w:color w:val="000000" w:themeColor="text1"/>
          <w:szCs w:val="24"/>
        </w:rPr>
        <w:t>, sk. 9. tabulu).</w:t>
      </w:r>
      <w:r w:rsidRPr="00A7668E">
        <w:rPr>
          <w:color w:val="000000" w:themeColor="text1"/>
          <w:szCs w:val="24"/>
        </w:rPr>
        <w:t xml:space="preserve"> </w:t>
      </w:r>
    </w:p>
    <w:p w14:paraId="69C84194" w14:textId="6BE5B59C" w:rsidR="005A3253" w:rsidRPr="00383816" w:rsidRDefault="00383816" w:rsidP="005A3253">
      <w:pPr>
        <w:ind w:firstLine="0"/>
        <w:jc w:val="center"/>
        <w:rPr>
          <w:rFonts w:eastAsia="Calibri" w:cs="Times New Roman"/>
          <w:b/>
          <w:bCs/>
          <w:szCs w:val="24"/>
        </w:rPr>
      </w:pPr>
      <w:r w:rsidRPr="00383816">
        <w:rPr>
          <w:rFonts w:eastAsia="Calibri" w:cs="Times New Roman"/>
          <w:b/>
          <w:bCs/>
          <w:szCs w:val="24"/>
        </w:rPr>
        <w:t>9</w:t>
      </w:r>
      <w:r w:rsidR="005A3253" w:rsidRPr="00383816">
        <w:rPr>
          <w:rFonts w:eastAsia="Calibri" w:cs="Times New Roman"/>
          <w:b/>
          <w:bCs/>
          <w:szCs w:val="24"/>
        </w:rPr>
        <w:t>.</w:t>
      </w:r>
      <w:r w:rsidR="007447CC">
        <w:rPr>
          <w:rFonts w:eastAsia="Calibri" w:cs="Times New Roman"/>
          <w:b/>
          <w:bCs/>
          <w:szCs w:val="24"/>
        </w:rPr>
        <w:t> </w:t>
      </w:r>
      <w:r w:rsidR="005A3253" w:rsidRPr="00383816">
        <w:rPr>
          <w:rFonts w:eastAsia="Calibri" w:cs="Times New Roman"/>
          <w:b/>
          <w:bCs/>
          <w:szCs w:val="24"/>
        </w:rPr>
        <w:t>tabula. Vispārējās valdības parāda prognožu salīdzinājums</w:t>
      </w:r>
    </w:p>
    <w:tbl>
      <w:tblPr>
        <w:tblW w:w="9014" w:type="dxa"/>
        <w:tblLook w:val="04A0" w:firstRow="1" w:lastRow="0" w:firstColumn="1" w:lastColumn="0" w:noHBand="0" w:noVBand="1"/>
      </w:tblPr>
      <w:tblGrid>
        <w:gridCol w:w="3114"/>
        <w:gridCol w:w="1180"/>
        <w:gridCol w:w="1180"/>
        <w:gridCol w:w="1180"/>
        <w:gridCol w:w="1180"/>
        <w:gridCol w:w="1180"/>
      </w:tblGrid>
      <w:tr w:rsidR="005A3253" w:rsidRPr="00B35192" w14:paraId="39E54029" w14:textId="77777777" w:rsidTr="00D60BC6">
        <w:trPr>
          <w:trHeight w:val="300"/>
        </w:trPr>
        <w:tc>
          <w:tcPr>
            <w:tcW w:w="311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288B863" w14:textId="77777777" w:rsidR="005A3253" w:rsidRPr="00B35192" w:rsidRDefault="005A3253" w:rsidP="00D60BC6">
            <w:pPr>
              <w:spacing w:before="0" w:after="0"/>
              <w:ind w:firstLine="0"/>
              <w:jc w:val="center"/>
              <w:rPr>
                <w:rFonts w:eastAsia="Times New Roman" w:cs="Times New Roman"/>
                <w:sz w:val="22"/>
                <w:lang w:eastAsia="lv-LV"/>
              </w:rPr>
            </w:pPr>
            <w:r w:rsidRPr="00B35192">
              <w:rPr>
                <w:rFonts w:eastAsia="Times New Roman" w:cs="Times New Roman"/>
                <w:sz w:val="22"/>
                <w:lang w:eastAsia="lv-LV"/>
              </w:rPr>
              <w:t>% no IKP</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12167DD7" w14:textId="77777777" w:rsidR="005A3253" w:rsidRPr="00B35192" w:rsidRDefault="005A3253" w:rsidP="00D60BC6">
            <w:pPr>
              <w:spacing w:before="0" w:after="0"/>
              <w:ind w:firstLine="0"/>
              <w:jc w:val="center"/>
              <w:rPr>
                <w:rFonts w:eastAsia="Times New Roman" w:cs="Times New Roman"/>
                <w:i/>
                <w:iCs/>
                <w:sz w:val="22"/>
                <w:lang w:eastAsia="lv-LV"/>
              </w:rPr>
            </w:pPr>
            <w:r w:rsidRPr="00B35192">
              <w:rPr>
                <w:rFonts w:eastAsia="Times New Roman" w:cs="Times New Roman"/>
                <w:i/>
                <w:iCs/>
                <w:sz w:val="22"/>
                <w:lang w:eastAsia="lv-LV"/>
              </w:rPr>
              <w:t>fakts</w:t>
            </w:r>
          </w:p>
        </w:tc>
        <w:tc>
          <w:tcPr>
            <w:tcW w:w="4720" w:type="dxa"/>
            <w:gridSpan w:val="4"/>
            <w:tcBorders>
              <w:top w:val="single" w:sz="4" w:space="0" w:color="auto"/>
              <w:left w:val="nil"/>
              <w:bottom w:val="single" w:sz="4" w:space="0" w:color="auto"/>
              <w:right w:val="single" w:sz="4" w:space="0" w:color="auto"/>
            </w:tcBorders>
            <w:shd w:val="clear" w:color="auto" w:fill="auto"/>
            <w:vAlign w:val="center"/>
            <w:hideMark/>
          </w:tcPr>
          <w:p w14:paraId="03E66CB6" w14:textId="77777777" w:rsidR="005A3253" w:rsidRPr="00B35192" w:rsidRDefault="005A3253" w:rsidP="00D60BC6">
            <w:pPr>
              <w:spacing w:before="0" w:after="0"/>
              <w:ind w:firstLine="0"/>
              <w:jc w:val="center"/>
              <w:rPr>
                <w:rFonts w:eastAsia="Times New Roman" w:cs="Times New Roman"/>
                <w:i/>
                <w:iCs/>
                <w:sz w:val="22"/>
                <w:lang w:eastAsia="lv-LV"/>
              </w:rPr>
            </w:pPr>
            <w:r w:rsidRPr="00B35192">
              <w:rPr>
                <w:rFonts w:eastAsia="Times New Roman" w:cs="Times New Roman"/>
                <w:i/>
                <w:iCs/>
                <w:sz w:val="22"/>
                <w:lang w:eastAsia="lv-LV"/>
              </w:rPr>
              <w:t>prognoze</w:t>
            </w:r>
          </w:p>
        </w:tc>
      </w:tr>
      <w:tr w:rsidR="005A3253" w:rsidRPr="00B35192" w14:paraId="50E9D009" w14:textId="77777777" w:rsidTr="00D60BC6">
        <w:trPr>
          <w:trHeight w:val="300"/>
        </w:trPr>
        <w:tc>
          <w:tcPr>
            <w:tcW w:w="3114" w:type="dxa"/>
            <w:vMerge/>
            <w:tcBorders>
              <w:top w:val="single" w:sz="4" w:space="0" w:color="auto"/>
              <w:left w:val="single" w:sz="4" w:space="0" w:color="auto"/>
              <w:bottom w:val="single" w:sz="4" w:space="0" w:color="000000"/>
              <w:right w:val="single" w:sz="4" w:space="0" w:color="auto"/>
            </w:tcBorders>
            <w:vAlign w:val="center"/>
            <w:hideMark/>
          </w:tcPr>
          <w:p w14:paraId="2ADB27A8" w14:textId="77777777" w:rsidR="005A3253" w:rsidRPr="00B35192" w:rsidRDefault="005A3253" w:rsidP="00D60BC6">
            <w:pPr>
              <w:spacing w:before="0" w:after="0"/>
              <w:ind w:firstLine="0"/>
              <w:jc w:val="left"/>
              <w:rPr>
                <w:rFonts w:eastAsia="Times New Roman" w:cs="Times New Roman"/>
                <w:sz w:val="22"/>
                <w:lang w:eastAsia="lv-LV"/>
              </w:rPr>
            </w:pPr>
          </w:p>
        </w:tc>
        <w:tc>
          <w:tcPr>
            <w:tcW w:w="1180" w:type="dxa"/>
            <w:tcBorders>
              <w:top w:val="nil"/>
              <w:left w:val="nil"/>
              <w:bottom w:val="single" w:sz="4" w:space="0" w:color="auto"/>
              <w:right w:val="single" w:sz="4" w:space="0" w:color="auto"/>
            </w:tcBorders>
            <w:shd w:val="clear" w:color="auto" w:fill="auto"/>
            <w:noWrap/>
            <w:vAlign w:val="center"/>
            <w:hideMark/>
          </w:tcPr>
          <w:p w14:paraId="348D2BCD" w14:textId="77777777" w:rsidR="005A3253" w:rsidRPr="00B35192" w:rsidRDefault="005A3253" w:rsidP="00D60BC6">
            <w:pPr>
              <w:spacing w:before="0" w:after="0"/>
              <w:ind w:firstLine="0"/>
              <w:jc w:val="center"/>
              <w:rPr>
                <w:rFonts w:eastAsia="Times New Roman" w:cs="Times New Roman"/>
                <w:b/>
                <w:bCs/>
                <w:sz w:val="22"/>
                <w:lang w:eastAsia="lv-LV"/>
              </w:rPr>
            </w:pPr>
            <w:r w:rsidRPr="00B35192">
              <w:rPr>
                <w:rFonts w:eastAsia="Times New Roman" w:cs="Times New Roman"/>
                <w:b/>
                <w:bCs/>
                <w:sz w:val="22"/>
                <w:lang w:eastAsia="lv-LV"/>
              </w:rPr>
              <w:t>20</w:t>
            </w:r>
            <w:r>
              <w:rPr>
                <w:rFonts w:eastAsia="Times New Roman" w:cs="Times New Roman"/>
                <w:b/>
                <w:bCs/>
                <w:sz w:val="22"/>
                <w:lang w:eastAsia="lv-LV"/>
              </w:rPr>
              <w:t>21</w:t>
            </w:r>
          </w:p>
        </w:tc>
        <w:tc>
          <w:tcPr>
            <w:tcW w:w="1180" w:type="dxa"/>
            <w:tcBorders>
              <w:top w:val="nil"/>
              <w:left w:val="nil"/>
              <w:bottom w:val="single" w:sz="4" w:space="0" w:color="auto"/>
              <w:right w:val="single" w:sz="4" w:space="0" w:color="auto"/>
            </w:tcBorders>
            <w:shd w:val="clear" w:color="auto" w:fill="auto"/>
            <w:noWrap/>
            <w:vAlign w:val="center"/>
            <w:hideMark/>
          </w:tcPr>
          <w:p w14:paraId="26D63429" w14:textId="77777777" w:rsidR="005A3253" w:rsidRPr="00B35192" w:rsidRDefault="005A3253" w:rsidP="00D60BC6">
            <w:pPr>
              <w:spacing w:before="0" w:after="0"/>
              <w:ind w:firstLine="0"/>
              <w:jc w:val="center"/>
              <w:rPr>
                <w:rFonts w:eastAsia="Times New Roman" w:cs="Times New Roman"/>
                <w:b/>
                <w:bCs/>
                <w:sz w:val="22"/>
                <w:lang w:eastAsia="lv-LV"/>
              </w:rPr>
            </w:pPr>
            <w:r w:rsidRPr="00B35192">
              <w:rPr>
                <w:rFonts w:eastAsia="Times New Roman" w:cs="Times New Roman"/>
                <w:b/>
                <w:bCs/>
                <w:sz w:val="22"/>
                <w:lang w:eastAsia="lv-LV"/>
              </w:rPr>
              <w:t>202</w:t>
            </w:r>
            <w:r>
              <w:rPr>
                <w:rFonts w:eastAsia="Times New Roman" w:cs="Times New Roman"/>
                <w:b/>
                <w:bCs/>
                <w:sz w:val="22"/>
                <w:lang w:eastAsia="lv-LV"/>
              </w:rPr>
              <w:t>2</w:t>
            </w:r>
          </w:p>
        </w:tc>
        <w:tc>
          <w:tcPr>
            <w:tcW w:w="1180" w:type="dxa"/>
            <w:tcBorders>
              <w:top w:val="nil"/>
              <w:left w:val="nil"/>
              <w:bottom w:val="single" w:sz="4" w:space="0" w:color="auto"/>
              <w:right w:val="single" w:sz="4" w:space="0" w:color="auto"/>
            </w:tcBorders>
            <w:shd w:val="clear" w:color="auto" w:fill="auto"/>
            <w:noWrap/>
            <w:vAlign w:val="center"/>
            <w:hideMark/>
          </w:tcPr>
          <w:p w14:paraId="029BD6D3" w14:textId="77777777" w:rsidR="005A3253" w:rsidRPr="00B35192" w:rsidRDefault="005A3253" w:rsidP="00D60BC6">
            <w:pPr>
              <w:spacing w:before="0" w:after="0"/>
              <w:ind w:firstLine="0"/>
              <w:jc w:val="center"/>
              <w:rPr>
                <w:rFonts w:eastAsia="Times New Roman" w:cs="Times New Roman"/>
                <w:b/>
                <w:bCs/>
                <w:sz w:val="22"/>
                <w:lang w:eastAsia="lv-LV"/>
              </w:rPr>
            </w:pPr>
            <w:r w:rsidRPr="00B35192">
              <w:rPr>
                <w:rFonts w:eastAsia="Times New Roman" w:cs="Times New Roman"/>
                <w:b/>
                <w:bCs/>
                <w:sz w:val="22"/>
                <w:lang w:eastAsia="lv-LV"/>
              </w:rPr>
              <w:t>202</w:t>
            </w:r>
            <w:r>
              <w:rPr>
                <w:rFonts w:eastAsia="Times New Roman" w:cs="Times New Roman"/>
                <w:b/>
                <w:bCs/>
                <w:sz w:val="22"/>
                <w:lang w:eastAsia="lv-LV"/>
              </w:rPr>
              <w:t>3</w:t>
            </w:r>
          </w:p>
        </w:tc>
        <w:tc>
          <w:tcPr>
            <w:tcW w:w="1180" w:type="dxa"/>
            <w:tcBorders>
              <w:top w:val="nil"/>
              <w:left w:val="nil"/>
              <w:bottom w:val="single" w:sz="4" w:space="0" w:color="auto"/>
              <w:right w:val="single" w:sz="4" w:space="0" w:color="auto"/>
            </w:tcBorders>
            <w:shd w:val="clear" w:color="auto" w:fill="auto"/>
            <w:noWrap/>
            <w:vAlign w:val="center"/>
            <w:hideMark/>
          </w:tcPr>
          <w:p w14:paraId="2F8D0C88" w14:textId="77777777" w:rsidR="005A3253" w:rsidRPr="00B35192" w:rsidRDefault="005A3253" w:rsidP="00D60BC6">
            <w:pPr>
              <w:spacing w:before="0" w:after="0"/>
              <w:ind w:firstLine="0"/>
              <w:jc w:val="center"/>
              <w:rPr>
                <w:rFonts w:eastAsia="Times New Roman" w:cs="Times New Roman"/>
                <w:b/>
                <w:bCs/>
                <w:sz w:val="22"/>
                <w:lang w:eastAsia="lv-LV"/>
              </w:rPr>
            </w:pPr>
            <w:r w:rsidRPr="00B35192">
              <w:rPr>
                <w:rFonts w:eastAsia="Times New Roman" w:cs="Times New Roman"/>
                <w:b/>
                <w:bCs/>
                <w:sz w:val="22"/>
                <w:lang w:eastAsia="lv-LV"/>
              </w:rPr>
              <w:t>202</w:t>
            </w:r>
            <w:r>
              <w:rPr>
                <w:rFonts w:eastAsia="Times New Roman" w:cs="Times New Roman"/>
                <w:b/>
                <w:bCs/>
                <w:sz w:val="22"/>
                <w:lang w:eastAsia="lv-LV"/>
              </w:rPr>
              <w:t>4</w:t>
            </w:r>
          </w:p>
        </w:tc>
        <w:tc>
          <w:tcPr>
            <w:tcW w:w="1180" w:type="dxa"/>
            <w:tcBorders>
              <w:top w:val="nil"/>
              <w:left w:val="nil"/>
              <w:bottom w:val="single" w:sz="4" w:space="0" w:color="auto"/>
              <w:right w:val="single" w:sz="4" w:space="0" w:color="auto"/>
            </w:tcBorders>
            <w:shd w:val="clear" w:color="auto" w:fill="auto"/>
            <w:noWrap/>
            <w:vAlign w:val="center"/>
            <w:hideMark/>
          </w:tcPr>
          <w:p w14:paraId="512699DF" w14:textId="77777777" w:rsidR="005A3253" w:rsidRPr="00B35192" w:rsidRDefault="005A3253" w:rsidP="00D60BC6">
            <w:pPr>
              <w:spacing w:before="0" w:after="0"/>
              <w:ind w:firstLine="0"/>
              <w:jc w:val="center"/>
              <w:rPr>
                <w:rFonts w:eastAsia="Times New Roman" w:cs="Times New Roman"/>
                <w:b/>
                <w:bCs/>
                <w:sz w:val="22"/>
                <w:lang w:eastAsia="lv-LV"/>
              </w:rPr>
            </w:pPr>
            <w:r w:rsidRPr="00B35192">
              <w:rPr>
                <w:rFonts w:eastAsia="Times New Roman" w:cs="Times New Roman"/>
                <w:b/>
                <w:bCs/>
                <w:sz w:val="22"/>
                <w:lang w:eastAsia="lv-LV"/>
              </w:rPr>
              <w:t>202</w:t>
            </w:r>
            <w:r>
              <w:rPr>
                <w:rFonts w:eastAsia="Times New Roman" w:cs="Times New Roman"/>
                <w:b/>
                <w:bCs/>
                <w:sz w:val="22"/>
                <w:lang w:eastAsia="lv-LV"/>
              </w:rPr>
              <w:t>5</w:t>
            </w:r>
          </w:p>
        </w:tc>
      </w:tr>
      <w:tr w:rsidR="005A3253" w:rsidRPr="00B35192" w14:paraId="1556B53C" w14:textId="77777777" w:rsidTr="007447CC">
        <w:trPr>
          <w:trHeight w:val="391"/>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4DEC2CF" w14:textId="77777777" w:rsidR="005A3253" w:rsidRPr="00B35192" w:rsidRDefault="005A3253" w:rsidP="00D60BC6">
            <w:pPr>
              <w:spacing w:before="0" w:after="0"/>
              <w:ind w:firstLine="0"/>
              <w:jc w:val="left"/>
              <w:rPr>
                <w:rFonts w:eastAsia="Times New Roman" w:cs="Times New Roman"/>
                <w:sz w:val="22"/>
                <w:lang w:eastAsia="lv-LV"/>
              </w:rPr>
            </w:pPr>
            <w:r>
              <w:rPr>
                <w:rFonts w:eastAsia="Times New Roman" w:cs="Times New Roman"/>
                <w:sz w:val="22"/>
                <w:lang w:eastAsia="lv-LV"/>
              </w:rPr>
              <w:t>Oktobra prognoze</w:t>
            </w:r>
            <w:r w:rsidRPr="007447CC">
              <w:rPr>
                <w:rFonts w:eastAsia="Times New Roman" w:cs="Times New Roman"/>
                <w:sz w:val="18"/>
                <w:szCs w:val="18"/>
                <w:lang w:eastAsia="lv-LV"/>
              </w:rPr>
              <w:t>*</w:t>
            </w:r>
          </w:p>
        </w:tc>
        <w:tc>
          <w:tcPr>
            <w:tcW w:w="1180" w:type="dxa"/>
            <w:tcBorders>
              <w:top w:val="nil"/>
              <w:left w:val="nil"/>
              <w:bottom w:val="single" w:sz="4" w:space="0" w:color="auto"/>
              <w:right w:val="single" w:sz="4" w:space="0" w:color="auto"/>
            </w:tcBorders>
            <w:shd w:val="clear" w:color="auto" w:fill="auto"/>
            <w:noWrap/>
            <w:vAlign w:val="center"/>
            <w:hideMark/>
          </w:tcPr>
          <w:p w14:paraId="60E45B5C" w14:textId="77777777" w:rsidR="005A3253" w:rsidRPr="00B35192" w:rsidRDefault="005A3253" w:rsidP="00D60BC6">
            <w:pPr>
              <w:spacing w:before="0" w:after="0"/>
              <w:ind w:firstLine="0"/>
              <w:jc w:val="center"/>
              <w:rPr>
                <w:rFonts w:eastAsia="Times New Roman" w:cs="Times New Roman"/>
                <w:sz w:val="22"/>
                <w:lang w:eastAsia="lv-LV"/>
              </w:rPr>
            </w:pPr>
            <w:r>
              <w:rPr>
                <w:rFonts w:eastAsia="Times New Roman" w:cs="Times New Roman"/>
                <w:sz w:val="22"/>
                <w:lang w:eastAsia="lv-LV"/>
              </w:rPr>
              <w:t>43,6</w:t>
            </w:r>
            <w:r w:rsidRPr="00B35192">
              <w:rPr>
                <w:rFonts w:eastAsia="Times New Roman" w:cs="Times New Roman"/>
                <w:sz w:val="22"/>
                <w:lang w:eastAsia="lv-LV"/>
              </w:rPr>
              <w:t>%</w:t>
            </w:r>
          </w:p>
        </w:tc>
        <w:tc>
          <w:tcPr>
            <w:tcW w:w="1180" w:type="dxa"/>
            <w:tcBorders>
              <w:top w:val="nil"/>
              <w:left w:val="nil"/>
              <w:bottom w:val="single" w:sz="4" w:space="0" w:color="auto"/>
              <w:right w:val="single" w:sz="4" w:space="0" w:color="auto"/>
            </w:tcBorders>
            <w:shd w:val="clear" w:color="auto" w:fill="auto"/>
            <w:noWrap/>
            <w:vAlign w:val="center"/>
            <w:hideMark/>
          </w:tcPr>
          <w:p w14:paraId="3391C24C" w14:textId="77777777" w:rsidR="005A3253" w:rsidRPr="00B35192" w:rsidRDefault="005A3253" w:rsidP="00D60BC6">
            <w:pPr>
              <w:spacing w:before="0" w:after="0"/>
              <w:ind w:firstLine="0"/>
              <w:jc w:val="center"/>
              <w:rPr>
                <w:rFonts w:eastAsia="Times New Roman" w:cs="Times New Roman"/>
                <w:sz w:val="22"/>
                <w:lang w:eastAsia="lv-LV"/>
              </w:rPr>
            </w:pPr>
            <w:r>
              <w:rPr>
                <w:rFonts w:eastAsia="Times New Roman" w:cs="Times New Roman"/>
                <w:sz w:val="22"/>
                <w:lang w:eastAsia="lv-LV"/>
              </w:rPr>
              <w:t>42,0</w:t>
            </w:r>
            <w:r w:rsidRPr="00B35192">
              <w:rPr>
                <w:rFonts w:eastAsia="Times New Roman" w:cs="Times New Roman"/>
                <w:sz w:val="22"/>
                <w:lang w:eastAsia="lv-LV"/>
              </w:rPr>
              <w:t>%</w:t>
            </w:r>
          </w:p>
        </w:tc>
        <w:tc>
          <w:tcPr>
            <w:tcW w:w="1180" w:type="dxa"/>
            <w:tcBorders>
              <w:top w:val="nil"/>
              <w:left w:val="nil"/>
              <w:bottom w:val="single" w:sz="4" w:space="0" w:color="auto"/>
              <w:right w:val="single" w:sz="4" w:space="0" w:color="auto"/>
            </w:tcBorders>
            <w:shd w:val="clear" w:color="auto" w:fill="auto"/>
            <w:noWrap/>
            <w:vAlign w:val="center"/>
            <w:hideMark/>
          </w:tcPr>
          <w:p w14:paraId="79D7AA55" w14:textId="77777777" w:rsidR="005A3253" w:rsidRPr="00B35192" w:rsidRDefault="005A3253" w:rsidP="00D60BC6">
            <w:pPr>
              <w:spacing w:before="0" w:after="0"/>
              <w:ind w:firstLine="0"/>
              <w:jc w:val="center"/>
              <w:rPr>
                <w:rFonts w:eastAsia="Times New Roman" w:cs="Times New Roman"/>
                <w:sz w:val="22"/>
                <w:lang w:eastAsia="lv-LV"/>
              </w:rPr>
            </w:pPr>
            <w:r>
              <w:rPr>
                <w:rFonts w:eastAsia="Times New Roman" w:cs="Times New Roman"/>
                <w:sz w:val="22"/>
                <w:lang w:eastAsia="lv-LV"/>
              </w:rPr>
              <w:t>43,0</w:t>
            </w:r>
            <w:r w:rsidRPr="00B35192">
              <w:rPr>
                <w:rFonts w:eastAsia="Times New Roman" w:cs="Times New Roman"/>
                <w:sz w:val="22"/>
                <w:lang w:eastAsia="lv-LV"/>
              </w:rPr>
              <w:t>%</w:t>
            </w:r>
          </w:p>
        </w:tc>
        <w:tc>
          <w:tcPr>
            <w:tcW w:w="1180" w:type="dxa"/>
            <w:tcBorders>
              <w:top w:val="nil"/>
              <w:left w:val="nil"/>
              <w:bottom w:val="single" w:sz="4" w:space="0" w:color="auto"/>
              <w:right w:val="single" w:sz="4" w:space="0" w:color="auto"/>
            </w:tcBorders>
            <w:shd w:val="clear" w:color="auto" w:fill="auto"/>
            <w:noWrap/>
            <w:vAlign w:val="center"/>
            <w:hideMark/>
          </w:tcPr>
          <w:p w14:paraId="61AE7F14" w14:textId="77777777" w:rsidR="005A3253" w:rsidRPr="00B35192" w:rsidRDefault="005A3253" w:rsidP="00D60BC6">
            <w:pPr>
              <w:spacing w:before="0" w:after="0"/>
              <w:ind w:firstLine="0"/>
              <w:jc w:val="center"/>
              <w:rPr>
                <w:rFonts w:eastAsia="Times New Roman" w:cs="Times New Roman"/>
                <w:sz w:val="22"/>
                <w:lang w:eastAsia="lv-LV"/>
              </w:rPr>
            </w:pPr>
            <w:r>
              <w:rPr>
                <w:rFonts w:eastAsia="Times New Roman" w:cs="Times New Roman"/>
                <w:sz w:val="22"/>
                <w:lang w:eastAsia="lv-LV"/>
              </w:rPr>
              <w:t>42,4</w:t>
            </w:r>
            <w:r w:rsidRPr="00B35192">
              <w:rPr>
                <w:rFonts w:eastAsia="Times New Roman" w:cs="Times New Roman"/>
                <w:sz w:val="22"/>
                <w:lang w:eastAsia="lv-LV"/>
              </w:rPr>
              <w:t>%</w:t>
            </w:r>
          </w:p>
        </w:tc>
        <w:tc>
          <w:tcPr>
            <w:tcW w:w="1180" w:type="dxa"/>
            <w:tcBorders>
              <w:top w:val="nil"/>
              <w:left w:val="nil"/>
              <w:bottom w:val="single" w:sz="4" w:space="0" w:color="auto"/>
              <w:right w:val="single" w:sz="4" w:space="0" w:color="auto"/>
            </w:tcBorders>
            <w:shd w:val="clear" w:color="auto" w:fill="auto"/>
            <w:noWrap/>
            <w:vAlign w:val="center"/>
            <w:hideMark/>
          </w:tcPr>
          <w:p w14:paraId="7E4E1A5F" w14:textId="77777777" w:rsidR="005A3253" w:rsidRPr="00B35192" w:rsidRDefault="005A3253" w:rsidP="00D60BC6">
            <w:pPr>
              <w:spacing w:before="0" w:after="0"/>
              <w:ind w:firstLine="0"/>
              <w:jc w:val="center"/>
              <w:rPr>
                <w:rFonts w:eastAsia="Times New Roman" w:cs="Times New Roman"/>
                <w:sz w:val="22"/>
                <w:lang w:eastAsia="lv-LV"/>
              </w:rPr>
            </w:pPr>
            <w:r>
              <w:rPr>
                <w:rFonts w:eastAsia="Times New Roman" w:cs="Times New Roman"/>
                <w:sz w:val="22"/>
                <w:lang w:eastAsia="lv-LV"/>
              </w:rPr>
              <w:t>41,5</w:t>
            </w:r>
            <w:r w:rsidRPr="00B35192">
              <w:rPr>
                <w:rFonts w:eastAsia="Times New Roman" w:cs="Times New Roman"/>
                <w:sz w:val="22"/>
                <w:lang w:eastAsia="lv-LV"/>
              </w:rPr>
              <w:t>%</w:t>
            </w:r>
          </w:p>
        </w:tc>
      </w:tr>
      <w:tr w:rsidR="005A3253" w:rsidRPr="00B35192" w14:paraId="0040903E" w14:textId="77777777" w:rsidTr="00D60BC6">
        <w:trPr>
          <w:trHeight w:val="300"/>
        </w:trPr>
        <w:tc>
          <w:tcPr>
            <w:tcW w:w="3114" w:type="dxa"/>
            <w:tcBorders>
              <w:top w:val="nil"/>
              <w:left w:val="single" w:sz="4" w:space="0" w:color="auto"/>
              <w:bottom w:val="nil"/>
              <w:right w:val="single" w:sz="4" w:space="0" w:color="auto"/>
            </w:tcBorders>
            <w:shd w:val="clear" w:color="auto" w:fill="auto"/>
            <w:noWrap/>
            <w:vAlign w:val="center"/>
            <w:hideMark/>
          </w:tcPr>
          <w:p w14:paraId="3A73890D" w14:textId="174C3DA3" w:rsidR="005A3253" w:rsidRPr="00B35192" w:rsidRDefault="005A3253" w:rsidP="00D60BC6">
            <w:pPr>
              <w:spacing w:before="0" w:after="0"/>
              <w:ind w:firstLine="0"/>
              <w:jc w:val="left"/>
              <w:rPr>
                <w:rFonts w:eastAsia="Times New Roman" w:cs="Times New Roman"/>
                <w:sz w:val="22"/>
                <w:lang w:eastAsia="lv-LV"/>
              </w:rPr>
            </w:pPr>
            <w:r>
              <w:rPr>
                <w:rFonts w:eastAsia="Times New Roman" w:cs="Times New Roman"/>
                <w:sz w:val="22"/>
                <w:lang w:eastAsia="lv-LV"/>
              </w:rPr>
              <w:t xml:space="preserve">Aktuālais </w:t>
            </w:r>
            <w:r w:rsidRPr="00B35192">
              <w:rPr>
                <w:rFonts w:eastAsia="Times New Roman" w:cs="Times New Roman"/>
                <w:sz w:val="22"/>
                <w:lang w:eastAsia="lv-LV"/>
              </w:rPr>
              <w:t>scenārijs</w:t>
            </w:r>
          </w:p>
        </w:tc>
        <w:tc>
          <w:tcPr>
            <w:tcW w:w="1180" w:type="dxa"/>
            <w:tcBorders>
              <w:top w:val="nil"/>
              <w:left w:val="nil"/>
              <w:bottom w:val="nil"/>
              <w:right w:val="single" w:sz="4" w:space="0" w:color="auto"/>
            </w:tcBorders>
            <w:shd w:val="clear" w:color="auto" w:fill="auto"/>
            <w:noWrap/>
            <w:vAlign w:val="center"/>
            <w:hideMark/>
          </w:tcPr>
          <w:p w14:paraId="7D5D91C8" w14:textId="77777777" w:rsidR="005A3253" w:rsidRPr="00B35192" w:rsidRDefault="005A3253" w:rsidP="00D60BC6">
            <w:pPr>
              <w:spacing w:before="0" w:after="0"/>
              <w:ind w:firstLine="0"/>
              <w:jc w:val="center"/>
              <w:rPr>
                <w:rFonts w:eastAsia="Times New Roman" w:cs="Times New Roman"/>
                <w:sz w:val="22"/>
                <w:lang w:eastAsia="lv-LV"/>
              </w:rPr>
            </w:pPr>
            <w:r>
              <w:rPr>
                <w:rFonts w:eastAsia="Times New Roman" w:cs="Times New Roman"/>
                <w:sz w:val="22"/>
                <w:lang w:eastAsia="lv-LV"/>
              </w:rPr>
              <w:t>43,6</w:t>
            </w:r>
            <w:r w:rsidRPr="00B35192">
              <w:rPr>
                <w:rFonts w:eastAsia="Times New Roman" w:cs="Times New Roman"/>
                <w:sz w:val="22"/>
                <w:lang w:eastAsia="lv-LV"/>
              </w:rPr>
              <w:t>%</w:t>
            </w:r>
          </w:p>
        </w:tc>
        <w:tc>
          <w:tcPr>
            <w:tcW w:w="1180" w:type="dxa"/>
            <w:tcBorders>
              <w:top w:val="nil"/>
              <w:left w:val="nil"/>
              <w:bottom w:val="nil"/>
              <w:right w:val="single" w:sz="4" w:space="0" w:color="auto"/>
            </w:tcBorders>
            <w:shd w:val="clear" w:color="auto" w:fill="auto"/>
            <w:noWrap/>
            <w:vAlign w:val="center"/>
            <w:hideMark/>
          </w:tcPr>
          <w:p w14:paraId="09AEB29A" w14:textId="77777777" w:rsidR="005A3253" w:rsidRPr="00B35192" w:rsidRDefault="005A3253" w:rsidP="00D60BC6">
            <w:pPr>
              <w:spacing w:before="0" w:after="0"/>
              <w:ind w:firstLine="0"/>
              <w:jc w:val="center"/>
              <w:rPr>
                <w:rFonts w:eastAsia="Times New Roman" w:cs="Times New Roman"/>
                <w:sz w:val="22"/>
                <w:lang w:eastAsia="lv-LV"/>
              </w:rPr>
            </w:pPr>
            <w:r>
              <w:rPr>
                <w:rFonts w:eastAsia="Times New Roman" w:cs="Times New Roman"/>
                <w:sz w:val="22"/>
                <w:lang w:eastAsia="lv-LV"/>
              </w:rPr>
              <w:t>40,9</w:t>
            </w:r>
            <w:r w:rsidRPr="00B35192">
              <w:rPr>
                <w:rFonts w:eastAsia="Times New Roman" w:cs="Times New Roman"/>
                <w:sz w:val="22"/>
                <w:lang w:eastAsia="lv-LV"/>
              </w:rPr>
              <w:t>%</w:t>
            </w:r>
          </w:p>
        </w:tc>
        <w:tc>
          <w:tcPr>
            <w:tcW w:w="1180" w:type="dxa"/>
            <w:tcBorders>
              <w:top w:val="nil"/>
              <w:left w:val="nil"/>
              <w:bottom w:val="nil"/>
              <w:right w:val="single" w:sz="4" w:space="0" w:color="auto"/>
            </w:tcBorders>
            <w:shd w:val="clear" w:color="auto" w:fill="auto"/>
            <w:noWrap/>
            <w:vAlign w:val="center"/>
            <w:hideMark/>
          </w:tcPr>
          <w:p w14:paraId="0E0664B0" w14:textId="77777777" w:rsidR="005A3253" w:rsidRPr="00B35192" w:rsidRDefault="005A3253" w:rsidP="00D60BC6">
            <w:pPr>
              <w:spacing w:before="0" w:after="0"/>
              <w:ind w:firstLine="0"/>
              <w:jc w:val="center"/>
              <w:rPr>
                <w:rFonts w:eastAsia="Times New Roman" w:cs="Times New Roman"/>
                <w:sz w:val="22"/>
                <w:lang w:eastAsia="lv-LV"/>
              </w:rPr>
            </w:pPr>
            <w:r>
              <w:rPr>
                <w:rFonts w:eastAsia="Times New Roman" w:cs="Times New Roman"/>
                <w:sz w:val="22"/>
                <w:lang w:eastAsia="lv-LV"/>
              </w:rPr>
              <w:t>41,9</w:t>
            </w:r>
            <w:r w:rsidRPr="00B35192">
              <w:rPr>
                <w:rFonts w:eastAsia="Times New Roman" w:cs="Times New Roman"/>
                <w:sz w:val="22"/>
                <w:lang w:eastAsia="lv-LV"/>
              </w:rPr>
              <w:t>%</w:t>
            </w:r>
          </w:p>
        </w:tc>
        <w:tc>
          <w:tcPr>
            <w:tcW w:w="1180" w:type="dxa"/>
            <w:tcBorders>
              <w:top w:val="nil"/>
              <w:left w:val="nil"/>
              <w:bottom w:val="nil"/>
              <w:right w:val="single" w:sz="4" w:space="0" w:color="auto"/>
            </w:tcBorders>
            <w:shd w:val="clear" w:color="auto" w:fill="auto"/>
            <w:noWrap/>
            <w:vAlign w:val="center"/>
            <w:hideMark/>
          </w:tcPr>
          <w:p w14:paraId="265163E5" w14:textId="77777777" w:rsidR="005A3253" w:rsidRPr="00B35192" w:rsidRDefault="005A3253" w:rsidP="00D60BC6">
            <w:pPr>
              <w:spacing w:before="0" w:after="0"/>
              <w:ind w:firstLine="0"/>
              <w:jc w:val="center"/>
              <w:rPr>
                <w:rFonts w:eastAsia="Times New Roman" w:cs="Times New Roman"/>
                <w:sz w:val="22"/>
                <w:lang w:eastAsia="lv-LV"/>
              </w:rPr>
            </w:pPr>
            <w:r>
              <w:rPr>
                <w:rFonts w:eastAsia="Times New Roman" w:cs="Times New Roman"/>
                <w:sz w:val="22"/>
                <w:lang w:eastAsia="lv-LV"/>
              </w:rPr>
              <w:t>39,3</w:t>
            </w:r>
            <w:r w:rsidRPr="00B35192">
              <w:rPr>
                <w:rFonts w:eastAsia="Times New Roman" w:cs="Times New Roman"/>
                <w:sz w:val="22"/>
                <w:lang w:eastAsia="lv-LV"/>
              </w:rPr>
              <w:t>%</w:t>
            </w:r>
          </w:p>
        </w:tc>
        <w:tc>
          <w:tcPr>
            <w:tcW w:w="1180" w:type="dxa"/>
            <w:tcBorders>
              <w:top w:val="nil"/>
              <w:left w:val="nil"/>
              <w:bottom w:val="nil"/>
              <w:right w:val="single" w:sz="4" w:space="0" w:color="auto"/>
            </w:tcBorders>
            <w:shd w:val="clear" w:color="auto" w:fill="auto"/>
            <w:noWrap/>
            <w:vAlign w:val="center"/>
            <w:hideMark/>
          </w:tcPr>
          <w:p w14:paraId="1B720543" w14:textId="77777777" w:rsidR="005A3253" w:rsidRPr="00B35192" w:rsidRDefault="005A3253" w:rsidP="00D60BC6">
            <w:pPr>
              <w:spacing w:before="0" w:after="0"/>
              <w:ind w:firstLine="0"/>
              <w:jc w:val="center"/>
              <w:rPr>
                <w:rFonts w:eastAsia="Times New Roman" w:cs="Times New Roman"/>
                <w:sz w:val="22"/>
                <w:lang w:eastAsia="lv-LV"/>
              </w:rPr>
            </w:pPr>
            <w:r>
              <w:rPr>
                <w:rFonts w:eastAsia="Times New Roman" w:cs="Times New Roman"/>
                <w:sz w:val="22"/>
                <w:lang w:eastAsia="lv-LV"/>
              </w:rPr>
              <w:t>38,6</w:t>
            </w:r>
            <w:r w:rsidRPr="00B35192">
              <w:rPr>
                <w:rFonts w:eastAsia="Times New Roman" w:cs="Times New Roman"/>
                <w:sz w:val="22"/>
                <w:lang w:eastAsia="lv-LV"/>
              </w:rPr>
              <w:t>%</w:t>
            </w:r>
          </w:p>
        </w:tc>
      </w:tr>
      <w:tr w:rsidR="005A3253" w:rsidRPr="00B35192" w14:paraId="3799BFF0" w14:textId="77777777" w:rsidTr="00D60BC6">
        <w:trPr>
          <w:trHeight w:val="2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7EA5724" w14:textId="77777777" w:rsidR="005A3253" w:rsidRPr="00B35192" w:rsidRDefault="005A3253" w:rsidP="00D60BC6">
            <w:pPr>
              <w:spacing w:before="0" w:after="0"/>
              <w:ind w:firstLine="0"/>
              <w:jc w:val="right"/>
              <w:rPr>
                <w:rFonts w:eastAsia="Times New Roman" w:cs="Times New Roman"/>
                <w:i/>
                <w:iCs/>
                <w:sz w:val="20"/>
                <w:szCs w:val="20"/>
                <w:lang w:eastAsia="lv-LV"/>
              </w:rPr>
            </w:pPr>
            <w:r w:rsidRPr="00B35192">
              <w:rPr>
                <w:rFonts w:eastAsia="Times New Roman" w:cs="Times New Roman"/>
                <w:i/>
                <w:iCs/>
                <w:sz w:val="20"/>
                <w:szCs w:val="20"/>
                <w:lang w:eastAsia="lv-LV"/>
              </w:rPr>
              <w:t>samazinājums (-)/pieaugums (+)</w:t>
            </w:r>
            <w:r w:rsidRPr="007447CC">
              <w:rPr>
                <w:rFonts w:eastAsia="Times New Roman" w:cs="Times New Roman"/>
                <w:i/>
                <w:iCs/>
                <w:sz w:val="18"/>
                <w:szCs w:val="18"/>
                <w:lang w:eastAsia="lv-LV"/>
              </w:rPr>
              <w:t>**</w:t>
            </w:r>
          </w:p>
        </w:tc>
        <w:tc>
          <w:tcPr>
            <w:tcW w:w="1180" w:type="dxa"/>
            <w:tcBorders>
              <w:top w:val="nil"/>
              <w:left w:val="nil"/>
              <w:bottom w:val="single" w:sz="4" w:space="0" w:color="auto"/>
              <w:right w:val="single" w:sz="4" w:space="0" w:color="auto"/>
            </w:tcBorders>
            <w:shd w:val="clear" w:color="auto" w:fill="auto"/>
            <w:noWrap/>
            <w:vAlign w:val="center"/>
            <w:hideMark/>
          </w:tcPr>
          <w:p w14:paraId="041DD7E6" w14:textId="77777777" w:rsidR="005A3253" w:rsidRPr="00B35192" w:rsidRDefault="005A3253" w:rsidP="00D60BC6">
            <w:pPr>
              <w:spacing w:before="0" w:after="0"/>
              <w:ind w:firstLine="0"/>
              <w:jc w:val="center"/>
              <w:rPr>
                <w:rFonts w:eastAsia="Times New Roman" w:cs="Times New Roman"/>
                <w:i/>
                <w:iCs/>
                <w:sz w:val="20"/>
                <w:szCs w:val="20"/>
                <w:lang w:eastAsia="lv-LV"/>
              </w:rPr>
            </w:pPr>
            <w:r w:rsidRPr="00B35192">
              <w:rPr>
                <w:rFonts w:eastAsia="Times New Roman" w:cs="Times New Roman"/>
                <w:i/>
                <w:iCs/>
                <w:sz w:val="20"/>
                <w:szCs w:val="20"/>
                <w:lang w:eastAsia="lv-LV"/>
              </w:rPr>
              <w:t> </w:t>
            </w:r>
          </w:p>
        </w:tc>
        <w:tc>
          <w:tcPr>
            <w:tcW w:w="1180" w:type="dxa"/>
            <w:tcBorders>
              <w:top w:val="nil"/>
              <w:left w:val="nil"/>
              <w:bottom w:val="single" w:sz="4" w:space="0" w:color="auto"/>
              <w:right w:val="single" w:sz="4" w:space="0" w:color="auto"/>
            </w:tcBorders>
            <w:shd w:val="clear" w:color="auto" w:fill="auto"/>
            <w:noWrap/>
            <w:vAlign w:val="center"/>
            <w:hideMark/>
          </w:tcPr>
          <w:p w14:paraId="07F04FED" w14:textId="77777777" w:rsidR="005A3253" w:rsidRPr="00B35192" w:rsidRDefault="005A3253" w:rsidP="00D60BC6">
            <w:pPr>
              <w:spacing w:before="0" w:after="0"/>
              <w:ind w:firstLine="0"/>
              <w:jc w:val="center"/>
              <w:rPr>
                <w:rFonts w:eastAsia="Times New Roman" w:cs="Times New Roman"/>
                <w:i/>
                <w:iCs/>
                <w:sz w:val="20"/>
                <w:szCs w:val="20"/>
                <w:lang w:eastAsia="lv-LV"/>
              </w:rPr>
            </w:pPr>
            <w:r>
              <w:rPr>
                <w:rFonts w:eastAsia="Times New Roman" w:cs="Times New Roman"/>
                <w:i/>
                <w:iCs/>
                <w:sz w:val="20"/>
                <w:szCs w:val="20"/>
                <w:lang w:eastAsia="lv-LV"/>
              </w:rPr>
              <w:t>-1,1</w:t>
            </w:r>
            <w:r w:rsidRPr="00B35192">
              <w:rPr>
                <w:rFonts w:eastAsia="Times New Roman" w:cs="Times New Roman"/>
                <w:i/>
                <w:iCs/>
                <w:sz w:val="20"/>
                <w:szCs w:val="20"/>
                <w:lang w:eastAsia="lv-LV"/>
              </w:rPr>
              <w:t>%</w:t>
            </w:r>
          </w:p>
        </w:tc>
        <w:tc>
          <w:tcPr>
            <w:tcW w:w="1180" w:type="dxa"/>
            <w:tcBorders>
              <w:top w:val="nil"/>
              <w:left w:val="nil"/>
              <w:bottom w:val="single" w:sz="4" w:space="0" w:color="auto"/>
              <w:right w:val="single" w:sz="4" w:space="0" w:color="auto"/>
            </w:tcBorders>
            <w:shd w:val="clear" w:color="auto" w:fill="auto"/>
            <w:noWrap/>
            <w:vAlign w:val="center"/>
            <w:hideMark/>
          </w:tcPr>
          <w:p w14:paraId="2936E182" w14:textId="77777777" w:rsidR="005A3253" w:rsidRPr="00B35192" w:rsidRDefault="005A3253" w:rsidP="00D60BC6">
            <w:pPr>
              <w:spacing w:before="0" w:after="0"/>
              <w:ind w:firstLine="0"/>
              <w:jc w:val="center"/>
              <w:rPr>
                <w:rFonts w:eastAsia="Times New Roman" w:cs="Times New Roman"/>
                <w:i/>
                <w:iCs/>
                <w:sz w:val="20"/>
                <w:szCs w:val="20"/>
                <w:lang w:eastAsia="lv-LV"/>
              </w:rPr>
            </w:pPr>
            <w:r w:rsidRPr="00B35192">
              <w:rPr>
                <w:rFonts w:eastAsia="Times New Roman" w:cs="Times New Roman"/>
                <w:i/>
                <w:iCs/>
                <w:sz w:val="20"/>
                <w:szCs w:val="20"/>
                <w:lang w:eastAsia="lv-LV"/>
              </w:rPr>
              <w:t>-</w:t>
            </w:r>
            <w:r>
              <w:rPr>
                <w:rFonts w:eastAsia="Times New Roman" w:cs="Times New Roman"/>
                <w:i/>
                <w:iCs/>
                <w:sz w:val="20"/>
                <w:szCs w:val="20"/>
                <w:lang w:eastAsia="lv-LV"/>
              </w:rPr>
              <w:t>1,1</w:t>
            </w:r>
            <w:r w:rsidRPr="00B35192">
              <w:rPr>
                <w:rFonts w:eastAsia="Times New Roman" w:cs="Times New Roman"/>
                <w:i/>
                <w:iCs/>
                <w:sz w:val="20"/>
                <w:szCs w:val="20"/>
                <w:lang w:eastAsia="lv-LV"/>
              </w:rPr>
              <w:t>%</w:t>
            </w:r>
          </w:p>
        </w:tc>
        <w:tc>
          <w:tcPr>
            <w:tcW w:w="1180" w:type="dxa"/>
            <w:tcBorders>
              <w:top w:val="nil"/>
              <w:left w:val="nil"/>
              <w:bottom w:val="single" w:sz="4" w:space="0" w:color="auto"/>
              <w:right w:val="single" w:sz="4" w:space="0" w:color="auto"/>
            </w:tcBorders>
            <w:shd w:val="clear" w:color="auto" w:fill="auto"/>
            <w:noWrap/>
            <w:vAlign w:val="center"/>
            <w:hideMark/>
          </w:tcPr>
          <w:p w14:paraId="39760AB9" w14:textId="77777777" w:rsidR="005A3253" w:rsidRPr="00B35192" w:rsidRDefault="005A3253" w:rsidP="00D60BC6">
            <w:pPr>
              <w:spacing w:before="0" w:after="0"/>
              <w:ind w:firstLine="0"/>
              <w:jc w:val="center"/>
              <w:rPr>
                <w:rFonts w:eastAsia="Times New Roman" w:cs="Times New Roman"/>
                <w:i/>
                <w:iCs/>
                <w:sz w:val="20"/>
                <w:szCs w:val="20"/>
                <w:lang w:eastAsia="lv-LV"/>
              </w:rPr>
            </w:pPr>
            <w:r>
              <w:rPr>
                <w:rFonts w:eastAsia="Times New Roman" w:cs="Times New Roman"/>
                <w:i/>
                <w:iCs/>
                <w:sz w:val="20"/>
                <w:szCs w:val="20"/>
                <w:lang w:eastAsia="lv-LV"/>
              </w:rPr>
              <w:t>-3,1</w:t>
            </w:r>
            <w:r w:rsidRPr="00B35192">
              <w:rPr>
                <w:rFonts w:eastAsia="Times New Roman" w:cs="Times New Roman"/>
                <w:i/>
                <w:iCs/>
                <w:sz w:val="20"/>
                <w:szCs w:val="20"/>
                <w:lang w:eastAsia="lv-LV"/>
              </w:rPr>
              <w:t>%</w:t>
            </w:r>
          </w:p>
        </w:tc>
        <w:tc>
          <w:tcPr>
            <w:tcW w:w="1180" w:type="dxa"/>
            <w:tcBorders>
              <w:top w:val="nil"/>
              <w:left w:val="nil"/>
              <w:bottom w:val="single" w:sz="4" w:space="0" w:color="auto"/>
              <w:right w:val="single" w:sz="4" w:space="0" w:color="auto"/>
            </w:tcBorders>
            <w:shd w:val="clear" w:color="auto" w:fill="auto"/>
            <w:noWrap/>
            <w:vAlign w:val="center"/>
            <w:hideMark/>
          </w:tcPr>
          <w:p w14:paraId="00863487" w14:textId="77777777" w:rsidR="005A3253" w:rsidRPr="00B35192" w:rsidRDefault="005A3253" w:rsidP="00D60BC6">
            <w:pPr>
              <w:spacing w:before="0" w:after="0"/>
              <w:ind w:firstLine="0"/>
              <w:jc w:val="center"/>
              <w:rPr>
                <w:rFonts w:eastAsia="Times New Roman" w:cs="Times New Roman"/>
                <w:i/>
                <w:iCs/>
                <w:sz w:val="20"/>
                <w:szCs w:val="20"/>
                <w:lang w:eastAsia="lv-LV"/>
              </w:rPr>
            </w:pPr>
            <w:r w:rsidRPr="00B35192">
              <w:rPr>
                <w:rFonts w:eastAsia="Times New Roman" w:cs="Times New Roman"/>
                <w:i/>
                <w:iCs/>
                <w:sz w:val="20"/>
                <w:szCs w:val="20"/>
                <w:lang w:eastAsia="lv-LV"/>
              </w:rPr>
              <w:t>-</w:t>
            </w:r>
            <w:r>
              <w:rPr>
                <w:rFonts w:eastAsia="Times New Roman" w:cs="Times New Roman"/>
                <w:i/>
                <w:iCs/>
                <w:sz w:val="20"/>
                <w:szCs w:val="20"/>
                <w:lang w:eastAsia="lv-LV"/>
              </w:rPr>
              <w:t>2,9</w:t>
            </w:r>
            <w:r w:rsidRPr="00B35192">
              <w:rPr>
                <w:rFonts w:eastAsia="Times New Roman" w:cs="Times New Roman"/>
                <w:i/>
                <w:iCs/>
                <w:sz w:val="20"/>
                <w:szCs w:val="20"/>
                <w:lang w:eastAsia="lv-LV"/>
              </w:rPr>
              <w:t>%</w:t>
            </w:r>
          </w:p>
        </w:tc>
      </w:tr>
    </w:tbl>
    <w:p w14:paraId="20652A11" w14:textId="3ADC3590" w:rsidR="005A3253" w:rsidRDefault="005A3253" w:rsidP="005A3253">
      <w:pPr>
        <w:spacing w:before="0"/>
        <w:ind w:firstLine="0"/>
        <w:rPr>
          <w:i/>
          <w:sz w:val="20"/>
        </w:rPr>
      </w:pPr>
      <w:r w:rsidRPr="00B35192">
        <w:rPr>
          <w:i/>
          <w:sz w:val="20"/>
        </w:rPr>
        <w:t xml:space="preserve">* </w:t>
      </w:r>
      <w:r w:rsidR="007447CC">
        <w:rPr>
          <w:i/>
          <w:sz w:val="20"/>
        </w:rPr>
        <w:t>Šā gada</w:t>
      </w:r>
      <w:r w:rsidRPr="00AF32D7">
        <w:rPr>
          <w:i/>
          <w:sz w:val="20"/>
        </w:rPr>
        <w:t xml:space="preserve"> 11.oktobra Ministru kabineta sēdē izskatīt</w:t>
      </w:r>
      <w:r>
        <w:rPr>
          <w:i/>
          <w:sz w:val="20"/>
        </w:rPr>
        <w:t>ais</w:t>
      </w:r>
      <w:r w:rsidRPr="00AF32D7">
        <w:rPr>
          <w:i/>
          <w:sz w:val="20"/>
        </w:rPr>
        <w:t xml:space="preserve"> ziņojum</w:t>
      </w:r>
      <w:r>
        <w:rPr>
          <w:i/>
          <w:sz w:val="20"/>
        </w:rPr>
        <w:t>s</w:t>
      </w:r>
      <w:r w:rsidRPr="00AF32D7">
        <w:rPr>
          <w:i/>
          <w:sz w:val="20"/>
        </w:rPr>
        <w:t xml:space="preserve"> “Par makroekonomisko rādītāju, ieņēmumu un vispārējās valdības budžeta bilances prognozēm 2023., 2024. un 2025. gadā”</w:t>
      </w:r>
      <w:r w:rsidR="007447CC">
        <w:rPr>
          <w:i/>
          <w:sz w:val="20"/>
        </w:rPr>
        <w:t>.</w:t>
      </w:r>
    </w:p>
    <w:p w14:paraId="640B7EE1" w14:textId="103420D5" w:rsidR="005A3253" w:rsidRDefault="005A3253" w:rsidP="005A3253">
      <w:pPr>
        <w:spacing w:before="0"/>
        <w:ind w:firstLine="0"/>
      </w:pPr>
      <w:r>
        <w:rPr>
          <w:i/>
          <w:sz w:val="20"/>
        </w:rPr>
        <w:t xml:space="preserve">** </w:t>
      </w:r>
      <w:r w:rsidR="007447CC">
        <w:rPr>
          <w:i/>
          <w:sz w:val="20"/>
        </w:rPr>
        <w:t>S</w:t>
      </w:r>
      <w:r w:rsidRPr="00B35192">
        <w:rPr>
          <w:i/>
          <w:sz w:val="20"/>
        </w:rPr>
        <w:t xml:space="preserve">alīdzinot ar </w:t>
      </w:r>
      <w:r w:rsidRPr="00321D2B">
        <w:rPr>
          <w:i/>
          <w:sz w:val="20"/>
        </w:rPr>
        <w:t>š</w:t>
      </w:r>
      <w:r w:rsidR="007447CC">
        <w:rPr>
          <w:i/>
          <w:sz w:val="20"/>
        </w:rPr>
        <w:t>ā gada</w:t>
      </w:r>
      <w:r w:rsidRPr="00321D2B">
        <w:rPr>
          <w:i/>
          <w:sz w:val="20"/>
        </w:rPr>
        <w:t xml:space="preserve"> 11.oktobra Ministru kabineta sēdē izskatītajā ziņojumā “Par makroekonomisko rādītāju, ieņēmumu un vispārējās valdības budžeta bilances prognozēm 2023., 2024. un 2025. gadā” iekļautajām prognozēm</w:t>
      </w:r>
      <w:r w:rsidR="007447CC">
        <w:rPr>
          <w:i/>
          <w:sz w:val="20"/>
        </w:rPr>
        <w:t>.</w:t>
      </w:r>
    </w:p>
    <w:p w14:paraId="280F5A20" w14:textId="110016BD" w:rsidR="005A3253" w:rsidRDefault="005A3253" w:rsidP="005A3253">
      <w:r w:rsidRPr="00A7668E">
        <w:rPr>
          <w:color w:val="000000" w:themeColor="text1"/>
          <w:szCs w:val="24"/>
        </w:rPr>
        <w:t xml:space="preserve">Izmaiņas noteica galvenokārt </w:t>
      </w:r>
      <w:r>
        <w:rPr>
          <w:color w:val="000000" w:themeColor="text1"/>
          <w:szCs w:val="24"/>
        </w:rPr>
        <w:t>vispārējās valdības budžeta b</w:t>
      </w:r>
      <w:r w:rsidRPr="00106A22">
        <w:rPr>
          <w:color w:val="000000" w:themeColor="text1"/>
          <w:szCs w:val="24"/>
        </w:rPr>
        <w:t>ilances uzlabošan</w:t>
      </w:r>
      <w:r w:rsidR="007447CC">
        <w:rPr>
          <w:color w:val="000000" w:themeColor="text1"/>
          <w:szCs w:val="24"/>
        </w:rPr>
        <w:t>ās</w:t>
      </w:r>
      <w:r w:rsidRPr="00106A22">
        <w:rPr>
          <w:color w:val="000000" w:themeColor="text1"/>
          <w:szCs w:val="24"/>
        </w:rPr>
        <w:t xml:space="preserve"> vidējā termiņā</w:t>
      </w:r>
      <w:r>
        <w:rPr>
          <w:color w:val="000000" w:themeColor="text1"/>
          <w:szCs w:val="24"/>
        </w:rPr>
        <w:t>, pateicoties lielākiem</w:t>
      </w:r>
      <w:r w:rsidRPr="00106A22">
        <w:rPr>
          <w:color w:val="000000" w:themeColor="text1"/>
          <w:szCs w:val="24"/>
        </w:rPr>
        <w:t xml:space="preserve">, salīdzinot ar oktobra prognozi, </w:t>
      </w:r>
      <w:r>
        <w:rPr>
          <w:color w:val="000000" w:themeColor="text1"/>
          <w:szCs w:val="24"/>
        </w:rPr>
        <w:t xml:space="preserve">prognozētajiem </w:t>
      </w:r>
      <w:r w:rsidRPr="00106A22">
        <w:rPr>
          <w:color w:val="000000" w:themeColor="text1"/>
          <w:szCs w:val="24"/>
        </w:rPr>
        <w:t xml:space="preserve">vispārējās valdības </w:t>
      </w:r>
      <w:r w:rsidRPr="00106A22">
        <w:rPr>
          <w:noProof/>
          <w:color w:val="000000" w:themeColor="text1"/>
          <w:szCs w:val="24"/>
        </w:rPr>
        <w:t>nodokļu un nenodokļu ieņēmumi</w:t>
      </w:r>
      <w:r>
        <w:rPr>
          <w:noProof/>
          <w:color w:val="000000" w:themeColor="text1"/>
          <w:szCs w:val="24"/>
        </w:rPr>
        <w:t xml:space="preserve">em, kā rezultātā tika pārskatīti aizņemšanās apjomi vidējā termiņā. Izmaiņas ietekmēja arī aktualizētās IKP prognozes, atbilstoši kurām </w:t>
      </w:r>
      <w:r w:rsidRPr="00A7668E">
        <w:rPr>
          <w:noProof/>
          <w:color w:val="000000" w:themeColor="text1"/>
          <w:szCs w:val="24"/>
        </w:rPr>
        <w:t>IKP nominālvērtīb</w:t>
      </w:r>
      <w:r>
        <w:rPr>
          <w:noProof/>
          <w:color w:val="000000" w:themeColor="text1"/>
          <w:szCs w:val="24"/>
        </w:rPr>
        <w:t>a vidējā termiņā ir lielāka</w:t>
      </w:r>
      <w:r w:rsidRPr="00106A22">
        <w:rPr>
          <w:noProof/>
          <w:color w:val="000000" w:themeColor="text1"/>
          <w:szCs w:val="24"/>
        </w:rPr>
        <w:t>, salīdzinot</w:t>
      </w:r>
      <w:r w:rsidRPr="00106A22">
        <w:rPr>
          <w:color w:val="000000" w:themeColor="text1"/>
          <w:szCs w:val="24"/>
        </w:rPr>
        <w:t xml:space="preserve"> ar oktobra</w:t>
      </w:r>
      <w:r>
        <w:rPr>
          <w:color w:val="000000" w:themeColor="text1"/>
          <w:szCs w:val="24"/>
        </w:rPr>
        <w:t xml:space="preserve"> prognozi, tādējādi ietekmēj</w:t>
      </w:r>
      <w:r w:rsidR="007447CC">
        <w:rPr>
          <w:color w:val="000000" w:themeColor="text1"/>
          <w:szCs w:val="24"/>
        </w:rPr>
        <w:t>ot</w:t>
      </w:r>
      <w:r w:rsidRPr="00A7668E" w:rsidDel="003442B6">
        <w:rPr>
          <w:color w:val="000000" w:themeColor="text1"/>
          <w:szCs w:val="24"/>
        </w:rPr>
        <w:t xml:space="preserve"> </w:t>
      </w:r>
      <w:r w:rsidRPr="00A7668E">
        <w:rPr>
          <w:color w:val="000000" w:themeColor="text1"/>
          <w:szCs w:val="24"/>
        </w:rPr>
        <w:t>vispārējās valdības parāda līme</w:t>
      </w:r>
      <w:r>
        <w:rPr>
          <w:color w:val="000000" w:themeColor="text1"/>
          <w:szCs w:val="24"/>
        </w:rPr>
        <w:t>ņu samazināšanos</w:t>
      </w:r>
      <w:r w:rsidRPr="00A7668E">
        <w:rPr>
          <w:color w:val="000000" w:themeColor="text1"/>
          <w:szCs w:val="24"/>
        </w:rPr>
        <w:t xml:space="preserve"> attiecībā pret IKP</w:t>
      </w:r>
      <w:r>
        <w:rPr>
          <w:color w:val="000000" w:themeColor="text1"/>
          <w:szCs w:val="24"/>
        </w:rPr>
        <w:t xml:space="preserve"> gan 2022.</w:t>
      </w:r>
      <w:r w:rsidR="007447CC">
        <w:rPr>
          <w:color w:val="000000" w:themeColor="text1"/>
          <w:szCs w:val="24"/>
        </w:rPr>
        <w:t> </w:t>
      </w:r>
      <w:r>
        <w:rPr>
          <w:color w:val="000000" w:themeColor="text1"/>
          <w:szCs w:val="24"/>
        </w:rPr>
        <w:t>gadā, gan vidējā termiņā</w:t>
      </w:r>
      <w:r w:rsidRPr="00A7668E">
        <w:rPr>
          <w:color w:val="000000" w:themeColor="text1"/>
          <w:szCs w:val="24"/>
        </w:rPr>
        <w:t xml:space="preserve">. </w:t>
      </w:r>
    </w:p>
    <w:p w14:paraId="0138629B" w14:textId="77777777" w:rsidR="006437F9" w:rsidRDefault="006437F9" w:rsidP="006437F9">
      <w:pPr>
        <w:rPr>
          <w:color w:val="000000" w:themeColor="text1"/>
          <w:szCs w:val="24"/>
        </w:rPr>
      </w:pPr>
      <w:r>
        <w:rPr>
          <w:color w:val="000000" w:themeColor="text1"/>
          <w:szCs w:val="24"/>
        </w:rPr>
        <w:t>Vispārējās valdības parāda pieauguma tendences iepriekšējos divos gados noteica atbalsta pasākumu īstenošana Covid-19 uzliesmojuma ietekmes mazināšanai. Savukārt, šogad un nākamgad tā līmeni ietekmē atbalsta pasākumi energoresursu cenu pieauguma kompensēšanai.</w:t>
      </w:r>
    </w:p>
    <w:p w14:paraId="7E4EA45B" w14:textId="788F479E" w:rsidR="005A3253" w:rsidRDefault="005A3253" w:rsidP="005A3253">
      <w:pPr>
        <w:rPr>
          <w:color w:val="000000" w:themeColor="text1"/>
          <w:szCs w:val="24"/>
        </w:rPr>
      </w:pPr>
      <w:r w:rsidRPr="00E63130">
        <w:rPr>
          <w:color w:val="000000" w:themeColor="text1"/>
          <w:szCs w:val="24"/>
        </w:rPr>
        <w:t>Atbilstoši aktuālajam novērtējumam, k</w:t>
      </w:r>
      <w:r>
        <w:rPr>
          <w:color w:val="000000" w:themeColor="text1"/>
          <w:szCs w:val="24"/>
        </w:rPr>
        <w:t>as</w:t>
      </w:r>
      <w:r w:rsidRPr="00E63130">
        <w:rPr>
          <w:color w:val="000000" w:themeColor="text1"/>
          <w:szCs w:val="24"/>
        </w:rPr>
        <w:t xml:space="preserve"> sagatavots joprojām lielas nenoteiktības apstākļos, sagaidāms, ka </w:t>
      </w:r>
      <w:r w:rsidRPr="002D312C">
        <w:rPr>
          <w:color w:val="000000" w:themeColor="text1"/>
          <w:szCs w:val="24"/>
        </w:rPr>
        <w:t xml:space="preserve">vispārējās valdības parāda līmenis </w:t>
      </w:r>
      <w:r>
        <w:rPr>
          <w:color w:val="000000" w:themeColor="text1"/>
          <w:szCs w:val="24"/>
        </w:rPr>
        <w:t>uz 2022.</w:t>
      </w:r>
      <w:r w:rsidR="007447CC">
        <w:rPr>
          <w:color w:val="000000" w:themeColor="text1"/>
          <w:szCs w:val="24"/>
        </w:rPr>
        <w:t> </w:t>
      </w:r>
      <w:r>
        <w:rPr>
          <w:color w:val="000000" w:themeColor="text1"/>
          <w:szCs w:val="24"/>
        </w:rPr>
        <w:t>gada beigām varētu veidot ap 41</w:t>
      </w:r>
      <w:r w:rsidRPr="002D312C">
        <w:rPr>
          <w:color w:val="000000" w:themeColor="text1"/>
          <w:szCs w:val="24"/>
        </w:rPr>
        <w:t xml:space="preserve">% no IKP </w:t>
      </w:r>
      <w:r>
        <w:rPr>
          <w:color w:val="000000" w:themeColor="text1"/>
          <w:szCs w:val="24"/>
        </w:rPr>
        <w:t>un 42% no IKP uz 2023.</w:t>
      </w:r>
      <w:r w:rsidR="007447CC">
        <w:rPr>
          <w:color w:val="000000" w:themeColor="text1"/>
          <w:szCs w:val="24"/>
        </w:rPr>
        <w:t> </w:t>
      </w:r>
      <w:r>
        <w:rPr>
          <w:color w:val="000000" w:themeColor="text1"/>
          <w:szCs w:val="24"/>
        </w:rPr>
        <w:t>gada beigām</w:t>
      </w:r>
      <w:r w:rsidR="007447CC">
        <w:rPr>
          <w:color w:val="000000" w:themeColor="text1"/>
          <w:szCs w:val="24"/>
        </w:rPr>
        <w:t xml:space="preserve">. </w:t>
      </w:r>
      <w:r>
        <w:rPr>
          <w:color w:val="000000" w:themeColor="text1"/>
          <w:szCs w:val="24"/>
        </w:rPr>
        <w:t>Prognozējams, ka, sākot ar 2024.</w:t>
      </w:r>
      <w:r w:rsidR="007447CC">
        <w:rPr>
          <w:color w:val="000000" w:themeColor="text1"/>
          <w:szCs w:val="24"/>
        </w:rPr>
        <w:t> </w:t>
      </w:r>
      <w:r>
        <w:rPr>
          <w:color w:val="000000" w:themeColor="text1"/>
          <w:szCs w:val="24"/>
        </w:rPr>
        <w:t>gadu, vispārējās valdības parāda līmenis būs zem 40% no IKP ar nelielu samazināšanās tendenci</w:t>
      </w:r>
      <w:r w:rsidR="007447CC">
        <w:rPr>
          <w:color w:val="000000" w:themeColor="text1"/>
          <w:szCs w:val="24"/>
        </w:rPr>
        <w:t>, tādējādi</w:t>
      </w:r>
      <w:r w:rsidR="0001442E">
        <w:rPr>
          <w:color w:val="000000" w:themeColor="text1"/>
          <w:szCs w:val="24"/>
        </w:rPr>
        <w:t xml:space="preserve"> vidējā termiņā ievērojot</w:t>
      </w:r>
      <w:r>
        <w:rPr>
          <w:color w:val="000000" w:themeColor="text1"/>
          <w:szCs w:val="24"/>
        </w:rPr>
        <w:t xml:space="preserve"> </w:t>
      </w:r>
      <w:r w:rsidRPr="002D312C">
        <w:rPr>
          <w:color w:val="000000" w:themeColor="text1"/>
          <w:szCs w:val="24"/>
        </w:rPr>
        <w:t>Fiskālās disciplīnas likumā noteikt</w:t>
      </w:r>
      <w:r w:rsidR="0001442E">
        <w:rPr>
          <w:color w:val="000000" w:themeColor="text1"/>
          <w:szCs w:val="24"/>
        </w:rPr>
        <w:t>o</w:t>
      </w:r>
      <w:r w:rsidRPr="002D312C">
        <w:rPr>
          <w:color w:val="000000" w:themeColor="text1"/>
          <w:szCs w:val="24"/>
        </w:rPr>
        <w:t xml:space="preserve"> parāda nosacījum</w:t>
      </w:r>
      <w:r w:rsidR="0001442E">
        <w:rPr>
          <w:color w:val="000000" w:themeColor="text1"/>
          <w:szCs w:val="24"/>
        </w:rPr>
        <w:t xml:space="preserve">u </w:t>
      </w:r>
      <w:r>
        <w:rPr>
          <w:color w:val="000000" w:themeColor="text1"/>
          <w:szCs w:val="24"/>
        </w:rPr>
        <w:t>(</w:t>
      </w:r>
      <w:r w:rsidRPr="002D312C">
        <w:rPr>
          <w:color w:val="000000" w:themeColor="text1"/>
          <w:szCs w:val="24"/>
        </w:rPr>
        <w:t>60% no IKP</w:t>
      </w:r>
      <w:r>
        <w:rPr>
          <w:color w:val="000000" w:themeColor="text1"/>
          <w:szCs w:val="24"/>
        </w:rPr>
        <w:t>)</w:t>
      </w:r>
      <w:r w:rsidR="0001442E">
        <w:t>.</w:t>
      </w:r>
    </w:p>
    <w:p w14:paraId="2FCBC6CD" w14:textId="77777777" w:rsidR="00422CD1" w:rsidRPr="00E867D9" w:rsidRDefault="00422CD1" w:rsidP="00BD5F81">
      <w:pPr>
        <w:rPr>
          <w:color w:val="000000" w:themeColor="text1"/>
          <w:szCs w:val="24"/>
        </w:rPr>
      </w:pPr>
    </w:p>
    <w:p w14:paraId="27C0DE1F" w14:textId="77777777" w:rsidR="001D3FB0" w:rsidRPr="00E867D9" w:rsidRDefault="001D3FB0" w:rsidP="00AD19DB">
      <w:pPr>
        <w:spacing w:before="60" w:after="60"/>
        <w:ind w:firstLine="0"/>
        <w:jc w:val="left"/>
        <w:rPr>
          <w:rFonts w:eastAsiaTheme="majorEastAsia" w:cstheme="majorBidi"/>
          <w:b/>
          <w:szCs w:val="24"/>
          <w:highlight w:val="yellow"/>
        </w:rPr>
      </w:pPr>
      <w:r w:rsidRPr="00E867D9">
        <w:rPr>
          <w:szCs w:val="24"/>
          <w:highlight w:val="yellow"/>
        </w:rPr>
        <w:br w:type="page"/>
      </w:r>
    </w:p>
    <w:p w14:paraId="46A7DDE3" w14:textId="569AA2F4" w:rsidR="00553819" w:rsidRPr="00553819" w:rsidRDefault="00B008E5" w:rsidP="00553819">
      <w:pPr>
        <w:pStyle w:val="Heading1"/>
        <w:ind w:left="360"/>
        <w:rPr>
          <w:sz w:val="28"/>
          <w:szCs w:val="28"/>
        </w:rPr>
      </w:pPr>
      <w:bookmarkStart w:id="34" w:name="_Toc122369565"/>
      <w:bookmarkStart w:id="35" w:name="_Toc16665007"/>
      <w:bookmarkStart w:id="36" w:name="_Toc403038748"/>
      <w:r w:rsidRPr="00553819">
        <w:rPr>
          <w:sz w:val="28"/>
          <w:szCs w:val="28"/>
        </w:rPr>
        <w:lastRenderedPageBreak/>
        <w:t>Fiskālās politikas nosacījumi</w:t>
      </w:r>
      <w:r w:rsidR="004B6B5C" w:rsidRPr="00553819">
        <w:rPr>
          <w:sz w:val="28"/>
          <w:szCs w:val="28"/>
        </w:rPr>
        <w:t xml:space="preserve"> un</w:t>
      </w:r>
      <w:r w:rsidR="00E73727" w:rsidRPr="00553819">
        <w:rPr>
          <w:sz w:val="28"/>
          <w:szCs w:val="28"/>
        </w:rPr>
        <w:t xml:space="preserve"> </w:t>
      </w:r>
      <w:r w:rsidR="004B6B5C" w:rsidRPr="00553819">
        <w:rPr>
          <w:sz w:val="28"/>
          <w:szCs w:val="28"/>
        </w:rPr>
        <w:t>fiskālā telpa</w:t>
      </w:r>
      <w:r w:rsidR="005E2E80" w:rsidRPr="00553819">
        <w:rPr>
          <w:sz w:val="28"/>
          <w:szCs w:val="28"/>
        </w:rPr>
        <w:t xml:space="preserve"> </w:t>
      </w:r>
      <w:r w:rsidR="004B6B5C" w:rsidRPr="00553819">
        <w:rPr>
          <w:sz w:val="28"/>
          <w:szCs w:val="28"/>
        </w:rPr>
        <w:t>202</w:t>
      </w:r>
      <w:r w:rsidR="005E2E80" w:rsidRPr="00553819">
        <w:rPr>
          <w:sz w:val="28"/>
          <w:szCs w:val="28"/>
        </w:rPr>
        <w:t>3</w:t>
      </w:r>
      <w:r w:rsidR="004B6B5C" w:rsidRPr="00553819">
        <w:rPr>
          <w:sz w:val="28"/>
          <w:szCs w:val="28"/>
        </w:rPr>
        <w:t>.-202</w:t>
      </w:r>
      <w:r w:rsidR="005E2E80" w:rsidRPr="00553819">
        <w:rPr>
          <w:sz w:val="28"/>
          <w:szCs w:val="28"/>
        </w:rPr>
        <w:t>5</w:t>
      </w:r>
      <w:r w:rsidR="004B6B5C" w:rsidRPr="00553819">
        <w:rPr>
          <w:sz w:val="28"/>
          <w:szCs w:val="28"/>
        </w:rPr>
        <w:t>.</w:t>
      </w:r>
      <w:r w:rsidR="006A7261">
        <w:rPr>
          <w:sz w:val="28"/>
          <w:szCs w:val="28"/>
        </w:rPr>
        <w:t> </w:t>
      </w:r>
      <w:r w:rsidR="004B6B5C" w:rsidRPr="00553819">
        <w:rPr>
          <w:sz w:val="28"/>
          <w:szCs w:val="28"/>
        </w:rPr>
        <w:t>gadam</w:t>
      </w:r>
      <w:bookmarkEnd w:id="34"/>
      <w:r w:rsidRPr="00553819">
        <w:rPr>
          <w:sz w:val="28"/>
          <w:szCs w:val="28"/>
        </w:rPr>
        <w:t xml:space="preserve"> </w:t>
      </w:r>
      <w:bookmarkEnd w:id="35"/>
    </w:p>
    <w:p w14:paraId="30F83A7D" w14:textId="5B7855D5" w:rsidR="00553819" w:rsidRPr="00553819" w:rsidRDefault="00553819" w:rsidP="00553819">
      <w:pPr>
        <w:rPr>
          <w:noProof/>
          <w:color w:val="000000" w:themeColor="text1"/>
          <w:szCs w:val="24"/>
        </w:rPr>
      </w:pPr>
      <w:r w:rsidRPr="00553819">
        <w:rPr>
          <w:color w:val="000000" w:themeColor="text1"/>
          <w:szCs w:val="24"/>
        </w:rPr>
        <w:t xml:space="preserve">Fiskālas telpas aprēķins ir sagatavots atbilstoši Latvijas Stabilitātes programmā noteiktajai fiskālās politikas stratēģijai, kas balstās uz </w:t>
      </w:r>
      <w:bookmarkStart w:id="37" w:name="_Hlk114663328"/>
      <w:r w:rsidRPr="00553819">
        <w:rPr>
          <w:color w:val="000000" w:themeColor="text1"/>
          <w:szCs w:val="24"/>
        </w:rPr>
        <w:t>pārejas kārtību Fiskālās disciplīnas likumā noteiktās minimālās plānojamās vispārējās valdības strukturālās bilances sasniegšanai, kas apstiprināta Ministru kabineta</w:t>
      </w:r>
      <w:bookmarkEnd w:id="37"/>
      <w:r w:rsidRPr="00553819">
        <w:rPr>
          <w:color w:val="000000" w:themeColor="text1"/>
          <w:szCs w:val="24"/>
        </w:rPr>
        <w:t xml:space="preserve"> 2022. gada 12. aprīļa sēdē (Ministru kabineta  sēdes protokols Nr. 20, 45.§) un precizēta ar Ministru kabineta 2022.gada 11.</w:t>
      </w:r>
      <w:r w:rsidR="006A7261">
        <w:rPr>
          <w:color w:val="000000" w:themeColor="text1"/>
          <w:szCs w:val="24"/>
        </w:rPr>
        <w:t> </w:t>
      </w:r>
      <w:r w:rsidRPr="00553819">
        <w:rPr>
          <w:color w:val="000000" w:themeColor="text1"/>
          <w:szCs w:val="24"/>
        </w:rPr>
        <w:t xml:space="preserve">oktobra </w:t>
      </w:r>
      <w:r w:rsidRPr="00553819">
        <w:rPr>
          <w:noProof/>
          <w:color w:val="000000" w:themeColor="text1"/>
          <w:szCs w:val="24"/>
        </w:rPr>
        <w:t>protokollēmuma (Ministru kabineta sēdes protokols Nr.52 4.§) 5.</w:t>
      </w:r>
      <w:r w:rsidR="006A7261">
        <w:rPr>
          <w:noProof/>
          <w:color w:val="000000" w:themeColor="text1"/>
          <w:szCs w:val="24"/>
        </w:rPr>
        <w:t> </w:t>
      </w:r>
      <w:r w:rsidRPr="00553819">
        <w:rPr>
          <w:noProof/>
          <w:color w:val="000000" w:themeColor="text1"/>
          <w:szCs w:val="24"/>
        </w:rPr>
        <w:t>punktu.</w:t>
      </w:r>
    </w:p>
    <w:p w14:paraId="3DE88BE7" w14:textId="77777777" w:rsidR="00553819" w:rsidRPr="00553819" w:rsidRDefault="00553819" w:rsidP="00553819">
      <w:pPr>
        <w:rPr>
          <w:noProof/>
          <w:color w:val="000000" w:themeColor="text1"/>
          <w:szCs w:val="24"/>
        </w:rPr>
      </w:pPr>
      <w:r w:rsidRPr="00553819">
        <w:rPr>
          <w:noProof/>
          <w:color w:val="000000" w:themeColor="text1"/>
          <w:szCs w:val="24"/>
        </w:rPr>
        <w:t>Fiskālās politikas stratēģija nosaka virkni pasākumu, kas tiek atzīti par vienreizējiem pasākumiem vispārējās valdības budžeta strukturālās bilances aprēķinā un šo pasākumu izdevumi attiecīgi tiek izslēgti no strukturālās bilances aprēķina. Saskaņā ar Stabilitātes un izaugsmes pakta piemērošanas vadlīniju vienreizējo pasākumu noteikšanas metodoloģijas (</w:t>
      </w:r>
      <w:r w:rsidRPr="00553819">
        <w:rPr>
          <w:i/>
          <w:iCs/>
          <w:noProof/>
          <w:color w:val="000000" w:themeColor="text1"/>
          <w:szCs w:val="24"/>
        </w:rPr>
        <w:t>Vade Mecum on Stability &amp; Growth Pact, 2019 edition:  Box 1.3</w:t>
      </w:r>
      <w:r w:rsidRPr="00553819">
        <w:rPr>
          <w:noProof/>
          <w:color w:val="000000" w:themeColor="text1"/>
          <w:szCs w:val="24"/>
        </w:rPr>
        <w:t>.) piekto principu par vienreizējiem tiek atzīti tikai fiskāli nozīmīgi pasākumi, kuru apjoms pārsniedz 0,1% no IKP.</w:t>
      </w:r>
    </w:p>
    <w:p w14:paraId="1D4BE321" w14:textId="77777777" w:rsidR="00553819" w:rsidRPr="00553819" w:rsidRDefault="00553819" w:rsidP="00553819">
      <w:pPr>
        <w:rPr>
          <w:color w:val="000000" w:themeColor="text1"/>
          <w:szCs w:val="24"/>
        </w:rPr>
      </w:pPr>
      <w:r w:rsidRPr="00553819">
        <w:rPr>
          <w:noProof/>
          <w:color w:val="000000" w:themeColor="text1"/>
          <w:szCs w:val="24"/>
        </w:rPr>
        <w:t>Lai arī atbalsta pasākumi Ukrainas bēgļiem pēc būtības ir vienreizēji</w:t>
      </w:r>
      <w:r w:rsidRPr="00553819">
        <w:rPr>
          <w:color w:val="000000" w:themeColor="text1"/>
          <w:szCs w:val="24"/>
        </w:rPr>
        <w:t xml:space="preserve"> pasākumi, Ministru kabineta 2022. gada 12. aprīļa sēdē pieņemtajā fiskālajā stratēģijā tie netika iekļauti vienreizējo pasākumu grupā, jo tajā laikā  to apjoms bija mazāks par 0,1% no IKP. Pašlaik 2022.gadā  piešķirtais atbalsta apjoms jau sasniedz 70,6 miljonus </w:t>
      </w:r>
      <w:r w:rsidRPr="006A7261">
        <w:rPr>
          <w:i/>
          <w:iCs/>
          <w:noProof/>
          <w:color w:val="000000" w:themeColor="text1"/>
          <w:szCs w:val="24"/>
        </w:rPr>
        <w:t>euro</w:t>
      </w:r>
      <w:r w:rsidRPr="00553819">
        <w:rPr>
          <w:color w:val="000000" w:themeColor="text1"/>
          <w:szCs w:val="24"/>
        </w:rPr>
        <w:t xml:space="preserve"> un līdz ar to būtiski pārsniedz 0,1% no IKP robežu. Ņemot vērā minēto, šajā informatīvajā ziņojumā tiek piedāvāts atzīt par vienreizējiem </w:t>
      </w:r>
      <w:bookmarkStart w:id="38" w:name="_Hlk122293843"/>
      <w:r w:rsidRPr="00553819">
        <w:rPr>
          <w:color w:val="000000" w:themeColor="text1"/>
          <w:szCs w:val="24"/>
        </w:rPr>
        <w:t>atbalsta pasākumiem cilvēkiem, kas bēg no Ukrainas Krievijas iebrukuma Ukrainā rezultātā.</w:t>
      </w:r>
      <w:bookmarkEnd w:id="38"/>
    </w:p>
    <w:p w14:paraId="03552409" w14:textId="3281BEA5" w:rsidR="00553819" w:rsidRPr="00553819" w:rsidRDefault="00553819" w:rsidP="00553819">
      <w:pPr>
        <w:rPr>
          <w:color w:val="000000" w:themeColor="text1"/>
          <w:szCs w:val="24"/>
        </w:rPr>
      </w:pPr>
      <w:r w:rsidRPr="00553819">
        <w:rPr>
          <w:color w:val="000000" w:themeColor="text1"/>
          <w:szCs w:val="24"/>
        </w:rPr>
        <w:t xml:space="preserve">Ņemot vērā, ka 2022.gadā saskaņā ar pašreizējām prognozēm vispārējās valdības budžeta deficīts ir 5,0% no IKP, un ņemot vērā izlaižu starpību un vienreizējo pasākumu apmēru var konstatēt, ka 2022. gada vispārējas valdības strukturālais deficīts ir 0,2 % no IKP. </w:t>
      </w:r>
    </w:p>
    <w:p w14:paraId="745425D6" w14:textId="367B99DB" w:rsidR="00553819" w:rsidRPr="00553819" w:rsidRDefault="00553819" w:rsidP="00553819">
      <w:pPr>
        <w:rPr>
          <w:color w:val="000000" w:themeColor="text1"/>
          <w:szCs w:val="24"/>
        </w:rPr>
      </w:pPr>
      <w:r w:rsidRPr="00553819">
        <w:rPr>
          <w:color w:val="000000" w:themeColor="text1"/>
          <w:szCs w:val="24"/>
        </w:rPr>
        <w:t>Augstā inflācija ir būtiski mainījusi 2022.</w:t>
      </w:r>
      <w:r w:rsidR="006A7261">
        <w:rPr>
          <w:color w:val="000000" w:themeColor="text1"/>
          <w:szCs w:val="24"/>
        </w:rPr>
        <w:t> </w:t>
      </w:r>
      <w:r w:rsidRPr="00553819">
        <w:rPr>
          <w:color w:val="000000" w:themeColor="text1"/>
          <w:szCs w:val="24"/>
        </w:rPr>
        <w:t xml:space="preserve">gada vispārējās valdības budžeta deficīta un strukturālā deficīta prognozes. Inflācijas ģenerēto ieņēmumu pieaugums būtiski pārsniedz izdevumu pieaugumu un līdz ar to būtiski samazina gan nominālo, gan strukturālo deficītu. Ja iepriekš 2023.gadā tika prognozēts 1,8% no IKP strukturālais deficīts, tad pašlaik tas samazinājies līdz 0,2% no IKP. Līdz ar to tas ir zemāks par Fiskālās disciplīnas likumā noteikto vidēja termiņa mērķi, kas ir 0,5% no IKP. Ja, saskaņā ar iepriekšējām prognozēm strukturālais deficīts bija jāsamazina par 0,5% no IKP ik gadu līdz tas sasniedz 0,5% no IKP vērtību 2025.gadā, tad pašlaik strukturālā deficīta samazināšana nav nepieciešama. Gluži otrādi, to var palielināt no 0,2% no IKP 2022.gadā uz 0,5% no IKP 2023. gadā un turpmāk to uzturēt šajā Fiskālās disciplīnas likuma 10.pantā noteiktajā maksimālajā pieļaujamā līmenī. </w:t>
      </w:r>
    </w:p>
    <w:p w14:paraId="5B3C8844" w14:textId="77777777" w:rsidR="00553819" w:rsidRPr="00553819" w:rsidRDefault="00553819" w:rsidP="00553819">
      <w:pPr>
        <w:rPr>
          <w:color w:val="000000" w:themeColor="text1"/>
          <w:szCs w:val="24"/>
        </w:rPr>
      </w:pPr>
      <w:r w:rsidRPr="00553819">
        <w:rPr>
          <w:color w:val="000000" w:themeColor="text1"/>
          <w:szCs w:val="24"/>
        </w:rPr>
        <w:t xml:space="preserve">Saskaņā ar augstāk minēto 2023. gada vispārējās valdības  budžeta  bilances  mērķis ir  -0,5% no IKP,  2024. gadā ir -0,5% no IKP un 2025. gadā  -0,5% no IKP.  </w:t>
      </w:r>
    </w:p>
    <w:p w14:paraId="3C447D7B" w14:textId="77777777" w:rsidR="00553819" w:rsidRPr="00553819" w:rsidRDefault="00553819" w:rsidP="00553819">
      <w:pPr>
        <w:pStyle w:val="ListParagraph"/>
        <w:widowControl w:val="0"/>
        <w:ind w:left="0"/>
        <w:contextualSpacing w:val="0"/>
        <w:jc w:val="center"/>
        <w:rPr>
          <w:rFonts w:eastAsia="Times New Roman" w:cs="Times New Roman"/>
          <w:bCs/>
          <w:szCs w:val="28"/>
        </w:rPr>
      </w:pPr>
      <w:r w:rsidRPr="00553819">
        <w:rPr>
          <w:rFonts w:eastAsia="Times New Roman" w:cs="Times New Roman"/>
          <w:b/>
          <w:szCs w:val="24"/>
        </w:rPr>
        <w:t>10. tabula. Vispārējās valdības strukturālās bilances mērķi</w:t>
      </w:r>
    </w:p>
    <w:tbl>
      <w:tblPr>
        <w:tblW w:w="7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914"/>
        <w:gridCol w:w="709"/>
        <w:gridCol w:w="709"/>
        <w:gridCol w:w="709"/>
      </w:tblGrid>
      <w:tr w:rsidR="00553819" w:rsidRPr="00553819" w14:paraId="239FBE5F" w14:textId="77777777" w:rsidTr="006A7261">
        <w:trPr>
          <w:trHeight w:val="20"/>
          <w:tblHeader/>
          <w:jc w:val="center"/>
        </w:trPr>
        <w:tc>
          <w:tcPr>
            <w:tcW w:w="4401" w:type="dxa"/>
            <w:shd w:val="clear" w:color="auto" w:fill="BDD6EE" w:themeFill="accent1" w:themeFillTint="66"/>
            <w:noWrap/>
            <w:vAlign w:val="bottom"/>
            <w:hideMark/>
          </w:tcPr>
          <w:p w14:paraId="2A8EBD4A"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 </w:t>
            </w:r>
          </w:p>
        </w:tc>
        <w:tc>
          <w:tcPr>
            <w:tcW w:w="914" w:type="dxa"/>
            <w:shd w:val="clear" w:color="auto" w:fill="BDD6EE" w:themeFill="accent1" w:themeFillTint="66"/>
            <w:noWrap/>
            <w:vAlign w:val="bottom"/>
            <w:hideMark/>
          </w:tcPr>
          <w:p w14:paraId="41007F0C"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2022</w:t>
            </w:r>
          </w:p>
        </w:tc>
        <w:tc>
          <w:tcPr>
            <w:tcW w:w="709" w:type="dxa"/>
            <w:shd w:val="clear" w:color="auto" w:fill="BDD6EE" w:themeFill="accent1" w:themeFillTint="66"/>
            <w:noWrap/>
            <w:vAlign w:val="bottom"/>
            <w:hideMark/>
          </w:tcPr>
          <w:p w14:paraId="4B16CDEB"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2023</w:t>
            </w:r>
          </w:p>
        </w:tc>
        <w:tc>
          <w:tcPr>
            <w:tcW w:w="709" w:type="dxa"/>
            <w:shd w:val="clear" w:color="auto" w:fill="BDD6EE" w:themeFill="accent1" w:themeFillTint="66"/>
            <w:noWrap/>
            <w:vAlign w:val="bottom"/>
            <w:hideMark/>
          </w:tcPr>
          <w:p w14:paraId="44E6930D"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2024</w:t>
            </w:r>
          </w:p>
        </w:tc>
        <w:tc>
          <w:tcPr>
            <w:tcW w:w="709" w:type="dxa"/>
            <w:shd w:val="clear" w:color="auto" w:fill="BDD6EE" w:themeFill="accent1" w:themeFillTint="66"/>
            <w:noWrap/>
            <w:vAlign w:val="bottom"/>
            <w:hideMark/>
          </w:tcPr>
          <w:p w14:paraId="5CA43C07"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2025</w:t>
            </w:r>
          </w:p>
        </w:tc>
      </w:tr>
      <w:tr w:rsidR="00553819" w:rsidRPr="00553819" w14:paraId="19400C67" w14:textId="77777777" w:rsidTr="009860AE">
        <w:trPr>
          <w:trHeight w:val="20"/>
          <w:jc w:val="center"/>
        </w:trPr>
        <w:tc>
          <w:tcPr>
            <w:tcW w:w="4401" w:type="dxa"/>
            <w:shd w:val="clear" w:color="auto" w:fill="auto"/>
            <w:noWrap/>
            <w:vAlign w:val="bottom"/>
            <w:hideMark/>
          </w:tcPr>
          <w:p w14:paraId="42571695" w14:textId="77777777" w:rsidR="00553819" w:rsidRPr="00553819" w:rsidRDefault="00553819" w:rsidP="009860AE">
            <w:pPr>
              <w:spacing w:before="60" w:after="60"/>
              <w:ind w:firstLine="0"/>
              <w:jc w:val="left"/>
              <w:rPr>
                <w:rFonts w:eastAsia="Times New Roman" w:cs="Times New Roman"/>
                <w:noProof/>
                <w:color w:val="000000"/>
                <w:sz w:val="18"/>
                <w:szCs w:val="18"/>
                <w:lang w:eastAsia="lv-LV"/>
              </w:rPr>
            </w:pPr>
            <w:r w:rsidRPr="00553819">
              <w:rPr>
                <w:rFonts w:eastAsia="Times New Roman" w:cs="Times New Roman"/>
                <w:noProof/>
                <w:color w:val="000000"/>
                <w:sz w:val="18"/>
                <w:szCs w:val="18"/>
                <w:lang w:eastAsia="lv-LV"/>
              </w:rPr>
              <w:t>IKP prognoze</w:t>
            </w:r>
          </w:p>
        </w:tc>
        <w:tc>
          <w:tcPr>
            <w:tcW w:w="914" w:type="dxa"/>
            <w:shd w:val="clear" w:color="auto" w:fill="auto"/>
            <w:noWrap/>
            <w:hideMark/>
          </w:tcPr>
          <w:p w14:paraId="220A2454"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 xml:space="preserve">39 439 </w:t>
            </w:r>
          </w:p>
        </w:tc>
        <w:tc>
          <w:tcPr>
            <w:tcW w:w="709" w:type="dxa"/>
            <w:shd w:val="clear" w:color="auto" w:fill="DEEAF6" w:themeFill="accent1" w:themeFillTint="33"/>
            <w:noWrap/>
            <w:hideMark/>
          </w:tcPr>
          <w:p w14:paraId="7A2067F4"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4840F9BF"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7FB9E2D5"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r>
      <w:tr w:rsidR="00553819" w:rsidRPr="00553819" w14:paraId="1B3277AB" w14:textId="77777777" w:rsidTr="009860AE">
        <w:trPr>
          <w:trHeight w:val="20"/>
          <w:jc w:val="center"/>
        </w:trPr>
        <w:tc>
          <w:tcPr>
            <w:tcW w:w="4401" w:type="dxa"/>
            <w:shd w:val="clear" w:color="auto" w:fill="auto"/>
            <w:noWrap/>
            <w:vAlign w:val="bottom"/>
            <w:hideMark/>
          </w:tcPr>
          <w:p w14:paraId="49288B2F" w14:textId="77777777" w:rsidR="00553819" w:rsidRPr="00553819" w:rsidRDefault="00553819" w:rsidP="009860AE">
            <w:pPr>
              <w:spacing w:before="60" w:after="60"/>
              <w:ind w:firstLine="0"/>
              <w:jc w:val="left"/>
              <w:rPr>
                <w:rFonts w:eastAsia="Times New Roman" w:cs="Times New Roman"/>
                <w:noProof/>
                <w:color w:val="000000"/>
                <w:sz w:val="18"/>
                <w:szCs w:val="18"/>
                <w:lang w:eastAsia="lv-LV"/>
              </w:rPr>
            </w:pPr>
            <w:r w:rsidRPr="00553819">
              <w:rPr>
                <w:rFonts w:eastAsia="Times New Roman" w:cs="Times New Roman"/>
                <w:noProof/>
                <w:color w:val="000000"/>
                <w:sz w:val="18"/>
                <w:szCs w:val="18"/>
                <w:lang w:eastAsia="lv-LV"/>
              </w:rPr>
              <w:t xml:space="preserve">2022. gada vispārējās valdības budžeta bilance, milj. </w:t>
            </w:r>
            <w:r w:rsidRPr="00553819">
              <w:rPr>
                <w:rFonts w:eastAsia="Times New Roman" w:cs="Times New Roman"/>
                <w:i/>
                <w:iCs/>
                <w:noProof/>
                <w:color w:val="000000"/>
                <w:sz w:val="18"/>
                <w:szCs w:val="18"/>
                <w:lang w:eastAsia="lv-LV"/>
              </w:rPr>
              <w:t>euro</w:t>
            </w:r>
          </w:p>
        </w:tc>
        <w:tc>
          <w:tcPr>
            <w:tcW w:w="914" w:type="dxa"/>
            <w:shd w:val="clear" w:color="auto" w:fill="auto"/>
            <w:noWrap/>
            <w:hideMark/>
          </w:tcPr>
          <w:p w14:paraId="337053A8"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 xml:space="preserve">- 1 962,1 </w:t>
            </w:r>
          </w:p>
        </w:tc>
        <w:tc>
          <w:tcPr>
            <w:tcW w:w="709" w:type="dxa"/>
            <w:shd w:val="clear" w:color="auto" w:fill="DEEAF6" w:themeFill="accent1" w:themeFillTint="33"/>
            <w:noWrap/>
            <w:hideMark/>
          </w:tcPr>
          <w:p w14:paraId="774615BE"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56BCFF53"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2B9C032C"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r>
      <w:tr w:rsidR="00553819" w:rsidRPr="00553819" w14:paraId="02FCF17C" w14:textId="77777777" w:rsidTr="009860AE">
        <w:trPr>
          <w:trHeight w:val="20"/>
          <w:jc w:val="center"/>
        </w:trPr>
        <w:tc>
          <w:tcPr>
            <w:tcW w:w="4401" w:type="dxa"/>
            <w:shd w:val="clear" w:color="auto" w:fill="auto"/>
            <w:noWrap/>
            <w:vAlign w:val="bottom"/>
            <w:hideMark/>
          </w:tcPr>
          <w:p w14:paraId="7A2595F0" w14:textId="77777777" w:rsidR="00553819" w:rsidRPr="00553819" w:rsidRDefault="00553819" w:rsidP="009860AE">
            <w:pPr>
              <w:spacing w:before="60" w:after="60"/>
              <w:ind w:firstLine="0"/>
              <w:jc w:val="left"/>
              <w:rPr>
                <w:rFonts w:eastAsia="Times New Roman" w:cs="Times New Roman"/>
                <w:noProof/>
                <w:color w:val="000000"/>
                <w:sz w:val="18"/>
                <w:szCs w:val="18"/>
                <w:lang w:eastAsia="lv-LV"/>
              </w:rPr>
            </w:pPr>
            <w:r w:rsidRPr="00553819">
              <w:rPr>
                <w:rFonts w:eastAsia="Times New Roman" w:cs="Times New Roman"/>
                <w:noProof/>
                <w:color w:val="000000"/>
                <w:sz w:val="18"/>
                <w:szCs w:val="18"/>
                <w:lang w:eastAsia="lv-LV"/>
              </w:rPr>
              <w:t>2022. gada vispārējās valdības budžeta bilance, % IKP</w:t>
            </w:r>
          </w:p>
        </w:tc>
        <w:tc>
          <w:tcPr>
            <w:tcW w:w="914" w:type="dxa"/>
            <w:shd w:val="clear" w:color="auto" w:fill="auto"/>
            <w:noWrap/>
            <w:hideMark/>
          </w:tcPr>
          <w:p w14:paraId="0EF60895"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 xml:space="preserve">-5,0 </w:t>
            </w:r>
          </w:p>
        </w:tc>
        <w:tc>
          <w:tcPr>
            <w:tcW w:w="709" w:type="dxa"/>
            <w:shd w:val="clear" w:color="auto" w:fill="DEEAF6" w:themeFill="accent1" w:themeFillTint="33"/>
            <w:noWrap/>
            <w:hideMark/>
          </w:tcPr>
          <w:p w14:paraId="0FB4014A"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07A24077"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768FBAC4"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r>
      <w:tr w:rsidR="00553819" w:rsidRPr="00553819" w14:paraId="354C09CF" w14:textId="77777777" w:rsidTr="009860AE">
        <w:trPr>
          <w:trHeight w:val="20"/>
          <w:jc w:val="center"/>
        </w:trPr>
        <w:tc>
          <w:tcPr>
            <w:tcW w:w="4401" w:type="dxa"/>
            <w:shd w:val="clear" w:color="auto" w:fill="auto"/>
            <w:noWrap/>
            <w:vAlign w:val="bottom"/>
            <w:hideMark/>
          </w:tcPr>
          <w:p w14:paraId="3CC8D453" w14:textId="77777777" w:rsidR="00553819" w:rsidRPr="00553819" w:rsidRDefault="00553819" w:rsidP="009860AE">
            <w:pPr>
              <w:spacing w:before="60" w:after="60"/>
              <w:ind w:firstLine="0"/>
              <w:jc w:val="left"/>
              <w:rPr>
                <w:rFonts w:eastAsia="Times New Roman" w:cs="Times New Roman"/>
                <w:noProof/>
                <w:color w:val="000000"/>
                <w:sz w:val="18"/>
                <w:szCs w:val="18"/>
                <w:lang w:eastAsia="lv-LV"/>
              </w:rPr>
            </w:pPr>
            <w:r w:rsidRPr="00553819">
              <w:rPr>
                <w:rFonts w:eastAsia="Times New Roman" w:cs="Times New Roman"/>
                <w:noProof/>
                <w:color w:val="000000"/>
                <w:sz w:val="18"/>
                <w:szCs w:val="18"/>
                <w:lang w:eastAsia="lv-LV"/>
              </w:rPr>
              <w:t>Izlaižu starpība, % no potenciālā IKP</w:t>
            </w:r>
          </w:p>
        </w:tc>
        <w:tc>
          <w:tcPr>
            <w:tcW w:w="914" w:type="dxa"/>
            <w:shd w:val="clear" w:color="auto" w:fill="auto"/>
            <w:noWrap/>
            <w:hideMark/>
          </w:tcPr>
          <w:p w14:paraId="7F86496B" w14:textId="77777777" w:rsidR="00553819" w:rsidRPr="00553819" w:rsidRDefault="00553819" w:rsidP="009860AE">
            <w:pPr>
              <w:spacing w:before="60" w:after="60"/>
              <w:ind w:firstLine="0"/>
              <w:jc w:val="center"/>
              <w:rPr>
                <w:rFonts w:cs="Times New Roman"/>
                <w:sz w:val="18"/>
                <w:szCs w:val="18"/>
              </w:rPr>
            </w:pPr>
            <w:r w:rsidRPr="00553819">
              <w:rPr>
                <w:rFonts w:cs="Times New Roman"/>
                <w:sz w:val="18"/>
                <w:szCs w:val="18"/>
              </w:rPr>
              <w:t xml:space="preserve">0,36 </w:t>
            </w:r>
          </w:p>
        </w:tc>
        <w:tc>
          <w:tcPr>
            <w:tcW w:w="709" w:type="dxa"/>
            <w:shd w:val="clear" w:color="auto" w:fill="DEEAF6" w:themeFill="accent1" w:themeFillTint="33"/>
            <w:noWrap/>
            <w:hideMark/>
          </w:tcPr>
          <w:p w14:paraId="5DBB99D6"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01098C46"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665711A0"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r>
      <w:tr w:rsidR="00553819" w:rsidRPr="00553819" w14:paraId="76095F47" w14:textId="77777777" w:rsidTr="009860AE">
        <w:trPr>
          <w:trHeight w:val="20"/>
          <w:jc w:val="center"/>
        </w:trPr>
        <w:tc>
          <w:tcPr>
            <w:tcW w:w="4401" w:type="dxa"/>
            <w:shd w:val="clear" w:color="auto" w:fill="auto"/>
            <w:noWrap/>
            <w:vAlign w:val="bottom"/>
            <w:hideMark/>
          </w:tcPr>
          <w:p w14:paraId="4121119B" w14:textId="77777777" w:rsidR="00553819" w:rsidRPr="00553819" w:rsidRDefault="00553819" w:rsidP="009860AE">
            <w:pPr>
              <w:spacing w:before="60" w:after="60"/>
              <w:ind w:firstLine="0"/>
              <w:jc w:val="left"/>
              <w:rPr>
                <w:rFonts w:eastAsia="Times New Roman" w:cs="Times New Roman"/>
                <w:noProof/>
                <w:color w:val="000000"/>
                <w:sz w:val="18"/>
                <w:szCs w:val="18"/>
                <w:lang w:eastAsia="lv-LV"/>
              </w:rPr>
            </w:pPr>
            <w:r w:rsidRPr="00553819">
              <w:rPr>
                <w:rFonts w:eastAsia="Times New Roman" w:cs="Times New Roman"/>
                <w:noProof/>
                <w:color w:val="000000"/>
                <w:sz w:val="18"/>
                <w:szCs w:val="18"/>
                <w:lang w:eastAsia="lv-LV"/>
              </w:rPr>
              <w:t>Bilances cikliskā komponente, % no IKP</w:t>
            </w:r>
          </w:p>
        </w:tc>
        <w:tc>
          <w:tcPr>
            <w:tcW w:w="914" w:type="dxa"/>
            <w:shd w:val="clear" w:color="auto" w:fill="auto"/>
            <w:noWrap/>
            <w:hideMark/>
          </w:tcPr>
          <w:p w14:paraId="2CAD451F"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 xml:space="preserve">0,14 </w:t>
            </w:r>
          </w:p>
        </w:tc>
        <w:tc>
          <w:tcPr>
            <w:tcW w:w="709" w:type="dxa"/>
            <w:shd w:val="clear" w:color="auto" w:fill="DEEAF6" w:themeFill="accent1" w:themeFillTint="33"/>
            <w:noWrap/>
            <w:hideMark/>
          </w:tcPr>
          <w:p w14:paraId="0E4179A0"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00E3ADEB"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3993CC17"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r>
      <w:tr w:rsidR="00553819" w:rsidRPr="00553819" w14:paraId="3C66535D" w14:textId="77777777" w:rsidTr="009860AE">
        <w:trPr>
          <w:trHeight w:val="20"/>
          <w:jc w:val="center"/>
        </w:trPr>
        <w:tc>
          <w:tcPr>
            <w:tcW w:w="4401" w:type="dxa"/>
            <w:shd w:val="clear" w:color="auto" w:fill="auto"/>
            <w:noWrap/>
            <w:vAlign w:val="bottom"/>
            <w:hideMark/>
          </w:tcPr>
          <w:p w14:paraId="609912B0" w14:textId="77777777" w:rsidR="00553819" w:rsidRPr="00553819" w:rsidRDefault="00553819" w:rsidP="009860AE">
            <w:pPr>
              <w:spacing w:before="60" w:after="60"/>
              <w:ind w:firstLine="0"/>
              <w:jc w:val="left"/>
              <w:rPr>
                <w:rFonts w:eastAsia="Times New Roman" w:cs="Times New Roman"/>
                <w:noProof/>
                <w:color w:val="000000"/>
                <w:sz w:val="18"/>
                <w:szCs w:val="18"/>
                <w:lang w:eastAsia="lv-LV"/>
              </w:rPr>
            </w:pPr>
            <w:r w:rsidRPr="00553819">
              <w:rPr>
                <w:rFonts w:eastAsia="Times New Roman" w:cs="Times New Roman"/>
                <w:i/>
                <w:iCs/>
                <w:noProof/>
                <w:color w:val="000000"/>
                <w:sz w:val="18"/>
                <w:szCs w:val="18"/>
                <w:lang w:eastAsia="lv-LV"/>
              </w:rPr>
              <w:t>One-off</w:t>
            </w:r>
            <w:r w:rsidRPr="00553819">
              <w:rPr>
                <w:rFonts w:eastAsia="Times New Roman" w:cs="Times New Roman"/>
                <w:noProof/>
                <w:color w:val="000000"/>
                <w:sz w:val="18"/>
                <w:szCs w:val="18"/>
                <w:lang w:eastAsia="lv-LV"/>
              </w:rPr>
              <w:t xml:space="preserve"> un citi īslaicīgie pasākumi, % no IKP, tai skaitā</w:t>
            </w:r>
          </w:p>
        </w:tc>
        <w:tc>
          <w:tcPr>
            <w:tcW w:w="914" w:type="dxa"/>
            <w:shd w:val="clear" w:color="auto" w:fill="auto"/>
            <w:noWrap/>
            <w:hideMark/>
          </w:tcPr>
          <w:p w14:paraId="6B6ED95B"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 xml:space="preserve">-4,92  </w:t>
            </w:r>
          </w:p>
        </w:tc>
        <w:tc>
          <w:tcPr>
            <w:tcW w:w="709" w:type="dxa"/>
            <w:shd w:val="clear" w:color="auto" w:fill="DEEAF6" w:themeFill="accent1" w:themeFillTint="33"/>
            <w:noWrap/>
            <w:hideMark/>
          </w:tcPr>
          <w:p w14:paraId="169555B9"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7A064FC7"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5F2F80A0"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r>
      <w:tr w:rsidR="00553819" w:rsidRPr="00553819" w14:paraId="50B6EA21" w14:textId="77777777" w:rsidTr="009860AE">
        <w:trPr>
          <w:trHeight w:val="20"/>
          <w:jc w:val="center"/>
        </w:trPr>
        <w:tc>
          <w:tcPr>
            <w:tcW w:w="4401" w:type="dxa"/>
            <w:shd w:val="clear" w:color="auto" w:fill="auto"/>
            <w:noWrap/>
            <w:vAlign w:val="bottom"/>
            <w:hideMark/>
          </w:tcPr>
          <w:p w14:paraId="3C98FD70" w14:textId="77777777" w:rsidR="00553819" w:rsidRPr="00553819" w:rsidRDefault="00553819" w:rsidP="009860AE">
            <w:pPr>
              <w:spacing w:before="60" w:after="60"/>
              <w:ind w:firstLineChars="200" w:firstLine="360"/>
              <w:jc w:val="left"/>
              <w:rPr>
                <w:rFonts w:eastAsia="Times New Roman" w:cs="Times New Roman"/>
                <w:noProof/>
                <w:color w:val="000000"/>
                <w:sz w:val="18"/>
                <w:szCs w:val="18"/>
                <w:lang w:eastAsia="lv-LV"/>
              </w:rPr>
            </w:pPr>
            <w:r w:rsidRPr="00553819">
              <w:rPr>
                <w:rFonts w:eastAsia="Times New Roman" w:cs="Times New Roman"/>
                <w:noProof/>
                <w:color w:val="000000"/>
                <w:sz w:val="18"/>
                <w:szCs w:val="18"/>
                <w:lang w:eastAsia="lv-LV"/>
              </w:rPr>
              <w:t>Covid-19 pandēmijas mazināšanas pasākumi</w:t>
            </w:r>
          </w:p>
        </w:tc>
        <w:tc>
          <w:tcPr>
            <w:tcW w:w="914" w:type="dxa"/>
            <w:shd w:val="clear" w:color="auto" w:fill="auto"/>
            <w:noWrap/>
            <w:hideMark/>
          </w:tcPr>
          <w:p w14:paraId="543F85AE"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 xml:space="preserve">-2,10 </w:t>
            </w:r>
          </w:p>
        </w:tc>
        <w:tc>
          <w:tcPr>
            <w:tcW w:w="709" w:type="dxa"/>
            <w:shd w:val="clear" w:color="auto" w:fill="DEEAF6" w:themeFill="accent1" w:themeFillTint="33"/>
            <w:noWrap/>
            <w:hideMark/>
          </w:tcPr>
          <w:p w14:paraId="23F855CE"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09008167"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7370FD6B"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r>
      <w:tr w:rsidR="00553819" w:rsidRPr="00553819" w14:paraId="6C0DCEB5" w14:textId="77777777" w:rsidTr="009860AE">
        <w:trPr>
          <w:trHeight w:val="20"/>
          <w:jc w:val="center"/>
        </w:trPr>
        <w:tc>
          <w:tcPr>
            <w:tcW w:w="4401" w:type="dxa"/>
            <w:shd w:val="clear" w:color="auto" w:fill="auto"/>
            <w:noWrap/>
            <w:vAlign w:val="center"/>
            <w:hideMark/>
          </w:tcPr>
          <w:p w14:paraId="1440E25C" w14:textId="77777777" w:rsidR="00553819" w:rsidRPr="00553819" w:rsidRDefault="00553819" w:rsidP="009860AE">
            <w:pPr>
              <w:spacing w:before="60" w:after="60"/>
              <w:ind w:firstLineChars="200" w:firstLine="36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Enerģijas cenas pieauguma mazināšanas pasākumi</w:t>
            </w:r>
          </w:p>
        </w:tc>
        <w:tc>
          <w:tcPr>
            <w:tcW w:w="914" w:type="dxa"/>
            <w:shd w:val="clear" w:color="auto" w:fill="auto"/>
            <w:noWrap/>
            <w:hideMark/>
          </w:tcPr>
          <w:p w14:paraId="1838AC41"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 xml:space="preserve">-2,63  </w:t>
            </w:r>
          </w:p>
        </w:tc>
        <w:tc>
          <w:tcPr>
            <w:tcW w:w="709" w:type="dxa"/>
            <w:shd w:val="clear" w:color="auto" w:fill="DEEAF6" w:themeFill="accent1" w:themeFillTint="33"/>
            <w:noWrap/>
            <w:hideMark/>
          </w:tcPr>
          <w:p w14:paraId="5135025E"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79A8B84C"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58B327E1"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r>
      <w:tr w:rsidR="00553819" w:rsidRPr="00553819" w14:paraId="24E45814" w14:textId="77777777" w:rsidTr="009860AE">
        <w:trPr>
          <w:trHeight w:val="20"/>
          <w:jc w:val="center"/>
        </w:trPr>
        <w:tc>
          <w:tcPr>
            <w:tcW w:w="4401" w:type="dxa"/>
            <w:shd w:val="clear" w:color="auto" w:fill="auto"/>
            <w:noWrap/>
            <w:vAlign w:val="center"/>
          </w:tcPr>
          <w:p w14:paraId="68BFEC23" w14:textId="2C10E190" w:rsidR="00553819" w:rsidRPr="00553819" w:rsidRDefault="006A7261" w:rsidP="009860AE">
            <w:pPr>
              <w:spacing w:before="60" w:after="60"/>
              <w:ind w:firstLineChars="200" w:firstLine="360"/>
              <w:jc w:val="left"/>
              <w:rPr>
                <w:rFonts w:eastAsia="Times New Roman" w:cs="Times New Roman"/>
                <w:color w:val="000000"/>
                <w:sz w:val="18"/>
                <w:szCs w:val="18"/>
                <w:lang w:eastAsia="lv-LV"/>
              </w:rPr>
            </w:pPr>
            <w:r>
              <w:rPr>
                <w:rFonts w:eastAsia="Times New Roman" w:cs="Times New Roman"/>
                <w:color w:val="000000"/>
                <w:sz w:val="18"/>
                <w:szCs w:val="18"/>
                <w:lang w:eastAsia="lv-LV"/>
              </w:rPr>
              <w:lastRenderedPageBreak/>
              <w:t>A</w:t>
            </w:r>
            <w:r w:rsidR="00553819" w:rsidRPr="00553819">
              <w:rPr>
                <w:rFonts w:eastAsia="Times New Roman" w:cs="Times New Roman"/>
                <w:color w:val="000000"/>
                <w:sz w:val="18"/>
                <w:szCs w:val="18"/>
                <w:lang w:eastAsia="lv-LV"/>
              </w:rPr>
              <w:t>tbalsts bēgļiem no Ukrainas</w:t>
            </w:r>
          </w:p>
        </w:tc>
        <w:tc>
          <w:tcPr>
            <w:tcW w:w="914" w:type="dxa"/>
            <w:shd w:val="clear" w:color="auto" w:fill="auto"/>
            <w:noWrap/>
          </w:tcPr>
          <w:p w14:paraId="25D2FA9F" w14:textId="77777777" w:rsidR="00553819" w:rsidRPr="00553819" w:rsidRDefault="00553819" w:rsidP="009860AE">
            <w:pPr>
              <w:spacing w:before="60" w:after="60"/>
              <w:ind w:firstLine="0"/>
              <w:jc w:val="center"/>
              <w:rPr>
                <w:rFonts w:cs="Times New Roman"/>
                <w:sz w:val="18"/>
                <w:szCs w:val="18"/>
              </w:rPr>
            </w:pPr>
            <w:r w:rsidRPr="00553819">
              <w:rPr>
                <w:rFonts w:cs="Times New Roman"/>
                <w:sz w:val="18"/>
                <w:szCs w:val="18"/>
              </w:rPr>
              <w:t>-0,19</w:t>
            </w:r>
          </w:p>
        </w:tc>
        <w:tc>
          <w:tcPr>
            <w:tcW w:w="709" w:type="dxa"/>
            <w:shd w:val="clear" w:color="auto" w:fill="DEEAF6" w:themeFill="accent1" w:themeFillTint="33"/>
            <w:noWrap/>
          </w:tcPr>
          <w:p w14:paraId="29E55B90"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tcPr>
          <w:p w14:paraId="5EF666D2"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tcPr>
          <w:p w14:paraId="2DD37961" w14:textId="77777777" w:rsidR="00553819" w:rsidRPr="00553819" w:rsidRDefault="00553819" w:rsidP="009860AE">
            <w:pPr>
              <w:spacing w:before="0" w:after="0"/>
              <w:ind w:firstLine="0"/>
              <w:jc w:val="center"/>
              <w:rPr>
                <w:rFonts w:eastAsia="Times New Roman" w:cs="Times New Roman"/>
                <w:b/>
                <w:color w:val="000000" w:themeColor="text1"/>
                <w:sz w:val="20"/>
                <w:szCs w:val="20"/>
                <w:lang w:eastAsia="lv-LV"/>
              </w:rPr>
            </w:pPr>
          </w:p>
        </w:tc>
      </w:tr>
      <w:tr w:rsidR="00553819" w:rsidRPr="00553819" w14:paraId="5A375935" w14:textId="77777777" w:rsidTr="006A7261">
        <w:trPr>
          <w:trHeight w:val="20"/>
          <w:jc w:val="center"/>
        </w:trPr>
        <w:tc>
          <w:tcPr>
            <w:tcW w:w="4401" w:type="dxa"/>
            <w:shd w:val="clear" w:color="auto" w:fill="BDD6EE" w:themeFill="accent1" w:themeFillTint="66"/>
            <w:noWrap/>
            <w:vAlign w:val="bottom"/>
            <w:hideMark/>
          </w:tcPr>
          <w:p w14:paraId="6713C8EF" w14:textId="77777777" w:rsidR="00553819" w:rsidRPr="00553819" w:rsidRDefault="00553819" w:rsidP="009860AE">
            <w:pPr>
              <w:spacing w:before="60" w:after="60"/>
              <w:ind w:firstLine="0"/>
              <w:jc w:val="left"/>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Vispārējās valdības strukturālās bilances prognoze un mērķi, % no IKP</w:t>
            </w:r>
          </w:p>
        </w:tc>
        <w:tc>
          <w:tcPr>
            <w:tcW w:w="914" w:type="dxa"/>
            <w:shd w:val="clear" w:color="auto" w:fill="BDD6EE" w:themeFill="accent1" w:themeFillTint="66"/>
            <w:noWrap/>
            <w:hideMark/>
          </w:tcPr>
          <w:p w14:paraId="7D107893" w14:textId="77777777" w:rsidR="00553819" w:rsidRPr="00553819" w:rsidRDefault="00553819" w:rsidP="009860AE">
            <w:pPr>
              <w:spacing w:before="60" w:after="60"/>
              <w:ind w:firstLine="0"/>
              <w:jc w:val="center"/>
              <w:rPr>
                <w:rFonts w:cs="Times New Roman"/>
                <w:b/>
                <w:bCs/>
                <w:sz w:val="18"/>
                <w:szCs w:val="18"/>
              </w:rPr>
            </w:pPr>
            <w:r w:rsidRPr="00553819">
              <w:rPr>
                <w:rFonts w:cs="Times New Roman"/>
                <w:b/>
                <w:bCs/>
                <w:sz w:val="18"/>
                <w:szCs w:val="18"/>
              </w:rPr>
              <w:t>-0,2</w:t>
            </w:r>
          </w:p>
          <w:p w14:paraId="7BEE93FD"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p>
        </w:tc>
        <w:tc>
          <w:tcPr>
            <w:tcW w:w="709" w:type="dxa"/>
            <w:shd w:val="clear" w:color="auto" w:fill="BDD6EE" w:themeFill="accent1" w:themeFillTint="66"/>
            <w:noWrap/>
            <w:hideMark/>
          </w:tcPr>
          <w:p w14:paraId="0AB04308"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cs="Times New Roman"/>
                <w:b/>
                <w:bCs/>
                <w:sz w:val="18"/>
                <w:szCs w:val="18"/>
              </w:rPr>
              <w:t xml:space="preserve">-0,5 </w:t>
            </w:r>
          </w:p>
        </w:tc>
        <w:tc>
          <w:tcPr>
            <w:tcW w:w="709" w:type="dxa"/>
            <w:shd w:val="clear" w:color="auto" w:fill="BDD6EE" w:themeFill="accent1" w:themeFillTint="66"/>
            <w:noWrap/>
            <w:hideMark/>
          </w:tcPr>
          <w:p w14:paraId="27082F99" w14:textId="77777777" w:rsidR="00553819" w:rsidRPr="00553819" w:rsidRDefault="00553819" w:rsidP="009860AE">
            <w:pPr>
              <w:spacing w:before="60" w:after="60"/>
              <w:ind w:firstLine="0"/>
              <w:jc w:val="center"/>
              <w:rPr>
                <w:rFonts w:cs="Times New Roman"/>
                <w:b/>
                <w:bCs/>
                <w:sz w:val="18"/>
                <w:szCs w:val="18"/>
              </w:rPr>
            </w:pPr>
            <w:r w:rsidRPr="00553819">
              <w:rPr>
                <w:rFonts w:cs="Times New Roman"/>
                <w:b/>
                <w:bCs/>
                <w:sz w:val="18"/>
                <w:szCs w:val="18"/>
              </w:rPr>
              <w:t>-0,5</w:t>
            </w:r>
          </w:p>
          <w:p w14:paraId="0016C213"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p>
        </w:tc>
        <w:tc>
          <w:tcPr>
            <w:tcW w:w="709" w:type="dxa"/>
            <w:shd w:val="clear" w:color="auto" w:fill="BDD6EE" w:themeFill="accent1" w:themeFillTint="66"/>
            <w:noWrap/>
            <w:hideMark/>
          </w:tcPr>
          <w:p w14:paraId="041FFCF1"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cs="Times New Roman"/>
                <w:b/>
                <w:bCs/>
                <w:sz w:val="18"/>
                <w:szCs w:val="18"/>
              </w:rPr>
              <w:t>-0,5</w:t>
            </w:r>
          </w:p>
        </w:tc>
      </w:tr>
    </w:tbl>
    <w:p w14:paraId="18661B78" w14:textId="77777777" w:rsidR="00553819" w:rsidRPr="00553819" w:rsidRDefault="00553819" w:rsidP="00553819">
      <w:pPr>
        <w:pStyle w:val="ListParagraph"/>
        <w:widowControl w:val="0"/>
        <w:ind w:left="0"/>
        <w:contextualSpacing w:val="0"/>
        <w:rPr>
          <w:rFonts w:eastAsia="Times New Roman" w:cs="Times New Roman"/>
          <w:bCs/>
          <w:szCs w:val="28"/>
        </w:rPr>
      </w:pPr>
      <w:r w:rsidRPr="00553819">
        <w:rPr>
          <w:rFonts w:eastAsia="Times New Roman" w:cs="Times New Roman"/>
          <w:bCs/>
          <w:szCs w:val="28"/>
        </w:rPr>
        <w:t>No šiem mērķiem izrietošā vispārējās valdības nominālā bilance ir aprēķināta 11. tabulā. Saskaņā ar pašreizējo plānoto vienreizējo pasākumu apmēru vispārējās valdības nominālā bilance, kas atbilst strukturālās bilances mērķim, ir -3,4% no IKP 2023. gadā, -1,5% no IKP 2024. gadā un -1,3% no IKP 2025. gadā. Jāatzīmē, ka, ja 2023. gada budžeta sagatavošanas laikā vai vēlāk tiks palielināts vienreizējo pasākumu apjoms, nominālā bilance attiecīgi samazināsies.</w:t>
      </w:r>
    </w:p>
    <w:p w14:paraId="20388A5C" w14:textId="77777777" w:rsidR="00553819" w:rsidRPr="00553819" w:rsidRDefault="00553819" w:rsidP="00553819">
      <w:pPr>
        <w:pStyle w:val="ListParagraph"/>
        <w:widowControl w:val="0"/>
        <w:ind w:left="0"/>
        <w:contextualSpacing w:val="0"/>
        <w:jc w:val="center"/>
        <w:rPr>
          <w:rFonts w:eastAsia="Times New Roman" w:cs="Times New Roman"/>
          <w:b/>
          <w:szCs w:val="24"/>
        </w:rPr>
      </w:pPr>
      <w:r w:rsidRPr="00553819">
        <w:rPr>
          <w:rFonts w:eastAsia="Times New Roman" w:cs="Times New Roman"/>
          <w:b/>
          <w:szCs w:val="24"/>
        </w:rPr>
        <w:t>11. tabula. No strukturālās bilances mērķa izrietošā vispārējās valdības budžeta nominālā bilance</w:t>
      </w:r>
    </w:p>
    <w:tbl>
      <w:tblPr>
        <w:tblW w:w="7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046"/>
        <w:gridCol w:w="992"/>
        <w:gridCol w:w="993"/>
      </w:tblGrid>
      <w:tr w:rsidR="00553819" w:rsidRPr="00553819" w14:paraId="51FCC066" w14:textId="77777777" w:rsidTr="006A7261">
        <w:trPr>
          <w:trHeight w:val="364"/>
          <w:jc w:val="center"/>
        </w:trPr>
        <w:tc>
          <w:tcPr>
            <w:tcW w:w="4531" w:type="dxa"/>
            <w:shd w:val="clear" w:color="auto" w:fill="BDD6EE" w:themeFill="accent1" w:themeFillTint="66"/>
            <w:noWrap/>
            <w:vAlign w:val="bottom"/>
            <w:hideMark/>
          </w:tcPr>
          <w:p w14:paraId="3420B501"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 </w:t>
            </w:r>
          </w:p>
        </w:tc>
        <w:tc>
          <w:tcPr>
            <w:tcW w:w="1046" w:type="dxa"/>
            <w:shd w:val="clear" w:color="auto" w:fill="BDD6EE" w:themeFill="accent1" w:themeFillTint="66"/>
            <w:noWrap/>
            <w:vAlign w:val="center"/>
            <w:hideMark/>
          </w:tcPr>
          <w:p w14:paraId="65CCA913"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2023</w:t>
            </w:r>
          </w:p>
        </w:tc>
        <w:tc>
          <w:tcPr>
            <w:tcW w:w="992" w:type="dxa"/>
            <w:shd w:val="clear" w:color="auto" w:fill="BDD6EE" w:themeFill="accent1" w:themeFillTint="66"/>
            <w:noWrap/>
            <w:vAlign w:val="center"/>
            <w:hideMark/>
          </w:tcPr>
          <w:p w14:paraId="777F2334"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2024</w:t>
            </w:r>
          </w:p>
        </w:tc>
        <w:tc>
          <w:tcPr>
            <w:tcW w:w="993" w:type="dxa"/>
            <w:shd w:val="clear" w:color="auto" w:fill="BDD6EE" w:themeFill="accent1" w:themeFillTint="66"/>
            <w:noWrap/>
            <w:vAlign w:val="center"/>
            <w:hideMark/>
          </w:tcPr>
          <w:p w14:paraId="637671E8"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2025</w:t>
            </w:r>
          </w:p>
        </w:tc>
      </w:tr>
      <w:tr w:rsidR="00553819" w:rsidRPr="00553819" w14:paraId="51755E35" w14:textId="77777777" w:rsidTr="009860AE">
        <w:trPr>
          <w:trHeight w:val="61"/>
          <w:jc w:val="center"/>
        </w:trPr>
        <w:tc>
          <w:tcPr>
            <w:tcW w:w="4531" w:type="dxa"/>
            <w:shd w:val="clear" w:color="auto" w:fill="auto"/>
            <w:noWrap/>
            <w:vAlign w:val="bottom"/>
            <w:hideMark/>
          </w:tcPr>
          <w:p w14:paraId="686DF134"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Vispārējās valdības strukturālās bilances  mērķi, % no IKP</w:t>
            </w:r>
          </w:p>
        </w:tc>
        <w:tc>
          <w:tcPr>
            <w:tcW w:w="1046" w:type="dxa"/>
            <w:shd w:val="clear" w:color="auto" w:fill="auto"/>
            <w:noWrap/>
            <w:vAlign w:val="center"/>
          </w:tcPr>
          <w:p w14:paraId="5CCB4429"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-0,5</w:t>
            </w:r>
          </w:p>
        </w:tc>
        <w:tc>
          <w:tcPr>
            <w:tcW w:w="992" w:type="dxa"/>
            <w:shd w:val="clear" w:color="auto" w:fill="auto"/>
            <w:noWrap/>
            <w:vAlign w:val="center"/>
          </w:tcPr>
          <w:p w14:paraId="7D02C4CA"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-0,5</w:t>
            </w:r>
          </w:p>
        </w:tc>
        <w:tc>
          <w:tcPr>
            <w:tcW w:w="993" w:type="dxa"/>
            <w:shd w:val="clear" w:color="auto" w:fill="auto"/>
            <w:noWrap/>
            <w:vAlign w:val="center"/>
          </w:tcPr>
          <w:p w14:paraId="6E4468CC"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-0,5</w:t>
            </w:r>
          </w:p>
        </w:tc>
      </w:tr>
      <w:tr w:rsidR="00553819" w:rsidRPr="00553819" w14:paraId="6319BF92" w14:textId="77777777" w:rsidTr="009860AE">
        <w:trPr>
          <w:trHeight w:val="61"/>
          <w:jc w:val="center"/>
        </w:trPr>
        <w:tc>
          <w:tcPr>
            <w:tcW w:w="4531" w:type="dxa"/>
            <w:shd w:val="clear" w:color="auto" w:fill="auto"/>
            <w:noWrap/>
            <w:vAlign w:val="bottom"/>
            <w:hideMark/>
          </w:tcPr>
          <w:p w14:paraId="1EABFA16"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Izlaižu starpība, % no potenciālā IKP</w:t>
            </w:r>
          </w:p>
        </w:tc>
        <w:tc>
          <w:tcPr>
            <w:tcW w:w="1046" w:type="dxa"/>
            <w:shd w:val="clear" w:color="auto" w:fill="auto"/>
            <w:noWrap/>
          </w:tcPr>
          <w:p w14:paraId="46A5E7DF"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-2,08</w:t>
            </w:r>
          </w:p>
        </w:tc>
        <w:tc>
          <w:tcPr>
            <w:tcW w:w="992" w:type="dxa"/>
            <w:shd w:val="clear" w:color="auto" w:fill="auto"/>
            <w:noWrap/>
          </w:tcPr>
          <w:p w14:paraId="65BD3398"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-1,18</w:t>
            </w:r>
          </w:p>
        </w:tc>
        <w:tc>
          <w:tcPr>
            <w:tcW w:w="993" w:type="dxa"/>
            <w:shd w:val="clear" w:color="auto" w:fill="auto"/>
            <w:noWrap/>
          </w:tcPr>
          <w:p w14:paraId="26714967" w14:textId="77777777" w:rsidR="00553819" w:rsidRPr="00553819" w:rsidRDefault="00553819" w:rsidP="009860AE">
            <w:pPr>
              <w:spacing w:before="60" w:after="60"/>
              <w:ind w:firstLine="0"/>
              <w:jc w:val="center"/>
              <w:rPr>
                <w:rFonts w:cs="Times New Roman"/>
                <w:sz w:val="18"/>
                <w:szCs w:val="18"/>
              </w:rPr>
            </w:pPr>
            <w:r w:rsidRPr="00553819">
              <w:rPr>
                <w:rFonts w:cs="Times New Roman"/>
                <w:sz w:val="18"/>
                <w:szCs w:val="18"/>
              </w:rPr>
              <w:t>-0,43</w:t>
            </w:r>
          </w:p>
        </w:tc>
      </w:tr>
      <w:tr w:rsidR="00553819" w:rsidRPr="00553819" w14:paraId="02927036" w14:textId="77777777" w:rsidTr="009860AE">
        <w:trPr>
          <w:trHeight w:val="61"/>
          <w:jc w:val="center"/>
        </w:trPr>
        <w:tc>
          <w:tcPr>
            <w:tcW w:w="4531" w:type="dxa"/>
            <w:shd w:val="clear" w:color="auto" w:fill="auto"/>
            <w:noWrap/>
            <w:vAlign w:val="bottom"/>
            <w:hideMark/>
          </w:tcPr>
          <w:p w14:paraId="6DD724FE"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Bilances cikliskā komponente, % no IKP</w:t>
            </w:r>
          </w:p>
        </w:tc>
        <w:tc>
          <w:tcPr>
            <w:tcW w:w="1046" w:type="dxa"/>
            <w:shd w:val="clear" w:color="auto" w:fill="auto"/>
            <w:noWrap/>
          </w:tcPr>
          <w:p w14:paraId="71B3261F"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-0,79</w:t>
            </w:r>
          </w:p>
        </w:tc>
        <w:tc>
          <w:tcPr>
            <w:tcW w:w="992" w:type="dxa"/>
            <w:shd w:val="clear" w:color="auto" w:fill="auto"/>
            <w:noWrap/>
          </w:tcPr>
          <w:p w14:paraId="00CA6B3A"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-0,45</w:t>
            </w:r>
          </w:p>
        </w:tc>
        <w:tc>
          <w:tcPr>
            <w:tcW w:w="993" w:type="dxa"/>
            <w:shd w:val="clear" w:color="auto" w:fill="auto"/>
            <w:noWrap/>
          </w:tcPr>
          <w:p w14:paraId="70803C33"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-0,16</w:t>
            </w:r>
          </w:p>
        </w:tc>
      </w:tr>
      <w:tr w:rsidR="00553819" w:rsidRPr="00553819" w14:paraId="24385D0B" w14:textId="77777777" w:rsidTr="009860AE">
        <w:trPr>
          <w:trHeight w:val="61"/>
          <w:jc w:val="center"/>
        </w:trPr>
        <w:tc>
          <w:tcPr>
            <w:tcW w:w="4531" w:type="dxa"/>
            <w:shd w:val="clear" w:color="auto" w:fill="auto"/>
            <w:noWrap/>
            <w:vAlign w:val="bottom"/>
            <w:hideMark/>
          </w:tcPr>
          <w:p w14:paraId="46E7740D"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i/>
                <w:iCs/>
                <w:noProof/>
                <w:color w:val="000000"/>
                <w:sz w:val="18"/>
                <w:szCs w:val="18"/>
                <w:lang w:eastAsia="lv-LV"/>
              </w:rPr>
              <w:t>One-off</w:t>
            </w:r>
            <w:r w:rsidRPr="00553819">
              <w:rPr>
                <w:rFonts w:eastAsia="Times New Roman" w:cs="Times New Roman"/>
                <w:noProof/>
                <w:color w:val="000000"/>
                <w:sz w:val="18"/>
                <w:szCs w:val="18"/>
                <w:lang w:eastAsia="lv-LV"/>
              </w:rPr>
              <w:t xml:space="preserve"> un citi īslaicīgie</w:t>
            </w:r>
            <w:r w:rsidRPr="00553819">
              <w:rPr>
                <w:rFonts w:eastAsia="Times New Roman" w:cs="Times New Roman"/>
                <w:color w:val="000000"/>
                <w:sz w:val="18"/>
                <w:szCs w:val="18"/>
                <w:lang w:eastAsia="lv-LV"/>
              </w:rPr>
              <w:t xml:space="preserve"> pasākumi, % no IKP, tai skaitā</w:t>
            </w:r>
          </w:p>
        </w:tc>
        <w:tc>
          <w:tcPr>
            <w:tcW w:w="1046" w:type="dxa"/>
            <w:shd w:val="clear" w:color="auto" w:fill="auto"/>
            <w:noWrap/>
            <w:vAlign w:val="center"/>
          </w:tcPr>
          <w:p w14:paraId="385BE58D"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-2,07</w:t>
            </w:r>
          </w:p>
        </w:tc>
        <w:tc>
          <w:tcPr>
            <w:tcW w:w="992" w:type="dxa"/>
            <w:shd w:val="clear" w:color="auto" w:fill="auto"/>
            <w:noWrap/>
            <w:vAlign w:val="center"/>
          </w:tcPr>
          <w:p w14:paraId="38822000"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-0,58</w:t>
            </w:r>
          </w:p>
        </w:tc>
        <w:tc>
          <w:tcPr>
            <w:tcW w:w="993" w:type="dxa"/>
            <w:shd w:val="clear" w:color="auto" w:fill="auto"/>
            <w:noWrap/>
            <w:vAlign w:val="center"/>
          </w:tcPr>
          <w:p w14:paraId="7312684E"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-0,68</w:t>
            </w:r>
          </w:p>
        </w:tc>
      </w:tr>
      <w:tr w:rsidR="00553819" w:rsidRPr="00553819" w14:paraId="0B5B0591" w14:textId="77777777" w:rsidTr="009860AE">
        <w:trPr>
          <w:trHeight w:val="61"/>
          <w:jc w:val="center"/>
        </w:trPr>
        <w:tc>
          <w:tcPr>
            <w:tcW w:w="4531" w:type="dxa"/>
            <w:shd w:val="clear" w:color="auto" w:fill="auto"/>
            <w:noWrap/>
            <w:vAlign w:val="bottom"/>
            <w:hideMark/>
          </w:tcPr>
          <w:p w14:paraId="21562745" w14:textId="77777777" w:rsidR="00553819" w:rsidRPr="00553819" w:rsidRDefault="00553819" w:rsidP="009860AE">
            <w:pPr>
              <w:spacing w:before="60" w:after="60"/>
              <w:ind w:firstLineChars="200" w:firstLine="36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Covid-19 pandēmijas mazināšanas pasākumi</w:t>
            </w:r>
          </w:p>
        </w:tc>
        <w:tc>
          <w:tcPr>
            <w:tcW w:w="1046" w:type="dxa"/>
            <w:shd w:val="clear" w:color="auto" w:fill="auto"/>
            <w:noWrap/>
            <w:vAlign w:val="center"/>
          </w:tcPr>
          <w:p w14:paraId="012D455B"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-0,18</w:t>
            </w:r>
          </w:p>
        </w:tc>
        <w:tc>
          <w:tcPr>
            <w:tcW w:w="992" w:type="dxa"/>
            <w:shd w:val="clear" w:color="auto" w:fill="auto"/>
            <w:noWrap/>
            <w:vAlign w:val="center"/>
          </w:tcPr>
          <w:p w14:paraId="40CA6BE1"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c>
          <w:tcPr>
            <w:tcW w:w="993" w:type="dxa"/>
            <w:shd w:val="clear" w:color="auto" w:fill="auto"/>
            <w:noWrap/>
            <w:vAlign w:val="center"/>
          </w:tcPr>
          <w:p w14:paraId="30997CF1"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r>
      <w:tr w:rsidR="00553819" w:rsidRPr="00553819" w14:paraId="1CABFCBE" w14:textId="77777777" w:rsidTr="009860AE">
        <w:trPr>
          <w:trHeight w:val="61"/>
          <w:jc w:val="center"/>
        </w:trPr>
        <w:tc>
          <w:tcPr>
            <w:tcW w:w="4531" w:type="dxa"/>
            <w:shd w:val="clear" w:color="auto" w:fill="auto"/>
            <w:noWrap/>
            <w:vAlign w:val="bottom"/>
            <w:hideMark/>
          </w:tcPr>
          <w:p w14:paraId="3DF14140" w14:textId="77777777" w:rsidR="00553819" w:rsidRPr="00553819" w:rsidRDefault="00553819" w:rsidP="009860AE">
            <w:pPr>
              <w:spacing w:before="60" w:after="60"/>
              <w:ind w:firstLineChars="200" w:firstLine="36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Enerģijas cenas pieauguma mazināšanas pasākumi</w:t>
            </w:r>
          </w:p>
        </w:tc>
        <w:tc>
          <w:tcPr>
            <w:tcW w:w="1046" w:type="dxa"/>
            <w:shd w:val="clear" w:color="auto" w:fill="auto"/>
            <w:noWrap/>
            <w:vAlign w:val="center"/>
          </w:tcPr>
          <w:p w14:paraId="6B610937"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-1,42</w:t>
            </w:r>
          </w:p>
        </w:tc>
        <w:tc>
          <w:tcPr>
            <w:tcW w:w="992" w:type="dxa"/>
            <w:shd w:val="clear" w:color="auto" w:fill="auto"/>
            <w:noWrap/>
            <w:vAlign w:val="center"/>
          </w:tcPr>
          <w:p w14:paraId="04AB8270"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c>
          <w:tcPr>
            <w:tcW w:w="993" w:type="dxa"/>
            <w:shd w:val="clear" w:color="auto" w:fill="auto"/>
            <w:noWrap/>
            <w:vAlign w:val="center"/>
          </w:tcPr>
          <w:p w14:paraId="42B7B51D"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r>
      <w:tr w:rsidR="00553819" w:rsidRPr="00553819" w14:paraId="5475702F" w14:textId="77777777" w:rsidTr="009860AE">
        <w:trPr>
          <w:trHeight w:val="61"/>
          <w:jc w:val="center"/>
        </w:trPr>
        <w:tc>
          <w:tcPr>
            <w:tcW w:w="4531" w:type="dxa"/>
            <w:shd w:val="clear" w:color="auto" w:fill="auto"/>
            <w:noWrap/>
            <w:vAlign w:val="bottom"/>
            <w:hideMark/>
          </w:tcPr>
          <w:p w14:paraId="0D0BCB62" w14:textId="77777777" w:rsidR="00553819" w:rsidRPr="00553819" w:rsidRDefault="00553819" w:rsidP="009860AE">
            <w:pPr>
              <w:spacing w:before="60" w:after="60"/>
              <w:ind w:firstLineChars="200" w:firstLine="36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Aizsardzības un iekšējās drošības finansējums</w:t>
            </w:r>
          </w:p>
        </w:tc>
        <w:tc>
          <w:tcPr>
            <w:tcW w:w="1046" w:type="dxa"/>
            <w:shd w:val="clear" w:color="auto" w:fill="auto"/>
            <w:noWrap/>
            <w:vAlign w:val="center"/>
          </w:tcPr>
          <w:p w14:paraId="18863796"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-0,39</w:t>
            </w:r>
          </w:p>
        </w:tc>
        <w:tc>
          <w:tcPr>
            <w:tcW w:w="992" w:type="dxa"/>
            <w:shd w:val="clear" w:color="auto" w:fill="auto"/>
            <w:noWrap/>
            <w:vAlign w:val="center"/>
          </w:tcPr>
          <w:p w14:paraId="700F25D1"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-0,58</w:t>
            </w:r>
          </w:p>
        </w:tc>
        <w:tc>
          <w:tcPr>
            <w:tcW w:w="993" w:type="dxa"/>
            <w:shd w:val="clear" w:color="auto" w:fill="auto"/>
            <w:noWrap/>
            <w:vAlign w:val="center"/>
          </w:tcPr>
          <w:p w14:paraId="102AC933"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-0,68</w:t>
            </w:r>
          </w:p>
        </w:tc>
      </w:tr>
      <w:tr w:rsidR="00553819" w:rsidRPr="00553819" w14:paraId="1C40B2FB" w14:textId="77777777" w:rsidTr="009860AE">
        <w:trPr>
          <w:trHeight w:val="61"/>
          <w:jc w:val="center"/>
        </w:trPr>
        <w:tc>
          <w:tcPr>
            <w:tcW w:w="4531" w:type="dxa"/>
            <w:shd w:val="clear" w:color="auto" w:fill="auto"/>
            <w:noWrap/>
            <w:vAlign w:val="bottom"/>
          </w:tcPr>
          <w:p w14:paraId="385D9FEE" w14:textId="138DAF51" w:rsidR="00553819" w:rsidRPr="00553819" w:rsidRDefault="006A7261" w:rsidP="009860AE">
            <w:pPr>
              <w:spacing w:before="60" w:after="60"/>
              <w:ind w:firstLineChars="200" w:firstLine="360"/>
              <w:jc w:val="left"/>
              <w:rPr>
                <w:rFonts w:eastAsia="Times New Roman" w:cs="Times New Roman"/>
                <w:color w:val="000000"/>
                <w:sz w:val="18"/>
                <w:szCs w:val="18"/>
                <w:lang w:eastAsia="lv-LV"/>
              </w:rPr>
            </w:pPr>
            <w:r>
              <w:rPr>
                <w:rFonts w:eastAsia="Times New Roman" w:cs="Times New Roman"/>
                <w:color w:val="000000"/>
                <w:sz w:val="18"/>
                <w:szCs w:val="18"/>
                <w:lang w:eastAsia="lv-LV"/>
              </w:rPr>
              <w:t>A</w:t>
            </w:r>
            <w:r w:rsidR="00553819" w:rsidRPr="00553819">
              <w:rPr>
                <w:rFonts w:eastAsia="Times New Roman" w:cs="Times New Roman"/>
                <w:color w:val="000000"/>
                <w:sz w:val="18"/>
                <w:szCs w:val="18"/>
                <w:lang w:eastAsia="lv-LV"/>
              </w:rPr>
              <w:t>tbalsts bēgļiem no Ukrainas</w:t>
            </w:r>
          </w:p>
        </w:tc>
        <w:tc>
          <w:tcPr>
            <w:tcW w:w="1046" w:type="dxa"/>
            <w:shd w:val="clear" w:color="auto" w:fill="auto"/>
            <w:noWrap/>
            <w:vAlign w:val="center"/>
          </w:tcPr>
          <w:p w14:paraId="7ACD33AA"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-0,07</w:t>
            </w:r>
          </w:p>
        </w:tc>
        <w:tc>
          <w:tcPr>
            <w:tcW w:w="992" w:type="dxa"/>
            <w:shd w:val="clear" w:color="auto" w:fill="auto"/>
            <w:noWrap/>
            <w:vAlign w:val="center"/>
          </w:tcPr>
          <w:p w14:paraId="2D440888"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c>
          <w:tcPr>
            <w:tcW w:w="993" w:type="dxa"/>
            <w:shd w:val="clear" w:color="auto" w:fill="auto"/>
            <w:noWrap/>
            <w:vAlign w:val="center"/>
          </w:tcPr>
          <w:p w14:paraId="260801FB"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r>
      <w:tr w:rsidR="00553819" w:rsidRPr="00553819" w14:paraId="0AFF64D3" w14:textId="77777777" w:rsidTr="006A7261">
        <w:trPr>
          <w:trHeight w:val="61"/>
          <w:jc w:val="center"/>
        </w:trPr>
        <w:tc>
          <w:tcPr>
            <w:tcW w:w="4531" w:type="dxa"/>
            <w:shd w:val="clear" w:color="auto" w:fill="BDD6EE" w:themeFill="accent1" w:themeFillTint="66"/>
            <w:noWrap/>
            <w:vAlign w:val="bottom"/>
            <w:hideMark/>
          </w:tcPr>
          <w:p w14:paraId="791F14E2" w14:textId="77777777" w:rsidR="00553819" w:rsidRPr="00553819" w:rsidRDefault="00553819" w:rsidP="009860AE">
            <w:pPr>
              <w:spacing w:before="60" w:after="60"/>
              <w:ind w:firstLine="0"/>
              <w:jc w:val="left"/>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Vispārējās valdības bilance, % no IKP</w:t>
            </w:r>
          </w:p>
        </w:tc>
        <w:tc>
          <w:tcPr>
            <w:tcW w:w="1046" w:type="dxa"/>
            <w:shd w:val="clear" w:color="auto" w:fill="BDD6EE" w:themeFill="accent1" w:themeFillTint="66"/>
            <w:noWrap/>
            <w:vAlign w:val="center"/>
          </w:tcPr>
          <w:p w14:paraId="387109CE"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-3,4</w:t>
            </w:r>
          </w:p>
        </w:tc>
        <w:tc>
          <w:tcPr>
            <w:tcW w:w="992" w:type="dxa"/>
            <w:shd w:val="clear" w:color="auto" w:fill="BDD6EE" w:themeFill="accent1" w:themeFillTint="66"/>
            <w:noWrap/>
            <w:vAlign w:val="center"/>
          </w:tcPr>
          <w:p w14:paraId="6391E64C"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-1,5</w:t>
            </w:r>
          </w:p>
        </w:tc>
        <w:tc>
          <w:tcPr>
            <w:tcW w:w="993" w:type="dxa"/>
            <w:shd w:val="clear" w:color="auto" w:fill="BDD6EE" w:themeFill="accent1" w:themeFillTint="66"/>
            <w:noWrap/>
            <w:vAlign w:val="center"/>
          </w:tcPr>
          <w:p w14:paraId="6F3CCFDE"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-1,3</w:t>
            </w:r>
          </w:p>
        </w:tc>
      </w:tr>
    </w:tbl>
    <w:p w14:paraId="19DFCCB6" w14:textId="77777777" w:rsidR="006A7261" w:rsidRDefault="006A7261" w:rsidP="00553819">
      <w:pPr>
        <w:spacing w:before="0" w:after="0"/>
        <w:ind w:firstLine="0"/>
        <w:jc w:val="left"/>
        <w:rPr>
          <w:b/>
          <w:bCs/>
          <w:szCs w:val="20"/>
        </w:rPr>
      </w:pPr>
    </w:p>
    <w:p w14:paraId="4C09B93F" w14:textId="6FE75CCB" w:rsidR="00553819" w:rsidRPr="00553819" w:rsidRDefault="00553819" w:rsidP="00553819">
      <w:pPr>
        <w:spacing w:before="0" w:after="0"/>
        <w:ind w:firstLine="0"/>
        <w:jc w:val="left"/>
        <w:rPr>
          <w:b/>
          <w:bCs/>
          <w:szCs w:val="20"/>
        </w:rPr>
      </w:pPr>
      <w:r w:rsidRPr="00553819">
        <w:rPr>
          <w:b/>
          <w:bCs/>
          <w:szCs w:val="20"/>
        </w:rPr>
        <w:t>Fiskālā telpa 2023. gadam un turpmākajiem gadiem</w:t>
      </w:r>
    </w:p>
    <w:p w14:paraId="2C149528" w14:textId="77777777" w:rsidR="00553819" w:rsidRPr="00553819" w:rsidRDefault="00553819" w:rsidP="00553819">
      <w:pPr>
        <w:rPr>
          <w:szCs w:val="20"/>
        </w:rPr>
      </w:pPr>
      <w:r w:rsidRPr="00553819">
        <w:rPr>
          <w:szCs w:val="20"/>
        </w:rPr>
        <w:t>Ņemot vērā iepriekš definētos fiskālos nosacījumus un iepriekš norādītos strukturālās bilances mērķus, tiek noteikta fiskālā telpa 2023. gadam un turpmākajiem gadiem.</w:t>
      </w:r>
    </w:p>
    <w:p w14:paraId="2CAAEF42" w14:textId="77777777" w:rsidR="00553819" w:rsidRPr="00553819" w:rsidRDefault="00553819" w:rsidP="00553819">
      <w:pPr>
        <w:widowControl w:val="0"/>
        <w:ind w:firstLine="0"/>
        <w:jc w:val="center"/>
        <w:rPr>
          <w:rFonts w:eastAsia="Times New Roman" w:cs="Times New Roman"/>
          <w:b/>
          <w:szCs w:val="24"/>
        </w:rPr>
      </w:pPr>
      <w:r w:rsidRPr="00553819">
        <w:rPr>
          <w:rFonts w:eastAsia="Times New Roman" w:cs="Times New Roman"/>
          <w:b/>
          <w:szCs w:val="24"/>
        </w:rPr>
        <w:t>12. tabula. Fiskālā telpa</w:t>
      </w:r>
    </w:p>
    <w:tbl>
      <w:tblPr>
        <w:tblW w:w="7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4"/>
        <w:gridCol w:w="936"/>
        <w:gridCol w:w="877"/>
        <w:gridCol w:w="876"/>
      </w:tblGrid>
      <w:tr w:rsidR="00553819" w:rsidRPr="00553819" w14:paraId="366B4D96" w14:textId="77777777" w:rsidTr="006A7261">
        <w:trPr>
          <w:trHeight w:val="323"/>
          <w:tblHeader/>
          <w:jc w:val="center"/>
        </w:trPr>
        <w:tc>
          <w:tcPr>
            <w:tcW w:w="5214" w:type="dxa"/>
            <w:shd w:val="clear" w:color="auto" w:fill="BDD6EE" w:themeFill="accent1" w:themeFillTint="66"/>
            <w:vAlign w:val="bottom"/>
            <w:hideMark/>
          </w:tcPr>
          <w:p w14:paraId="34A974A5"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 </w:t>
            </w:r>
          </w:p>
        </w:tc>
        <w:tc>
          <w:tcPr>
            <w:tcW w:w="936" w:type="dxa"/>
            <w:shd w:val="clear" w:color="auto" w:fill="BDD6EE" w:themeFill="accent1" w:themeFillTint="66"/>
            <w:noWrap/>
            <w:vAlign w:val="bottom"/>
            <w:hideMark/>
          </w:tcPr>
          <w:p w14:paraId="63ECA439"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2023</w:t>
            </w:r>
          </w:p>
        </w:tc>
        <w:tc>
          <w:tcPr>
            <w:tcW w:w="877" w:type="dxa"/>
            <w:shd w:val="clear" w:color="auto" w:fill="BDD6EE" w:themeFill="accent1" w:themeFillTint="66"/>
            <w:noWrap/>
            <w:vAlign w:val="bottom"/>
            <w:hideMark/>
          </w:tcPr>
          <w:p w14:paraId="08650716"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2024</w:t>
            </w:r>
          </w:p>
        </w:tc>
        <w:tc>
          <w:tcPr>
            <w:tcW w:w="876" w:type="dxa"/>
            <w:shd w:val="clear" w:color="auto" w:fill="BDD6EE" w:themeFill="accent1" w:themeFillTint="66"/>
            <w:noWrap/>
            <w:vAlign w:val="bottom"/>
            <w:hideMark/>
          </w:tcPr>
          <w:p w14:paraId="26CD8B72"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2025</w:t>
            </w:r>
          </w:p>
        </w:tc>
      </w:tr>
      <w:tr w:rsidR="00553819" w:rsidRPr="00553819" w14:paraId="46CCCFF9" w14:textId="77777777" w:rsidTr="009860AE">
        <w:trPr>
          <w:trHeight w:val="190"/>
          <w:jc w:val="center"/>
        </w:trPr>
        <w:tc>
          <w:tcPr>
            <w:tcW w:w="5214" w:type="dxa"/>
            <w:shd w:val="clear" w:color="auto" w:fill="auto"/>
            <w:vAlign w:val="center"/>
            <w:hideMark/>
          </w:tcPr>
          <w:p w14:paraId="4D8C3DAC"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Vispārējās valdības nominālās bilances prognoze pie nemainīgas politikas, % no IKP</w:t>
            </w:r>
          </w:p>
        </w:tc>
        <w:tc>
          <w:tcPr>
            <w:tcW w:w="936" w:type="dxa"/>
            <w:shd w:val="clear" w:color="auto" w:fill="auto"/>
            <w:noWrap/>
            <w:vAlign w:val="center"/>
          </w:tcPr>
          <w:p w14:paraId="1826C295"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 xml:space="preserve">-2,6 </w:t>
            </w:r>
          </w:p>
        </w:tc>
        <w:tc>
          <w:tcPr>
            <w:tcW w:w="877" w:type="dxa"/>
            <w:shd w:val="clear" w:color="auto" w:fill="auto"/>
            <w:noWrap/>
            <w:vAlign w:val="center"/>
          </w:tcPr>
          <w:p w14:paraId="22039277"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 xml:space="preserve">-0,4 </w:t>
            </w:r>
          </w:p>
        </w:tc>
        <w:tc>
          <w:tcPr>
            <w:tcW w:w="876" w:type="dxa"/>
            <w:shd w:val="clear" w:color="auto" w:fill="auto"/>
            <w:noWrap/>
            <w:vAlign w:val="center"/>
          </w:tcPr>
          <w:p w14:paraId="7E16ABE1"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-0,4</w:t>
            </w:r>
          </w:p>
        </w:tc>
      </w:tr>
      <w:tr w:rsidR="00553819" w:rsidRPr="00553819" w14:paraId="5FC14E8E" w14:textId="77777777" w:rsidTr="009860AE">
        <w:trPr>
          <w:trHeight w:val="54"/>
          <w:jc w:val="center"/>
        </w:trPr>
        <w:tc>
          <w:tcPr>
            <w:tcW w:w="5214" w:type="dxa"/>
            <w:shd w:val="clear" w:color="auto" w:fill="auto"/>
            <w:vAlign w:val="center"/>
            <w:hideMark/>
          </w:tcPr>
          <w:p w14:paraId="3A535967"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Izlaižu starpība, % no potenciālā IKP</w:t>
            </w:r>
          </w:p>
        </w:tc>
        <w:tc>
          <w:tcPr>
            <w:tcW w:w="936" w:type="dxa"/>
            <w:shd w:val="clear" w:color="auto" w:fill="auto"/>
            <w:noWrap/>
          </w:tcPr>
          <w:p w14:paraId="2A998502"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-2,08</w:t>
            </w:r>
          </w:p>
        </w:tc>
        <w:tc>
          <w:tcPr>
            <w:tcW w:w="877" w:type="dxa"/>
            <w:shd w:val="clear" w:color="auto" w:fill="auto"/>
            <w:noWrap/>
          </w:tcPr>
          <w:p w14:paraId="5E90673B"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-1,18</w:t>
            </w:r>
          </w:p>
        </w:tc>
        <w:tc>
          <w:tcPr>
            <w:tcW w:w="876" w:type="dxa"/>
            <w:shd w:val="clear" w:color="auto" w:fill="auto"/>
            <w:noWrap/>
          </w:tcPr>
          <w:p w14:paraId="64D5238A"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-0,43</w:t>
            </w:r>
          </w:p>
        </w:tc>
      </w:tr>
      <w:tr w:rsidR="00553819" w:rsidRPr="00553819" w14:paraId="46D67A24" w14:textId="77777777" w:rsidTr="009860AE">
        <w:trPr>
          <w:trHeight w:val="54"/>
          <w:jc w:val="center"/>
        </w:trPr>
        <w:tc>
          <w:tcPr>
            <w:tcW w:w="5214" w:type="dxa"/>
            <w:shd w:val="clear" w:color="auto" w:fill="auto"/>
            <w:vAlign w:val="center"/>
            <w:hideMark/>
          </w:tcPr>
          <w:p w14:paraId="15EF8D3B"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Bilances cikliskā komponente, % no IKP</w:t>
            </w:r>
          </w:p>
        </w:tc>
        <w:tc>
          <w:tcPr>
            <w:tcW w:w="936" w:type="dxa"/>
            <w:shd w:val="clear" w:color="auto" w:fill="auto"/>
            <w:noWrap/>
          </w:tcPr>
          <w:p w14:paraId="2209DCA3"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-0,79</w:t>
            </w:r>
          </w:p>
        </w:tc>
        <w:tc>
          <w:tcPr>
            <w:tcW w:w="877" w:type="dxa"/>
            <w:shd w:val="clear" w:color="auto" w:fill="auto"/>
            <w:noWrap/>
          </w:tcPr>
          <w:p w14:paraId="6F6228A3"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-0,45</w:t>
            </w:r>
          </w:p>
        </w:tc>
        <w:tc>
          <w:tcPr>
            <w:tcW w:w="876" w:type="dxa"/>
            <w:shd w:val="clear" w:color="auto" w:fill="auto"/>
            <w:noWrap/>
          </w:tcPr>
          <w:p w14:paraId="23BDE3BC"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cs="Times New Roman"/>
                <w:sz w:val="18"/>
                <w:szCs w:val="18"/>
              </w:rPr>
              <w:t>-0,16</w:t>
            </w:r>
          </w:p>
        </w:tc>
      </w:tr>
      <w:tr w:rsidR="00553819" w:rsidRPr="00553819" w14:paraId="16A30E27" w14:textId="77777777" w:rsidTr="009860AE">
        <w:trPr>
          <w:trHeight w:val="231"/>
          <w:jc w:val="center"/>
        </w:trPr>
        <w:tc>
          <w:tcPr>
            <w:tcW w:w="5214" w:type="dxa"/>
            <w:shd w:val="clear" w:color="auto" w:fill="auto"/>
            <w:vAlign w:val="center"/>
            <w:hideMark/>
          </w:tcPr>
          <w:p w14:paraId="2D187E90"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i/>
                <w:iCs/>
                <w:noProof/>
                <w:color w:val="000000"/>
                <w:sz w:val="18"/>
                <w:szCs w:val="18"/>
                <w:lang w:eastAsia="lv-LV"/>
              </w:rPr>
              <w:t>One-off</w:t>
            </w:r>
            <w:r w:rsidRPr="00553819">
              <w:rPr>
                <w:rFonts w:eastAsia="Times New Roman" w:cs="Times New Roman"/>
                <w:noProof/>
                <w:color w:val="000000"/>
                <w:sz w:val="18"/>
                <w:szCs w:val="18"/>
                <w:lang w:eastAsia="lv-LV"/>
              </w:rPr>
              <w:t xml:space="preserve"> un</w:t>
            </w:r>
            <w:r w:rsidRPr="00553819">
              <w:rPr>
                <w:rFonts w:eastAsia="Times New Roman" w:cs="Times New Roman"/>
                <w:color w:val="000000"/>
                <w:sz w:val="18"/>
                <w:szCs w:val="18"/>
                <w:lang w:eastAsia="lv-LV"/>
              </w:rPr>
              <w:t xml:space="preserve"> citi īslaicīgie pasākumi, kas iekļauti nemainīgas politikas scenārijā % no IKP, tai skaitā</w:t>
            </w:r>
          </w:p>
        </w:tc>
        <w:tc>
          <w:tcPr>
            <w:tcW w:w="936" w:type="dxa"/>
            <w:shd w:val="clear" w:color="auto" w:fill="auto"/>
            <w:noWrap/>
            <w:vAlign w:val="center"/>
          </w:tcPr>
          <w:p w14:paraId="1FBC18BB"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-2,07</w:t>
            </w:r>
          </w:p>
        </w:tc>
        <w:tc>
          <w:tcPr>
            <w:tcW w:w="877" w:type="dxa"/>
            <w:shd w:val="clear" w:color="auto" w:fill="auto"/>
            <w:noWrap/>
            <w:vAlign w:val="center"/>
          </w:tcPr>
          <w:p w14:paraId="0E0D7D2D"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-0,58</w:t>
            </w:r>
          </w:p>
        </w:tc>
        <w:tc>
          <w:tcPr>
            <w:tcW w:w="876" w:type="dxa"/>
            <w:shd w:val="clear" w:color="auto" w:fill="auto"/>
            <w:noWrap/>
            <w:vAlign w:val="center"/>
          </w:tcPr>
          <w:p w14:paraId="3687E683"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-0,68</w:t>
            </w:r>
          </w:p>
        </w:tc>
      </w:tr>
      <w:tr w:rsidR="00553819" w:rsidRPr="00553819" w14:paraId="3526EEF3" w14:textId="77777777" w:rsidTr="009860AE">
        <w:trPr>
          <w:trHeight w:val="54"/>
          <w:jc w:val="center"/>
        </w:trPr>
        <w:tc>
          <w:tcPr>
            <w:tcW w:w="5214" w:type="dxa"/>
            <w:shd w:val="clear" w:color="auto" w:fill="auto"/>
            <w:vAlign w:val="bottom"/>
            <w:hideMark/>
          </w:tcPr>
          <w:p w14:paraId="0862AA7D" w14:textId="77777777" w:rsidR="00553819" w:rsidRPr="00553819" w:rsidRDefault="00553819" w:rsidP="009860AE">
            <w:pPr>
              <w:spacing w:before="60" w:after="60"/>
              <w:ind w:firstLineChars="200" w:firstLine="36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Covid-19 pandēmijas mazināšanas pasākumi</w:t>
            </w:r>
          </w:p>
        </w:tc>
        <w:tc>
          <w:tcPr>
            <w:tcW w:w="936" w:type="dxa"/>
            <w:shd w:val="clear" w:color="auto" w:fill="auto"/>
            <w:noWrap/>
            <w:vAlign w:val="center"/>
          </w:tcPr>
          <w:p w14:paraId="4C33395A"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-0,18</w:t>
            </w:r>
          </w:p>
        </w:tc>
        <w:tc>
          <w:tcPr>
            <w:tcW w:w="877" w:type="dxa"/>
            <w:shd w:val="clear" w:color="auto" w:fill="auto"/>
            <w:noWrap/>
            <w:vAlign w:val="center"/>
          </w:tcPr>
          <w:p w14:paraId="642C1785"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c>
          <w:tcPr>
            <w:tcW w:w="876" w:type="dxa"/>
            <w:shd w:val="clear" w:color="auto" w:fill="auto"/>
            <w:noWrap/>
            <w:vAlign w:val="center"/>
          </w:tcPr>
          <w:p w14:paraId="0A8F43C1"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r>
      <w:tr w:rsidR="00553819" w:rsidRPr="00553819" w14:paraId="48687A57" w14:textId="77777777" w:rsidTr="009860AE">
        <w:trPr>
          <w:trHeight w:val="54"/>
          <w:jc w:val="center"/>
        </w:trPr>
        <w:tc>
          <w:tcPr>
            <w:tcW w:w="5214" w:type="dxa"/>
            <w:shd w:val="clear" w:color="auto" w:fill="auto"/>
            <w:vAlign w:val="bottom"/>
            <w:hideMark/>
          </w:tcPr>
          <w:p w14:paraId="31A99DB8" w14:textId="77777777" w:rsidR="00553819" w:rsidRPr="00553819" w:rsidRDefault="00553819" w:rsidP="009860AE">
            <w:pPr>
              <w:spacing w:before="60" w:after="60"/>
              <w:ind w:firstLineChars="200" w:firstLine="36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Enerģijas cenas pieauguma mazināšanas pasākumi</w:t>
            </w:r>
          </w:p>
        </w:tc>
        <w:tc>
          <w:tcPr>
            <w:tcW w:w="936" w:type="dxa"/>
            <w:shd w:val="clear" w:color="auto" w:fill="auto"/>
            <w:noWrap/>
            <w:vAlign w:val="center"/>
          </w:tcPr>
          <w:p w14:paraId="53147395"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-1,42</w:t>
            </w:r>
          </w:p>
        </w:tc>
        <w:tc>
          <w:tcPr>
            <w:tcW w:w="877" w:type="dxa"/>
            <w:shd w:val="clear" w:color="auto" w:fill="auto"/>
            <w:noWrap/>
            <w:vAlign w:val="center"/>
          </w:tcPr>
          <w:p w14:paraId="52A30FDE"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c>
          <w:tcPr>
            <w:tcW w:w="876" w:type="dxa"/>
            <w:shd w:val="clear" w:color="auto" w:fill="auto"/>
            <w:noWrap/>
            <w:vAlign w:val="center"/>
          </w:tcPr>
          <w:p w14:paraId="54A49156"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r>
      <w:tr w:rsidR="00553819" w:rsidRPr="00553819" w14:paraId="3E6F20ED" w14:textId="77777777" w:rsidTr="009860AE">
        <w:trPr>
          <w:trHeight w:val="54"/>
          <w:jc w:val="center"/>
        </w:trPr>
        <w:tc>
          <w:tcPr>
            <w:tcW w:w="5214" w:type="dxa"/>
            <w:shd w:val="clear" w:color="auto" w:fill="auto"/>
            <w:vAlign w:val="bottom"/>
            <w:hideMark/>
          </w:tcPr>
          <w:p w14:paraId="6B2A3D3C" w14:textId="77777777" w:rsidR="00553819" w:rsidRPr="00553819" w:rsidRDefault="00553819" w:rsidP="009860AE">
            <w:pPr>
              <w:spacing w:before="60" w:after="60"/>
              <w:ind w:firstLineChars="200" w:firstLine="36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Aizsardzības un iekšējās drošības finansējums</w:t>
            </w:r>
          </w:p>
        </w:tc>
        <w:tc>
          <w:tcPr>
            <w:tcW w:w="936" w:type="dxa"/>
            <w:shd w:val="clear" w:color="auto" w:fill="auto"/>
            <w:noWrap/>
            <w:vAlign w:val="center"/>
          </w:tcPr>
          <w:p w14:paraId="4E7C1AA3"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-0,39</w:t>
            </w:r>
          </w:p>
        </w:tc>
        <w:tc>
          <w:tcPr>
            <w:tcW w:w="877" w:type="dxa"/>
            <w:shd w:val="clear" w:color="auto" w:fill="auto"/>
            <w:noWrap/>
            <w:vAlign w:val="center"/>
          </w:tcPr>
          <w:p w14:paraId="0A16B22A"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-0,58</w:t>
            </w:r>
          </w:p>
        </w:tc>
        <w:tc>
          <w:tcPr>
            <w:tcW w:w="876" w:type="dxa"/>
            <w:shd w:val="clear" w:color="auto" w:fill="auto"/>
            <w:noWrap/>
            <w:vAlign w:val="center"/>
          </w:tcPr>
          <w:p w14:paraId="23BDABA8"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-0,68</w:t>
            </w:r>
          </w:p>
        </w:tc>
      </w:tr>
      <w:tr w:rsidR="00553819" w:rsidRPr="00553819" w14:paraId="7C4688A0" w14:textId="77777777" w:rsidTr="009860AE">
        <w:trPr>
          <w:trHeight w:val="54"/>
          <w:jc w:val="center"/>
        </w:trPr>
        <w:tc>
          <w:tcPr>
            <w:tcW w:w="5214" w:type="dxa"/>
            <w:shd w:val="clear" w:color="auto" w:fill="auto"/>
            <w:vAlign w:val="bottom"/>
          </w:tcPr>
          <w:p w14:paraId="484EF638" w14:textId="2249C4A2" w:rsidR="00553819" w:rsidRPr="00553819" w:rsidRDefault="006A7261" w:rsidP="009860AE">
            <w:pPr>
              <w:spacing w:before="60" w:after="60"/>
              <w:ind w:firstLineChars="200" w:firstLine="360"/>
              <w:jc w:val="left"/>
              <w:rPr>
                <w:rFonts w:eastAsia="Times New Roman" w:cs="Times New Roman"/>
                <w:color w:val="000000"/>
                <w:sz w:val="18"/>
                <w:szCs w:val="18"/>
                <w:lang w:eastAsia="lv-LV"/>
              </w:rPr>
            </w:pPr>
            <w:r>
              <w:rPr>
                <w:rFonts w:eastAsia="Times New Roman" w:cs="Times New Roman"/>
                <w:color w:val="000000"/>
                <w:sz w:val="18"/>
                <w:szCs w:val="18"/>
                <w:lang w:eastAsia="lv-LV"/>
              </w:rPr>
              <w:t>A</w:t>
            </w:r>
            <w:r w:rsidR="00553819" w:rsidRPr="00553819">
              <w:rPr>
                <w:rFonts w:eastAsia="Times New Roman" w:cs="Times New Roman"/>
                <w:color w:val="000000"/>
                <w:sz w:val="18"/>
                <w:szCs w:val="18"/>
                <w:lang w:eastAsia="lv-LV"/>
              </w:rPr>
              <w:t>tbalsts bēgļiem no Ukrainas</w:t>
            </w:r>
          </w:p>
        </w:tc>
        <w:tc>
          <w:tcPr>
            <w:tcW w:w="936" w:type="dxa"/>
            <w:shd w:val="clear" w:color="auto" w:fill="auto"/>
            <w:noWrap/>
            <w:vAlign w:val="center"/>
          </w:tcPr>
          <w:p w14:paraId="18489F2F"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-0,07</w:t>
            </w:r>
          </w:p>
        </w:tc>
        <w:tc>
          <w:tcPr>
            <w:tcW w:w="877" w:type="dxa"/>
            <w:shd w:val="clear" w:color="auto" w:fill="auto"/>
            <w:noWrap/>
            <w:vAlign w:val="center"/>
          </w:tcPr>
          <w:p w14:paraId="350F8393"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p>
        </w:tc>
        <w:tc>
          <w:tcPr>
            <w:tcW w:w="876" w:type="dxa"/>
            <w:shd w:val="clear" w:color="auto" w:fill="auto"/>
            <w:noWrap/>
            <w:vAlign w:val="center"/>
          </w:tcPr>
          <w:p w14:paraId="2F376C67"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p>
        </w:tc>
      </w:tr>
      <w:tr w:rsidR="00553819" w:rsidRPr="00553819" w14:paraId="46A3DE19" w14:textId="77777777" w:rsidTr="009860AE">
        <w:trPr>
          <w:trHeight w:val="187"/>
          <w:jc w:val="center"/>
        </w:trPr>
        <w:tc>
          <w:tcPr>
            <w:tcW w:w="5214" w:type="dxa"/>
            <w:shd w:val="clear" w:color="auto" w:fill="auto"/>
            <w:vAlign w:val="center"/>
            <w:hideMark/>
          </w:tcPr>
          <w:p w14:paraId="38F460D4"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Vispārējās valdības budžeta strukturālās bilances prognozes nemainīgas politikas scenārijā, % no IKP</w:t>
            </w:r>
          </w:p>
        </w:tc>
        <w:tc>
          <w:tcPr>
            <w:tcW w:w="936" w:type="dxa"/>
            <w:shd w:val="clear" w:color="auto" w:fill="auto"/>
            <w:noWrap/>
            <w:vAlign w:val="center"/>
          </w:tcPr>
          <w:p w14:paraId="123384DA"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0,2</w:t>
            </w:r>
          </w:p>
        </w:tc>
        <w:tc>
          <w:tcPr>
            <w:tcW w:w="877" w:type="dxa"/>
            <w:shd w:val="clear" w:color="auto" w:fill="auto"/>
            <w:noWrap/>
            <w:vAlign w:val="center"/>
          </w:tcPr>
          <w:p w14:paraId="5D7C5EE2"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0,6</w:t>
            </w:r>
          </w:p>
        </w:tc>
        <w:tc>
          <w:tcPr>
            <w:tcW w:w="876" w:type="dxa"/>
            <w:shd w:val="clear" w:color="auto" w:fill="auto"/>
            <w:noWrap/>
            <w:vAlign w:val="center"/>
          </w:tcPr>
          <w:p w14:paraId="0750ED14"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 xml:space="preserve">0,5 </w:t>
            </w:r>
          </w:p>
        </w:tc>
      </w:tr>
      <w:tr w:rsidR="00553819" w:rsidRPr="00553819" w14:paraId="0FA403DB" w14:textId="77777777" w:rsidTr="009860AE">
        <w:trPr>
          <w:trHeight w:val="54"/>
          <w:jc w:val="center"/>
        </w:trPr>
        <w:tc>
          <w:tcPr>
            <w:tcW w:w="5214" w:type="dxa"/>
            <w:shd w:val="clear" w:color="auto" w:fill="auto"/>
            <w:vAlign w:val="center"/>
            <w:hideMark/>
          </w:tcPr>
          <w:p w14:paraId="178C4A03"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Vispārējās valdības budžeta strukturālās bilances mērķi, % no IKP</w:t>
            </w:r>
          </w:p>
        </w:tc>
        <w:tc>
          <w:tcPr>
            <w:tcW w:w="936" w:type="dxa"/>
            <w:shd w:val="clear" w:color="auto" w:fill="auto"/>
            <w:noWrap/>
            <w:vAlign w:val="center"/>
          </w:tcPr>
          <w:p w14:paraId="7C002243"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-0,5</w:t>
            </w:r>
          </w:p>
        </w:tc>
        <w:tc>
          <w:tcPr>
            <w:tcW w:w="877" w:type="dxa"/>
            <w:shd w:val="clear" w:color="auto" w:fill="auto"/>
            <w:noWrap/>
            <w:vAlign w:val="center"/>
          </w:tcPr>
          <w:p w14:paraId="2C2F67FE"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-0,5</w:t>
            </w:r>
          </w:p>
        </w:tc>
        <w:tc>
          <w:tcPr>
            <w:tcW w:w="876" w:type="dxa"/>
            <w:shd w:val="clear" w:color="auto" w:fill="auto"/>
            <w:noWrap/>
            <w:vAlign w:val="center"/>
          </w:tcPr>
          <w:p w14:paraId="31B5344C"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-0,5</w:t>
            </w:r>
          </w:p>
        </w:tc>
      </w:tr>
      <w:tr w:rsidR="00553819" w:rsidRPr="00553819" w14:paraId="1A40246E" w14:textId="77777777" w:rsidTr="009860AE">
        <w:trPr>
          <w:trHeight w:val="54"/>
          <w:jc w:val="center"/>
        </w:trPr>
        <w:tc>
          <w:tcPr>
            <w:tcW w:w="5214" w:type="dxa"/>
            <w:shd w:val="clear" w:color="auto" w:fill="auto"/>
            <w:vAlign w:val="center"/>
            <w:hideMark/>
          </w:tcPr>
          <w:p w14:paraId="22349D89"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Fiskālā nodrošinājuma rezerve, % no IKP</w:t>
            </w:r>
          </w:p>
        </w:tc>
        <w:tc>
          <w:tcPr>
            <w:tcW w:w="936" w:type="dxa"/>
            <w:shd w:val="clear" w:color="auto" w:fill="auto"/>
            <w:noWrap/>
            <w:vAlign w:val="center"/>
          </w:tcPr>
          <w:p w14:paraId="578C545B"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0,1</w:t>
            </w:r>
          </w:p>
        </w:tc>
        <w:tc>
          <w:tcPr>
            <w:tcW w:w="877" w:type="dxa"/>
            <w:shd w:val="clear" w:color="auto" w:fill="auto"/>
            <w:noWrap/>
            <w:vAlign w:val="center"/>
          </w:tcPr>
          <w:p w14:paraId="3D8CFAC1"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0,1</w:t>
            </w:r>
          </w:p>
        </w:tc>
        <w:tc>
          <w:tcPr>
            <w:tcW w:w="876" w:type="dxa"/>
            <w:shd w:val="clear" w:color="auto" w:fill="auto"/>
            <w:noWrap/>
            <w:vAlign w:val="center"/>
          </w:tcPr>
          <w:p w14:paraId="647C93D4"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0,1</w:t>
            </w:r>
          </w:p>
        </w:tc>
      </w:tr>
      <w:tr w:rsidR="00553819" w:rsidRPr="00553819" w14:paraId="27C2D695" w14:textId="77777777" w:rsidTr="009860AE">
        <w:trPr>
          <w:trHeight w:val="54"/>
          <w:jc w:val="center"/>
        </w:trPr>
        <w:tc>
          <w:tcPr>
            <w:tcW w:w="5214" w:type="dxa"/>
            <w:shd w:val="clear" w:color="auto" w:fill="auto"/>
            <w:vAlign w:val="center"/>
          </w:tcPr>
          <w:p w14:paraId="29C23F78" w14:textId="77777777" w:rsidR="00553819" w:rsidRPr="00553819" w:rsidRDefault="00553819" w:rsidP="009860AE">
            <w:pPr>
              <w:spacing w:before="60" w:after="60"/>
              <w:ind w:firstLine="0"/>
              <w:jc w:val="left"/>
              <w:rPr>
                <w:rFonts w:eastAsia="Times New Roman" w:cs="Times New Roman"/>
                <w:color w:val="000000"/>
                <w:sz w:val="18"/>
                <w:szCs w:val="18"/>
                <w:lang w:eastAsia="lv-LV"/>
              </w:rPr>
            </w:pPr>
            <w:r w:rsidRPr="00553819">
              <w:rPr>
                <w:rFonts w:eastAsia="Times New Roman" w:cs="Times New Roman"/>
                <w:color w:val="000000"/>
                <w:sz w:val="18"/>
                <w:szCs w:val="18"/>
                <w:lang w:eastAsia="lv-LV"/>
              </w:rPr>
              <w:t>Lēmumi, kas ietekmēs telpu, bet kas nav vēl bilancē, % no IKP</w:t>
            </w:r>
          </w:p>
        </w:tc>
        <w:tc>
          <w:tcPr>
            <w:tcW w:w="936" w:type="dxa"/>
            <w:shd w:val="clear" w:color="auto" w:fill="auto"/>
            <w:noWrap/>
            <w:vAlign w:val="center"/>
          </w:tcPr>
          <w:p w14:paraId="1C099837"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-0,1</w:t>
            </w:r>
          </w:p>
        </w:tc>
        <w:tc>
          <w:tcPr>
            <w:tcW w:w="877" w:type="dxa"/>
            <w:shd w:val="clear" w:color="auto" w:fill="auto"/>
            <w:noWrap/>
            <w:vAlign w:val="center"/>
          </w:tcPr>
          <w:p w14:paraId="3721439B"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c>
          <w:tcPr>
            <w:tcW w:w="876" w:type="dxa"/>
            <w:shd w:val="clear" w:color="auto" w:fill="auto"/>
            <w:noWrap/>
            <w:vAlign w:val="center"/>
          </w:tcPr>
          <w:p w14:paraId="122B720B" w14:textId="77777777" w:rsidR="00553819" w:rsidRPr="00553819" w:rsidRDefault="00553819" w:rsidP="009860AE">
            <w:pPr>
              <w:spacing w:before="60" w:after="60"/>
              <w:ind w:firstLine="0"/>
              <w:jc w:val="center"/>
              <w:rPr>
                <w:rFonts w:eastAsia="Times New Roman" w:cs="Times New Roman"/>
                <w:color w:val="000000"/>
                <w:sz w:val="18"/>
                <w:szCs w:val="18"/>
                <w:lang w:eastAsia="lv-LV"/>
              </w:rPr>
            </w:pPr>
            <w:r w:rsidRPr="00553819">
              <w:rPr>
                <w:rFonts w:eastAsia="Times New Roman" w:cs="Times New Roman"/>
                <w:color w:val="000000"/>
                <w:sz w:val="18"/>
                <w:szCs w:val="18"/>
                <w:lang w:eastAsia="lv-LV"/>
              </w:rPr>
              <w:t>0,0</w:t>
            </w:r>
          </w:p>
        </w:tc>
      </w:tr>
      <w:tr w:rsidR="00553819" w:rsidRPr="00553819" w14:paraId="67526D2A" w14:textId="77777777" w:rsidTr="006A7261">
        <w:trPr>
          <w:trHeight w:val="54"/>
          <w:jc w:val="center"/>
        </w:trPr>
        <w:tc>
          <w:tcPr>
            <w:tcW w:w="5214" w:type="dxa"/>
            <w:shd w:val="clear" w:color="auto" w:fill="BDD6EE" w:themeFill="accent1" w:themeFillTint="66"/>
            <w:vAlign w:val="center"/>
            <w:hideMark/>
          </w:tcPr>
          <w:p w14:paraId="78AEC9A6" w14:textId="77777777" w:rsidR="00553819" w:rsidRPr="00553819" w:rsidRDefault="00553819" w:rsidP="009860AE">
            <w:pPr>
              <w:spacing w:before="60" w:after="60"/>
              <w:ind w:firstLine="0"/>
              <w:jc w:val="left"/>
              <w:rPr>
                <w:rFonts w:eastAsia="Times New Roman" w:cs="Times New Roman"/>
                <w:b/>
                <w:bCs/>
                <w:noProof/>
                <w:color w:val="000000"/>
                <w:sz w:val="18"/>
                <w:szCs w:val="18"/>
                <w:lang w:eastAsia="lv-LV"/>
              </w:rPr>
            </w:pPr>
            <w:r w:rsidRPr="00553819">
              <w:rPr>
                <w:rFonts w:eastAsia="Times New Roman" w:cs="Times New Roman"/>
                <w:b/>
                <w:bCs/>
                <w:noProof/>
                <w:color w:val="000000"/>
                <w:sz w:val="18"/>
                <w:szCs w:val="18"/>
                <w:lang w:eastAsia="lv-LV"/>
              </w:rPr>
              <w:lastRenderedPageBreak/>
              <w:t>Fiskālā telpa, % no IKP</w:t>
            </w:r>
          </w:p>
        </w:tc>
        <w:tc>
          <w:tcPr>
            <w:tcW w:w="936" w:type="dxa"/>
            <w:shd w:val="clear" w:color="auto" w:fill="BDD6EE" w:themeFill="accent1" w:themeFillTint="66"/>
            <w:noWrap/>
            <w:vAlign w:val="center"/>
          </w:tcPr>
          <w:p w14:paraId="647AD5FF"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 xml:space="preserve">0,50 </w:t>
            </w:r>
          </w:p>
        </w:tc>
        <w:tc>
          <w:tcPr>
            <w:tcW w:w="877" w:type="dxa"/>
            <w:shd w:val="clear" w:color="auto" w:fill="BDD6EE" w:themeFill="accent1" w:themeFillTint="66"/>
            <w:noWrap/>
            <w:vAlign w:val="center"/>
          </w:tcPr>
          <w:p w14:paraId="577078AB"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 xml:space="preserve">0,99  </w:t>
            </w:r>
          </w:p>
        </w:tc>
        <w:tc>
          <w:tcPr>
            <w:tcW w:w="876" w:type="dxa"/>
            <w:shd w:val="clear" w:color="auto" w:fill="BDD6EE" w:themeFill="accent1" w:themeFillTint="66"/>
            <w:noWrap/>
            <w:vAlign w:val="center"/>
          </w:tcPr>
          <w:p w14:paraId="10D21A94"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0,86</w:t>
            </w:r>
          </w:p>
        </w:tc>
      </w:tr>
      <w:tr w:rsidR="00553819" w:rsidRPr="00553819" w14:paraId="260EFB09" w14:textId="77777777" w:rsidTr="006A7261">
        <w:trPr>
          <w:trHeight w:val="54"/>
          <w:jc w:val="center"/>
        </w:trPr>
        <w:tc>
          <w:tcPr>
            <w:tcW w:w="5214" w:type="dxa"/>
            <w:shd w:val="clear" w:color="auto" w:fill="BDD6EE" w:themeFill="accent1" w:themeFillTint="66"/>
            <w:vAlign w:val="center"/>
          </w:tcPr>
          <w:p w14:paraId="6032D672" w14:textId="77777777" w:rsidR="00553819" w:rsidRPr="00553819" w:rsidRDefault="00553819" w:rsidP="009860AE">
            <w:pPr>
              <w:spacing w:before="60" w:after="60"/>
              <w:ind w:firstLine="0"/>
              <w:jc w:val="left"/>
              <w:rPr>
                <w:rFonts w:eastAsia="Times New Roman" w:cs="Times New Roman"/>
                <w:b/>
                <w:bCs/>
                <w:noProof/>
                <w:color w:val="000000"/>
                <w:sz w:val="18"/>
                <w:szCs w:val="18"/>
                <w:lang w:eastAsia="lv-LV"/>
              </w:rPr>
            </w:pPr>
            <w:r w:rsidRPr="00553819">
              <w:rPr>
                <w:rFonts w:eastAsia="Times New Roman" w:cs="Times New Roman"/>
                <w:b/>
                <w:bCs/>
                <w:noProof/>
                <w:color w:val="000000"/>
                <w:sz w:val="18"/>
                <w:szCs w:val="18"/>
                <w:lang w:eastAsia="lv-LV"/>
              </w:rPr>
              <w:t xml:space="preserve">Fiskālā telpa, milj. </w:t>
            </w:r>
            <w:r w:rsidRPr="00553819">
              <w:rPr>
                <w:rFonts w:eastAsia="Times New Roman" w:cs="Times New Roman"/>
                <w:b/>
                <w:bCs/>
                <w:i/>
                <w:iCs/>
                <w:noProof/>
                <w:color w:val="000000"/>
                <w:sz w:val="18"/>
                <w:szCs w:val="18"/>
                <w:lang w:eastAsia="lv-LV"/>
              </w:rPr>
              <w:t>euro</w:t>
            </w:r>
          </w:p>
        </w:tc>
        <w:tc>
          <w:tcPr>
            <w:tcW w:w="936" w:type="dxa"/>
            <w:shd w:val="clear" w:color="auto" w:fill="BDD6EE" w:themeFill="accent1" w:themeFillTint="66"/>
            <w:noWrap/>
            <w:vAlign w:val="center"/>
          </w:tcPr>
          <w:p w14:paraId="1959CCBA"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215,1</w:t>
            </w:r>
          </w:p>
        </w:tc>
        <w:tc>
          <w:tcPr>
            <w:tcW w:w="877" w:type="dxa"/>
            <w:shd w:val="clear" w:color="auto" w:fill="BDD6EE" w:themeFill="accent1" w:themeFillTint="66"/>
            <w:noWrap/>
            <w:vAlign w:val="center"/>
          </w:tcPr>
          <w:p w14:paraId="250FB1F8"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 xml:space="preserve">  444,2</w:t>
            </w:r>
          </w:p>
        </w:tc>
        <w:tc>
          <w:tcPr>
            <w:tcW w:w="876" w:type="dxa"/>
            <w:shd w:val="clear" w:color="auto" w:fill="BDD6EE" w:themeFill="accent1" w:themeFillTint="66"/>
            <w:noWrap/>
            <w:vAlign w:val="center"/>
          </w:tcPr>
          <w:p w14:paraId="662B4BFC" w14:textId="77777777" w:rsidR="00553819" w:rsidRPr="00553819" w:rsidRDefault="00553819" w:rsidP="009860AE">
            <w:pPr>
              <w:spacing w:before="60" w:after="60"/>
              <w:ind w:firstLine="0"/>
              <w:jc w:val="center"/>
              <w:rPr>
                <w:rFonts w:eastAsia="Times New Roman" w:cs="Times New Roman"/>
                <w:b/>
                <w:bCs/>
                <w:color w:val="000000"/>
                <w:sz w:val="18"/>
                <w:szCs w:val="18"/>
                <w:lang w:eastAsia="lv-LV"/>
              </w:rPr>
            </w:pPr>
            <w:r w:rsidRPr="00553819">
              <w:rPr>
                <w:rFonts w:eastAsia="Times New Roman" w:cs="Times New Roman"/>
                <w:b/>
                <w:bCs/>
                <w:color w:val="000000"/>
                <w:sz w:val="18"/>
                <w:szCs w:val="18"/>
                <w:lang w:eastAsia="lv-LV"/>
              </w:rPr>
              <w:t xml:space="preserve"> 408,0</w:t>
            </w:r>
          </w:p>
        </w:tc>
      </w:tr>
    </w:tbl>
    <w:p w14:paraId="27C13EBF" w14:textId="457F04F4" w:rsidR="00553819" w:rsidRPr="00553819" w:rsidRDefault="00553819" w:rsidP="00553819">
      <w:pPr>
        <w:rPr>
          <w:noProof/>
          <w:szCs w:val="20"/>
        </w:rPr>
      </w:pPr>
      <w:r w:rsidRPr="00553819">
        <w:rPr>
          <w:szCs w:val="20"/>
        </w:rPr>
        <w:t xml:space="preserve">2023. gadā fiskālās telpas apjoms </w:t>
      </w:r>
      <w:r w:rsidRPr="002603F6">
        <w:rPr>
          <w:szCs w:val="20"/>
        </w:rPr>
        <w:t xml:space="preserve">ir </w:t>
      </w:r>
      <w:r w:rsidRPr="002603F6">
        <w:rPr>
          <w:noProof/>
          <w:szCs w:val="20"/>
        </w:rPr>
        <w:t xml:space="preserve">215,1 milj.  </w:t>
      </w:r>
      <w:r w:rsidRPr="002603F6">
        <w:rPr>
          <w:i/>
          <w:iCs/>
          <w:noProof/>
          <w:szCs w:val="20"/>
        </w:rPr>
        <w:t>euro</w:t>
      </w:r>
      <w:r w:rsidRPr="002603F6">
        <w:rPr>
          <w:noProof/>
          <w:szCs w:val="20"/>
        </w:rPr>
        <w:t xml:space="preserve">, 2024. gadā 444,2 milj. </w:t>
      </w:r>
      <w:r w:rsidRPr="002603F6">
        <w:rPr>
          <w:i/>
          <w:iCs/>
          <w:noProof/>
          <w:szCs w:val="20"/>
        </w:rPr>
        <w:t>euro</w:t>
      </w:r>
      <w:r w:rsidRPr="002603F6">
        <w:rPr>
          <w:noProof/>
          <w:szCs w:val="20"/>
        </w:rPr>
        <w:t xml:space="preserve"> un 2025. gadā 408,0 milj. </w:t>
      </w:r>
      <w:r w:rsidRPr="002603F6">
        <w:rPr>
          <w:i/>
          <w:iCs/>
          <w:noProof/>
          <w:szCs w:val="20"/>
        </w:rPr>
        <w:t>euro</w:t>
      </w:r>
      <w:r w:rsidRPr="002603F6">
        <w:rPr>
          <w:noProof/>
          <w:szCs w:val="20"/>
        </w:rPr>
        <w:t>. Kā jau tika minēts,</w:t>
      </w:r>
      <w:r w:rsidRPr="00553819">
        <w:rPr>
          <w:noProof/>
          <w:szCs w:val="20"/>
        </w:rPr>
        <w:t xml:space="preserve"> ārpus šīs fiskālās telpas var palielināt vienreizējos izdevumus:</w:t>
      </w:r>
    </w:p>
    <w:p w14:paraId="3B90DAE3" w14:textId="77777777" w:rsidR="00553819" w:rsidRPr="00553819" w:rsidRDefault="00553819" w:rsidP="00553819">
      <w:pPr>
        <w:pStyle w:val="ListParagraph"/>
        <w:numPr>
          <w:ilvl w:val="0"/>
          <w:numId w:val="5"/>
        </w:numPr>
        <w:ind w:left="714" w:hanging="357"/>
        <w:contextualSpacing w:val="0"/>
        <w:rPr>
          <w:szCs w:val="20"/>
        </w:rPr>
      </w:pPr>
      <w:r w:rsidRPr="00553819">
        <w:rPr>
          <w:szCs w:val="20"/>
        </w:rPr>
        <w:t>kas nepieciešami enerģijas cenu būtiskā pieauguma kompensācijas pasākumiem, ja enerģijas cenu kāpums atbilstoši Eiropas Parlamenta un Padomes 2011. gada 16. novembra regulas Nr. 1175/2011, ar ko groza Padomes Regulu (EK) Nr. 1466/97 par budžeta stāvokļa uzraudzības un ekonomikas politikas uzraudzības un koordinācijas stiprināšanu 5. panta pirmajai daļai ir uzskatāms par “ārkārtējiem apstākļiem, ko attiecīgā dalībvalsts nevar kontrolēt un kam turklāt ir liela ietekme uz vispārējās valdības finansiālo stāvokli”;</w:t>
      </w:r>
    </w:p>
    <w:p w14:paraId="3F2A0477" w14:textId="77777777" w:rsidR="00553819" w:rsidRPr="00553819" w:rsidRDefault="00553819" w:rsidP="00553819">
      <w:pPr>
        <w:pStyle w:val="ListParagraph"/>
        <w:numPr>
          <w:ilvl w:val="0"/>
          <w:numId w:val="5"/>
        </w:numPr>
        <w:ind w:left="714" w:hanging="357"/>
        <w:contextualSpacing w:val="0"/>
        <w:rPr>
          <w:szCs w:val="20"/>
        </w:rPr>
      </w:pPr>
      <w:r w:rsidRPr="00553819">
        <w:rPr>
          <w:szCs w:val="20"/>
        </w:rPr>
        <w:t xml:space="preserve">aizsardzībai un iekšējai drošībai – apjomā, kas pārsniedz iepriekšējā gada apjomu, tos pakāpeniski amortizējot fiskālajā telpā piecu gadu laikā; </w:t>
      </w:r>
    </w:p>
    <w:p w14:paraId="7AB82761" w14:textId="77777777" w:rsidR="00553819" w:rsidRDefault="00553819" w:rsidP="00553819">
      <w:pPr>
        <w:pStyle w:val="ListParagraph"/>
        <w:numPr>
          <w:ilvl w:val="0"/>
          <w:numId w:val="5"/>
        </w:numPr>
        <w:ind w:left="714" w:hanging="357"/>
        <w:contextualSpacing w:val="0"/>
        <w:rPr>
          <w:szCs w:val="20"/>
        </w:rPr>
      </w:pPr>
      <w:r w:rsidRPr="00553819">
        <w:rPr>
          <w:szCs w:val="20"/>
        </w:rPr>
        <w:t>kas saistīti ar Covid-19 pandēmijas negatīvo seku mazināšanu, ja 2023. gadā vai turpmāk valsts piedzīvos jaunu pandēmijas vilni;</w:t>
      </w:r>
    </w:p>
    <w:p w14:paraId="4A956388" w14:textId="1529AC00" w:rsidR="000A25F2" w:rsidRPr="00553819" w:rsidRDefault="00553819" w:rsidP="00553819">
      <w:pPr>
        <w:pStyle w:val="ListParagraph"/>
        <w:numPr>
          <w:ilvl w:val="0"/>
          <w:numId w:val="5"/>
        </w:numPr>
        <w:ind w:left="714" w:hanging="357"/>
        <w:contextualSpacing w:val="0"/>
        <w:rPr>
          <w:szCs w:val="20"/>
        </w:rPr>
      </w:pPr>
      <w:r w:rsidRPr="00553819">
        <w:rPr>
          <w:szCs w:val="20"/>
        </w:rPr>
        <w:t xml:space="preserve">kas nepieciešami </w:t>
      </w:r>
      <w:r w:rsidRPr="00553819">
        <w:rPr>
          <w:bCs/>
          <w:szCs w:val="20"/>
        </w:rPr>
        <w:t>atbalsta pasākumiem cilvēkiem, kas bēg no Ukrainas Krievijas iebrukuma Ukrainā rezultātā</w:t>
      </w:r>
      <w:r w:rsidRPr="00553819">
        <w:rPr>
          <w:szCs w:val="20"/>
        </w:rPr>
        <w:t>.</w:t>
      </w:r>
      <w:r w:rsidR="000A25F2" w:rsidRPr="00553819">
        <w:rPr>
          <w:szCs w:val="18"/>
          <w:highlight w:val="yellow"/>
        </w:rPr>
        <w:br w:type="page"/>
      </w:r>
    </w:p>
    <w:p w14:paraId="5486715C" w14:textId="77777777" w:rsidR="00E96CDD" w:rsidRPr="00BA20B8" w:rsidRDefault="00043218" w:rsidP="00A83AAD">
      <w:pPr>
        <w:pStyle w:val="Heading1"/>
        <w:ind w:left="360"/>
        <w:rPr>
          <w:sz w:val="28"/>
          <w:szCs w:val="28"/>
        </w:rPr>
      </w:pPr>
      <w:bookmarkStart w:id="39" w:name="_Toc122369566"/>
      <w:r w:rsidRPr="00BA20B8">
        <w:rPr>
          <w:sz w:val="28"/>
          <w:szCs w:val="28"/>
        </w:rPr>
        <w:lastRenderedPageBreak/>
        <w:t>Turpmākā rīcība</w:t>
      </w:r>
      <w:bookmarkEnd w:id="36"/>
      <w:bookmarkEnd w:id="39"/>
    </w:p>
    <w:p w14:paraId="1F7C64E4" w14:textId="77777777" w:rsidR="00A840E6" w:rsidRDefault="00A840E6" w:rsidP="00AD19DB">
      <w:pPr>
        <w:spacing w:before="60" w:after="60"/>
        <w:rPr>
          <w:szCs w:val="24"/>
        </w:rPr>
      </w:pPr>
    </w:p>
    <w:p w14:paraId="44B7C4A4" w14:textId="1DA4FF0A" w:rsidR="005F7872" w:rsidRPr="00BA20B8" w:rsidRDefault="00C33828" w:rsidP="00AD19DB">
      <w:pPr>
        <w:spacing w:before="60" w:after="60"/>
        <w:rPr>
          <w:szCs w:val="24"/>
        </w:rPr>
      </w:pPr>
      <w:r w:rsidRPr="00BA20B8">
        <w:rPr>
          <w:szCs w:val="24"/>
        </w:rPr>
        <w:t xml:space="preserve">Lai turpinātu </w:t>
      </w:r>
      <w:r w:rsidR="00622435" w:rsidRPr="00BA20B8">
        <w:rPr>
          <w:szCs w:val="24"/>
        </w:rPr>
        <w:t xml:space="preserve">likumprojekta </w:t>
      </w:r>
      <w:r w:rsidR="006B3507" w:rsidRPr="00BA20B8">
        <w:rPr>
          <w:szCs w:val="24"/>
        </w:rPr>
        <w:t>“</w:t>
      </w:r>
      <w:r w:rsidR="00400ECC" w:rsidRPr="00400ECC">
        <w:rPr>
          <w:szCs w:val="24"/>
        </w:rPr>
        <w:t>Par valsts budžetu 2023.gadam un budžeta ietvaru</w:t>
      </w:r>
      <w:r w:rsidR="00A02B60">
        <w:rPr>
          <w:szCs w:val="24"/>
        </w:rPr>
        <w:t xml:space="preserve"> 2023.,</w:t>
      </w:r>
      <w:r w:rsidR="00400ECC" w:rsidRPr="00400ECC">
        <w:rPr>
          <w:szCs w:val="24"/>
        </w:rPr>
        <w:t xml:space="preserve"> 2024. un 2025. gadam</w:t>
      </w:r>
      <w:r w:rsidR="00400ECC">
        <w:rPr>
          <w:szCs w:val="24"/>
        </w:rPr>
        <w:t>”</w:t>
      </w:r>
      <w:r w:rsidR="00400ECC" w:rsidRPr="00400ECC">
        <w:rPr>
          <w:szCs w:val="24"/>
        </w:rPr>
        <w:t xml:space="preserve"> </w:t>
      </w:r>
      <w:r w:rsidR="00400ECC" w:rsidRPr="00BA20B8">
        <w:rPr>
          <w:szCs w:val="24"/>
        </w:rPr>
        <w:t xml:space="preserve">sagatavošanu, </w:t>
      </w:r>
      <w:r w:rsidR="00400ECC" w:rsidRPr="00400ECC">
        <w:rPr>
          <w:szCs w:val="24"/>
        </w:rPr>
        <w:t>nepieciešams:</w:t>
      </w:r>
    </w:p>
    <w:p w14:paraId="7BEC8FE3" w14:textId="377B16BF" w:rsidR="00E84F3D" w:rsidRPr="00281595" w:rsidRDefault="00E84F3D" w:rsidP="00E84F3D">
      <w:pPr>
        <w:pStyle w:val="ListParagraph"/>
        <w:numPr>
          <w:ilvl w:val="0"/>
          <w:numId w:val="3"/>
        </w:numPr>
        <w:tabs>
          <w:tab w:val="left" w:pos="1134"/>
        </w:tabs>
        <w:spacing w:before="0"/>
        <w:ind w:left="714" w:hanging="357"/>
        <w:contextualSpacing w:val="0"/>
      </w:pPr>
      <w:r w:rsidRPr="00281595">
        <w:t>Pieņemt zināšanai iesniegto informatīvo ziņojumu</w:t>
      </w:r>
      <w:r w:rsidR="002603F6">
        <w:t>.</w:t>
      </w:r>
    </w:p>
    <w:p w14:paraId="3D58F725" w14:textId="77777777" w:rsidR="00E84F3D" w:rsidRPr="00281595" w:rsidRDefault="00E84F3D" w:rsidP="00E84F3D">
      <w:pPr>
        <w:pStyle w:val="ListParagraph"/>
        <w:numPr>
          <w:ilvl w:val="0"/>
          <w:numId w:val="3"/>
        </w:numPr>
        <w:spacing w:before="0"/>
        <w:ind w:left="714" w:hanging="357"/>
        <w:contextualSpacing w:val="0"/>
        <w:rPr>
          <w:noProof/>
        </w:rPr>
      </w:pPr>
      <w:r w:rsidRPr="00281595">
        <w:t xml:space="preserve">Pieņemt zināšanai, ka vispārējās valdības budžeta bilances prognožu pamatā ir Finanšu ministrijas izstrādātās un Fiskālās disciplīnas padomes 2022. gada 2. decembrī apstiprinātās makroekonomisko rādītāju prognozes: iekšzemes kopprodukta pieaugums salīdzināmās cenās 2022. gadā 1,6%, 2023. gadā -0,6%, 2024. gadā 3,0% un 2025. gadā 3,0%; iekšzemes kopprodukta pieaugums faktiskajās cenās 2022. gadā 17,0%, 2023. gadā 8,1%, 2024. gadā 5,4% un 2025. gadā 5,7%; nominālais </w:t>
      </w:r>
      <w:r w:rsidRPr="00281595">
        <w:rPr>
          <w:noProof/>
        </w:rPr>
        <w:t xml:space="preserve">iekšzemes kopprodukts 2022. gadā 39 439 milj. </w:t>
      </w:r>
      <w:r w:rsidRPr="00281595">
        <w:rPr>
          <w:i/>
          <w:noProof/>
        </w:rPr>
        <w:t>euro,</w:t>
      </w:r>
      <w:r w:rsidRPr="00281595">
        <w:rPr>
          <w:noProof/>
        </w:rPr>
        <w:t xml:space="preserve"> 2023. gadā 42 617 milj. </w:t>
      </w:r>
      <w:r w:rsidRPr="00281595">
        <w:rPr>
          <w:i/>
          <w:noProof/>
        </w:rPr>
        <w:t>euro</w:t>
      </w:r>
      <w:r w:rsidRPr="00281595">
        <w:rPr>
          <w:noProof/>
        </w:rPr>
        <w:t>, 2024. gadā 44 911 milj. </w:t>
      </w:r>
      <w:r w:rsidRPr="00281595">
        <w:rPr>
          <w:i/>
          <w:noProof/>
        </w:rPr>
        <w:t>euro</w:t>
      </w:r>
      <w:r w:rsidRPr="00281595">
        <w:rPr>
          <w:noProof/>
        </w:rPr>
        <w:t xml:space="preserve"> un 2025. gadā 47 479 milj. </w:t>
      </w:r>
      <w:r w:rsidRPr="00281595">
        <w:rPr>
          <w:i/>
          <w:noProof/>
        </w:rPr>
        <w:t>euro</w:t>
      </w:r>
      <w:r w:rsidRPr="00281595">
        <w:rPr>
          <w:noProof/>
        </w:rPr>
        <w:t xml:space="preserve">; </w:t>
      </w:r>
      <w:r w:rsidRPr="00281595">
        <w:t xml:space="preserve">patēriņa cenu izmaiņas salīdzinājumā ar iepriekšējo gadu 2022. gadā 17,3%, 2023. gadā 8,5%, 2024. gadā 1,0% un 2025. gadā 2,0%; nodarbinātības izmaiņas 2022. gadā 2,8%, 2023. gadā -0,2%, 2024. gadā -0,2% un 2025. gadā  -0,3%. </w:t>
      </w:r>
    </w:p>
    <w:p w14:paraId="190E0DB3" w14:textId="0018C5F1" w:rsidR="00E84F3D" w:rsidRPr="00281595" w:rsidRDefault="00E84F3D" w:rsidP="00E84F3D">
      <w:pPr>
        <w:pStyle w:val="ListParagraph"/>
        <w:numPr>
          <w:ilvl w:val="0"/>
          <w:numId w:val="3"/>
        </w:numPr>
        <w:tabs>
          <w:tab w:val="left" w:pos="1134"/>
        </w:tabs>
        <w:spacing w:before="0"/>
        <w:ind w:left="714" w:hanging="357"/>
        <w:contextualSpacing w:val="0"/>
        <w:rPr>
          <w:noProof/>
        </w:rPr>
      </w:pPr>
      <w:r w:rsidRPr="00281595">
        <w:t>Pieņemt zināšanai, ka vispārējās valdības budžeta bilance pie nemainīgas politikas tiek prognozēta 2023. gadā -1 129,</w:t>
      </w:r>
      <w:r w:rsidR="002603F6">
        <w:t>2</w:t>
      </w:r>
      <w:r w:rsidRPr="00281595">
        <w:t xml:space="preserve"> milj. </w:t>
      </w:r>
      <w:r w:rsidRPr="00281595">
        <w:rPr>
          <w:i/>
          <w:noProof/>
        </w:rPr>
        <w:t>euro</w:t>
      </w:r>
      <w:r w:rsidRPr="00281595">
        <w:t xml:space="preserve"> jeb -2,6% no IKP, 2024. gadā ir </w:t>
      </w:r>
      <w:r>
        <w:t> </w:t>
      </w:r>
      <w:r>
        <w:br/>
        <w:t>-</w:t>
      </w:r>
      <w:r w:rsidRPr="00281595">
        <w:t>196,4</w:t>
      </w:r>
      <w:r>
        <w:t> </w:t>
      </w:r>
      <w:r w:rsidRPr="00281595">
        <w:t xml:space="preserve">milj. </w:t>
      </w:r>
      <w:r w:rsidRPr="00281595">
        <w:rPr>
          <w:i/>
          <w:noProof/>
        </w:rPr>
        <w:t>euro</w:t>
      </w:r>
      <w:r w:rsidRPr="00281595">
        <w:t xml:space="preserve"> jeb -0,4% no IKP un 2025. gadā ir </w:t>
      </w:r>
      <w:r>
        <w:t xml:space="preserve"> -</w:t>
      </w:r>
      <w:r w:rsidRPr="00281595">
        <w:t xml:space="preserve">181,4 milj. </w:t>
      </w:r>
      <w:r w:rsidRPr="00281595">
        <w:rPr>
          <w:i/>
          <w:noProof/>
        </w:rPr>
        <w:t>euro</w:t>
      </w:r>
      <w:r w:rsidRPr="00281595">
        <w:rPr>
          <w:noProof/>
        </w:rPr>
        <w:t xml:space="preserve"> jeb</w:t>
      </w:r>
      <w:r w:rsidRPr="00281595">
        <w:rPr>
          <w:i/>
          <w:noProof/>
        </w:rPr>
        <w:t xml:space="preserve"> -</w:t>
      </w:r>
      <w:r w:rsidRPr="00281595">
        <w:rPr>
          <w:noProof/>
        </w:rPr>
        <w:t>0,4% no IKP.</w:t>
      </w:r>
    </w:p>
    <w:p w14:paraId="4B305BE7" w14:textId="77777777" w:rsidR="00E84F3D" w:rsidRPr="00281595" w:rsidRDefault="00E84F3D" w:rsidP="00E84F3D">
      <w:pPr>
        <w:pStyle w:val="ListParagraph"/>
        <w:numPr>
          <w:ilvl w:val="0"/>
          <w:numId w:val="3"/>
        </w:numPr>
        <w:tabs>
          <w:tab w:val="left" w:pos="1134"/>
        </w:tabs>
        <w:spacing w:before="0"/>
        <w:ind w:left="714" w:hanging="357"/>
        <w:contextualSpacing w:val="0"/>
      </w:pPr>
      <w:r w:rsidRPr="00281595">
        <w:t>Atzīt izdevumus, kas saistīti ar atbalsta pasākumiem cilvēkiem, kas bēg no Ukrainas Krievijas iebrukuma Ukrainā rezultātā, par vienreizējiem pasākumiem vispārējās valdības budžeta strukturālās bilances aprēķinā Fiskālās disciplīnas likuma 5. panta trešās daļas 3. punkta izpratnē.</w:t>
      </w:r>
    </w:p>
    <w:p w14:paraId="19427886" w14:textId="77777777" w:rsidR="00E84F3D" w:rsidRPr="00281595" w:rsidRDefault="00E84F3D" w:rsidP="00E84F3D">
      <w:pPr>
        <w:pStyle w:val="ListParagraph"/>
        <w:numPr>
          <w:ilvl w:val="0"/>
          <w:numId w:val="3"/>
        </w:numPr>
        <w:tabs>
          <w:tab w:val="left" w:pos="1134"/>
        </w:tabs>
        <w:spacing w:before="0"/>
        <w:ind w:left="714" w:hanging="357"/>
        <w:contextualSpacing w:val="0"/>
      </w:pPr>
      <w:r w:rsidRPr="00281595">
        <w:t xml:space="preserve">Apstiprināt, ka vispārējās valdības budžeta strukturālās bilances mērķis 2023.,2024. un 2025. gadā tiek noteikts Fiskālās disciplīnas likuma 10. panta minimālās plānojamās vispārējās valdības budžeta strukturālās bilances līmenī. </w:t>
      </w:r>
    </w:p>
    <w:p w14:paraId="26166AB9" w14:textId="10E78CE9" w:rsidR="00E84F3D" w:rsidRPr="00281595" w:rsidRDefault="00E84F3D" w:rsidP="00E84F3D">
      <w:pPr>
        <w:pStyle w:val="ListParagraph"/>
        <w:numPr>
          <w:ilvl w:val="0"/>
          <w:numId w:val="3"/>
        </w:numPr>
        <w:tabs>
          <w:tab w:val="left" w:pos="1134"/>
        </w:tabs>
        <w:spacing w:before="0"/>
        <w:ind w:left="714" w:hanging="357"/>
        <w:contextualSpacing w:val="0"/>
      </w:pPr>
      <w:r w:rsidRPr="00281595">
        <w:t xml:space="preserve">Pieņemt zināšanai, ka </w:t>
      </w:r>
      <w:r w:rsidRPr="00281595">
        <w:rPr>
          <w:noProof/>
        </w:rPr>
        <w:t xml:space="preserve">fiskālā telpa 2023. gadā ir 215,1 milj. </w:t>
      </w:r>
      <w:r w:rsidRPr="00281595">
        <w:rPr>
          <w:i/>
          <w:iCs/>
          <w:noProof/>
        </w:rPr>
        <w:t>euro</w:t>
      </w:r>
      <w:r w:rsidRPr="00281595">
        <w:rPr>
          <w:noProof/>
        </w:rPr>
        <w:t xml:space="preserve">, 2024. gadā ir 444,2 </w:t>
      </w:r>
      <w:r w:rsidR="002603F6">
        <w:rPr>
          <w:noProof/>
        </w:rPr>
        <w:t> </w:t>
      </w:r>
      <w:r w:rsidRPr="00281595">
        <w:rPr>
          <w:noProof/>
        </w:rPr>
        <w:t xml:space="preserve">milj. </w:t>
      </w:r>
      <w:r w:rsidRPr="00281595">
        <w:rPr>
          <w:i/>
          <w:iCs/>
          <w:noProof/>
        </w:rPr>
        <w:t>euro</w:t>
      </w:r>
      <w:r w:rsidRPr="00281595">
        <w:rPr>
          <w:noProof/>
        </w:rPr>
        <w:t xml:space="preserve"> un 2025. gadā ir  408,0 milj. </w:t>
      </w:r>
      <w:r w:rsidRPr="00281595">
        <w:rPr>
          <w:i/>
          <w:iCs/>
          <w:noProof/>
        </w:rPr>
        <w:t>euro</w:t>
      </w:r>
      <w:r w:rsidRPr="00281595">
        <w:rPr>
          <w:noProof/>
        </w:rPr>
        <w:t>, neskaitot vienreizējos pasākumus</w:t>
      </w:r>
      <w:r w:rsidRPr="00281595">
        <w:t>.</w:t>
      </w:r>
    </w:p>
    <w:p w14:paraId="4508FDF8" w14:textId="77777777" w:rsidR="00E84F3D" w:rsidRPr="00281595" w:rsidRDefault="00E84F3D" w:rsidP="00E84F3D">
      <w:pPr>
        <w:pStyle w:val="ListParagraph"/>
        <w:numPr>
          <w:ilvl w:val="0"/>
          <w:numId w:val="3"/>
        </w:numPr>
        <w:tabs>
          <w:tab w:val="left" w:pos="1134"/>
        </w:tabs>
        <w:spacing w:before="0"/>
        <w:ind w:left="714" w:hanging="357"/>
        <w:contextualSpacing w:val="0"/>
      </w:pPr>
      <w:r w:rsidRPr="00281595">
        <w:t>Pieņemt zināšanai ministriju un citu centrālo valsts iestāžu (turpmāk – ministrijas) aktualizēto valsts pamatbudžeta un valsts speciālā budžeta bāzi 2023., 2024. un 2025. gadam (tajā skaitā valsts pamatfunkciju īstenošanai un Eiropas Savienības politiku instrumentu un pārējās ārvalstu finanšu palīdzības līdzfinansēto projektu un pasākumu īstenošanai) saskaņā ar informatīvā ziņojuma 1., 2., 3. un  4. pielikumu.</w:t>
      </w:r>
    </w:p>
    <w:p w14:paraId="0503E6DE" w14:textId="2E571A61" w:rsidR="00E84F3D" w:rsidRPr="00281595" w:rsidRDefault="00E84F3D" w:rsidP="00E84F3D">
      <w:pPr>
        <w:pStyle w:val="ListParagraph"/>
        <w:numPr>
          <w:ilvl w:val="0"/>
          <w:numId w:val="3"/>
        </w:numPr>
        <w:tabs>
          <w:tab w:val="left" w:pos="1134"/>
        </w:tabs>
        <w:spacing w:before="0"/>
        <w:ind w:left="714" w:hanging="357"/>
        <w:contextualSpacing w:val="0"/>
      </w:pPr>
      <w:r w:rsidRPr="00281595">
        <w:t>Pieņemt zināšanai, ka atbilstoši precizētajām iekšzemes kopprodukta (IKP) prognozēm Aizsardzības ministrijas pamatbudžeta bāzes izdevumi ir palielināti par 28 930 056 </w:t>
      </w:r>
      <w:proofErr w:type="spellStart"/>
      <w:r w:rsidR="00BE7BC1" w:rsidRPr="00BE7BC1">
        <w:rPr>
          <w:i/>
          <w:iCs/>
        </w:rPr>
        <w:t>euro</w:t>
      </w:r>
      <w:proofErr w:type="spellEnd"/>
      <w:r w:rsidRPr="00281595">
        <w:t xml:space="preserve"> 2023. gadā, par 32 394 970 </w:t>
      </w:r>
      <w:proofErr w:type="spellStart"/>
      <w:r w:rsidR="00BE7BC1" w:rsidRPr="00BE7BC1">
        <w:rPr>
          <w:i/>
          <w:iCs/>
        </w:rPr>
        <w:t>euro</w:t>
      </w:r>
      <w:proofErr w:type="spellEnd"/>
      <w:r w:rsidRPr="00281595">
        <w:t xml:space="preserve"> 2024. gadā un par 31 266 481 </w:t>
      </w:r>
      <w:proofErr w:type="spellStart"/>
      <w:r w:rsidR="00BE7BC1" w:rsidRPr="00BE7BC1">
        <w:rPr>
          <w:i/>
          <w:iCs/>
        </w:rPr>
        <w:t>euro</w:t>
      </w:r>
      <w:proofErr w:type="spellEnd"/>
      <w:r w:rsidRPr="00281595">
        <w:t xml:space="preserve"> 2025. gadā, nodrošinot Aizsardzības ministrijas budžeta izdevumus līdz noteiktajiem % no IKP.</w:t>
      </w:r>
    </w:p>
    <w:p w14:paraId="01BC88FA" w14:textId="77777777" w:rsidR="00E84F3D" w:rsidRPr="00281595" w:rsidRDefault="00E84F3D" w:rsidP="00E84F3D">
      <w:pPr>
        <w:pStyle w:val="ListParagraph"/>
        <w:numPr>
          <w:ilvl w:val="0"/>
          <w:numId w:val="3"/>
        </w:numPr>
        <w:tabs>
          <w:tab w:val="left" w:pos="1134"/>
        </w:tabs>
        <w:spacing w:before="0"/>
        <w:ind w:left="714" w:hanging="357"/>
        <w:contextualSpacing w:val="0"/>
      </w:pPr>
      <w:r w:rsidRPr="00281595">
        <w:t>Aizsardzības ministrijai divu nedēļu laikā iesniegt Finanšu ministrijā informāciju par izdevumu palielinājuma 2023., 2024. un 2025. gadā sadalījumu pa pasākumiem un budžeta programmām/apakšprogrammām, pievienojot detalizētus aprēķinus. Finanšu ministrijai pēc attiecīgas informācijas saņemšanas precizēt Aizsardzības ministrijas pamatbudžeta bāzes izdevumus 2023., 2024. un 2025. gadam.</w:t>
      </w:r>
    </w:p>
    <w:p w14:paraId="000ACC00" w14:textId="0AFD7DB7" w:rsidR="00E84F3D" w:rsidRDefault="00E84F3D" w:rsidP="00E84F3D">
      <w:pPr>
        <w:pStyle w:val="ListParagraph"/>
        <w:numPr>
          <w:ilvl w:val="0"/>
          <w:numId w:val="3"/>
        </w:numPr>
        <w:tabs>
          <w:tab w:val="left" w:pos="1134"/>
        </w:tabs>
        <w:spacing w:before="0"/>
        <w:ind w:left="714" w:hanging="357"/>
        <w:contextualSpacing w:val="0"/>
      </w:pPr>
      <w:r w:rsidRPr="00281595">
        <w:t>Atjaunot budžeta resorā “74.Gadskārtējā valsts budžeta izpildes procesā pārdalāmais finansējums” plānoto finansējumu 2023. gadam par 61 671 021 </w:t>
      </w:r>
      <w:proofErr w:type="spellStart"/>
      <w:r w:rsidR="00BE7BC1" w:rsidRPr="00BE7BC1">
        <w:rPr>
          <w:i/>
          <w:iCs/>
        </w:rPr>
        <w:t>euro</w:t>
      </w:r>
      <w:proofErr w:type="spellEnd"/>
      <w:r w:rsidRPr="00281595">
        <w:t>, 2024. gadam un turpmāk ik gadu par 62 383 053 </w:t>
      </w:r>
      <w:proofErr w:type="spellStart"/>
      <w:r w:rsidR="00BE7BC1" w:rsidRPr="00BE7BC1">
        <w:rPr>
          <w:i/>
          <w:iCs/>
        </w:rPr>
        <w:t>euro</w:t>
      </w:r>
      <w:proofErr w:type="spellEnd"/>
      <w:r w:rsidRPr="00281595">
        <w:t xml:space="preserve">, kurš atbilstoši Ministru kabineta 2022. gada </w:t>
      </w:r>
      <w:r w:rsidRPr="00281595">
        <w:lastRenderedPageBreak/>
        <w:t xml:space="preserve">13. decembra sēdes </w:t>
      </w:r>
      <w:r w:rsidRPr="00281595">
        <w:rPr>
          <w:noProof/>
        </w:rPr>
        <w:t>protokollēmuma (prot. Nr. 64 67.§) “Noteikumu projekts “Grozījumi Ministru kabineta 20</w:t>
      </w:r>
      <w:r w:rsidRPr="00281595">
        <w:t>16. gada 5. jūlija noteikumos Nr. 445 “Pedagogu darba samaksas noteikumi”” 4. punktam novirzīts papildu nepieciešamajam finansējumam pedagogu darba samaksas palielināšanai un slodžu sabalansēšanai, lai nodrošinātu Ministru kabineta 2022. gada 17. septembra ārkārtas sēdē lemto par pedagogu beztermiņa streika vienošanās izpildi.</w:t>
      </w:r>
    </w:p>
    <w:p w14:paraId="343C37D5" w14:textId="74E0257F" w:rsidR="001655EA" w:rsidRPr="006F75FD" w:rsidRDefault="00E84F3D" w:rsidP="00E84F3D">
      <w:pPr>
        <w:pStyle w:val="ListParagraph"/>
        <w:numPr>
          <w:ilvl w:val="0"/>
          <w:numId w:val="3"/>
        </w:numPr>
        <w:tabs>
          <w:tab w:val="left" w:pos="1134"/>
        </w:tabs>
        <w:spacing w:before="0"/>
        <w:ind w:left="714" w:hanging="357"/>
        <w:contextualSpacing w:val="0"/>
      </w:pPr>
      <w:r w:rsidRPr="00E84F3D">
        <w:rPr>
          <w:rFonts w:eastAsia="Calibri"/>
          <w:noProof/>
        </w:rPr>
        <w:t>Finanšu ministrijai rezervēt 50 000 000 </w:t>
      </w:r>
      <w:proofErr w:type="spellStart"/>
      <w:r w:rsidR="00BE7BC1" w:rsidRPr="00BE7BC1">
        <w:rPr>
          <w:i/>
          <w:iCs/>
        </w:rPr>
        <w:t>euro</w:t>
      </w:r>
      <w:proofErr w:type="spellEnd"/>
      <w:r w:rsidRPr="00E84F3D">
        <w:rPr>
          <w:rFonts w:eastAsia="Calibri"/>
          <w:noProof/>
        </w:rPr>
        <w:t xml:space="preserve"> valsts budžeta izdevumiem, kas samazina 2023. gadam prognozēto fiskālo telpu un, sagatavojot likumprojektu “Par valsts budžetu 2023. gadam un </w:t>
      </w:r>
      <w:r w:rsidR="00CF1EF1">
        <w:rPr>
          <w:rFonts w:eastAsia="Calibri"/>
          <w:noProof/>
        </w:rPr>
        <w:t xml:space="preserve">budžeta </w:t>
      </w:r>
      <w:r w:rsidRPr="00E84F3D">
        <w:rPr>
          <w:rFonts w:eastAsia="Calibri"/>
          <w:noProof/>
        </w:rPr>
        <w:t>ietvaru 2023., 2024. un 2025. gadam”, paredzēt papildus nepieciešamā finansējuma piešķiršanu valsts budžeta iestādēm 2023. gadā un turpmāk, lai nodrošinātu daļēju uzturēšanas izdevumu pieauguma kompensāciju sakarā ar energoresursu cenu sadārdzinājumu un ēdināšanas pakalpojumu cenu pieaugumu.</w:t>
      </w:r>
    </w:p>
    <w:p w14:paraId="21ED83D8" w14:textId="77777777" w:rsidR="006A7261" w:rsidRDefault="006A7261" w:rsidP="00C7426B">
      <w:pPr>
        <w:tabs>
          <w:tab w:val="left" w:pos="709"/>
          <w:tab w:val="left" w:pos="6946"/>
        </w:tabs>
        <w:ind w:firstLine="0"/>
        <w:jc w:val="left"/>
        <w:rPr>
          <w:bCs/>
          <w:szCs w:val="24"/>
        </w:rPr>
      </w:pPr>
    </w:p>
    <w:p w14:paraId="2FEEBA37" w14:textId="34EDCD66" w:rsidR="008A064C" w:rsidRDefault="008A064C" w:rsidP="00C7426B">
      <w:pPr>
        <w:tabs>
          <w:tab w:val="left" w:pos="709"/>
          <w:tab w:val="left" w:pos="6946"/>
        </w:tabs>
        <w:ind w:firstLine="0"/>
        <w:jc w:val="left"/>
        <w:rPr>
          <w:bCs/>
          <w:szCs w:val="24"/>
        </w:rPr>
      </w:pPr>
      <w:r w:rsidRPr="008A064C">
        <w:rPr>
          <w:bCs/>
          <w:szCs w:val="24"/>
        </w:rPr>
        <w:t>Pielikumā:</w:t>
      </w:r>
    </w:p>
    <w:p w14:paraId="74DF13CF" w14:textId="470E3C0A" w:rsidR="008A064C" w:rsidRDefault="008A064C" w:rsidP="002603F6">
      <w:pPr>
        <w:pStyle w:val="ListParagraph"/>
        <w:tabs>
          <w:tab w:val="left" w:pos="1134"/>
        </w:tabs>
        <w:spacing w:before="0"/>
        <w:ind w:firstLine="0"/>
        <w:contextualSpacing w:val="0"/>
      </w:pPr>
      <w:r w:rsidRPr="008A064C">
        <w:t>1.</w:t>
      </w:r>
      <w:r w:rsidR="002603F6">
        <w:t> </w:t>
      </w:r>
      <w:r w:rsidRPr="008A064C">
        <w:t>pielikums</w:t>
      </w:r>
      <w:r w:rsidR="00CC221B">
        <w:t xml:space="preserve"> </w:t>
      </w:r>
      <w:r w:rsidR="0082556C">
        <w:t>“</w:t>
      </w:r>
      <w:r w:rsidR="0082556C" w:rsidRPr="0082556C">
        <w:t>2023.,  2024. un  2025. gada valsts budžeta bāzes kopsavilkums</w:t>
      </w:r>
      <w:r w:rsidR="0082556C">
        <w:t xml:space="preserve">” </w:t>
      </w:r>
      <w:r w:rsidRPr="008A064C">
        <w:t>(datne: FMZinop1_</w:t>
      </w:r>
      <w:r w:rsidR="00C7426B">
        <w:t>201222</w:t>
      </w:r>
      <w:r w:rsidRPr="008A064C">
        <w:t>_Makro.</w:t>
      </w:r>
      <w:r w:rsidR="00C7426B" w:rsidRPr="00C7426B">
        <w:t>xlsx</w:t>
      </w:r>
      <w:r w:rsidRPr="008A064C">
        <w:t>);</w:t>
      </w:r>
    </w:p>
    <w:p w14:paraId="0E79ED93" w14:textId="08221644" w:rsidR="00C7426B" w:rsidRDefault="00C7426B" w:rsidP="002603F6">
      <w:pPr>
        <w:pStyle w:val="ListParagraph"/>
        <w:tabs>
          <w:tab w:val="left" w:pos="1134"/>
        </w:tabs>
        <w:spacing w:before="0"/>
        <w:ind w:firstLine="0"/>
        <w:contextualSpacing w:val="0"/>
      </w:pPr>
      <w:r>
        <w:t>2</w:t>
      </w:r>
      <w:r w:rsidRPr="008A064C">
        <w:t>.</w:t>
      </w:r>
      <w:r w:rsidR="002603F6">
        <w:t> </w:t>
      </w:r>
      <w:r w:rsidRPr="008A064C">
        <w:t>pielikums</w:t>
      </w:r>
      <w:r w:rsidR="00C25E44">
        <w:t xml:space="preserve"> </w:t>
      </w:r>
      <w:r w:rsidR="0082556C">
        <w:t>“</w:t>
      </w:r>
      <w:r w:rsidR="0082556C" w:rsidRPr="0082556C">
        <w:t>2023.,  2024. un  2025. gada valsts pamatbudžeta bāzes kopsavilkums</w:t>
      </w:r>
      <w:r w:rsidR="0082556C">
        <w:t xml:space="preserve">” </w:t>
      </w:r>
      <w:r w:rsidRPr="008A064C">
        <w:t>(datne: FMZinop</w:t>
      </w:r>
      <w:r>
        <w:t>2</w:t>
      </w:r>
      <w:r w:rsidRPr="008A064C">
        <w:t>_</w:t>
      </w:r>
      <w:r>
        <w:t>201222</w:t>
      </w:r>
      <w:r w:rsidRPr="008A064C">
        <w:t>_</w:t>
      </w:r>
      <w:r w:rsidRPr="00C7426B">
        <w:t xml:space="preserve"> </w:t>
      </w:r>
      <w:r w:rsidRPr="008A064C">
        <w:t>Makro.</w:t>
      </w:r>
      <w:r w:rsidRPr="00C7426B">
        <w:t>xlsx</w:t>
      </w:r>
      <w:r w:rsidRPr="008A064C">
        <w:t>);</w:t>
      </w:r>
    </w:p>
    <w:p w14:paraId="7793F348" w14:textId="1EBCDEE2" w:rsidR="00C7426B" w:rsidRDefault="00C7426B" w:rsidP="002603F6">
      <w:pPr>
        <w:pStyle w:val="ListParagraph"/>
        <w:tabs>
          <w:tab w:val="left" w:pos="1134"/>
        </w:tabs>
        <w:spacing w:before="0"/>
        <w:ind w:firstLine="0"/>
        <w:contextualSpacing w:val="0"/>
      </w:pPr>
      <w:r>
        <w:t>3</w:t>
      </w:r>
      <w:r w:rsidRPr="008A064C">
        <w:t>.</w:t>
      </w:r>
      <w:r w:rsidR="002603F6">
        <w:t> </w:t>
      </w:r>
      <w:r w:rsidRPr="008A064C">
        <w:t xml:space="preserve">pielikums </w:t>
      </w:r>
      <w:r w:rsidR="0082556C">
        <w:t>“</w:t>
      </w:r>
      <w:r w:rsidR="0082556C" w:rsidRPr="0082556C">
        <w:t>2023.,  2024. un  2025. gada valsts pamatbudžeta bāze</w:t>
      </w:r>
      <w:r w:rsidR="0082556C">
        <w:t xml:space="preserve">” </w:t>
      </w:r>
      <w:r w:rsidRPr="008A064C">
        <w:t>(datne: FMZinop</w:t>
      </w:r>
      <w:r>
        <w:t>3</w:t>
      </w:r>
      <w:r w:rsidRPr="008A064C">
        <w:t>_</w:t>
      </w:r>
      <w:r>
        <w:t>201222</w:t>
      </w:r>
      <w:r w:rsidRPr="008A064C">
        <w:t>_</w:t>
      </w:r>
      <w:r w:rsidRPr="00C7426B">
        <w:t xml:space="preserve"> </w:t>
      </w:r>
      <w:r w:rsidRPr="008A064C">
        <w:t>Makro.</w:t>
      </w:r>
      <w:r w:rsidRPr="00C7426B">
        <w:t>xlsx</w:t>
      </w:r>
      <w:r w:rsidRPr="008A064C">
        <w:t>);</w:t>
      </w:r>
    </w:p>
    <w:p w14:paraId="77129384" w14:textId="4EBF5613" w:rsidR="00C7426B" w:rsidRDefault="00C7426B" w:rsidP="002603F6">
      <w:pPr>
        <w:pStyle w:val="ListParagraph"/>
        <w:tabs>
          <w:tab w:val="left" w:pos="1134"/>
        </w:tabs>
        <w:spacing w:before="0"/>
        <w:ind w:firstLine="0"/>
        <w:contextualSpacing w:val="0"/>
      </w:pPr>
      <w:r>
        <w:t>4</w:t>
      </w:r>
      <w:r w:rsidRPr="008A064C">
        <w:t>.</w:t>
      </w:r>
      <w:r w:rsidR="002603F6">
        <w:t> </w:t>
      </w:r>
      <w:r w:rsidRPr="008A064C">
        <w:t xml:space="preserve">pielikums </w:t>
      </w:r>
      <w:r w:rsidR="0082556C">
        <w:t>“</w:t>
      </w:r>
      <w:r w:rsidR="0082556C" w:rsidRPr="0082556C">
        <w:t>2023.,  2024. un  2025. gada valsts speciālā budžeta bāze</w:t>
      </w:r>
      <w:r w:rsidR="0082556C">
        <w:t>”</w:t>
      </w:r>
      <w:r w:rsidR="00C25E44" w:rsidRPr="00C25E44">
        <w:t xml:space="preserve"> </w:t>
      </w:r>
      <w:r w:rsidRPr="008A064C">
        <w:t>(datne: FMZinop</w:t>
      </w:r>
      <w:r>
        <w:t>4</w:t>
      </w:r>
      <w:r w:rsidRPr="008A064C">
        <w:t>_</w:t>
      </w:r>
      <w:r>
        <w:t>201222</w:t>
      </w:r>
      <w:r w:rsidRPr="008A064C">
        <w:t>_</w:t>
      </w:r>
      <w:r w:rsidRPr="00C7426B">
        <w:t xml:space="preserve"> </w:t>
      </w:r>
      <w:r w:rsidRPr="008A064C">
        <w:t>Makro.</w:t>
      </w:r>
      <w:r w:rsidRPr="00C7426B">
        <w:t>xlsx</w:t>
      </w:r>
      <w:r w:rsidRPr="008A064C">
        <w:t>)</w:t>
      </w:r>
      <w:r w:rsidR="00C25E44">
        <w:t>.</w:t>
      </w:r>
    </w:p>
    <w:p w14:paraId="397AC08D" w14:textId="3539ABC7" w:rsidR="008A064C" w:rsidRDefault="008A064C" w:rsidP="00622435">
      <w:pPr>
        <w:tabs>
          <w:tab w:val="left" w:pos="709"/>
          <w:tab w:val="left" w:pos="6946"/>
        </w:tabs>
        <w:spacing w:before="0" w:after="0"/>
        <w:ind w:firstLine="0"/>
        <w:jc w:val="left"/>
        <w:rPr>
          <w:bCs/>
          <w:szCs w:val="24"/>
          <w:highlight w:val="yellow"/>
        </w:rPr>
      </w:pPr>
    </w:p>
    <w:p w14:paraId="007FC0DF" w14:textId="4016DABE" w:rsidR="008A064C" w:rsidRDefault="008A064C" w:rsidP="00622435">
      <w:pPr>
        <w:tabs>
          <w:tab w:val="left" w:pos="709"/>
          <w:tab w:val="left" w:pos="6946"/>
        </w:tabs>
        <w:spacing w:before="0" w:after="0"/>
        <w:ind w:firstLine="0"/>
        <w:jc w:val="left"/>
        <w:rPr>
          <w:bCs/>
          <w:szCs w:val="24"/>
          <w:highlight w:val="yellow"/>
        </w:rPr>
      </w:pPr>
    </w:p>
    <w:p w14:paraId="589F3450" w14:textId="77777777" w:rsidR="000D4ED5" w:rsidRPr="00BA20B8" w:rsidRDefault="000D4ED5" w:rsidP="00622435">
      <w:pPr>
        <w:tabs>
          <w:tab w:val="left" w:pos="709"/>
          <w:tab w:val="left" w:pos="6946"/>
        </w:tabs>
        <w:spacing w:before="0" w:after="0"/>
        <w:ind w:firstLine="0"/>
        <w:jc w:val="left"/>
        <w:rPr>
          <w:bCs/>
          <w:szCs w:val="24"/>
          <w:highlight w:val="yellow"/>
        </w:rPr>
      </w:pPr>
    </w:p>
    <w:p w14:paraId="5352D5C7" w14:textId="4309F9D6" w:rsidR="007343B2" w:rsidRPr="00E716C6" w:rsidRDefault="00B7536F" w:rsidP="004805D0">
      <w:pPr>
        <w:tabs>
          <w:tab w:val="left" w:pos="709"/>
          <w:tab w:val="left" w:pos="6946"/>
        </w:tabs>
        <w:spacing w:before="0" w:after="0"/>
        <w:ind w:firstLine="0"/>
        <w:jc w:val="left"/>
        <w:rPr>
          <w:rFonts w:cs="Times New Roman"/>
          <w:szCs w:val="24"/>
        </w:rPr>
      </w:pPr>
      <w:r w:rsidRPr="00E716C6">
        <w:rPr>
          <w:bCs/>
          <w:szCs w:val="24"/>
        </w:rPr>
        <w:tab/>
      </w:r>
      <w:r w:rsidR="00E96CDD" w:rsidRPr="00E716C6">
        <w:rPr>
          <w:bCs/>
          <w:szCs w:val="24"/>
        </w:rPr>
        <w:t>Finanšu ministrs</w:t>
      </w:r>
      <w:r w:rsidR="00622435" w:rsidRPr="00E716C6">
        <w:rPr>
          <w:bCs/>
          <w:szCs w:val="24"/>
        </w:rPr>
        <w:tab/>
      </w:r>
      <w:r w:rsidR="00622435" w:rsidRPr="00E716C6">
        <w:rPr>
          <w:bCs/>
          <w:szCs w:val="24"/>
        </w:rPr>
        <w:tab/>
      </w:r>
      <w:r w:rsidR="00171158">
        <w:rPr>
          <w:bCs/>
          <w:szCs w:val="24"/>
        </w:rPr>
        <w:t>A</w:t>
      </w:r>
      <w:r w:rsidR="00C832FF" w:rsidRPr="00E716C6">
        <w:rPr>
          <w:bCs/>
          <w:szCs w:val="24"/>
        </w:rPr>
        <w:t>.</w:t>
      </w:r>
      <w:r w:rsidR="00ED378F" w:rsidRPr="00E716C6">
        <w:rPr>
          <w:bCs/>
          <w:szCs w:val="24"/>
        </w:rPr>
        <w:t xml:space="preserve"> </w:t>
      </w:r>
      <w:r w:rsidR="00171158">
        <w:rPr>
          <w:bCs/>
          <w:szCs w:val="24"/>
        </w:rPr>
        <w:t>Ašeradens</w:t>
      </w:r>
    </w:p>
    <w:p w14:paraId="69462C29" w14:textId="4BE0BE06" w:rsidR="00400397" w:rsidRDefault="00400397" w:rsidP="00BA20B8">
      <w:pPr>
        <w:spacing w:before="0" w:after="0"/>
        <w:ind w:firstLine="0"/>
        <w:rPr>
          <w:rFonts w:cs="Times New Roman"/>
          <w:sz w:val="16"/>
          <w:szCs w:val="16"/>
          <w:highlight w:val="yellow"/>
        </w:rPr>
      </w:pPr>
    </w:p>
    <w:p w14:paraId="07E6C44D" w14:textId="77777777" w:rsidR="000D4ED5" w:rsidRPr="00334E30" w:rsidRDefault="000D4ED5" w:rsidP="00BA20B8">
      <w:pPr>
        <w:spacing w:before="0" w:after="0"/>
        <w:ind w:firstLine="0"/>
        <w:rPr>
          <w:rFonts w:cs="Times New Roman"/>
          <w:sz w:val="16"/>
          <w:szCs w:val="16"/>
          <w:highlight w:val="yellow"/>
        </w:rPr>
      </w:pPr>
    </w:p>
    <w:p w14:paraId="5A130014" w14:textId="77777777" w:rsidR="005B63E4" w:rsidRPr="00334E30" w:rsidRDefault="005B63E4" w:rsidP="00EC544D">
      <w:pPr>
        <w:spacing w:before="0" w:after="0"/>
        <w:rPr>
          <w:rFonts w:cs="Times New Roman"/>
          <w:sz w:val="16"/>
          <w:szCs w:val="16"/>
          <w:highlight w:val="yellow"/>
        </w:rPr>
      </w:pPr>
    </w:p>
    <w:p w14:paraId="3B04FAC9" w14:textId="6EA6CD08" w:rsidR="004805D0" w:rsidRDefault="004805D0" w:rsidP="004805D0">
      <w:pPr>
        <w:spacing w:before="0" w:after="0"/>
        <w:ind w:firstLine="0"/>
        <w:rPr>
          <w:rFonts w:cs="Times New Roman"/>
          <w:sz w:val="16"/>
          <w:szCs w:val="16"/>
          <w:highlight w:val="yellow"/>
        </w:rPr>
      </w:pPr>
    </w:p>
    <w:p w14:paraId="4D9383D7" w14:textId="2FE7BB61" w:rsidR="000D4ED5" w:rsidRDefault="000D4ED5" w:rsidP="004805D0">
      <w:pPr>
        <w:spacing w:before="0" w:after="0"/>
        <w:ind w:firstLine="0"/>
        <w:rPr>
          <w:rFonts w:cs="Times New Roman"/>
          <w:sz w:val="16"/>
          <w:szCs w:val="16"/>
          <w:highlight w:val="yellow"/>
        </w:rPr>
      </w:pPr>
    </w:p>
    <w:p w14:paraId="680C3DC5" w14:textId="38AA9DFC" w:rsidR="006A7261" w:rsidRDefault="006A7261" w:rsidP="004805D0">
      <w:pPr>
        <w:spacing w:before="0" w:after="0"/>
        <w:ind w:firstLine="0"/>
        <w:rPr>
          <w:rFonts w:cs="Times New Roman"/>
          <w:sz w:val="16"/>
          <w:szCs w:val="16"/>
          <w:highlight w:val="yellow"/>
        </w:rPr>
      </w:pPr>
    </w:p>
    <w:p w14:paraId="047BAA36" w14:textId="173D8F0B" w:rsidR="006A7261" w:rsidRDefault="006A7261" w:rsidP="004805D0">
      <w:pPr>
        <w:spacing w:before="0" w:after="0"/>
        <w:ind w:firstLine="0"/>
        <w:rPr>
          <w:rFonts w:cs="Times New Roman"/>
          <w:sz w:val="16"/>
          <w:szCs w:val="16"/>
          <w:highlight w:val="yellow"/>
        </w:rPr>
      </w:pPr>
    </w:p>
    <w:p w14:paraId="2FA56008" w14:textId="7661CDDF" w:rsidR="006A7261" w:rsidRDefault="006A7261" w:rsidP="004805D0">
      <w:pPr>
        <w:spacing w:before="0" w:after="0"/>
        <w:ind w:firstLine="0"/>
        <w:rPr>
          <w:rFonts w:cs="Times New Roman"/>
          <w:sz w:val="16"/>
          <w:szCs w:val="16"/>
          <w:highlight w:val="yellow"/>
        </w:rPr>
      </w:pPr>
    </w:p>
    <w:p w14:paraId="2123E258" w14:textId="77777777" w:rsidR="006A7261" w:rsidRDefault="006A7261" w:rsidP="004805D0">
      <w:pPr>
        <w:spacing w:before="0" w:after="0"/>
        <w:ind w:firstLine="0"/>
        <w:rPr>
          <w:rFonts w:cs="Times New Roman"/>
          <w:sz w:val="16"/>
          <w:szCs w:val="16"/>
          <w:highlight w:val="yellow"/>
        </w:rPr>
      </w:pPr>
    </w:p>
    <w:p w14:paraId="3796A97C" w14:textId="29F0CEF1" w:rsidR="000D4ED5" w:rsidRDefault="000D4ED5" w:rsidP="004805D0">
      <w:pPr>
        <w:spacing w:before="0" w:after="0"/>
        <w:ind w:firstLine="0"/>
        <w:rPr>
          <w:rFonts w:cs="Times New Roman"/>
          <w:sz w:val="16"/>
          <w:szCs w:val="16"/>
          <w:highlight w:val="yellow"/>
        </w:rPr>
      </w:pPr>
    </w:p>
    <w:p w14:paraId="163FC5AD" w14:textId="278F3453" w:rsidR="000D4ED5" w:rsidRDefault="000D4ED5" w:rsidP="004805D0">
      <w:pPr>
        <w:spacing w:before="0" w:after="0"/>
        <w:ind w:firstLine="0"/>
        <w:rPr>
          <w:rFonts w:cs="Times New Roman"/>
          <w:sz w:val="16"/>
          <w:szCs w:val="16"/>
          <w:highlight w:val="yellow"/>
        </w:rPr>
      </w:pPr>
    </w:p>
    <w:p w14:paraId="3BD709A7" w14:textId="77777777" w:rsidR="000D4ED5" w:rsidRPr="00334E30" w:rsidRDefault="000D4ED5" w:rsidP="004805D0">
      <w:pPr>
        <w:spacing w:before="0" w:after="0"/>
        <w:ind w:firstLine="0"/>
        <w:rPr>
          <w:rFonts w:cs="Times New Roman"/>
          <w:sz w:val="16"/>
          <w:szCs w:val="16"/>
          <w:highlight w:val="yellow"/>
        </w:rPr>
      </w:pPr>
    </w:p>
    <w:p w14:paraId="3BEBF9AE" w14:textId="7A502F58" w:rsidR="004805D0" w:rsidRPr="00334E30" w:rsidRDefault="00171158" w:rsidP="004805D0">
      <w:pPr>
        <w:spacing w:before="0" w:after="0"/>
        <w:ind w:firstLine="0"/>
        <w:rPr>
          <w:rFonts w:cs="Times New Roman"/>
          <w:sz w:val="16"/>
          <w:szCs w:val="16"/>
        </w:rPr>
      </w:pPr>
      <w:r>
        <w:rPr>
          <w:rFonts w:cs="Times New Roman"/>
          <w:sz w:val="16"/>
          <w:szCs w:val="16"/>
        </w:rPr>
        <w:t>Gavrovska</w:t>
      </w:r>
      <w:r w:rsidR="004805D0" w:rsidRPr="00334E30">
        <w:rPr>
          <w:rFonts w:cs="Times New Roman"/>
          <w:sz w:val="16"/>
          <w:szCs w:val="16"/>
        </w:rPr>
        <w:t xml:space="preserve"> </w:t>
      </w:r>
      <w:r w:rsidR="00334E30" w:rsidRPr="00334E30">
        <w:rPr>
          <w:rFonts w:cs="Times New Roman"/>
          <w:sz w:val="16"/>
          <w:szCs w:val="16"/>
        </w:rPr>
        <w:t>26631915</w:t>
      </w:r>
      <w:r w:rsidR="004805D0" w:rsidRPr="00334E30">
        <w:rPr>
          <w:rFonts w:cs="Times New Roman"/>
          <w:sz w:val="16"/>
          <w:szCs w:val="16"/>
        </w:rPr>
        <w:t>,</w:t>
      </w:r>
    </w:p>
    <w:p w14:paraId="6A316262" w14:textId="4FE269BF" w:rsidR="007343B2" w:rsidRDefault="00CF4097" w:rsidP="004805D0">
      <w:pPr>
        <w:spacing w:before="0" w:after="0"/>
        <w:ind w:firstLine="0"/>
        <w:rPr>
          <w:rFonts w:cs="Times New Roman"/>
          <w:sz w:val="16"/>
          <w:szCs w:val="16"/>
        </w:rPr>
      </w:pPr>
      <w:r w:rsidRPr="00334E30">
        <w:rPr>
          <w:rFonts w:cs="Times New Roman"/>
          <w:sz w:val="16"/>
          <w:szCs w:val="16"/>
        </w:rPr>
        <w:t>Krist</w:t>
      </w:r>
      <w:r w:rsidR="004805D0" w:rsidRPr="00334E30">
        <w:rPr>
          <w:rFonts w:cs="Times New Roman"/>
          <w:sz w:val="16"/>
          <w:szCs w:val="16"/>
        </w:rPr>
        <w:t>ine.Gavrovska@fm.gov.lv</w:t>
      </w:r>
    </w:p>
    <w:sectPr w:rsidR="007343B2" w:rsidSect="00572A55">
      <w:headerReference w:type="default" r:id="rId37"/>
      <w:footerReference w:type="default" r:id="rId38"/>
      <w:footerReference w:type="first" r:id="rId39"/>
      <w:pgSz w:w="11906" w:h="16838"/>
      <w:pgMar w:top="1134" w:right="1134" w:bottom="851" w:left="1701" w:header="709" w:footer="505"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20097" w14:textId="77777777" w:rsidR="00C60391" w:rsidRDefault="00C60391" w:rsidP="00043218">
      <w:pPr>
        <w:spacing w:before="0" w:after="0"/>
      </w:pPr>
      <w:r>
        <w:separator/>
      </w:r>
    </w:p>
  </w:endnote>
  <w:endnote w:type="continuationSeparator" w:id="0">
    <w:p w14:paraId="15C6B977" w14:textId="77777777" w:rsidR="00C60391" w:rsidRDefault="00C60391" w:rsidP="000432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11A4" w14:textId="0A606497" w:rsidR="00C60391" w:rsidRDefault="00C60391" w:rsidP="005361F1">
    <w:pPr>
      <w:ind w:firstLine="0"/>
      <w:rPr>
        <w:sz w:val="22"/>
        <w:szCs w:val="32"/>
      </w:rPr>
    </w:pPr>
    <w:r w:rsidRPr="00EC6A33">
      <w:rPr>
        <w:sz w:val="22"/>
        <w:szCs w:val="32"/>
      </w:rPr>
      <w:fldChar w:fldCharType="begin"/>
    </w:r>
    <w:r w:rsidRPr="00EC6A33">
      <w:rPr>
        <w:sz w:val="22"/>
        <w:szCs w:val="32"/>
      </w:rPr>
      <w:instrText xml:space="preserve"> FILENAME   \* MERGEFORMAT </w:instrText>
    </w:r>
    <w:r w:rsidRPr="00EC6A33">
      <w:rPr>
        <w:sz w:val="22"/>
        <w:szCs w:val="32"/>
      </w:rPr>
      <w:fldChar w:fldCharType="separate"/>
    </w:r>
    <w:r w:rsidR="00E40863">
      <w:rPr>
        <w:noProof/>
        <w:sz w:val="22"/>
        <w:szCs w:val="32"/>
      </w:rPr>
      <w:t>FMZin_201222_Makro.docx</w:t>
    </w:r>
    <w:r w:rsidRPr="00EC6A33">
      <w:rPr>
        <w:sz w:val="22"/>
        <w:szCs w:val="32"/>
      </w:rPr>
      <w:fldChar w:fldCharType="end"/>
    </w:r>
  </w:p>
  <w:p w14:paraId="6BB27FF5" w14:textId="2BA539D9" w:rsidR="00C60391" w:rsidRPr="00EC6A33" w:rsidRDefault="00C60391" w:rsidP="002D0A6E">
    <w:pPr>
      <w:ind w:firstLine="0"/>
      <w:jc w:val="center"/>
      <w:rPr>
        <w:sz w:val="22"/>
        <w:szCs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637E" w14:textId="77777777" w:rsidR="00E40863" w:rsidRDefault="00E40863" w:rsidP="00E40863">
    <w:pPr>
      <w:ind w:firstLine="0"/>
      <w:rPr>
        <w:sz w:val="22"/>
        <w:szCs w:val="32"/>
      </w:rPr>
    </w:pPr>
    <w:r w:rsidRPr="00EC6A33">
      <w:rPr>
        <w:sz w:val="22"/>
        <w:szCs w:val="32"/>
      </w:rPr>
      <w:fldChar w:fldCharType="begin"/>
    </w:r>
    <w:r w:rsidRPr="00EC6A33">
      <w:rPr>
        <w:sz w:val="22"/>
        <w:szCs w:val="32"/>
      </w:rPr>
      <w:instrText xml:space="preserve"> FILENAME   \* MERGEFORMAT </w:instrText>
    </w:r>
    <w:r w:rsidRPr="00EC6A33">
      <w:rPr>
        <w:sz w:val="22"/>
        <w:szCs w:val="32"/>
      </w:rPr>
      <w:fldChar w:fldCharType="separate"/>
    </w:r>
    <w:r>
      <w:rPr>
        <w:noProof/>
        <w:sz w:val="22"/>
        <w:szCs w:val="32"/>
      </w:rPr>
      <w:t>FMZin_201222_Makro.docx</w:t>
    </w:r>
    <w:r w:rsidRPr="00EC6A33">
      <w:rPr>
        <w:sz w:val="22"/>
        <w:szCs w:val="32"/>
      </w:rPr>
      <w:fldChar w:fldCharType="end"/>
    </w:r>
  </w:p>
  <w:p w14:paraId="7848ECD0" w14:textId="58897047" w:rsidR="00C60391" w:rsidRPr="00EC6A33" w:rsidRDefault="00C60391" w:rsidP="002D0A6E">
    <w:pPr>
      <w:ind w:firstLine="0"/>
      <w:jc w:val="center"/>
      <w:rPr>
        <w:sz w:val="2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D4697" w14:textId="77777777" w:rsidR="00C60391" w:rsidRDefault="00C60391" w:rsidP="00043218">
      <w:pPr>
        <w:spacing w:before="0" w:after="0"/>
      </w:pPr>
      <w:r>
        <w:separator/>
      </w:r>
    </w:p>
  </w:footnote>
  <w:footnote w:type="continuationSeparator" w:id="0">
    <w:p w14:paraId="50FB5336" w14:textId="77777777" w:rsidR="00C60391" w:rsidRDefault="00C60391" w:rsidP="00043218">
      <w:pPr>
        <w:spacing w:before="0" w:after="0"/>
      </w:pPr>
      <w:r>
        <w:continuationSeparator/>
      </w:r>
    </w:p>
  </w:footnote>
  <w:footnote w:id="1">
    <w:p w14:paraId="4D634927" w14:textId="20D4CB9C" w:rsidR="00E95377" w:rsidRPr="003231B7" w:rsidRDefault="00E95377" w:rsidP="00E95377">
      <w:pPr>
        <w:pStyle w:val="FootnoteText"/>
        <w:rPr>
          <w:sz w:val="18"/>
          <w:szCs w:val="18"/>
        </w:rPr>
      </w:pPr>
      <w:r w:rsidRPr="003231B7">
        <w:rPr>
          <w:rStyle w:val="FootnoteReference"/>
          <w:sz w:val="18"/>
          <w:szCs w:val="18"/>
        </w:rPr>
        <w:footnoteRef/>
      </w:r>
      <w:r w:rsidRPr="003231B7">
        <w:rPr>
          <w:sz w:val="18"/>
          <w:szCs w:val="18"/>
        </w:rPr>
        <w:t xml:space="preserve"> Bez iemaksām valsts fondētu pensiju shēmā un bez vienotajā nodokļu kontā ieskaitītajiem, bet nesadalītajiem nodokļu ieņēmumiem, kas tiks attiecināti uz konkrētajiem nodokļu veidiem un attiecīgajiem budžeta līmeņiem tikai turpmākajos mēnešos, rodoties atbilstošām nodokļu saistībām.</w:t>
      </w:r>
    </w:p>
  </w:footnote>
  <w:footnote w:id="2">
    <w:p w14:paraId="063268D0" w14:textId="77777777" w:rsidR="00E408C9" w:rsidRPr="00E26741" w:rsidRDefault="00E408C9" w:rsidP="00E408C9">
      <w:pPr>
        <w:pStyle w:val="FootnoteText"/>
        <w:ind w:firstLine="0"/>
        <w:rPr>
          <w:sz w:val="18"/>
          <w:szCs w:val="18"/>
        </w:rPr>
      </w:pPr>
      <w:r w:rsidRPr="003220ED">
        <w:rPr>
          <w:rStyle w:val="FootnoteReference"/>
          <w:sz w:val="18"/>
          <w:szCs w:val="18"/>
        </w:rPr>
        <w:footnoteRef/>
      </w:r>
      <w:r w:rsidRPr="003220ED">
        <w:rPr>
          <w:sz w:val="18"/>
          <w:szCs w:val="18"/>
        </w:rPr>
        <w:t xml:space="preserve"> Datu avots: FM novērtējums, ņemot vērā MK rīkojumus līdz </w:t>
      </w:r>
      <w:r>
        <w:rPr>
          <w:sz w:val="18"/>
          <w:szCs w:val="18"/>
        </w:rPr>
        <w:t>06.12</w:t>
      </w:r>
      <w:r w:rsidRPr="003220ED">
        <w:rPr>
          <w:sz w:val="18"/>
          <w:szCs w:val="18"/>
        </w:rPr>
        <w:t xml:space="preserve">.2022. Faktiskā izpilde uz </w:t>
      </w:r>
      <w:r>
        <w:rPr>
          <w:sz w:val="18"/>
          <w:szCs w:val="18"/>
        </w:rPr>
        <w:t>30.11</w:t>
      </w:r>
      <w:r w:rsidRPr="003220ED">
        <w:rPr>
          <w:sz w:val="18"/>
          <w:szCs w:val="18"/>
        </w:rPr>
        <w:t>.2022 atbilstoši Valsts kases informācijai.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767130"/>
      <w:docPartObj>
        <w:docPartGallery w:val="Page Numbers (Top of Page)"/>
        <w:docPartUnique/>
      </w:docPartObj>
    </w:sdtPr>
    <w:sdtEndPr>
      <w:rPr>
        <w:noProof/>
      </w:rPr>
    </w:sdtEndPr>
    <w:sdtContent>
      <w:p w14:paraId="4458F683" w14:textId="26E69F67" w:rsidR="00C60391" w:rsidRDefault="00C60391" w:rsidP="00DB13F3">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92FC2"/>
    <w:multiLevelType w:val="multilevel"/>
    <w:tmpl w:val="B0123828"/>
    <w:lvl w:ilvl="0">
      <w:start w:val="1"/>
      <w:numFmt w:val="decimal"/>
      <w:pStyle w:val="Heading1"/>
      <w:lvlText w:val="%1."/>
      <w:lvlJc w:val="left"/>
      <w:pPr>
        <w:ind w:left="7306"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C1903D2"/>
    <w:multiLevelType w:val="hybridMultilevel"/>
    <w:tmpl w:val="82B01038"/>
    <w:lvl w:ilvl="0" w:tplc="C43E399A">
      <w:start w:val="1"/>
      <w:numFmt w:val="decimal"/>
      <w:pStyle w:val="Heading2"/>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772D9A"/>
    <w:multiLevelType w:val="hybridMultilevel"/>
    <w:tmpl w:val="AE8EF3E8"/>
    <w:lvl w:ilvl="0" w:tplc="FFFFFFFF">
      <w:start w:val="1"/>
      <w:numFmt w:val="decimal"/>
      <w:lvlText w:val="%1."/>
      <w:lvlJc w:val="left"/>
      <w:pPr>
        <w:ind w:left="720" w:hanging="360"/>
      </w:pPr>
      <w:rPr>
        <w:rFonts w:ascii="Times New Roman" w:hAnsi="Times New Roman" w:cs="Times New Roman"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00C4580"/>
    <w:multiLevelType w:val="hybridMultilevel"/>
    <w:tmpl w:val="10DC4A30"/>
    <w:lvl w:ilvl="0" w:tplc="04260017">
      <w:start w:val="1"/>
      <w:numFmt w:val="lowerLetter"/>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87C4375"/>
    <w:multiLevelType w:val="hybridMultilevel"/>
    <w:tmpl w:val="2E8E69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223162"/>
    <w:multiLevelType w:val="hybridMultilevel"/>
    <w:tmpl w:val="4F96C616"/>
    <w:lvl w:ilvl="0" w:tplc="0426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F284EC8"/>
    <w:multiLevelType w:val="hybridMultilevel"/>
    <w:tmpl w:val="AE8EF3E8"/>
    <w:lvl w:ilvl="0" w:tplc="9312905C">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D47F11"/>
    <w:multiLevelType w:val="hybridMultilevel"/>
    <w:tmpl w:val="5B5C7660"/>
    <w:lvl w:ilvl="0" w:tplc="DBF274F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FAF67E6"/>
    <w:multiLevelType w:val="hybridMultilevel"/>
    <w:tmpl w:val="FC70E250"/>
    <w:lvl w:ilvl="0" w:tplc="AB8A7336">
      <w:start w:val="1"/>
      <w:numFmt w:val="decimal"/>
      <w:lvlText w:val="%1)"/>
      <w:lvlJc w:val="left"/>
      <w:pPr>
        <w:ind w:left="720" w:hanging="360"/>
      </w:pPr>
      <w:rPr>
        <w:rFonts w:ascii="Times New Roman" w:eastAsiaTheme="minorHAnsi" w:hAnsi="Times New Roman" w:cstheme="minorBidi"/>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00C3D5B"/>
    <w:multiLevelType w:val="hybridMultilevel"/>
    <w:tmpl w:val="F35470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8646856">
    <w:abstractNumId w:val="0"/>
  </w:num>
  <w:num w:numId="2" w16cid:durableId="751511019">
    <w:abstractNumId w:val="1"/>
  </w:num>
  <w:num w:numId="3" w16cid:durableId="1429622086">
    <w:abstractNumId w:val="6"/>
  </w:num>
  <w:num w:numId="4" w16cid:durableId="1189029574">
    <w:abstractNumId w:val="9"/>
  </w:num>
  <w:num w:numId="5" w16cid:durableId="746607760">
    <w:abstractNumId w:val="5"/>
  </w:num>
  <w:num w:numId="6" w16cid:durableId="334921369">
    <w:abstractNumId w:val="3"/>
  </w:num>
  <w:num w:numId="7" w16cid:durableId="933636678">
    <w:abstractNumId w:val="7"/>
  </w:num>
  <w:num w:numId="8" w16cid:durableId="959261784">
    <w:abstractNumId w:val="8"/>
  </w:num>
  <w:num w:numId="9" w16cid:durableId="897863876">
    <w:abstractNumId w:val="2"/>
  </w:num>
  <w:num w:numId="10" w16cid:durableId="865186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B95"/>
    <w:rsid w:val="00003DBC"/>
    <w:rsid w:val="00006604"/>
    <w:rsid w:val="0001357D"/>
    <w:rsid w:val="0001442E"/>
    <w:rsid w:val="00014584"/>
    <w:rsid w:val="00014BD8"/>
    <w:rsid w:val="00016BE0"/>
    <w:rsid w:val="00016DC5"/>
    <w:rsid w:val="0001732F"/>
    <w:rsid w:val="00017C7B"/>
    <w:rsid w:val="0002163E"/>
    <w:rsid w:val="00021AC4"/>
    <w:rsid w:val="00023A74"/>
    <w:rsid w:val="00024979"/>
    <w:rsid w:val="0003150A"/>
    <w:rsid w:val="0003311F"/>
    <w:rsid w:val="00033640"/>
    <w:rsid w:val="00033772"/>
    <w:rsid w:val="00033E8A"/>
    <w:rsid w:val="000348BA"/>
    <w:rsid w:val="000348D7"/>
    <w:rsid w:val="00035A91"/>
    <w:rsid w:val="00037B8E"/>
    <w:rsid w:val="00042CB7"/>
    <w:rsid w:val="00043218"/>
    <w:rsid w:val="00046225"/>
    <w:rsid w:val="000471E1"/>
    <w:rsid w:val="00047DD8"/>
    <w:rsid w:val="00050670"/>
    <w:rsid w:val="00051B1E"/>
    <w:rsid w:val="00053507"/>
    <w:rsid w:val="00053525"/>
    <w:rsid w:val="0005447E"/>
    <w:rsid w:val="00054574"/>
    <w:rsid w:val="000546FB"/>
    <w:rsid w:val="000550FF"/>
    <w:rsid w:val="0005515D"/>
    <w:rsid w:val="000552D2"/>
    <w:rsid w:val="00055316"/>
    <w:rsid w:val="00060C0F"/>
    <w:rsid w:val="000619F5"/>
    <w:rsid w:val="00061D8D"/>
    <w:rsid w:val="00065587"/>
    <w:rsid w:val="000656C6"/>
    <w:rsid w:val="0006744D"/>
    <w:rsid w:val="000678EB"/>
    <w:rsid w:val="00071E47"/>
    <w:rsid w:val="00072CC4"/>
    <w:rsid w:val="0007311A"/>
    <w:rsid w:val="00073183"/>
    <w:rsid w:val="00073D49"/>
    <w:rsid w:val="00074F1B"/>
    <w:rsid w:val="000760D9"/>
    <w:rsid w:val="0007720E"/>
    <w:rsid w:val="00077A89"/>
    <w:rsid w:val="00083EB1"/>
    <w:rsid w:val="000840BA"/>
    <w:rsid w:val="000871CE"/>
    <w:rsid w:val="00091993"/>
    <w:rsid w:val="00092EE3"/>
    <w:rsid w:val="00093591"/>
    <w:rsid w:val="000A1CF7"/>
    <w:rsid w:val="000A25F2"/>
    <w:rsid w:val="000A647B"/>
    <w:rsid w:val="000A6ED3"/>
    <w:rsid w:val="000B06BB"/>
    <w:rsid w:val="000B7445"/>
    <w:rsid w:val="000C3C95"/>
    <w:rsid w:val="000C4A14"/>
    <w:rsid w:val="000C4B93"/>
    <w:rsid w:val="000C5374"/>
    <w:rsid w:val="000D0C1F"/>
    <w:rsid w:val="000D1F06"/>
    <w:rsid w:val="000D2A10"/>
    <w:rsid w:val="000D2AEA"/>
    <w:rsid w:val="000D2B7A"/>
    <w:rsid w:val="000D3F63"/>
    <w:rsid w:val="000D4ED5"/>
    <w:rsid w:val="000D6CCD"/>
    <w:rsid w:val="000E0615"/>
    <w:rsid w:val="000E1CB3"/>
    <w:rsid w:val="000E22C0"/>
    <w:rsid w:val="000E296E"/>
    <w:rsid w:val="000E2E49"/>
    <w:rsid w:val="000E5004"/>
    <w:rsid w:val="000E6A0A"/>
    <w:rsid w:val="000E7920"/>
    <w:rsid w:val="000E7FD6"/>
    <w:rsid w:val="000F10E6"/>
    <w:rsid w:val="000F2299"/>
    <w:rsid w:val="000F43F3"/>
    <w:rsid w:val="000F5874"/>
    <w:rsid w:val="000F7313"/>
    <w:rsid w:val="000F7E92"/>
    <w:rsid w:val="00100AB4"/>
    <w:rsid w:val="0010112A"/>
    <w:rsid w:val="0010269F"/>
    <w:rsid w:val="001064EE"/>
    <w:rsid w:val="00106699"/>
    <w:rsid w:val="001072B4"/>
    <w:rsid w:val="00110606"/>
    <w:rsid w:val="00112AA4"/>
    <w:rsid w:val="00114A5D"/>
    <w:rsid w:val="00115AF7"/>
    <w:rsid w:val="00121499"/>
    <w:rsid w:val="0012254A"/>
    <w:rsid w:val="001229DC"/>
    <w:rsid w:val="00123CE6"/>
    <w:rsid w:val="00124751"/>
    <w:rsid w:val="00124F7A"/>
    <w:rsid w:val="00130505"/>
    <w:rsid w:val="0013226B"/>
    <w:rsid w:val="00132748"/>
    <w:rsid w:val="0013467D"/>
    <w:rsid w:val="00137E2E"/>
    <w:rsid w:val="00140805"/>
    <w:rsid w:val="00140AD0"/>
    <w:rsid w:val="00140F9E"/>
    <w:rsid w:val="00146825"/>
    <w:rsid w:val="00146EDF"/>
    <w:rsid w:val="00153A21"/>
    <w:rsid w:val="00154E61"/>
    <w:rsid w:val="00154F10"/>
    <w:rsid w:val="001571F4"/>
    <w:rsid w:val="00160035"/>
    <w:rsid w:val="00161109"/>
    <w:rsid w:val="0016466F"/>
    <w:rsid w:val="001655EA"/>
    <w:rsid w:val="00166041"/>
    <w:rsid w:val="00166054"/>
    <w:rsid w:val="00171158"/>
    <w:rsid w:val="001717F9"/>
    <w:rsid w:val="00172009"/>
    <w:rsid w:val="001720F0"/>
    <w:rsid w:val="001729AF"/>
    <w:rsid w:val="00173F0C"/>
    <w:rsid w:val="00174A9D"/>
    <w:rsid w:val="00175039"/>
    <w:rsid w:val="00183A5E"/>
    <w:rsid w:val="00185678"/>
    <w:rsid w:val="00186EDF"/>
    <w:rsid w:val="0018741F"/>
    <w:rsid w:val="001878AB"/>
    <w:rsid w:val="0019035F"/>
    <w:rsid w:val="00191556"/>
    <w:rsid w:val="00192862"/>
    <w:rsid w:val="00193284"/>
    <w:rsid w:val="00196533"/>
    <w:rsid w:val="0019794B"/>
    <w:rsid w:val="001A0AA2"/>
    <w:rsid w:val="001A2913"/>
    <w:rsid w:val="001A392D"/>
    <w:rsid w:val="001A52C5"/>
    <w:rsid w:val="001A6678"/>
    <w:rsid w:val="001A7AD7"/>
    <w:rsid w:val="001B01B7"/>
    <w:rsid w:val="001B2316"/>
    <w:rsid w:val="001B26B6"/>
    <w:rsid w:val="001B2DF8"/>
    <w:rsid w:val="001B46AD"/>
    <w:rsid w:val="001B4BB8"/>
    <w:rsid w:val="001B6C13"/>
    <w:rsid w:val="001B75AC"/>
    <w:rsid w:val="001B7D68"/>
    <w:rsid w:val="001C4676"/>
    <w:rsid w:val="001C52BD"/>
    <w:rsid w:val="001C542A"/>
    <w:rsid w:val="001C7C5B"/>
    <w:rsid w:val="001D3DFB"/>
    <w:rsid w:val="001D3FB0"/>
    <w:rsid w:val="001D4B70"/>
    <w:rsid w:val="001D5DE9"/>
    <w:rsid w:val="001D6310"/>
    <w:rsid w:val="001E00F1"/>
    <w:rsid w:val="001E2CFA"/>
    <w:rsid w:val="001E3D6B"/>
    <w:rsid w:val="001E5FAE"/>
    <w:rsid w:val="001E697E"/>
    <w:rsid w:val="001F1561"/>
    <w:rsid w:val="001F16F5"/>
    <w:rsid w:val="001F4187"/>
    <w:rsid w:val="001F43BC"/>
    <w:rsid w:val="001F4876"/>
    <w:rsid w:val="001F72BE"/>
    <w:rsid w:val="001F7F6A"/>
    <w:rsid w:val="00201B11"/>
    <w:rsid w:val="00202623"/>
    <w:rsid w:val="0020365C"/>
    <w:rsid w:val="00204BC4"/>
    <w:rsid w:val="00212036"/>
    <w:rsid w:val="00213596"/>
    <w:rsid w:val="00215A7F"/>
    <w:rsid w:val="0021735A"/>
    <w:rsid w:val="002174D2"/>
    <w:rsid w:val="002203AA"/>
    <w:rsid w:val="0022193F"/>
    <w:rsid w:val="00223BAD"/>
    <w:rsid w:val="00225C99"/>
    <w:rsid w:val="0022712C"/>
    <w:rsid w:val="00230360"/>
    <w:rsid w:val="00230A10"/>
    <w:rsid w:val="0023182D"/>
    <w:rsid w:val="00234FB7"/>
    <w:rsid w:val="00243912"/>
    <w:rsid w:val="00245196"/>
    <w:rsid w:val="002465EA"/>
    <w:rsid w:val="00251765"/>
    <w:rsid w:val="00255E5B"/>
    <w:rsid w:val="00256648"/>
    <w:rsid w:val="002603F6"/>
    <w:rsid w:val="00261FC9"/>
    <w:rsid w:val="00262536"/>
    <w:rsid w:val="0026255D"/>
    <w:rsid w:val="0026289D"/>
    <w:rsid w:val="00265550"/>
    <w:rsid w:val="002655BC"/>
    <w:rsid w:val="00267C4F"/>
    <w:rsid w:val="00270F88"/>
    <w:rsid w:val="002711AC"/>
    <w:rsid w:val="0027377E"/>
    <w:rsid w:val="00275ACB"/>
    <w:rsid w:val="00276CB6"/>
    <w:rsid w:val="002776D2"/>
    <w:rsid w:val="00280003"/>
    <w:rsid w:val="002801C0"/>
    <w:rsid w:val="00282A55"/>
    <w:rsid w:val="00292B51"/>
    <w:rsid w:val="0029392C"/>
    <w:rsid w:val="002946A0"/>
    <w:rsid w:val="002A1232"/>
    <w:rsid w:val="002A23E0"/>
    <w:rsid w:val="002A25A9"/>
    <w:rsid w:val="002A3A8A"/>
    <w:rsid w:val="002A4C23"/>
    <w:rsid w:val="002B23A5"/>
    <w:rsid w:val="002B34A2"/>
    <w:rsid w:val="002B506F"/>
    <w:rsid w:val="002B5212"/>
    <w:rsid w:val="002B6A9A"/>
    <w:rsid w:val="002C066A"/>
    <w:rsid w:val="002C283C"/>
    <w:rsid w:val="002C56D8"/>
    <w:rsid w:val="002C7308"/>
    <w:rsid w:val="002C779D"/>
    <w:rsid w:val="002C7830"/>
    <w:rsid w:val="002D012B"/>
    <w:rsid w:val="002D0A6E"/>
    <w:rsid w:val="002D0B67"/>
    <w:rsid w:val="002D1426"/>
    <w:rsid w:val="002D2C99"/>
    <w:rsid w:val="002D57A0"/>
    <w:rsid w:val="002D6873"/>
    <w:rsid w:val="002D7D76"/>
    <w:rsid w:val="002E0577"/>
    <w:rsid w:val="002E3A00"/>
    <w:rsid w:val="002E643D"/>
    <w:rsid w:val="002E696E"/>
    <w:rsid w:val="002E768B"/>
    <w:rsid w:val="002F1162"/>
    <w:rsid w:val="002F21EB"/>
    <w:rsid w:val="002F2BDC"/>
    <w:rsid w:val="002F55A6"/>
    <w:rsid w:val="002F637C"/>
    <w:rsid w:val="002F65E3"/>
    <w:rsid w:val="002F694F"/>
    <w:rsid w:val="002F6D54"/>
    <w:rsid w:val="002F7FFC"/>
    <w:rsid w:val="0030039E"/>
    <w:rsid w:val="003037CF"/>
    <w:rsid w:val="00306832"/>
    <w:rsid w:val="00313214"/>
    <w:rsid w:val="00313290"/>
    <w:rsid w:val="003155C1"/>
    <w:rsid w:val="00316ABD"/>
    <w:rsid w:val="0031754C"/>
    <w:rsid w:val="00317AFA"/>
    <w:rsid w:val="00321FB5"/>
    <w:rsid w:val="003220ED"/>
    <w:rsid w:val="003231B7"/>
    <w:rsid w:val="003238FD"/>
    <w:rsid w:val="00325942"/>
    <w:rsid w:val="00326BE8"/>
    <w:rsid w:val="00327D75"/>
    <w:rsid w:val="0033073D"/>
    <w:rsid w:val="0033160A"/>
    <w:rsid w:val="00333561"/>
    <w:rsid w:val="00334E30"/>
    <w:rsid w:val="00340C33"/>
    <w:rsid w:val="003421DE"/>
    <w:rsid w:val="00343B03"/>
    <w:rsid w:val="00345011"/>
    <w:rsid w:val="0034589E"/>
    <w:rsid w:val="00345965"/>
    <w:rsid w:val="00351742"/>
    <w:rsid w:val="00352A94"/>
    <w:rsid w:val="00352ED0"/>
    <w:rsid w:val="00353FA8"/>
    <w:rsid w:val="00354D1A"/>
    <w:rsid w:val="00357D09"/>
    <w:rsid w:val="00357F4D"/>
    <w:rsid w:val="00357F80"/>
    <w:rsid w:val="00360884"/>
    <w:rsid w:val="00361468"/>
    <w:rsid w:val="0036169F"/>
    <w:rsid w:val="003622F9"/>
    <w:rsid w:val="003627A0"/>
    <w:rsid w:val="0036353B"/>
    <w:rsid w:val="00364987"/>
    <w:rsid w:val="00364E24"/>
    <w:rsid w:val="003670DB"/>
    <w:rsid w:val="0036758B"/>
    <w:rsid w:val="0037113B"/>
    <w:rsid w:val="003714E5"/>
    <w:rsid w:val="0037413E"/>
    <w:rsid w:val="00374AAF"/>
    <w:rsid w:val="0037512D"/>
    <w:rsid w:val="00375F29"/>
    <w:rsid w:val="00377CA0"/>
    <w:rsid w:val="00381BDA"/>
    <w:rsid w:val="00382303"/>
    <w:rsid w:val="003827A0"/>
    <w:rsid w:val="003827A9"/>
    <w:rsid w:val="00383816"/>
    <w:rsid w:val="0038540C"/>
    <w:rsid w:val="00386517"/>
    <w:rsid w:val="00391D20"/>
    <w:rsid w:val="00393275"/>
    <w:rsid w:val="003939D9"/>
    <w:rsid w:val="0039478E"/>
    <w:rsid w:val="003952E5"/>
    <w:rsid w:val="003A0176"/>
    <w:rsid w:val="003A0ADE"/>
    <w:rsid w:val="003A1074"/>
    <w:rsid w:val="003A2018"/>
    <w:rsid w:val="003A4135"/>
    <w:rsid w:val="003A5AA7"/>
    <w:rsid w:val="003A5F20"/>
    <w:rsid w:val="003B0328"/>
    <w:rsid w:val="003B0442"/>
    <w:rsid w:val="003B3630"/>
    <w:rsid w:val="003B55F5"/>
    <w:rsid w:val="003B5AA2"/>
    <w:rsid w:val="003C1802"/>
    <w:rsid w:val="003C2413"/>
    <w:rsid w:val="003C4F1A"/>
    <w:rsid w:val="003C74AA"/>
    <w:rsid w:val="003D6507"/>
    <w:rsid w:val="003E23DA"/>
    <w:rsid w:val="003E266E"/>
    <w:rsid w:val="003E2800"/>
    <w:rsid w:val="003E3163"/>
    <w:rsid w:val="003E3BBF"/>
    <w:rsid w:val="003E565F"/>
    <w:rsid w:val="003E5E45"/>
    <w:rsid w:val="003E7032"/>
    <w:rsid w:val="003E77CA"/>
    <w:rsid w:val="003F4251"/>
    <w:rsid w:val="003F4753"/>
    <w:rsid w:val="003F4D34"/>
    <w:rsid w:val="003F6C1B"/>
    <w:rsid w:val="00400397"/>
    <w:rsid w:val="00400ECC"/>
    <w:rsid w:val="00402385"/>
    <w:rsid w:val="004040ED"/>
    <w:rsid w:val="004058CC"/>
    <w:rsid w:val="00410426"/>
    <w:rsid w:val="004111D1"/>
    <w:rsid w:val="00411678"/>
    <w:rsid w:val="00412905"/>
    <w:rsid w:val="00413516"/>
    <w:rsid w:val="00413760"/>
    <w:rsid w:val="00414E6A"/>
    <w:rsid w:val="004229DB"/>
    <w:rsid w:val="00422CD1"/>
    <w:rsid w:val="00424AC6"/>
    <w:rsid w:val="004255AC"/>
    <w:rsid w:val="00426556"/>
    <w:rsid w:val="00427EBB"/>
    <w:rsid w:val="00433B1D"/>
    <w:rsid w:val="004350A4"/>
    <w:rsid w:val="0043608C"/>
    <w:rsid w:val="00436665"/>
    <w:rsid w:val="00441170"/>
    <w:rsid w:val="004414C2"/>
    <w:rsid w:val="00445456"/>
    <w:rsid w:val="00452536"/>
    <w:rsid w:val="004525D4"/>
    <w:rsid w:val="0045403A"/>
    <w:rsid w:val="00454159"/>
    <w:rsid w:val="0045554B"/>
    <w:rsid w:val="0045573A"/>
    <w:rsid w:val="00460582"/>
    <w:rsid w:val="00463080"/>
    <w:rsid w:val="0046451C"/>
    <w:rsid w:val="0046565F"/>
    <w:rsid w:val="00475274"/>
    <w:rsid w:val="00475EA0"/>
    <w:rsid w:val="004805D0"/>
    <w:rsid w:val="004827CC"/>
    <w:rsid w:val="004828D5"/>
    <w:rsid w:val="00485EBB"/>
    <w:rsid w:val="00487989"/>
    <w:rsid w:val="0049001B"/>
    <w:rsid w:val="00491065"/>
    <w:rsid w:val="00493AD4"/>
    <w:rsid w:val="0049419C"/>
    <w:rsid w:val="0049438C"/>
    <w:rsid w:val="004943BC"/>
    <w:rsid w:val="0049539B"/>
    <w:rsid w:val="00495E5B"/>
    <w:rsid w:val="004B112D"/>
    <w:rsid w:val="004B15F2"/>
    <w:rsid w:val="004B300C"/>
    <w:rsid w:val="004B30FC"/>
    <w:rsid w:val="004B43B5"/>
    <w:rsid w:val="004B5FDD"/>
    <w:rsid w:val="004B6B5C"/>
    <w:rsid w:val="004B6E65"/>
    <w:rsid w:val="004C14E6"/>
    <w:rsid w:val="004C1B95"/>
    <w:rsid w:val="004C1CAD"/>
    <w:rsid w:val="004C51D4"/>
    <w:rsid w:val="004C7A32"/>
    <w:rsid w:val="004D30DB"/>
    <w:rsid w:val="004D5E82"/>
    <w:rsid w:val="004D62CB"/>
    <w:rsid w:val="004D647E"/>
    <w:rsid w:val="004D68B8"/>
    <w:rsid w:val="004F02B8"/>
    <w:rsid w:val="004F3062"/>
    <w:rsid w:val="004F482C"/>
    <w:rsid w:val="004F4F2F"/>
    <w:rsid w:val="004F5DAB"/>
    <w:rsid w:val="004F756F"/>
    <w:rsid w:val="004F7EC3"/>
    <w:rsid w:val="0050080F"/>
    <w:rsid w:val="00500AAB"/>
    <w:rsid w:val="005024B0"/>
    <w:rsid w:val="00511E4F"/>
    <w:rsid w:val="00512708"/>
    <w:rsid w:val="005159F7"/>
    <w:rsid w:val="00516562"/>
    <w:rsid w:val="00516C4B"/>
    <w:rsid w:val="0052013B"/>
    <w:rsid w:val="0052320A"/>
    <w:rsid w:val="0052535C"/>
    <w:rsid w:val="00526F27"/>
    <w:rsid w:val="00533284"/>
    <w:rsid w:val="005344EB"/>
    <w:rsid w:val="005361F1"/>
    <w:rsid w:val="005402EA"/>
    <w:rsid w:val="00540841"/>
    <w:rsid w:val="00540DD8"/>
    <w:rsid w:val="00540E8C"/>
    <w:rsid w:val="00542A69"/>
    <w:rsid w:val="00542E18"/>
    <w:rsid w:val="00545E8E"/>
    <w:rsid w:val="00551416"/>
    <w:rsid w:val="00552758"/>
    <w:rsid w:val="00553194"/>
    <w:rsid w:val="00553819"/>
    <w:rsid w:val="00557C7F"/>
    <w:rsid w:val="00557F7C"/>
    <w:rsid w:val="00564ED8"/>
    <w:rsid w:val="005700B6"/>
    <w:rsid w:val="005715AA"/>
    <w:rsid w:val="00571D85"/>
    <w:rsid w:val="00572A55"/>
    <w:rsid w:val="0057415A"/>
    <w:rsid w:val="00574301"/>
    <w:rsid w:val="005753C9"/>
    <w:rsid w:val="00575531"/>
    <w:rsid w:val="00576D1F"/>
    <w:rsid w:val="005778D4"/>
    <w:rsid w:val="00577BDD"/>
    <w:rsid w:val="005854EF"/>
    <w:rsid w:val="005865A6"/>
    <w:rsid w:val="00590F3A"/>
    <w:rsid w:val="005913C7"/>
    <w:rsid w:val="00591C1E"/>
    <w:rsid w:val="005922CA"/>
    <w:rsid w:val="005922DE"/>
    <w:rsid w:val="005929B5"/>
    <w:rsid w:val="00594018"/>
    <w:rsid w:val="00594E33"/>
    <w:rsid w:val="005954F3"/>
    <w:rsid w:val="00595DC7"/>
    <w:rsid w:val="00596949"/>
    <w:rsid w:val="005977A6"/>
    <w:rsid w:val="005A0525"/>
    <w:rsid w:val="005A0A50"/>
    <w:rsid w:val="005A2459"/>
    <w:rsid w:val="005A30DB"/>
    <w:rsid w:val="005A3253"/>
    <w:rsid w:val="005A7AFF"/>
    <w:rsid w:val="005B1259"/>
    <w:rsid w:val="005B1278"/>
    <w:rsid w:val="005B288E"/>
    <w:rsid w:val="005B3D38"/>
    <w:rsid w:val="005B3DA9"/>
    <w:rsid w:val="005B466B"/>
    <w:rsid w:val="005B63E4"/>
    <w:rsid w:val="005B72C2"/>
    <w:rsid w:val="005B7C71"/>
    <w:rsid w:val="005C0587"/>
    <w:rsid w:val="005C06ED"/>
    <w:rsid w:val="005C5C42"/>
    <w:rsid w:val="005C6D02"/>
    <w:rsid w:val="005D014F"/>
    <w:rsid w:val="005D0688"/>
    <w:rsid w:val="005D10EA"/>
    <w:rsid w:val="005D5E03"/>
    <w:rsid w:val="005E05F9"/>
    <w:rsid w:val="005E2D6D"/>
    <w:rsid w:val="005E2E80"/>
    <w:rsid w:val="005E369E"/>
    <w:rsid w:val="005E4570"/>
    <w:rsid w:val="005E5C2A"/>
    <w:rsid w:val="005E69B6"/>
    <w:rsid w:val="005E777F"/>
    <w:rsid w:val="005E779E"/>
    <w:rsid w:val="005F19E0"/>
    <w:rsid w:val="005F1E51"/>
    <w:rsid w:val="005F2194"/>
    <w:rsid w:val="005F638E"/>
    <w:rsid w:val="005F67A6"/>
    <w:rsid w:val="005F7872"/>
    <w:rsid w:val="005F7C2B"/>
    <w:rsid w:val="00600564"/>
    <w:rsid w:val="00600D63"/>
    <w:rsid w:val="00603C53"/>
    <w:rsid w:val="0060460E"/>
    <w:rsid w:val="00604F9B"/>
    <w:rsid w:val="006128F1"/>
    <w:rsid w:val="0061348E"/>
    <w:rsid w:val="00613499"/>
    <w:rsid w:val="00613CB5"/>
    <w:rsid w:val="00614D67"/>
    <w:rsid w:val="00615057"/>
    <w:rsid w:val="006152E0"/>
    <w:rsid w:val="00617C79"/>
    <w:rsid w:val="00622435"/>
    <w:rsid w:val="00622C39"/>
    <w:rsid w:val="0062337F"/>
    <w:rsid w:val="0062445A"/>
    <w:rsid w:val="006249DA"/>
    <w:rsid w:val="00627462"/>
    <w:rsid w:val="006314B4"/>
    <w:rsid w:val="006336B6"/>
    <w:rsid w:val="0063475B"/>
    <w:rsid w:val="00637198"/>
    <w:rsid w:val="006426B3"/>
    <w:rsid w:val="006432D9"/>
    <w:rsid w:val="006437F9"/>
    <w:rsid w:val="0064512A"/>
    <w:rsid w:val="00645EE7"/>
    <w:rsid w:val="00650798"/>
    <w:rsid w:val="00650F44"/>
    <w:rsid w:val="00655CC0"/>
    <w:rsid w:val="006574D7"/>
    <w:rsid w:val="006608DF"/>
    <w:rsid w:val="006626C7"/>
    <w:rsid w:val="0066332A"/>
    <w:rsid w:val="00666568"/>
    <w:rsid w:val="00667BD5"/>
    <w:rsid w:val="00670F90"/>
    <w:rsid w:val="00674703"/>
    <w:rsid w:val="00682304"/>
    <w:rsid w:val="0068270C"/>
    <w:rsid w:val="0068453F"/>
    <w:rsid w:val="00691E26"/>
    <w:rsid w:val="00694725"/>
    <w:rsid w:val="00696604"/>
    <w:rsid w:val="00696F50"/>
    <w:rsid w:val="00697B5F"/>
    <w:rsid w:val="006A0242"/>
    <w:rsid w:val="006A07BE"/>
    <w:rsid w:val="006A502B"/>
    <w:rsid w:val="006A5502"/>
    <w:rsid w:val="006A7261"/>
    <w:rsid w:val="006B0DF9"/>
    <w:rsid w:val="006B1B83"/>
    <w:rsid w:val="006B3507"/>
    <w:rsid w:val="006B5F40"/>
    <w:rsid w:val="006C2607"/>
    <w:rsid w:val="006C2C05"/>
    <w:rsid w:val="006C33AE"/>
    <w:rsid w:val="006C4857"/>
    <w:rsid w:val="006C6B7C"/>
    <w:rsid w:val="006D19C6"/>
    <w:rsid w:val="006D1BF5"/>
    <w:rsid w:val="006D21AE"/>
    <w:rsid w:val="006D2DCA"/>
    <w:rsid w:val="006D4E3C"/>
    <w:rsid w:val="006D58B9"/>
    <w:rsid w:val="006D7BC2"/>
    <w:rsid w:val="006E0164"/>
    <w:rsid w:val="006E189E"/>
    <w:rsid w:val="006E4106"/>
    <w:rsid w:val="006E4A17"/>
    <w:rsid w:val="006E6A20"/>
    <w:rsid w:val="006E72BA"/>
    <w:rsid w:val="006F0243"/>
    <w:rsid w:val="006F3CBF"/>
    <w:rsid w:val="006F3F0D"/>
    <w:rsid w:val="006F42CA"/>
    <w:rsid w:val="006F75FD"/>
    <w:rsid w:val="006F7F16"/>
    <w:rsid w:val="00702E77"/>
    <w:rsid w:val="007071D4"/>
    <w:rsid w:val="007106BF"/>
    <w:rsid w:val="00711547"/>
    <w:rsid w:val="00712187"/>
    <w:rsid w:val="007156B3"/>
    <w:rsid w:val="00715F59"/>
    <w:rsid w:val="00716B93"/>
    <w:rsid w:val="0071757C"/>
    <w:rsid w:val="00717822"/>
    <w:rsid w:val="00721B10"/>
    <w:rsid w:val="0072401C"/>
    <w:rsid w:val="007260A1"/>
    <w:rsid w:val="00731A84"/>
    <w:rsid w:val="0073260D"/>
    <w:rsid w:val="007343B2"/>
    <w:rsid w:val="00736AD3"/>
    <w:rsid w:val="00740A15"/>
    <w:rsid w:val="007417D0"/>
    <w:rsid w:val="00741EED"/>
    <w:rsid w:val="007422FA"/>
    <w:rsid w:val="007424CD"/>
    <w:rsid w:val="007447CC"/>
    <w:rsid w:val="007458A9"/>
    <w:rsid w:val="00757043"/>
    <w:rsid w:val="0076471E"/>
    <w:rsid w:val="00770348"/>
    <w:rsid w:val="007719B1"/>
    <w:rsid w:val="00771EE8"/>
    <w:rsid w:val="0077256E"/>
    <w:rsid w:val="00772992"/>
    <w:rsid w:val="00781E2C"/>
    <w:rsid w:val="00783B0F"/>
    <w:rsid w:val="007840F5"/>
    <w:rsid w:val="007841BC"/>
    <w:rsid w:val="00784505"/>
    <w:rsid w:val="00784A7B"/>
    <w:rsid w:val="0078567C"/>
    <w:rsid w:val="007933A0"/>
    <w:rsid w:val="007949F5"/>
    <w:rsid w:val="00796636"/>
    <w:rsid w:val="007A2A39"/>
    <w:rsid w:val="007A324F"/>
    <w:rsid w:val="007A4AFA"/>
    <w:rsid w:val="007A5244"/>
    <w:rsid w:val="007A5AA9"/>
    <w:rsid w:val="007B1024"/>
    <w:rsid w:val="007B2C65"/>
    <w:rsid w:val="007B2FBF"/>
    <w:rsid w:val="007B66FB"/>
    <w:rsid w:val="007B6871"/>
    <w:rsid w:val="007B6A8C"/>
    <w:rsid w:val="007C0D85"/>
    <w:rsid w:val="007C2042"/>
    <w:rsid w:val="007C2EB9"/>
    <w:rsid w:val="007C314C"/>
    <w:rsid w:val="007C32E3"/>
    <w:rsid w:val="007C4388"/>
    <w:rsid w:val="007C5CA4"/>
    <w:rsid w:val="007C6097"/>
    <w:rsid w:val="007C678C"/>
    <w:rsid w:val="007C6FA4"/>
    <w:rsid w:val="007D76E2"/>
    <w:rsid w:val="007E0098"/>
    <w:rsid w:val="007E0A9F"/>
    <w:rsid w:val="007E0E15"/>
    <w:rsid w:val="007E2E4E"/>
    <w:rsid w:val="007E34B1"/>
    <w:rsid w:val="007E417B"/>
    <w:rsid w:val="007E42B5"/>
    <w:rsid w:val="007E641C"/>
    <w:rsid w:val="007E7CBB"/>
    <w:rsid w:val="007F10B2"/>
    <w:rsid w:val="007F117D"/>
    <w:rsid w:val="007F2887"/>
    <w:rsid w:val="007F3EAB"/>
    <w:rsid w:val="007F60AA"/>
    <w:rsid w:val="007F72CF"/>
    <w:rsid w:val="007F75CA"/>
    <w:rsid w:val="00800CBC"/>
    <w:rsid w:val="00802324"/>
    <w:rsid w:val="00803E3E"/>
    <w:rsid w:val="008069AD"/>
    <w:rsid w:val="00807BF3"/>
    <w:rsid w:val="00813490"/>
    <w:rsid w:val="00813B15"/>
    <w:rsid w:val="0081448D"/>
    <w:rsid w:val="00814D12"/>
    <w:rsid w:val="00815EAE"/>
    <w:rsid w:val="008178D1"/>
    <w:rsid w:val="00822D29"/>
    <w:rsid w:val="00822F87"/>
    <w:rsid w:val="008230DE"/>
    <w:rsid w:val="0082556C"/>
    <w:rsid w:val="00831519"/>
    <w:rsid w:val="00831BB1"/>
    <w:rsid w:val="008328F2"/>
    <w:rsid w:val="00833245"/>
    <w:rsid w:val="00834C52"/>
    <w:rsid w:val="0083515C"/>
    <w:rsid w:val="00835622"/>
    <w:rsid w:val="008369EF"/>
    <w:rsid w:val="00840954"/>
    <w:rsid w:val="00840C5A"/>
    <w:rsid w:val="00840E03"/>
    <w:rsid w:val="008417FB"/>
    <w:rsid w:val="00843A92"/>
    <w:rsid w:val="00843D60"/>
    <w:rsid w:val="00844932"/>
    <w:rsid w:val="0084619B"/>
    <w:rsid w:val="008478B8"/>
    <w:rsid w:val="008523F4"/>
    <w:rsid w:val="008528CD"/>
    <w:rsid w:val="008554DD"/>
    <w:rsid w:val="00855D8A"/>
    <w:rsid w:val="008573E9"/>
    <w:rsid w:val="00860E19"/>
    <w:rsid w:val="00862CE6"/>
    <w:rsid w:val="00863CF2"/>
    <w:rsid w:val="0086445A"/>
    <w:rsid w:val="00864A9B"/>
    <w:rsid w:val="008654AD"/>
    <w:rsid w:val="00865795"/>
    <w:rsid w:val="00867CCB"/>
    <w:rsid w:val="00870603"/>
    <w:rsid w:val="00874F32"/>
    <w:rsid w:val="008813B8"/>
    <w:rsid w:val="008834DF"/>
    <w:rsid w:val="008838BD"/>
    <w:rsid w:val="00883DFA"/>
    <w:rsid w:val="00884F4A"/>
    <w:rsid w:val="00884FC9"/>
    <w:rsid w:val="008852F6"/>
    <w:rsid w:val="008863AC"/>
    <w:rsid w:val="0088711A"/>
    <w:rsid w:val="00890A5F"/>
    <w:rsid w:val="00891456"/>
    <w:rsid w:val="00891A7A"/>
    <w:rsid w:val="00892E9C"/>
    <w:rsid w:val="00894C1E"/>
    <w:rsid w:val="008962D9"/>
    <w:rsid w:val="008A064C"/>
    <w:rsid w:val="008A20AE"/>
    <w:rsid w:val="008A2933"/>
    <w:rsid w:val="008A406D"/>
    <w:rsid w:val="008A626C"/>
    <w:rsid w:val="008A7003"/>
    <w:rsid w:val="008B4EFE"/>
    <w:rsid w:val="008B508B"/>
    <w:rsid w:val="008B50D6"/>
    <w:rsid w:val="008B59AC"/>
    <w:rsid w:val="008C07C3"/>
    <w:rsid w:val="008C08A2"/>
    <w:rsid w:val="008C2A5C"/>
    <w:rsid w:val="008C4884"/>
    <w:rsid w:val="008C63F6"/>
    <w:rsid w:val="008D1B72"/>
    <w:rsid w:val="008D1C41"/>
    <w:rsid w:val="008D1D6B"/>
    <w:rsid w:val="008D47C3"/>
    <w:rsid w:val="008D4970"/>
    <w:rsid w:val="008D6EB0"/>
    <w:rsid w:val="008E0304"/>
    <w:rsid w:val="008E110E"/>
    <w:rsid w:val="008E5743"/>
    <w:rsid w:val="008E6B68"/>
    <w:rsid w:val="008E7DDE"/>
    <w:rsid w:val="008F0C29"/>
    <w:rsid w:val="008F132B"/>
    <w:rsid w:val="008F1658"/>
    <w:rsid w:val="008F2113"/>
    <w:rsid w:val="008F6119"/>
    <w:rsid w:val="008F6FBD"/>
    <w:rsid w:val="009005A2"/>
    <w:rsid w:val="00902B01"/>
    <w:rsid w:val="00902E7C"/>
    <w:rsid w:val="00907163"/>
    <w:rsid w:val="00910211"/>
    <w:rsid w:val="00914406"/>
    <w:rsid w:val="00915391"/>
    <w:rsid w:val="009160F9"/>
    <w:rsid w:val="00917F86"/>
    <w:rsid w:val="009244ED"/>
    <w:rsid w:val="0092615A"/>
    <w:rsid w:val="0093024E"/>
    <w:rsid w:val="009306F9"/>
    <w:rsid w:val="00937A76"/>
    <w:rsid w:val="00941065"/>
    <w:rsid w:val="0094183F"/>
    <w:rsid w:val="009433D8"/>
    <w:rsid w:val="009459DA"/>
    <w:rsid w:val="00945B5F"/>
    <w:rsid w:val="00945DF3"/>
    <w:rsid w:val="00945E68"/>
    <w:rsid w:val="009502FD"/>
    <w:rsid w:val="00950A78"/>
    <w:rsid w:val="00953C22"/>
    <w:rsid w:val="00953D7A"/>
    <w:rsid w:val="00960145"/>
    <w:rsid w:val="00963A08"/>
    <w:rsid w:val="0096417C"/>
    <w:rsid w:val="00964CAC"/>
    <w:rsid w:val="00965E15"/>
    <w:rsid w:val="0097202C"/>
    <w:rsid w:val="009728D3"/>
    <w:rsid w:val="009735E6"/>
    <w:rsid w:val="00974B6B"/>
    <w:rsid w:val="00974C6A"/>
    <w:rsid w:val="00975F71"/>
    <w:rsid w:val="009812F0"/>
    <w:rsid w:val="00983904"/>
    <w:rsid w:val="00987EDF"/>
    <w:rsid w:val="00991853"/>
    <w:rsid w:val="009919E6"/>
    <w:rsid w:val="009930F8"/>
    <w:rsid w:val="00994ABA"/>
    <w:rsid w:val="00994F25"/>
    <w:rsid w:val="00995488"/>
    <w:rsid w:val="00996134"/>
    <w:rsid w:val="0099717F"/>
    <w:rsid w:val="009A2E34"/>
    <w:rsid w:val="009A5249"/>
    <w:rsid w:val="009A6A99"/>
    <w:rsid w:val="009A7F95"/>
    <w:rsid w:val="009B0C41"/>
    <w:rsid w:val="009B1649"/>
    <w:rsid w:val="009B1C84"/>
    <w:rsid w:val="009B5BCA"/>
    <w:rsid w:val="009B7199"/>
    <w:rsid w:val="009C1108"/>
    <w:rsid w:val="009C1250"/>
    <w:rsid w:val="009C20A6"/>
    <w:rsid w:val="009C4DD4"/>
    <w:rsid w:val="009C4ECE"/>
    <w:rsid w:val="009C4FBA"/>
    <w:rsid w:val="009D121B"/>
    <w:rsid w:val="009D13E2"/>
    <w:rsid w:val="009D18DE"/>
    <w:rsid w:val="009D1E2E"/>
    <w:rsid w:val="009D2706"/>
    <w:rsid w:val="009D3AFD"/>
    <w:rsid w:val="009D459F"/>
    <w:rsid w:val="009D5506"/>
    <w:rsid w:val="009D6686"/>
    <w:rsid w:val="009D6A84"/>
    <w:rsid w:val="009D6FB1"/>
    <w:rsid w:val="009E1C32"/>
    <w:rsid w:val="009E7575"/>
    <w:rsid w:val="009F3CED"/>
    <w:rsid w:val="009F3F7B"/>
    <w:rsid w:val="009F51AF"/>
    <w:rsid w:val="009F53E8"/>
    <w:rsid w:val="009F5663"/>
    <w:rsid w:val="009F6A7F"/>
    <w:rsid w:val="009F6D00"/>
    <w:rsid w:val="00A01C7C"/>
    <w:rsid w:val="00A02B60"/>
    <w:rsid w:val="00A0438C"/>
    <w:rsid w:val="00A04547"/>
    <w:rsid w:val="00A05835"/>
    <w:rsid w:val="00A0791E"/>
    <w:rsid w:val="00A1128A"/>
    <w:rsid w:val="00A12632"/>
    <w:rsid w:val="00A15E0B"/>
    <w:rsid w:val="00A175DC"/>
    <w:rsid w:val="00A2041D"/>
    <w:rsid w:val="00A2075F"/>
    <w:rsid w:val="00A21C1E"/>
    <w:rsid w:val="00A23EEF"/>
    <w:rsid w:val="00A25184"/>
    <w:rsid w:val="00A25912"/>
    <w:rsid w:val="00A27CDD"/>
    <w:rsid w:val="00A30566"/>
    <w:rsid w:val="00A32F1E"/>
    <w:rsid w:val="00A33F4E"/>
    <w:rsid w:val="00A3556C"/>
    <w:rsid w:val="00A3684A"/>
    <w:rsid w:val="00A416F2"/>
    <w:rsid w:val="00A47392"/>
    <w:rsid w:val="00A4770E"/>
    <w:rsid w:val="00A51E64"/>
    <w:rsid w:val="00A5448F"/>
    <w:rsid w:val="00A54F38"/>
    <w:rsid w:val="00A63CAE"/>
    <w:rsid w:val="00A648D3"/>
    <w:rsid w:val="00A64D14"/>
    <w:rsid w:val="00A66799"/>
    <w:rsid w:val="00A707EC"/>
    <w:rsid w:val="00A7263B"/>
    <w:rsid w:val="00A72D7A"/>
    <w:rsid w:val="00A73009"/>
    <w:rsid w:val="00A73B20"/>
    <w:rsid w:val="00A74D1D"/>
    <w:rsid w:val="00A75D55"/>
    <w:rsid w:val="00A7702F"/>
    <w:rsid w:val="00A83AAD"/>
    <w:rsid w:val="00A840E6"/>
    <w:rsid w:val="00A85876"/>
    <w:rsid w:val="00A86A32"/>
    <w:rsid w:val="00A86FF9"/>
    <w:rsid w:val="00A90872"/>
    <w:rsid w:val="00A96A0D"/>
    <w:rsid w:val="00A96F9C"/>
    <w:rsid w:val="00AA3BB4"/>
    <w:rsid w:val="00AA4E8A"/>
    <w:rsid w:val="00AA50C1"/>
    <w:rsid w:val="00AA57B4"/>
    <w:rsid w:val="00AB2128"/>
    <w:rsid w:val="00AB3B68"/>
    <w:rsid w:val="00AB555E"/>
    <w:rsid w:val="00AB5AEA"/>
    <w:rsid w:val="00AB6320"/>
    <w:rsid w:val="00AB7CF3"/>
    <w:rsid w:val="00AC042E"/>
    <w:rsid w:val="00AC2B6C"/>
    <w:rsid w:val="00AC5328"/>
    <w:rsid w:val="00AC55E4"/>
    <w:rsid w:val="00AC5F18"/>
    <w:rsid w:val="00AC6185"/>
    <w:rsid w:val="00AC7276"/>
    <w:rsid w:val="00AD19DB"/>
    <w:rsid w:val="00AD2E32"/>
    <w:rsid w:val="00AD4588"/>
    <w:rsid w:val="00AD6B0A"/>
    <w:rsid w:val="00AE03D8"/>
    <w:rsid w:val="00AE113E"/>
    <w:rsid w:val="00AE4C7E"/>
    <w:rsid w:val="00AE51FA"/>
    <w:rsid w:val="00AE543F"/>
    <w:rsid w:val="00AE6136"/>
    <w:rsid w:val="00AF2E30"/>
    <w:rsid w:val="00AF3171"/>
    <w:rsid w:val="00AF7289"/>
    <w:rsid w:val="00AF74C3"/>
    <w:rsid w:val="00B00457"/>
    <w:rsid w:val="00B008E5"/>
    <w:rsid w:val="00B07828"/>
    <w:rsid w:val="00B11A50"/>
    <w:rsid w:val="00B1547D"/>
    <w:rsid w:val="00B16063"/>
    <w:rsid w:val="00B20253"/>
    <w:rsid w:val="00B20512"/>
    <w:rsid w:val="00B20883"/>
    <w:rsid w:val="00B21621"/>
    <w:rsid w:val="00B23700"/>
    <w:rsid w:val="00B26DA4"/>
    <w:rsid w:val="00B26DBF"/>
    <w:rsid w:val="00B3179A"/>
    <w:rsid w:val="00B35D8C"/>
    <w:rsid w:val="00B40E3B"/>
    <w:rsid w:val="00B412A2"/>
    <w:rsid w:val="00B43CA5"/>
    <w:rsid w:val="00B46534"/>
    <w:rsid w:val="00B47634"/>
    <w:rsid w:val="00B50620"/>
    <w:rsid w:val="00B5181E"/>
    <w:rsid w:val="00B51C01"/>
    <w:rsid w:val="00B535B1"/>
    <w:rsid w:val="00B56632"/>
    <w:rsid w:val="00B57FC2"/>
    <w:rsid w:val="00B61211"/>
    <w:rsid w:val="00B61511"/>
    <w:rsid w:val="00B62206"/>
    <w:rsid w:val="00B63881"/>
    <w:rsid w:val="00B63F36"/>
    <w:rsid w:val="00B64AED"/>
    <w:rsid w:val="00B67358"/>
    <w:rsid w:val="00B705BA"/>
    <w:rsid w:val="00B70C8F"/>
    <w:rsid w:val="00B70CF8"/>
    <w:rsid w:val="00B7344B"/>
    <w:rsid w:val="00B73A11"/>
    <w:rsid w:val="00B7536F"/>
    <w:rsid w:val="00B77AEE"/>
    <w:rsid w:val="00B85DA6"/>
    <w:rsid w:val="00B861B6"/>
    <w:rsid w:val="00B870EA"/>
    <w:rsid w:val="00B87BD6"/>
    <w:rsid w:val="00B90F50"/>
    <w:rsid w:val="00B90F95"/>
    <w:rsid w:val="00B93FA6"/>
    <w:rsid w:val="00B9536B"/>
    <w:rsid w:val="00BA1885"/>
    <w:rsid w:val="00BA18D4"/>
    <w:rsid w:val="00BA20B8"/>
    <w:rsid w:val="00BA72FC"/>
    <w:rsid w:val="00BB0308"/>
    <w:rsid w:val="00BB5AE3"/>
    <w:rsid w:val="00BB6E0C"/>
    <w:rsid w:val="00BB7057"/>
    <w:rsid w:val="00BB729F"/>
    <w:rsid w:val="00BC41CB"/>
    <w:rsid w:val="00BC5A8C"/>
    <w:rsid w:val="00BC690A"/>
    <w:rsid w:val="00BC769E"/>
    <w:rsid w:val="00BC7A1F"/>
    <w:rsid w:val="00BC7EB5"/>
    <w:rsid w:val="00BD1670"/>
    <w:rsid w:val="00BD1B41"/>
    <w:rsid w:val="00BD2801"/>
    <w:rsid w:val="00BD40B2"/>
    <w:rsid w:val="00BD4DAA"/>
    <w:rsid w:val="00BD57BA"/>
    <w:rsid w:val="00BD5C8E"/>
    <w:rsid w:val="00BD5F81"/>
    <w:rsid w:val="00BD6FBB"/>
    <w:rsid w:val="00BD765D"/>
    <w:rsid w:val="00BE0CC6"/>
    <w:rsid w:val="00BE11FF"/>
    <w:rsid w:val="00BE446A"/>
    <w:rsid w:val="00BE56E3"/>
    <w:rsid w:val="00BE7BC1"/>
    <w:rsid w:val="00BF00F7"/>
    <w:rsid w:val="00BF0240"/>
    <w:rsid w:val="00BF14DB"/>
    <w:rsid w:val="00BF1F94"/>
    <w:rsid w:val="00BF4369"/>
    <w:rsid w:val="00BF4879"/>
    <w:rsid w:val="00BF50AA"/>
    <w:rsid w:val="00BF5E06"/>
    <w:rsid w:val="00BF6744"/>
    <w:rsid w:val="00C011C5"/>
    <w:rsid w:val="00C012DA"/>
    <w:rsid w:val="00C0214A"/>
    <w:rsid w:val="00C030ED"/>
    <w:rsid w:val="00C0433D"/>
    <w:rsid w:val="00C1151A"/>
    <w:rsid w:val="00C11683"/>
    <w:rsid w:val="00C1285B"/>
    <w:rsid w:val="00C158D2"/>
    <w:rsid w:val="00C17F02"/>
    <w:rsid w:val="00C240DC"/>
    <w:rsid w:val="00C24BF5"/>
    <w:rsid w:val="00C25E44"/>
    <w:rsid w:val="00C264EB"/>
    <w:rsid w:val="00C26623"/>
    <w:rsid w:val="00C314EA"/>
    <w:rsid w:val="00C31E87"/>
    <w:rsid w:val="00C33828"/>
    <w:rsid w:val="00C338C8"/>
    <w:rsid w:val="00C34219"/>
    <w:rsid w:val="00C36121"/>
    <w:rsid w:val="00C37808"/>
    <w:rsid w:val="00C417A7"/>
    <w:rsid w:val="00C43D48"/>
    <w:rsid w:val="00C456BD"/>
    <w:rsid w:val="00C45C16"/>
    <w:rsid w:val="00C46BBB"/>
    <w:rsid w:val="00C50325"/>
    <w:rsid w:val="00C51AF0"/>
    <w:rsid w:val="00C530BD"/>
    <w:rsid w:val="00C53A90"/>
    <w:rsid w:val="00C55657"/>
    <w:rsid w:val="00C57FA0"/>
    <w:rsid w:val="00C60391"/>
    <w:rsid w:val="00C60723"/>
    <w:rsid w:val="00C61C6C"/>
    <w:rsid w:val="00C63777"/>
    <w:rsid w:val="00C64DA8"/>
    <w:rsid w:val="00C64FC9"/>
    <w:rsid w:val="00C6797C"/>
    <w:rsid w:val="00C70259"/>
    <w:rsid w:val="00C72B0A"/>
    <w:rsid w:val="00C73888"/>
    <w:rsid w:val="00C7426B"/>
    <w:rsid w:val="00C745CA"/>
    <w:rsid w:val="00C755C1"/>
    <w:rsid w:val="00C75F65"/>
    <w:rsid w:val="00C77954"/>
    <w:rsid w:val="00C80A5F"/>
    <w:rsid w:val="00C82983"/>
    <w:rsid w:val="00C83279"/>
    <w:rsid w:val="00C832FF"/>
    <w:rsid w:val="00C84FF3"/>
    <w:rsid w:val="00C87137"/>
    <w:rsid w:val="00C91852"/>
    <w:rsid w:val="00C91CA1"/>
    <w:rsid w:val="00C920AC"/>
    <w:rsid w:val="00C92D5D"/>
    <w:rsid w:val="00C94C7B"/>
    <w:rsid w:val="00C9565F"/>
    <w:rsid w:val="00C970BA"/>
    <w:rsid w:val="00CA10B2"/>
    <w:rsid w:val="00CA2D3D"/>
    <w:rsid w:val="00CA30D2"/>
    <w:rsid w:val="00CA49B1"/>
    <w:rsid w:val="00CA7CBE"/>
    <w:rsid w:val="00CB000E"/>
    <w:rsid w:val="00CB301E"/>
    <w:rsid w:val="00CB5C81"/>
    <w:rsid w:val="00CC221B"/>
    <w:rsid w:val="00CC5D65"/>
    <w:rsid w:val="00CD1649"/>
    <w:rsid w:val="00CD2F78"/>
    <w:rsid w:val="00CD4822"/>
    <w:rsid w:val="00CD4F8D"/>
    <w:rsid w:val="00CD5528"/>
    <w:rsid w:val="00CD626F"/>
    <w:rsid w:val="00CE1FBD"/>
    <w:rsid w:val="00CE4C32"/>
    <w:rsid w:val="00CE5580"/>
    <w:rsid w:val="00CE6103"/>
    <w:rsid w:val="00CE6321"/>
    <w:rsid w:val="00CE6B38"/>
    <w:rsid w:val="00CF0E51"/>
    <w:rsid w:val="00CF1EF1"/>
    <w:rsid w:val="00CF25B6"/>
    <w:rsid w:val="00CF2834"/>
    <w:rsid w:val="00CF3406"/>
    <w:rsid w:val="00CF4097"/>
    <w:rsid w:val="00CF45C7"/>
    <w:rsid w:val="00CF4B49"/>
    <w:rsid w:val="00CF523E"/>
    <w:rsid w:val="00CF7F05"/>
    <w:rsid w:val="00D0291F"/>
    <w:rsid w:val="00D029A7"/>
    <w:rsid w:val="00D053A5"/>
    <w:rsid w:val="00D05E8B"/>
    <w:rsid w:val="00D14659"/>
    <w:rsid w:val="00D1498B"/>
    <w:rsid w:val="00D20E96"/>
    <w:rsid w:val="00D21586"/>
    <w:rsid w:val="00D23CB7"/>
    <w:rsid w:val="00D24127"/>
    <w:rsid w:val="00D24589"/>
    <w:rsid w:val="00D3036C"/>
    <w:rsid w:val="00D315CD"/>
    <w:rsid w:val="00D31602"/>
    <w:rsid w:val="00D33E06"/>
    <w:rsid w:val="00D350A9"/>
    <w:rsid w:val="00D4231E"/>
    <w:rsid w:val="00D42EA7"/>
    <w:rsid w:val="00D44744"/>
    <w:rsid w:val="00D455FB"/>
    <w:rsid w:val="00D53FFE"/>
    <w:rsid w:val="00D61B82"/>
    <w:rsid w:val="00D61DE9"/>
    <w:rsid w:val="00D663D4"/>
    <w:rsid w:val="00D66569"/>
    <w:rsid w:val="00D66AD1"/>
    <w:rsid w:val="00D67F05"/>
    <w:rsid w:val="00D71818"/>
    <w:rsid w:val="00D73807"/>
    <w:rsid w:val="00D739DB"/>
    <w:rsid w:val="00D814D0"/>
    <w:rsid w:val="00D84524"/>
    <w:rsid w:val="00D84CB3"/>
    <w:rsid w:val="00D86186"/>
    <w:rsid w:val="00D91682"/>
    <w:rsid w:val="00D93829"/>
    <w:rsid w:val="00D939A2"/>
    <w:rsid w:val="00D96D41"/>
    <w:rsid w:val="00DA3985"/>
    <w:rsid w:val="00DA79AD"/>
    <w:rsid w:val="00DA7EC7"/>
    <w:rsid w:val="00DB02E4"/>
    <w:rsid w:val="00DB073C"/>
    <w:rsid w:val="00DB13F3"/>
    <w:rsid w:val="00DB3FBD"/>
    <w:rsid w:val="00DB539D"/>
    <w:rsid w:val="00DB710B"/>
    <w:rsid w:val="00DC0147"/>
    <w:rsid w:val="00DC01BB"/>
    <w:rsid w:val="00DC21A3"/>
    <w:rsid w:val="00DC2ECB"/>
    <w:rsid w:val="00DC2FD8"/>
    <w:rsid w:val="00DC4129"/>
    <w:rsid w:val="00DC61D9"/>
    <w:rsid w:val="00DD3889"/>
    <w:rsid w:val="00DD5336"/>
    <w:rsid w:val="00DD66E6"/>
    <w:rsid w:val="00DD7565"/>
    <w:rsid w:val="00DE0048"/>
    <w:rsid w:val="00DE100D"/>
    <w:rsid w:val="00DE3B2D"/>
    <w:rsid w:val="00DE6C2A"/>
    <w:rsid w:val="00DE7B05"/>
    <w:rsid w:val="00DF2698"/>
    <w:rsid w:val="00DF45A1"/>
    <w:rsid w:val="00E01F39"/>
    <w:rsid w:val="00E02680"/>
    <w:rsid w:val="00E0497D"/>
    <w:rsid w:val="00E07751"/>
    <w:rsid w:val="00E115C6"/>
    <w:rsid w:val="00E12BF2"/>
    <w:rsid w:val="00E15707"/>
    <w:rsid w:val="00E16293"/>
    <w:rsid w:val="00E16932"/>
    <w:rsid w:val="00E20FC8"/>
    <w:rsid w:val="00E218EF"/>
    <w:rsid w:val="00E225B0"/>
    <w:rsid w:val="00E22FBA"/>
    <w:rsid w:val="00E23F13"/>
    <w:rsid w:val="00E246C9"/>
    <w:rsid w:val="00E2549F"/>
    <w:rsid w:val="00E312A3"/>
    <w:rsid w:val="00E35F81"/>
    <w:rsid w:val="00E36CC2"/>
    <w:rsid w:val="00E37CEC"/>
    <w:rsid w:val="00E37DCA"/>
    <w:rsid w:val="00E40863"/>
    <w:rsid w:val="00E408C9"/>
    <w:rsid w:val="00E423EE"/>
    <w:rsid w:val="00E4507C"/>
    <w:rsid w:val="00E45886"/>
    <w:rsid w:val="00E47E75"/>
    <w:rsid w:val="00E52188"/>
    <w:rsid w:val="00E54B33"/>
    <w:rsid w:val="00E54DED"/>
    <w:rsid w:val="00E5574C"/>
    <w:rsid w:val="00E56A61"/>
    <w:rsid w:val="00E600BE"/>
    <w:rsid w:val="00E64405"/>
    <w:rsid w:val="00E653CD"/>
    <w:rsid w:val="00E65B76"/>
    <w:rsid w:val="00E672D8"/>
    <w:rsid w:val="00E716C6"/>
    <w:rsid w:val="00E73124"/>
    <w:rsid w:val="00E73727"/>
    <w:rsid w:val="00E75332"/>
    <w:rsid w:val="00E7761A"/>
    <w:rsid w:val="00E803F0"/>
    <w:rsid w:val="00E805DA"/>
    <w:rsid w:val="00E80F34"/>
    <w:rsid w:val="00E84C40"/>
    <w:rsid w:val="00E84F3D"/>
    <w:rsid w:val="00E867D9"/>
    <w:rsid w:val="00E871CD"/>
    <w:rsid w:val="00E92BC1"/>
    <w:rsid w:val="00E937C6"/>
    <w:rsid w:val="00E95377"/>
    <w:rsid w:val="00E9597C"/>
    <w:rsid w:val="00E96403"/>
    <w:rsid w:val="00E967E2"/>
    <w:rsid w:val="00E96CDD"/>
    <w:rsid w:val="00E9769B"/>
    <w:rsid w:val="00E97C84"/>
    <w:rsid w:val="00EA0153"/>
    <w:rsid w:val="00EA015A"/>
    <w:rsid w:val="00EA126F"/>
    <w:rsid w:val="00EB2218"/>
    <w:rsid w:val="00EB241E"/>
    <w:rsid w:val="00EB3674"/>
    <w:rsid w:val="00EB36B8"/>
    <w:rsid w:val="00EB6371"/>
    <w:rsid w:val="00EB6782"/>
    <w:rsid w:val="00EB7152"/>
    <w:rsid w:val="00EC075D"/>
    <w:rsid w:val="00EC1B76"/>
    <w:rsid w:val="00EC544D"/>
    <w:rsid w:val="00EC735C"/>
    <w:rsid w:val="00ED378F"/>
    <w:rsid w:val="00ED3FF5"/>
    <w:rsid w:val="00ED7772"/>
    <w:rsid w:val="00EE1BEA"/>
    <w:rsid w:val="00EE6B00"/>
    <w:rsid w:val="00EF1710"/>
    <w:rsid w:val="00EF1AB2"/>
    <w:rsid w:val="00EF5BDA"/>
    <w:rsid w:val="00EF6F8C"/>
    <w:rsid w:val="00EF73A2"/>
    <w:rsid w:val="00F02C8F"/>
    <w:rsid w:val="00F02D39"/>
    <w:rsid w:val="00F0505E"/>
    <w:rsid w:val="00F13A8F"/>
    <w:rsid w:val="00F159BA"/>
    <w:rsid w:val="00F16011"/>
    <w:rsid w:val="00F17120"/>
    <w:rsid w:val="00F17266"/>
    <w:rsid w:val="00F20378"/>
    <w:rsid w:val="00F21891"/>
    <w:rsid w:val="00F25226"/>
    <w:rsid w:val="00F258FE"/>
    <w:rsid w:val="00F25905"/>
    <w:rsid w:val="00F25B8A"/>
    <w:rsid w:val="00F2617A"/>
    <w:rsid w:val="00F26616"/>
    <w:rsid w:val="00F272E0"/>
    <w:rsid w:val="00F30679"/>
    <w:rsid w:val="00F36DD0"/>
    <w:rsid w:val="00F36FF6"/>
    <w:rsid w:val="00F40A32"/>
    <w:rsid w:val="00F41FE2"/>
    <w:rsid w:val="00F4443A"/>
    <w:rsid w:val="00F447DB"/>
    <w:rsid w:val="00F44836"/>
    <w:rsid w:val="00F44FB5"/>
    <w:rsid w:val="00F47596"/>
    <w:rsid w:val="00F50017"/>
    <w:rsid w:val="00F508F2"/>
    <w:rsid w:val="00F50F4C"/>
    <w:rsid w:val="00F5179E"/>
    <w:rsid w:val="00F51ED8"/>
    <w:rsid w:val="00F522CA"/>
    <w:rsid w:val="00F55244"/>
    <w:rsid w:val="00F55C45"/>
    <w:rsid w:val="00F569F6"/>
    <w:rsid w:val="00F5702E"/>
    <w:rsid w:val="00F61E10"/>
    <w:rsid w:val="00F6297B"/>
    <w:rsid w:val="00F656B9"/>
    <w:rsid w:val="00F65849"/>
    <w:rsid w:val="00F65F62"/>
    <w:rsid w:val="00F67BBB"/>
    <w:rsid w:val="00F70CA8"/>
    <w:rsid w:val="00F73E06"/>
    <w:rsid w:val="00F73FD2"/>
    <w:rsid w:val="00F76B06"/>
    <w:rsid w:val="00F8153B"/>
    <w:rsid w:val="00F8186D"/>
    <w:rsid w:val="00F82624"/>
    <w:rsid w:val="00F86E73"/>
    <w:rsid w:val="00F87F48"/>
    <w:rsid w:val="00F90AEB"/>
    <w:rsid w:val="00F92193"/>
    <w:rsid w:val="00F95886"/>
    <w:rsid w:val="00F9660E"/>
    <w:rsid w:val="00FA0FC1"/>
    <w:rsid w:val="00FA2AC6"/>
    <w:rsid w:val="00FA388D"/>
    <w:rsid w:val="00FA68BA"/>
    <w:rsid w:val="00FA77C4"/>
    <w:rsid w:val="00FB005A"/>
    <w:rsid w:val="00FB071C"/>
    <w:rsid w:val="00FB080C"/>
    <w:rsid w:val="00FB1FBF"/>
    <w:rsid w:val="00FB3148"/>
    <w:rsid w:val="00FB48BA"/>
    <w:rsid w:val="00FB4F3A"/>
    <w:rsid w:val="00FB51E2"/>
    <w:rsid w:val="00FB6DA3"/>
    <w:rsid w:val="00FC2060"/>
    <w:rsid w:val="00FC3E8C"/>
    <w:rsid w:val="00FC686A"/>
    <w:rsid w:val="00FD2957"/>
    <w:rsid w:val="00FD48C9"/>
    <w:rsid w:val="00FD62A3"/>
    <w:rsid w:val="00FD62D8"/>
    <w:rsid w:val="00FD7CC9"/>
    <w:rsid w:val="00FE3024"/>
    <w:rsid w:val="00FE33EC"/>
    <w:rsid w:val="00FE4826"/>
    <w:rsid w:val="00FE4C87"/>
    <w:rsid w:val="00FE50AE"/>
    <w:rsid w:val="00FE5301"/>
    <w:rsid w:val="00FE7ABB"/>
    <w:rsid w:val="00FF6011"/>
    <w:rsid w:val="00FF7D26"/>
    <w:rsid w:val="00FF7E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05EDA"/>
  <w15:docId w15:val="{9D278873-7330-4354-BF71-9C98E292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218"/>
    <w:pPr>
      <w:spacing w:before="120" w:after="120"/>
      <w:ind w:firstLine="720"/>
      <w:jc w:val="both"/>
    </w:pPr>
  </w:style>
  <w:style w:type="paragraph" w:styleId="Heading1">
    <w:name w:val="heading 1"/>
    <w:basedOn w:val="Normal"/>
    <w:next w:val="Normal"/>
    <w:link w:val="Heading1Char"/>
    <w:uiPriority w:val="9"/>
    <w:qFormat/>
    <w:rsid w:val="00043218"/>
    <w:pPr>
      <w:keepNext/>
      <w:keepLines/>
      <w:numPr>
        <w:numId w:val="1"/>
      </w:numPr>
      <w:spacing w:before="240" w:after="0"/>
      <w:ind w:left="2203"/>
      <w:jc w:val="center"/>
      <w:outlineLvl w:val="0"/>
    </w:pPr>
    <w:rPr>
      <w:rFonts w:eastAsiaTheme="majorEastAsia" w:cstheme="majorBidi"/>
      <w:b/>
      <w:sz w:val="32"/>
      <w:szCs w:val="32"/>
    </w:rPr>
  </w:style>
  <w:style w:type="paragraph" w:styleId="Heading2">
    <w:name w:val="heading 2"/>
    <w:basedOn w:val="Normal"/>
    <w:next w:val="Normal"/>
    <w:link w:val="Heading2Char"/>
    <w:unhideWhenUsed/>
    <w:qFormat/>
    <w:rsid w:val="00043218"/>
    <w:pPr>
      <w:keepNext/>
      <w:numPr>
        <w:numId w:val="2"/>
      </w:numPr>
      <w:spacing w:before="240" w:after="60"/>
      <w:jc w:val="center"/>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8F611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218"/>
    <w:rPr>
      <w:rFonts w:eastAsiaTheme="majorEastAsia" w:cstheme="majorBidi"/>
      <w:b/>
      <w:sz w:val="32"/>
      <w:szCs w:val="32"/>
    </w:rPr>
  </w:style>
  <w:style w:type="character" w:customStyle="1" w:styleId="Heading2Char">
    <w:name w:val="Heading 2 Char"/>
    <w:basedOn w:val="DefaultParagraphFont"/>
    <w:link w:val="Heading2"/>
    <w:rsid w:val="00043218"/>
    <w:rPr>
      <w:rFonts w:eastAsia="Times New Roman" w:cs="Times New Roman"/>
      <w:b/>
      <w:bCs/>
      <w:iCs/>
      <w:szCs w:val="28"/>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Akapit z listą BS"/>
    <w:basedOn w:val="Normal"/>
    <w:link w:val="ListParagraphChar"/>
    <w:uiPriority w:val="34"/>
    <w:qFormat/>
    <w:rsid w:val="00043218"/>
    <w:pPr>
      <w:ind w:left="720"/>
      <w:contextualSpacing/>
    </w:pPr>
  </w:style>
  <w:style w:type="paragraph" w:styleId="BalloonText">
    <w:name w:val="Balloon Text"/>
    <w:basedOn w:val="Normal"/>
    <w:link w:val="BalloonTextChar"/>
    <w:uiPriority w:val="99"/>
    <w:semiHidden/>
    <w:unhideWhenUsed/>
    <w:rsid w:val="00043218"/>
    <w:rPr>
      <w:rFonts w:ascii="Tahoma" w:hAnsi="Tahoma" w:cs="Tahoma"/>
      <w:sz w:val="16"/>
      <w:szCs w:val="16"/>
    </w:rPr>
  </w:style>
  <w:style w:type="character" w:customStyle="1" w:styleId="BalloonTextChar">
    <w:name w:val="Balloon Text Char"/>
    <w:basedOn w:val="DefaultParagraphFont"/>
    <w:link w:val="BalloonText"/>
    <w:uiPriority w:val="99"/>
    <w:semiHidden/>
    <w:rsid w:val="00043218"/>
    <w:rPr>
      <w:rFonts w:ascii="Tahoma" w:hAnsi="Tahoma" w:cs="Tahoma"/>
      <w:sz w:val="16"/>
      <w:szCs w:val="16"/>
    </w:rPr>
  </w:style>
  <w:style w:type="paragraph" w:styleId="BodyTextIndent">
    <w:name w:val="Body Text Indent"/>
    <w:basedOn w:val="Normal"/>
    <w:link w:val="BodyTextIndentChar"/>
    <w:rsid w:val="00043218"/>
    <w:pPr>
      <w:ind w:left="283"/>
    </w:pPr>
    <w:rPr>
      <w:rFonts w:eastAsia="Times New Roman" w:cs="Times New Roman"/>
      <w:szCs w:val="24"/>
      <w:lang w:eastAsia="lv-LV"/>
    </w:rPr>
  </w:style>
  <w:style w:type="character" w:customStyle="1" w:styleId="BodyTextIndentChar">
    <w:name w:val="Body Text Indent Char"/>
    <w:basedOn w:val="DefaultParagraphFont"/>
    <w:link w:val="BodyTextIndent"/>
    <w:rsid w:val="00043218"/>
    <w:rPr>
      <w:rFonts w:eastAsia="Times New Roman" w:cs="Times New Roman"/>
      <w:szCs w:val="24"/>
      <w:lang w:eastAsia="lv-LV"/>
    </w:rPr>
  </w:style>
  <w:style w:type="character" w:customStyle="1" w:styleId="spelle">
    <w:name w:val="spelle"/>
    <w:basedOn w:val="DefaultParagraphFont"/>
    <w:rsid w:val="00043218"/>
  </w:style>
  <w:style w:type="paragraph" w:styleId="FootnoteText">
    <w:name w:val="footnote text"/>
    <w:aliases w:val="Footnote,Fußnote,Fußnote Char Char Char,single space,ft Rakstz. Rakstz.,ft Rakstz.,ft,-E Fußnotentext,Fußnotentext Ursprung,Vēres teksts Char Char Char Char Char,Char Char Char Char Char Char Char Char Char Char Char Char,footnote tex"/>
    <w:basedOn w:val="Normal"/>
    <w:link w:val="FootnoteTextChar"/>
    <w:uiPriority w:val="99"/>
    <w:unhideWhenUsed/>
    <w:qFormat/>
    <w:rsid w:val="00043218"/>
    <w:rPr>
      <w:rFonts w:eastAsia="Times New Roman" w:cs="Times New Roman"/>
      <w:sz w:val="20"/>
      <w:szCs w:val="20"/>
    </w:rPr>
  </w:style>
  <w:style w:type="character" w:customStyle="1" w:styleId="FootnoteTextChar">
    <w:name w:val="Footnote Text Char"/>
    <w:aliases w:val="Footnote Char,Fußnote Char,Fußnote Char Char Char Char,single space Char,ft Rakstz. Rakstz. Char,ft Rakstz. Char,ft Char,-E Fußnotentext Char,Fußnotentext Ursprung Char,Vēres teksts Char Char Char Char Char Char,footnote tex Char"/>
    <w:basedOn w:val="DefaultParagraphFont"/>
    <w:link w:val="FootnoteText"/>
    <w:uiPriority w:val="99"/>
    <w:rsid w:val="00043218"/>
    <w:rPr>
      <w:rFonts w:eastAsia="Times New Roman" w:cs="Times New Roman"/>
      <w:sz w:val="20"/>
      <w:szCs w:val="20"/>
    </w:rPr>
  </w:style>
  <w:style w:type="character" w:styleId="FootnoteReference">
    <w:name w:val="footnote reference"/>
    <w:aliases w:val="Footnote Reference Number,Footnote symbol,Footnote Reference Superscript,ftref,Footnote Refernece,Odwołanie przypisu,BVI fnr,Footnotes refss,SUPERS,Ref,de nota al pie,-E Fußnotenzeichen,Footnote reference number,Times 10 Point,E,E FNZ"/>
    <w:basedOn w:val="DefaultParagraphFont"/>
    <w:link w:val="Char2"/>
    <w:uiPriority w:val="99"/>
    <w:unhideWhenUsed/>
    <w:qFormat/>
    <w:rsid w:val="00043218"/>
    <w:rPr>
      <w:vertAlign w:val="superscript"/>
    </w:rPr>
  </w:style>
  <w:style w:type="paragraph" w:styleId="Header">
    <w:name w:val="header"/>
    <w:basedOn w:val="Normal"/>
    <w:link w:val="HeaderChar"/>
    <w:uiPriority w:val="99"/>
    <w:unhideWhenUsed/>
    <w:rsid w:val="00043218"/>
    <w:pPr>
      <w:tabs>
        <w:tab w:val="center" w:pos="4153"/>
        <w:tab w:val="right" w:pos="8306"/>
      </w:tabs>
    </w:pPr>
  </w:style>
  <w:style w:type="character" w:customStyle="1" w:styleId="HeaderChar">
    <w:name w:val="Header Char"/>
    <w:basedOn w:val="DefaultParagraphFont"/>
    <w:link w:val="Header"/>
    <w:uiPriority w:val="99"/>
    <w:rsid w:val="00043218"/>
    <w:rPr>
      <w:sz w:val="28"/>
    </w:rPr>
  </w:style>
  <w:style w:type="paragraph" w:styleId="Footer">
    <w:name w:val="footer"/>
    <w:basedOn w:val="Normal"/>
    <w:link w:val="FooterChar"/>
    <w:uiPriority w:val="99"/>
    <w:unhideWhenUsed/>
    <w:rsid w:val="00043218"/>
    <w:pPr>
      <w:tabs>
        <w:tab w:val="center" w:pos="4153"/>
        <w:tab w:val="right" w:pos="8306"/>
      </w:tabs>
    </w:pPr>
  </w:style>
  <w:style w:type="character" w:customStyle="1" w:styleId="FooterChar">
    <w:name w:val="Footer Char"/>
    <w:basedOn w:val="DefaultParagraphFont"/>
    <w:link w:val="Footer"/>
    <w:uiPriority w:val="99"/>
    <w:rsid w:val="00043218"/>
    <w:rPr>
      <w:sz w:val="28"/>
    </w:rPr>
  </w:style>
  <w:style w:type="paragraph" w:customStyle="1" w:styleId="H1">
    <w:name w:val="H1"/>
    <w:rsid w:val="00043218"/>
    <w:pPr>
      <w:spacing w:before="120" w:after="120"/>
      <w:ind w:left="284" w:firstLine="720"/>
      <w:jc w:val="center"/>
      <w:outlineLvl w:val="0"/>
    </w:pPr>
    <w:rPr>
      <w:rFonts w:eastAsia="Times New Roman" w:cs="Times New Roman"/>
      <w:b/>
      <w:sz w:val="44"/>
      <w:szCs w:val="20"/>
    </w:rPr>
  </w:style>
  <w:style w:type="paragraph" w:customStyle="1" w:styleId="H2">
    <w:name w:val="H2"/>
    <w:rsid w:val="00043218"/>
    <w:pPr>
      <w:spacing w:before="120" w:after="120"/>
      <w:ind w:left="284" w:firstLine="720"/>
      <w:jc w:val="center"/>
      <w:outlineLvl w:val="1"/>
    </w:pPr>
    <w:rPr>
      <w:rFonts w:eastAsia="Times New Roman" w:cs="Times New Roman"/>
      <w:b/>
      <w:sz w:val="36"/>
      <w:szCs w:val="20"/>
    </w:rPr>
  </w:style>
  <w:style w:type="table" w:styleId="TableGrid">
    <w:name w:val="Table Grid"/>
    <w:basedOn w:val="TableNormal"/>
    <w:uiPriority w:val="39"/>
    <w:rsid w:val="00043218"/>
    <w:pPr>
      <w:spacing w:before="120" w:after="120"/>
      <w:ind w:left="284" w:firstLine="720"/>
      <w:jc w:val="both"/>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43218"/>
    <w:rPr>
      <w:rFonts w:ascii="Garamond" w:hAnsi="Garamond"/>
      <w:noProof w:val="0"/>
      <w:color w:val="0000FF"/>
      <w:u w:val="single"/>
      <w:lang w:val="lv-LV"/>
    </w:rPr>
  </w:style>
  <w:style w:type="paragraph" w:customStyle="1" w:styleId="Default">
    <w:name w:val="Default"/>
    <w:rsid w:val="00043218"/>
    <w:pPr>
      <w:autoSpaceDE w:val="0"/>
      <w:autoSpaceDN w:val="0"/>
      <w:adjustRightInd w:val="0"/>
      <w:spacing w:before="120" w:after="120"/>
      <w:ind w:left="284" w:firstLine="720"/>
      <w:jc w:val="both"/>
    </w:pPr>
    <w:rPr>
      <w:rFonts w:eastAsia="Times New Roman" w:cs="Times New Roman"/>
      <w:color w:val="000000"/>
      <w:szCs w:val="24"/>
      <w:lang w:eastAsia="lv-LV"/>
    </w:rPr>
  </w:style>
  <w:style w:type="paragraph" w:customStyle="1" w:styleId="teksts">
    <w:name w:val="teksts"/>
    <w:rsid w:val="00043218"/>
    <w:pPr>
      <w:spacing w:before="120" w:after="120"/>
      <w:ind w:left="284" w:firstLine="720"/>
      <w:jc w:val="both"/>
    </w:pPr>
    <w:rPr>
      <w:rFonts w:ascii="Garamond" w:eastAsia="Times New Roman" w:hAnsi="Garamond" w:cs="Times New Roman"/>
      <w:szCs w:val="20"/>
    </w:rPr>
  </w:style>
  <w:style w:type="paragraph" w:customStyle="1" w:styleId="CM1">
    <w:name w:val="CM1"/>
    <w:basedOn w:val="Default"/>
    <w:next w:val="Default"/>
    <w:uiPriority w:val="99"/>
    <w:rsid w:val="00043218"/>
    <w:rPr>
      <w:rFonts w:ascii="EUAlbertina" w:eastAsia="Calibri" w:hAnsi="EUAlbertina"/>
      <w:color w:val="auto"/>
      <w:lang w:val="en-GB" w:eastAsia="en-GB"/>
    </w:rPr>
  </w:style>
  <w:style w:type="character" w:styleId="CommentReference">
    <w:name w:val="annotation reference"/>
    <w:basedOn w:val="DefaultParagraphFont"/>
    <w:uiPriority w:val="99"/>
    <w:semiHidden/>
    <w:unhideWhenUsed/>
    <w:rsid w:val="00043218"/>
    <w:rPr>
      <w:sz w:val="16"/>
      <w:szCs w:val="16"/>
    </w:rPr>
  </w:style>
  <w:style w:type="paragraph" w:styleId="CommentText">
    <w:name w:val="annotation text"/>
    <w:basedOn w:val="Normal"/>
    <w:link w:val="CommentTextChar"/>
    <w:uiPriority w:val="99"/>
    <w:unhideWhenUsed/>
    <w:rsid w:val="00043218"/>
    <w:rPr>
      <w:sz w:val="20"/>
      <w:szCs w:val="20"/>
    </w:rPr>
  </w:style>
  <w:style w:type="character" w:customStyle="1" w:styleId="CommentTextChar">
    <w:name w:val="Comment Text Char"/>
    <w:basedOn w:val="DefaultParagraphFont"/>
    <w:link w:val="CommentText"/>
    <w:uiPriority w:val="99"/>
    <w:rsid w:val="00043218"/>
    <w:rPr>
      <w:sz w:val="20"/>
      <w:szCs w:val="20"/>
    </w:rPr>
  </w:style>
  <w:style w:type="paragraph" w:styleId="CommentSubject">
    <w:name w:val="annotation subject"/>
    <w:basedOn w:val="CommentText"/>
    <w:next w:val="CommentText"/>
    <w:link w:val="CommentSubjectChar"/>
    <w:uiPriority w:val="99"/>
    <w:semiHidden/>
    <w:unhideWhenUsed/>
    <w:rsid w:val="00043218"/>
    <w:rPr>
      <w:b/>
      <w:bCs/>
    </w:rPr>
  </w:style>
  <w:style w:type="character" w:customStyle="1" w:styleId="CommentSubjectChar">
    <w:name w:val="Comment Subject Char"/>
    <w:basedOn w:val="CommentTextChar"/>
    <w:link w:val="CommentSubject"/>
    <w:uiPriority w:val="99"/>
    <w:semiHidden/>
    <w:rsid w:val="00043218"/>
    <w:rPr>
      <w:b/>
      <w:bCs/>
      <w:sz w:val="20"/>
      <w:szCs w:val="20"/>
    </w:rPr>
  </w:style>
  <w:style w:type="paragraph" w:styleId="NormalWeb">
    <w:name w:val="Normal (Web)"/>
    <w:basedOn w:val="Normal"/>
    <w:uiPriority w:val="99"/>
    <w:unhideWhenUsed/>
    <w:rsid w:val="00043218"/>
    <w:pPr>
      <w:spacing w:before="100" w:beforeAutospacing="1" w:after="100" w:afterAutospacing="1"/>
    </w:pPr>
    <w:rPr>
      <w:rFonts w:eastAsia="Times New Roman" w:cs="Times New Roman"/>
      <w:szCs w:val="24"/>
      <w:lang w:eastAsia="lv-LV"/>
    </w:rPr>
  </w:style>
  <w:style w:type="paragraph" w:styleId="TOC2">
    <w:name w:val="toc 2"/>
    <w:basedOn w:val="Normal"/>
    <w:next w:val="Normal"/>
    <w:autoRedefine/>
    <w:uiPriority w:val="39"/>
    <w:unhideWhenUsed/>
    <w:rsid w:val="00043218"/>
    <w:pPr>
      <w:tabs>
        <w:tab w:val="right" w:pos="1701"/>
        <w:tab w:val="right" w:leader="dot" w:pos="9061"/>
      </w:tabs>
      <w:ind w:left="1134" w:firstLine="0"/>
    </w:pPr>
  </w:style>
  <w:style w:type="paragraph" w:styleId="TOC1">
    <w:name w:val="toc 1"/>
    <w:basedOn w:val="Normal"/>
    <w:next w:val="Normal"/>
    <w:autoRedefine/>
    <w:uiPriority w:val="39"/>
    <w:unhideWhenUsed/>
    <w:rsid w:val="00571D85"/>
    <w:pPr>
      <w:tabs>
        <w:tab w:val="right" w:pos="1134"/>
        <w:tab w:val="right" w:leader="dot" w:pos="9061"/>
      </w:tabs>
      <w:spacing w:after="100"/>
      <w:ind w:firstLine="0"/>
    </w:pPr>
  </w:style>
  <w:style w:type="paragraph" w:styleId="NoSpacing">
    <w:name w:val="No Spacing"/>
    <w:link w:val="NoSpacingChar"/>
    <w:uiPriority w:val="1"/>
    <w:qFormat/>
    <w:rsid w:val="00043218"/>
    <w:pPr>
      <w:ind w:firstLine="567"/>
      <w:jc w:val="both"/>
    </w:pPr>
    <w:rPr>
      <w:rFonts w:eastAsia="Times New Roman" w:cs="Times New Roman"/>
      <w:szCs w:val="20"/>
    </w:rPr>
  </w:style>
  <w:style w:type="character" w:customStyle="1" w:styleId="NoSpacingChar">
    <w:name w:val="No Spacing Char"/>
    <w:basedOn w:val="DefaultParagraphFont"/>
    <w:link w:val="NoSpacing"/>
    <w:uiPriority w:val="1"/>
    <w:rsid w:val="00043218"/>
    <w:rPr>
      <w:rFonts w:eastAsia="Times New Roman" w:cs="Times New Roman"/>
      <w:szCs w:val="20"/>
    </w:rPr>
  </w:style>
  <w:style w:type="paragraph" w:styleId="BodyText2">
    <w:name w:val="Body Text 2"/>
    <w:basedOn w:val="Normal"/>
    <w:link w:val="BodyText2Char"/>
    <w:uiPriority w:val="99"/>
    <w:semiHidden/>
    <w:unhideWhenUsed/>
    <w:rsid w:val="00043218"/>
    <w:pPr>
      <w:spacing w:line="480" w:lineRule="auto"/>
    </w:pPr>
  </w:style>
  <w:style w:type="character" w:customStyle="1" w:styleId="BodyText2Char">
    <w:name w:val="Body Text 2 Char"/>
    <w:basedOn w:val="DefaultParagraphFont"/>
    <w:link w:val="BodyText2"/>
    <w:uiPriority w:val="99"/>
    <w:semiHidden/>
    <w:rsid w:val="00043218"/>
    <w:rPr>
      <w:sz w:val="28"/>
    </w:rPr>
  </w:style>
  <w:style w:type="character" w:styleId="Strong">
    <w:name w:val="Strong"/>
    <w:uiPriority w:val="22"/>
    <w:qFormat/>
    <w:rsid w:val="006C6B7C"/>
    <w:rPr>
      <w:b/>
      <w:bCs/>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A0ADE"/>
    <w:rPr>
      <w:sz w:val="28"/>
    </w:rPr>
  </w:style>
  <w:style w:type="character" w:customStyle="1" w:styleId="Heading3Char">
    <w:name w:val="Heading 3 Char"/>
    <w:basedOn w:val="DefaultParagraphFont"/>
    <w:link w:val="Heading3"/>
    <w:uiPriority w:val="9"/>
    <w:rsid w:val="008F6119"/>
    <w:rPr>
      <w:rFonts w:asciiTheme="majorHAnsi" w:eastAsiaTheme="majorEastAsia" w:hAnsiTheme="majorHAnsi" w:cstheme="majorBidi"/>
      <w:color w:val="1F4D78" w:themeColor="accent1" w:themeShade="7F"/>
      <w:szCs w:val="24"/>
    </w:rPr>
  </w:style>
  <w:style w:type="table" w:customStyle="1" w:styleId="GridTable6Colorful-Accent11">
    <w:name w:val="Grid Table 6 Colorful - Accent 11"/>
    <w:basedOn w:val="TableNormal"/>
    <w:uiPriority w:val="51"/>
    <w:rsid w:val="008F2113"/>
    <w:rPr>
      <w:rFonts w:asciiTheme="minorHAnsi" w:eastAsiaTheme="minorEastAsia" w:hAnsiTheme="minorHAnsi"/>
      <w:color w:val="2E74B5" w:themeColor="accent1" w:themeShade="BF"/>
      <w:sz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TableNormal"/>
    <w:next w:val="TableGrid"/>
    <w:uiPriority w:val="39"/>
    <w:rsid w:val="00FA77C4"/>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4B6B5C"/>
    <w:pPr>
      <w:spacing w:before="100" w:beforeAutospacing="1" w:after="100" w:afterAutospacing="1"/>
      <w:ind w:firstLine="0"/>
      <w:jc w:val="left"/>
    </w:pPr>
    <w:rPr>
      <w:rFonts w:eastAsia="Times New Roman" w:cs="Times New Roman"/>
      <w:szCs w:val="24"/>
      <w:lang w:eastAsia="lv-LV"/>
    </w:rPr>
  </w:style>
  <w:style w:type="table" w:customStyle="1" w:styleId="TableGrid2">
    <w:name w:val="Table Grid2"/>
    <w:basedOn w:val="TableNormal"/>
    <w:next w:val="TableGrid"/>
    <w:uiPriority w:val="39"/>
    <w:rsid w:val="008B59AC"/>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Revision">
    <w:name w:val="Revision"/>
    <w:hidden/>
    <w:uiPriority w:val="99"/>
    <w:semiHidden/>
    <w:rsid w:val="008B59AC"/>
    <w:rPr>
      <w:sz w:val="28"/>
    </w:rPr>
  </w:style>
  <w:style w:type="paragraph" w:customStyle="1" w:styleId="Char2">
    <w:name w:val="Char2"/>
    <w:aliases w:val="Char Char Char Char"/>
    <w:basedOn w:val="Normal"/>
    <w:next w:val="Normal"/>
    <w:link w:val="FootnoteReference"/>
    <w:uiPriority w:val="99"/>
    <w:rsid w:val="008B59AC"/>
    <w:pPr>
      <w:spacing w:before="0" w:after="160" w:line="240" w:lineRule="exact"/>
      <w:ind w:firstLine="0"/>
      <w:textAlignment w:val="baseline"/>
    </w:pPr>
    <w:rPr>
      <w:vertAlign w:val="superscript"/>
    </w:rPr>
  </w:style>
  <w:style w:type="table" w:styleId="ListTable2-Accent1">
    <w:name w:val="List Table 2 Accent 1"/>
    <w:basedOn w:val="TableNormal"/>
    <w:uiPriority w:val="47"/>
    <w:rsid w:val="008B59AC"/>
    <w:rPr>
      <w:rFonts w:asciiTheme="minorHAnsi" w:eastAsiaTheme="minorEastAsia" w:hAnsiTheme="minorHAnsi"/>
      <w:sz w:val="22"/>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v2131">
    <w:name w:val="tv2131"/>
    <w:basedOn w:val="Normal"/>
    <w:rsid w:val="008E7DDE"/>
    <w:pPr>
      <w:spacing w:before="0" w:after="0" w:line="360" w:lineRule="auto"/>
      <w:ind w:firstLine="300"/>
      <w:jc w:val="left"/>
    </w:pPr>
    <w:rPr>
      <w:rFonts w:eastAsia="Times New Roman" w:cs="Times New Roman"/>
      <w:color w:val="414142"/>
      <w:sz w:val="20"/>
      <w:szCs w:val="20"/>
      <w:lang w:eastAsia="lv-LV"/>
    </w:rPr>
  </w:style>
  <w:style w:type="paragraph" w:customStyle="1" w:styleId="Tabulasvirsraksts">
    <w:name w:val="Tabulas virsraksts"/>
    <w:basedOn w:val="Normal"/>
    <w:link w:val="TabulasvirsrakstsChar"/>
    <w:qFormat/>
    <w:rsid w:val="00FA2AC6"/>
    <w:pPr>
      <w:ind w:firstLine="0"/>
      <w:jc w:val="center"/>
    </w:pPr>
    <w:rPr>
      <w:rFonts w:eastAsia="Times New Roman" w:cs="Times New Roman"/>
      <w:b/>
      <w:iCs/>
      <w:szCs w:val="24"/>
    </w:rPr>
  </w:style>
  <w:style w:type="character" w:customStyle="1" w:styleId="TabulasvirsrakstsChar">
    <w:name w:val="Tabulas virsraksts Char"/>
    <w:basedOn w:val="DefaultParagraphFont"/>
    <w:link w:val="Tabulasvirsraksts"/>
    <w:rsid w:val="00FA2AC6"/>
    <w:rPr>
      <w:rFonts w:eastAsia="Times New Roman" w:cs="Times New Roman"/>
      <w:b/>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0046">
      <w:bodyDiv w:val="1"/>
      <w:marLeft w:val="0"/>
      <w:marRight w:val="0"/>
      <w:marTop w:val="0"/>
      <w:marBottom w:val="0"/>
      <w:divBdr>
        <w:top w:val="none" w:sz="0" w:space="0" w:color="auto"/>
        <w:left w:val="none" w:sz="0" w:space="0" w:color="auto"/>
        <w:bottom w:val="none" w:sz="0" w:space="0" w:color="auto"/>
        <w:right w:val="none" w:sz="0" w:space="0" w:color="auto"/>
      </w:divBdr>
      <w:divsChild>
        <w:div w:id="56322290">
          <w:marLeft w:val="547"/>
          <w:marRight w:val="0"/>
          <w:marTop w:val="0"/>
          <w:marBottom w:val="0"/>
          <w:divBdr>
            <w:top w:val="none" w:sz="0" w:space="0" w:color="auto"/>
            <w:left w:val="none" w:sz="0" w:space="0" w:color="auto"/>
            <w:bottom w:val="none" w:sz="0" w:space="0" w:color="auto"/>
            <w:right w:val="none" w:sz="0" w:space="0" w:color="auto"/>
          </w:divBdr>
        </w:div>
        <w:div w:id="729618049">
          <w:marLeft w:val="547"/>
          <w:marRight w:val="0"/>
          <w:marTop w:val="0"/>
          <w:marBottom w:val="0"/>
          <w:divBdr>
            <w:top w:val="none" w:sz="0" w:space="0" w:color="auto"/>
            <w:left w:val="none" w:sz="0" w:space="0" w:color="auto"/>
            <w:bottom w:val="none" w:sz="0" w:space="0" w:color="auto"/>
            <w:right w:val="none" w:sz="0" w:space="0" w:color="auto"/>
          </w:divBdr>
        </w:div>
        <w:div w:id="1444423293">
          <w:marLeft w:val="547"/>
          <w:marRight w:val="0"/>
          <w:marTop w:val="0"/>
          <w:marBottom w:val="0"/>
          <w:divBdr>
            <w:top w:val="none" w:sz="0" w:space="0" w:color="auto"/>
            <w:left w:val="none" w:sz="0" w:space="0" w:color="auto"/>
            <w:bottom w:val="none" w:sz="0" w:space="0" w:color="auto"/>
            <w:right w:val="none" w:sz="0" w:space="0" w:color="auto"/>
          </w:divBdr>
        </w:div>
        <w:div w:id="1444642798">
          <w:marLeft w:val="547"/>
          <w:marRight w:val="0"/>
          <w:marTop w:val="0"/>
          <w:marBottom w:val="0"/>
          <w:divBdr>
            <w:top w:val="none" w:sz="0" w:space="0" w:color="auto"/>
            <w:left w:val="none" w:sz="0" w:space="0" w:color="auto"/>
            <w:bottom w:val="none" w:sz="0" w:space="0" w:color="auto"/>
            <w:right w:val="none" w:sz="0" w:space="0" w:color="auto"/>
          </w:divBdr>
        </w:div>
        <w:div w:id="2097483203">
          <w:marLeft w:val="547"/>
          <w:marRight w:val="0"/>
          <w:marTop w:val="0"/>
          <w:marBottom w:val="0"/>
          <w:divBdr>
            <w:top w:val="none" w:sz="0" w:space="0" w:color="auto"/>
            <w:left w:val="none" w:sz="0" w:space="0" w:color="auto"/>
            <w:bottom w:val="none" w:sz="0" w:space="0" w:color="auto"/>
            <w:right w:val="none" w:sz="0" w:space="0" w:color="auto"/>
          </w:divBdr>
        </w:div>
      </w:divsChild>
    </w:div>
    <w:div w:id="104889721">
      <w:bodyDiv w:val="1"/>
      <w:marLeft w:val="0"/>
      <w:marRight w:val="0"/>
      <w:marTop w:val="0"/>
      <w:marBottom w:val="0"/>
      <w:divBdr>
        <w:top w:val="none" w:sz="0" w:space="0" w:color="auto"/>
        <w:left w:val="none" w:sz="0" w:space="0" w:color="auto"/>
        <w:bottom w:val="none" w:sz="0" w:space="0" w:color="auto"/>
        <w:right w:val="none" w:sz="0" w:space="0" w:color="auto"/>
      </w:divBdr>
    </w:div>
    <w:div w:id="450705694">
      <w:bodyDiv w:val="1"/>
      <w:marLeft w:val="0"/>
      <w:marRight w:val="0"/>
      <w:marTop w:val="0"/>
      <w:marBottom w:val="0"/>
      <w:divBdr>
        <w:top w:val="none" w:sz="0" w:space="0" w:color="auto"/>
        <w:left w:val="none" w:sz="0" w:space="0" w:color="auto"/>
        <w:bottom w:val="none" w:sz="0" w:space="0" w:color="auto"/>
        <w:right w:val="none" w:sz="0" w:space="0" w:color="auto"/>
      </w:divBdr>
    </w:div>
    <w:div w:id="714161117">
      <w:bodyDiv w:val="1"/>
      <w:marLeft w:val="0"/>
      <w:marRight w:val="0"/>
      <w:marTop w:val="0"/>
      <w:marBottom w:val="0"/>
      <w:divBdr>
        <w:top w:val="none" w:sz="0" w:space="0" w:color="auto"/>
        <w:left w:val="none" w:sz="0" w:space="0" w:color="auto"/>
        <w:bottom w:val="none" w:sz="0" w:space="0" w:color="auto"/>
        <w:right w:val="none" w:sz="0" w:space="0" w:color="auto"/>
      </w:divBdr>
    </w:div>
    <w:div w:id="940918600">
      <w:bodyDiv w:val="1"/>
      <w:marLeft w:val="0"/>
      <w:marRight w:val="0"/>
      <w:marTop w:val="0"/>
      <w:marBottom w:val="0"/>
      <w:divBdr>
        <w:top w:val="none" w:sz="0" w:space="0" w:color="auto"/>
        <w:left w:val="none" w:sz="0" w:space="0" w:color="auto"/>
        <w:bottom w:val="none" w:sz="0" w:space="0" w:color="auto"/>
        <w:right w:val="none" w:sz="0" w:space="0" w:color="auto"/>
      </w:divBdr>
    </w:div>
    <w:div w:id="1120608448">
      <w:bodyDiv w:val="1"/>
      <w:marLeft w:val="0"/>
      <w:marRight w:val="0"/>
      <w:marTop w:val="0"/>
      <w:marBottom w:val="0"/>
      <w:divBdr>
        <w:top w:val="none" w:sz="0" w:space="0" w:color="auto"/>
        <w:left w:val="none" w:sz="0" w:space="0" w:color="auto"/>
        <w:bottom w:val="none" w:sz="0" w:space="0" w:color="auto"/>
        <w:right w:val="none" w:sz="0" w:space="0" w:color="auto"/>
      </w:divBdr>
    </w:div>
    <w:div w:id="1176923717">
      <w:bodyDiv w:val="1"/>
      <w:marLeft w:val="0"/>
      <w:marRight w:val="0"/>
      <w:marTop w:val="0"/>
      <w:marBottom w:val="0"/>
      <w:divBdr>
        <w:top w:val="none" w:sz="0" w:space="0" w:color="auto"/>
        <w:left w:val="none" w:sz="0" w:space="0" w:color="auto"/>
        <w:bottom w:val="none" w:sz="0" w:space="0" w:color="auto"/>
        <w:right w:val="none" w:sz="0" w:space="0" w:color="auto"/>
      </w:divBdr>
      <w:divsChild>
        <w:div w:id="786043279">
          <w:marLeft w:val="547"/>
          <w:marRight w:val="0"/>
          <w:marTop w:val="0"/>
          <w:marBottom w:val="0"/>
          <w:divBdr>
            <w:top w:val="none" w:sz="0" w:space="0" w:color="auto"/>
            <w:left w:val="none" w:sz="0" w:space="0" w:color="auto"/>
            <w:bottom w:val="none" w:sz="0" w:space="0" w:color="auto"/>
            <w:right w:val="none" w:sz="0" w:space="0" w:color="auto"/>
          </w:divBdr>
        </w:div>
        <w:div w:id="1671986151">
          <w:marLeft w:val="547"/>
          <w:marRight w:val="0"/>
          <w:marTop w:val="0"/>
          <w:marBottom w:val="0"/>
          <w:divBdr>
            <w:top w:val="none" w:sz="0" w:space="0" w:color="auto"/>
            <w:left w:val="none" w:sz="0" w:space="0" w:color="auto"/>
            <w:bottom w:val="none" w:sz="0" w:space="0" w:color="auto"/>
            <w:right w:val="none" w:sz="0" w:space="0" w:color="auto"/>
          </w:divBdr>
        </w:div>
        <w:div w:id="1878930635">
          <w:marLeft w:val="547"/>
          <w:marRight w:val="0"/>
          <w:marTop w:val="0"/>
          <w:marBottom w:val="0"/>
          <w:divBdr>
            <w:top w:val="none" w:sz="0" w:space="0" w:color="auto"/>
            <w:left w:val="none" w:sz="0" w:space="0" w:color="auto"/>
            <w:bottom w:val="none" w:sz="0" w:space="0" w:color="auto"/>
            <w:right w:val="none" w:sz="0" w:space="0" w:color="auto"/>
          </w:divBdr>
        </w:div>
        <w:div w:id="1174105188">
          <w:marLeft w:val="547"/>
          <w:marRight w:val="0"/>
          <w:marTop w:val="0"/>
          <w:marBottom w:val="0"/>
          <w:divBdr>
            <w:top w:val="none" w:sz="0" w:space="0" w:color="auto"/>
            <w:left w:val="none" w:sz="0" w:space="0" w:color="auto"/>
            <w:bottom w:val="none" w:sz="0" w:space="0" w:color="auto"/>
            <w:right w:val="none" w:sz="0" w:space="0" w:color="auto"/>
          </w:divBdr>
        </w:div>
        <w:div w:id="1506481869">
          <w:marLeft w:val="547"/>
          <w:marRight w:val="0"/>
          <w:marTop w:val="0"/>
          <w:marBottom w:val="0"/>
          <w:divBdr>
            <w:top w:val="none" w:sz="0" w:space="0" w:color="auto"/>
            <w:left w:val="none" w:sz="0" w:space="0" w:color="auto"/>
            <w:bottom w:val="none" w:sz="0" w:space="0" w:color="auto"/>
            <w:right w:val="none" w:sz="0" w:space="0" w:color="auto"/>
          </w:divBdr>
        </w:div>
      </w:divsChild>
    </w:div>
    <w:div w:id="1249849514">
      <w:bodyDiv w:val="1"/>
      <w:marLeft w:val="0"/>
      <w:marRight w:val="0"/>
      <w:marTop w:val="0"/>
      <w:marBottom w:val="0"/>
      <w:divBdr>
        <w:top w:val="none" w:sz="0" w:space="0" w:color="auto"/>
        <w:left w:val="none" w:sz="0" w:space="0" w:color="auto"/>
        <w:bottom w:val="none" w:sz="0" w:space="0" w:color="auto"/>
        <w:right w:val="none" w:sz="0" w:space="0" w:color="auto"/>
      </w:divBdr>
    </w:div>
    <w:div w:id="1375305263">
      <w:bodyDiv w:val="1"/>
      <w:marLeft w:val="0"/>
      <w:marRight w:val="0"/>
      <w:marTop w:val="0"/>
      <w:marBottom w:val="0"/>
      <w:divBdr>
        <w:top w:val="none" w:sz="0" w:space="0" w:color="auto"/>
        <w:left w:val="none" w:sz="0" w:space="0" w:color="auto"/>
        <w:bottom w:val="none" w:sz="0" w:space="0" w:color="auto"/>
        <w:right w:val="none" w:sz="0" w:space="0" w:color="auto"/>
      </w:divBdr>
    </w:div>
    <w:div w:id="1553039012">
      <w:bodyDiv w:val="1"/>
      <w:marLeft w:val="0"/>
      <w:marRight w:val="0"/>
      <w:marTop w:val="0"/>
      <w:marBottom w:val="0"/>
      <w:divBdr>
        <w:top w:val="none" w:sz="0" w:space="0" w:color="auto"/>
        <w:left w:val="none" w:sz="0" w:space="0" w:color="auto"/>
        <w:bottom w:val="none" w:sz="0" w:space="0" w:color="auto"/>
        <w:right w:val="none" w:sz="0" w:space="0" w:color="auto"/>
      </w:divBdr>
    </w:div>
    <w:div w:id="1608191670">
      <w:bodyDiv w:val="1"/>
      <w:marLeft w:val="0"/>
      <w:marRight w:val="0"/>
      <w:marTop w:val="0"/>
      <w:marBottom w:val="0"/>
      <w:divBdr>
        <w:top w:val="none" w:sz="0" w:space="0" w:color="auto"/>
        <w:left w:val="none" w:sz="0" w:space="0" w:color="auto"/>
        <w:bottom w:val="none" w:sz="0" w:space="0" w:color="auto"/>
        <w:right w:val="none" w:sz="0" w:space="0" w:color="auto"/>
      </w:divBdr>
    </w:div>
    <w:div w:id="1837649734">
      <w:bodyDiv w:val="1"/>
      <w:marLeft w:val="0"/>
      <w:marRight w:val="0"/>
      <w:marTop w:val="0"/>
      <w:marBottom w:val="0"/>
      <w:divBdr>
        <w:top w:val="none" w:sz="0" w:space="0" w:color="auto"/>
        <w:left w:val="none" w:sz="0" w:space="0" w:color="auto"/>
        <w:bottom w:val="none" w:sz="0" w:space="0" w:color="auto"/>
        <w:right w:val="none" w:sz="0" w:space="0" w:color="auto"/>
      </w:divBdr>
    </w:div>
    <w:div w:id="1873104415">
      <w:bodyDiv w:val="1"/>
      <w:marLeft w:val="0"/>
      <w:marRight w:val="0"/>
      <w:marTop w:val="0"/>
      <w:marBottom w:val="0"/>
      <w:divBdr>
        <w:top w:val="none" w:sz="0" w:space="0" w:color="auto"/>
        <w:left w:val="none" w:sz="0" w:space="0" w:color="auto"/>
        <w:bottom w:val="none" w:sz="0" w:space="0" w:color="auto"/>
        <w:right w:val="none" w:sz="0" w:space="0" w:color="auto"/>
      </w:divBdr>
    </w:div>
    <w:div w:id="1891457403">
      <w:bodyDiv w:val="1"/>
      <w:marLeft w:val="0"/>
      <w:marRight w:val="0"/>
      <w:marTop w:val="0"/>
      <w:marBottom w:val="0"/>
      <w:divBdr>
        <w:top w:val="none" w:sz="0" w:space="0" w:color="auto"/>
        <w:left w:val="none" w:sz="0" w:space="0" w:color="auto"/>
        <w:bottom w:val="none" w:sz="0" w:space="0" w:color="auto"/>
        <w:right w:val="none" w:sz="0" w:space="0" w:color="auto"/>
      </w:divBdr>
    </w:div>
    <w:div w:id="204940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footer" Target="footer2.xml"/><Relationship Id="rId21" Type="http://schemas.openxmlformats.org/officeDocument/2006/relationships/chart" Target="charts/chart14.xml"/><Relationship Id="rId34" Type="http://schemas.openxmlformats.org/officeDocument/2006/relationships/image" Target="media/image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image" Target="media/image1.emf"/><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image" Target="media/image5.emf"/><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image" Target="media/image4.emf"/><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image" Target="media/image2.png"/><Relationship Id="rId3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d-jursa\Desktop\Eksports_grafik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k\tand\TAND\Aleksejs%20Jur&#353;a\MAKRO\AT\WTO\Eksporta%20tirgus%20da&#316;a.xls"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fk\tand\TAND\_Prezentacija\Prezentacijas-DAT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1" Type="http://schemas.openxmlformats.org/officeDocument/2006/relationships/oleObject" Target="file:///\\fk\tand\TAND\_Prezentacija\Prezentacijas-DATA.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fk\tand\TAND\_Prezentacija\Prezentacijas-DATA.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fk\tand\TAND\_Prezentacija\Prezentacijas-DATA.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1" Type="http://schemas.openxmlformats.org/officeDocument/2006/relationships/oleObject" Target="file:///\\fk\tand\TAND\_Prezentacija\Prezentacijas-DATA.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k\tand\TAND\_Prezentacija\Prezentacijas-DATA.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file:///\\fk\tand\TAND\_Makro_modeli\Infl&#257;cija\Inflation_main.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1.xml"/><Relationship Id="rId4" Type="http://schemas.openxmlformats.org/officeDocument/2006/relationships/oleObject" Target="file:///\\fk\bd\Kopsavilkuma_nod\BUDZETS_2023\Bazes_2023_2025_aktualizetas_uz151222\Makro_info_zinojumam\info_zinojumam_grafiki.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2.xml"/><Relationship Id="rId4" Type="http://schemas.openxmlformats.org/officeDocument/2006/relationships/oleObject" Target="file:///\\fk\bd\Kopsavilkuma_nod\BUDZETS_2023\Bazes_2023_2025_aktualizetas_uz151222\Makro_info_zinojumam\info_zinojumam_grafiki.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3.xml"/><Relationship Id="rId4" Type="http://schemas.openxmlformats.org/officeDocument/2006/relationships/package" Target="../embeddings/Microsoft_Excel_Worksheet11.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4.xml"/><Relationship Id="rId4" Type="http://schemas.openxmlformats.org/officeDocument/2006/relationships/oleObject" Target="file:///\\fk\bd\Kopsavilkuma_nod\BUDZETS_2023\Bazes_2023_2025_aktualizetas_uz151222\Makro_info_zinojumam\info_zinojumam_grafiki.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641934954684342E-2"/>
          <c:y val="4.3450150235190714E-2"/>
          <c:w val="0.88152115819150556"/>
          <c:h val="0.69857969175653989"/>
        </c:manualLayout>
      </c:layout>
      <c:barChart>
        <c:barDir val="col"/>
        <c:grouping val="clustered"/>
        <c:varyColors val="0"/>
        <c:ser>
          <c:idx val="0"/>
          <c:order val="0"/>
          <c:tx>
            <c:strRef>
              <c:f>Rūpniecība!$J$1</c:f>
              <c:strCache>
                <c:ptCount val="1"/>
                <c:pt idx="0">
                  <c:v>Rūpniecības produkcijas apjoma indekss, sez. izl. (2015=100)</c:v>
                </c:pt>
              </c:strCache>
            </c:strRef>
          </c:tx>
          <c:spPr>
            <a:pattFill prst="dkUpDiag">
              <a:fgClr>
                <a:srgbClr val="00B050"/>
              </a:fgClr>
              <a:bgClr>
                <a:sysClr val="window" lastClr="FFFFFF"/>
              </a:bgClr>
            </a:pattFill>
            <a:ln>
              <a:solidFill>
                <a:srgbClr val="00B050"/>
              </a:solidFill>
            </a:ln>
            <a:effectLst/>
          </c:spPr>
          <c:invertIfNegative val="0"/>
          <c:cat>
            <c:multiLvlStrRef>
              <c:f>Rūpniecība!$A$158:$B$191</c:f>
              <c:multiLvlStrCache>
                <c:ptCount val="3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lvl>
                <c:lvl>
                  <c:pt idx="0">
                    <c:v>2020</c:v>
                  </c:pt>
                  <c:pt idx="12">
                    <c:v>2021</c:v>
                  </c:pt>
                  <c:pt idx="24">
                    <c:v>2022</c:v>
                  </c:pt>
                </c:lvl>
              </c:multiLvlStrCache>
              <c:extLst/>
            </c:multiLvlStrRef>
          </c:cat>
          <c:val>
            <c:numRef>
              <c:f>Rūpniecība!$J$158:$J$191</c:f>
              <c:numCache>
                <c:formatCode>General</c:formatCode>
                <c:ptCount val="34"/>
                <c:pt idx="0">
                  <c:v>114.4</c:v>
                </c:pt>
                <c:pt idx="1">
                  <c:v>117.33</c:v>
                </c:pt>
                <c:pt idx="2">
                  <c:v>114.79</c:v>
                </c:pt>
                <c:pt idx="3">
                  <c:v>103.08</c:v>
                </c:pt>
                <c:pt idx="4">
                  <c:v>109.01</c:v>
                </c:pt>
                <c:pt idx="5">
                  <c:v>114.41</c:v>
                </c:pt>
                <c:pt idx="6">
                  <c:v>114.75</c:v>
                </c:pt>
                <c:pt idx="7">
                  <c:v>116.28</c:v>
                </c:pt>
                <c:pt idx="8">
                  <c:v>116.9</c:v>
                </c:pt>
                <c:pt idx="9">
                  <c:v>118.47</c:v>
                </c:pt>
                <c:pt idx="10">
                  <c:v>120.57</c:v>
                </c:pt>
                <c:pt idx="11">
                  <c:v>119.27</c:v>
                </c:pt>
                <c:pt idx="12">
                  <c:v>118.75</c:v>
                </c:pt>
                <c:pt idx="13">
                  <c:v>121.68</c:v>
                </c:pt>
                <c:pt idx="14">
                  <c:v>119.86</c:v>
                </c:pt>
                <c:pt idx="15">
                  <c:v>122.62</c:v>
                </c:pt>
                <c:pt idx="16">
                  <c:v>119.86</c:v>
                </c:pt>
                <c:pt idx="17">
                  <c:v>122.59</c:v>
                </c:pt>
                <c:pt idx="18">
                  <c:v>124.98</c:v>
                </c:pt>
                <c:pt idx="19">
                  <c:v>122.32</c:v>
                </c:pt>
                <c:pt idx="20">
                  <c:v>124.52</c:v>
                </c:pt>
                <c:pt idx="21">
                  <c:v>123.04</c:v>
                </c:pt>
                <c:pt idx="22">
                  <c:v>122.74</c:v>
                </c:pt>
                <c:pt idx="23">
                  <c:v>126.58</c:v>
                </c:pt>
                <c:pt idx="24">
                  <c:v>125.44</c:v>
                </c:pt>
                <c:pt idx="25">
                  <c:v>122.21</c:v>
                </c:pt>
                <c:pt idx="26">
                  <c:v>126.16</c:v>
                </c:pt>
                <c:pt idx="27">
                  <c:v>125.82</c:v>
                </c:pt>
                <c:pt idx="28">
                  <c:v>126.06</c:v>
                </c:pt>
                <c:pt idx="29">
                  <c:v>123.2</c:v>
                </c:pt>
                <c:pt idx="30">
                  <c:v>121.4</c:v>
                </c:pt>
                <c:pt idx="31">
                  <c:v>121.75</c:v>
                </c:pt>
                <c:pt idx="32">
                  <c:v>120.61</c:v>
                </c:pt>
                <c:pt idx="33">
                  <c:v>120.61</c:v>
                </c:pt>
              </c:numCache>
              <c:extLst/>
            </c:numRef>
          </c:val>
          <c:extLst>
            <c:ext xmlns:c16="http://schemas.microsoft.com/office/drawing/2014/chart" uri="{C3380CC4-5D6E-409C-BE32-E72D297353CC}">
              <c16:uniqueId val="{00000000-8D64-4B00-A86B-9939D4016ED4}"/>
            </c:ext>
          </c:extLst>
        </c:ser>
        <c:dLbls>
          <c:showLegendKey val="0"/>
          <c:showVal val="0"/>
          <c:showCatName val="0"/>
          <c:showSerName val="0"/>
          <c:showPercent val="0"/>
          <c:showBubbleSize val="0"/>
        </c:dLbls>
        <c:gapWidth val="50"/>
        <c:axId val="343594496"/>
        <c:axId val="343594888"/>
      </c:barChart>
      <c:catAx>
        <c:axId val="343594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43594888"/>
        <c:crosses val="autoZero"/>
        <c:auto val="1"/>
        <c:lblAlgn val="ctr"/>
        <c:lblOffset val="100"/>
        <c:tickLblSkip val="1"/>
        <c:tickMarkSkip val="1"/>
        <c:noMultiLvlLbl val="0"/>
      </c:catAx>
      <c:valAx>
        <c:axId val="343594888"/>
        <c:scaling>
          <c:orientation val="minMax"/>
          <c:max val="130"/>
          <c:min val="9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43594496"/>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0"/>
          <c:order val="0"/>
          <c:tx>
            <c:strRef>
              <c:f>Kopā!$B$3</c:f>
              <c:strCache>
                <c:ptCount val="1"/>
                <c:pt idx="0">
                  <c:v>Lauksaimniecības produkcija kopā</c:v>
                </c:pt>
              </c:strCache>
            </c:strRef>
          </c:tx>
          <c:spPr>
            <a:solidFill>
              <a:sysClr val="window" lastClr="FFFFFF">
                <a:lumMod val="75000"/>
              </a:sysClr>
            </a:solidFill>
            <a:ln>
              <a:noFill/>
            </a:ln>
            <a:effectLst/>
          </c:spPr>
          <c:cat>
            <c:strRef>
              <c:f>Kopā!$A$10:$A$16</c:f>
              <c:strCache>
                <c:ptCount val="7"/>
                <c:pt idx="0">
                  <c:v>2015</c:v>
                </c:pt>
                <c:pt idx="1">
                  <c:v>2016</c:v>
                </c:pt>
                <c:pt idx="2">
                  <c:v>2017</c:v>
                </c:pt>
                <c:pt idx="3">
                  <c:v>2018</c:v>
                </c:pt>
                <c:pt idx="4">
                  <c:v>2019</c:v>
                </c:pt>
                <c:pt idx="5">
                  <c:v>2020</c:v>
                </c:pt>
                <c:pt idx="6">
                  <c:v>2021</c:v>
                </c:pt>
              </c:strCache>
            </c:strRef>
          </c:cat>
          <c:val>
            <c:numRef>
              <c:f>Kopā!$B$10:$B$16</c:f>
              <c:numCache>
                <c:formatCode>0.0</c:formatCode>
                <c:ptCount val="7"/>
                <c:pt idx="0">
                  <c:v>100</c:v>
                </c:pt>
                <c:pt idx="1">
                  <c:v>94.2</c:v>
                </c:pt>
                <c:pt idx="2">
                  <c:v>95.4</c:v>
                </c:pt>
                <c:pt idx="3">
                  <c:v>85</c:v>
                </c:pt>
                <c:pt idx="4" formatCode="General">
                  <c:v>103.7</c:v>
                </c:pt>
                <c:pt idx="5" formatCode="General">
                  <c:v>107.2</c:v>
                </c:pt>
                <c:pt idx="6" formatCode="General">
                  <c:v>98.6</c:v>
                </c:pt>
              </c:numCache>
            </c:numRef>
          </c:val>
          <c:extLst>
            <c:ext xmlns:c16="http://schemas.microsoft.com/office/drawing/2014/chart" uri="{C3380CC4-5D6E-409C-BE32-E72D297353CC}">
              <c16:uniqueId val="{00000000-2ADB-4F3F-AC69-439F13996C36}"/>
            </c:ext>
          </c:extLst>
        </c:ser>
        <c:dLbls>
          <c:showLegendKey val="0"/>
          <c:showVal val="0"/>
          <c:showCatName val="0"/>
          <c:showSerName val="0"/>
          <c:showPercent val="0"/>
          <c:showBubbleSize val="0"/>
        </c:dLbls>
        <c:axId val="962158304"/>
        <c:axId val="962144160"/>
      </c:areaChart>
      <c:lineChart>
        <c:grouping val="standard"/>
        <c:varyColors val="0"/>
        <c:ser>
          <c:idx val="1"/>
          <c:order val="1"/>
          <c:tx>
            <c:strRef>
              <c:f>Kopā!$C$3</c:f>
              <c:strCache>
                <c:ptCount val="1"/>
                <c:pt idx="0">
                  <c:v>Augkopība</c:v>
                </c:pt>
              </c:strCache>
            </c:strRef>
          </c:tx>
          <c:spPr>
            <a:ln w="28575" cap="rnd">
              <a:solidFill>
                <a:srgbClr val="0070C0"/>
              </a:solidFill>
              <a:round/>
            </a:ln>
            <a:effectLst/>
          </c:spPr>
          <c:marker>
            <c:symbol val="diamond"/>
            <c:size val="8"/>
            <c:spPr>
              <a:solidFill>
                <a:srgbClr val="0070C0"/>
              </a:solidFill>
              <a:ln w="9525">
                <a:solidFill>
                  <a:srgbClr val="0070C0"/>
                </a:solidFill>
              </a:ln>
              <a:effectLst/>
            </c:spPr>
          </c:marker>
          <c:cat>
            <c:strRef>
              <c:f>Kopā!$A$10:$A$16</c:f>
              <c:strCache>
                <c:ptCount val="7"/>
                <c:pt idx="0">
                  <c:v>2015</c:v>
                </c:pt>
                <c:pt idx="1">
                  <c:v>2016</c:v>
                </c:pt>
                <c:pt idx="2">
                  <c:v>2017</c:v>
                </c:pt>
                <c:pt idx="3">
                  <c:v>2018</c:v>
                </c:pt>
                <c:pt idx="4">
                  <c:v>2019</c:v>
                </c:pt>
                <c:pt idx="5">
                  <c:v>2020</c:v>
                </c:pt>
                <c:pt idx="6">
                  <c:v>2021</c:v>
                </c:pt>
              </c:strCache>
            </c:strRef>
          </c:cat>
          <c:val>
            <c:numRef>
              <c:f>Kopā!$C$10:$C$16</c:f>
              <c:numCache>
                <c:formatCode>0.0</c:formatCode>
                <c:ptCount val="7"/>
                <c:pt idx="0">
                  <c:v>100</c:v>
                </c:pt>
                <c:pt idx="1">
                  <c:v>90.1</c:v>
                </c:pt>
                <c:pt idx="2">
                  <c:v>90.9</c:v>
                </c:pt>
                <c:pt idx="3">
                  <c:v>74</c:v>
                </c:pt>
                <c:pt idx="4" formatCode="General">
                  <c:v>103.5</c:v>
                </c:pt>
                <c:pt idx="5" formatCode="General">
                  <c:v>108.4</c:v>
                </c:pt>
                <c:pt idx="6" formatCode="General">
                  <c:v>93.9</c:v>
                </c:pt>
              </c:numCache>
            </c:numRef>
          </c:val>
          <c:smooth val="1"/>
          <c:extLst>
            <c:ext xmlns:c16="http://schemas.microsoft.com/office/drawing/2014/chart" uri="{C3380CC4-5D6E-409C-BE32-E72D297353CC}">
              <c16:uniqueId val="{00000001-2ADB-4F3F-AC69-439F13996C36}"/>
            </c:ext>
          </c:extLst>
        </c:ser>
        <c:ser>
          <c:idx val="2"/>
          <c:order val="2"/>
          <c:tx>
            <c:strRef>
              <c:f>Kopā!$D$3</c:f>
              <c:strCache>
                <c:ptCount val="1"/>
                <c:pt idx="0">
                  <c:v>Lopkopība</c:v>
                </c:pt>
              </c:strCache>
            </c:strRef>
          </c:tx>
          <c:spPr>
            <a:ln w="28575" cap="rnd">
              <a:solidFill>
                <a:srgbClr val="00B050"/>
              </a:solidFill>
              <a:round/>
            </a:ln>
            <a:effectLst/>
          </c:spPr>
          <c:marker>
            <c:symbol val="diamond"/>
            <c:size val="9"/>
            <c:spPr>
              <a:solidFill>
                <a:srgbClr val="00B050"/>
              </a:solidFill>
              <a:ln w="9525">
                <a:noFill/>
              </a:ln>
              <a:effectLst/>
            </c:spPr>
          </c:marker>
          <c:cat>
            <c:strRef>
              <c:f>Kopā!$A$10:$A$16</c:f>
              <c:strCache>
                <c:ptCount val="7"/>
                <c:pt idx="0">
                  <c:v>2015</c:v>
                </c:pt>
                <c:pt idx="1">
                  <c:v>2016</c:v>
                </c:pt>
                <c:pt idx="2">
                  <c:v>2017</c:v>
                </c:pt>
                <c:pt idx="3">
                  <c:v>2018</c:v>
                </c:pt>
                <c:pt idx="4">
                  <c:v>2019</c:v>
                </c:pt>
                <c:pt idx="5">
                  <c:v>2020</c:v>
                </c:pt>
                <c:pt idx="6">
                  <c:v>2021</c:v>
                </c:pt>
              </c:strCache>
            </c:strRef>
          </c:cat>
          <c:val>
            <c:numRef>
              <c:f>Kopā!$D$10:$D$16</c:f>
              <c:numCache>
                <c:formatCode>0.0</c:formatCode>
                <c:ptCount val="7"/>
                <c:pt idx="0">
                  <c:v>100</c:v>
                </c:pt>
                <c:pt idx="1">
                  <c:v>98.5</c:v>
                </c:pt>
                <c:pt idx="2">
                  <c:v>103.4</c:v>
                </c:pt>
                <c:pt idx="3">
                  <c:v>102.7</c:v>
                </c:pt>
                <c:pt idx="4" formatCode="General">
                  <c:v>103.2</c:v>
                </c:pt>
                <c:pt idx="5" formatCode="General">
                  <c:v>104.1</c:v>
                </c:pt>
                <c:pt idx="6" formatCode="General">
                  <c:v>105.1</c:v>
                </c:pt>
              </c:numCache>
            </c:numRef>
          </c:val>
          <c:smooth val="1"/>
          <c:extLst>
            <c:ext xmlns:c16="http://schemas.microsoft.com/office/drawing/2014/chart" uri="{C3380CC4-5D6E-409C-BE32-E72D297353CC}">
              <c16:uniqueId val="{00000002-2ADB-4F3F-AC69-439F13996C36}"/>
            </c:ext>
          </c:extLst>
        </c:ser>
        <c:dLbls>
          <c:showLegendKey val="0"/>
          <c:showVal val="0"/>
          <c:showCatName val="0"/>
          <c:showSerName val="0"/>
          <c:showPercent val="0"/>
          <c:showBubbleSize val="0"/>
        </c:dLbls>
        <c:marker val="1"/>
        <c:smooth val="0"/>
        <c:axId val="962158304"/>
        <c:axId val="962144160"/>
      </c:lineChart>
      <c:catAx>
        <c:axId val="96215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62144160"/>
        <c:crosses val="autoZero"/>
        <c:auto val="1"/>
        <c:lblAlgn val="ctr"/>
        <c:lblOffset val="100"/>
        <c:noMultiLvlLbl val="0"/>
      </c:catAx>
      <c:valAx>
        <c:axId val="962144160"/>
        <c:scaling>
          <c:orientation val="minMax"/>
          <c:max val="110"/>
          <c:min val="7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62158304"/>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b="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Cenas!$A$7</c:f>
              <c:strCache>
                <c:ptCount val="1"/>
                <c:pt idx="0">
                  <c:v>Graudi</c:v>
                </c:pt>
              </c:strCache>
            </c:strRef>
          </c:tx>
          <c:spPr>
            <a:ln w="28575" cap="rnd">
              <a:solidFill>
                <a:srgbClr val="C00000"/>
              </a:solidFill>
              <a:round/>
            </a:ln>
            <a:effectLst/>
          </c:spPr>
          <c:marker>
            <c:symbol val="none"/>
          </c:marker>
          <c:cat>
            <c:multiLvlStrRef>
              <c:f>Cenas!$V$3:$AF$4</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Cenas!$V$7:$AF$7</c:f>
              <c:numCache>
                <c:formatCode>0.0</c:formatCode>
                <c:ptCount val="11"/>
                <c:pt idx="0">
                  <c:v>123</c:v>
                </c:pt>
                <c:pt idx="1">
                  <c:v>126.5</c:v>
                </c:pt>
                <c:pt idx="2">
                  <c:v>107.8</c:v>
                </c:pt>
                <c:pt idx="3">
                  <c:v>122</c:v>
                </c:pt>
                <c:pt idx="4">
                  <c:v>135.30000000000001</c:v>
                </c:pt>
                <c:pt idx="5">
                  <c:v>137</c:v>
                </c:pt>
                <c:pt idx="6">
                  <c:v>127.4</c:v>
                </c:pt>
                <c:pt idx="7">
                  <c:v>161.80000000000001</c:v>
                </c:pt>
                <c:pt idx="8">
                  <c:v>203.9</c:v>
                </c:pt>
                <c:pt idx="9">
                  <c:v>244.3</c:v>
                </c:pt>
                <c:pt idx="10" formatCode="General">
                  <c:v>186.8</c:v>
                </c:pt>
              </c:numCache>
            </c:numRef>
          </c:val>
          <c:smooth val="1"/>
          <c:extLst>
            <c:ext xmlns:c16="http://schemas.microsoft.com/office/drawing/2014/chart" uri="{C3380CC4-5D6E-409C-BE32-E72D297353CC}">
              <c16:uniqueId val="{00000000-0DBE-414E-9282-6660372ADEE9}"/>
            </c:ext>
          </c:extLst>
        </c:ser>
        <c:ser>
          <c:idx val="2"/>
          <c:order val="2"/>
          <c:tx>
            <c:strRef>
              <c:f>Cenas!$A$27</c:f>
              <c:strCache>
                <c:ptCount val="1"/>
                <c:pt idx="0">
                  <c:v>Piens</c:v>
                </c:pt>
              </c:strCache>
            </c:strRef>
          </c:tx>
          <c:spPr>
            <a:ln w="28575" cap="rnd">
              <a:solidFill>
                <a:schemeClr val="bg1">
                  <a:lumMod val="50000"/>
                </a:schemeClr>
              </a:solidFill>
              <a:round/>
            </a:ln>
            <a:effectLst/>
          </c:spPr>
          <c:marker>
            <c:symbol val="none"/>
          </c:marker>
          <c:cat>
            <c:multiLvlStrRef>
              <c:f>Cenas!$V$3:$AF$4</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Cenas!$V$27:$AF$27</c:f>
              <c:numCache>
                <c:formatCode>0.0</c:formatCode>
                <c:ptCount val="11"/>
                <c:pt idx="0">
                  <c:v>141.30000000000001</c:v>
                </c:pt>
                <c:pt idx="1">
                  <c:v>122.3</c:v>
                </c:pt>
                <c:pt idx="2">
                  <c:v>124.8</c:v>
                </c:pt>
                <c:pt idx="3">
                  <c:v>133.69999999999999</c:v>
                </c:pt>
                <c:pt idx="4">
                  <c:v>137</c:v>
                </c:pt>
                <c:pt idx="5">
                  <c:v>140.9</c:v>
                </c:pt>
                <c:pt idx="6">
                  <c:v>143.80000000000001</c:v>
                </c:pt>
                <c:pt idx="7">
                  <c:v>167.4</c:v>
                </c:pt>
                <c:pt idx="8">
                  <c:v>197.2</c:v>
                </c:pt>
                <c:pt idx="9">
                  <c:v>218</c:v>
                </c:pt>
                <c:pt idx="10" formatCode="General">
                  <c:v>229.3</c:v>
                </c:pt>
              </c:numCache>
            </c:numRef>
          </c:val>
          <c:smooth val="1"/>
          <c:extLst>
            <c:ext xmlns:c16="http://schemas.microsoft.com/office/drawing/2014/chart" uri="{C3380CC4-5D6E-409C-BE32-E72D297353CC}">
              <c16:uniqueId val="{00000001-0DBE-414E-9282-6660372ADEE9}"/>
            </c:ext>
          </c:extLst>
        </c:ser>
        <c:ser>
          <c:idx val="1"/>
          <c:order val="1"/>
          <c:tx>
            <c:strRef>
              <c:f>Cenas!$A$20</c:f>
              <c:strCache>
                <c:ptCount val="1"/>
                <c:pt idx="0">
                  <c:v>Lauksaimniecības dzīvnieki</c:v>
                </c:pt>
              </c:strCache>
            </c:strRef>
          </c:tx>
          <c:spPr>
            <a:ln w="28575" cap="rnd">
              <a:solidFill>
                <a:srgbClr val="0070C0"/>
              </a:solidFill>
              <a:round/>
            </a:ln>
            <a:effectLst/>
          </c:spPr>
          <c:marker>
            <c:symbol val="none"/>
          </c:marker>
          <c:cat>
            <c:multiLvlStrRef>
              <c:f>Cenas!$V$3:$AF$4</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Cenas!$V$20:$AF$20</c:f>
              <c:numCache>
                <c:formatCode>0.0</c:formatCode>
                <c:ptCount val="11"/>
                <c:pt idx="0">
                  <c:v>124.4</c:v>
                </c:pt>
                <c:pt idx="1">
                  <c:v>116.6</c:v>
                </c:pt>
                <c:pt idx="2">
                  <c:v>110.2</c:v>
                </c:pt>
                <c:pt idx="3">
                  <c:v>102.7</c:v>
                </c:pt>
                <c:pt idx="4">
                  <c:v>108.4</c:v>
                </c:pt>
                <c:pt idx="5">
                  <c:v>120.9</c:v>
                </c:pt>
                <c:pt idx="6">
                  <c:v>119.4</c:v>
                </c:pt>
                <c:pt idx="7">
                  <c:v>114.2</c:v>
                </c:pt>
                <c:pt idx="8">
                  <c:v>129.69999999999999</c:v>
                </c:pt>
                <c:pt idx="9">
                  <c:v>154</c:v>
                </c:pt>
                <c:pt idx="10" formatCode="General">
                  <c:v>160.69999999999999</c:v>
                </c:pt>
              </c:numCache>
            </c:numRef>
          </c:val>
          <c:smooth val="1"/>
          <c:extLst>
            <c:ext xmlns:c16="http://schemas.microsoft.com/office/drawing/2014/chart" uri="{C3380CC4-5D6E-409C-BE32-E72D297353CC}">
              <c16:uniqueId val="{00000002-0DBE-414E-9282-6660372ADEE9}"/>
            </c:ext>
          </c:extLst>
        </c:ser>
        <c:ser>
          <c:idx val="3"/>
          <c:order val="3"/>
          <c:tx>
            <c:strRef>
              <c:f>Cenas!$A$16</c:f>
              <c:strCache>
                <c:ptCount val="1"/>
                <c:pt idx="0">
                  <c:v>Kartupeļi</c:v>
                </c:pt>
              </c:strCache>
            </c:strRef>
          </c:tx>
          <c:spPr>
            <a:ln w="28575" cap="rnd">
              <a:solidFill>
                <a:srgbClr val="00B050"/>
              </a:solidFill>
              <a:round/>
            </a:ln>
            <a:effectLst/>
          </c:spPr>
          <c:marker>
            <c:symbol val="none"/>
          </c:marker>
          <c:cat>
            <c:multiLvlStrRef>
              <c:f>Cenas!$V$3:$AF$4</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Cenas!$V$16:$AF$16</c:f>
              <c:numCache>
                <c:formatCode>0.0</c:formatCode>
                <c:ptCount val="11"/>
                <c:pt idx="0">
                  <c:v>114.8</c:v>
                </c:pt>
                <c:pt idx="1">
                  <c:v>109.3</c:v>
                </c:pt>
                <c:pt idx="2">
                  <c:v>117.6</c:v>
                </c:pt>
                <c:pt idx="3">
                  <c:v>97.6</c:v>
                </c:pt>
                <c:pt idx="4">
                  <c:v>75.599999999999994</c:v>
                </c:pt>
                <c:pt idx="5">
                  <c:v>101.2</c:v>
                </c:pt>
                <c:pt idx="6">
                  <c:v>180.5</c:v>
                </c:pt>
                <c:pt idx="7">
                  <c:v>170.9</c:v>
                </c:pt>
                <c:pt idx="8">
                  <c:v>187.3</c:v>
                </c:pt>
                <c:pt idx="9">
                  <c:v>152.4</c:v>
                </c:pt>
                <c:pt idx="10" formatCode="General">
                  <c:v>198.7</c:v>
                </c:pt>
              </c:numCache>
            </c:numRef>
          </c:val>
          <c:smooth val="1"/>
          <c:extLst>
            <c:ext xmlns:c16="http://schemas.microsoft.com/office/drawing/2014/chart" uri="{C3380CC4-5D6E-409C-BE32-E72D297353CC}">
              <c16:uniqueId val="{00000003-0DBE-414E-9282-6660372ADEE9}"/>
            </c:ext>
          </c:extLst>
        </c:ser>
        <c:ser>
          <c:idx val="4"/>
          <c:order val="4"/>
          <c:tx>
            <c:strRef>
              <c:f>Cenas!$A$17</c:f>
              <c:strCache>
                <c:ptCount val="1"/>
                <c:pt idx="0">
                  <c:v>Augļi un ogas</c:v>
                </c:pt>
              </c:strCache>
            </c:strRef>
          </c:tx>
          <c:spPr>
            <a:ln w="28575" cap="rnd">
              <a:solidFill>
                <a:schemeClr val="accent2"/>
              </a:solidFill>
              <a:round/>
            </a:ln>
            <a:effectLst/>
          </c:spPr>
          <c:marker>
            <c:symbol val="none"/>
          </c:marker>
          <c:cat>
            <c:multiLvlStrRef>
              <c:f>Cenas!$V$3:$AF$4</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Cenas!$V$17:$AF$17</c:f>
              <c:numCache>
                <c:formatCode>0.0</c:formatCode>
                <c:ptCount val="11"/>
                <c:pt idx="0">
                  <c:v>213.3</c:v>
                </c:pt>
                <c:pt idx="1">
                  <c:v>157.5</c:v>
                </c:pt>
                <c:pt idx="2">
                  <c:v>127.7</c:v>
                </c:pt>
                <c:pt idx="3">
                  <c:v>175.6</c:v>
                </c:pt>
                <c:pt idx="4">
                  <c:v>173.1</c:v>
                </c:pt>
                <c:pt idx="5">
                  <c:v>184</c:v>
                </c:pt>
                <c:pt idx="6">
                  <c:v>129</c:v>
                </c:pt>
                <c:pt idx="7">
                  <c:v>188.9</c:v>
                </c:pt>
                <c:pt idx="8">
                  <c:v>235.3</c:v>
                </c:pt>
                <c:pt idx="9">
                  <c:v>264.39999999999998</c:v>
                </c:pt>
                <c:pt idx="10" formatCode="General">
                  <c:v>137.80000000000001</c:v>
                </c:pt>
              </c:numCache>
            </c:numRef>
          </c:val>
          <c:smooth val="1"/>
          <c:extLst>
            <c:ext xmlns:c16="http://schemas.microsoft.com/office/drawing/2014/chart" uri="{C3380CC4-5D6E-409C-BE32-E72D297353CC}">
              <c16:uniqueId val="{00000004-0DBE-414E-9282-6660372ADEE9}"/>
            </c:ext>
          </c:extLst>
        </c:ser>
        <c:dLbls>
          <c:showLegendKey val="0"/>
          <c:showVal val="0"/>
          <c:showCatName val="0"/>
          <c:showSerName val="0"/>
          <c:showPercent val="0"/>
          <c:showBubbleSize val="0"/>
        </c:dLbls>
        <c:smooth val="0"/>
        <c:axId val="956682448"/>
        <c:axId val="956676208"/>
      </c:lineChart>
      <c:catAx>
        <c:axId val="95668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6676208"/>
        <c:crosses val="autoZero"/>
        <c:auto val="1"/>
        <c:lblAlgn val="ctr"/>
        <c:lblOffset val="100"/>
        <c:noMultiLvlLbl val="0"/>
      </c:catAx>
      <c:valAx>
        <c:axId val="956676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6682448"/>
        <c:crosses val="autoZero"/>
        <c:crossBetween val="between"/>
      </c:valAx>
      <c:spPr>
        <a:noFill/>
        <a:ln>
          <a:noFill/>
        </a:ln>
        <a:effectLst/>
      </c:spPr>
    </c:plotArea>
    <c:legend>
      <c:legendPos val="b"/>
      <c:layout>
        <c:manualLayout>
          <c:xMode val="edge"/>
          <c:yMode val="edge"/>
          <c:x val="1.8419470982934229E-3"/>
          <c:y val="0.89872462097865369"/>
          <c:w val="0.95000009479913017"/>
          <c:h val="7.34847352047645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923162034966992E-2"/>
          <c:y val="4.8910626945309024E-2"/>
          <c:w val="0.86332595696952708"/>
          <c:h val="0.65279348034836049"/>
        </c:manualLayout>
      </c:layout>
      <c:barChart>
        <c:barDir val="col"/>
        <c:grouping val="clustered"/>
        <c:varyColors val="0"/>
        <c:ser>
          <c:idx val="2"/>
          <c:order val="2"/>
          <c:tx>
            <c:strRef>
              <c:f>ATD020m!$M$9</c:f>
              <c:strCache>
                <c:ptCount val="1"/>
                <c:pt idx="0">
                  <c:v>Preču ārējā tirdzniecības bilance, milj. euro (labā ass)</c:v>
                </c:pt>
              </c:strCache>
            </c:strRef>
          </c:tx>
          <c:spPr>
            <a:solidFill>
              <a:schemeClr val="accent6">
                <a:lumMod val="60000"/>
                <a:lumOff val="40000"/>
              </a:schemeClr>
            </a:solidFill>
            <a:ln>
              <a:noFill/>
            </a:ln>
            <a:effectLst/>
          </c:spPr>
          <c:invertIfNegative val="0"/>
          <c:cat>
            <c:multiLvlStrRef>
              <c:f>ATD020m!$N$2:$AR$3</c:f>
              <c:multiLvlStrCache>
                <c:ptCount val="31"/>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lvl>
                <c:lvl>
                  <c:pt idx="0">
                    <c:v>2020</c:v>
                  </c:pt>
                  <c:pt idx="12">
                    <c:v>2021</c:v>
                  </c:pt>
                  <c:pt idx="24">
                    <c:v>2022</c:v>
                  </c:pt>
                </c:lvl>
              </c:multiLvlStrCache>
            </c:multiLvlStrRef>
          </c:cat>
          <c:val>
            <c:numRef>
              <c:f>ATD020m!$N$9:$AR$9</c:f>
              <c:numCache>
                <c:formatCode>0</c:formatCode>
                <c:ptCount val="31"/>
                <c:pt idx="0">
                  <c:v>-113.41303499999999</c:v>
                </c:pt>
                <c:pt idx="1">
                  <c:v>-108.085149</c:v>
                </c:pt>
                <c:pt idx="2">
                  <c:v>-232.95151799999999</c:v>
                </c:pt>
                <c:pt idx="3">
                  <c:v>-67.126926999999995</c:v>
                </c:pt>
                <c:pt idx="4">
                  <c:v>-128.27058</c:v>
                </c:pt>
                <c:pt idx="5">
                  <c:v>-190.175949</c:v>
                </c:pt>
                <c:pt idx="6">
                  <c:v>-290.49626999999998</c:v>
                </c:pt>
                <c:pt idx="7">
                  <c:v>-152.2672</c:v>
                </c:pt>
                <c:pt idx="8">
                  <c:v>-148.11135200000001</c:v>
                </c:pt>
                <c:pt idx="9">
                  <c:v>-96.690126000000006</c:v>
                </c:pt>
                <c:pt idx="10">
                  <c:v>-79.452986999999993</c:v>
                </c:pt>
                <c:pt idx="11">
                  <c:v>-247.76877099999999</c:v>
                </c:pt>
                <c:pt idx="12">
                  <c:v>-105.56152899999999</c:v>
                </c:pt>
                <c:pt idx="13">
                  <c:v>-73.160833999999994</c:v>
                </c:pt>
                <c:pt idx="14">
                  <c:v>-205.820482</c:v>
                </c:pt>
                <c:pt idx="15">
                  <c:v>-268.97887600000001</c:v>
                </c:pt>
                <c:pt idx="16">
                  <c:v>-389.86489899999998</c:v>
                </c:pt>
                <c:pt idx="17">
                  <c:v>-410.06353899999999</c:v>
                </c:pt>
                <c:pt idx="18">
                  <c:v>-418.974625</c:v>
                </c:pt>
                <c:pt idx="19">
                  <c:v>-514.37057600000003</c:v>
                </c:pt>
                <c:pt idx="20">
                  <c:v>-201.814325</c:v>
                </c:pt>
                <c:pt idx="21">
                  <c:v>-296.83192100000002</c:v>
                </c:pt>
                <c:pt idx="22">
                  <c:v>-55.331671999999998</c:v>
                </c:pt>
                <c:pt idx="23">
                  <c:v>-125.81010000000001</c:v>
                </c:pt>
                <c:pt idx="24">
                  <c:v>-204.47444300000001</c:v>
                </c:pt>
                <c:pt idx="25">
                  <c:v>-287.92535700000002</c:v>
                </c:pt>
                <c:pt idx="26">
                  <c:v>-475.99828200000002</c:v>
                </c:pt>
                <c:pt idx="27">
                  <c:v>-579.94614799999999</c:v>
                </c:pt>
                <c:pt idx="28">
                  <c:v>-631.17467499999998</c:v>
                </c:pt>
                <c:pt idx="29">
                  <c:v>-381.55140299999999</c:v>
                </c:pt>
                <c:pt idx="30">
                  <c:v>-641.92544599999997</c:v>
                </c:pt>
              </c:numCache>
            </c:numRef>
          </c:val>
          <c:extLst>
            <c:ext xmlns:c16="http://schemas.microsoft.com/office/drawing/2014/chart" uri="{C3380CC4-5D6E-409C-BE32-E72D297353CC}">
              <c16:uniqueId val="{00000000-874D-461D-BE74-039BBC9D3A44}"/>
            </c:ext>
          </c:extLst>
        </c:ser>
        <c:dLbls>
          <c:showLegendKey val="0"/>
          <c:showVal val="0"/>
          <c:showCatName val="0"/>
          <c:showSerName val="0"/>
          <c:showPercent val="0"/>
          <c:showBubbleSize val="0"/>
        </c:dLbls>
        <c:gapWidth val="50"/>
        <c:axId val="2000639855"/>
        <c:axId val="2000631951"/>
      </c:barChart>
      <c:lineChart>
        <c:grouping val="standard"/>
        <c:varyColors val="0"/>
        <c:ser>
          <c:idx val="0"/>
          <c:order val="0"/>
          <c:tx>
            <c:strRef>
              <c:f>ATD020m!$M$7</c:f>
              <c:strCache>
                <c:ptCount val="1"/>
                <c:pt idx="0">
                  <c:v>Preču eksports, %</c:v>
                </c:pt>
              </c:strCache>
            </c:strRef>
          </c:tx>
          <c:spPr>
            <a:ln w="28575" cap="rnd">
              <a:solidFill>
                <a:schemeClr val="accent5">
                  <a:lumMod val="75000"/>
                </a:schemeClr>
              </a:solidFill>
              <a:round/>
            </a:ln>
            <a:effectLst/>
          </c:spPr>
          <c:marker>
            <c:symbol val="none"/>
          </c:marker>
          <c:cat>
            <c:multiLvlStrRef>
              <c:f>ATD020m!$N$2:$AR$3</c:f>
              <c:multiLvlStrCache>
                <c:ptCount val="31"/>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lvl>
                <c:lvl>
                  <c:pt idx="0">
                    <c:v>2020</c:v>
                  </c:pt>
                  <c:pt idx="12">
                    <c:v>2021</c:v>
                  </c:pt>
                  <c:pt idx="24">
                    <c:v>2022</c:v>
                  </c:pt>
                </c:lvl>
              </c:multiLvlStrCache>
            </c:multiLvlStrRef>
          </c:cat>
          <c:val>
            <c:numRef>
              <c:f>ATD020m!$N$7:$AR$7</c:f>
              <c:numCache>
                <c:formatCode>0</c:formatCode>
                <c:ptCount val="31"/>
                <c:pt idx="0">
                  <c:v>5.6026276491629563</c:v>
                </c:pt>
                <c:pt idx="1">
                  <c:v>8.1779431854108076</c:v>
                </c:pt>
                <c:pt idx="2">
                  <c:v>0.39577641283820914</c:v>
                </c:pt>
                <c:pt idx="3">
                  <c:v>-12.791584148035792</c:v>
                </c:pt>
                <c:pt idx="4">
                  <c:v>-15.8168550318033</c:v>
                </c:pt>
                <c:pt idx="5">
                  <c:v>-0.54764469565261531</c:v>
                </c:pt>
                <c:pt idx="6">
                  <c:v>0.50999723453854617</c:v>
                </c:pt>
                <c:pt idx="7">
                  <c:v>-2.0762146236819534</c:v>
                </c:pt>
                <c:pt idx="8">
                  <c:v>15.246307844118903</c:v>
                </c:pt>
                <c:pt idx="9">
                  <c:v>8.6113726031538125</c:v>
                </c:pt>
                <c:pt idx="10">
                  <c:v>9.1506254129152449</c:v>
                </c:pt>
                <c:pt idx="11">
                  <c:v>14.453668160040085</c:v>
                </c:pt>
                <c:pt idx="12">
                  <c:v>-2.6653502652207286</c:v>
                </c:pt>
                <c:pt idx="13">
                  <c:v>6.0754300756678603</c:v>
                </c:pt>
                <c:pt idx="14">
                  <c:v>20.125490331313934</c:v>
                </c:pt>
                <c:pt idx="15">
                  <c:v>32.555371796580005</c:v>
                </c:pt>
                <c:pt idx="16">
                  <c:v>36.151518285003782</c:v>
                </c:pt>
                <c:pt idx="17">
                  <c:v>30.002686626620989</c:v>
                </c:pt>
                <c:pt idx="18">
                  <c:v>25.467022559807873</c:v>
                </c:pt>
                <c:pt idx="19">
                  <c:v>32.140802161190365</c:v>
                </c:pt>
                <c:pt idx="20">
                  <c:v>24.205268191504224</c:v>
                </c:pt>
                <c:pt idx="21">
                  <c:v>18.634738876017849</c:v>
                </c:pt>
                <c:pt idx="22">
                  <c:v>29.806324215241887</c:v>
                </c:pt>
                <c:pt idx="23">
                  <c:v>34.174176840314487</c:v>
                </c:pt>
                <c:pt idx="24">
                  <c:v>33.401715332700775</c:v>
                </c:pt>
                <c:pt idx="25">
                  <c:v>30.073044346188976</c:v>
                </c:pt>
                <c:pt idx="26">
                  <c:v>32.070912572768044</c:v>
                </c:pt>
                <c:pt idx="27">
                  <c:v>29.803761675132616</c:v>
                </c:pt>
                <c:pt idx="28">
                  <c:v>36.468819483001433</c:v>
                </c:pt>
                <c:pt idx="29">
                  <c:v>28.636256242961132</c:v>
                </c:pt>
                <c:pt idx="30">
                  <c:v>20.113220357260417</c:v>
                </c:pt>
              </c:numCache>
            </c:numRef>
          </c:val>
          <c:smooth val="0"/>
          <c:extLst>
            <c:ext xmlns:c16="http://schemas.microsoft.com/office/drawing/2014/chart" uri="{C3380CC4-5D6E-409C-BE32-E72D297353CC}">
              <c16:uniqueId val="{00000001-874D-461D-BE74-039BBC9D3A44}"/>
            </c:ext>
          </c:extLst>
        </c:ser>
        <c:ser>
          <c:idx val="1"/>
          <c:order val="1"/>
          <c:tx>
            <c:strRef>
              <c:f>ATD020m!$M$8</c:f>
              <c:strCache>
                <c:ptCount val="1"/>
                <c:pt idx="0">
                  <c:v>Preču imports, %</c:v>
                </c:pt>
              </c:strCache>
            </c:strRef>
          </c:tx>
          <c:spPr>
            <a:ln w="28575" cap="rnd">
              <a:solidFill>
                <a:schemeClr val="accent2">
                  <a:lumMod val="60000"/>
                  <a:lumOff val="40000"/>
                </a:schemeClr>
              </a:solidFill>
              <a:round/>
            </a:ln>
            <a:effectLst/>
          </c:spPr>
          <c:marker>
            <c:symbol val="none"/>
          </c:marker>
          <c:cat>
            <c:multiLvlStrRef>
              <c:f>ATD020m!$N$2:$AR$3</c:f>
              <c:multiLvlStrCache>
                <c:ptCount val="31"/>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lvl>
                <c:lvl>
                  <c:pt idx="0">
                    <c:v>2020</c:v>
                  </c:pt>
                  <c:pt idx="12">
                    <c:v>2021</c:v>
                  </c:pt>
                  <c:pt idx="24">
                    <c:v>2022</c:v>
                  </c:pt>
                </c:lvl>
              </c:multiLvlStrCache>
            </c:multiLvlStrRef>
          </c:cat>
          <c:val>
            <c:numRef>
              <c:f>ATD020m!$N$8:$AR$8</c:f>
              <c:numCache>
                <c:formatCode>0</c:formatCode>
                <c:ptCount val="31"/>
                <c:pt idx="0">
                  <c:v>3.8198808212744515</c:v>
                </c:pt>
                <c:pt idx="1">
                  <c:v>3.7780955407324934</c:v>
                </c:pt>
                <c:pt idx="2">
                  <c:v>-6.6884937558899331</c:v>
                </c:pt>
                <c:pt idx="3">
                  <c:v>-26.375562499582678</c:v>
                </c:pt>
                <c:pt idx="4">
                  <c:v>-28.225230171520881</c:v>
                </c:pt>
                <c:pt idx="5">
                  <c:v>-3.6811193207286736</c:v>
                </c:pt>
                <c:pt idx="6">
                  <c:v>-4.5188219493986477</c:v>
                </c:pt>
                <c:pt idx="7">
                  <c:v>-3.7670276963166174</c:v>
                </c:pt>
                <c:pt idx="8">
                  <c:v>4.9855280739318744</c:v>
                </c:pt>
                <c:pt idx="9">
                  <c:v>2.880534513771924</c:v>
                </c:pt>
                <c:pt idx="10">
                  <c:v>4.4226421235961464</c:v>
                </c:pt>
                <c:pt idx="11">
                  <c:v>1.38852874764153</c:v>
                </c:pt>
                <c:pt idx="12">
                  <c:v>-3.068353387132384</c:v>
                </c:pt>
                <c:pt idx="13">
                  <c:v>2.5552758905771396</c:v>
                </c:pt>
                <c:pt idx="14">
                  <c:v>14.618691112219906</c:v>
                </c:pt>
                <c:pt idx="15">
                  <c:v>50.439379788421434</c:v>
                </c:pt>
                <c:pt idx="16">
                  <c:v>56.748792897242183</c:v>
                </c:pt>
                <c:pt idx="17">
                  <c:v>43.837806865322015</c:v>
                </c:pt>
                <c:pt idx="18">
                  <c:v>29.506491664765015</c:v>
                </c:pt>
                <c:pt idx="19">
                  <c:v>57.283644370748164</c:v>
                </c:pt>
                <c:pt idx="20">
                  <c:v>25.437298941013164</c:v>
                </c:pt>
                <c:pt idx="21">
                  <c:v>31.466421539258434</c:v>
                </c:pt>
                <c:pt idx="22">
                  <c:v>26.215179353185992</c:v>
                </c:pt>
                <c:pt idx="23">
                  <c:v>19.582888849663362</c:v>
                </c:pt>
                <c:pt idx="24">
                  <c:v>38.882460592291515</c:v>
                </c:pt>
                <c:pt idx="25">
                  <c:v>46.019845275418334</c:v>
                </c:pt>
                <c:pt idx="26">
                  <c:v>45.324159086305862</c:v>
                </c:pt>
                <c:pt idx="27">
                  <c:v>45.046847586888823</c:v>
                </c:pt>
                <c:pt idx="28">
                  <c:v>42.521192975257065</c:v>
                </c:pt>
                <c:pt idx="29">
                  <c:v>20.015455937485022</c:v>
                </c:pt>
                <c:pt idx="30">
                  <c:v>28.050541814049097</c:v>
                </c:pt>
              </c:numCache>
            </c:numRef>
          </c:val>
          <c:smooth val="0"/>
          <c:extLst>
            <c:ext xmlns:c16="http://schemas.microsoft.com/office/drawing/2014/chart" uri="{C3380CC4-5D6E-409C-BE32-E72D297353CC}">
              <c16:uniqueId val="{00000002-874D-461D-BE74-039BBC9D3A44}"/>
            </c:ext>
          </c:extLst>
        </c:ser>
        <c:dLbls>
          <c:showLegendKey val="0"/>
          <c:showVal val="0"/>
          <c:showCatName val="0"/>
          <c:showSerName val="0"/>
          <c:showPercent val="0"/>
          <c:showBubbleSize val="0"/>
        </c:dLbls>
        <c:marker val="1"/>
        <c:smooth val="0"/>
        <c:axId val="1819409103"/>
        <c:axId val="1616657599"/>
      </c:lineChart>
      <c:catAx>
        <c:axId val="181940910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16657599"/>
        <c:crosses val="autoZero"/>
        <c:auto val="1"/>
        <c:lblAlgn val="ctr"/>
        <c:lblOffset val="100"/>
        <c:noMultiLvlLbl val="0"/>
      </c:catAx>
      <c:valAx>
        <c:axId val="1616657599"/>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19409103"/>
        <c:crosses val="autoZero"/>
        <c:crossBetween val="between"/>
      </c:valAx>
      <c:valAx>
        <c:axId val="2000631951"/>
        <c:scaling>
          <c:orientation val="maxMin"/>
          <c:max val="4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00639855"/>
        <c:crosses val="max"/>
        <c:crossBetween val="between"/>
      </c:valAx>
      <c:catAx>
        <c:axId val="2000639855"/>
        <c:scaling>
          <c:orientation val="minMax"/>
        </c:scaling>
        <c:delete val="1"/>
        <c:axPos val="t"/>
        <c:numFmt formatCode="General" sourceLinked="1"/>
        <c:majorTickMark val="out"/>
        <c:minorTickMark val="none"/>
        <c:tickLblPos val="nextTo"/>
        <c:crossAx val="2000631951"/>
        <c:crosses val="autoZero"/>
        <c:auto val="1"/>
        <c:lblAlgn val="ctr"/>
        <c:lblOffset val="100"/>
        <c:noMultiLvlLbl val="0"/>
      </c:catAx>
      <c:spPr>
        <a:noFill/>
        <a:ln>
          <a:noFill/>
        </a:ln>
        <a:effectLst/>
      </c:spPr>
    </c:plotArea>
    <c:legend>
      <c:legendPos val="b"/>
      <c:layout>
        <c:manualLayout>
          <c:xMode val="edge"/>
          <c:yMode val="edge"/>
          <c:x val="0"/>
          <c:y val="0.92185395705590933"/>
          <c:w val="1"/>
          <c:h val="5.784490946413799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Sheet2!$U$40</c:f>
              <c:strCache>
                <c:ptCount val="1"/>
                <c:pt idx="0">
                  <c:v>Igaunija</c:v>
                </c:pt>
              </c:strCache>
            </c:strRef>
          </c:tx>
          <c:spPr>
            <a:ln w="28575" cap="rnd">
              <a:solidFill>
                <a:schemeClr val="accent5">
                  <a:lumMod val="60000"/>
                  <a:lumOff val="40000"/>
                </a:schemeClr>
              </a:solidFill>
              <a:round/>
            </a:ln>
            <a:effectLst/>
          </c:spPr>
          <c:marker>
            <c:symbol val="none"/>
          </c:marker>
          <c:cat>
            <c:multiLvlStrRef>
              <c:f>Sheet2!$V$1:$BS$2</c:f>
              <c:multiLvlStrCache>
                <c:ptCount val="5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pt idx="35">
                    <c:v>IV</c:v>
                  </c:pt>
                  <c:pt idx="36">
                    <c:v>I</c:v>
                  </c:pt>
                  <c:pt idx="37">
                    <c:v>II</c:v>
                  </c:pt>
                  <c:pt idx="38">
                    <c:v>III</c:v>
                  </c:pt>
                  <c:pt idx="39">
                    <c:v>IV</c:v>
                  </c:pt>
                  <c:pt idx="40">
                    <c:v>I</c:v>
                  </c:pt>
                  <c:pt idx="41">
                    <c:v>II</c:v>
                  </c:pt>
                  <c:pt idx="42">
                    <c:v>III</c:v>
                  </c:pt>
                  <c:pt idx="43">
                    <c:v>IV</c:v>
                  </c:pt>
                  <c:pt idx="44">
                    <c:v>I</c:v>
                  </c:pt>
                  <c:pt idx="45">
                    <c:v>II</c:v>
                  </c:pt>
                  <c:pt idx="46">
                    <c:v>III</c:v>
                  </c:pt>
                  <c:pt idx="47">
                    <c:v>IV</c:v>
                  </c:pt>
                  <c:pt idx="48">
                    <c:v>I</c:v>
                  </c:pt>
                  <c:pt idx="49">
                    <c:v>II</c:v>
                  </c:pt>
                </c:lvl>
                <c:lvl>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lvl>
              </c:multiLvlStrCache>
            </c:multiLvlStrRef>
          </c:cat>
          <c:val>
            <c:numRef>
              <c:f>Sheet2!$V$40:$BS$40</c:f>
              <c:numCache>
                <c:formatCode>0.0</c:formatCode>
                <c:ptCount val="50"/>
                <c:pt idx="0">
                  <c:v>89.695609821580021</c:v>
                </c:pt>
                <c:pt idx="1">
                  <c:v>90.257118431081281</c:v>
                </c:pt>
                <c:pt idx="2">
                  <c:v>95.774293297071893</c:v>
                </c:pt>
                <c:pt idx="3">
                  <c:v>110.22050248361926</c:v>
                </c:pt>
                <c:pt idx="4">
                  <c:v>111.7667329779821</c:v>
                </c:pt>
                <c:pt idx="5">
                  <c:v>125.89408553245633</c:v>
                </c:pt>
                <c:pt idx="6">
                  <c:v>117.56762971948152</c:v>
                </c:pt>
                <c:pt idx="7">
                  <c:v>113.56007450239403</c:v>
                </c:pt>
                <c:pt idx="8">
                  <c:v>110.46058891148544</c:v>
                </c:pt>
                <c:pt idx="9">
                  <c:v>109.81194858246602</c:v>
                </c:pt>
                <c:pt idx="10">
                  <c:v>115.7315335259685</c:v>
                </c:pt>
                <c:pt idx="11">
                  <c:v>111.37756124012877</c:v>
                </c:pt>
                <c:pt idx="12">
                  <c:v>114.98584614964437</c:v>
                </c:pt>
                <c:pt idx="13">
                  <c:v>113.65483374147803</c:v>
                </c:pt>
                <c:pt idx="14">
                  <c:v>107.61761382602388</c:v>
                </c:pt>
                <c:pt idx="15">
                  <c:v>110.31186854418375</c:v>
                </c:pt>
                <c:pt idx="16">
                  <c:v>107.74799746416426</c:v>
                </c:pt>
                <c:pt idx="17">
                  <c:v>111.58155773349017</c:v>
                </c:pt>
                <c:pt idx="18">
                  <c:v>108.94047117373637</c:v>
                </c:pt>
                <c:pt idx="19">
                  <c:v>108.04029978790808</c:v>
                </c:pt>
                <c:pt idx="20">
                  <c:v>100.44024441842585</c:v>
                </c:pt>
                <c:pt idx="21">
                  <c:v>101.97273521423074</c:v>
                </c:pt>
                <c:pt idx="22">
                  <c:v>97.818006688083329</c:v>
                </c:pt>
                <c:pt idx="23">
                  <c:v>99.769013679260084</c:v>
                </c:pt>
                <c:pt idx="24">
                  <c:v>105.12548545028015</c:v>
                </c:pt>
                <c:pt idx="25">
                  <c:v>109.17492983837329</c:v>
                </c:pt>
                <c:pt idx="26">
                  <c:v>106.85976279282367</c:v>
                </c:pt>
                <c:pt idx="27">
                  <c:v>101.7550513914903</c:v>
                </c:pt>
                <c:pt idx="28">
                  <c:v>101.81866015570155</c:v>
                </c:pt>
                <c:pt idx="29">
                  <c:v>106.4187874074223</c:v>
                </c:pt>
                <c:pt idx="30">
                  <c:v>106.52400991563636</c:v>
                </c:pt>
                <c:pt idx="31">
                  <c:v>105.89564255289878</c:v>
                </c:pt>
                <c:pt idx="32">
                  <c:v>108.91336778057905</c:v>
                </c:pt>
                <c:pt idx="33">
                  <c:v>115.39116642537988</c:v>
                </c:pt>
                <c:pt idx="34">
                  <c:v>109.34006438714086</c:v>
                </c:pt>
                <c:pt idx="35">
                  <c:v>112.60566710266477</c:v>
                </c:pt>
                <c:pt idx="36">
                  <c:v>111.44804237016348</c:v>
                </c:pt>
                <c:pt idx="37">
                  <c:v>113.16555351653363</c:v>
                </c:pt>
                <c:pt idx="38">
                  <c:v>104.62774526235117</c:v>
                </c:pt>
                <c:pt idx="39">
                  <c:v>105.05574985461992</c:v>
                </c:pt>
                <c:pt idx="40">
                  <c:v>111.06807874286191</c:v>
                </c:pt>
                <c:pt idx="41">
                  <c:v>118.91482039192407</c:v>
                </c:pt>
                <c:pt idx="42">
                  <c:v>118.95688000758933</c:v>
                </c:pt>
                <c:pt idx="43">
                  <c:v>126.4946464364925</c:v>
                </c:pt>
                <c:pt idx="44">
                  <c:v>119.80684785771957</c:v>
                </c:pt>
                <c:pt idx="45">
                  <c:v>126.16197575572232</c:v>
                </c:pt>
                <c:pt idx="46">
                  <c:v>128.54288947571294</c:v>
                </c:pt>
                <c:pt idx="47">
                  <c:v>121.85633585593925</c:v>
                </c:pt>
                <c:pt idx="48">
                  <c:v>120.22922565470687</c:v>
                </c:pt>
                <c:pt idx="49">
                  <c:v>114.33777223710366</c:v>
                </c:pt>
              </c:numCache>
            </c:numRef>
          </c:val>
          <c:smooth val="0"/>
          <c:extLst>
            <c:ext xmlns:c16="http://schemas.microsoft.com/office/drawing/2014/chart" uri="{C3380CC4-5D6E-409C-BE32-E72D297353CC}">
              <c16:uniqueId val="{00000000-4E79-4C43-93E6-1B3CCFD9E395}"/>
            </c:ext>
          </c:extLst>
        </c:ser>
        <c:ser>
          <c:idx val="1"/>
          <c:order val="1"/>
          <c:tx>
            <c:strRef>
              <c:f>Sheet2!$U$41</c:f>
              <c:strCache>
                <c:ptCount val="1"/>
                <c:pt idx="0">
                  <c:v>Latvija</c:v>
                </c:pt>
              </c:strCache>
            </c:strRef>
          </c:tx>
          <c:spPr>
            <a:ln w="28575" cap="rnd">
              <a:solidFill>
                <a:schemeClr val="accent2">
                  <a:lumMod val="60000"/>
                  <a:lumOff val="40000"/>
                </a:schemeClr>
              </a:solidFill>
              <a:round/>
            </a:ln>
            <a:effectLst/>
          </c:spPr>
          <c:marker>
            <c:symbol val="none"/>
          </c:marker>
          <c:cat>
            <c:multiLvlStrRef>
              <c:f>Sheet2!$V$1:$BS$2</c:f>
              <c:multiLvlStrCache>
                <c:ptCount val="5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pt idx="35">
                    <c:v>IV</c:v>
                  </c:pt>
                  <c:pt idx="36">
                    <c:v>I</c:v>
                  </c:pt>
                  <c:pt idx="37">
                    <c:v>II</c:v>
                  </c:pt>
                  <c:pt idx="38">
                    <c:v>III</c:v>
                  </c:pt>
                  <c:pt idx="39">
                    <c:v>IV</c:v>
                  </c:pt>
                  <c:pt idx="40">
                    <c:v>I</c:v>
                  </c:pt>
                  <c:pt idx="41">
                    <c:v>II</c:v>
                  </c:pt>
                  <c:pt idx="42">
                    <c:v>III</c:v>
                  </c:pt>
                  <c:pt idx="43">
                    <c:v>IV</c:v>
                  </c:pt>
                  <c:pt idx="44">
                    <c:v>I</c:v>
                  </c:pt>
                  <c:pt idx="45">
                    <c:v>II</c:v>
                  </c:pt>
                  <c:pt idx="46">
                    <c:v>III</c:v>
                  </c:pt>
                  <c:pt idx="47">
                    <c:v>IV</c:v>
                  </c:pt>
                  <c:pt idx="48">
                    <c:v>I</c:v>
                  </c:pt>
                  <c:pt idx="49">
                    <c:v>II</c:v>
                  </c:pt>
                </c:lvl>
                <c:lvl>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lvl>
              </c:multiLvlStrCache>
            </c:multiLvlStrRef>
          </c:cat>
          <c:val>
            <c:numRef>
              <c:f>Sheet2!$V$41:$BS$41</c:f>
              <c:numCache>
                <c:formatCode>0.0</c:formatCode>
                <c:ptCount val="50"/>
                <c:pt idx="0">
                  <c:v>75.626332552835095</c:v>
                </c:pt>
                <c:pt idx="1">
                  <c:v>78.887624361490523</c:v>
                </c:pt>
                <c:pt idx="2">
                  <c:v>87.519466944250283</c:v>
                </c:pt>
                <c:pt idx="3">
                  <c:v>89.539221550947815</c:v>
                </c:pt>
                <c:pt idx="4">
                  <c:v>86.477697790146948</c:v>
                </c:pt>
                <c:pt idx="5">
                  <c:v>95.318319396825302</c:v>
                </c:pt>
                <c:pt idx="6">
                  <c:v>100.25885247780512</c:v>
                </c:pt>
                <c:pt idx="7">
                  <c:v>101.9445912328512</c:v>
                </c:pt>
                <c:pt idx="8">
                  <c:v>92.805583206197227</c:v>
                </c:pt>
                <c:pt idx="9">
                  <c:v>94.814992400932567</c:v>
                </c:pt>
                <c:pt idx="10">
                  <c:v>106.28085106894819</c:v>
                </c:pt>
                <c:pt idx="11">
                  <c:v>115.78005481838302</c:v>
                </c:pt>
                <c:pt idx="12">
                  <c:v>98.810988262947802</c:v>
                </c:pt>
                <c:pt idx="13">
                  <c:v>98.811142972442084</c:v>
                </c:pt>
                <c:pt idx="14">
                  <c:v>104.17747201357039</c:v>
                </c:pt>
                <c:pt idx="15">
                  <c:v>111.69333378421999</c:v>
                </c:pt>
                <c:pt idx="16">
                  <c:v>101.99949337595098</c:v>
                </c:pt>
                <c:pt idx="17">
                  <c:v>100.24763278711728</c:v>
                </c:pt>
                <c:pt idx="18">
                  <c:v>102.49510325339688</c:v>
                </c:pt>
                <c:pt idx="19">
                  <c:v>108.2410358585997</c:v>
                </c:pt>
                <c:pt idx="20">
                  <c:v>96.765353664246661</c:v>
                </c:pt>
                <c:pt idx="21">
                  <c:v>95.535912571225722</c:v>
                </c:pt>
                <c:pt idx="22">
                  <c:v>101.70709441381169</c:v>
                </c:pt>
                <c:pt idx="23">
                  <c:v>105.99163935071594</c:v>
                </c:pt>
                <c:pt idx="24">
                  <c:v>99.218223444238902</c:v>
                </c:pt>
                <c:pt idx="25">
                  <c:v>102.58627345351594</c:v>
                </c:pt>
                <c:pt idx="26">
                  <c:v>104.54870692560505</c:v>
                </c:pt>
                <c:pt idx="27">
                  <c:v>105.57014609804804</c:v>
                </c:pt>
                <c:pt idx="28">
                  <c:v>98.446249480966571</c:v>
                </c:pt>
                <c:pt idx="29">
                  <c:v>101.66740513615913</c:v>
                </c:pt>
                <c:pt idx="30">
                  <c:v>111.52804231159148</c:v>
                </c:pt>
                <c:pt idx="31">
                  <c:v>113.84370659458544</c:v>
                </c:pt>
                <c:pt idx="32">
                  <c:v>109.43298958608236</c:v>
                </c:pt>
                <c:pt idx="33">
                  <c:v>111.72554970611472</c:v>
                </c:pt>
                <c:pt idx="34">
                  <c:v>108.26935365194647</c:v>
                </c:pt>
                <c:pt idx="35">
                  <c:v>113.48588182031341</c:v>
                </c:pt>
                <c:pt idx="36">
                  <c:v>109.57784388899843</c:v>
                </c:pt>
                <c:pt idx="37">
                  <c:v>107.14325209700108</c:v>
                </c:pt>
                <c:pt idx="38">
                  <c:v>111.60830359098969</c:v>
                </c:pt>
                <c:pt idx="39">
                  <c:v>114.06335792804182</c:v>
                </c:pt>
                <c:pt idx="40">
                  <c:v>116.91645472154431</c:v>
                </c:pt>
                <c:pt idx="41">
                  <c:v>117.939635187357</c:v>
                </c:pt>
                <c:pt idx="42">
                  <c:v>128.78405711447411</c:v>
                </c:pt>
                <c:pt idx="43">
                  <c:v>131.47315198744766</c:v>
                </c:pt>
                <c:pt idx="44">
                  <c:v>120.09172411406068</c:v>
                </c:pt>
                <c:pt idx="45">
                  <c:v>119.32976845309659</c:v>
                </c:pt>
                <c:pt idx="46">
                  <c:v>133.72005587977708</c:v>
                </c:pt>
                <c:pt idx="47">
                  <c:v>127.96651005246915</c:v>
                </c:pt>
                <c:pt idx="48">
                  <c:v>120.91656268289974</c:v>
                </c:pt>
                <c:pt idx="49">
                  <c:v>118.03729706869746</c:v>
                </c:pt>
              </c:numCache>
            </c:numRef>
          </c:val>
          <c:smooth val="0"/>
          <c:extLst>
            <c:ext xmlns:c16="http://schemas.microsoft.com/office/drawing/2014/chart" uri="{C3380CC4-5D6E-409C-BE32-E72D297353CC}">
              <c16:uniqueId val="{00000001-4E79-4C43-93E6-1B3CCFD9E395}"/>
            </c:ext>
          </c:extLst>
        </c:ser>
        <c:ser>
          <c:idx val="2"/>
          <c:order val="2"/>
          <c:tx>
            <c:strRef>
              <c:f>Sheet2!$U$42</c:f>
              <c:strCache>
                <c:ptCount val="1"/>
                <c:pt idx="0">
                  <c:v>Lietuva</c:v>
                </c:pt>
              </c:strCache>
            </c:strRef>
          </c:tx>
          <c:spPr>
            <a:ln w="28575" cap="rnd">
              <a:solidFill>
                <a:schemeClr val="accent6">
                  <a:lumMod val="60000"/>
                  <a:lumOff val="40000"/>
                </a:schemeClr>
              </a:solidFill>
              <a:round/>
            </a:ln>
            <a:effectLst/>
          </c:spPr>
          <c:marker>
            <c:symbol val="none"/>
          </c:marker>
          <c:cat>
            <c:multiLvlStrRef>
              <c:f>Sheet2!$V$1:$BS$2</c:f>
              <c:multiLvlStrCache>
                <c:ptCount val="5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pt idx="35">
                    <c:v>IV</c:v>
                  </c:pt>
                  <c:pt idx="36">
                    <c:v>I</c:v>
                  </c:pt>
                  <c:pt idx="37">
                    <c:v>II</c:v>
                  </c:pt>
                  <c:pt idx="38">
                    <c:v>III</c:v>
                  </c:pt>
                  <c:pt idx="39">
                    <c:v>IV</c:v>
                  </c:pt>
                  <c:pt idx="40">
                    <c:v>I</c:v>
                  </c:pt>
                  <c:pt idx="41">
                    <c:v>II</c:v>
                  </c:pt>
                  <c:pt idx="42">
                    <c:v>III</c:v>
                  </c:pt>
                  <c:pt idx="43">
                    <c:v>IV</c:v>
                  </c:pt>
                  <c:pt idx="44">
                    <c:v>I</c:v>
                  </c:pt>
                  <c:pt idx="45">
                    <c:v>II</c:v>
                  </c:pt>
                  <c:pt idx="46">
                    <c:v>III</c:v>
                  </c:pt>
                  <c:pt idx="47">
                    <c:v>IV</c:v>
                  </c:pt>
                  <c:pt idx="48">
                    <c:v>I</c:v>
                  </c:pt>
                  <c:pt idx="49">
                    <c:v>II</c:v>
                  </c:pt>
                </c:lvl>
                <c:lvl>
                  <c:pt idx="0">
                    <c:v>2010</c:v>
                  </c:pt>
                  <c:pt idx="4">
                    <c:v>2011</c:v>
                  </c:pt>
                  <c:pt idx="8">
                    <c:v>2012</c:v>
                  </c:pt>
                  <c:pt idx="12">
                    <c:v>2013</c:v>
                  </c:pt>
                  <c:pt idx="16">
                    <c:v>2014</c:v>
                  </c:pt>
                  <c:pt idx="20">
                    <c:v>2015</c:v>
                  </c:pt>
                  <c:pt idx="24">
                    <c:v>2016</c:v>
                  </c:pt>
                  <c:pt idx="28">
                    <c:v>2017</c:v>
                  </c:pt>
                  <c:pt idx="32">
                    <c:v>2018</c:v>
                  </c:pt>
                  <c:pt idx="36">
                    <c:v>2019</c:v>
                  </c:pt>
                  <c:pt idx="40">
                    <c:v>2020</c:v>
                  </c:pt>
                  <c:pt idx="44">
                    <c:v>2021</c:v>
                  </c:pt>
                  <c:pt idx="48">
                    <c:v>2022</c:v>
                  </c:pt>
                </c:lvl>
              </c:multiLvlStrCache>
            </c:multiLvlStrRef>
          </c:cat>
          <c:val>
            <c:numRef>
              <c:f>Sheet2!$V$42:$BS$42</c:f>
              <c:numCache>
                <c:formatCode>0.0</c:formatCode>
                <c:ptCount val="50"/>
                <c:pt idx="0">
                  <c:v>77.838181241132602</c:v>
                </c:pt>
                <c:pt idx="1">
                  <c:v>83.394139613588564</c:v>
                </c:pt>
                <c:pt idx="2">
                  <c:v>89.711313088644033</c:v>
                </c:pt>
                <c:pt idx="3">
                  <c:v>97.865688198188622</c:v>
                </c:pt>
                <c:pt idx="4">
                  <c:v>94.410413714656556</c:v>
                </c:pt>
                <c:pt idx="5">
                  <c:v>100.97048555886587</c:v>
                </c:pt>
                <c:pt idx="6">
                  <c:v>101.94782909057822</c:v>
                </c:pt>
                <c:pt idx="7">
                  <c:v>100.1381124292045</c:v>
                </c:pt>
                <c:pt idx="8">
                  <c:v>95.414016822998008</c:v>
                </c:pt>
                <c:pt idx="9">
                  <c:v>94.236688097438275</c:v>
                </c:pt>
                <c:pt idx="10">
                  <c:v>108.1475168124384</c:v>
                </c:pt>
                <c:pt idx="11">
                  <c:v>118.39907490298913</c:v>
                </c:pt>
                <c:pt idx="12">
                  <c:v>112.79791782852146</c:v>
                </c:pt>
                <c:pt idx="13">
                  <c:v>106.05384473850003</c:v>
                </c:pt>
                <c:pt idx="14">
                  <c:v>115.1948999311825</c:v>
                </c:pt>
                <c:pt idx="15">
                  <c:v>117.01431659165284</c:v>
                </c:pt>
                <c:pt idx="16">
                  <c:v>103.41740200053435</c:v>
                </c:pt>
                <c:pt idx="17">
                  <c:v>112.91967536108078</c:v>
                </c:pt>
                <c:pt idx="18">
                  <c:v>115.90246307729477</c:v>
                </c:pt>
                <c:pt idx="19">
                  <c:v>112.11286728271217</c:v>
                </c:pt>
                <c:pt idx="20">
                  <c:v>92.141939517862156</c:v>
                </c:pt>
                <c:pt idx="21">
                  <c:v>100.61574292436872</c:v>
                </c:pt>
                <c:pt idx="22">
                  <c:v>102.28879479368078</c:v>
                </c:pt>
                <c:pt idx="23">
                  <c:v>104.95352276408838</c:v>
                </c:pt>
                <c:pt idx="24">
                  <c:v>99.499339388823088</c:v>
                </c:pt>
                <c:pt idx="25">
                  <c:v>100.90526704121969</c:v>
                </c:pt>
                <c:pt idx="26">
                  <c:v>102.65041052072412</c:v>
                </c:pt>
                <c:pt idx="27">
                  <c:v>102.72294025815663</c:v>
                </c:pt>
                <c:pt idx="28">
                  <c:v>101.81916261176039</c:v>
                </c:pt>
                <c:pt idx="29">
                  <c:v>107.13237466815882</c:v>
                </c:pt>
                <c:pt idx="30">
                  <c:v>111.5445771285623</c:v>
                </c:pt>
                <c:pt idx="31">
                  <c:v>115.63049921984656</c:v>
                </c:pt>
                <c:pt idx="32">
                  <c:v>109.10195565091449</c:v>
                </c:pt>
                <c:pt idx="33">
                  <c:v>108.37921030423242</c:v>
                </c:pt>
                <c:pt idx="34">
                  <c:v>111.00172443536013</c:v>
                </c:pt>
                <c:pt idx="35">
                  <c:v>113.58218610473263</c:v>
                </c:pt>
                <c:pt idx="36">
                  <c:v>112.0984753073444</c:v>
                </c:pt>
                <c:pt idx="37">
                  <c:v>111.63729247431083</c:v>
                </c:pt>
                <c:pt idx="38">
                  <c:v>113.7157580923928</c:v>
                </c:pt>
                <c:pt idx="39">
                  <c:v>114.5607551561028</c:v>
                </c:pt>
                <c:pt idx="40">
                  <c:v>114.57423037780731</c:v>
                </c:pt>
                <c:pt idx="41">
                  <c:v>115.60760721970642</c:v>
                </c:pt>
                <c:pt idx="42">
                  <c:v>126.41511657391635</c:v>
                </c:pt>
                <c:pt idx="43">
                  <c:v>125.6508583229285</c:v>
                </c:pt>
                <c:pt idx="44">
                  <c:v>115.88015011576276</c:v>
                </c:pt>
                <c:pt idx="45">
                  <c:v>117.81253395789592</c:v>
                </c:pt>
                <c:pt idx="46">
                  <c:v>120.64884808181398</c:v>
                </c:pt>
                <c:pt idx="47">
                  <c:v>121.50537571417767</c:v>
                </c:pt>
                <c:pt idx="48">
                  <c:v>116.21335454574726</c:v>
                </c:pt>
                <c:pt idx="49">
                  <c:v>110.26477333288737</c:v>
                </c:pt>
              </c:numCache>
            </c:numRef>
          </c:val>
          <c:smooth val="0"/>
          <c:extLst>
            <c:ext xmlns:c16="http://schemas.microsoft.com/office/drawing/2014/chart" uri="{C3380CC4-5D6E-409C-BE32-E72D297353CC}">
              <c16:uniqueId val="{00000002-4E79-4C43-93E6-1B3CCFD9E395}"/>
            </c:ext>
          </c:extLst>
        </c:ser>
        <c:dLbls>
          <c:showLegendKey val="0"/>
          <c:showVal val="0"/>
          <c:showCatName val="0"/>
          <c:showSerName val="0"/>
          <c:showPercent val="0"/>
          <c:showBubbleSize val="0"/>
        </c:dLbls>
        <c:smooth val="0"/>
        <c:axId val="1299230000"/>
        <c:axId val="1299230832"/>
      </c:lineChart>
      <c:catAx>
        <c:axId val="129923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99230832"/>
        <c:crosses val="autoZero"/>
        <c:auto val="1"/>
        <c:lblAlgn val="ctr"/>
        <c:lblOffset val="100"/>
        <c:tickMarkSkip val="1"/>
        <c:noMultiLvlLbl val="0"/>
      </c:catAx>
      <c:valAx>
        <c:axId val="1299230832"/>
        <c:scaling>
          <c:orientation val="minMax"/>
          <c:min val="7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9923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b="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70897589102573"/>
          <c:y val="3.5859820700896494E-2"/>
          <c:w val="0.77760460308346535"/>
          <c:h val="0.55229311780738943"/>
        </c:manualLayout>
      </c:layout>
      <c:barChart>
        <c:barDir val="col"/>
        <c:grouping val="stacked"/>
        <c:varyColors val="0"/>
        <c:ser>
          <c:idx val="0"/>
          <c:order val="0"/>
          <c:tx>
            <c:strRef>
              <c:f>Pakalp_eksports_Q!$AF$7</c:f>
              <c:strCache>
                <c:ptCount val="1"/>
                <c:pt idx="0">
                  <c:v>Transporta pakalpojumi</c:v>
                </c:pt>
              </c:strCache>
            </c:strRef>
          </c:tx>
          <c:spPr>
            <a:solidFill>
              <a:schemeClr val="accent5">
                <a:lumMod val="60000"/>
                <a:lumOff val="40000"/>
              </a:schemeClr>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Pakalp_eksports_Q!$BQ$7:$CA$7</c:f>
              <c:numCache>
                <c:formatCode>General</c:formatCode>
                <c:ptCount val="11"/>
                <c:pt idx="0">
                  <c:v>404</c:v>
                </c:pt>
                <c:pt idx="1">
                  <c:v>300</c:v>
                </c:pt>
                <c:pt idx="2">
                  <c:v>339</c:v>
                </c:pt>
                <c:pt idx="3">
                  <c:v>373</c:v>
                </c:pt>
                <c:pt idx="4">
                  <c:v>350</c:v>
                </c:pt>
                <c:pt idx="5" formatCode="0">
                  <c:v>365</c:v>
                </c:pt>
                <c:pt idx="6" formatCode="0">
                  <c:v>411</c:v>
                </c:pt>
                <c:pt idx="7" formatCode="0">
                  <c:v>452</c:v>
                </c:pt>
                <c:pt idx="8" formatCode="0">
                  <c:v>438</c:v>
                </c:pt>
                <c:pt idx="9" formatCode="0">
                  <c:v>533</c:v>
                </c:pt>
                <c:pt idx="10" formatCode="0">
                  <c:v>614</c:v>
                </c:pt>
              </c:numCache>
            </c:numRef>
          </c:val>
          <c:extLst>
            <c:ext xmlns:c16="http://schemas.microsoft.com/office/drawing/2014/chart" uri="{C3380CC4-5D6E-409C-BE32-E72D297353CC}">
              <c16:uniqueId val="{00000000-3620-49B1-A302-BBEF866FC1FD}"/>
            </c:ext>
          </c:extLst>
        </c:ser>
        <c:ser>
          <c:idx val="1"/>
          <c:order val="1"/>
          <c:tx>
            <c:strRef>
              <c:f>Pakalp_eksports_Q!$AF$8</c:f>
              <c:strCache>
                <c:ptCount val="1"/>
                <c:pt idx="0">
                  <c:v>Braucieni</c:v>
                </c:pt>
              </c:strCache>
            </c:strRef>
          </c:tx>
          <c:spPr>
            <a:solidFill>
              <a:schemeClr val="accent2">
                <a:lumMod val="60000"/>
                <a:lumOff val="40000"/>
              </a:schemeClr>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Pakalp_eksports_Q!$BQ$8:$CA$8</c:f>
              <c:numCache>
                <c:formatCode>General</c:formatCode>
                <c:ptCount val="11"/>
                <c:pt idx="0">
                  <c:v>199</c:v>
                </c:pt>
                <c:pt idx="1">
                  <c:v>120</c:v>
                </c:pt>
                <c:pt idx="2">
                  <c:v>242</c:v>
                </c:pt>
                <c:pt idx="3">
                  <c:v>140</c:v>
                </c:pt>
                <c:pt idx="4">
                  <c:v>93</c:v>
                </c:pt>
                <c:pt idx="5" formatCode="0">
                  <c:v>130</c:v>
                </c:pt>
                <c:pt idx="6" formatCode="0">
                  <c:v>250</c:v>
                </c:pt>
                <c:pt idx="7" formatCode="0">
                  <c:v>164</c:v>
                </c:pt>
                <c:pt idx="8" formatCode="0">
                  <c:v>182</c:v>
                </c:pt>
                <c:pt idx="9" formatCode="0">
                  <c:v>253</c:v>
                </c:pt>
                <c:pt idx="10" formatCode="0">
                  <c:v>355</c:v>
                </c:pt>
              </c:numCache>
            </c:numRef>
          </c:val>
          <c:extLst>
            <c:ext xmlns:c16="http://schemas.microsoft.com/office/drawing/2014/chart" uri="{C3380CC4-5D6E-409C-BE32-E72D297353CC}">
              <c16:uniqueId val="{00000001-3620-49B1-A302-BBEF866FC1FD}"/>
            </c:ext>
          </c:extLst>
        </c:ser>
        <c:ser>
          <c:idx val="2"/>
          <c:order val="2"/>
          <c:tx>
            <c:strRef>
              <c:f>Pakalp_eksports_Q!$AF$9</c:f>
              <c:strCache>
                <c:ptCount val="1"/>
                <c:pt idx="0">
                  <c:v>Telesakaru un IT</c:v>
                </c:pt>
              </c:strCache>
            </c:strRef>
          </c:tx>
          <c:spPr>
            <a:solidFill>
              <a:schemeClr val="accent3"/>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Pakalp_eksports_Q!$BQ$9:$CA$9</c:f>
              <c:numCache>
                <c:formatCode>General</c:formatCode>
                <c:ptCount val="11"/>
                <c:pt idx="0">
                  <c:v>207</c:v>
                </c:pt>
                <c:pt idx="1">
                  <c:v>207</c:v>
                </c:pt>
                <c:pt idx="2">
                  <c:v>203</c:v>
                </c:pt>
                <c:pt idx="3">
                  <c:v>236</c:v>
                </c:pt>
                <c:pt idx="4">
                  <c:v>207</c:v>
                </c:pt>
                <c:pt idx="5" formatCode="0">
                  <c:v>240</c:v>
                </c:pt>
                <c:pt idx="6" formatCode="0">
                  <c:v>241</c:v>
                </c:pt>
                <c:pt idx="7" formatCode="0">
                  <c:v>271</c:v>
                </c:pt>
                <c:pt idx="8" formatCode="0">
                  <c:v>272</c:v>
                </c:pt>
                <c:pt idx="9" formatCode="0">
                  <c:v>300</c:v>
                </c:pt>
                <c:pt idx="10" formatCode="0">
                  <c:v>311</c:v>
                </c:pt>
              </c:numCache>
            </c:numRef>
          </c:val>
          <c:extLst>
            <c:ext xmlns:c16="http://schemas.microsoft.com/office/drawing/2014/chart" uri="{C3380CC4-5D6E-409C-BE32-E72D297353CC}">
              <c16:uniqueId val="{00000002-3620-49B1-A302-BBEF866FC1FD}"/>
            </c:ext>
          </c:extLst>
        </c:ser>
        <c:ser>
          <c:idx val="3"/>
          <c:order val="3"/>
          <c:tx>
            <c:strRef>
              <c:f>Pakalp_eksports_Q!$AF$10</c:f>
              <c:strCache>
                <c:ptCount val="1"/>
                <c:pt idx="0">
                  <c:v>Finanšu pakalpojumi</c:v>
                </c:pt>
              </c:strCache>
            </c:strRef>
          </c:tx>
          <c:spPr>
            <a:solidFill>
              <a:schemeClr val="accent4"/>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Pakalp_eksports_Q!$BQ$10:$CA$10</c:f>
              <c:numCache>
                <c:formatCode>General</c:formatCode>
                <c:ptCount val="11"/>
                <c:pt idx="0">
                  <c:v>38</c:v>
                </c:pt>
                <c:pt idx="1">
                  <c:v>36</c:v>
                </c:pt>
                <c:pt idx="2">
                  <c:v>38</c:v>
                </c:pt>
                <c:pt idx="3">
                  <c:v>33</c:v>
                </c:pt>
                <c:pt idx="4">
                  <c:v>42</c:v>
                </c:pt>
                <c:pt idx="5" formatCode="0">
                  <c:v>33</c:v>
                </c:pt>
                <c:pt idx="6" formatCode="0">
                  <c:v>45</c:v>
                </c:pt>
                <c:pt idx="7" formatCode="0">
                  <c:v>65</c:v>
                </c:pt>
                <c:pt idx="8" formatCode="0">
                  <c:v>42</c:v>
                </c:pt>
                <c:pt idx="9" formatCode="0">
                  <c:v>49</c:v>
                </c:pt>
                <c:pt idx="10" formatCode="0">
                  <c:v>81</c:v>
                </c:pt>
              </c:numCache>
            </c:numRef>
          </c:val>
          <c:extLst>
            <c:ext xmlns:c16="http://schemas.microsoft.com/office/drawing/2014/chart" uri="{C3380CC4-5D6E-409C-BE32-E72D297353CC}">
              <c16:uniqueId val="{00000003-3620-49B1-A302-BBEF866FC1FD}"/>
            </c:ext>
          </c:extLst>
        </c:ser>
        <c:ser>
          <c:idx val="4"/>
          <c:order val="4"/>
          <c:tx>
            <c:strRef>
              <c:f>Pakalp_eksports_Q!$AF$11</c:f>
              <c:strCache>
                <c:ptCount val="1"/>
                <c:pt idx="0">
                  <c:v>Būvniecība</c:v>
                </c:pt>
              </c:strCache>
            </c:strRef>
          </c:tx>
          <c:spPr>
            <a:solidFill>
              <a:schemeClr val="accent5"/>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Pakalp_eksports_Q!$BQ$11:$CA$11</c:f>
              <c:numCache>
                <c:formatCode>General</c:formatCode>
                <c:ptCount val="11"/>
                <c:pt idx="0">
                  <c:v>76</c:v>
                </c:pt>
                <c:pt idx="1">
                  <c:v>91</c:v>
                </c:pt>
                <c:pt idx="2">
                  <c:v>87</c:v>
                </c:pt>
                <c:pt idx="3">
                  <c:v>108</c:v>
                </c:pt>
                <c:pt idx="4">
                  <c:v>84</c:v>
                </c:pt>
                <c:pt idx="5" formatCode="0">
                  <c:v>84</c:v>
                </c:pt>
                <c:pt idx="6" formatCode="0">
                  <c:v>89</c:v>
                </c:pt>
                <c:pt idx="7" formatCode="0">
                  <c:v>114</c:v>
                </c:pt>
                <c:pt idx="8" formatCode="0">
                  <c:v>68</c:v>
                </c:pt>
                <c:pt idx="9" formatCode="0">
                  <c:v>69</c:v>
                </c:pt>
                <c:pt idx="10" formatCode="0">
                  <c:v>92</c:v>
                </c:pt>
              </c:numCache>
            </c:numRef>
          </c:val>
          <c:extLst>
            <c:ext xmlns:c16="http://schemas.microsoft.com/office/drawing/2014/chart" uri="{C3380CC4-5D6E-409C-BE32-E72D297353CC}">
              <c16:uniqueId val="{00000004-3620-49B1-A302-BBEF866FC1FD}"/>
            </c:ext>
          </c:extLst>
        </c:ser>
        <c:ser>
          <c:idx val="5"/>
          <c:order val="5"/>
          <c:tx>
            <c:strRef>
              <c:f>Pakalp_eksports_Q!$AF$12</c:f>
              <c:strCache>
                <c:ptCount val="1"/>
                <c:pt idx="0">
                  <c:v>Citi pakalpojumi</c:v>
                </c:pt>
              </c:strCache>
            </c:strRef>
          </c:tx>
          <c:spPr>
            <a:solidFill>
              <a:schemeClr val="accent6">
                <a:lumMod val="60000"/>
                <a:lumOff val="40000"/>
              </a:schemeClr>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Pakalp_eksports_Q!$BQ$12:$CA$12</c:f>
              <c:numCache>
                <c:formatCode>General</c:formatCode>
                <c:ptCount val="11"/>
                <c:pt idx="0">
                  <c:v>274</c:v>
                </c:pt>
                <c:pt idx="1">
                  <c:v>291</c:v>
                </c:pt>
                <c:pt idx="2">
                  <c:v>307</c:v>
                </c:pt>
                <c:pt idx="3">
                  <c:v>355</c:v>
                </c:pt>
                <c:pt idx="4">
                  <c:v>309</c:v>
                </c:pt>
                <c:pt idx="5" formatCode="0">
                  <c:v>353</c:v>
                </c:pt>
                <c:pt idx="6" formatCode="0">
                  <c:v>362</c:v>
                </c:pt>
                <c:pt idx="7" formatCode="0">
                  <c:v>439</c:v>
                </c:pt>
                <c:pt idx="8" formatCode="0">
                  <c:v>422</c:v>
                </c:pt>
                <c:pt idx="9" formatCode="0">
                  <c:v>467</c:v>
                </c:pt>
                <c:pt idx="10" formatCode="0">
                  <c:v>513</c:v>
                </c:pt>
              </c:numCache>
            </c:numRef>
          </c:val>
          <c:extLst>
            <c:ext xmlns:c16="http://schemas.microsoft.com/office/drawing/2014/chart" uri="{C3380CC4-5D6E-409C-BE32-E72D297353CC}">
              <c16:uniqueId val="{00000005-3620-49B1-A302-BBEF866FC1FD}"/>
            </c:ext>
          </c:extLst>
        </c:ser>
        <c:dLbls>
          <c:showLegendKey val="0"/>
          <c:showVal val="0"/>
          <c:showCatName val="0"/>
          <c:showSerName val="0"/>
          <c:showPercent val="0"/>
          <c:showBubbleSize val="0"/>
        </c:dLbls>
        <c:gapWidth val="50"/>
        <c:overlap val="100"/>
        <c:axId val="493465056"/>
        <c:axId val="493457184"/>
      </c:barChart>
      <c:catAx>
        <c:axId val="49346505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93457184"/>
        <c:crosses val="autoZero"/>
        <c:auto val="1"/>
        <c:lblAlgn val="ctr"/>
        <c:lblOffset val="100"/>
        <c:noMultiLvlLbl val="0"/>
      </c:catAx>
      <c:valAx>
        <c:axId val="493457184"/>
        <c:scaling>
          <c:orientation val="minMax"/>
          <c:max val="2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93465056"/>
        <c:crosses val="autoZero"/>
        <c:crossBetween val="between"/>
        <c:majorUnit val="400"/>
      </c:valAx>
      <c:spPr>
        <a:noFill/>
        <a:ln>
          <a:noFill/>
        </a:ln>
        <a:effectLst/>
      </c:spPr>
    </c:plotArea>
    <c:legend>
      <c:legendPos val="b"/>
      <c:layout>
        <c:manualLayout>
          <c:xMode val="edge"/>
          <c:yMode val="edge"/>
          <c:x val="0.20835159034872702"/>
          <c:y val="0.74014990914597212"/>
          <c:w val="0.5936034019968065"/>
          <c:h val="0.247830860084797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047467405982008E-2"/>
          <c:y val="2.361625849400404E-2"/>
          <c:w val="0.85377703699446328"/>
          <c:h val="0.5764073032002105"/>
        </c:manualLayout>
      </c:layout>
      <c:barChart>
        <c:barDir val="col"/>
        <c:grouping val="stacked"/>
        <c:varyColors val="0"/>
        <c:ser>
          <c:idx val="0"/>
          <c:order val="0"/>
          <c:tx>
            <c:strRef>
              <c:f>Pakalp_eksports_Q!$AK$35</c:f>
              <c:strCache>
                <c:ptCount val="1"/>
                <c:pt idx="0">
                  <c:v>Transporta pakalpojumi</c:v>
                </c:pt>
              </c:strCache>
            </c:strRef>
          </c:tx>
          <c:spPr>
            <a:solidFill>
              <a:schemeClr val="accent5">
                <a:lumMod val="60000"/>
                <a:lumOff val="40000"/>
              </a:schemeClr>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Pakalp_eksports_Q!$BQ$35:$CA$35</c:f>
              <c:numCache>
                <c:formatCode>0.0</c:formatCode>
                <c:ptCount val="11"/>
                <c:pt idx="0">
                  <c:v>-7.0119521912350598</c:v>
                </c:pt>
                <c:pt idx="1">
                  <c:v>-18.754423213021937</c:v>
                </c:pt>
                <c:pt idx="2">
                  <c:v>-15.989159891598915</c:v>
                </c:pt>
                <c:pt idx="3">
                  <c:v>-9.6127247579529751</c:v>
                </c:pt>
                <c:pt idx="4">
                  <c:v>-4.5075125208681142</c:v>
                </c:pt>
                <c:pt idx="5">
                  <c:v>6.2200956937799043</c:v>
                </c:pt>
                <c:pt idx="6">
                  <c:v>5.9210526315789478</c:v>
                </c:pt>
                <c:pt idx="7">
                  <c:v>6.3453815261044175</c:v>
                </c:pt>
                <c:pt idx="8">
                  <c:v>8.1105990783410142</c:v>
                </c:pt>
                <c:pt idx="9">
                  <c:v>13.941908713692944</c:v>
                </c:pt>
                <c:pt idx="10">
                  <c:v>14.52074391988555</c:v>
                </c:pt>
              </c:numCache>
            </c:numRef>
          </c:val>
          <c:extLst>
            <c:ext xmlns:c16="http://schemas.microsoft.com/office/drawing/2014/chart" uri="{C3380CC4-5D6E-409C-BE32-E72D297353CC}">
              <c16:uniqueId val="{00000000-ECA1-420B-BA25-B95EA76DDC47}"/>
            </c:ext>
          </c:extLst>
        </c:ser>
        <c:ser>
          <c:idx val="1"/>
          <c:order val="1"/>
          <c:tx>
            <c:strRef>
              <c:f>Pakalp_eksports_Q!$AK$36</c:f>
              <c:strCache>
                <c:ptCount val="1"/>
                <c:pt idx="0">
                  <c:v>Braucieni</c:v>
                </c:pt>
              </c:strCache>
            </c:strRef>
          </c:tx>
          <c:spPr>
            <a:solidFill>
              <a:schemeClr val="accent2">
                <a:lumMod val="60000"/>
                <a:lumOff val="40000"/>
              </a:schemeClr>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Pakalp_eksports_Q!$BQ$36:$CA$36</c:f>
              <c:numCache>
                <c:formatCode>0.0</c:formatCode>
                <c:ptCount val="11"/>
                <c:pt idx="0">
                  <c:v>0.79681274900398413</c:v>
                </c:pt>
                <c:pt idx="1">
                  <c:v>-7.4309978768577487</c:v>
                </c:pt>
                <c:pt idx="2">
                  <c:v>-2.1680216802168024</c:v>
                </c:pt>
                <c:pt idx="3">
                  <c:v>-5.532503457814661</c:v>
                </c:pt>
                <c:pt idx="4">
                  <c:v>-8.8480801335559267</c:v>
                </c:pt>
                <c:pt idx="5">
                  <c:v>0.95693779904306209</c:v>
                </c:pt>
                <c:pt idx="6">
                  <c:v>0.65789473684210531</c:v>
                </c:pt>
                <c:pt idx="7">
                  <c:v>1.927710843373494</c:v>
                </c:pt>
                <c:pt idx="8">
                  <c:v>8.2027649769585249</c:v>
                </c:pt>
                <c:pt idx="9">
                  <c:v>10.207468879668051</c:v>
                </c:pt>
                <c:pt idx="10">
                  <c:v>7.510729613733905</c:v>
                </c:pt>
              </c:numCache>
            </c:numRef>
          </c:val>
          <c:extLst>
            <c:ext xmlns:c16="http://schemas.microsoft.com/office/drawing/2014/chart" uri="{C3380CC4-5D6E-409C-BE32-E72D297353CC}">
              <c16:uniqueId val="{00000001-ECA1-420B-BA25-B95EA76DDC47}"/>
            </c:ext>
          </c:extLst>
        </c:ser>
        <c:ser>
          <c:idx val="2"/>
          <c:order val="2"/>
          <c:tx>
            <c:strRef>
              <c:f>Pakalp_eksports_Q!$AK$37</c:f>
              <c:strCache>
                <c:ptCount val="1"/>
                <c:pt idx="0">
                  <c:v>Telesakaru un IT</c:v>
                </c:pt>
              </c:strCache>
            </c:strRef>
          </c:tx>
          <c:spPr>
            <a:solidFill>
              <a:schemeClr val="accent3"/>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Pakalp_eksports_Q!$BQ$37:$CA$37</c:f>
              <c:numCache>
                <c:formatCode>0.0</c:formatCode>
                <c:ptCount val="11"/>
                <c:pt idx="0">
                  <c:v>7.9681274900398391E-2</c:v>
                </c:pt>
                <c:pt idx="1">
                  <c:v>-0.21231422505307856</c:v>
                </c:pt>
                <c:pt idx="2">
                  <c:v>-0.4742547425474255</c:v>
                </c:pt>
                <c:pt idx="3">
                  <c:v>1.1065006915629321</c:v>
                </c:pt>
                <c:pt idx="4">
                  <c:v>0</c:v>
                </c:pt>
                <c:pt idx="5">
                  <c:v>3.1578947368421049</c:v>
                </c:pt>
                <c:pt idx="6">
                  <c:v>3.125</c:v>
                </c:pt>
                <c:pt idx="7">
                  <c:v>2.8112449799196786</c:v>
                </c:pt>
                <c:pt idx="8">
                  <c:v>5.9907834101382491</c:v>
                </c:pt>
                <c:pt idx="9">
                  <c:v>4.9792531120331951</c:v>
                </c:pt>
                <c:pt idx="10">
                  <c:v>5.0071530758226048</c:v>
                </c:pt>
              </c:numCache>
            </c:numRef>
          </c:val>
          <c:extLst>
            <c:ext xmlns:c16="http://schemas.microsoft.com/office/drawing/2014/chart" uri="{C3380CC4-5D6E-409C-BE32-E72D297353CC}">
              <c16:uniqueId val="{00000002-ECA1-420B-BA25-B95EA76DDC47}"/>
            </c:ext>
          </c:extLst>
        </c:ser>
        <c:ser>
          <c:idx val="3"/>
          <c:order val="3"/>
          <c:tx>
            <c:strRef>
              <c:f>Pakalp_eksports_Q!$AK$38</c:f>
              <c:strCache>
                <c:ptCount val="1"/>
                <c:pt idx="0">
                  <c:v>Finanšu pakalpojumi</c:v>
                </c:pt>
              </c:strCache>
            </c:strRef>
          </c:tx>
          <c:spPr>
            <a:solidFill>
              <a:schemeClr val="accent4"/>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Pakalp_eksports_Q!$BQ$38:$CA$38</c:f>
              <c:numCache>
                <c:formatCode>0.0</c:formatCode>
                <c:ptCount val="11"/>
                <c:pt idx="0">
                  <c:v>-1.0358565737051793</c:v>
                </c:pt>
                <c:pt idx="1">
                  <c:v>-1.203113941967445</c:v>
                </c:pt>
                <c:pt idx="2">
                  <c:v>-1.084010840108401</c:v>
                </c:pt>
                <c:pt idx="3">
                  <c:v>-0.76071922544951587</c:v>
                </c:pt>
                <c:pt idx="4">
                  <c:v>0.33388981636060094</c:v>
                </c:pt>
                <c:pt idx="5">
                  <c:v>-0.2870813397129186</c:v>
                </c:pt>
                <c:pt idx="6">
                  <c:v>0.57565789473684204</c:v>
                </c:pt>
                <c:pt idx="7">
                  <c:v>2.570281124497992</c:v>
                </c:pt>
                <c:pt idx="8">
                  <c:v>0</c:v>
                </c:pt>
                <c:pt idx="9">
                  <c:v>1.3278008298755186</c:v>
                </c:pt>
                <c:pt idx="10">
                  <c:v>2.5751072961373387</c:v>
                </c:pt>
              </c:numCache>
            </c:numRef>
          </c:val>
          <c:extLst>
            <c:ext xmlns:c16="http://schemas.microsoft.com/office/drawing/2014/chart" uri="{C3380CC4-5D6E-409C-BE32-E72D297353CC}">
              <c16:uniqueId val="{00000003-ECA1-420B-BA25-B95EA76DDC47}"/>
            </c:ext>
          </c:extLst>
        </c:ser>
        <c:ser>
          <c:idx val="4"/>
          <c:order val="4"/>
          <c:tx>
            <c:strRef>
              <c:f>Pakalp_eksports_Q!$AK$39</c:f>
              <c:strCache>
                <c:ptCount val="1"/>
                <c:pt idx="0">
                  <c:v>Būvniecība</c:v>
                </c:pt>
              </c:strCache>
            </c:strRef>
          </c:tx>
          <c:spPr>
            <a:solidFill>
              <a:schemeClr val="accent5"/>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Pakalp_eksports_Q!$BQ$39:$CA$39</c:f>
              <c:numCache>
                <c:formatCode>0.0</c:formatCode>
                <c:ptCount val="11"/>
                <c:pt idx="0">
                  <c:v>1.5139442231075695</c:v>
                </c:pt>
                <c:pt idx="1">
                  <c:v>1.48619957537155</c:v>
                </c:pt>
                <c:pt idx="2">
                  <c:v>0.4742547425474255</c:v>
                </c:pt>
                <c:pt idx="3">
                  <c:v>0.69156293222683263</c:v>
                </c:pt>
                <c:pt idx="4">
                  <c:v>0.66777963272120189</c:v>
                </c:pt>
                <c:pt idx="5">
                  <c:v>-0.66985645933014359</c:v>
                </c:pt>
                <c:pt idx="6">
                  <c:v>0.1644736842105263</c:v>
                </c:pt>
                <c:pt idx="7">
                  <c:v>0.48192771084337349</c:v>
                </c:pt>
                <c:pt idx="8">
                  <c:v>-1.4746543778801844</c:v>
                </c:pt>
                <c:pt idx="9">
                  <c:v>-1.2448132780082988</c:v>
                </c:pt>
                <c:pt idx="10">
                  <c:v>0.21459227467811159</c:v>
                </c:pt>
              </c:numCache>
            </c:numRef>
          </c:val>
          <c:extLst>
            <c:ext xmlns:c16="http://schemas.microsoft.com/office/drawing/2014/chart" uri="{C3380CC4-5D6E-409C-BE32-E72D297353CC}">
              <c16:uniqueId val="{00000004-ECA1-420B-BA25-B95EA76DDC47}"/>
            </c:ext>
          </c:extLst>
        </c:ser>
        <c:ser>
          <c:idx val="5"/>
          <c:order val="5"/>
          <c:tx>
            <c:strRef>
              <c:f>Pakalp_eksports_Q!$AK$40</c:f>
              <c:strCache>
                <c:ptCount val="1"/>
                <c:pt idx="0">
                  <c:v>Citi pakalpojumi</c:v>
                </c:pt>
              </c:strCache>
            </c:strRef>
          </c:tx>
          <c:spPr>
            <a:solidFill>
              <a:schemeClr val="accent6">
                <a:lumMod val="60000"/>
                <a:lumOff val="40000"/>
              </a:schemeClr>
            </a:solidFill>
            <a:ln>
              <a:noFill/>
            </a:ln>
            <a:effectLst/>
          </c:spPr>
          <c:invertIfNegative val="0"/>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Pakalp_eksports_Q!$BQ$40:$CA$40</c:f>
              <c:numCache>
                <c:formatCode>0.0</c:formatCode>
                <c:ptCount val="11"/>
                <c:pt idx="0">
                  <c:v>1.1155378486055778</c:v>
                </c:pt>
                <c:pt idx="1">
                  <c:v>7.0771408351026188E-2</c:v>
                </c:pt>
                <c:pt idx="2">
                  <c:v>1.6260162601626016</c:v>
                </c:pt>
                <c:pt idx="3">
                  <c:v>0.20746887966804978</c:v>
                </c:pt>
                <c:pt idx="4">
                  <c:v>2.9215358931552591</c:v>
                </c:pt>
                <c:pt idx="5">
                  <c:v>5.9330143540669855</c:v>
                </c:pt>
                <c:pt idx="6">
                  <c:v>4.5230263157894735</c:v>
                </c:pt>
                <c:pt idx="7">
                  <c:v>6.7469879518072284</c:v>
                </c:pt>
                <c:pt idx="8">
                  <c:v>10.414746543778802</c:v>
                </c:pt>
                <c:pt idx="9">
                  <c:v>9.4605809128630689</c:v>
                </c:pt>
                <c:pt idx="10">
                  <c:v>10.801144492131616</c:v>
                </c:pt>
              </c:numCache>
            </c:numRef>
          </c:val>
          <c:extLst>
            <c:ext xmlns:c16="http://schemas.microsoft.com/office/drawing/2014/chart" uri="{C3380CC4-5D6E-409C-BE32-E72D297353CC}">
              <c16:uniqueId val="{00000005-ECA1-420B-BA25-B95EA76DDC47}"/>
            </c:ext>
          </c:extLst>
        </c:ser>
        <c:dLbls>
          <c:showLegendKey val="0"/>
          <c:showVal val="0"/>
          <c:showCatName val="0"/>
          <c:showSerName val="0"/>
          <c:showPercent val="0"/>
          <c:showBubbleSize val="0"/>
        </c:dLbls>
        <c:gapWidth val="50"/>
        <c:overlap val="100"/>
        <c:axId val="348099048"/>
        <c:axId val="348099440"/>
      </c:barChart>
      <c:lineChart>
        <c:grouping val="standard"/>
        <c:varyColors val="0"/>
        <c:ser>
          <c:idx val="6"/>
          <c:order val="6"/>
          <c:tx>
            <c:strRef>
              <c:f>Pakalp_eksports_Q!$AK$41</c:f>
              <c:strCache>
                <c:ptCount val="1"/>
                <c:pt idx="0">
                  <c:v>Kopējais pieaugums</c:v>
                </c:pt>
              </c:strCache>
            </c:strRef>
          </c:tx>
          <c:spPr>
            <a:ln w="19050" cap="rnd">
              <a:solidFill>
                <a:schemeClr val="tx1"/>
              </a:solidFill>
              <a:round/>
            </a:ln>
            <a:effectLst/>
          </c:spPr>
          <c:marker>
            <c:symbol val="none"/>
          </c:marker>
          <c:cat>
            <c:multiLvlStrRef>
              <c:f>Pakalp_eksports_Q!$BQ$5:$CA$6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Pakalp_eksports_Q!$BQ$41:$CA$41</c:f>
              <c:numCache>
                <c:formatCode>0.0</c:formatCode>
                <c:ptCount val="11"/>
                <c:pt idx="0">
                  <c:v>-4.5418326693227096</c:v>
                </c:pt>
                <c:pt idx="1">
                  <c:v>-26.043878273177633</c:v>
                </c:pt>
                <c:pt idx="2">
                  <c:v>-17.615176151761517</c:v>
                </c:pt>
                <c:pt idx="3">
                  <c:v>-13.900414937759338</c:v>
                </c:pt>
                <c:pt idx="4">
                  <c:v>-9.4323873121869788</c:v>
                </c:pt>
                <c:pt idx="5">
                  <c:v>15.311004784688995</c:v>
                </c:pt>
                <c:pt idx="6">
                  <c:v>14.967105263157894</c:v>
                </c:pt>
                <c:pt idx="7">
                  <c:v>20.883534136546185</c:v>
                </c:pt>
                <c:pt idx="8">
                  <c:v>31.244239631336406</c:v>
                </c:pt>
                <c:pt idx="9">
                  <c:v>38.672199170124479</c:v>
                </c:pt>
                <c:pt idx="10">
                  <c:v>40.629470672389125</c:v>
                </c:pt>
              </c:numCache>
            </c:numRef>
          </c:val>
          <c:smooth val="0"/>
          <c:extLst>
            <c:ext xmlns:c16="http://schemas.microsoft.com/office/drawing/2014/chart" uri="{C3380CC4-5D6E-409C-BE32-E72D297353CC}">
              <c16:uniqueId val="{00000006-ECA1-420B-BA25-B95EA76DDC47}"/>
            </c:ext>
          </c:extLst>
        </c:ser>
        <c:dLbls>
          <c:showLegendKey val="0"/>
          <c:showVal val="0"/>
          <c:showCatName val="0"/>
          <c:showSerName val="0"/>
          <c:showPercent val="0"/>
          <c:showBubbleSize val="0"/>
        </c:dLbls>
        <c:marker val="1"/>
        <c:smooth val="0"/>
        <c:axId val="348099048"/>
        <c:axId val="348099440"/>
      </c:lineChart>
      <c:catAx>
        <c:axId val="348099048"/>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vert="horz"/>
          <a:lstStyle/>
          <a:p>
            <a:pPr>
              <a:defRPr/>
            </a:pPr>
            <a:endParaRPr lang="lv-LV"/>
          </a:p>
        </c:txPr>
        <c:crossAx val="348099440"/>
        <c:crosses val="autoZero"/>
        <c:auto val="1"/>
        <c:lblAlgn val="ctr"/>
        <c:lblOffset val="100"/>
        <c:noMultiLvlLbl val="0"/>
      </c:catAx>
      <c:valAx>
        <c:axId val="348099440"/>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lv-LV"/>
          </a:p>
        </c:txPr>
        <c:crossAx val="348099048"/>
        <c:crosses val="autoZero"/>
        <c:crossBetween val="between"/>
        <c:majorUnit val="15"/>
      </c:valAx>
      <c:spPr>
        <a:noFill/>
        <a:ln w="25400">
          <a:noFill/>
        </a:ln>
      </c:spPr>
    </c:plotArea>
    <c:legend>
      <c:legendPos val="b"/>
      <c:layout>
        <c:manualLayout>
          <c:xMode val="edge"/>
          <c:yMode val="edge"/>
          <c:x val="2.257817571190698E-2"/>
          <c:y val="0.75368702305528001"/>
          <c:w val="0.94997681859110672"/>
          <c:h val="0.2453338454644389"/>
        </c:manualLayout>
      </c:layout>
      <c:overlay val="0"/>
      <c:spPr>
        <a:noFill/>
        <a:ln>
          <a:noFill/>
        </a:ln>
        <a:effectLst/>
      </c:spPr>
      <c:txPr>
        <a:bodyPr rot="0" vert="horz"/>
        <a:lstStyle/>
        <a:p>
          <a:pPr>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469098235230559E-2"/>
          <c:y val="4.3342094588211762E-2"/>
          <c:w val="0.87379657224121887"/>
          <c:h val="0.53418750937713588"/>
        </c:manualLayout>
      </c:layout>
      <c:barChart>
        <c:barDir val="col"/>
        <c:grouping val="stacked"/>
        <c:varyColors val="0"/>
        <c:ser>
          <c:idx val="0"/>
          <c:order val="0"/>
          <c:tx>
            <c:strRef>
              <c:f>'Tekošais konts_Q'!$U$7</c:f>
              <c:strCache>
                <c:ptCount val="1"/>
                <c:pt idx="0">
                  <c:v>Preces</c:v>
                </c:pt>
              </c:strCache>
            </c:strRef>
          </c:tx>
          <c:spPr>
            <a:solidFill>
              <a:schemeClr val="accent5">
                <a:lumMod val="60000"/>
                <a:lumOff val="40000"/>
              </a:schemeClr>
            </a:solidFill>
            <a:ln>
              <a:noFill/>
            </a:ln>
            <a:effectLst/>
          </c:spPr>
          <c:invertIfNegative val="0"/>
          <c:cat>
            <c:multiLvlStrRef>
              <c:f>'Tekošais konts_Q'!$AU$5:$BE$6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'Tekošais konts_Q'!$AU$7:$BE$7</c:f>
              <c:numCache>
                <c:formatCode>General</c:formatCode>
                <c:ptCount val="11"/>
                <c:pt idx="0">
                  <c:v>-491</c:v>
                </c:pt>
                <c:pt idx="1">
                  <c:v>-312</c:v>
                </c:pt>
                <c:pt idx="2">
                  <c:v>-491</c:v>
                </c:pt>
                <c:pt idx="3">
                  <c:v>-257</c:v>
                </c:pt>
                <c:pt idx="4">
                  <c:v>-443</c:v>
                </c:pt>
                <c:pt idx="5">
                  <c:v>-930</c:v>
                </c:pt>
                <c:pt idx="6">
                  <c:v>-842</c:v>
                </c:pt>
                <c:pt idx="7">
                  <c:v>-560</c:v>
                </c:pt>
                <c:pt idx="8">
                  <c:v>-899</c:v>
                </c:pt>
                <c:pt idx="9">
                  <c:v>-1262</c:v>
                </c:pt>
                <c:pt idx="10">
                  <c:v>-1135</c:v>
                </c:pt>
              </c:numCache>
            </c:numRef>
          </c:val>
          <c:extLst>
            <c:ext xmlns:c16="http://schemas.microsoft.com/office/drawing/2014/chart" uri="{C3380CC4-5D6E-409C-BE32-E72D297353CC}">
              <c16:uniqueId val="{00000000-ABA7-4407-86E3-19225464A987}"/>
            </c:ext>
          </c:extLst>
        </c:ser>
        <c:ser>
          <c:idx val="1"/>
          <c:order val="1"/>
          <c:tx>
            <c:strRef>
              <c:f>'Tekošais konts_Q'!$U$8</c:f>
              <c:strCache>
                <c:ptCount val="1"/>
                <c:pt idx="0">
                  <c:v>Pakalpojumi</c:v>
                </c:pt>
              </c:strCache>
            </c:strRef>
          </c:tx>
          <c:spPr>
            <a:solidFill>
              <a:schemeClr val="accent2">
                <a:lumMod val="60000"/>
                <a:lumOff val="40000"/>
              </a:schemeClr>
            </a:solidFill>
            <a:ln>
              <a:noFill/>
            </a:ln>
            <a:effectLst/>
          </c:spPr>
          <c:invertIfNegative val="0"/>
          <c:cat>
            <c:multiLvlStrRef>
              <c:f>'Tekošais konts_Q'!$AU$5:$BE$6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'Tekošais konts_Q'!$AU$8:$BE$8</c:f>
              <c:numCache>
                <c:formatCode>General</c:formatCode>
                <c:ptCount val="11"/>
                <c:pt idx="0">
                  <c:v>446</c:v>
                </c:pt>
                <c:pt idx="1">
                  <c:v>451</c:v>
                </c:pt>
                <c:pt idx="2">
                  <c:v>490</c:v>
                </c:pt>
                <c:pt idx="3">
                  <c:v>458</c:v>
                </c:pt>
                <c:pt idx="4">
                  <c:v>376</c:v>
                </c:pt>
                <c:pt idx="5">
                  <c:v>368</c:v>
                </c:pt>
                <c:pt idx="6">
                  <c:v>410</c:v>
                </c:pt>
                <c:pt idx="7">
                  <c:v>466</c:v>
                </c:pt>
                <c:pt idx="8">
                  <c:v>437</c:v>
                </c:pt>
                <c:pt idx="9">
                  <c:v>532</c:v>
                </c:pt>
                <c:pt idx="10">
                  <c:v>655</c:v>
                </c:pt>
              </c:numCache>
            </c:numRef>
          </c:val>
          <c:extLst>
            <c:ext xmlns:c16="http://schemas.microsoft.com/office/drawing/2014/chart" uri="{C3380CC4-5D6E-409C-BE32-E72D297353CC}">
              <c16:uniqueId val="{00000001-ABA7-4407-86E3-19225464A987}"/>
            </c:ext>
          </c:extLst>
        </c:ser>
        <c:ser>
          <c:idx val="2"/>
          <c:order val="2"/>
          <c:tx>
            <c:strRef>
              <c:f>'Tekošais konts_Q'!$U$9</c:f>
              <c:strCache>
                <c:ptCount val="1"/>
                <c:pt idx="0">
                  <c:v>Sākotnējie ienākumi</c:v>
                </c:pt>
              </c:strCache>
            </c:strRef>
          </c:tx>
          <c:spPr>
            <a:solidFill>
              <a:schemeClr val="accent3"/>
            </a:solidFill>
            <a:ln>
              <a:noFill/>
            </a:ln>
            <a:effectLst/>
          </c:spPr>
          <c:invertIfNegative val="0"/>
          <c:cat>
            <c:multiLvlStrRef>
              <c:f>'Tekošais konts_Q'!$AU$5:$BE$6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'Tekošais konts_Q'!$AU$9:$BE$9</c:f>
              <c:numCache>
                <c:formatCode>General</c:formatCode>
                <c:ptCount val="11"/>
                <c:pt idx="0">
                  <c:v>-38</c:v>
                </c:pt>
                <c:pt idx="1">
                  <c:v>-44</c:v>
                </c:pt>
                <c:pt idx="2">
                  <c:v>-212</c:v>
                </c:pt>
                <c:pt idx="3">
                  <c:v>286</c:v>
                </c:pt>
                <c:pt idx="4">
                  <c:v>-190</c:v>
                </c:pt>
                <c:pt idx="5">
                  <c:v>-288</c:v>
                </c:pt>
                <c:pt idx="6">
                  <c:v>-317</c:v>
                </c:pt>
                <c:pt idx="7">
                  <c:v>174</c:v>
                </c:pt>
                <c:pt idx="8">
                  <c:v>-251</c:v>
                </c:pt>
                <c:pt idx="9">
                  <c:v>-235</c:v>
                </c:pt>
                <c:pt idx="10">
                  <c:v>-264</c:v>
                </c:pt>
              </c:numCache>
            </c:numRef>
          </c:val>
          <c:extLst>
            <c:ext xmlns:c16="http://schemas.microsoft.com/office/drawing/2014/chart" uri="{C3380CC4-5D6E-409C-BE32-E72D297353CC}">
              <c16:uniqueId val="{00000002-ABA7-4407-86E3-19225464A987}"/>
            </c:ext>
          </c:extLst>
        </c:ser>
        <c:ser>
          <c:idx val="3"/>
          <c:order val="3"/>
          <c:tx>
            <c:strRef>
              <c:f>'Tekošais konts_Q'!$U$10</c:f>
              <c:strCache>
                <c:ptCount val="1"/>
                <c:pt idx="0">
                  <c:v>Otrreizējie ienākumi</c:v>
                </c:pt>
              </c:strCache>
            </c:strRef>
          </c:tx>
          <c:spPr>
            <a:solidFill>
              <a:schemeClr val="accent6">
                <a:lumMod val="60000"/>
                <a:lumOff val="40000"/>
              </a:schemeClr>
            </a:solidFill>
            <a:ln>
              <a:noFill/>
            </a:ln>
            <a:effectLst/>
          </c:spPr>
          <c:invertIfNegative val="0"/>
          <c:cat>
            <c:multiLvlStrRef>
              <c:f>'Tekošais konts_Q'!$AU$5:$BE$6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'Tekošais konts_Q'!$AU$10:$BE$10</c:f>
              <c:numCache>
                <c:formatCode>General</c:formatCode>
                <c:ptCount val="11"/>
                <c:pt idx="0">
                  <c:v>99</c:v>
                </c:pt>
                <c:pt idx="1">
                  <c:v>136</c:v>
                </c:pt>
                <c:pt idx="2">
                  <c:v>165</c:v>
                </c:pt>
                <c:pt idx="3">
                  <c:v>103</c:v>
                </c:pt>
                <c:pt idx="4">
                  <c:v>37</c:v>
                </c:pt>
                <c:pt idx="5">
                  <c:v>91</c:v>
                </c:pt>
                <c:pt idx="6">
                  <c:v>130</c:v>
                </c:pt>
                <c:pt idx="7">
                  <c:v>103</c:v>
                </c:pt>
                <c:pt idx="8">
                  <c:v>72</c:v>
                </c:pt>
                <c:pt idx="9">
                  <c:v>52</c:v>
                </c:pt>
                <c:pt idx="10">
                  <c:v>144</c:v>
                </c:pt>
              </c:numCache>
            </c:numRef>
          </c:val>
          <c:extLst>
            <c:ext xmlns:c16="http://schemas.microsoft.com/office/drawing/2014/chart" uri="{C3380CC4-5D6E-409C-BE32-E72D297353CC}">
              <c16:uniqueId val="{00000003-ABA7-4407-86E3-19225464A987}"/>
            </c:ext>
          </c:extLst>
        </c:ser>
        <c:dLbls>
          <c:showLegendKey val="0"/>
          <c:showVal val="0"/>
          <c:showCatName val="0"/>
          <c:showSerName val="0"/>
          <c:showPercent val="0"/>
          <c:showBubbleSize val="0"/>
        </c:dLbls>
        <c:gapWidth val="50"/>
        <c:overlap val="100"/>
        <c:axId val="1831334048"/>
        <c:axId val="1831339872"/>
      </c:barChart>
      <c:lineChart>
        <c:grouping val="standard"/>
        <c:varyColors val="0"/>
        <c:ser>
          <c:idx val="4"/>
          <c:order val="4"/>
          <c:tx>
            <c:strRef>
              <c:f>'Tekošais konts_Q'!$U$11</c:f>
              <c:strCache>
                <c:ptCount val="1"/>
                <c:pt idx="0">
                  <c:v>Tekošais konts (% no IKP, l.a.)</c:v>
                </c:pt>
              </c:strCache>
            </c:strRef>
          </c:tx>
          <c:spPr>
            <a:ln w="22225" cap="rnd">
              <a:solidFill>
                <a:schemeClr val="tx1"/>
              </a:solidFill>
              <a:round/>
            </a:ln>
            <a:effectLst/>
          </c:spPr>
          <c:marker>
            <c:symbol val="none"/>
          </c:marker>
          <c:cat>
            <c:multiLvlStrRef>
              <c:f>'Tekošais konts_Q'!$AU$5:$BE$6</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'Tekošais konts_Q'!$AU$11:$BE$11</c:f>
              <c:numCache>
                <c:formatCode>0.0%</c:formatCode>
                <c:ptCount val="11"/>
                <c:pt idx="0">
                  <c:v>2E-3</c:v>
                </c:pt>
                <c:pt idx="1">
                  <c:v>3.3000000000000002E-2</c:v>
                </c:pt>
                <c:pt idx="2" formatCode="0.00%">
                  <c:v>-6.0000000000000001E-3</c:v>
                </c:pt>
                <c:pt idx="3" formatCode="0.00%">
                  <c:v>7.1999999999999995E-2</c:v>
                </c:pt>
                <c:pt idx="4" formatCode="0.00%">
                  <c:v>-3.1E-2</c:v>
                </c:pt>
                <c:pt idx="5" formatCode="0.00%">
                  <c:v>-9.1999999999999998E-2</c:v>
                </c:pt>
                <c:pt idx="6">
                  <c:v>-6.8000000000000005E-2</c:v>
                </c:pt>
                <c:pt idx="7">
                  <c:v>0.02</c:v>
                </c:pt>
                <c:pt idx="8">
                  <c:v>-7.6999999999999999E-2</c:v>
                </c:pt>
                <c:pt idx="9">
                  <c:v>-9.4E-2</c:v>
                </c:pt>
                <c:pt idx="10">
                  <c:v>-5.8000000000000003E-2</c:v>
                </c:pt>
              </c:numCache>
            </c:numRef>
          </c:val>
          <c:smooth val="1"/>
          <c:extLst>
            <c:ext xmlns:c16="http://schemas.microsoft.com/office/drawing/2014/chart" uri="{C3380CC4-5D6E-409C-BE32-E72D297353CC}">
              <c16:uniqueId val="{00000004-ABA7-4407-86E3-19225464A987}"/>
            </c:ext>
          </c:extLst>
        </c:ser>
        <c:dLbls>
          <c:showLegendKey val="0"/>
          <c:showVal val="0"/>
          <c:showCatName val="0"/>
          <c:showSerName val="0"/>
          <c:showPercent val="0"/>
          <c:showBubbleSize val="0"/>
        </c:dLbls>
        <c:marker val="1"/>
        <c:smooth val="0"/>
        <c:axId val="1831373984"/>
        <c:axId val="1831363584"/>
      </c:lineChart>
      <c:catAx>
        <c:axId val="1831334048"/>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31339872"/>
        <c:crosses val="autoZero"/>
        <c:auto val="1"/>
        <c:lblAlgn val="ctr"/>
        <c:lblOffset val="100"/>
        <c:noMultiLvlLbl val="0"/>
      </c:catAx>
      <c:valAx>
        <c:axId val="1831339872"/>
        <c:scaling>
          <c:orientation val="minMax"/>
          <c:max val="1800"/>
          <c:min val="-18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31334048"/>
        <c:crosses val="autoZero"/>
        <c:crossBetween val="between"/>
        <c:majorUnit val="600"/>
      </c:valAx>
      <c:valAx>
        <c:axId val="1831363584"/>
        <c:scaling>
          <c:orientation val="minMax"/>
          <c:max val="0.1"/>
          <c:min val="-0.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31373984"/>
        <c:crosses val="max"/>
        <c:crossBetween val="between"/>
      </c:valAx>
      <c:catAx>
        <c:axId val="1831373984"/>
        <c:scaling>
          <c:orientation val="minMax"/>
        </c:scaling>
        <c:delete val="1"/>
        <c:axPos val="b"/>
        <c:numFmt formatCode="General" sourceLinked="1"/>
        <c:majorTickMark val="out"/>
        <c:minorTickMark val="none"/>
        <c:tickLblPos val="nextTo"/>
        <c:crossAx val="1831363584"/>
        <c:crosses val="autoZero"/>
        <c:auto val="1"/>
        <c:lblAlgn val="ctr"/>
        <c:lblOffset val="100"/>
        <c:noMultiLvlLbl val="0"/>
      </c:catAx>
      <c:spPr>
        <a:noFill/>
        <a:ln>
          <a:noFill/>
        </a:ln>
        <a:effectLst/>
      </c:spPr>
    </c:plotArea>
    <c:legend>
      <c:legendPos val="b"/>
      <c:layout>
        <c:manualLayout>
          <c:xMode val="edge"/>
          <c:yMode val="edge"/>
          <c:x val="0.12663654978784492"/>
          <c:y val="0.75713912613428613"/>
          <c:w val="0.76204639969601651"/>
          <c:h val="0.2216893848043165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04505153319251"/>
          <c:y val="4.5548993875765532E-2"/>
          <c:w val="0.66185583509378398"/>
          <c:h val="0.56096746352651861"/>
        </c:manualLayout>
      </c:layout>
      <c:barChart>
        <c:barDir val="col"/>
        <c:grouping val="stacked"/>
        <c:varyColors val="0"/>
        <c:ser>
          <c:idx val="0"/>
          <c:order val="0"/>
          <c:tx>
            <c:strRef>
              <c:f>'Tekošais konts_Y'!$B$4</c:f>
              <c:strCache>
                <c:ptCount val="1"/>
                <c:pt idx="0">
                  <c:v>Preces</c:v>
                </c:pt>
              </c:strCache>
            </c:strRef>
          </c:tx>
          <c:spPr>
            <a:solidFill>
              <a:schemeClr val="accent5">
                <a:lumMod val="60000"/>
                <a:lumOff val="40000"/>
              </a:schemeClr>
            </a:solidFill>
            <a:ln>
              <a:noFill/>
            </a:ln>
            <a:effectLst/>
          </c:spPr>
          <c:invertIfNegative val="0"/>
          <c:cat>
            <c:numRef>
              <c:f>'Tekošais konts_Y'!$O$2:$S$2</c:f>
              <c:numCache>
                <c:formatCode>General</c:formatCode>
                <c:ptCount val="5"/>
                <c:pt idx="0">
                  <c:v>2017</c:v>
                </c:pt>
                <c:pt idx="1">
                  <c:v>2018</c:v>
                </c:pt>
                <c:pt idx="2">
                  <c:v>2019</c:v>
                </c:pt>
                <c:pt idx="3">
                  <c:v>2020</c:v>
                </c:pt>
                <c:pt idx="4">
                  <c:v>2021</c:v>
                </c:pt>
              </c:numCache>
            </c:numRef>
          </c:cat>
          <c:val>
            <c:numRef>
              <c:f>'Tekošais konts_Y'!$O$4:$S$4</c:f>
              <c:numCache>
                <c:formatCode>General</c:formatCode>
                <c:ptCount val="5"/>
                <c:pt idx="0" formatCode="#,##0">
                  <c:v>-2450</c:v>
                </c:pt>
                <c:pt idx="1">
                  <c:v>-2501</c:v>
                </c:pt>
                <c:pt idx="2">
                  <c:v>-2639</c:v>
                </c:pt>
                <c:pt idx="3">
                  <c:v>-1551</c:v>
                </c:pt>
                <c:pt idx="4">
                  <c:v>-2774</c:v>
                </c:pt>
              </c:numCache>
            </c:numRef>
          </c:val>
          <c:extLst>
            <c:ext xmlns:c16="http://schemas.microsoft.com/office/drawing/2014/chart" uri="{C3380CC4-5D6E-409C-BE32-E72D297353CC}">
              <c16:uniqueId val="{00000000-D0C9-40CC-9ADB-08B5A113CAFD}"/>
            </c:ext>
          </c:extLst>
        </c:ser>
        <c:ser>
          <c:idx val="1"/>
          <c:order val="1"/>
          <c:tx>
            <c:strRef>
              <c:f>'Tekošais konts_Y'!$B$5</c:f>
              <c:strCache>
                <c:ptCount val="1"/>
                <c:pt idx="0">
                  <c:v>Pakalpojumi</c:v>
                </c:pt>
              </c:strCache>
            </c:strRef>
          </c:tx>
          <c:spPr>
            <a:solidFill>
              <a:schemeClr val="accent2">
                <a:lumMod val="60000"/>
                <a:lumOff val="40000"/>
              </a:schemeClr>
            </a:solidFill>
            <a:ln>
              <a:noFill/>
            </a:ln>
            <a:effectLst/>
          </c:spPr>
          <c:invertIfNegative val="0"/>
          <c:cat>
            <c:numRef>
              <c:f>'Tekošais konts_Y'!$O$2:$S$2</c:f>
              <c:numCache>
                <c:formatCode>General</c:formatCode>
                <c:ptCount val="5"/>
                <c:pt idx="0">
                  <c:v>2017</c:v>
                </c:pt>
                <c:pt idx="1">
                  <c:v>2018</c:v>
                </c:pt>
                <c:pt idx="2">
                  <c:v>2019</c:v>
                </c:pt>
                <c:pt idx="3">
                  <c:v>2020</c:v>
                </c:pt>
                <c:pt idx="4">
                  <c:v>2021</c:v>
                </c:pt>
              </c:numCache>
            </c:numRef>
          </c:cat>
          <c:val>
            <c:numRef>
              <c:f>'Tekošais konts_Y'!$O$5:$S$5</c:f>
              <c:numCache>
                <c:formatCode>General</c:formatCode>
                <c:ptCount val="5"/>
                <c:pt idx="0" formatCode="#,##0">
                  <c:v>2280</c:v>
                </c:pt>
                <c:pt idx="1">
                  <c:v>2308</c:v>
                </c:pt>
                <c:pt idx="2">
                  <c:v>2437</c:v>
                </c:pt>
                <c:pt idx="3">
                  <c:v>1844</c:v>
                </c:pt>
                <c:pt idx="4">
                  <c:v>1620</c:v>
                </c:pt>
              </c:numCache>
            </c:numRef>
          </c:val>
          <c:extLst>
            <c:ext xmlns:c16="http://schemas.microsoft.com/office/drawing/2014/chart" uri="{C3380CC4-5D6E-409C-BE32-E72D297353CC}">
              <c16:uniqueId val="{00000001-D0C9-40CC-9ADB-08B5A113CAFD}"/>
            </c:ext>
          </c:extLst>
        </c:ser>
        <c:ser>
          <c:idx val="2"/>
          <c:order val="2"/>
          <c:tx>
            <c:strRef>
              <c:f>'Tekošais konts_Y'!$B$6</c:f>
              <c:strCache>
                <c:ptCount val="1"/>
                <c:pt idx="0">
                  <c:v>Sākotnējie ienākumi</c:v>
                </c:pt>
              </c:strCache>
            </c:strRef>
          </c:tx>
          <c:spPr>
            <a:solidFill>
              <a:schemeClr val="accent3"/>
            </a:solidFill>
            <a:ln>
              <a:noFill/>
            </a:ln>
            <a:effectLst/>
          </c:spPr>
          <c:invertIfNegative val="0"/>
          <c:cat>
            <c:numRef>
              <c:f>'Tekošais konts_Y'!$O$2:$S$2</c:f>
              <c:numCache>
                <c:formatCode>General</c:formatCode>
                <c:ptCount val="5"/>
                <c:pt idx="0">
                  <c:v>2017</c:v>
                </c:pt>
                <c:pt idx="1">
                  <c:v>2018</c:v>
                </c:pt>
                <c:pt idx="2">
                  <c:v>2019</c:v>
                </c:pt>
                <c:pt idx="3">
                  <c:v>2020</c:v>
                </c:pt>
                <c:pt idx="4">
                  <c:v>2021</c:v>
                </c:pt>
              </c:numCache>
            </c:numRef>
          </c:cat>
          <c:val>
            <c:numRef>
              <c:f>'Tekošais konts_Y'!$O$6:$S$6</c:f>
              <c:numCache>
                <c:formatCode>General</c:formatCode>
                <c:ptCount val="5"/>
                <c:pt idx="0" formatCode="#,##0">
                  <c:v>-68</c:v>
                </c:pt>
                <c:pt idx="1">
                  <c:v>-462</c:v>
                </c:pt>
                <c:pt idx="2">
                  <c:v>-445</c:v>
                </c:pt>
                <c:pt idx="3">
                  <c:v>-8</c:v>
                </c:pt>
                <c:pt idx="4">
                  <c:v>-621</c:v>
                </c:pt>
              </c:numCache>
            </c:numRef>
          </c:val>
          <c:extLst>
            <c:ext xmlns:c16="http://schemas.microsoft.com/office/drawing/2014/chart" uri="{C3380CC4-5D6E-409C-BE32-E72D297353CC}">
              <c16:uniqueId val="{00000002-D0C9-40CC-9ADB-08B5A113CAFD}"/>
            </c:ext>
          </c:extLst>
        </c:ser>
        <c:ser>
          <c:idx val="3"/>
          <c:order val="3"/>
          <c:tx>
            <c:strRef>
              <c:f>'Tekošais konts_Y'!$B$7</c:f>
              <c:strCache>
                <c:ptCount val="1"/>
                <c:pt idx="0">
                  <c:v>Otrreizējie ienākumi</c:v>
                </c:pt>
              </c:strCache>
            </c:strRef>
          </c:tx>
          <c:spPr>
            <a:solidFill>
              <a:schemeClr val="accent6">
                <a:lumMod val="60000"/>
                <a:lumOff val="40000"/>
              </a:schemeClr>
            </a:solidFill>
            <a:ln>
              <a:noFill/>
            </a:ln>
            <a:effectLst/>
          </c:spPr>
          <c:invertIfNegative val="0"/>
          <c:cat>
            <c:numRef>
              <c:f>'Tekošais konts_Y'!$O$2:$S$2</c:f>
              <c:numCache>
                <c:formatCode>General</c:formatCode>
                <c:ptCount val="5"/>
                <c:pt idx="0">
                  <c:v>2017</c:v>
                </c:pt>
                <c:pt idx="1">
                  <c:v>2018</c:v>
                </c:pt>
                <c:pt idx="2">
                  <c:v>2019</c:v>
                </c:pt>
                <c:pt idx="3">
                  <c:v>2020</c:v>
                </c:pt>
                <c:pt idx="4">
                  <c:v>2021</c:v>
                </c:pt>
              </c:numCache>
            </c:numRef>
          </c:cat>
          <c:val>
            <c:numRef>
              <c:f>'Tekošais konts_Y'!$O$7:$S$7</c:f>
              <c:numCache>
                <c:formatCode>General</c:formatCode>
                <c:ptCount val="5"/>
                <c:pt idx="0" formatCode="#,##0">
                  <c:v>580</c:v>
                </c:pt>
                <c:pt idx="1">
                  <c:v>617</c:v>
                </c:pt>
                <c:pt idx="2">
                  <c:v>471</c:v>
                </c:pt>
                <c:pt idx="3">
                  <c:v>503</c:v>
                </c:pt>
                <c:pt idx="4">
                  <c:v>361</c:v>
                </c:pt>
              </c:numCache>
            </c:numRef>
          </c:val>
          <c:extLst>
            <c:ext xmlns:c16="http://schemas.microsoft.com/office/drawing/2014/chart" uri="{C3380CC4-5D6E-409C-BE32-E72D297353CC}">
              <c16:uniqueId val="{00000003-D0C9-40CC-9ADB-08B5A113CAFD}"/>
            </c:ext>
          </c:extLst>
        </c:ser>
        <c:dLbls>
          <c:showLegendKey val="0"/>
          <c:showVal val="0"/>
          <c:showCatName val="0"/>
          <c:showSerName val="0"/>
          <c:showPercent val="0"/>
          <c:showBubbleSize val="0"/>
        </c:dLbls>
        <c:gapWidth val="100"/>
        <c:overlap val="100"/>
        <c:axId val="522491375"/>
        <c:axId val="522492623"/>
      </c:barChart>
      <c:lineChart>
        <c:grouping val="standard"/>
        <c:varyColors val="0"/>
        <c:ser>
          <c:idx val="4"/>
          <c:order val="4"/>
          <c:tx>
            <c:strRef>
              <c:f>'Tekošais konts_Y'!$B$8</c:f>
              <c:strCache>
                <c:ptCount val="1"/>
                <c:pt idx="0">
                  <c:v>Tekošais konts (% no IKP, l.a.)</c:v>
                </c:pt>
              </c:strCache>
            </c:strRef>
          </c:tx>
          <c:spPr>
            <a:ln w="22225" cap="rnd">
              <a:solidFill>
                <a:schemeClr val="tx1"/>
              </a:solidFill>
              <a:round/>
            </a:ln>
            <a:effectLst/>
          </c:spPr>
          <c:marker>
            <c:symbol val="none"/>
          </c:marker>
          <c:cat>
            <c:numRef>
              <c:f>'Tekošais konts_Y'!$O$2:$S$2</c:f>
              <c:numCache>
                <c:formatCode>General</c:formatCode>
                <c:ptCount val="5"/>
                <c:pt idx="0">
                  <c:v>2017</c:v>
                </c:pt>
                <c:pt idx="1">
                  <c:v>2018</c:v>
                </c:pt>
                <c:pt idx="2">
                  <c:v>2019</c:v>
                </c:pt>
                <c:pt idx="3">
                  <c:v>2020</c:v>
                </c:pt>
                <c:pt idx="4">
                  <c:v>2021</c:v>
                </c:pt>
              </c:numCache>
            </c:numRef>
          </c:cat>
          <c:val>
            <c:numRef>
              <c:f>'Tekošais konts_Y'!$O$8:$S$8</c:f>
              <c:numCache>
                <c:formatCode>0.0%</c:formatCode>
                <c:ptCount val="5"/>
                <c:pt idx="0">
                  <c:v>1.3000000000000001E-2</c:v>
                </c:pt>
                <c:pt idx="1">
                  <c:v>-1E-3</c:v>
                </c:pt>
                <c:pt idx="2">
                  <c:v>-6.0000000000000001E-3</c:v>
                </c:pt>
                <c:pt idx="3">
                  <c:v>2.5999999999999999E-2</c:v>
                </c:pt>
                <c:pt idx="4">
                  <c:v>-4.2000000000000003E-2</c:v>
                </c:pt>
              </c:numCache>
            </c:numRef>
          </c:val>
          <c:smooth val="1"/>
          <c:extLst>
            <c:ext xmlns:c16="http://schemas.microsoft.com/office/drawing/2014/chart" uri="{C3380CC4-5D6E-409C-BE32-E72D297353CC}">
              <c16:uniqueId val="{00000004-D0C9-40CC-9ADB-08B5A113CAFD}"/>
            </c:ext>
          </c:extLst>
        </c:ser>
        <c:dLbls>
          <c:showLegendKey val="0"/>
          <c:showVal val="0"/>
          <c:showCatName val="0"/>
          <c:showSerName val="0"/>
          <c:showPercent val="0"/>
          <c:showBubbleSize val="0"/>
        </c:dLbls>
        <c:marker val="1"/>
        <c:smooth val="0"/>
        <c:axId val="819454831"/>
        <c:axId val="819451919"/>
      </c:lineChart>
      <c:catAx>
        <c:axId val="522491375"/>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2492623"/>
        <c:crosses val="autoZero"/>
        <c:auto val="1"/>
        <c:lblAlgn val="ctr"/>
        <c:lblOffset val="100"/>
        <c:noMultiLvlLbl val="0"/>
      </c:catAx>
      <c:valAx>
        <c:axId val="5224926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2491375"/>
        <c:crosses val="autoZero"/>
        <c:crossBetween val="between"/>
      </c:valAx>
      <c:valAx>
        <c:axId val="819451919"/>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19454831"/>
        <c:crosses val="max"/>
        <c:crossBetween val="between"/>
      </c:valAx>
      <c:catAx>
        <c:axId val="819454831"/>
        <c:scaling>
          <c:orientation val="minMax"/>
        </c:scaling>
        <c:delete val="1"/>
        <c:axPos val="b"/>
        <c:numFmt formatCode="General" sourceLinked="1"/>
        <c:majorTickMark val="out"/>
        <c:minorTickMark val="none"/>
        <c:tickLblPos val="nextTo"/>
        <c:crossAx val="819451919"/>
        <c:crosses val="autoZero"/>
        <c:auto val="1"/>
        <c:lblAlgn val="ctr"/>
        <c:lblOffset val="100"/>
        <c:noMultiLvlLbl val="0"/>
      </c:catAx>
      <c:spPr>
        <a:noFill/>
        <a:ln>
          <a:noFill/>
        </a:ln>
        <a:effectLst/>
      </c:spPr>
    </c:plotArea>
    <c:legend>
      <c:legendPos val="b"/>
      <c:layout>
        <c:manualLayout>
          <c:xMode val="edge"/>
          <c:yMode val="edge"/>
          <c:x val="6.5623999743934444E-2"/>
          <c:y val="0.72287247877799043"/>
          <c:w val="0.83318249471864814"/>
          <c:h val="0.2546049986994868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62765240788162"/>
          <c:y val="4.3754972155926809E-2"/>
          <c:w val="0.7115931338742596"/>
          <c:h val="0.55867112672968389"/>
        </c:manualLayout>
      </c:layout>
      <c:barChart>
        <c:barDir val="col"/>
        <c:grouping val="stacked"/>
        <c:varyColors val="0"/>
        <c:ser>
          <c:idx val="0"/>
          <c:order val="0"/>
          <c:tx>
            <c:strRef>
              <c:f>Invest_Eurostat!$D$26</c:f>
              <c:strCache>
                <c:ptCount val="1"/>
                <c:pt idx="0">
                  <c:v>Ēkas, būves, celtnes</c:v>
                </c:pt>
              </c:strCache>
            </c:strRef>
          </c:tx>
          <c:spPr>
            <a:solidFill>
              <a:schemeClr val="accent5">
                <a:lumMod val="60000"/>
                <a:lumOff val="40000"/>
              </a:schemeClr>
            </a:solidFill>
            <a:ln w="25400">
              <a:noFill/>
            </a:ln>
          </c:spPr>
          <c:invertIfNegative val="0"/>
          <c:cat>
            <c:multiLvlStrRef>
              <c:f>Invest_Eurostat!$O$9:$Y$10</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Invest_Eurostat!$O$26:$Y$26</c:f>
              <c:numCache>
                <c:formatCode>0</c:formatCode>
                <c:ptCount val="11"/>
                <c:pt idx="0">
                  <c:v>23.761999999999944</c:v>
                </c:pt>
                <c:pt idx="1">
                  <c:v>-74.067999999999984</c:v>
                </c:pt>
                <c:pt idx="2">
                  <c:v>-97.575000000000045</c:v>
                </c:pt>
                <c:pt idx="3">
                  <c:v>-72.847999999999956</c:v>
                </c:pt>
                <c:pt idx="4">
                  <c:v>-79.229999999999905</c:v>
                </c:pt>
                <c:pt idx="5">
                  <c:v>7.4289999999999736</c:v>
                </c:pt>
                <c:pt idx="6">
                  <c:v>-26.560999999999922</c:v>
                </c:pt>
                <c:pt idx="7">
                  <c:v>-99.73700000000008</c:v>
                </c:pt>
                <c:pt idx="8">
                  <c:v>-45.07200000000006</c:v>
                </c:pt>
                <c:pt idx="9">
                  <c:v>-93.067999999999984</c:v>
                </c:pt>
                <c:pt idx="10">
                  <c:v>-103.41800000000001</c:v>
                </c:pt>
              </c:numCache>
            </c:numRef>
          </c:val>
          <c:extLst>
            <c:ext xmlns:c16="http://schemas.microsoft.com/office/drawing/2014/chart" uri="{C3380CC4-5D6E-409C-BE32-E72D297353CC}">
              <c16:uniqueId val="{00000000-37CA-42C0-9F6C-15A21C837C1C}"/>
            </c:ext>
          </c:extLst>
        </c:ser>
        <c:ser>
          <c:idx val="1"/>
          <c:order val="1"/>
          <c:tx>
            <c:strRef>
              <c:f>Invest_Eurostat!$D$27</c:f>
              <c:strCache>
                <c:ptCount val="1"/>
                <c:pt idx="0">
                  <c:v>Tehnoģiskās iekārtas un mašīnas</c:v>
                </c:pt>
              </c:strCache>
            </c:strRef>
          </c:tx>
          <c:spPr>
            <a:solidFill>
              <a:schemeClr val="accent2">
                <a:lumMod val="60000"/>
                <a:lumOff val="40000"/>
              </a:schemeClr>
            </a:solidFill>
            <a:ln w="25400">
              <a:noFill/>
            </a:ln>
          </c:spPr>
          <c:invertIfNegative val="0"/>
          <c:cat>
            <c:multiLvlStrRef>
              <c:f>Invest_Eurostat!$O$9:$Y$10</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Invest_Eurostat!$O$27:$Y$27</c:f>
              <c:numCache>
                <c:formatCode>0</c:formatCode>
                <c:ptCount val="11"/>
                <c:pt idx="0">
                  <c:v>43.854000000000042</c:v>
                </c:pt>
                <c:pt idx="1">
                  <c:v>-47.395000000000095</c:v>
                </c:pt>
                <c:pt idx="2">
                  <c:v>-26.337999999999965</c:v>
                </c:pt>
                <c:pt idx="3">
                  <c:v>1.3250000000000455</c:v>
                </c:pt>
                <c:pt idx="4">
                  <c:v>11.273000000000025</c:v>
                </c:pt>
                <c:pt idx="5">
                  <c:v>120.2700000000001</c:v>
                </c:pt>
                <c:pt idx="6">
                  <c:v>121.19600000000003</c:v>
                </c:pt>
                <c:pt idx="7">
                  <c:v>109.85599999999999</c:v>
                </c:pt>
                <c:pt idx="8">
                  <c:v>60.816999999999894</c:v>
                </c:pt>
                <c:pt idx="9">
                  <c:v>84.08299999999997</c:v>
                </c:pt>
                <c:pt idx="10">
                  <c:v>87.760999999999967</c:v>
                </c:pt>
              </c:numCache>
            </c:numRef>
          </c:val>
          <c:extLst>
            <c:ext xmlns:c16="http://schemas.microsoft.com/office/drawing/2014/chart" uri="{C3380CC4-5D6E-409C-BE32-E72D297353CC}">
              <c16:uniqueId val="{00000001-37CA-42C0-9F6C-15A21C837C1C}"/>
            </c:ext>
          </c:extLst>
        </c:ser>
        <c:ser>
          <c:idx val="2"/>
          <c:order val="2"/>
          <c:tx>
            <c:strRef>
              <c:f>Invest_Eurostat!$D$28</c:f>
              <c:strCache>
                <c:ptCount val="1"/>
                <c:pt idx="0">
                  <c:v>Intelektuāla īpašuma produkti</c:v>
                </c:pt>
              </c:strCache>
            </c:strRef>
          </c:tx>
          <c:spPr>
            <a:solidFill>
              <a:srgbClr val="A5A5A5"/>
            </a:solidFill>
            <a:ln w="25400">
              <a:noFill/>
            </a:ln>
          </c:spPr>
          <c:invertIfNegative val="0"/>
          <c:cat>
            <c:multiLvlStrRef>
              <c:f>Invest_Eurostat!$O$9:$Y$10</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Invest_Eurostat!$O$28:$Y$28</c:f>
              <c:numCache>
                <c:formatCode>0</c:formatCode>
                <c:ptCount val="11"/>
                <c:pt idx="0">
                  <c:v>6.6980000000000075</c:v>
                </c:pt>
                <c:pt idx="1">
                  <c:v>18.100000000000023</c:v>
                </c:pt>
                <c:pt idx="2">
                  <c:v>25.926000000000016</c:v>
                </c:pt>
                <c:pt idx="3">
                  <c:v>6.972999999999999</c:v>
                </c:pt>
                <c:pt idx="4">
                  <c:v>-1.2830000000000013</c:v>
                </c:pt>
                <c:pt idx="5">
                  <c:v>19.820999999999998</c:v>
                </c:pt>
                <c:pt idx="6">
                  <c:v>35.974999999999994</c:v>
                </c:pt>
                <c:pt idx="7">
                  <c:v>16.641000000000005</c:v>
                </c:pt>
                <c:pt idx="8">
                  <c:v>20.620999999999995</c:v>
                </c:pt>
                <c:pt idx="9">
                  <c:v>39.514999999999986</c:v>
                </c:pt>
                <c:pt idx="10">
                  <c:v>42.054999999999978</c:v>
                </c:pt>
              </c:numCache>
            </c:numRef>
          </c:val>
          <c:extLst>
            <c:ext xmlns:c16="http://schemas.microsoft.com/office/drawing/2014/chart" uri="{C3380CC4-5D6E-409C-BE32-E72D297353CC}">
              <c16:uniqueId val="{00000002-37CA-42C0-9F6C-15A21C837C1C}"/>
            </c:ext>
          </c:extLst>
        </c:ser>
        <c:ser>
          <c:idx val="3"/>
          <c:order val="3"/>
          <c:tx>
            <c:strRef>
              <c:f>Invest_Eurostat!$D$29</c:f>
              <c:strCache>
                <c:ptCount val="1"/>
                <c:pt idx="0">
                  <c:v>Pārējie pamatlīdzekļi </c:v>
                </c:pt>
              </c:strCache>
            </c:strRef>
          </c:tx>
          <c:spPr>
            <a:solidFill>
              <a:srgbClr val="FFC000"/>
            </a:solidFill>
            <a:ln w="25400">
              <a:noFill/>
            </a:ln>
          </c:spPr>
          <c:invertIfNegative val="0"/>
          <c:cat>
            <c:multiLvlStrRef>
              <c:f>Invest_Eurostat!$O$9:$Y$10</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Invest_Eurostat!$O$29:$Y$29</c:f>
              <c:numCache>
                <c:formatCode>0</c:formatCode>
                <c:ptCount val="11"/>
                <c:pt idx="0">
                  <c:v>7.7930000000000001</c:v>
                </c:pt>
                <c:pt idx="1">
                  <c:v>8.0679999999999996</c:v>
                </c:pt>
                <c:pt idx="2">
                  <c:v>10.994999999999999</c:v>
                </c:pt>
                <c:pt idx="3">
                  <c:v>9.5670000000000002</c:v>
                </c:pt>
                <c:pt idx="4">
                  <c:v>-0.32399999999999984</c:v>
                </c:pt>
                <c:pt idx="5">
                  <c:v>-0.3360000000000003</c:v>
                </c:pt>
                <c:pt idx="6">
                  <c:v>-0.45799999999999841</c:v>
                </c:pt>
                <c:pt idx="7">
                  <c:v>-0.39799999999999969</c:v>
                </c:pt>
                <c:pt idx="8">
                  <c:v>-0.31700000000000017</c:v>
                </c:pt>
                <c:pt idx="9">
                  <c:v>-0.32699999999999996</c:v>
                </c:pt>
                <c:pt idx="10">
                  <c:v>-0.44600000000000151</c:v>
                </c:pt>
              </c:numCache>
            </c:numRef>
          </c:val>
          <c:extLst>
            <c:ext xmlns:c16="http://schemas.microsoft.com/office/drawing/2014/chart" uri="{C3380CC4-5D6E-409C-BE32-E72D297353CC}">
              <c16:uniqueId val="{00000003-37CA-42C0-9F6C-15A21C837C1C}"/>
            </c:ext>
          </c:extLst>
        </c:ser>
        <c:dLbls>
          <c:showLegendKey val="0"/>
          <c:showVal val="0"/>
          <c:showCatName val="0"/>
          <c:showSerName val="0"/>
          <c:showPercent val="0"/>
          <c:showBubbleSize val="0"/>
        </c:dLbls>
        <c:gapWidth val="50"/>
        <c:overlap val="100"/>
        <c:axId val="661113408"/>
        <c:axId val="1"/>
      </c:barChart>
      <c:lineChart>
        <c:grouping val="standard"/>
        <c:varyColors val="0"/>
        <c:ser>
          <c:idx val="4"/>
          <c:order val="4"/>
          <c:tx>
            <c:strRef>
              <c:f>Invest_Eurostat!$D$30</c:f>
              <c:strCache>
                <c:ptCount val="1"/>
                <c:pt idx="0">
                  <c:v>Investīciju izmaiņas, % (labā ass)</c:v>
                </c:pt>
              </c:strCache>
            </c:strRef>
          </c:tx>
          <c:spPr>
            <a:ln w="19050" cap="rnd">
              <a:solidFill>
                <a:schemeClr val="tx1"/>
              </a:solidFill>
              <a:round/>
            </a:ln>
            <a:effectLst/>
          </c:spPr>
          <c:marker>
            <c:symbol val="none"/>
          </c:marker>
          <c:cat>
            <c:multiLvlStrRef>
              <c:f>Invest_Eurostat!$N$9:$Y$10</c:f>
              <c:multiLvlStrCache>
                <c:ptCount val="12"/>
                <c:lvl>
                  <c:pt idx="0">
                    <c:v>IV</c:v>
                  </c:pt>
                  <c:pt idx="1">
                    <c:v>I</c:v>
                  </c:pt>
                  <c:pt idx="2">
                    <c:v>II</c:v>
                  </c:pt>
                  <c:pt idx="3">
                    <c:v>III</c:v>
                  </c:pt>
                  <c:pt idx="4">
                    <c:v>IV</c:v>
                  </c:pt>
                  <c:pt idx="5">
                    <c:v>I</c:v>
                  </c:pt>
                  <c:pt idx="6">
                    <c:v>II</c:v>
                  </c:pt>
                  <c:pt idx="7">
                    <c:v>III</c:v>
                  </c:pt>
                  <c:pt idx="8">
                    <c:v>IV</c:v>
                  </c:pt>
                  <c:pt idx="9">
                    <c:v>I</c:v>
                  </c:pt>
                  <c:pt idx="10">
                    <c:v>II</c:v>
                  </c:pt>
                  <c:pt idx="11">
                    <c:v>III</c:v>
                  </c:pt>
                </c:lvl>
                <c:lvl>
                  <c:pt idx="1">
                    <c:v>2020</c:v>
                  </c:pt>
                  <c:pt idx="5">
                    <c:v>2021</c:v>
                  </c:pt>
                  <c:pt idx="9">
                    <c:v>2022</c:v>
                  </c:pt>
                </c:lvl>
              </c:multiLvlStrCache>
            </c:multiLvlStrRef>
          </c:cat>
          <c:val>
            <c:numRef>
              <c:f>Invest_Eurostat!$O$30:$Y$30</c:f>
              <c:numCache>
                <c:formatCode>0</c:formatCode>
                <c:ptCount val="11"/>
                <c:pt idx="0">
                  <c:v>6.7918793822772257</c:v>
                </c:pt>
                <c:pt idx="1">
                  <c:v>-6.2700980205367047</c:v>
                </c:pt>
                <c:pt idx="2">
                  <c:v>-4.7821312315421816</c:v>
                </c:pt>
                <c:pt idx="3">
                  <c:v>-3.1848292012736463</c:v>
                </c:pt>
                <c:pt idx="4">
                  <c:v>-6.0720232141327779</c:v>
                </c:pt>
                <c:pt idx="5">
                  <c:v>9.4604297213605104</c:v>
                </c:pt>
                <c:pt idx="6">
                  <c:v>6.6625208153185209</c:v>
                </c:pt>
                <c:pt idx="7">
                  <c:v>0.37821003640033091</c:v>
                </c:pt>
                <c:pt idx="8">
                  <c:v>2.1384545372412243</c:v>
                </c:pt>
                <c:pt idx="9">
                  <c:v>0.87418684319530326</c:v>
                </c:pt>
                <c:pt idx="10">
                  <c:v>0.42272509836719346</c:v>
                </c:pt>
              </c:numCache>
            </c:numRef>
          </c:val>
          <c:smooth val="0"/>
          <c:extLst>
            <c:ext xmlns:c16="http://schemas.microsoft.com/office/drawing/2014/chart" uri="{C3380CC4-5D6E-409C-BE32-E72D297353CC}">
              <c16:uniqueId val="{00000004-37CA-42C0-9F6C-15A21C837C1C}"/>
            </c:ext>
          </c:extLst>
        </c:ser>
        <c:dLbls>
          <c:showLegendKey val="0"/>
          <c:showVal val="0"/>
          <c:showCatName val="0"/>
          <c:showSerName val="0"/>
          <c:showPercent val="0"/>
          <c:showBubbleSize val="0"/>
        </c:dLbls>
        <c:marker val="1"/>
        <c:smooth val="0"/>
        <c:axId val="3"/>
        <c:axId val="4"/>
      </c:lineChart>
      <c:catAx>
        <c:axId val="661113408"/>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vert="horz"/>
          <a:lstStyle/>
          <a:p>
            <a:pPr>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vert="horz"/>
          <a:lstStyle/>
          <a:p>
            <a:pPr>
              <a:defRPr/>
            </a:pPr>
            <a:endParaRPr lang="lv-LV"/>
          </a:p>
        </c:txPr>
        <c:crossAx val="661113408"/>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in val="-15"/>
        </c:scaling>
        <c:delete val="0"/>
        <c:axPos val="r"/>
        <c:numFmt formatCode="0" sourceLinked="1"/>
        <c:majorTickMark val="out"/>
        <c:minorTickMark val="none"/>
        <c:tickLblPos val="nextTo"/>
        <c:spPr>
          <a:ln w="6350">
            <a:noFill/>
          </a:ln>
        </c:spPr>
        <c:txPr>
          <a:bodyPr rot="-60000000" vert="horz"/>
          <a:lstStyle/>
          <a:p>
            <a:pPr>
              <a:defRPr/>
            </a:pPr>
            <a:endParaRPr lang="lv-LV"/>
          </a:p>
        </c:txPr>
        <c:crossAx val="3"/>
        <c:crosses val="max"/>
        <c:crossBetween val="between"/>
      </c:valAx>
      <c:spPr>
        <a:noFill/>
        <a:ln w="25400">
          <a:noFill/>
        </a:ln>
      </c:spPr>
    </c:plotArea>
    <c:legend>
      <c:legendPos val="b"/>
      <c:layout>
        <c:manualLayout>
          <c:xMode val="edge"/>
          <c:yMode val="edge"/>
          <c:x val="7.6820328913569741E-2"/>
          <c:y val="0.75804784545129944"/>
          <c:w val="0.89713365037291126"/>
          <c:h val="0.23399670506580472"/>
        </c:manualLayout>
      </c:layout>
      <c:overlay val="0"/>
      <c:spPr>
        <a:noFill/>
        <a:ln w="25400">
          <a:noFill/>
        </a:ln>
      </c:spPr>
      <c:txPr>
        <a:bodyPr rot="0" vert="horz"/>
        <a:lstStyle/>
        <a:p>
          <a:pPr>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37199516727076"/>
          <c:y val="4.4150110375275942E-2"/>
          <c:w val="0.86352747573220012"/>
          <c:h val="0.5612562260615126"/>
        </c:manualLayout>
      </c:layout>
      <c:barChart>
        <c:barDir val="col"/>
        <c:grouping val="stacked"/>
        <c:varyColors val="0"/>
        <c:ser>
          <c:idx val="0"/>
          <c:order val="0"/>
          <c:tx>
            <c:strRef>
              <c:f>Invest_Eurostat!$D$26</c:f>
              <c:strCache>
                <c:ptCount val="1"/>
                <c:pt idx="0">
                  <c:v>Ēkas, būves, celtnes</c:v>
                </c:pt>
              </c:strCache>
            </c:strRef>
          </c:tx>
          <c:spPr>
            <a:solidFill>
              <a:schemeClr val="accent5">
                <a:lumMod val="60000"/>
                <a:lumOff val="40000"/>
              </a:schemeClr>
            </a:solidFill>
            <a:ln w="25400">
              <a:noFill/>
            </a:ln>
          </c:spPr>
          <c:invertIfNegative val="0"/>
          <c:cat>
            <c:multiLvlStrRef>
              <c:f>Invest_Eurostat!$O$9:$Y$10</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Invest_Eurostat!$O$20:$Y$20</c:f>
              <c:numCache>
                <c:formatCode>0</c:formatCode>
                <c:ptCount val="11"/>
                <c:pt idx="0">
                  <c:v>635.97799999999995</c:v>
                </c:pt>
                <c:pt idx="1">
                  <c:v>656.99900000000002</c:v>
                </c:pt>
                <c:pt idx="2">
                  <c:v>818.08799999999997</c:v>
                </c:pt>
                <c:pt idx="3">
                  <c:v>896.42100000000005</c:v>
                </c:pt>
                <c:pt idx="4">
                  <c:v>556.74800000000005</c:v>
                </c:pt>
                <c:pt idx="5">
                  <c:v>664.428</c:v>
                </c:pt>
                <c:pt idx="6">
                  <c:v>791.52700000000004</c:v>
                </c:pt>
                <c:pt idx="7">
                  <c:v>796.68399999999997</c:v>
                </c:pt>
                <c:pt idx="8">
                  <c:v>511.67599999999999</c:v>
                </c:pt>
                <c:pt idx="9">
                  <c:v>571.36</c:v>
                </c:pt>
                <c:pt idx="10">
                  <c:v>688.10900000000004</c:v>
                </c:pt>
              </c:numCache>
            </c:numRef>
          </c:val>
          <c:extLst>
            <c:ext xmlns:c16="http://schemas.microsoft.com/office/drawing/2014/chart" uri="{C3380CC4-5D6E-409C-BE32-E72D297353CC}">
              <c16:uniqueId val="{00000000-9D0B-4750-8AC4-5D4925627831}"/>
            </c:ext>
          </c:extLst>
        </c:ser>
        <c:ser>
          <c:idx val="1"/>
          <c:order val="1"/>
          <c:tx>
            <c:strRef>
              <c:f>Invest_Eurostat!$D$27</c:f>
              <c:strCache>
                <c:ptCount val="1"/>
                <c:pt idx="0">
                  <c:v>Tehnoģiskās iekārtas un mašīnas</c:v>
                </c:pt>
              </c:strCache>
            </c:strRef>
          </c:tx>
          <c:spPr>
            <a:solidFill>
              <a:schemeClr val="accent2">
                <a:lumMod val="60000"/>
                <a:lumOff val="40000"/>
              </a:schemeClr>
            </a:solidFill>
            <a:ln w="25400">
              <a:noFill/>
            </a:ln>
          </c:spPr>
          <c:invertIfNegative val="0"/>
          <c:cat>
            <c:multiLvlStrRef>
              <c:f>Invest_Eurostat!$O$9:$Y$10</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Invest_Eurostat!$O$21:$Y$21</c:f>
              <c:numCache>
                <c:formatCode>0</c:formatCode>
                <c:ptCount val="11"/>
                <c:pt idx="0">
                  <c:v>534.79700000000003</c:v>
                </c:pt>
                <c:pt idx="1">
                  <c:v>603.02599999999995</c:v>
                </c:pt>
                <c:pt idx="2">
                  <c:v>765.02800000000002</c:v>
                </c:pt>
                <c:pt idx="3">
                  <c:v>906.35</c:v>
                </c:pt>
                <c:pt idx="4">
                  <c:v>546.07000000000005</c:v>
                </c:pt>
                <c:pt idx="5">
                  <c:v>723.29600000000005</c:v>
                </c:pt>
                <c:pt idx="6">
                  <c:v>886.22400000000005</c:v>
                </c:pt>
                <c:pt idx="7">
                  <c:v>1016.206</c:v>
                </c:pt>
                <c:pt idx="8">
                  <c:v>606.88699999999994</c:v>
                </c:pt>
                <c:pt idx="9">
                  <c:v>807.37900000000002</c:v>
                </c:pt>
                <c:pt idx="10">
                  <c:v>973.98500000000001</c:v>
                </c:pt>
              </c:numCache>
            </c:numRef>
          </c:val>
          <c:extLst>
            <c:ext xmlns:c16="http://schemas.microsoft.com/office/drawing/2014/chart" uri="{C3380CC4-5D6E-409C-BE32-E72D297353CC}">
              <c16:uniqueId val="{00000001-9D0B-4750-8AC4-5D4925627831}"/>
            </c:ext>
          </c:extLst>
        </c:ser>
        <c:ser>
          <c:idx val="2"/>
          <c:order val="2"/>
          <c:tx>
            <c:strRef>
              <c:f>Invest_Eurostat!$D$28</c:f>
              <c:strCache>
                <c:ptCount val="1"/>
                <c:pt idx="0">
                  <c:v>Intelektuāla īpašuma produkti</c:v>
                </c:pt>
              </c:strCache>
            </c:strRef>
          </c:tx>
          <c:spPr>
            <a:solidFill>
              <a:srgbClr val="A5A5A5"/>
            </a:solidFill>
            <a:ln w="25400">
              <a:noFill/>
            </a:ln>
          </c:spPr>
          <c:invertIfNegative val="0"/>
          <c:cat>
            <c:multiLvlStrRef>
              <c:f>Invest_Eurostat!$O$9:$Y$10</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Invest_Eurostat!$O$22:$Y$22</c:f>
              <c:numCache>
                <c:formatCode>0</c:formatCode>
                <c:ptCount val="11"/>
                <c:pt idx="0">
                  <c:v>84.177000000000007</c:v>
                </c:pt>
                <c:pt idx="1">
                  <c:v>177.60900000000001</c:v>
                </c:pt>
                <c:pt idx="2">
                  <c:v>193.81</c:v>
                </c:pt>
                <c:pt idx="3">
                  <c:v>81.391999999999996</c:v>
                </c:pt>
                <c:pt idx="4">
                  <c:v>82.894000000000005</c:v>
                </c:pt>
                <c:pt idx="5">
                  <c:v>197.43</c:v>
                </c:pt>
                <c:pt idx="6">
                  <c:v>229.785</c:v>
                </c:pt>
                <c:pt idx="7">
                  <c:v>98.033000000000001</c:v>
                </c:pt>
                <c:pt idx="8">
                  <c:v>103.515</c:v>
                </c:pt>
                <c:pt idx="9">
                  <c:v>236.94499999999999</c:v>
                </c:pt>
                <c:pt idx="10">
                  <c:v>271.83999999999997</c:v>
                </c:pt>
              </c:numCache>
            </c:numRef>
          </c:val>
          <c:extLst>
            <c:ext xmlns:c16="http://schemas.microsoft.com/office/drawing/2014/chart" uri="{C3380CC4-5D6E-409C-BE32-E72D297353CC}">
              <c16:uniqueId val="{00000002-9D0B-4750-8AC4-5D4925627831}"/>
            </c:ext>
          </c:extLst>
        </c:ser>
        <c:ser>
          <c:idx val="3"/>
          <c:order val="3"/>
          <c:tx>
            <c:strRef>
              <c:f>Invest_Eurostat!$D$29</c:f>
              <c:strCache>
                <c:ptCount val="1"/>
                <c:pt idx="0">
                  <c:v>Pārējie pamatlīdzekļi </c:v>
                </c:pt>
              </c:strCache>
            </c:strRef>
          </c:tx>
          <c:spPr>
            <a:solidFill>
              <a:srgbClr val="FFC000"/>
            </a:solidFill>
            <a:ln w="25400">
              <a:noFill/>
            </a:ln>
          </c:spPr>
          <c:invertIfNegative val="0"/>
          <c:cat>
            <c:multiLvlStrRef>
              <c:f>Invest_Eurostat!$O$9:$Y$10</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multiLvlStrRef>
          </c:cat>
          <c:val>
            <c:numRef>
              <c:f>Invest_Eurostat!$O$23:$Y$23</c:f>
              <c:numCache>
                <c:formatCode>0</c:formatCode>
                <c:ptCount val="11"/>
                <c:pt idx="0">
                  <c:v>12.782</c:v>
                </c:pt>
                <c:pt idx="1">
                  <c:v>13.234</c:v>
                </c:pt>
                <c:pt idx="2">
                  <c:v>18.033999999999999</c:v>
                </c:pt>
                <c:pt idx="3">
                  <c:v>15.693</c:v>
                </c:pt>
                <c:pt idx="4">
                  <c:v>12.458</c:v>
                </c:pt>
                <c:pt idx="5">
                  <c:v>12.898</c:v>
                </c:pt>
                <c:pt idx="6">
                  <c:v>17.576000000000001</c:v>
                </c:pt>
                <c:pt idx="7">
                  <c:v>15.295</c:v>
                </c:pt>
                <c:pt idx="8">
                  <c:v>12.141</c:v>
                </c:pt>
                <c:pt idx="9">
                  <c:v>12.571</c:v>
                </c:pt>
                <c:pt idx="10">
                  <c:v>17.13</c:v>
                </c:pt>
              </c:numCache>
            </c:numRef>
          </c:val>
          <c:extLst>
            <c:ext xmlns:c16="http://schemas.microsoft.com/office/drawing/2014/chart" uri="{C3380CC4-5D6E-409C-BE32-E72D297353CC}">
              <c16:uniqueId val="{00000003-9D0B-4750-8AC4-5D4925627831}"/>
            </c:ext>
          </c:extLst>
        </c:ser>
        <c:dLbls>
          <c:showLegendKey val="0"/>
          <c:showVal val="0"/>
          <c:showCatName val="0"/>
          <c:showSerName val="0"/>
          <c:showPercent val="0"/>
          <c:showBubbleSize val="0"/>
        </c:dLbls>
        <c:gapWidth val="60"/>
        <c:overlap val="100"/>
        <c:axId val="661115376"/>
        <c:axId val="1"/>
      </c:barChart>
      <c:catAx>
        <c:axId val="66111537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lv-LV"/>
          </a:p>
        </c:txPr>
        <c:crossAx val="1"/>
        <c:crosses val="autoZero"/>
        <c:auto val="1"/>
        <c:lblAlgn val="ctr"/>
        <c:lblOffset val="100"/>
        <c:noMultiLvlLbl val="0"/>
      </c:catAx>
      <c:valAx>
        <c:axId val="1"/>
        <c:scaling>
          <c:orientation val="minMax"/>
          <c:max val="2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vert="horz"/>
          <a:lstStyle/>
          <a:p>
            <a:pPr>
              <a:defRPr/>
            </a:pPr>
            <a:endParaRPr lang="lv-LV"/>
          </a:p>
        </c:txPr>
        <c:crossAx val="661115376"/>
        <c:crosses val="autoZero"/>
        <c:crossBetween val="between"/>
        <c:majorUnit val="300"/>
      </c:valAx>
      <c:spPr>
        <a:noFill/>
        <a:ln w="25400">
          <a:noFill/>
        </a:ln>
      </c:spPr>
    </c:plotArea>
    <c:legend>
      <c:legendPos val="b"/>
      <c:layout>
        <c:manualLayout>
          <c:xMode val="edge"/>
          <c:yMode val="edge"/>
          <c:x val="0.1127565236410666"/>
          <c:y val="0.75818497635603488"/>
          <c:w val="0.81977657004830906"/>
          <c:h val="0.21035813894870656"/>
        </c:manualLayout>
      </c:layout>
      <c:overlay val="0"/>
      <c:spPr>
        <a:noFill/>
        <a:ln w="25400">
          <a:noFill/>
        </a:ln>
      </c:spPr>
      <c:txPr>
        <a:bodyPr rot="0" vert="horz"/>
        <a:lstStyle/>
        <a:p>
          <a:pPr>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96196090104677"/>
          <c:y val="2.860418248112476E-2"/>
          <c:w val="0.54509746298567963"/>
          <c:h val="0.80473257780713381"/>
        </c:manualLayout>
      </c:layout>
      <c:barChart>
        <c:barDir val="bar"/>
        <c:grouping val="clustered"/>
        <c:varyColors val="0"/>
        <c:ser>
          <c:idx val="0"/>
          <c:order val="0"/>
          <c:tx>
            <c:strRef>
              <c:f>'Subsect graf'!$AD$4</c:f>
              <c:strCache>
                <c:ptCount val="1"/>
                <c:pt idx="0">
                  <c:v>2022 I-X</c:v>
                </c:pt>
              </c:strCache>
            </c:strRef>
          </c:tx>
          <c:spPr>
            <a:solidFill>
              <a:srgbClr val="00B050"/>
            </a:solidFill>
            <a:ln>
              <a:noFill/>
            </a:ln>
            <a:effectLst/>
          </c:spPr>
          <c:invertIfNegative val="0"/>
          <c:dPt>
            <c:idx val="0"/>
            <c:invertIfNegative val="0"/>
            <c:bubble3D val="0"/>
            <c:extLst>
              <c:ext xmlns:c16="http://schemas.microsoft.com/office/drawing/2014/chart" uri="{C3380CC4-5D6E-409C-BE32-E72D297353CC}">
                <c16:uniqueId val="{00000000-62DD-46E4-9DBE-DE28ABA70B7B}"/>
              </c:ext>
            </c:extLst>
          </c:dPt>
          <c:dPt>
            <c:idx val="1"/>
            <c:invertIfNegative val="0"/>
            <c:bubble3D val="0"/>
            <c:extLst>
              <c:ext xmlns:c16="http://schemas.microsoft.com/office/drawing/2014/chart" uri="{C3380CC4-5D6E-409C-BE32-E72D297353CC}">
                <c16:uniqueId val="{00000001-62DD-46E4-9DBE-DE28ABA70B7B}"/>
              </c:ext>
            </c:extLst>
          </c:dPt>
          <c:dPt>
            <c:idx val="4"/>
            <c:invertIfNegative val="0"/>
            <c:bubble3D val="0"/>
            <c:extLst>
              <c:ext xmlns:c16="http://schemas.microsoft.com/office/drawing/2014/chart" uri="{C3380CC4-5D6E-409C-BE32-E72D297353CC}">
                <c16:uniqueId val="{00000002-62DD-46E4-9DBE-DE28ABA70B7B}"/>
              </c:ext>
            </c:extLst>
          </c:dPt>
          <c:dPt>
            <c:idx val="5"/>
            <c:invertIfNegative val="0"/>
            <c:bubble3D val="0"/>
            <c:extLst>
              <c:ext xmlns:c16="http://schemas.microsoft.com/office/drawing/2014/chart" uri="{C3380CC4-5D6E-409C-BE32-E72D297353CC}">
                <c16:uniqueId val="{00000003-62DD-46E4-9DBE-DE28ABA70B7B}"/>
              </c:ext>
            </c:extLst>
          </c:dPt>
          <c:dPt>
            <c:idx val="6"/>
            <c:invertIfNegative val="0"/>
            <c:bubble3D val="0"/>
            <c:extLst>
              <c:ext xmlns:c16="http://schemas.microsoft.com/office/drawing/2014/chart" uri="{C3380CC4-5D6E-409C-BE32-E72D297353CC}">
                <c16:uniqueId val="{00000004-62DD-46E4-9DBE-DE28ABA70B7B}"/>
              </c:ext>
            </c:extLst>
          </c:dPt>
          <c:dPt>
            <c:idx val="7"/>
            <c:invertIfNegative val="0"/>
            <c:bubble3D val="0"/>
            <c:extLst>
              <c:ext xmlns:c16="http://schemas.microsoft.com/office/drawing/2014/chart" uri="{C3380CC4-5D6E-409C-BE32-E72D297353CC}">
                <c16:uniqueId val="{00000005-62DD-46E4-9DBE-DE28ABA70B7B}"/>
              </c:ext>
            </c:extLst>
          </c:dPt>
          <c:dPt>
            <c:idx val="9"/>
            <c:invertIfNegative val="0"/>
            <c:bubble3D val="0"/>
            <c:extLst>
              <c:ext xmlns:c16="http://schemas.microsoft.com/office/drawing/2014/chart" uri="{C3380CC4-5D6E-409C-BE32-E72D297353CC}">
                <c16:uniqueId val="{00000006-62DD-46E4-9DBE-DE28ABA70B7B}"/>
              </c:ext>
            </c:extLst>
          </c:dPt>
          <c:dPt>
            <c:idx val="10"/>
            <c:invertIfNegative val="0"/>
            <c:bubble3D val="0"/>
            <c:extLst>
              <c:ext xmlns:c16="http://schemas.microsoft.com/office/drawing/2014/chart" uri="{C3380CC4-5D6E-409C-BE32-E72D297353CC}">
                <c16:uniqueId val="{00000007-62DD-46E4-9DBE-DE28ABA70B7B}"/>
              </c:ext>
            </c:extLst>
          </c:dPt>
          <c:dPt>
            <c:idx val="11"/>
            <c:invertIfNegative val="0"/>
            <c:bubble3D val="0"/>
            <c:extLst>
              <c:ext xmlns:c16="http://schemas.microsoft.com/office/drawing/2014/chart" uri="{C3380CC4-5D6E-409C-BE32-E72D297353CC}">
                <c16:uniqueId val="{00000008-62DD-46E4-9DBE-DE28ABA70B7B}"/>
              </c:ext>
            </c:extLst>
          </c:dPt>
          <c:dPt>
            <c:idx val="12"/>
            <c:invertIfNegative val="0"/>
            <c:bubble3D val="0"/>
            <c:extLst>
              <c:ext xmlns:c16="http://schemas.microsoft.com/office/drawing/2014/chart" uri="{C3380CC4-5D6E-409C-BE32-E72D297353CC}">
                <c16:uniqueId val="{00000009-62DD-46E4-9DBE-DE28ABA70B7B}"/>
              </c:ext>
            </c:extLst>
          </c:dPt>
          <c:dPt>
            <c:idx val="13"/>
            <c:invertIfNegative val="0"/>
            <c:bubble3D val="0"/>
            <c:extLst>
              <c:ext xmlns:c16="http://schemas.microsoft.com/office/drawing/2014/chart" uri="{C3380CC4-5D6E-409C-BE32-E72D297353CC}">
                <c16:uniqueId val="{0000000A-62DD-46E4-9DBE-DE28ABA70B7B}"/>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'Subsect graf'!$Z$5:$Z$17</c:f>
              <c:strCache>
                <c:ptCount val="13"/>
                <c:pt idx="0">
                  <c:v>ELEKTROENERĢIJA UN GĀZES APGĀDE</c:v>
                </c:pt>
                <c:pt idx="1">
                  <c:v>Mēbeļu ražošana</c:v>
                </c:pt>
                <c:pt idx="2">
                  <c:v>Mašīnbūve </c:v>
                </c:pt>
                <c:pt idx="3">
                  <c:v>Gatavo metālizstrādājumu ražošana</c:v>
                </c:pt>
                <c:pt idx="4">
                  <c:v>Nemetālisko minerālu ražošana</c:v>
                </c:pt>
                <c:pt idx="5">
                  <c:v>Ķīmiskās vielas un produkti</c:v>
                </c:pt>
                <c:pt idx="6">
                  <c:v>Poligrāfija un papīra izstr. ražošana</c:v>
                </c:pt>
                <c:pt idx="7">
                  <c:v>Kokapstrāde</c:v>
                </c:pt>
                <c:pt idx="8">
                  <c:v>Vieglā rūpniecība</c:v>
                </c:pt>
                <c:pt idx="9">
                  <c:v>Pārtika un dzērieni</c:v>
                </c:pt>
                <c:pt idx="10">
                  <c:v>APSTRĀDES RŪPNIECĪBA</c:v>
                </c:pt>
                <c:pt idx="11">
                  <c:v>IEGUVES RŪPNIECĪBA</c:v>
                </c:pt>
                <c:pt idx="12">
                  <c:v>RŪPNIECĪBA</c:v>
                </c:pt>
              </c:strCache>
            </c:strRef>
          </c:cat>
          <c:val>
            <c:numRef>
              <c:f>'Subsect graf'!$AD$5:$AD$17</c:f>
              <c:numCache>
                <c:formatCode>0.0</c:formatCode>
                <c:ptCount val="13"/>
                <c:pt idx="0">
                  <c:v>-14.348189328850054</c:v>
                </c:pt>
                <c:pt idx="1">
                  <c:v>1.8556936053801394</c:v>
                </c:pt>
                <c:pt idx="2">
                  <c:v>3.3909360924233822</c:v>
                </c:pt>
                <c:pt idx="3">
                  <c:v>3.2198359766410505</c:v>
                </c:pt>
                <c:pt idx="4">
                  <c:v>10.099200994463388</c:v>
                </c:pt>
                <c:pt idx="5">
                  <c:v>1.3693837423291342</c:v>
                </c:pt>
                <c:pt idx="6">
                  <c:v>2.752819916108233</c:v>
                </c:pt>
                <c:pt idx="7">
                  <c:v>-1.1885390873717654</c:v>
                </c:pt>
                <c:pt idx="8">
                  <c:v>5.4162769099047017</c:v>
                </c:pt>
                <c:pt idx="9">
                  <c:v>1.5272720757603655</c:v>
                </c:pt>
                <c:pt idx="10">
                  <c:v>3.0195778330463554</c:v>
                </c:pt>
                <c:pt idx="11">
                  <c:v>2.1545674224775127</c:v>
                </c:pt>
                <c:pt idx="12">
                  <c:v>1.0329298020906492</c:v>
                </c:pt>
              </c:numCache>
            </c:numRef>
          </c:val>
          <c:extLst>
            <c:ext xmlns:c16="http://schemas.microsoft.com/office/drawing/2014/chart" uri="{C3380CC4-5D6E-409C-BE32-E72D297353CC}">
              <c16:uniqueId val="{0000000B-62DD-46E4-9DBE-DE28ABA70B7B}"/>
            </c:ext>
          </c:extLst>
        </c:ser>
        <c:ser>
          <c:idx val="1"/>
          <c:order val="1"/>
          <c:tx>
            <c:strRef>
              <c:f>'Subsect graf'!$AB$4</c:f>
              <c:strCache>
                <c:ptCount val="1"/>
                <c:pt idx="0">
                  <c:v>2021</c:v>
                </c:pt>
              </c:strCache>
            </c:strRef>
          </c:tx>
          <c:spPr>
            <a:solidFill>
              <a:schemeClr val="accent2">
                <a:lumMod val="75000"/>
              </a:schemeClr>
            </a:solidFill>
            <a:ln>
              <a:noFill/>
            </a:ln>
            <a:effectLst/>
          </c:spPr>
          <c:invertIfNegative val="0"/>
          <c:cat>
            <c:strRef>
              <c:f>'Subsect graf'!$Z$5:$Z$17</c:f>
              <c:strCache>
                <c:ptCount val="13"/>
                <c:pt idx="0">
                  <c:v>ELEKTROENERĢIJA UN GĀZES APGĀDE</c:v>
                </c:pt>
                <c:pt idx="1">
                  <c:v>Mēbeļu ražošana</c:v>
                </c:pt>
                <c:pt idx="2">
                  <c:v>Mašīnbūve </c:v>
                </c:pt>
                <c:pt idx="3">
                  <c:v>Gatavo metālizstrādājumu ražošana</c:v>
                </c:pt>
                <c:pt idx="4">
                  <c:v>Nemetālisko minerālu ražošana</c:v>
                </c:pt>
                <c:pt idx="5">
                  <c:v>Ķīmiskās vielas un produkti</c:v>
                </c:pt>
                <c:pt idx="6">
                  <c:v>Poligrāfija un papīra izstr. ražošana</c:v>
                </c:pt>
                <c:pt idx="7">
                  <c:v>Kokapstrāde</c:v>
                </c:pt>
                <c:pt idx="8">
                  <c:v>Vieglā rūpniecība</c:v>
                </c:pt>
                <c:pt idx="9">
                  <c:v>Pārtika un dzērieni</c:v>
                </c:pt>
                <c:pt idx="10">
                  <c:v>APSTRĀDES RŪPNIECĪBA</c:v>
                </c:pt>
                <c:pt idx="11">
                  <c:v>IEGUVES RŪPNIECĪBA</c:v>
                </c:pt>
                <c:pt idx="12">
                  <c:v>RŪPNIECĪBA</c:v>
                </c:pt>
              </c:strCache>
            </c:strRef>
          </c:cat>
          <c:val>
            <c:numRef>
              <c:f>'Subsect graf'!$AB$5:$AB$17</c:f>
              <c:numCache>
                <c:formatCode>0.0</c:formatCode>
                <c:ptCount val="13"/>
                <c:pt idx="0">
                  <c:v>2.9293466518191025</c:v>
                </c:pt>
                <c:pt idx="1">
                  <c:v>24.276377946607766</c:v>
                </c:pt>
                <c:pt idx="2">
                  <c:v>17.628199709721098</c:v>
                </c:pt>
                <c:pt idx="3">
                  <c:v>10.039560747336367</c:v>
                </c:pt>
                <c:pt idx="4">
                  <c:v>4.5936322466899355</c:v>
                </c:pt>
                <c:pt idx="5">
                  <c:v>24.920519232460791</c:v>
                </c:pt>
                <c:pt idx="6">
                  <c:v>11.916757675968107</c:v>
                </c:pt>
                <c:pt idx="7">
                  <c:v>3.6539129227136726</c:v>
                </c:pt>
                <c:pt idx="8">
                  <c:v>11.534301096346955</c:v>
                </c:pt>
                <c:pt idx="9">
                  <c:v>0.96778530826114872</c:v>
                </c:pt>
                <c:pt idx="10">
                  <c:v>7.2915859269855048</c:v>
                </c:pt>
                <c:pt idx="11">
                  <c:v>4.7471478539439573</c:v>
                </c:pt>
                <c:pt idx="12">
                  <c:v>6.4983833785214244</c:v>
                </c:pt>
              </c:numCache>
            </c:numRef>
          </c:val>
          <c:extLst>
            <c:ext xmlns:c16="http://schemas.microsoft.com/office/drawing/2014/chart" uri="{C3380CC4-5D6E-409C-BE32-E72D297353CC}">
              <c16:uniqueId val="{0000000C-62DD-46E4-9DBE-DE28ABA70B7B}"/>
            </c:ext>
          </c:extLst>
        </c:ser>
        <c:dLbls>
          <c:showLegendKey val="0"/>
          <c:showVal val="0"/>
          <c:showCatName val="0"/>
          <c:showSerName val="0"/>
          <c:showPercent val="0"/>
          <c:showBubbleSize val="0"/>
        </c:dLbls>
        <c:gapWidth val="50"/>
        <c:axId val="239680264"/>
        <c:axId val="239680656"/>
      </c:barChart>
      <c:catAx>
        <c:axId val="239680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39680656"/>
        <c:crosses val="autoZero"/>
        <c:auto val="1"/>
        <c:lblAlgn val="ctr"/>
        <c:lblOffset val="100"/>
        <c:noMultiLvlLbl val="0"/>
      </c:catAx>
      <c:valAx>
        <c:axId val="239680656"/>
        <c:scaling>
          <c:orientation val="minMax"/>
          <c:max val="28"/>
          <c:min val="-20"/>
        </c:scaling>
        <c:delete val="0"/>
        <c:axPos val="b"/>
        <c:numFmt formatCode="0" sourceLinked="0"/>
        <c:majorTickMark val="out"/>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39680264"/>
        <c:crosses val="autoZero"/>
        <c:crossBetween val="between"/>
        <c:majorUnit val="5"/>
      </c:valAx>
      <c:spPr>
        <a:noFill/>
        <a:ln>
          <a:noFill/>
        </a:ln>
        <a:effectLst/>
      </c:spPr>
    </c:plotArea>
    <c:legend>
      <c:legendPos val="b"/>
      <c:layout>
        <c:manualLayout>
          <c:xMode val="edge"/>
          <c:yMode val="edge"/>
          <c:x val="0.45497443570177964"/>
          <c:y val="0.91298101879489457"/>
          <c:w val="0.30738269977838006"/>
          <c:h val="6.759259639901223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BySource!$L$1</c:f>
              <c:strCache>
                <c:ptCount val="1"/>
                <c:pt idx="0">
                  <c:v>Pamatinflācija</c:v>
                </c:pt>
              </c:strCache>
            </c:strRef>
          </c:tx>
          <c:spPr>
            <a:solidFill>
              <a:schemeClr val="accent1">
                <a:lumMod val="60000"/>
                <a:lumOff val="40000"/>
              </a:schemeClr>
            </a:solidFill>
            <a:ln>
              <a:noFill/>
            </a:ln>
          </c:spPr>
          <c:invertIfNegative val="0"/>
          <c:cat>
            <c:multiLvlStrRef>
              <c:f>BySource!$A$194:$B$227</c:f>
              <c:multiLvlStrCache>
                <c:ptCount val="3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lvl>
                <c:lvl>
                  <c:pt idx="0">
                    <c:v>2020</c:v>
                  </c:pt>
                  <c:pt idx="12">
                    <c:v>2021</c:v>
                  </c:pt>
                  <c:pt idx="24">
                    <c:v>2022</c:v>
                  </c:pt>
                </c:lvl>
              </c:multiLvlStrCache>
            </c:multiLvlStrRef>
          </c:cat>
          <c:val>
            <c:numRef>
              <c:f>BySource!$L$194:$L$227</c:f>
              <c:numCache>
                <c:formatCode>0.000</c:formatCode>
                <c:ptCount val="34"/>
                <c:pt idx="0">
                  <c:v>1.0107503088287251</c:v>
                </c:pt>
                <c:pt idx="1">
                  <c:v>1.1137979076711841</c:v>
                </c:pt>
                <c:pt idx="2">
                  <c:v>1.0704409978083596</c:v>
                </c:pt>
                <c:pt idx="3">
                  <c:v>0.78071680565529267</c:v>
                </c:pt>
                <c:pt idx="4">
                  <c:v>0.62973515690089332</c:v>
                </c:pt>
                <c:pt idx="5">
                  <c:v>0.20707063678107751</c:v>
                </c:pt>
                <c:pt idx="6">
                  <c:v>0.87722116997585464</c:v>
                </c:pt>
                <c:pt idx="7">
                  <c:v>0.51443482582976485</c:v>
                </c:pt>
                <c:pt idx="8">
                  <c:v>0.52075662419145152</c:v>
                </c:pt>
                <c:pt idx="9">
                  <c:v>0.5239372166599704</c:v>
                </c:pt>
                <c:pt idx="10">
                  <c:v>0.35033851276238298</c:v>
                </c:pt>
                <c:pt idx="11">
                  <c:v>0.39294868412629258</c:v>
                </c:pt>
                <c:pt idx="12">
                  <c:v>0.68322731201260778</c:v>
                </c:pt>
                <c:pt idx="13">
                  <c:v>0.42634960331704458</c:v>
                </c:pt>
                <c:pt idx="14">
                  <c:v>0.30160671881522561</c:v>
                </c:pt>
                <c:pt idx="15">
                  <c:v>0.4347558791646442</c:v>
                </c:pt>
                <c:pt idx="16">
                  <c:v>0.99998552208919955</c:v>
                </c:pt>
                <c:pt idx="17">
                  <c:v>1.2931156872794756</c:v>
                </c:pt>
                <c:pt idx="18">
                  <c:v>1.0391209750663775</c:v>
                </c:pt>
                <c:pt idx="19">
                  <c:v>1.271701398531123</c:v>
                </c:pt>
                <c:pt idx="20">
                  <c:v>1.5563578292225386</c:v>
                </c:pt>
                <c:pt idx="21">
                  <c:v>2.1122927885386971</c:v>
                </c:pt>
                <c:pt idx="22">
                  <c:v>2.8191201762642075</c:v>
                </c:pt>
                <c:pt idx="23">
                  <c:v>3.4494320493497623</c:v>
                </c:pt>
                <c:pt idx="24">
                  <c:v>3.6766304064360518</c:v>
                </c:pt>
                <c:pt idx="25">
                  <c:v>4.6757298267992189</c:v>
                </c:pt>
                <c:pt idx="26">
                  <c:v>5.5815653629409194</c:v>
                </c:pt>
                <c:pt idx="27">
                  <c:v>6.4811249783059441</c:v>
                </c:pt>
                <c:pt idx="28">
                  <c:v>6.9895245841617566</c:v>
                </c:pt>
                <c:pt idx="29">
                  <c:v>8.0930246781349258</c:v>
                </c:pt>
                <c:pt idx="30">
                  <c:v>9.0639251439072481</c:v>
                </c:pt>
                <c:pt idx="31">
                  <c:v>9.4825632506816468</c:v>
                </c:pt>
                <c:pt idx="32">
                  <c:v>10.254097332270204</c:v>
                </c:pt>
                <c:pt idx="33">
                  <c:v>10.136689520180939</c:v>
                </c:pt>
              </c:numCache>
            </c:numRef>
          </c:val>
          <c:extLst>
            <c:ext xmlns:c16="http://schemas.microsoft.com/office/drawing/2014/chart" uri="{C3380CC4-5D6E-409C-BE32-E72D297353CC}">
              <c16:uniqueId val="{00000000-232F-4CB4-BE68-4A4B9A17CD60}"/>
            </c:ext>
          </c:extLst>
        </c:ser>
        <c:ser>
          <c:idx val="2"/>
          <c:order val="1"/>
          <c:tx>
            <c:strRef>
              <c:f>BySource!$D$1</c:f>
              <c:strCache>
                <c:ptCount val="1"/>
                <c:pt idx="0">
                  <c:v>Nodokļi</c:v>
                </c:pt>
              </c:strCache>
            </c:strRef>
          </c:tx>
          <c:spPr>
            <a:solidFill>
              <a:schemeClr val="accent6">
                <a:lumMod val="60000"/>
                <a:lumOff val="40000"/>
              </a:schemeClr>
            </a:solidFill>
            <a:ln>
              <a:noFill/>
            </a:ln>
          </c:spPr>
          <c:invertIfNegative val="0"/>
          <c:cat>
            <c:multiLvlStrRef>
              <c:f>BySource!$A$194:$B$227</c:f>
              <c:multiLvlStrCache>
                <c:ptCount val="3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lvl>
                <c:lvl>
                  <c:pt idx="0">
                    <c:v>2020</c:v>
                  </c:pt>
                  <c:pt idx="12">
                    <c:v>2021</c:v>
                  </c:pt>
                  <c:pt idx="24">
                    <c:v>2022</c:v>
                  </c:pt>
                </c:lvl>
              </c:multiLvlStrCache>
            </c:multiLvlStrRef>
          </c:cat>
          <c:val>
            <c:numRef>
              <c:f>BySource!$D$194:$D$227</c:f>
              <c:numCache>
                <c:formatCode>0.000</c:formatCode>
                <c:ptCount val="34"/>
                <c:pt idx="0">
                  <c:v>0.30498869670396722</c:v>
                </c:pt>
                <c:pt idx="1">
                  <c:v>0.31324070333822451</c:v>
                </c:pt>
                <c:pt idx="2">
                  <c:v>0.21457140751905968</c:v>
                </c:pt>
                <c:pt idx="3">
                  <c:v>0.21550151325480105</c:v>
                </c:pt>
                <c:pt idx="4">
                  <c:v>0.20851117028598543</c:v>
                </c:pt>
                <c:pt idx="5">
                  <c:v>0.20973803244189737</c:v>
                </c:pt>
                <c:pt idx="6">
                  <c:v>0.11981826191622691</c:v>
                </c:pt>
                <c:pt idx="7">
                  <c:v>0.31362677779549486</c:v>
                </c:pt>
                <c:pt idx="8">
                  <c:v>0.31299546957368474</c:v>
                </c:pt>
                <c:pt idx="9">
                  <c:v>0.31599063673115602</c:v>
                </c:pt>
                <c:pt idx="10">
                  <c:v>0.32600083331976171</c:v>
                </c:pt>
                <c:pt idx="11">
                  <c:v>0.32443880854737817</c:v>
                </c:pt>
                <c:pt idx="12">
                  <c:v>0.10974964262951969</c:v>
                </c:pt>
                <c:pt idx="13">
                  <c:v>0.11484444557449125</c:v>
                </c:pt>
                <c:pt idx="14">
                  <c:v>0.18118682229408822</c:v>
                </c:pt>
                <c:pt idx="15">
                  <c:v>0.18578253432404157</c:v>
                </c:pt>
                <c:pt idx="16">
                  <c:v>0.18163912588819997</c:v>
                </c:pt>
                <c:pt idx="17">
                  <c:v>0.18842440082214029</c:v>
                </c:pt>
                <c:pt idx="18">
                  <c:v>0.19532428073192332</c:v>
                </c:pt>
                <c:pt idx="19">
                  <c:v>0.18221303749672568</c:v>
                </c:pt>
                <c:pt idx="20">
                  <c:v>0.19243832396549365</c:v>
                </c:pt>
                <c:pt idx="21">
                  <c:v>0.19963518893131305</c:v>
                </c:pt>
                <c:pt idx="22">
                  <c:v>0.19430742524917388</c:v>
                </c:pt>
                <c:pt idx="23">
                  <c:v>0.18589847818251126</c:v>
                </c:pt>
                <c:pt idx="24">
                  <c:v>0.28695639160754016</c:v>
                </c:pt>
                <c:pt idx="25">
                  <c:v>0.28046441037530379</c:v>
                </c:pt>
                <c:pt idx="26">
                  <c:v>9.0236935330544554E-2</c:v>
                </c:pt>
                <c:pt idx="27">
                  <c:v>9.4357051376459111E-2</c:v>
                </c:pt>
                <c:pt idx="28">
                  <c:v>0.10640415043330265</c:v>
                </c:pt>
                <c:pt idx="29">
                  <c:v>9.4490940609912144E-2</c:v>
                </c:pt>
                <c:pt idx="30">
                  <c:v>9.8435693587759943E-2</c:v>
                </c:pt>
                <c:pt idx="31">
                  <c:v>0.1062801010892187</c:v>
                </c:pt>
                <c:pt idx="32">
                  <c:v>9.6035397523010602E-2</c:v>
                </c:pt>
                <c:pt idx="33">
                  <c:v>9.7066650432942936E-2</c:v>
                </c:pt>
              </c:numCache>
            </c:numRef>
          </c:val>
          <c:extLst>
            <c:ext xmlns:c16="http://schemas.microsoft.com/office/drawing/2014/chart" uri="{C3380CC4-5D6E-409C-BE32-E72D297353CC}">
              <c16:uniqueId val="{00000001-232F-4CB4-BE68-4A4B9A17CD60}"/>
            </c:ext>
          </c:extLst>
        </c:ser>
        <c:ser>
          <c:idx val="1"/>
          <c:order val="2"/>
          <c:tx>
            <c:strRef>
              <c:f>BySource!$N$1</c:f>
              <c:strCache>
                <c:ptCount val="1"/>
                <c:pt idx="0">
                  <c:v>Importētā inflācija</c:v>
                </c:pt>
              </c:strCache>
            </c:strRef>
          </c:tx>
          <c:spPr>
            <a:solidFill>
              <a:schemeClr val="accent2">
                <a:lumMod val="60000"/>
                <a:lumOff val="40000"/>
              </a:schemeClr>
            </a:solidFill>
            <a:ln>
              <a:noFill/>
            </a:ln>
          </c:spPr>
          <c:invertIfNegative val="0"/>
          <c:cat>
            <c:multiLvlStrRef>
              <c:f>BySource!$A$194:$B$227</c:f>
              <c:multiLvlStrCache>
                <c:ptCount val="3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lvl>
                <c:lvl>
                  <c:pt idx="0">
                    <c:v>2020</c:v>
                  </c:pt>
                  <c:pt idx="12">
                    <c:v>2021</c:v>
                  </c:pt>
                  <c:pt idx="24">
                    <c:v>2022</c:v>
                  </c:pt>
                </c:lvl>
              </c:multiLvlStrCache>
            </c:multiLvlStrRef>
          </c:cat>
          <c:val>
            <c:numRef>
              <c:f>BySource!$N$194:$N$227</c:f>
              <c:numCache>
                <c:formatCode>0.000</c:formatCode>
                <c:ptCount val="34"/>
                <c:pt idx="0">
                  <c:v>0.88426099446730777</c:v>
                </c:pt>
                <c:pt idx="1">
                  <c:v>0.87296138899059128</c:v>
                </c:pt>
                <c:pt idx="2">
                  <c:v>0.1149875946725806</c:v>
                </c:pt>
                <c:pt idx="3">
                  <c:v>-0.99621831891009371</c:v>
                </c:pt>
                <c:pt idx="4">
                  <c:v>-1.4382463271868786</c:v>
                </c:pt>
                <c:pt idx="5">
                  <c:v>-1.1168086692229751</c:v>
                </c:pt>
                <c:pt idx="6">
                  <c:v>-0.49703943189208161</c:v>
                </c:pt>
                <c:pt idx="7">
                  <c:v>-1.0280616036252597</c:v>
                </c:pt>
                <c:pt idx="8">
                  <c:v>-1.1337520937651362</c:v>
                </c:pt>
                <c:pt idx="9">
                  <c:v>-1.5399278533911263</c:v>
                </c:pt>
                <c:pt idx="10">
                  <c:v>-1.3763393460821447</c:v>
                </c:pt>
                <c:pt idx="11">
                  <c:v>-1.2173874926736707</c:v>
                </c:pt>
                <c:pt idx="12">
                  <c:v>-1.2929769546421275</c:v>
                </c:pt>
                <c:pt idx="13">
                  <c:v>-0.74119404889153584</c:v>
                </c:pt>
                <c:pt idx="14">
                  <c:v>-0.18279354110931384</c:v>
                </c:pt>
                <c:pt idx="15">
                  <c:v>1.079461586511314</c:v>
                </c:pt>
                <c:pt idx="16">
                  <c:v>1.4183753520226006</c:v>
                </c:pt>
                <c:pt idx="17">
                  <c:v>1.2184599118983843</c:v>
                </c:pt>
                <c:pt idx="18">
                  <c:v>1.565554744201699</c:v>
                </c:pt>
                <c:pt idx="19">
                  <c:v>2.2460855639721515</c:v>
                </c:pt>
                <c:pt idx="20">
                  <c:v>3.0512038468119678</c:v>
                </c:pt>
                <c:pt idx="21">
                  <c:v>3.6880720225299899</c:v>
                </c:pt>
                <c:pt idx="22">
                  <c:v>4.4865723984866186</c:v>
                </c:pt>
                <c:pt idx="23">
                  <c:v>4.2646694724677268</c:v>
                </c:pt>
                <c:pt idx="24">
                  <c:v>3.4364132019564084</c:v>
                </c:pt>
                <c:pt idx="25">
                  <c:v>3.7438057628254766</c:v>
                </c:pt>
                <c:pt idx="26">
                  <c:v>5.828197701728536</c:v>
                </c:pt>
                <c:pt idx="27">
                  <c:v>6.4245179703175967</c:v>
                </c:pt>
                <c:pt idx="28">
                  <c:v>9.8040712654049411</c:v>
                </c:pt>
                <c:pt idx="29">
                  <c:v>11.112484381255163</c:v>
                </c:pt>
                <c:pt idx="30">
                  <c:v>12.337639162504992</c:v>
                </c:pt>
                <c:pt idx="31">
                  <c:v>11.911156648229134</c:v>
                </c:pt>
                <c:pt idx="32">
                  <c:v>11.849867270206785</c:v>
                </c:pt>
                <c:pt idx="33">
                  <c:v>11.566243829386119</c:v>
                </c:pt>
              </c:numCache>
            </c:numRef>
          </c:val>
          <c:extLst>
            <c:ext xmlns:c16="http://schemas.microsoft.com/office/drawing/2014/chart" uri="{C3380CC4-5D6E-409C-BE32-E72D297353CC}">
              <c16:uniqueId val="{00000002-232F-4CB4-BE68-4A4B9A17CD60}"/>
            </c:ext>
          </c:extLst>
        </c:ser>
        <c:dLbls>
          <c:showLegendKey val="0"/>
          <c:showVal val="0"/>
          <c:showCatName val="0"/>
          <c:showSerName val="0"/>
          <c:showPercent val="0"/>
          <c:showBubbleSize val="0"/>
        </c:dLbls>
        <c:gapWidth val="22"/>
        <c:overlap val="100"/>
        <c:axId val="348883032"/>
        <c:axId val="348885384"/>
      </c:barChart>
      <c:lineChart>
        <c:grouping val="standard"/>
        <c:varyColors val="0"/>
        <c:ser>
          <c:idx val="3"/>
          <c:order val="3"/>
          <c:tx>
            <c:strRef>
              <c:f>BySource!$C$1</c:f>
              <c:strCache>
                <c:ptCount val="1"/>
                <c:pt idx="0">
                  <c:v>PCI</c:v>
                </c:pt>
              </c:strCache>
            </c:strRef>
          </c:tx>
          <c:spPr>
            <a:ln w="19050">
              <a:solidFill>
                <a:schemeClr val="tx1"/>
              </a:solidFill>
              <a:prstDash val="dash"/>
            </a:ln>
            <a:effectLst/>
          </c:spPr>
          <c:marker>
            <c:symbol val="none"/>
          </c:marker>
          <c:val>
            <c:numRef>
              <c:f>BySource!$C$194:$C$227</c:f>
              <c:numCache>
                <c:formatCode>0.000</c:formatCode>
                <c:ptCount val="34"/>
                <c:pt idx="0">
                  <c:v>2.2000000000000002</c:v>
                </c:pt>
                <c:pt idx="1">
                  <c:v>2.2999999999999998</c:v>
                </c:pt>
                <c:pt idx="2">
                  <c:v>1.4</c:v>
                </c:pt>
                <c:pt idx="3">
                  <c:v>0</c:v>
                </c:pt>
                <c:pt idx="4">
                  <c:v>-0.6</c:v>
                </c:pt>
                <c:pt idx="5">
                  <c:v>-0.7</c:v>
                </c:pt>
                <c:pt idx="6">
                  <c:v>0.5</c:v>
                </c:pt>
                <c:pt idx="7">
                  <c:v>-0.2</c:v>
                </c:pt>
                <c:pt idx="8">
                  <c:v>-0.3</c:v>
                </c:pt>
                <c:pt idx="9">
                  <c:v>-0.7</c:v>
                </c:pt>
                <c:pt idx="10">
                  <c:v>-0.7</c:v>
                </c:pt>
                <c:pt idx="11">
                  <c:v>-0.5</c:v>
                </c:pt>
                <c:pt idx="12">
                  <c:v>-0.5</c:v>
                </c:pt>
                <c:pt idx="13">
                  <c:v>-0.2</c:v>
                </c:pt>
                <c:pt idx="14">
                  <c:v>0.3</c:v>
                </c:pt>
                <c:pt idx="15">
                  <c:v>1.7</c:v>
                </c:pt>
                <c:pt idx="16">
                  <c:v>2.6</c:v>
                </c:pt>
                <c:pt idx="17">
                  <c:v>2.7</c:v>
                </c:pt>
                <c:pt idx="18">
                  <c:v>2.8</c:v>
                </c:pt>
                <c:pt idx="19">
                  <c:v>3.7</c:v>
                </c:pt>
                <c:pt idx="20">
                  <c:v>4.8</c:v>
                </c:pt>
                <c:pt idx="21">
                  <c:v>6</c:v>
                </c:pt>
                <c:pt idx="22">
                  <c:v>7.5</c:v>
                </c:pt>
                <c:pt idx="23">
                  <c:v>7.9</c:v>
                </c:pt>
                <c:pt idx="24">
                  <c:v>7.4</c:v>
                </c:pt>
                <c:pt idx="25">
                  <c:v>8.6999999999999993</c:v>
                </c:pt>
                <c:pt idx="26">
                  <c:v>11.5</c:v>
                </c:pt>
                <c:pt idx="27">
                  <c:v>13</c:v>
                </c:pt>
                <c:pt idx="28">
                  <c:v>16.899999999999999</c:v>
                </c:pt>
                <c:pt idx="29">
                  <c:v>19.3</c:v>
                </c:pt>
                <c:pt idx="30">
                  <c:v>21.5</c:v>
                </c:pt>
                <c:pt idx="31">
                  <c:v>21.5</c:v>
                </c:pt>
                <c:pt idx="32">
                  <c:v>22.2</c:v>
                </c:pt>
                <c:pt idx="33">
                  <c:v>21.8</c:v>
                </c:pt>
              </c:numCache>
            </c:numRef>
          </c:val>
          <c:smooth val="0"/>
          <c:extLst>
            <c:ext xmlns:c16="http://schemas.microsoft.com/office/drawing/2014/chart" uri="{C3380CC4-5D6E-409C-BE32-E72D297353CC}">
              <c16:uniqueId val="{00000003-232F-4CB4-BE68-4A4B9A17CD60}"/>
            </c:ext>
          </c:extLst>
        </c:ser>
        <c:dLbls>
          <c:showLegendKey val="0"/>
          <c:showVal val="0"/>
          <c:showCatName val="0"/>
          <c:showSerName val="0"/>
          <c:showPercent val="0"/>
          <c:showBubbleSize val="0"/>
        </c:dLbls>
        <c:marker val="1"/>
        <c:smooth val="0"/>
        <c:axId val="348883032"/>
        <c:axId val="348885384"/>
      </c:lineChart>
      <c:catAx>
        <c:axId val="348883032"/>
        <c:scaling>
          <c:orientation val="minMax"/>
        </c:scaling>
        <c:delete val="0"/>
        <c:axPos val="b"/>
        <c:numFmt formatCode="General" sourceLinked="0"/>
        <c:majorTickMark val="none"/>
        <c:minorTickMark val="none"/>
        <c:tickLblPos val="low"/>
        <c:spPr>
          <a:ln>
            <a:solidFill>
              <a:schemeClr val="tx1"/>
            </a:solidFill>
          </a:ln>
        </c:spPr>
        <c:crossAx val="348885384"/>
        <c:crosses val="autoZero"/>
        <c:auto val="1"/>
        <c:lblAlgn val="ctr"/>
        <c:lblOffset val="100"/>
        <c:noMultiLvlLbl val="0"/>
      </c:catAx>
      <c:valAx>
        <c:axId val="348885384"/>
        <c:scaling>
          <c:orientation val="minMax"/>
          <c:min val="-4"/>
        </c:scaling>
        <c:delete val="0"/>
        <c:axPos val="l"/>
        <c:majorGridlines>
          <c:spPr>
            <a:ln>
              <a:solidFill>
                <a:schemeClr val="bg1">
                  <a:lumMod val="75000"/>
                </a:schemeClr>
              </a:solidFill>
            </a:ln>
          </c:spPr>
        </c:majorGridlines>
        <c:numFmt formatCode="0" sourceLinked="0"/>
        <c:majorTickMark val="out"/>
        <c:minorTickMark val="none"/>
        <c:tickLblPos val="nextTo"/>
        <c:spPr>
          <a:ln>
            <a:solidFill>
              <a:schemeClr val="tx1"/>
            </a:solidFill>
          </a:ln>
        </c:spPr>
        <c:crossAx val="348883032"/>
        <c:crosses val="autoZero"/>
        <c:crossBetween val="between"/>
        <c:majorUnit val="4"/>
      </c:valAx>
      <c:spPr>
        <a:noFill/>
      </c:spPr>
    </c:plotArea>
    <c:legend>
      <c:legendPos val="b"/>
      <c:overlay val="0"/>
    </c:legend>
    <c:plotVisOnly val="1"/>
    <c:dispBlanksAs val="gap"/>
    <c:showDLblsOverMax val="0"/>
  </c:chart>
  <c:spPr>
    <a:ln>
      <a:noFill/>
    </a:ln>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9369149652754E-2"/>
          <c:y val="0.33379527559055122"/>
          <c:w val="0.89284760643857575"/>
          <c:h val="0.47925152432868967"/>
        </c:manualLayout>
      </c:layout>
      <c:barChart>
        <c:barDir val="col"/>
        <c:grouping val="clustered"/>
        <c:varyColors val="0"/>
        <c:ser>
          <c:idx val="1"/>
          <c:order val="0"/>
          <c:tx>
            <c:strRef>
              <c:f>'grafiki bazes vs aktualizetas'!$G$78</c:f>
              <c:strCache>
                <c:ptCount val="1"/>
                <c:pt idx="0">
                  <c:v>Ietvars</c:v>
                </c:pt>
              </c:strCache>
            </c:strRef>
          </c:tx>
          <c:spPr>
            <a:solidFill>
              <a:sysClr val="window" lastClr="FFFFFF">
                <a:lumMod val="75000"/>
              </a:sysClr>
            </a:solidFill>
            <a:ln>
              <a:solidFill>
                <a:srgbClr val="5B9BD5">
                  <a:shade val="50000"/>
                </a:srgbClr>
              </a:solid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aktualizetas'!$H$75:$K$75</c:f>
              <c:numCache>
                <c:formatCode>General</c:formatCode>
                <c:ptCount val="3"/>
                <c:pt idx="0">
                  <c:v>2023</c:v>
                </c:pt>
                <c:pt idx="1">
                  <c:v>2024</c:v>
                </c:pt>
                <c:pt idx="2">
                  <c:v>2025</c:v>
                </c:pt>
              </c:numCache>
              <c:extLst/>
            </c:numRef>
          </c:cat>
          <c:val>
            <c:numRef>
              <c:f>'grafiki bazes vs aktualizetas'!$H$78:$K$78</c:f>
              <c:numCache>
                <c:formatCode>#\ ##0.0</c:formatCode>
                <c:ptCount val="3"/>
                <c:pt idx="0">
                  <c:v>8788.2000000000007</c:v>
                </c:pt>
                <c:pt idx="1">
                  <c:v>8793.9</c:v>
                </c:pt>
                <c:pt idx="2">
                  <c:v>8793.9</c:v>
                </c:pt>
              </c:numCache>
              <c:extLst/>
            </c:numRef>
          </c:val>
          <c:extLst>
            <c:ext xmlns:c16="http://schemas.microsoft.com/office/drawing/2014/chart" uri="{C3380CC4-5D6E-409C-BE32-E72D297353CC}">
              <c16:uniqueId val="{00000000-6C6C-4AB9-8FA6-6FF225B0AA93}"/>
            </c:ext>
          </c:extLst>
        </c:ser>
        <c:ser>
          <c:idx val="0"/>
          <c:order val="1"/>
          <c:tx>
            <c:strRef>
              <c:f>'grafiki bazes vs aktualizetas'!$G$77</c:f>
              <c:strCache>
                <c:ptCount val="1"/>
                <c:pt idx="0">
                  <c:v>MK aptiprinātie</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aktualizetas'!$H$75:$K$75</c:f>
              <c:numCache>
                <c:formatCode>General</c:formatCode>
                <c:ptCount val="3"/>
                <c:pt idx="0">
                  <c:v>2023</c:v>
                </c:pt>
                <c:pt idx="1">
                  <c:v>2024</c:v>
                </c:pt>
                <c:pt idx="2">
                  <c:v>2025</c:v>
                </c:pt>
              </c:numCache>
              <c:extLst/>
            </c:numRef>
          </c:cat>
          <c:val>
            <c:numRef>
              <c:f>'grafiki bazes vs aktualizetas'!$H$77:$K$77</c:f>
              <c:numCache>
                <c:formatCode>#\ ##0.0</c:formatCode>
                <c:ptCount val="3"/>
                <c:pt idx="0">
                  <c:v>9818.2000000000007</c:v>
                </c:pt>
                <c:pt idx="1">
                  <c:v>9307.4</c:v>
                </c:pt>
                <c:pt idx="2">
                  <c:v>9265.5</c:v>
                </c:pt>
              </c:numCache>
              <c:extLst/>
            </c:numRef>
          </c:val>
          <c:extLst>
            <c:ext xmlns:c16="http://schemas.microsoft.com/office/drawing/2014/chart" uri="{C3380CC4-5D6E-409C-BE32-E72D297353CC}">
              <c16:uniqueId val="{00000001-6C6C-4AB9-8FA6-6FF225B0AA93}"/>
            </c:ext>
          </c:extLst>
        </c:ser>
        <c:ser>
          <c:idx val="2"/>
          <c:order val="2"/>
          <c:tx>
            <c:strRef>
              <c:f>'grafiki bazes vs aktualizetas'!$G$76</c:f>
              <c:strCache>
                <c:ptCount val="1"/>
                <c:pt idx="0">
                  <c:v>Aktualizētie</c:v>
                </c:pt>
              </c:strCache>
            </c:strRef>
          </c:tx>
          <c:spPr>
            <a:solidFill>
              <a:srgbClr val="BDA2D2"/>
            </a:solidFill>
            <a:ln>
              <a:solidFill>
                <a:srgbClr val="5B9BD5">
                  <a:shade val="50000"/>
                </a:srgbClr>
              </a:solid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aktualizetas'!$H$75:$K$75</c:f>
              <c:numCache>
                <c:formatCode>General</c:formatCode>
                <c:ptCount val="3"/>
                <c:pt idx="0">
                  <c:v>2023</c:v>
                </c:pt>
                <c:pt idx="1">
                  <c:v>2024</c:v>
                </c:pt>
                <c:pt idx="2">
                  <c:v>2025</c:v>
                </c:pt>
              </c:numCache>
              <c:extLst/>
            </c:numRef>
          </c:cat>
          <c:val>
            <c:numRef>
              <c:f>'grafiki bazes vs aktualizetas'!$H$76:$K$76</c:f>
              <c:numCache>
                <c:formatCode>#\ ##0.0</c:formatCode>
                <c:ptCount val="3"/>
                <c:pt idx="0">
                  <c:v>9980.2999999999993</c:v>
                </c:pt>
                <c:pt idx="1">
                  <c:v>9471.7000000000007</c:v>
                </c:pt>
                <c:pt idx="2">
                  <c:v>9437.6</c:v>
                </c:pt>
              </c:numCache>
              <c:extLst/>
            </c:numRef>
          </c:val>
          <c:extLst>
            <c:ext xmlns:c16="http://schemas.microsoft.com/office/drawing/2014/chart" uri="{C3380CC4-5D6E-409C-BE32-E72D297353CC}">
              <c16:uniqueId val="{00000002-6C6C-4AB9-8FA6-6FF225B0AA93}"/>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9369149652754E-2"/>
          <c:y val="0.37892348071875631"/>
          <c:w val="0.89284760643857575"/>
          <c:h val="0.43412331920048464"/>
        </c:manualLayout>
      </c:layout>
      <c:barChart>
        <c:barDir val="col"/>
        <c:grouping val="clustered"/>
        <c:varyColors val="0"/>
        <c:ser>
          <c:idx val="2"/>
          <c:order val="0"/>
          <c:tx>
            <c:strRef>
              <c:f>'grafiki bazes vs aktualizetas'!$G$88:$H$88</c:f>
              <c:strCache>
                <c:ptCount val="2"/>
                <c:pt idx="0">
                  <c:v>Ietvars</c:v>
                </c:pt>
              </c:strCache>
            </c:strRef>
          </c:tx>
          <c:spPr>
            <a:solidFill>
              <a:schemeClr val="accent3"/>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aktualizetas'!$I$85:$K$85</c:f>
              <c:numCache>
                <c:formatCode>General</c:formatCode>
                <c:ptCount val="3"/>
                <c:pt idx="0">
                  <c:v>2023</c:v>
                </c:pt>
                <c:pt idx="1">
                  <c:v>2024</c:v>
                </c:pt>
                <c:pt idx="2">
                  <c:v>2025</c:v>
                </c:pt>
              </c:numCache>
            </c:numRef>
          </c:cat>
          <c:val>
            <c:numRef>
              <c:f>'grafiki bazes vs aktualizetas'!$I$88:$K$88</c:f>
              <c:numCache>
                <c:formatCode>#\ ##0.0</c:formatCode>
                <c:ptCount val="3"/>
                <c:pt idx="0">
                  <c:v>6744.4</c:v>
                </c:pt>
                <c:pt idx="1">
                  <c:v>6706.6</c:v>
                </c:pt>
                <c:pt idx="2">
                  <c:v>6706.6</c:v>
                </c:pt>
              </c:numCache>
            </c:numRef>
          </c:val>
          <c:extLst>
            <c:ext xmlns:c16="http://schemas.microsoft.com/office/drawing/2014/chart" uri="{C3380CC4-5D6E-409C-BE32-E72D297353CC}">
              <c16:uniqueId val="{00000000-B904-4B75-80D8-289C119D83FF}"/>
            </c:ext>
          </c:extLst>
        </c:ser>
        <c:ser>
          <c:idx val="0"/>
          <c:order val="1"/>
          <c:tx>
            <c:strRef>
              <c:f>'grafiki bazes vs aktualizetas'!$G$87:$H$87</c:f>
              <c:strCache>
                <c:ptCount val="2"/>
                <c:pt idx="0">
                  <c:v>MK aptiprinātie</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aktualizetas'!$I$85:$K$85</c:f>
              <c:numCache>
                <c:formatCode>General</c:formatCode>
                <c:ptCount val="3"/>
                <c:pt idx="0">
                  <c:v>2023</c:v>
                </c:pt>
                <c:pt idx="1">
                  <c:v>2024</c:v>
                </c:pt>
                <c:pt idx="2">
                  <c:v>2025</c:v>
                </c:pt>
              </c:numCache>
            </c:numRef>
          </c:cat>
          <c:val>
            <c:numRef>
              <c:f>'grafiki bazes vs aktualizetas'!$I$87:$K$87</c:f>
              <c:numCache>
                <c:formatCode>#\ ##0.0</c:formatCode>
                <c:ptCount val="3"/>
                <c:pt idx="0">
                  <c:v>7751.7</c:v>
                </c:pt>
                <c:pt idx="1">
                  <c:v>7183.9</c:v>
                </c:pt>
                <c:pt idx="2">
                  <c:v>7176.9</c:v>
                </c:pt>
              </c:numCache>
            </c:numRef>
          </c:val>
          <c:extLst>
            <c:ext xmlns:c16="http://schemas.microsoft.com/office/drawing/2014/chart" uri="{C3380CC4-5D6E-409C-BE32-E72D297353CC}">
              <c16:uniqueId val="{00000001-B904-4B75-80D8-289C119D83FF}"/>
            </c:ext>
          </c:extLst>
        </c:ser>
        <c:ser>
          <c:idx val="1"/>
          <c:order val="2"/>
          <c:tx>
            <c:strRef>
              <c:f>'grafiki bazes vs aktualizetas'!$G$86:$H$86</c:f>
              <c:strCache>
                <c:ptCount val="2"/>
                <c:pt idx="0">
                  <c:v>Aktualizētie</c:v>
                </c:pt>
              </c:strCache>
            </c:strRef>
          </c:tx>
          <c:spPr>
            <a:solidFill>
              <a:srgbClr val="BDA2D2"/>
            </a:solidFill>
            <a:ln>
              <a:solidFill>
                <a:srgbClr val="5B9BD5">
                  <a:shade val="50000"/>
                </a:srgbClr>
              </a:solid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aktualizetas'!$I$85:$K$85</c:f>
              <c:numCache>
                <c:formatCode>General</c:formatCode>
                <c:ptCount val="3"/>
                <c:pt idx="0">
                  <c:v>2023</c:v>
                </c:pt>
                <c:pt idx="1">
                  <c:v>2024</c:v>
                </c:pt>
                <c:pt idx="2">
                  <c:v>2025</c:v>
                </c:pt>
              </c:numCache>
            </c:numRef>
          </c:cat>
          <c:val>
            <c:numRef>
              <c:f>'grafiki bazes vs aktualizetas'!$I$86:$K$86</c:f>
              <c:numCache>
                <c:formatCode>#\ ##0.0</c:formatCode>
                <c:ptCount val="3"/>
                <c:pt idx="0">
                  <c:v>7897.7</c:v>
                </c:pt>
                <c:pt idx="1">
                  <c:v>7331.7</c:v>
                </c:pt>
                <c:pt idx="2">
                  <c:v>7347.5</c:v>
                </c:pt>
              </c:numCache>
            </c:numRef>
          </c:val>
          <c:extLst>
            <c:ext xmlns:c16="http://schemas.microsoft.com/office/drawing/2014/chart" uri="{C3380CC4-5D6E-409C-BE32-E72D297353CC}">
              <c16:uniqueId val="{00000002-B904-4B75-80D8-289C119D83FF}"/>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9369149652754E-2"/>
          <c:y val="0.27711496062992125"/>
          <c:w val="0.89284760643857575"/>
          <c:h val="0.53593170327393291"/>
        </c:manualLayout>
      </c:layout>
      <c:barChart>
        <c:barDir val="col"/>
        <c:grouping val="clustered"/>
        <c:varyColors val="0"/>
        <c:ser>
          <c:idx val="2"/>
          <c:order val="0"/>
          <c:tx>
            <c:strRef>
              <c:f>'grafiki bazes vs aktualizetas'!$G$105:$H$105</c:f>
              <c:strCache>
                <c:ptCount val="2"/>
                <c:pt idx="0">
                  <c:v>Ietvars</c:v>
                </c:pt>
              </c:strCache>
            </c:strRef>
          </c:tx>
          <c:spPr>
            <a:solidFill>
              <a:schemeClr val="accent3"/>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aktualizetas'!$I$102:$K$102</c:f>
              <c:numCache>
                <c:formatCode>General</c:formatCode>
                <c:ptCount val="3"/>
                <c:pt idx="0">
                  <c:v>2023</c:v>
                </c:pt>
                <c:pt idx="1">
                  <c:v>2024</c:v>
                </c:pt>
                <c:pt idx="2">
                  <c:v>2025</c:v>
                </c:pt>
              </c:numCache>
            </c:numRef>
          </c:cat>
          <c:val>
            <c:numRef>
              <c:f>'grafiki bazes vs aktualizetas'!$I$105:$K$105</c:f>
              <c:numCache>
                <c:formatCode>#\ ##0.0</c:formatCode>
                <c:ptCount val="3"/>
                <c:pt idx="0">
                  <c:v>2043.7</c:v>
                </c:pt>
                <c:pt idx="1">
                  <c:v>2087.4</c:v>
                </c:pt>
                <c:pt idx="2">
                  <c:v>2087.4</c:v>
                </c:pt>
              </c:numCache>
            </c:numRef>
          </c:val>
          <c:extLst>
            <c:ext xmlns:c16="http://schemas.microsoft.com/office/drawing/2014/chart" uri="{C3380CC4-5D6E-409C-BE32-E72D297353CC}">
              <c16:uniqueId val="{00000000-0580-44E4-AD91-C66CE0D78CCB}"/>
            </c:ext>
          </c:extLst>
        </c:ser>
        <c:ser>
          <c:idx val="0"/>
          <c:order val="1"/>
          <c:tx>
            <c:strRef>
              <c:f>'grafiki bazes vs aktualizetas'!$G$104:$H$104</c:f>
              <c:strCache>
                <c:ptCount val="2"/>
                <c:pt idx="0">
                  <c:v>MK aptiprinātie</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aktualizetas'!$I$102:$K$102</c:f>
              <c:numCache>
                <c:formatCode>General</c:formatCode>
                <c:ptCount val="3"/>
                <c:pt idx="0">
                  <c:v>2023</c:v>
                </c:pt>
                <c:pt idx="1">
                  <c:v>2024</c:v>
                </c:pt>
                <c:pt idx="2">
                  <c:v>2025</c:v>
                </c:pt>
              </c:numCache>
            </c:numRef>
          </c:cat>
          <c:val>
            <c:numRef>
              <c:f>'grafiki bazes vs aktualizetas'!$I$104:$K$104</c:f>
              <c:numCache>
                <c:formatCode>#\ ##0.0</c:formatCode>
                <c:ptCount val="3"/>
                <c:pt idx="0">
                  <c:v>2066.5</c:v>
                </c:pt>
                <c:pt idx="1">
                  <c:v>2123.5</c:v>
                </c:pt>
                <c:pt idx="2">
                  <c:v>2088.6</c:v>
                </c:pt>
              </c:numCache>
            </c:numRef>
          </c:val>
          <c:extLst>
            <c:ext xmlns:c16="http://schemas.microsoft.com/office/drawing/2014/chart" uri="{C3380CC4-5D6E-409C-BE32-E72D297353CC}">
              <c16:uniqueId val="{00000001-0580-44E4-AD91-C66CE0D78CCB}"/>
            </c:ext>
          </c:extLst>
        </c:ser>
        <c:ser>
          <c:idx val="1"/>
          <c:order val="2"/>
          <c:tx>
            <c:strRef>
              <c:f>'grafiki bazes vs aktualizetas'!$G$103:$H$103</c:f>
              <c:strCache>
                <c:ptCount val="2"/>
                <c:pt idx="0">
                  <c:v>Aktualizētie</c:v>
                </c:pt>
              </c:strCache>
            </c:strRef>
          </c:tx>
          <c:spPr>
            <a:solidFill>
              <a:srgbClr val="BDA2D2"/>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aktualizetas'!$I$102:$K$102</c:f>
              <c:numCache>
                <c:formatCode>General</c:formatCode>
                <c:ptCount val="3"/>
                <c:pt idx="0">
                  <c:v>2023</c:v>
                </c:pt>
                <c:pt idx="1">
                  <c:v>2024</c:v>
                </c:pt>
                <c:pt idx="2">
                  <c:v>2025</c:v>
                </c:pt>
              </c:numCache>
            </c:numRef>
          </c:cat>
          <c:val>
            <c:numRef>
              <c:f>'grafiki bazes vs aktualizetas'!$I$103:$K$103</c:f>
              <c:numCache>
                <c:formatCode>#\ ##0.0</c:formatCode>
                <c:ptCount val="3"/>
                <c:pt idx="0">
                  <c:v>2082.5</c:v>
                </c:pt>
                <c:pt idx="1">
                  <c:v>2140</c:v>
                </c:pt>
                <c:pt idx="2">
                  <c:v>2090.1</c:v>
                </c:pt>
              </c:numCache>
            </c:numRef>
          </c:val>
          <c:extLst>
            <c:ext xmlns:c16="http://schemas.microsoft.com/office/drawing/2014/chart" uri="{C3380CC4-5D6E-409C-BE32-E72D297353CC}">
              <c16:uniqueId val="{00000002-0580-44E4-AD91-C66CE0D78CCB}"/>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9369149652754E-2"/>
          <c:y val="0.29687219866747427"/>
          <c:w val="0.89284760643857575"/>
          <c:h val="0.51617460125176662"/>
        </c:manualLayout>
      </c:layout>
      <c:barChart>
        <c:barDir val="col"/>
        <c:grouping val="clustered"/>
        <c:varyColors val="0"/>
        <c:ser>
          <c:idx val="1"/>
          <c:order val="0"/>
          <c:tx>
            <c:strRef>
              <c:f>'grafiki bazes vs aktualizetas'!$G$99:$H$99</c:f>
              <c:strCache>
                <c:ptCount val="2"/>
                <c:pt idx="0">
                  <c:v>Ietvars</c:v>
                </c:pt>
              </c:strCache>
            </c:strRef>
          </c:tx>
          <c:spPr>
            <a:solidFill>
              <a:sysClr val="window" lastClr="FFFFFF">
                <a:lumMod val="65000"/>
              </a:sysClr>
            </a:solidFill>
            <a:ln>
              <a:solidFill>
                <a:sysClr val="window" lastClr="FFFFFF">
                  <a:lumMod val="65000"/>
                </a:sysClr>
              </a:solid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aktualizetas'!$I$96:$K$96</c:f>
              <c:numCache>
                <c:formatCode>General</c:formatCode>
                <c:ptCount val="3"/>
                <c:pt idx="0">
                  <c:v>2023</c:v>
                </c:pt>
                <c:pt idx="1">
                  <c:v>2024</c:v>
                </c:pt>
                <c:pt idx="2">
                  <c:v>2025</c:v>
                </c:pt>
              </c:numCache>
            </c:numRef>
          </c:cat>
          <c:val>
            <c:numRef>
              <c:f>'grafiki bazes vs aktualizetas'!$I$99:$K$99</c:f>
              <c:numCache>
                <c:formatCode>#\ ##0.0</c:formatCode>
                <c:ptCount val="3"/>
                <c:pt idx="0">
                  <c:v>3538.1</c:v>
                </c:pt>
                <c:pt idx="1">
                  <c:v>3767.7</c:v>
                </c:pt>
                <c:pt idx="2">
                  <c:v>3767.7</c:v>
                </c:pt>
              </c:numCache>
            </c:numRef>
          </c:val>
          <c:extLst>
            <c:ext xmlns:c16="http://schemas.microsoft.com/office/drawing/2014/chart" uri="{C3380CC4-5D6E-409C-BE32-E72D297353CC}">
              <c16:uniqueId val="{00000000-AE88-453D-B17E-613A04B564E8}"/>
            </c:ext>
          </c:extLst>
        </c:ser>
        <c:ser>
          <c:idx val="0"/>
          <c:order val="1"/>
          <c:tx>
            <c:strRef>
              <c:f>'grafiki bazes vs aktualizetas'!$G$98:$H$98</c:f>
              <c:strCache>
                <c:ptCount val="2"/>
                <c:pt idx="0">
                  <c:v>MK aptiprinātie</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aktualizetas'!$I$96:$K$96</c:f>
              <c:numCache>
                <c:formatCode>General</c:formatCode>
                <c:ptCount val="3"/>
                <c:pt idx="0">
                  <c:v>2023</c:v>
                </c:pt>
                <c:pt idx="1">
                  <c:v>2024</c:v>
                </c:pt>
                <c:pt idx="2">
                  <c:v>2025</c:v>
                </c:pt>
              </c:numCache>
            </c:numRef>
          </c:cat>
          <c:val>
            <c:numRef>
              <c:f>'grafiki bazes vs aktualizetas'!$I$98:$K$98</c:f>
              <c:numCache>
                <c:formatCode>#\ ##0.0</c:formatCode>
                <c:ptCount val="3"/>
                <c:pt idx="0">
                  <c:v>4053.9</c:v>
                </c:pt>
                <c:pt idx="1">
                  <c:v>4220.8999999999996</c:v>
                </c:pt>
                <c:pt idx="2">
                  <c:v>4446.1000000000004</c:v>
                </c:pt>
              </c:numCache>
            </c:numRef>
          </c:val>
          <c:extLst>
            <c:ext xmlns:c16="http://schemas.microsoft.com/office/drawing/2014/chart" uri="{C3380CC4-5D6E-409C-BE32-E72D297353CC}">
              <c16:uniqueId val="{00000001-AE88-453D-B17E-613A04B564E8}"/>
            </c:ext>
          </c:extLst>
        </c:ser>
        <c:ser>
          <c:idx val="2"/>
          <c:order val="2"/>
          <c:tx>
            <c:strRef>
              <c:f>'grafiki bazes vs aktualizetas'!$G$97:$H$97</c:f>
              <c:strCache>
                <c:ptCount val="2"/>
                <c:pt idx="0">
                  <c:v>Aktualizētie</c:v>
                </c:pt>
              </c:strCache>
            </c:strRef>
          </c:tx>
          <c:spPr>
            <a:solidFill>
              <a:srgbClr val="BDA2D2"/>
            </a:solidFill>
            <a:ln>
              <a:solidFill>
                <a:sysClr val="window" lastClr="FFFFFF">
                  <a:lumMod val="65000"/>
                </a:sysClr>
              </a:solid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bazes vs aktualizetas'!$I$96:$K$96</c:f>
              <c:numCache>
                <c:formatCode>General</c:formatCode>
                <c:ptCount val="3"/>
                <c:pt idx="0">
                  <c:v>2023</c:v>
                </c:pt>
                <c:pt idx="1">
                  <c:v>2024</c:v>
                </c:pt>
                <c:pt idx="2">
                  <c:v>2025</c:v>
                </c:pt>
              </c:numCache>
            </c:numRef>
          </c:cat>
          <c:val>
            <c:numRef>
              <c:f>'grafiki bazes vs aktualizetas'!$I$97:$K$97</c:f>
              <c:numCache>
                <c:formatCode>#\ ##0.0</c:formatCode>
                <c:ptCount val="3"/>
                <c:pt idx="0">
                  <c:v>4082.8</c:v>
                </c:pt>
                <c:pt idx="1">
                  <c:v>4317.8</c:v>
                </c:pt>
                <c:pt idx="2">
                  <c:v>4567.8999999999996</c:v>
                </c:pt>
              </c:numCache>
            </c:numRef>
          </c:val>
          <c:extLst>
            <c:ext xmlns:c16="http://schemas.microsoft.com/office/drawing/2014/chart" uri="{C3380CC4-5D6E-409C-BE32-E72D297353CC}">
              <c16:uniqueId val="{00000002-AE88-453D-B17E-613A04B564E8}"/>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447297096964993E-2"/>
          <c:y val="5.3483504435363309E-2"/>
          <c:w val="0.9138012477016686"/>
          <c:h val="0.62340184368328699"/>
        </c:manualLayout>
      </c:layout>
      <c:areaChart>
        <c:grouping val="standard"/>
        <c:varyColors val="0"/>
        <c:ser>
          <c:idx val="0"/>
          <c:order val="0"/>
          <c:tx>
            <c:strRef>
              <c:f>'Apgr. indeksi'!$A$115</c:f>
              <c:strCache>
                <c:ptCount val="1"/>
                <c:pt idx="0">
                  <c:v>Visa apstrādes rūpniecības produkcija</c:v>
                </c:pt>
              </c:strCache>
            </c:strRef>
          </c:tx>
          <c:spPr>
            <a:pattFill prst="pct25">
              <a:fgClr>
                <a:schemeClr val="tx1">
                  <a:lumMod val="50000"/>
                  <a:lumOff val="50000"/>
                </a:schemeClr>
              </a:fgClr>
              <a:bgClr>
                <a:schemeClr val="bg1"/>
              </a:bgClr>
            </a:pattFill>
            <a:ln w="0">
              <a:solidFill>
                <a:schemeClr val="tx1">
                  <a:lumMod val="50000"/>
                  <a:lumOff val="50000"/>
                </a:schemeClr>
              </a:solidFill>
            </a:ln>
            <a:effectLst/>
          </c:spPr>
          <c:cat>
            <c:multiLvlStrRef>
              <c:f>'Apgr. indeksi'!$IH$111:$JO$112</c:f>
              <c:multiLvlStrCache>
                <c:ptCount val="3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lvl>
                <c:lvl>
                  <c:pt idx="0">
                    <c:v>2020</c:v>
                  </c:pt>
                  <c:pt idx="12">
                    <c:v>2021</c:v>
                  </c:pt>
                  <c:pt idx="24">
                    <c:v>2022</c:v>
                  </c:pt>
                </c:lvl>
              </c:multiLvlStrCache>
              <c:extLst/>
            </c:multiLvlStrRef>
          </c:cat>
          <c:val>
            <c:numRef>
              <c:f>'Apgr. indeksi'!$IH$115:$JO$115</c:f>
              <c:numCache>
                <c:formatCode>0.0</c:formatCode>
                <c:ptCount val="34"/>
                <c:pt idx="0">
                  <c:v>2</c:v>
                </c:pt>
                <c:pt idx="1">
                  <c:v>5</c:v>
                </c:pt>
                <c:pt idx="2">
                  <c:v>-1.4</c:v>
                </c:pt>
                <c:pt idx="3">
                  <c:v>-5.8</c:v>
                </c:pt>
                <c:pt idx="4">
                  <c:v>-7.6</c:v>
                </c:pt>
                <c:pt idx="5">
                  <c:v>-0.1</c:v>
                </c:pt>
                <c:pt idx="6">
                  <c:v>6</c:v>
                </c:pt>
                <c:pt idx="7">
                  <c:v>0.2</c:v>
                </c:pt>
                <c:pt idx="8">
                  <c:v>1.2</c:v>
                </c:pt>
                <c:pt idx="9">
                  <c:v>5.5</c:v>
                </c:pt>
                <c:pt idx="10">
                  <c:v>7</c:v>
                </c:pt>
                <c:pt idx="11">
                  <c:v>12.4</c:v>
                </c:pt>
                <c:pt idx="12">
                  <c:v>2.2999999999999998</c:v>
                </c:pt>
                <c:pt idx="13">
                  <c:v>3</c:v>
                </c:pt>
                <c:pt idx="14">
                  <c:v>14.3</c:v>
                </c:pt>
                <c:pt idx="15">
                  <c:v>26.8</c:v>
                </c:pt>
                <c:pt idx="16">
                  <c:v>26</c:v>
                </c:pt>
                <c:pt idx="17">
                  <c:v>31.3</c:v>
                </c:pt>
                <c:pt idx="18">
                  <c:v>27.6</c:v>
                </c:pt>
                <c:pt idx="19">
                  <c:v>28.3</c:v>
                </c:pt>
                <c:pt idx="20">
                  <c:v>29.5</c:v>
                </c:pt>
                <c:pt idx="21">
                  <c:v>21.7</c:v>
                </c:pt>
                <c:pt idx="22">
                  <c:v>21.4</c:v>
                </c:pt>
                <c:pt idx="23">
                  <c:v>18.899999999999999</c:v>
                </c:pt>
                <c:pt idx="24">
                  <c:v>29.2</c:v>
                </c:pt>
                <c:pt idx="25">
                  <c:v>23.3</c:v>
                </c:pt>
                <c:pt idx="26">
                  <c:v>26.7</c:v>
                </c:pt>
                <c:pt idx="27">
                  <c:v>28.6</c:v>
                </c:pt>
                <c:pt idx="28">
                  <c:v>29.7</c:v>
                </c:pt>
                <c:pt idx="29">
                  <c:v>11.9</c:v>
                </c:pt>
                <c:pt idx="30">
                  <c:v>15.2</c:v>
                </c:pt>
                <c:pt idx="31">
                  <c:v>9.5</c:v>
                </c:pt>
                <c:pt idx="32">
                  <c:v>13.2</c:v>
                </c:pt>
                <c:pt idx="33">
                  <c:v>14.7</c:v>
                </c:pt>
              </c:numCache>
              <c:extLst/>
            </c:numRef>
          </c:val>
          <c:extLst>
            <c:ext xmlns:c16="http://schemas.microsoft.com/office/drawing/2014/chart" uri="{C3380CC4-5D6E-409C-BE32-E72D297353CC}">
              <c16:uniqueId val="{00000000-C9C7-4CD8-8877-B44B683DA5F4}"/>
            </c:ext>
          </c:extLst>
        </c:ser>
        <c:dLbls>
          <c:showLegendKey val="0"/>
          <c:showVal val="0"/>
          <c:showCatName val="0"/>
          <c:showSerName val="0"/>
          <c:showPercent val="0"/>
          <c:showBubbleSize val="0"/>
        </c:dLbls>
        <c:axId val="116528976"/>
        <c:axId val="116529368"/>
      </c:areaChart>
      <c:lineChart>
        <c:grouping val="standard"/>
        <c:varyColors val="0"/>
        <c:ser>
          <c:idx val="1"/>
          <c:order val="1"/>
          <c:tx>
            <c:strRef>
              <c:f>'Apgr. indeksi'!$A$147</c:f>
              <c:strCache>
                <c:ptCount val="1"/>
                <c:pt idx="0">
                  <c:v>Vietējais tirgus</c:v>
                </c:pt>
              </c:strCache>
            </c:strRef>
          </c:tx>
          <c:spPr>
            <a:ln w="28575" cap="rnd">
              <a:solidFill>
                <a:srgbClr val="00B050"/>
              </a:solidFill>
              <a:round/>
            </a:ln>
            <a:effectLst/>
          </c:spPr>
          <c:marker>
            <c:symbol val="none"/>
          </c:marker>
          <c:cat>
            <c:multiLvlStrRef>
              <c:f>'Apgr. indeksi'!$GL$111:$JO$112</c:f>
              <c:multiLvlStrCache>
                <c:ptCount val="8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lvl>
                <c:lvl>
                  <c:pt idx="0">
                    <c:v>2016</c:v>
                  </c:pt>
                  <c:pt idx="12">
                    <c:v>2017</c:v>
                  </c:pt>
                  <c:pt idx="24">
                    <c:v>2018</c:v>
                  </c:pt>
                  <c:pt idx="36">
                    <c:v>2019</c:v>
                  </c:pt>
                  <c:pt idx="48">
                    <c:v>2020</c:v>
                  </c:pt>
                  <c:pt idx="60">
                    <c:v>2021</c:v>
                  </c:pt>
                  <c:pt idx="72">
                    <c:v>2022</c:v>
                  </c:pt>
                </c:lvl>
              </c:multiLvlStrCache>
              <c:extLst/>
            </c:multiLvlStrRef>
          </c:cat>
          <c:val>
            <c:numRef>
              <c:f>'Apgr. indeksi'!$IH$150:$JO$150</c:f>
              <c:numCache>
                <c:formatCode>0.0</c:formatCode>
                <c:ptCount val="34"/>
                <c:pt idx="0">
                  <c:v>-1.9</c:v>
                </c:pt>
                <c:pt idx="1">
                  <c:v>-1.2</c:v>
                </c:pt>
                <c:pt idx="2">
                  <c:v>3.5</c:v>
                </c:pt>
                <c:pt idx="3">
                  <c:v>-5</c:v>
                </c:pt>
                <c:pt idx="4">
                  <c:v>-5.4</c:v>
                </c:pt>
                <c:pt idx="5">
                  <c:v>-3.8</c:v>
                </c:pt>
                <c:pt idx="6">
                  <c:v>-1</c:v>
                </c:pt>
                <c:pt idx="7">
                  <c:v>-2.7</c:v>
                </c:pt>
                <c:pt idx="8">
                  <c:v>1.5</c:v>
                </c:pt>
                <c:pt idx="9">
                  <c:v>-3.4</c:v>
                </c:pt>
                <c:pt idx="10">
                  <c:v>2.4</c:v>
                </c:pt>
                <c:pt idx="11">
                  <c:v>0.2</c:v>
                </c:pt>
                <c:pt idx="12">
                  <c:v>0.8</c:v>
                </c:pt>
                <c:pt idx="13">
                  <c:v>3.9</c:v>
                </c:pt>
                <c:pt idx="14">
                  <c:v>6.6</c:v>
                </c:pt>
                <c:pt idx="15">
                  <c:v>16.7</c:v>
                </c:pt>
                <c:pt idx="16">
                  <c:v>16.5</c:v>
                </c:pt>
                <c:pt idx="17">
                  <c:v>29.2</c:v>
                </c:pt>
                <c:pt idx="18">
                  <c:v>27.8</c:v>
                </c:pt>
                <c:pt idx="19">
                  <c:v>22.4</c:v>
                </c:pt>
                <c:pt idx="20">
                  <c:v>23</c:v>
                </c:pt>
                <c:pt idx="21">
                  <c:v>15.2</c:v>
                </c:pt>
                <c:pt idx="22">
                  <c:v>12.4</c:v>
                </c:pt>
                <c:pt idx="23">
                  <c:v>13.4</c:v>
                </c:pt>
                <c:pt idx="24">
                  <c:v>22.7</c:v>
                </c:pt>
                <c:pt idx="25">
                  <c:v>18.399999999999999</c:v>
                </c:pt>
                <c:pt idx="26">
                  <c:v>25.3</c:v>
                </c:pt>
                <c:pt idx="27">
                  <c:v>29</c:v>
                </c:pt>
                <c:pt idx="28">
                  <c:v>29.7</c:v>
                </c:pt>
                <c:pt idx="29">
                  <c:v>15.7</c:v>
                </c:pt>
                <c:pt idx="30">
                  <c:v>14.4</c:v>
                </c:pt>
                <c:pt idx="31">
                  <c:v>19.2</c:v>
                </c:pt>
                <c:pt idx="32">
                  <c:v>20.100000000000001</c:v>
                </c:pt>
                <c:pt idx="33">
                  <c:v>24.7</c:v>
                </c:pt>
              </c:numCache>
              <c:extLst/>
            </c:numRef>
          </c:val>
          <c:smooth val="1"/>
          <c:extLst>
            <c:ext xmlns:c16="http://schemas.microsoft.com/office/drawing/2014/chart" uri="{C3380CC4-5D6E-409C-BE32-E72D297353CC}">
              <c16:uniqueId val="{00000001-C9C7-4CD8-8877-B44B683DA5F4}"/>
            </c:ext>
          </c:extLst>
        </c:ser>
        <c:ser>
          <c:idx val="2"/>
          <c:order val="2"/>
          <c:tx>
            <c:strRef>
              <c:f>'Apgr. indeksi'!$A$182</c:f>
              <c:strCache>
                <c:ptCount val="1"/>
                <c:pt idx="0">
                  <c:v>Eksports</c:v>
                </c:pt>
              </c:strCache>
            </c:strRef>
          </c:tx>
          <c:spPr>
            <a:ln w="28575" cap="rnd">
              <a:solidFill>
                <a:srgbClr val="0070C0"/>
              </a:solidFill>
              <a:round/>
            </a:ln>
            <a:effectLst/>
          </c:spPr>
          <c:marker>
            <c:symbol val="none"/>
          </c:marker>
          <c:cat>
            <c:multiLvlStrRef>
              <c:f>'Apgr. indeksi'!$GL$111:$JO$112</c:f>
              <c:multiLvlStrCache>
                <c:ptCount val="8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lvl>
                <c:lvl>
                  <c:pt idx="0">
                    <c:v>2016</c:v>
                  </c:pt>
                  <c:pt idx="12">
                    <c:v>2017</c:v>
                  </c:pt>
                  <c:pt idx="24">
                    <c:v>2018</c:v>
                  </c:pt>
                  <c:pt idx="36">
                    <c:v>2019</c:v>
                  </c:pt>
                  <c:pt idx="48">
                    <c:v>2020</c:v>
                  </c:pt>
                  <c:pt idx="60">
                    <c:v>2021</c:v>
                  </c:pt>
                  <c:pt idx="72">
                    <c:v>2022</c:v>
                  </c:pt>
                </c:lvl>
              </c:multiLvlStrCache>
              <c:extLst/>
            </c:multiLvlStrRef>
          </c:cat>
          <c:val>
            <c:numRef>
              <c:f>'Apgr. indeksi'!$IH$185:$JO$185</c:f>
              <c:numCache>
                <c:formatCode>0.0</c:formatCode>
                <c:ptCount val="34"/>
                <c:pt idx="0">
                  <c:v>3.9</c:v>
                </c:pt>
                <c:pt idx="1">
                  <c:v>8</c:v>
                </c:pt>
                <c:pt idx="2">
                  <c:v>-3.8</c:v>
                </c:pt>
                <c:pt idx="3">
                  <c:v>-6.2</c:v>
                </c:pt>
                <c:pt idx="4">
                  <c:v>-8.6999999999999993</c:v>
                </c:pt>
                <c:pt idx="5">
                  <c:v>2</c:v>
                </c:pt>
                <c:pt idx="6">
                  <c:v>10.1</c:v>
                </c:pt>
                <c:pt idx="7">
                  <c:v>1.8</c:v>
                </c:pt>
                <c:pt idx="8">
                  <c:v>1.1000000000000001</c:v>
                </c:pt>
                <c:pt idx="9">
                  <c:v>10.7</c:v>
                </c:pt>
                <c:pt idx="10">
                  <c:v>9.4</c:v>
                </c:pt>
                <c:pt idx="11">
                  <c:v>20.100000000000001</c:v>
                </c:pt>
                <c:pt idx="12">
                  <c:v>3</c:v>
                </c:pt>
                <c:pt idx="13">
                  <c:v>2.6</c:v>
                </c:pt>
                <c:pt idx="14">
                  <c:v>18.3</c:v>
                </c:pt>
                <c:pt idx="15">
                  <c:v>32.1</c:v>
                </c:pt>
                <c:pt idx="16">
                  <c:v>31.4</c:v>
                </c:pt>
                <c:pt idx="17">
                  <c:v>32.5</c:v>
                </c:pt>
                <c:pt idx="18">
                  <c:v>27.5</c:v>
                </c:pt>
                <c:pt idx="19">
                  <c:v>31.5</c:v>
                </c:pt>
                <c:pt idx="20">
                  <c:v>32.9</c:v>
                </c:pt>
                <c:pt idx="21">
                  <c:v>24.9</c:v>
                </c:pt>
                <c:pt idx="22">
                  <c:v>25.9</c:v>
                </c:pt>
                <c:pt idx="23">
                  <c:v>21.9</c:v>
                </c:pt>
                <c:pt idx="24">
                  <c:v>32.1</c:v>
                </c:pt>
                <c:pt idx="25">
                  <c:v>25.4</c:v>
                </c:pt>
                <c:pt idx="26">
                  <c:v>27.4</c:v>
                </c:pt>
                <c:pt idx="27">
                  <c:v>28.5</c:v>
                </c:pt>
                <c:pt idx="28">
                  <c:v>29.6</c:v>
                </c:pt>
                <c:pt idx="29">
                  <c:v>9.8000000000000007</c:v>
                </c:pt>
                <c:pt idx="30">
                  <c:v>15.7</c:v>
                </c:pt>
                <c:pt idx="31">
                  <c:v>4.5999999999999996</c:v>
                </c:pt>
                <c:pt idx="32">
                  <c:v>9.9</c:v>
                </c:pt>
                <c:pt idx="33">
                  <c:v>10.1</c:v>
                </c:pt>
              </c:numCache>
              <c:extLst/>
            </c:numRef>
          </c:val>
          <c:smooth val="1"/>
          <c:extLst>
            <c:ext xmlns:c16="http://schemas.microsoft.com/office/drawing/2014/chart" uri="{C3380CC4-5D6E-409C-BE32-E72D297353CC}">
              <c16:uniqueId val="{00000002-C9C7-4CD8-8877-B44B683DA5F4}"/>
            </c:ext>
          </c:extLst>
        </c:ser>
        <c:dLbls>
          <c:showLegendKey val="0"/>
          <c:showVal val="0"/>
          <c:showCatName val="0"/>
          <c:showSerName val="0"/>
          <c:showPercent val="0"/>
          <c:showBubbleSize val="0"/>
        </c:dLbls>
        <c:marker val="1"/>
        <c:smooth val="0"/>
        <c:axId val="116528976"/>
        <c:axId val="116529368"/>
      </c:lineChart>
      <c:catAx>
        <c:axId val="116528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lang="lv-LV"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6529368"/>
        <c:crosses val="autoZero"/>
        <c:auto val="1"/>
        <c:lblAlgn val="ctr"/>
        <c:lblOffset val="100"/>
        <c:tickLblSkip val="1"/>
        <c:noMultiLvlLbl val="0"/>
      </c:catAx>
      <c:valAx>
        <c:axId val="116529368"/>
        <c:scaling>
          <c:orientation val="minMax"/>
          <c:max val="40"/>
          <c:min val="-2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lv-LV"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6528976"/>
        <c:crosses val="autoZero"/>
        <c:crossBetween val="between"/>
        <c:majorUnit val="20"/>
      </c:valAx>
      <c:spPr>
        <a:noFill/>
        <a:ln>
          <a:noFill/>
        </a:ln>
        <a:effectLst/>
      </c:spPr>
    </c:plotArea>
    <c:legend>
      <c:legendPos val="b"/>
      <c:layout>
        <c:manualLayout>
          <c:xMode val="edge"/>
          <c:yMode val="edge"/>
          <c:x val="4.9999905200869874E-2"/>
          <c:y val="0.92311975133223156"/>
          <c:w val="0.9"/>
          <c:h val="7.6880248667768464E-2"/>
        </c:manualLayout>
      </c:layout>
      <c:overlay val="0"/>
      <c:spPr>
        <a:noFill/>
        <a:ln>
          <a:noFill/>
        </a:ln>
        <a:effectLst/>
      </c:spPr>
      <c:txPr>
        <a:bodyPr rot="0" spcFirstLastPara="1" vertOverflow="ellipsis" vert="horz" wrap="square" anchor="ctr" anchorCtr="1"/>
        <a:lstStyle/>
        <a:p>
          <a:pPr>
            <a:defRPr lang="lv-LV"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lgn="ctr">
        <a:defRPr lang="lv-LV"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96861579998142E-2"/>
          <c:y val="4.8484848484848485E-2"/>
          <c:w val="0.91054450724360159"/>
          <c:h val="0.63874550226676219"/>
        </c:manualLayout>
      </c:layout>
      <c:barChart>
        <c:barDir val="col"/>
        <c:grouping val="stacked"/>
        <c:varyColors val="0"/>
        <c:ser>
          <c:idx val="1"/>
          <c:order val="1"/>
          <c:tx>
            <c:strRef>
              <c:f>Mazumtirdzniecība!$L$2</c:f>
              <c:strCache>
                <c:ptCount val="1"/>
                <c:pt idx="0">
                  <c:v>Degviela</c:v>
                </c:pt>
              </c:strCache>
            </c:strRef>
          </c:tx>
          <c:spPr>
            <a:solidFill>
              <a:schemeClr val="tx1">
                <a:lumMod val="50000"/>
                <a:lumOff val="50000"/>
              </a:schemeClr>
            </a:solidFill>
            <a:ln>
              <a:solidFill>
                <a:schemeClr val="tx1">
                  <a:lumMod val="50000"/>
                  <a:lumOff val="50000"/>
                </a:schemeClr>
              </a:solidFill>
            </a:ln>
            <a:effectLst/>
          </c:spPr>
          <c:invertIfNegative val="0"/>
          <c:cat>
            <c:multiLvlStrRef>
              <c:f>Mazumtirdzniecība!$A$219:$B$276</c:f>
              <c:multiLvlStrCache>
                <c:ptCount val="5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lvl>
                <c:lvl>
                  <c:pt idx="0">
                    <c:v>2018</c:v>
                  </c:pt>
                  <c:pt idx="12">
                    <c:v>2019</c:v>
                  </c:pt>
                  <c:pt idx="24">
                    <c:v>2020</c:v>
                  </c:pt>
                  <c:pt idx="36">
                    <c:v>2021</c:v>
                  </c:pt>
                  <c:pt idx="48">
                    <c:v>2022</c:v>
                  </c:pt>
                </c:lvl>
              </c:multiLvlStrCache>
            </c:multiLvlStrRef>
          </c:cat>
          <c:val>
            <c:numRef>
              <c:f>Mazumtirdzniecība!$L$243:$L$276</c:f>
              <c:numCache>
                <c:formatCode>0.0</c:formatCode>
                <c:ptCount val="34"/>
                <c:pt idx="0">
                  <c:v>-1.2306258125560507</c:v>
                </c:pt>
                <c:pt idx="1">
                  <c:v>1.3772985235281832</c:v>
                </c:pt>
                <c:pt idx="2">
                  <c:v>0.34732991807432473</c:v>
                </c:pt>
                <c:pt idx="3">
                  <c:v>-0.72442041960026926</c:v>
                </c:pt>
                <c:pt idx="4">
                  <c:v>0.4368827717271373</c:v>
                </c:pt>
                <c:pt idx="5">
                  <c:v>1.0149018131595167</c:v>
                </c:pt>
                <c:pt idx="6">
                  <c:v>1.2063309761634589</c:v>
                </c:pt>
                <c:pt idx="7">
                  <c:v>1.9436747038204927</c:v>
                </c:pt>
                <c:pt idx="8">
                  <c:v>2.3660807694389021</c:v>
                </c:pt>
                <c:pt idx="9">
                  <c:v>2.7479707562099134</c:v>
                </c:pt>
                <c:pt idx="10">
                  <c:v>1.9548810618778907</c:v>
                </c:pt>
                <c:pt idx="11">
                  <c:v>0.88852985867377532</c:v>
                </c:pt>
                <c:pt idx="12">
                  <c:v>2.7690706998487715</c:v>
                </c:pt>
                <c:pt idx="13">
                  <c:v>0.99955808925053835</c:v>
                </c:pt>
                <c:pt idx="14">
                  <c:v>0.91796359681268835</c:v>
                </c:pt>
                <c:pt idx="15">
                  <c:v>1.8139219908437463</c:v>
                </c:pt>
                <c:pt idx="16">
                  <c:v>0.90308822480169204</c:v>
                </c:pt>
                <c:pt idx="17">
                  <c:v>2.4477066114673964</c:v>
                </c:pt>
                <c:pt idx="18">
                  <c:v>2.3952427583569671</c:v>
                </c:pt>
                <c:pt idx="19">
                  <c:v>0.6461702552290699</c:v>
                </c:pt>
                <c:pt idx="20">
                  <c:v>1.0812473643670564</c:v>
                </c:pt>
                <c:pt idx="21">
                  <c:v>0.29834562751879717</c:v>
                </c:pt>
                <c:pt idx="22">
                  <c:v>-0.45997401859368725</c:v>
                </c:pt>
                <c:pt idx="23">
                  <c:v>0.13575795483618658</c:v>
                </c:pt>
                <c:pt idx="24">
                  <c:v>0.32861310260490267</c:v>
                </c:pt>
                <c:pt idx="25">
                  <c:v>-7.7394228315503549E-2</c:v>
                </c:pt>
                <c:pt idx="26">
                  <c:v>2.8604990684062614</c:v>
                </c:pt>
                <c:pt idx="27">
                  <c:v>-0.74343098383297235</c:v>
                </c:pt>
                <c:pt idx="28">
                  <c:v>-0.69787362247219276</c:v>
                </c:pt>
                <c:pt idx="29">
                  <c:v>-2.045352984562951</c:v>
                </c:pt>
                <c:pt idx="30">
                  <c:v>-1.9512084836364882</c:v>
                </c:pt>
                <c:pt idx="31">
                  <c:v>0.33412261507961588</c:v>
                </c:pt>
                <c:pt idx="32">
                  <c:v>0.34771864298382643</c:v>
                </c:pt>
                <c:pt idx="33">
                  <c:v>0.61237905830568207</c:v>
                </c:pt>
              </c:numCache>
            </c:numRef>
          </c:val>
          <c:extLst>
            <c:ext xmlns:c16="http://schemas.microsoft.com/office/drawing/2014/chart" uri="{C3380CC4-5D6E-409C-BE32-E72D297353CC}">
              <c16:uniqueId val="{00000000-6134-4CBD-99CD-2264A07A14B0}"/>
            </c:ext>
          </c:extLst>
        </c:ser>
        <c:ser>
          <c:idx val="2"/>
          <c:order val="2"/>
          <c:tx>
            <c:strRef>
              <c:f>Mazumtirdzniecība!$M$2</c:f>
              <c:strCache>
                <c:ptCount val="1"/>
                <c:pt idx="0">
                  <c:v>Pārtika</c:v>
                </c:pt>
              </c:strCache>
            </c:strRef>
          </c:tx>
          <c:spPr>
            <a:pattFill prst="dkUpDiag">
              <a:fgClr>
                <a:srgbClr val="00B050"/>
              </a:fgClr>
              <a:bgClr>
                <a:schemeClr val="bg1"/>
              </a:bgClr>
            </a:pattFill>
            <a:ln>
              <a:solidFill>
                <a:srgbClr val="00B050"/>
              </a:solidFill>
            </a:ln>
            <a:effectLst/>
          </c:spPr>
          <c:invertIfNegative val="0"/>
          <c:cat>
            <c:multiLvlStrRef>
              <c:f>Mazumtirdzniecība!$A$219:$B$276</c:f>
              <c:multiLvlStrCache>
                <c:ptCount val="5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lvl>
                <c:lvl>
                  <c:pt idx="0">
                    <c:v>2018</c:v>
                  </c:pt>
                  <c:pt idx="12">
                    <c:v>2019</c:v>
                  </c:pt>
                  <c:pt idx="24">
                    <c:v>2020</c:v>
                  </c:pt>
                  <c:pt idx="36">
                    <c:v>2021</c:v>
                  </c:pt>
                  <c:pt idx="48">
                    <c:v>2022</c:v>
                  </c:pt>
                </c:lvl>
              </c:multiLvlStrCache>
            </c:multiLvlStrRef>
          </c:cat>
          <c:val>
            <c:numRef>
              <c:f>Mazumtirdzniecība!$M$243:$M$276</c:f>
              <c:numCache>
                <c:formatCode>0.0</c:formatCode>
                <c:ptCount val="34"/>
                <c:pt idx="0">
                  <c:v>1.7875164086537401</c:v>
                </c:pt>
                <c:pt idx="1">
                  <c:v>1.5268411348463466</c:v>
                </c:pt>
                <c:pt idx="2">
                  <c:v>3.0615116792741146</c:v>
                </c:pt>
                <c:pt idx="3">
                  <c:v>-1.5102264037865836</c:v>
                </c:pt>
                <c:pt idx="4">
                  <c:v>0.83482335078296932</c:v>
                </c:pt>
                <c:pt idx="5">
                  <c:v>2.1926039593335553</c:v>
                </c:pt>
                <c:pt idx="6">
                  <c:v>0.74499589155423296</c:v>
                </c:pt>
                <c:pt idx="7">
                  <c:v>1.7275118349751306</c:v>
                </c:pt>
                <c:pt idx="8">
                  <c:v>2.0483438158467173</c:v>
                </c:pt>
                <c:pt idx="9">
                  <c:v>2.9112094305521841</c:v>
                </c:pt>
                <c:pt idx="10">
                  <c:v>1.2699249343230388</c:v>
                </c:pt>
                <c:pt idx="11">
                  <c:v>1.5189434012076157</c:v>
                </c:pt>
                <c:pt idx="12">
                  <c:v>-0.99966460715088901</c:v>
                </c:pt>
                <c:pt idx="13">
                  <c:v>0.8243848318010697</c:v>
                </c:pt>
                <c:pt idx="14">
                  <c:v>0.95587209662733663</c:v>
                </c:pt>
                <c:pt idx="15">
                  <c:v>2.8008818228807235</c:v>
                </c:pt>
                <c:pt idx="16">
                  <c:v>0.38928208212640908</c:v>
                </c:pt>
                <c:pt idx="17">
                  <c:v>-0.88116387036297306</c:v>
                </c:pt>
                <c:pt idx="18">
                  <c:v>-0.41840127515728742</c:v>
                </c:pt>
                <c:pt idx="19">
                  <c:v>-1.3996349735781182</c:v>
                </c:pt>
                <c:pt idx="20">
                  <c:v>-0.64298192346924354</c:v>
                </c:pt>
                <c:pt idx="21">
                  <c:v>3.6014896289137018E-2</c:v>
                </c:pt>
                <c:pt idx="22">
                  <c:v>0.11386539352286275</c:v>
                </c:pt>
                <c:pt idx="23">
                  <c:v>0.37970217543036627</c:v>
                </c:pt>
                <c:pt idx="24">
                  <c:v>2.1297647406101867</c:v>
                </c:pt>
                <c:pt idx="25">
                  <c:v>0.37411582205829019</c:v>
                </c:pt>
                <c:pt idx="26">
                  <c:v>0.4634175373996165</c:v>
                </c:pt>
                <c:pt idx="27">
                  <c:v>0.89349601488425257</c:v>
                </c:pt>
                <c:pt idx="28">
                  <c:v>1.1474104684242161</c:v>
                </c:pt>
                <c:pt idx="29">
                  <c:v>1.1052590973538081</c:v>
                </c:pt>
                <c:pt idx="30">
                  <c:v>0.63374512026155827</c:v>
                </c:pt>
                <c:pt idx="31">
                  <c:v>0.65593816644156111</c:v>
                </c:pt>
                <c:pt idx="32">
                  <c:v>0.13967723633774795</c:v>
                </c:pt>
                <c:pt idx="33">
                  <c:v>-1.4197834867976002</c:v>
                </c:pt>
              </c:numCache>
            </c:numRef>
          </c:val>
          <c:extLst>
            <c:ext xmlns:c16="http://schemas.microsoft.com/office/drawing/2014/chart" uri="{C3380CC4-5D6E-409C-BE32-E72D297353CC}">
              <c16:uniqueId val="{00000001-6134-4CBD-99CD-2264A07A14B0}"/>
            </c:ext>
          </c:extLst>
        </c:ser>
        <c:ser>
          <c:idx val="3"/>
          <c:order val="3"/>
          <c:tx>
            <c:strRef>
              <c:f>Mazumtirdzniecība!$N$2</c:f>
              <c:strCache>
                <c:ptCount val="1"/>
                <c:pt idx="0">
                  <c:v>Nepārtika (-degviela)</c:v>
                </c:pt>
              </c:strCache>
            </c:strRef>
          </c:tx>
          <c:spPr>
            <a:solidFill>
              <a:srgbClr val="0070C0"/>
            </a:solidFill>
            <a:ln>
              <a:solidFill>
                <a:srgbClr val="0070C0"/>
              </a:solidFill>
            </a:ln>
            <a:effectLst/>
          </c:spPr>
          <c:invertIfNegative val="0"/>
          <c:cat>
            <c:multiLvlStrRef>
              <c:f>Mazumtirdzniecība!$A$219:$B$276</c:f>
              <c:multiLvlStrCache>
                <c:ptCount val="5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lvl>
                <c:lvl>
                  <c:pt idx="0">
                    <c:v>2018</c:v>
                  </c:pt>
                  <c:pt idx="12">
                    <c:v>2019</c:v>
                  </c:pt>
                  <c:pt idx="24">
                    <c:v>2020</c:v>
                  </c:pt>
                  <c:pt idx="36">
                    <c:v>2021</c:v>
                  </c:pt>
                  <c:pt idx="48">
                    <c:v>2022</c:v>
                  </c:pt>
                </c:lvl>
              </c:multiLvlStrCache>
            </c:multiLvlStrRef>
          </c:cat>
          <c:val>
            <c:numRef>
              <c:f>Mazumtirdzniecība!$N$243:$N$276</c:f>
              <c:numCache>
                <c:formatCode>0.0</c:formatCode>
                <c:ptCount val="34"/>
                <c:pt idx="0">
                  <c:v>0.97084492433893332</c:v>
                </c:pt>
                <c:pt idx="1">
                  <c:v>2.7901715995554159</c:v>
                </c:pt>
                <c:pt idx="2">
                  <c:v>-3.0219911235905879</c:v>
                </c:pt>
                <c:pt idx="3">
                  <c:v>-5.8449428227923752</c:v>
                </c:pt>
                <c:pt idx="4">
                  <c:v>-1.462205278665303</c:v>
                </c:pt>
                <c:pt idx="5">
                  <c:v>0.90769379978037534</c:v>
                </c:pt>
                <c:pt idx="6">
                  <c:v>1.0703903300908475</c:v>
                </c:pt>
                <c:pt idx="7">
                  <c:v>0.81404353647813832</c:v>
                </c:pt>
                <c:pt idx="8">
                  <c:v>1.662758851651619</c:v>
                </c:pt>
                <c:pt idx="9">
                  <c:v>0.9507033333864966</c:v>
                </c:pt>
                <c:pt idx="10">
                  <c:v>-1.5480621307213656</c:v>
                </c:pt>
                <c:pt idx="11">
                  <c:v>-5.6208623258872903</c:v>
                </c:pt>
                <c:pt idx="12">
                  <c:v>-8.2707755048821046</c:v>
                </c:pt>
                <c:pt idx="13">
                  <c:v>-7.4169876709149767</c:v>
                </c:pt>
                <c:pt idx="14">
                  <c:v>1.5186931328883644</c:v>
                </c:pt>
                <c:pt idx="15">
                  <c:v>10.812280532285762</c:v>
                </c:pt>
                <c:pt idx="16">
                  <c:v>3.740736851277191</c:v>
                </c:pt>
                <c:pt idx="17">
                  <c:v>5.0253430743314631</c:v>
                </c:pt>
                <c:pt idx="18">
                  <c:v>2.7097691330325993</c:v>
                </c:pt>
                <c:pt idx="19">
                  <c:v>4.3984574290912599</c:v>
                </c:pt>
                <c:pt idx="20">
                  <c:v>3.4040250691564684</c:v>
                </c:pt>
                <c:pt idx="21">
                  <c:v>-2.1268780552083544</c:v>
                </c:pt>
                <c:pt idx="22">
                  <c:v>-2.756072234864511</c:v>
                </c:pt>
                <c:pt idx="23">
                  <c:v>7.0635440700966656</c:v>
                </c:pt>
                <c:pt idx="24">
                  <c:v>11.598310544346019</c:v>
                </c:pt>
                <c:pt idx="25">
                  <c:v>7.7611263203822851</c:v>
                </c:pt>
                <c:pt idx="26">
                  <c:v>8.5085083944387598</c:v>
                </c:pt>
                <c:pt idx="27">
                  <c:v>2.8471218935147684</c:v>
                </c:pt>
                <c:pt idx="28">
                  <c:v>2.0101072494202157</c:v>
                </c:pt>
                <c:pt idx="29">
                  <c:v>-0.68957040713874462</c:v>
                </c:pt>
                <c:pt idx="30">
                  <c:v>0.55081186866137222</c:v>
                </c:pt>
                <c:pt idx="31">
                  <c:v>-0.78403034016110706</c:v>
                </c:pt>
                <c:pt idx="32">
                  <c:v>0.68744587919561939</c:v>
                </c:pt>
                <c:pt idx="33">
                  <c:v>5.8688380296945786</c:v>
                </c:pt>
              </c:numCache>
            </c:numRef>
          </c:val>
          <c:extLst>
            <c:ext xmlns:c16="http://schemas.microsoft.com/office/drawing/2014/chart" uri="{C3380CC4-5D6E-409C-BE32-E72D297353CC}">
              <c16:uniqueId val="{00000002-6134-4CBD-99CD-2264A07A14B0}"/>
            </c:ext>
          </c:extLst>
        </c:ser>
        <c:dLbls>
          <c:showLegendKey val="0"/>
          <c:showVal val="0"/>
          <c:showCatName val="0"/>
          <c:showSerName val="0"/>
          <c:showPercent val="0"/>
          <c:showBubbleSize val="0"/>
        </c:dLbls>
        <c:gapWidth val="97"/>
        <c:overlap val="100"/>
        <c:axId val="343843672"/>
        <c:axId val="343844064"/>
      </c:barChart>
      <c:lineChart>
        <c:grouping val="standard"/>
        <c:varyColors val="0"/>
        <c:ser>
          <c:idx val="0"/>
          <c:order val="0"/>
          <c:tx>
            <c:strRef>
              <c:f>Mazumtirdzniecība!$K$2</c:f>
              <c:strCache>
                <c:ptCount val="1"/>
                <c:pt idx="0">
                  <c:v>Mazumtirdzniecība</c:v>
                </c:pt>
              </c:strCache>
            </c:strRef>
          </c:tx>
          <c:spPr>
            <a:ln w="28575" cap="rnd">
              <a:solidFill>
                <a:schemeClr val="tx1"/>
              </a:solidFill>
              <a:prstDash val="sysDash"/>
              <a:round/>
            </a:ln>
            <a:effectLst/>
          </c:spPr>
          <c:marker>
            <c:symbol val="none"/>
          </c:marker>
          <c:cat>
            <c:multiLvlStrRef>
              <c:f>Mazumtirdzniecība!$A$243:$B$276</c:f>
              <c:multiLvlStrCache>
                <c:ptCount val="3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lvl>
                <c:lvl>
                  <c:pt idx="0">
                    <c:v>2020</c:v>
                  </c:pt>
                  <c:pt idx="12">
                    <c:v>2021</c:v>
                  </c:pt>
                  <c:pt idx="24">
                    <c:v>2022</c:v>
                  </c:pt>
                </c:lvl>
              </c:multiLvlStrCache>
            </c:multiLvlStrRef>
          </c:cat>
          <c:val>
            <c:numRef>
              <c:f>Mazumtirdzniecība!$K$243:$K$276</c:f>
              <c:numCache>
                <c:formatCode>0.0</c:formatCode>
                <c:ptCount val="34"/>
                <c:pt idx="0">
                  <c:v>1.3685239491691092</c:v>
                </c:pt>
                <c:pt idx="1">
                  <c:v>5.7377049180328044</c:v>
                </c:pt>
                <c:pt idx="2">
                  <c:v>-0.64102564102563875</c:v>
                </c:pt>
                <c:pt idx="3">
                  <c:v>-8.730873087308721</c:v>
                </c:pt>
                <c:pt idx="4">
                  <c:v>-0.43140638481449223</c:v>
                </c:pt>
                <c:pt idx="5">
                  <c:v>3.9826839826839766</c:v>
                </c:pt>
                <c:pt idx="6">
                  <c:v>3.140495867768589</c:v>
                </c:pt>
                <c:pt idx="7">
                  <c:v>4.4407894736842257</c:v>
                </c:pt>
                <c:pt idx="8">
                  <c:v>6.0143626570915432</c:v>
                </c:pt>
                <c:pt idx="9">
                  <c:v>6.3943161634103074</c:v>
                </c:pt>
                <c:pt idx="10">
                  <c:v>1.3452914798206317</c:v>
                </c:pt>
                <c:pt idx="11">
                  <c:v>-4.6224961479198861</c:v>
                </c:pt>
                <c:pt idx="12">
                  <c:v>-9.4503375120539967</c:v>
                </c:pt>
                <c:pt idx="13">
                  <c:v>-8.0426356589147208</c:v>
                </c:pt>
                <c:pt idx="14">
                  <c:v>3.410138248847927</c:v>
                </c:pt>
                <c:pt idx="15">
                  <c:v>15.581854043392497</c:v>
                </c:pt>
                <c:pt idx="16">
                  <c:v>5.2859618717504331</c:v>
                </c:pt>
                <c:pt idx="17">
                  <c:v>6.7443796835970016</c:v>
                </c:pt>
                <c:pt idx="18">
                  <c:v>4.7275641025640969</c:v>
                </c:pt>
                <c:pt idx="19">
                  <c:v>3.8582677165354351</c:v>
                </c:pt>
                <c:pt idx="20">
                  <c:v>3.9796782387806928</c:v>
                </c:pt>
                <c:pt idx="21">
                  <c:v>-2.1702838063438978</c:v>
                </c:pt>
                <c:pt idx="22">
                  <c:v>-3.539823008849563</c:v>
                </c:pt>
                <c:pt idx="23">
                  <c:v>7.9159935379644608</c:v>
                </c:pt>
                <c:pt idx="24">
                  <c:v>14.164004259850893</c:v>
                </c:pt>
                <c:pt idx="25">
                  <c:v>8.5353003161222176</c:v>
                </c:pt>
                <c:pt idx="26">
                  <c:v>12.032085561497329</c:v>
                </c:pt>
                <c:pt idx="27">
                  <c:v>3.4129692832764569</c:v>
                </c:pt>
                <c:pt idx="28">
                  <c:v>2.7983539094650345</c:v>
                </c:pt>
                <c:pt idx="29">
                  <c:v>-1.4820592823712841</c:v>
                </c:pt>
                <c:pt idx="30">
                  <c:v>-0.38255547054323324</c:v>
                </c:pt>
                <c:pt idx="31">
                  <c:v>-0.15163002274451998</c:v>
                </c:pt>
                <c:pt idx="32">
                  <c:v>1.2214983713354943</c:v>
                </c:pt>
                <c:pt idx="33">
                  <c:v>5.7167235494880675</c:v>
                </c:pt>
              </c:numCache>
            </c:numRef>
          </c:val>
          <c:smooth val="0"/>
          <c:extLst>
            <c:ext xmlns:c16="http://schemas.microsoft.com/office/drawing/2014/chart" uri="{C3380CC4-5D6E-409C-BE32-E72D297353CC}">
              <c16:uniqueId val="{00000003-6134-4CBD-99CD-2264A07A14B0}"/>
            </c:ext>
          </c:extLst>
        </c:ser>
        <c:dLbls>
          <c:showLegendKey val="0"/>
          <c:showVal val="0"/>
          <c:showCatName val="0"/>
          <c:showSerName val="0"/>
          <c:showPercent val="0"/>
          <c:showBubbleSize val="0"/>
        </c:dLbls>
        <c:marker val="1"/>
        <c:smooth val="0"/>
        <c:axId val="343843672"/>
        <c:axId val="343844064"/>
      </c:lineChart>
      <c:catAx>
        <c:axId val="343843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43844064"/>
        <c:crosses val="autoZero"/>
        <c:auto val="1"/>
        <c:lblAlgn val="ctr"/>
        <c:lblOffset val="100"/>
        <c:noMultiLvlLbl val="0"/>
      </c:catAx>
      <c:valAx>
        <c:axId val="343844064"/>
        <c:scaling>
          <c:orientation val="minMax"/>
          <c:max val="17"/>
          <c:min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43843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92407348070176E-2"/>
          <c:y val="2.2813734821608839E-2"/>
          <c:w val="0.9069207156955128"/>
          <c:h val="0.68872120714640395"/>
        </c:manualLayout>
      </c:layout>
      <c:barChart>
        <c:barDir val="col"/>
        <c:grouping val="stacked"/>
        <c:varyColors val="0"/>
        <c:ser>
          <c:idx val="0"/>
          <c:order val="0"/>
          <c:tx>
            <c:strRef>
              <c:f>'Būvn apj, sal.c.'!$A$23</c:f>
              <c:strCache>
                <c:ptCount val="1"/>
                <c:pt idx="0">
                  <c:v>Ēku būvniecība</c:v>
                </c:pt>
              </c:strCache>
            </c:strRef>
          </c:tx>
          <c:spPr>
            <a:solidFill>
              <a:schemeClr val="accent1"/>
            </a:solidFill>
            <a:ln>
              <a:noFill/>
            </a:ln>
            <a:effectLst/>
          </c:spPr>
          <c:invertIfNegative val="0"/>
          <c:cat>
            <c:multiLvlStrRef>
              <c:f>'Būvn apj, sal.c.'!$CD$2:$CN$3</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extLst/>
            </c:multiLvlStrRef>
          </c:cat>
          <c:val>
            <c:numRef>
              <c:f>'Būvn apj, sal.c.'!$CD$5:$CN$5</c:f>
              <c:numCache>
                <c:formatCode>General</c:formatCode>
                <c:ptCount val="11"/>
                <c:pt idx="0">
                  <c:v>123.7</c:v>
                </c:pt>
                <c:pt idx="1">
                  <c:v>138.80000000000001</c:v>
                </c:pt>
                <c:pt idx="2">
                  <c:v>164.1</c:v>
                </c:pt>
                <c:pt idx="3">
                  <c:v>168.5</c:v>
                </c:pt>
                <c:pt idx="4">
                  <c:v>103.1</c:v>
                </c:pt>
                <c:pt idx="5">
                  <c:v>132.19999999999999</c:v>
                </c:pt>
                <c:pt idx="6">
                  <c:v>143.1</c:v>
                </c:pt>
                <c:pt idx="7">
                  <c:v>154</c:v>
                </c:pt>
                <c:pt idx="8">
                  <c:v>95.8</c:v>
                </c:pt>
                <c:pt idx="9">
                  <c:v>119.5</c:v>
                </c:pt>
                <c:pt idx="10">
                  <c:v>122.8</c:v>
                </c:pt>
              </c:numCache>
              <c:extLst/>
            </c:numRef>
          </c:val>
          <c:extLst>
            <c:ext xmlns:c16="http://schemas.microsoft.com/office/drawing/2014/chart" uri="{C3380CC4-5D6E-409C-BE32-E72D297353CC}">
              <c16:uniqueId val="{00000000-DDC1-4CCE-977C-E7A8EF4B4134}"/>
            </c:ext>
          </c:extLst>
        </c:ser>
        <c:ser>
          <c:idx val="1"/>
          <c:order val="1"/>
          <c:tx>
            <c:strRef>
              <c:f>'Būvn apj, sal.c.'!$A$24</c:f>
              <c:strCache>
                <c:ptCount val="1"/>
                <c:pt idx="0">
                  <c:v>Inženierbūvniecība</c:v>
                </c:pt>
              </c:strCache>
            </c:strRef>
          </c:tx>
          <c:spPr>
            <a:solidFill>
              <a:schemeClr val="accent2"/>
            </a:solidFill>
            <a:ln>
              <a:noFill/>
            </a:ln>
            <a:effectLst/>
          </c:spPr>
          <c:invertIfNegative val="0"/>
          <c:cat>
            <c:multiLvlStrRef>
              <c:f>'Būvn apj, sal.c.'!$CD$2:$CN$3</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extLst/>
            </c:multiLvlStrRef>
          </c:cat>
          <c:val>
            <c:numRef>
              <c:f>'Būvn apj, sal.c.'!$CD$6:$CN$6</c:f>
              <c:numCache>
                <c:formatCode>General</c:formatCode>
                <c:ptCount val="11"/>
                <c:pt idx="0">
                  <c:v>50.2</c:v>
                </c:pt>
                <c:pt idx="1">
                  <c:v>99.1</c:v>
                </c:pt>
                <c:pt idx="2">
                  <c:v>146.9</c:v>
                </c:pt>
                <c:pt idx="3">
                  <c:v>132.69999999999999</c:v>
                </c:pt>
                <c:pt idx="4">
                  <c:v>44.3</c:v>
                </c:pt>
                <c:pt idx="5">
                  <c:v>100.4</c:v>
                </c:pt>
                <c:pt idx="6">
                  <c:v>153.30000000000001</c:v>
                </c:pt>
                <c:pt idx="7">
                  <c:v>109.2</c:v>
                </c:pt>
                <c:pt idx="8">
                  <c:v>37.299999999999997</c:v>
                </c:pt>
                <c:pt idx="9">
                  <c:v>83.5</c:v>
                </c:pt>
                <c:pt idx="10">
                  <c:v>134.6</c:v>
                </c:pt>
              </c:numCache>
              <c:extLst/>
            </c:numRef>
          </c:val>
          <c:extLst>
            <c:ext xmlns:c16="http://schemas.microsoft.com/office/drawing/2014/chart" uri="{C3380CC4-5D6E-409C-BE32-E72D297353CC}">
              <c16:uniqueId val="{00000001-DDC1-4CCE-977C-E7A8EF4B4134}"/>
            </c:ext>
          </c:extLst>
        </c:ser>
        <c:ser>
          <c:idx val="2"/>
          <c:order val="2"/>
          <c:tx>
            <c:strRef>
              <c:f>'Būvn apj, sal.c.'!$A$34</c:f>
              <c:strCache>
                <c:ptCount val="1"/>
                <c:pt idx="0">
                  <c:v>Specializētie būvdarbi</c:v>
                </c:pt>
              </c:strCache>
            </c:strRef>
          </c:tx>
          <c:spPr>
            <a:solidFill>
              <a:schemeClr val="accent3"/>
            </a:solidFill>
            <a:ln>
              <a:noFill/>
            </a:ln>
            <a:effectLst/>
          </c:spPr>
          <c:invertIfNegative val="0"/>
          <c:dLbls>
            <c:dLbl>
              <c:idx val="8"/>
              <c:layout>
                <c:manualLayout>
                  <c:x val="-8.8288569937629612E-17"/>
                  <c:y val="-0.10531135531135535"/>
                </c:manualLayout>
              </c:layout>
              <c:tx>
                <c:rich>
                  <a:bodyPr/>
                  <a:lstStyle/>
                  <a:p>
                    <a:r>
                      <a:rPr lang="en-US"/>
                      <a:t>-8,4%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DC1-4CCE-977C-E7A8EF4B4134}"/>
                </c:ext>
              </c:extLst>
            </c:dLbl>
            <c:dLbl>
              <c:idx val="9"/>
              <c:layout>
                <c:manualLayout>
                  <c:x val="-1.7657713987525922E-16"/>
                  <c:y val="-0.11446886446886451"/>
                </c:manualLayout>
              </c:layout>
              <c:tx>
                <c:rich>
                  <a:bodyPr/>
                  <a:lstStyle/>
                  <a:p>
                    <a:r>
                      <a:rPr lang="en-US"/>
                      <a:t>-13,8%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DC1-4CCE-977C-E7A8EF4B4134}"/>
                </c:ext>
              </c:extLst>
            </c:dLbl>
            <c:dLbl>
              <c:idx val="10"/>
              <c:layout>
                <c:manualLayout>
                  <c:x val="0"/>
                  <c:y val="-0.13278388278388278"/>
                </c:manualLayout>
              </c:layout>
              <c:tx>
                <c:rich>
                  <a:bodyPr/>
                  <a:lstStyle/>
                  <a:p>
                    <a:r>
                      <a:rPr lang="en-US"/>
                      <a:t>-13,6%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DC1-4CCE-977C-E7A8EF4B413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'Būvn apj, sal.c.'!$CD$2:$CN$3</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extLst/>
            </c:multiLvlStrRef>
          </c:cat>
          <c:val>
            <c:numRef>
              <c:f>'Būvn apj, sal.c.'!$CD$16:$CN$16</c:f>
              <c:numCache>
                <c:formatCode>General</c:formatCode>
                <c:ptCount val="11"/>
                <c:pt idx="0">
                  <c:v>91.9</c:v>
                </c:pt>
                <c:pt idx="1">
                  <c:v>109.2</c:v>
                </c:pt>
                <c:pt idx="2">
                  <c:v>144.9</c:v>
                </c:pt>
                <c:pt idx="3">
                  <c:v>148.5</c:v>
                </c:pt>
                <c:pt idx="4">
                  <c:v>86.3</c:v>
                </c:pt>
                <c:pt idx="5">
                  <c:v>116.6</c:v>
                </c:pt>
                <c:pt idx="6">
                  <c:v>139.80000000000001</c:v>
                </c:pt>
                <c:pt idx="7">
                  <c:v>138.30000000000001</c:v>
                </c:pt>
                <c:pt idx="8">
                  <c:v>79.7</c:v>
                </c:pt>
                <c:pt idx="9">
                  <c:v>98.5</c:v>
                </c:pt>
                <c:pt idx="10">
                  <c:v>121.3</c:v>
                </c:pt>
              </c:numCache>
              <c:extLst/>
            </c:numRef>
          </c:val>
          <c:extLst>
            <c:ext xmlns:c16="http://schemas.microsoft.com/office/drawing/2014/chart" uri="{C3380CC4-5D6E-409C-BE32-E72D297353CC}">
              <c16:uniqueId val="{00000005-DDC1-4CCE-977C-E7A8EF4B4134}"/>
            </c:ext>
          </c:extLst>
        </c:ser>
        <c:dLbls>
          <c:showLegendKey val="0"/>
          <c:showVal val="0"/>
          <c:showCatName val="0"/>
          <c:showSerName val="0"/>
          <c:showPercent val="0"/>
          <c:showBubbleSize val="0"/>
        </c:dLbls>
        <c:gapWidth val="44"/>
        <c:overlap val="100"/>
        <c:axId val="133253999"/>
        <c:axId val="133252335"/>
      </c:barChart>
      <c:catAx>
        <c:axId val="13325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3252335"/>
        <c:crosses val="autoZero"/>
        <c:auto val="1"/>
        <c:lblAlgn val="ctr"/>
        <c:lblOffset val="100"/>
        <c:noMultiLvlLbl val="0"/>
      </c:catAx>
      <c:valAx>
        <c:axId val="1332523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3253999"/>
        <c:crosses val="autoZero"/>
        <c:crossBetween val="between"/>
        <c:majorUnit val="100"/>
      </c:valAx>
      <c:spPr>
        <a:noFill/>
        <a:ln>
          <a:noFill/>
        </a:ln>
        <a:effectLst/>
      </c:spPr>
    </c:plotArea>
    <c:legend>
      <c:legendPos val="b"/>
      <c:layout>
        <c:manualLayout>
          <c:xMode val="edge"/>
          <c:yMode val="edge"/>
          <c:x val="0.16436367979887417"/>
          <c:y val="0.90288105878657043"/>
          <c:w val="0.67127264040225165"/>
          <c:h val="8.167492576941395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905840459590195E-2"/>
          <c:y val="5.8056431967452554E-2"/>
          <c:w val="0.92950147542075845"/>
          <c:h val="0.61027860524257815"/>
        </c:manualLayout>
      </c:layout>
      <c:areaChart>
        <c:grouping val="standard"/>
        <c:varyColors val="0"/>
        <c:ser>
          <c:idx val="0"/>
          <c:order val="0"/>
          <c:tx>
            <c:strRef>
              <c:f>Ceturkšņi!$B$12</c:f>
              <c:strCache>
                <c:ptCount val="1"/>
                <c:pt idx="0">
                  <c:v>Pavisam</c:v>
                </c:pt>
              </c:strCache>
            </c:strRef>
          </c:tx>
          <c:spPr>
            <a:pattFill prst="dkUpDiag">
              <a:fgClr>
                <a:srgbClr val="0070C0"/>
              </a:fgClr>
              <a:bgClr>
                <a:schemeClr val="bg1"/>
              </a:bgClr>
            </a:pattFill>
            <a:ln>
              <a:noFill/>
            </a:ln>
            <a:effectLst/>
          </c:spPr>
          <c:cat>
            <c:multiLvlStrRef>
              <c:f>Ceturkšņi!$AQ$10:$BA$11</c:f>
              <c:multiLvlStrCache>
                <c:ptCount val="11"/>
                <c:lvl>
                  <c:pt idx="0">
                    <c:v>I</c:v>
                  </c:pt>
                  <c:pt idx="1">
                    <c:v>II</c:v>
                  </c:pt>
                  <c:pt idx="2">
                    <c:v>III</c:v>
                  </c:pt>
                  <c:pt idx="3">
                    <c:v>IV</c:v>
                  </c:pt>
                  <c:pt idx="4">
                    <c:v>I</c:v>
                  </c:pt>
                  <c:pt idx="5">
                    <c:v>II</c:v>
                  </c:pt>
                  <c:pt idx="6">
                    <c:v>III</c:v>
                  </c:pt>
                  <c:pt idx="7">
                    <c:v>VI</c:v>
                  </c:pt>
                  <c:pt idx="8">
                    <c:v>I</c:v>
                  </c:pt>
                  <c:pt idx="9">
                    <c:v>II</c:v>
                  </c:pt>
                  <c:pt idx="10">
                    <c:v>III</c:v>
                  </c:pt>
                </c:lvl>
                <c:lvl>
                  <c:pt idx="0">
                    <c:v>2020</c:v>
                  </c:pt>
                  <c:pt idx="4">
                    <c:v>2021</c:v>
                  </c:pt>
                  <c:pt idx="8">
                    <c:v>2022</c:v>
                  </c:pt>
                </c:lvl>
              </c:multiLvlStrCache>
              <c:extLst/>
            </c:multiLvlStrRef>
          </c:cat>
          <c:val>
            <c:numRef>
              <c:f>Ceturkšņi!$AQ$12:$BA$12</c:f>
              <c:numCache>
                <c:formatCode>0.0</c:formatCode>
                <c:ptCount val="11"/>
                <c:pt idx="0">
                  <c:v>2.481617647058826</c:v>
                </c:pt>
                <c:pt idx="1">
                  <c:v>1.4558689717925404</c:v>
                </c:pt>
                <c:pt idx="2">
                  <c:v>0.99547511312216841</c:v>
                </c:pt>
                <c:pt idx="3">
                  <c:v>0.53956834532374387</c:v>
                </c:pt>
                <c:pt idx="4">
                  <c:v>1.2556053811659211</c:v>
                </c:pt>
                <c:pt idx="5">
                  <c:v>4.6636771300448459</c:v>
                </c:pt>
                <c:pt idx="6">
                  <c:v>8.9605734767025211</c:v>
                </c:pt>
                <c:pt idx="7">
                  <c:v>11.717352415026838</c:v>
                </c:pt>
                <c:pt idx="8">
                  <c:v>16.651904340123977</c:v>
                </c:pt>
                <c:pt idx="9">
                  <c:v>22.022279348757493</c:v>
                </c:pt>
                <c:pt idx="10">
                  <c:v>20.641447368421041</c:v>
                </c:pt>
              </c:numCache>
              <c:extLst/>
            </c:numRef>
          </c:val>
          <c:extLst>
            <c:ext xmlns:c16="http://schemas.microsoft.com/office/drawing/2014/chart" uri="{C3380CC4-5D6E-409C-BE32-E72D297353CC}">
              <c16:uniqueId val="{00000000-57EC-4F3D-B16A-1A2FB06F4569}"/>
            </c:ext>
          </c:extLst>
        </c:ser>
        <c:dLbls>
          <c:showLegendKey val="0"/>
          <c:showVal val="0"/>
          <c:showCatName val="0"/>
          <c:showSerName val="0"/>
          <c:showPercent val="0"/>
          <c:showBubbleSize val="0"/>
        </c:dLbls>
        <c:axId val="428555632"/>
        <c:axId val="428555960"/>
      </c:areaChart>
      <c:lineChart>
        <c:grouping val="standard"/>
        <c:varyColors val="0"/>
        <c:ser>
          <c:idx val="1"/>
          <c:order val="1"/>
          <c:tx>
            <c:strRef>
              <c:f>Ceturkšņi!$B$13</c:f>
              <c:strCache>
                <c:ptCount val="1"/>
                <c:pt idx="0">
                  <c:v>Būvmateriāli</c:v>
                </c:pt>
              </c:strCache>
            </c:strRef>
          </c:tx>
          <c:spPr>
            <a:ln w="28575" cap="rnd">
              <a:solidFill>
                <a:srgbClr val="00B050"/>
              </a:solidFill>
              <a:round/>
            </a:ln>
            <a:effectLst/>
          </c:spPr>
          <c:marker>
            <c:symbol val="none"/>
          </c:marker>
          <c:dLbls>
            <c:dLbl>
              <c:idx val="10"/>
              <c:layout>
                <c:manualLayout>
                  <c:x val="-6.41025641025641E-3"/>
                  <c:y val="-3.3149171270718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EC-4F3D-B16A-1A2FB06F456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Ceturkšņi!$AQ$10:$BA$11</c:f>
              <c:multiLvlStrCache>
                <c:ptCount val="11"/>
                <c:lvl>
                  <c:pt idx="0">
                    <c:v>I</c:v>
                  </c:pt>
                  <c:pt idx="1">
                    <c:v>II</c:v>
                  </c:pt>
                  <c:pt idx="2">
                    <c:v>III</c:v>
                  </c:pt>
                  <c:pt idx="3">
                    <c:v>IV</c:v>
                  </c:pt>
                  <c:pt idx="4">
                    <c:v>I</c:v>
                  </c:pt>
                  <c:pt idx="5">
                    <c:v>II</c:v>
                  </c:pt>
                  <c:pt idx="6">
                    <c:v>III</c:v>
                  </c:pt>
                  <c:pt idx="7">
                    <c:v>VI</c:v>
                  </c:pt>
                  <c:pt idx="8">
                    <c:v>I</c:v>
                  </c:pt>
                  <c:pt idx="9">
                    <c:v>II</c:v>
                  </c:pt>
                  <c:pt idx="10">
                    <c:v>III</c:v>
                  </c:pt>
                </c:lvl>
                <c:lvl>
                  <c:pt idx="0">
                    <c:v>2020</c:v>
                  </c:pt>
                  <c:pt idx="4">
                    <c:v>2021</c:v>
                  </c:pt>
                  <c:pt idx="8">
                    <c:v>2022</c:v>
                  </c:pt>
                </c:lvl>
              </c:multiLvlStrCache>
              <c:extLst/>
            </c:multiLvlStrRef>
          </c:cat>
          <c:val>
            <c:numRef>
              <c:f>Ceturkšņi!$AQ$13:$BA$13</c:f>
              <c:numCache>
                <c:formatCode>0.0</c:formatCode>
                <c:ptCount val="11"/>
                <c:pt idx="0">
                  <c:v>1.1483253588516789</c:v>
                </c:pt>
                <c:pt idx="1">
                  <c:v>-0.57088487155090206</c:v>
                </c:pt>
                <c:pt idx="2">
                  <c:v>-1.6098484848484844</c:v>
                </c:pt>
                <c:pt idx="3">
                  <c:v>-1.7029328287606518</c:v>
                </c:pt>
                <c:pt idx="4">
                  <c:v>0.28382213812676582</c:v>
                </c:pt>
                <c:pt idx="5">
                  <c:v>5.8373205741626748</c:v>
                </c:pt>
                <c:pt idx="6">
                  <c:v>12.993262752646771</c:v>
                </c:pt>
                <c:pt idx="7">
                  <c:v>17.516843118383051</c:v>
                </c:pt>
                <c:pt idx="8">
                  <c:v>23.018867924528308</c:v>
                </c:pt>
                <c:pt idx="9">
                  <c:v>30.379746835443029</c:v>
                </c:pt>
                <c:pt idx="10">
                  <c:v>27.172061328790463</c:v>
                </c:pt>
              </c:numCache>
              <c:extLst/>
            </c:numRef>
          </c:val>
          <c:smooth val="1"/>
          <c:extLst>
            <c:ext xmlns:c16="http://schemas.microsoft.com/office/drawing/2014/chart" uri="{C3380CC4-5D6E-409C-BE32-E72D297353CC}">
              <c16:uniqueId val="{00000002-57EC-4F3D-B16A-1A2FB06F4569}"/>
            </c:ext>
          </c:extLst>
        </c:ser>
        <c:ser>
          <c:idx val="2"/>
          <c:order val="2"/>
          <c:tx>
            <c:strRef>
              <c:f>Ceturkšņi!$B$14</c:f>
              <c:strCache>
                <c:ptCount val="1"/>
                <c:pt idx="0">
                  <c:v>Strādnieku darba samaksa</c:v>
                </c:pt>
              </c:strCache>
            </c:strRef>
          </c:tx>
          <c:spPr>
            <a:ln w="28575" cap="rnd">
              <a:solidFill>
                <a:srgbClr val="0070C0"/>
              </a:solidFill>
              <a:round/>
            </a:ln>
            <a:effectLst/>
          </c:spPr>
          <c:marker>
            <c:symbol val="none"/>
          </c:marker>
          <c:cat>
            <c:multiLvlStrRef>
              <c:f>Ceturkšņi!$AQ$10:$BA$11</c:f>
              <c:multiLvlStrCache>
                <c:ptCount val="11"/>
                <c:lvl>
                  <c:pt idx="0">
                    <c:v>I</c:v>
                  </c:pt>
                  <c:pt idx="1">
                    <c:v>II</c:v>
                  </c:pt>
                  <c:pt idx="2">
                    <c:v>III</c:v>
                  </c:pt>
                  <c:pt idx="3">
                    <c:v>IV</c:v>
                  </c:pt>
                  <c:pt idx="4">
                    <c:v>I</c:v>
                  </c:pt>
                  <c:pt idx="5">
                    <c:v>II</c:v>
                  </c:pt>
                  <c:pt idx="6">
                    <c:v>III</c:v>
                  </c:pt>
                  <c:pt idx="7">
                    <c:v>VI</c:v>
                  </c:pt>
                  <c:pt idx="8">
                    <c:v>I</c:v>
                  </c:pt>
                  <c:pt idx="9">
                    <c:v>II</c:v>
                  </c:pt>
                  <c:pt idx="10">
                    <c:v>III</c:v>
                  </c:pt>
                </c:lvl>
                <c:lvl>
                  <c:pt idx="0">
                    <c:v>2020</c:v>
                  </c:pt>
                  <c:pt idx="4">
                    <c:v>2021</c:v>
                  </c:pt>
                  <c:pt idx="8">
                    <c:v>2022</c:v>
                  </c:pt>
                </c:lvl>
              </c:multiLvlStrCache>
              <c:extLst/>
            </c:multiLvlStrRef>
          </c:cat>
          <c:val>
            <c:numRef>
              <c:f>Ceturkšņi!$AQ$14:$BA$14</c:f>
              <c:numCache>
                <c:formatCode>0.0</c:formatCode>
                <c:ptCount val="11"/>
                <c:pt idx="0">
                  <c:v>7.9480940794809385</c:v>
                </c:pt>
                <c:pt idx="1">
                  <c:v>7.238394964594832</c:v>
                </c:pt>
                <c:pt idx="2">
                  <c:v>7.4045206547155118</c:v>
                </c:pt>
                <c:pt idx="3">
                  <c:v>5.5513307984790998</c:v>
                </c:pt>
                <c:pt idx="4">
                  <c:v>3.5311795642374335</c:v>
                </c:pt>
                <c:pt idx="5">
                  <c:v>3.7417461482024805</c:v>
                </c:pt>
                <c:pt idx="6">
                  <c:v>4.4267053701015868</c:v>
                </c:pt>
                <c:pt idx="7">
                  <c:v>4.4668587896253484</c:v>
                </c:pt>
                <c:pt idx="8">
                  <c:v>7.474600870827274</c:v>
                </c:pt>
                <c:pt idx="9">
                  <c:v>9.2644978783592649</c:v>
                </c:pt>
                <c:pt idx="10">
                  <c:v>10.076441973592765</c:v>
                </c:pt>
              </c:numCache>
              <c:extLst/>
            </c:numRef>
          </c:val>
          <c:smooth val="1"/>
          <c:extLst>
            <c:ext xmlns:c16="http://schemas.microsoft.com/office/drawing/2014/chart" uri="{C3380CC4-5D6E-409C-BE32-E72D297353CC}">
              <c16:uniqueId val="{00000003-57EC-4F3D-B16A-1A2FB06F4569}"/>
            </c:ext>
          </c:extLst>
        </c:ser>
        <c:ser>
          <c:idx val="3"/>
          <c:order val="3"/>
          <c:tx>
            <c:strRef>
              <c:f>Ceturkšņi!$B$15</c:f>
              <c:strCache>
                <c:ptCount val="1"/>
                <c:pt idx="0">
                  <c:v>Mašīnas, mehānismi</c:v>
                </c:pt>
              </c:strCache>
            </c:strRef>
          </c:tx>
          <c:spPr>
            <a:ln w="28575" cap="rnd">
              <a:solidFill>
                <a:schemeClr val="tx1">
                  <a:lumMod val="50000"/>
                  <a:lumOff val="50000"/>
                </a:schemeClr>
              </a:solidFill>
              <a:round/>
            </a:ln>
            <a:effectLst/>
          </c:spPr>
          <c:marker>
            <c:symbol val="none"/>
          </c:marker>
          <c:cat>
            <c:multiLvlStrRef>
              <c:f>Ceturkšņi!$AQ$10:$BA$11</c:f>
              <c:multiLvlStrCache>
                <c:ptCount val="11"/>
                <c:lvl>
                  <c:pt idx="0">
                    <c:v>I</c:v>
                  </c:pt>
                  <c:pt idx="1">
                    <c:v>II</c:v>
                  </c:pt>
                  <c:pt idx="2">
                    <c:v>III</c:v>
                  </c:pt>
                  <c:pt idx="3">
                    <c:v>IV</c:v>
                  </c:pt>
                  <c:pt idx="4">
                    <c:v>I</c:v>
                  </c:pt>
                  <c:pt idx="5">
                    <c:v>II</c:v>
                  </c:pt>
                  <c:pt idx="6">
                    <c:v>III</c:v>
                  </c:pt>
                  <c:pt idx="7">
                    <c:v>VI</c:v>
                  </c:pt>
                  <c:pt idx="8">
                    <c:v>I</c:v>
                  </c:pt>
                  <c:pt idx="9">
                    <c:v>II</c:v>
                  </c:pt>
                  <c:pt idx="10">
                    <c:v>III</c:v>
                  </c:pt>
                </c:lvl>
                <c:lvl>
                  <c:pt idx="0">
                    <c:v>2020</c:v>
                  </c:pt>
                  <c:pt idx="4">
                    <c:v>2021</c:v>
                  </c:pt>
                  <c:pt idx="8">
                    <c:v>2022</c:v>
                  </c:pt>
                </c:lvl>
              </c:multiLvlStrCache>
              <c:extLst/>
            </c:multiLvlStrRef>
          </c:cat>
          <c:val>
            <c:numRef>
              <c:f>Ceturkšņi!$AQ$15:$BA$15</c:f>
              <c:numCache>
                <c:formatCode>0.0</c:formatCode>
                <c:ptCount val="11"/>
                <c:pt idx="0">
                  <c:v>1.0251630941286152</c:v>
                </c:pt>
                <c:pt idx="1">
                  <c:v>0.46425255338904492</c:v>
                </c:pt>
                <c:pt idx="2">
                  <c:v>0.55504162812211177</c:v>
                </c:pt>
                <c:pt idx="3">
                  <c:v>0.73937153419592505</c:v>
                </c:pt>
                <c:pt idx="4">
                  <c:v>1.0147601476014643</c:v>
                </c:pt>
                <c:pt idx="5">
                  <c:v>3.419593345656196</c:v>
                </c:pt>
                <c:pt idx="6">
                  <c:v>5.1517939282428671</c:v>
                </c:pt>
                <c:pt idx="7">
                  <c:v>6.8807339449541303</c:v>
                </c:pt>
                <c:pt idx="8">
                  <c:v>12.694063926940643</c:v>
                </c:pt>
                <c:pt idx="9">
                  <c:v>17.783735478105456</c:v>
                </c:pt>
                <c:pt idx="10">
                  <c:v>18.110236220472444</c:v>
                </c:pt>
              </c:numCache>
              <c:extLst/>
            </c:numRef>
          </c:val>
          <c:smooth val="1"/>
          <c:extLst>
            <c:ext xmlns:c16="http://schemas.microsoft.com/office/drawing/2014/chart" uri="{C3380CC4-5D6E-409C-BE32-E72D297353CC}">
              <c16:uniqueId val="{00000004-57EC-4F3D-B16A-1A2FB06F4569}"/>
            </c:ext>
          </c:extLst>
        </c:ser>
        <c:dLbls>
          <c:showLegendKey val="0"/>
          <c:showVal val="0"/>
          <c:showCatName val="0"/>
          <c:showSerName val="0"/>
          <c:showPercent val="0"/>
          <c:showBubbleSize val="0"/>
        </c:dLbls>
        <c:marker val="1"/>
        <c:smooth val="0"/>
        <c:axId val="428555632"/>
        <c:axId val="428555960"/>
      </c:lineChart>
      <c:catAx>
        <c:axId val="4285556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8555960"/>
        <c:crosses val="autoZero"/>
        <c:auto val="1"/>
        <c:lblAlgn val="ctr"/>
        <c:lblOffset val="100"/>
        <c:noMultiLvlLbl val="0"/>
      </c:catAx>
      <c:valAx>
        <c:axId val="428555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8555632"/>
        <c:crosses val="autoZero"/>
        <c:crossBetween val="between"/>
        <c:majorUnit val="10"/>
      </c:valAx>
      <c:spPr>
        <a:noFill/>
        <a:ln>
          <a:noFill/>
        </a:ln>
        <a:effectLst/>
      </c:spPr>
    </c:plotArea>
    <c:legend>
      <c:legendPos val="b"/>
      <c:layout>
        <c:manualLayout>
          <c:xMode val="edge"/>
          <c:yMode val="edge"/>
          <c:x val="3.2385517297889986E-2"/>
          <c:y val="0.86483320633307936"/>
          <c:w val="0.94063945097325274"/>
          <c:h val="0.1135450004233341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888271017091007E-2"/>
          <c:y val="2.8430925449582711E-2"/>
          <c:w val="0.91866697429462363"/>
          <c:h val="0.64793152639087015"/>
        </c:manualLayout>
      </c:layout>
      <c:barChart>
        <c:barDir val="col"/>
        <c:grouping val="stacked"/>
        <c:varyColors val="0"/>
        <c:ser>
          <c:idx val="6"/>
          <c:order val="0"/>
          <c:tx>
            <c:strRef>
              <c:f>Atļaujas!$B$63</c:f>
              <c:strCache>
                <c:ptCount val="1"/>
                <c:pt idx="0">
                  <c:v>Pārējās</c:v>
                </c:pt>
              </c:strCache>
            </c:strRef>
          </c:tx>
          <c:spPr>
            <a:solidFill>
              <a:srgbClr val="0070C0"/>
            </a:solidFill>
            <a:ln>
              <a:solidFill>
                <a:schemeClr val="accent1"/>
              </a:solidFill>
            </a:ln>
            <a:effectLst/>
          </c:spPr>
          <c:invertIfNegative val="0"/>
          <c:cat>
            <c:multiLvlStrRef>
              <c:f>Atļaujas!$BS$48:$CC$49</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extLst/>
            </c:multiLvlStrRef>
          </c:cat>
          <c:val>
            <c:numRef>
              <c:f>Atļaujas!$BS$63:$CC$63</c:f>
              <c:numCache>
                <c:formatCode>0</c:formatCode>
                <c:ptCount val="11"/>
                <c:pt idx="0">
                  <c:v>87</c:v>
                </c:pt>
                <c:pt idx="1">
                  <c:v>101.49999999999989</c:v>
                </c:pt>
                <c:pt idx="2">
                  <c:v>99.799999999999955</c:v>
                </c:pt>
                <c:pt idx="3">
                  <c:v>121.89999999999998</c:v>
                </c:pt>
                <c:pt idx="4">
                  <c:v>76.600000000000023</c:v>
                </c:pt>
                <c:pt idx="5">
                  <c:v>72.700000000000045</c:v>
                </c:pt>
                <c:pt idx="6">
                  <c:v>147.59999999999991</c:v>
                </c:pt>
                <c:pt idx="7">
                  <c:v>55.499999999999943</c:v>
                </c:pt>
                <c:pt idx="8">
                  <c:v>106.40000000000003</c:v>
                </c:pt>
                <c:pt idx="9">
                  <c:v>75.900000000000034</c:v>
                </c:pt>
                <c:pt idx="10">
                  <c:v>86.600000000000023</c:v>
                </c:pt>
              </c:numCache>
              <c:extLst/>
            </c:numRef>
          </c:val>
          <c:extLst>
            <c:ext xmlns:c16="http://schemas.microsoft.com/office/drawing/2014/chart" uri="{C3380CC4-5D6E-409C-BE32-E72D297353CC}">
              <c16:uniqueId val="{00000000-CC03-409E-8D88-A6CEBE9957A9}"/>
            </c:ext>
          </c:extLst>
        </c:ser>
        <c:ser>
          <c:idx val="2"/>
          <c:order val="1"/>
          <c:tx>
            <c:strRef>
              <c:f>Atļaujas!$B$55</c:f>
              <c:strCache>
                <c:ptCount val="1"/>
                <c:pt idx="0">
                  <c:v>Biroju</c:v>
                </c:pt>
              </c:strCache>
            </c:strRef>
          </c:tx>
          <c:spPr>
            <a:pattFill prst="dkUpDiag">
              <a:fgClr>
                <a:schemeClr val="accent2">
                  <a:lumMod val="75000"/>
                </a:schemeClr>
              </a:fgClr>
              <a:bgClr>
                <a:schemeClr val="bg1"/>
              </a:bgClr>
            </a:pattFill>
            <a:ln>
              <a:solidFill>
                <a:schemeClr val="accent2">
                  <a:lumMod val="75000"/>
                </a:schemeClr>
              </a:solidFill>
            </a:ln>
            <a:effectLst/>
          </c:spPr>
          <c:invertIfNegative val="0"/>
          <c:cat>
            <c:multiLvlStrRef>
              <c:f>Atļaujas!$BS$48:$CC$49</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extLst/>
            </c:multiLvlStrRef>
          </c:cat>
          <c:val>
            <c:numRef>
              <c:f>Atļaujas!$BS$55:$CC$55</c:f>
              <c:numCache>
                <c:formatCode>0.0</c:formatCode>
                <c:ptCount val="11"/>
                <c:pt idx="0">
                  <c:v>12.7</c:v>
                </c:pt>
                <c:pt idx="1">
                  <c:v>33.299999999999997</c:v>
                </c:pt>
                <c:pt idx="2">
                  <c:v>29.5</c:v>
                </c:pt>
                <c:pt idx="3">
                  <c:v>17.7</c:v>
                </c:pt>
                <c:pt idx="4">
                  <c:v>6.5</c:v>
                </c:pt>
                <c:pt idx="5">
                  <c:v>25.6</c:v>
                </c:pt>
                <c:pt idx="6" formatCode="General">
                  <c:v>126.8</c:v>
                </c:pt>
                <c:pt idx="7" formatCode="General">
                  <c:v>13.8</c:v>
                </c:pt>
                <c:pt idx="8" formatCode="General">
                  <c:v>30.8</c:v>
                </c:pt>
                <c:pt idx="9" formatCode="General">
                  <c:v>17.5</c:v>
                </c:pt>
                <c:pt idx="10" formatCode="General">
                  <c:v>8.9</c:v>
                </c:pt>
              </c:numCache>
              <c:extLst/>
            </c:numRef>
          </c:val>
          <c:extLst>
            <c:ext xmlns:c16="http://schemas.microsoft.com/office/drawing/2014/chart" uri="{C3380CC4-5D6E-409C-BE32-E72D297353CC}">
              <c16:uniqueId val="{00000001-CC03-409E-8D88-A6CEBE9957A9}"/>
            </c:ext>
          </c:extLst>
        </c:ser>
        <c:ser>
          <c:idx val="3"/>
          <c:order val="2"/>
          <c:tx>
            <c:strRef>
              <c:f>Atļaujas!$B$56</c:f>
              <c:strCache>
                <c:ptCount val="1"/>
                <c:pt idx="0">
                  <c:v>Tirdzniecības</c:v>
                </c:pt>
              </c:strCache>
            </c:strRef>
          </c:tx>
          <c:spPr>
            <a:solidFill>
              <a:schemeClr val="accent4">
                <a:lumMod val="60000"/>
                <a:lumOff val="40000"/>
              </a:schemeClr>
            </a:solidFill>
            <a:ln>
              <a:solidFill>
                <a:schemeClr val="accent4">
                  <a:lumMod val="60000"/>
                  <a:lumOff val="40000"/>
                </a:schemeClr>
              </a:solidFill>
            </a:ln>
            <a:effectLst/>
          </c:spPr>
          <c:invertIfNegative val="0"/>
          <c:cat>
            <c:multiLvlStrRef>
              <c:f>Atļaujas!$BS$48:$CC$49</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extLst/>
            </c:multiLvlStrRef>
          </c:cat>
          <c:val>
            <c:numRef>
              <c:f>Atļaujas!$BS$56:$CC$56</c:f>
              <c:numCache>
                <c:formatCode>0.0</c:formatCode>
                <c:ptCount val="11"/>
                <c:pt idx="0">
                  <c:v>22.5</c:v>
                </c:pt>
                <c:pt idx="1">
                  <c:v>8.8000000000000007</c:v>
                </c:pt>
                <c:pt idx="2">
                  <c:v>10.1</c:v>
                </c:pt>
                <c:pt idx="3">
                  <c:v>24.8</c:v>
                </c:pt>
                <c:pt idx="4">
                  <c:v>11.3</c:v>
                </c:pt>
                <c:pt idx="5">
                  <c:v>44.6</c:v>
                </c:pt>
                <c:pt idx="6" formatCode="General">
                  <c:v>43.2</c:v>
                </c:pt>
                <c:pt idx="7" formatCode="General">
                  <c:v>22.2</c:v>
                </c:pt>
                <c:pt idx="8" formatCode="General">
                  <c:v>35.4</c:v>
                </c:pt>
                <c:pt idx="9" formatCode="General">
                  <c:v>23.1</c:v>
                </c:pt>
                <c:pt idx="10" formatCode="General">
                  <c:v>19.2</c:v>
                </c:pt>
              </c:numCache>
              <c:extLst/>
            </c:numRef>
          </c:val>
          <c:extLst>
            <c:ext xmlns:c16="http://schemas.microsoft.com/office/drawing/2014/chart" uri="{C3380CC4-5D6E-409C-BE32-E72D297353CC}">
              <c16:uniqueId val="{00000002-CC03-409E-8D88-A6CEBE9957A9}"/>
            </c:ext>
          </c:extLst>
        </c:ser>
        <c:ser>
          <c:idx val="5"/>
          <c:order val="3"/>
          <c:tx>
            <c:strRef>
              <c:f>Atļaujas!$B$59</c:f>
              <c:strCache>
                <c:ptCount val="1"/>
                <c:pt idx="0">
                  <c:v>Publiskās</c:v>
                </c:pt>
              </c:strCache>
            </c:strRef>
          </c:tx>
          <c:spPr>
            <a:pattFill prst="dkUpDiag">
              <a:fgClr>
                <a:schemeClr val="tx1">
                  <a:lumMod val="65000"/>
                  <a:lumOff val="35000"/>
                </a:schemeClr>
              </a:fgClr>
              <a:bgClr>
                <a:schemeClr val="bg1"/>
              </a:bgClr>
            </a:pattFill>
            <a:ln>
              <a:solidFill>
                <a:schemeClr val="tx1">
                  <a:lumMod val="65000"/>
                  <a:lumOff val="35000"/>
                </a:schemeClr>
              </a:solidFill>
            </a:ln>
            <a:effectLst/>
          </c:spPr>
          <c:invertIfNegative val="0"/>
          <c:cat>
            <c:multiLvlStrRef>
              <c:f>Atļaujas!$BS$48:$CC$49</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extLst/>
            </c:multiLvlStrRef>
          </c:cat>
          <c:val>
            <c:numRef>
              <c:f>Atļaujas!$BS$59:$CC$59</c:f>
              <c:numCache>
                <c:formatCode>0.0</c:formatCode>
                <c:ptCount val="11"/>
                <c:pt idx="0">
                  <c:v>27.9</c:v>
                </c:pt>
                <c:pt idx="1">
                  <c:v>79.400000000000006</c:v>
                </c:pt>
                <c:pt idx="2">
                  <c:v>42.6</c:v>
                </c:pt>
                <c:pt idx="3">
                  <c:v>103.6</c:v>
                </c:pt>
                <c:pt idx="4">
                  <c:v>32.799999999999997</c:v>
                </c:pt>
                <c:pt idx="5">
                  <c:v>89.1</c:v>
                </c:pt>
                <c:pt idx="6" formatCode="General">
                  <c:v>476.6</c:v>
                </c:pt>
                <c:pt idx="7" formatCode="General">
                  <c:v>85.3</c:v>
                </c:pt>
                <c:pt idx="8" formatCode="General">
                  <c:v>23.4</c:v>
                </c:pt>
                <c:pt idx="9" formatCode="General">
                  <c:v>29.5</c:v>
                </c:pt>
                <c:pt idx="10" formatCode="General">
                  <c:v>31</c:v>
                </c:pt>
              </c:numCache>
              <c:extLst/>
            </c:numRef>
          </c:val>
          <c:extLst>
            <c:ext xmlns:c16="http://schemas.microsoft.com/office/drawing/2014/chart" uri="{C3380CC4-5D6E-409C-BE32-E72D297353CC}">
              <c16:uniqueId val="{00000003-CC03-409E-8D88-A6CEBE9957A9}"/>
            </c:ext>
          </c:extLst>
        </c:ser>
        <c:ser>
          <c:idx val="4"/>
          <c:order val="4"/>
          <c:tx>
            <c:strRef>
              <c:f>Atļaujas!$B$58</c:f>
              <c:strCache>
                <c:ptCount val="1"/>
                <c:pt idx="0">
                  <c:v>Ražošanas</c:v>
                </c:pt>
              </c:strCache>
            </c:strRef>
          </c:tx>
          <c:spPr>
            <a:solidFill>
              <a:srgbClr val="00B050"/>
            </a:solidFill>
            <a:ln>
              <a:solidFill>
                <a:srgbClr val="00B050"/>
              </a:solidFill>
            </a:ln>
            <a:effectLst/>
          </c:spPr>
          <c:invertIfNegative val="0"/>
          <c:cat>
            <c:multiLvlStrRef>
              <c:f>Atļaujas!$BS$48:$CC$49</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extLst/>
            </c:multiLvlStrRef>
          </c:cat>
          <c:val>
            <c:numRef>
              <c:f>Atļaujas!$BS$58:$CC$58</c:f>
              <c:numCache>
                <c:formatCode>0.0</c:formatCode>
                <c:ptCount val="11"/>
                <c:pt idx="0">
                  <c:v>138.1</c:v>
                </c:pt>
                <c:pt idx="1">
                  <c:v>82</c:v>
                </c:pt>
                <c:pt idx="2">
                  <c:v>61.3</c:v>
                </c:pt>
                <c:pt idx="3">
                  <c:v>201</c:v>
                </c:pt>
                <c:pt idx="4">
                  <c:v>95.9</c:v>
                </c:pt>
                <c:pt idx="5">
                  <c:v>171.7</c:v>
                </c:pt>
                <c:pt idx="6" formatCode="General">
                  <c:v>132.30000000000001</c:v>
                </c:pt>
                <c:pt idx="7" formatCode="General">
                  <c:v>93.3</c:v>
                </c:pt>
                <c:pt idx="8" formatCode="General">
                  <c:v>63.5</c:v>
                </c:pt>
                <c:pt idx="9" formatCode="General">
                  <c:v>76.2</c:v>
                </c:pt>
                <c:pt idx="10" formatCode="General">
                  <c:v>144.5</c:v>
                </c:pt>
              </c:numCache>
              <c:extLst/>
            </c:numRef>
          </c:val>
          <c:extLst>
            <c:ext xmlns:c16="http://schemas.microsoft.com/office/drawing/2014/chart" uri="{C3380CC4-5D6E-409C-BE32-E72D297353CC}">
              <c16:uniqueId val="{00000004-CC03-409E-8D88-A6CEBE9957A9}"/>
            </c:ext>
          </c:extLst>
        </c:ser>
        <c:ser>
          <c:idx val="7"/>
          <c:order val="5"/>
          <c:tx>
            <c:strRef>
              <c:f>Atļaujas!$B$54</c:f>
              <c:strCache>
                <c:ptCount val="1"/>
                <c:pt idx="0">
                  <c:v>Viesnīcas</c:v>
                </c:pt>
              </c:strCache>
            </c:strRef>
          </c:tx>
          <c:spPr>
            <a:solidFill>
              <a:schemeClr val="accent2">
                <a:lumMod val="75000"/>
              </a:schemeClr>
            </a:solidFill>
            <a:ln>
              <a:solidFill>
                <a:schemeClr val="accent2">
                  <a:lumMod val="75000"/>
                </a:schemeClr>
              </a:solidFill>
            </a:ln>
            <a:effectLst/>
          </c:spPr>
          <c:invertIfNegative val="0"/>
          <c:cat>
            <c:multiLvlStrRef>
              <c:f>Atļaujas!$BS$48:$CC$49</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extLst/>
            </c:multiLvlStrRef>
          </c:cat>
          <c:val>
            <c:numRef>
              <c:f>Atļaujas!$BS$54:$CC$54</c:f>
              <c:numCache>
                <c:formatCode>0.0</c:formatCode>
                <c:ptCount val="11"/>
                <c:pt idx="0">
                  <c:v>14.4</c:v>
                </c:pt>
                <c:pt idx="1">
                  <c:v>17</c:v>
                </c:pt>
                <c:pt idx="2">
                  <c:v>33.299999999999997</c:v>
                </c:pt>
                <c:pt idx="3">
                  <c:v>14.1</c:v>
                </c:pt>
                <c:pt idx="4">
                  <c:v>23.6</c:v>
                </c:pt>
                <c:pt idx="5">
                  <c:v>7.3</c:v>
                </c:pt>
                <c:pt idx="6" formatCode="General">
                  <c:v>24.9</c:v>
                </c:pt>
                <c:pt idx="7" formatCode="General">
                  <c:v>21.2</c:v>
                </c:pt>
                <c:pt idx="8" formatCode="General">
                  <c:v>20.399999999999999</c:v>
                </c:pt>
                <c:pt idx="9" formatCode="General">
                  <c:v>19.2</c:v>
                </c:pt>
                <c:pt idx="10" formatCode="General">
                  <c:v>6</c:v>
                </c:pt>
              </c:numCache>
              <c:extLst/>
            </c:numRef>
          </c:val>
          <c:extLst>
            <c:ext xmlns:c16="http://schemas.microsoft.com/office/drawing/2014/chart" uri="{C3380CC4-5D6E-409C-BE32-E72D297353CC}">
              <c16:uniqueId val="{00000005-CC03-409E-8D88-A6CEBE9957A9}"/>
            </c:ext>
          </c:extLst>
        </c:ser>
        <c:ser>
          <c:idx val="1"/>
          <c:order val="6"/>
          <c:tx>
            <c:strRef>
              <c:f>Atļaujas!$B$52</c:f>
              <c:strCache>
                <c:ptCount val="1"/>
                <c:pt idx="0">
                  <c:v>Vairāku dzīvokļu</c:v>
                </c:pt>
              </c:strCache>
            </c:strRef>
          </c:tx>
          <c:spPr>
            <a:solidFill>
              <a:schemeClr val="tx1">
                <a:lumMod val="50000"/>
                <a:lumOff val="50000"/>
              </a:schemeClr>
            </a:solidFill>
            <a:ln>
              <a:solidFill>
                <a:schemeClr val="tx1">
                  <a:lumMod val="50000"/>
                  <a:lumOff val="50000"/>
                </a:schemeClr>
              </a:solidFill>
            </a:ln>
            <a:effectLst/>
          </c:spPr>
          <c:invertIfNegative val="0"/>
          <c:cat>
            <c:multiLvlStrRef>
              <c:f>Atļaujas!$BS$48:$CC$49</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extLst/>
            </c:multiLvlStrRef>
          </c:cat>
          <c:val>
            <c:numRef>
              <c:f>Atļaujas!$BS$52:$CC$52</c:f>
              <c:numCache>
                <c:formatCode>0.0</c:formatCode>
                <c:ptCount val="11"/>
                <c:pt idx="0">
                  <c:v>59.8</c:v>
                </c:pt>
                <c:pt idx="1">
                  <c:v>63.3</c:v>
                </c:pt>
                <c:pt idx="2">
                  <c:v>63.6</c:v>
                </c:pt>
                <c:pt idx="3">
                  <c:v>73.400000000000006</c:v>
                </c:pt>
                <c:pt idx="4">
                  <c:v>45.3</c:v>
                </c:pt>
                <c:pt idx="5">
                  <c:v>60.3</c:v>
                </c:pt>
                <c:pt idx="6" formatCode="General">
                  <c:v>68.3</c:v>
                </c:pt>
                <c:pt idx="7" formatCode="General">
                  <c:v>103.1</c:v>
                </c:pt>
                <c:pt idx="8" formatCode="General">
                  <c:v>115.5</c:v>
                </c:pt>
                <c:pt idx="9" formatCode="General">
                  <c:v>61.5</c:v>
                </c:pt>
                <c:pt idx="10" formatCode="General">
                  <c:v>63.1</c:v>
                </c:pt>
              </c:numCache>
              <c:extLst/>
            </c:numRef>
          </c:val>
          <c:extLst>
            <c:ext xmlns:c16="http://schemas.microsoft.com/office/drawing/2014/chart" uri="{C3380CC4-5D6E-409C-BE32-E72D297353CC}">
              <c16:uniqueId val="{00000006-CC03-409E-8D88-A6CEBE9957A9}"/>
            </c:ext>
          </c:extLst>
        </c:ser>
        <c:ser>
          <c:idx val="0"/>
          <c:order val="7"/>
          <c:tx>
            <c:strRef>
              <c:f>Atļaujas!$B$50</c:f>
              <c:strCache>
                <c:ptCount val="1"/>
                <c:pt idx="0">
                  <c:v>Viena dzīvokļa</c:v>
                </c:pt>
              </c:strCache>
            </c:strRef>
          </c:tx>
          <c:spPr>
            <a:pattFill prst="dkUpDiag">
              <a:fgClr>
                <a:schemeClr val="accent6"/>
              </a:fgClr>
              <a:bgClr>
                <a:schemeClr val="bg1"/>
              </a:bgClr>
            </a:pattFill>
            <a:ln>
              <a:solidFill>
                <a:schemeClr val="accent6"/>
              </a:solidFill>
            </a:ln>
            <a:effectLst/>
          </c:spPr>
          <c:invertIfNegative val="0"/>
          <c:cat>
            <c:multiLvlStrRef>
              <c:f>Atļaujas!$BS$48:$CC$49</c:f>
              <c:multiLvlStrCache>
                <c:ptCount val="11"/>
                <c:lvl>
                  <c:pt idx="0">
                    <c:v>I</c:v>
                  </c:pt>
                  <c:pt idx="1">
                    <c:v>II</c:v>
                  </c:pt>
                  <c:pt idx="2">
                    <c:v>III</c:v>
                  </c:pt>
                  <c:pt idx="3">
                    <c:v>IV</c:v>
                  </c:pt>
                  <c:pt idx="4">
                    <c:v>I</c:v>
                  </c:pt>
                  <c:pt idx="5">
                    <c:v>II</c:v>
                  </c:pt>
                  <c:pt idx="6">
                    <c:v>III</c:v>
                  </c:pt>
                  <c:pt idx="7">
                    <c:v>IV</c:v>
                  </c:pt>
                  <c:pt idx="8">
                    <c:v>I</c:v>
                  </c:pt>
                  <c:pt idx="9">
                    <c:v>II</c:v>
                  </c:pt>
                  <c:pt idx="10">
                    <c:v>III</c:v>
                  </c:pt>
                </c:lvl>
                <c:lvl>
                  <c:pt idx="0">
                    <c:v>2020</c:v>
                  </c:pt>
                  <c:pt idx="4">
                    <c:v>2021</c:v>
                  </c:pt>
                  <c:pt idx="8">
                    <c:v>2022</c:v>
                  </c:pt>
                </c:lvl>
              </c:multiLvlStrCache>
              <c:extLst/>
            </c:multiLvlStrRef>
          </c:cat>
          <c:val>
            <c:numRef>
              <c:f>Atļaujas!$BS$50:$CC$50</c:f>
              <c:numCache>
                <c:formatCode>0.0</c:formatCode>
                <c:ptCount val="11"/>
                <c:pt idx="0">
                  <c:v>129.69999999999999</c:v>
                </c:pt>
                <c:pt idx="1">
                  <c:v>112.5</c:v>
                </c:pt>
                <c:pt idx="2">
                  <c:v>157.9</c:v>
                </c:pt>
                <c:pt idx="3">
                  <c:v>127.7</c:v>
                </c:pt>
                <c:pt idx="4">
                  <c:v>112.4</c:v>
                </c:pt>
                <c:pt idx="5">
                  <c:v>166.3</c:v>
                </c:pt>
                <c:pt idx="6" formatCode="General">
                  <c:v>167</c:v>
                </c:pt>
                <c:pt idx="7" formatCode="General">
                  <c:v>126.5</c:v>
                </c:pt>
                <c:pt idx="8" formatCode="General">
                  <c:v>91.2</c:v>
                </c:pt>
                <c:pt idx="9" formatCode="General">
                  <c:v>159.1</c:v>
                </c:pt>
                <c:pt idx="10" formatCode="General">
                  <c:v>160.30000000000001</c:v>
                </c:pt>
              </c:numCache>
              <c:extLst/>
            </c:numRef>
          </c:val>
          <c:extLst>
            <c:ext xmlns:c16="http://schemas.microsoft.com/office/drawing/2014/chart" uri="{C3380CC4-5D6E-409C-BE32-E72D297353CC}">
              <c16:uniqueId val="{00000007-CC03-409E-8D88-A6CEBE9957A9}"/>
            </c:ext>
          </c:extLst>
        </c:ser>
        <c:dLbls>
          <c:showLegendKey val="0"/>
          <c:showVal val="0"/>
          <c:showCatName val="0"/>
          <c:showSerName val="0"/>
          <c:showPercent val="0"/>
          <c:showBubbleSize val="0"/>
        </c:dLbls>
        <c:gapWidth val="50"/>
        <c:overlap val="100"/>
        <c:axId val="281642072"/>
        <c:axId val="281639120"/>
      </c:barChart>
      <c:catAx>
        <c:axId val="28164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639120"/>
        <c:crosses val="autoZero"/>
        <c:auto val="1"/>
        <c:lblAlgn val="ctr"/>
        <c:lblOffset val="100"/>
        <c:noMultiLvlLbl val="0"/>
      </c:catAx>
      <c:valAx>
        <c:axId val="281639120"/>
        <c:scaling>
          <c:orientation val="minMax"/>
          <c:max val="13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642072"/>
        <c:crosses val="autoZero"/>
        <c:crossBetween val="between"/>
        <c:majorUnit val="400"/>
      </c:valAx>
      <c:spPr>
        <a:noFill/>
        <a:ln>
          <a:noFill/>
        </a:ln>
        <a:effectLst/>
      </c:spPr>
    </c:plotArea>
    <c:legend>
      <c:legendPos val="b"/>
      <c:layout>
        <c:manualLayout>
          <c:xMode val="edge"/>
          <c:yMode val="edge"/>
          <c:x val="0"/>
          <c:y val="0.87038134498522934"/>
          <c:w val="1"/>
          <c:h val="0.1296186550147707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b="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247037302155407E-2"/>
          <c:y val="6.3953488372093026E-2"/>
          <c:w val="0.87397518492006676"/>
          <c:h val="0.7304849272481716"/>
        </c:manualLayout>
      </c:layout>
      <c:lineChart>
        <c:grouping val="standard"/>
        <c:varyColors val="0"/>
        <c:ser>
          <c:idx val="0"/>
          <c:order val="0"/>
          <c:tx>
            <c:strRef>
              <c:f>Noguldījumi!$A$7</c:f>
              <c:strCache>
                <c:ptCount val="1"/>
                <c:pt idx="0">
                  <c:v>Nerezidenti</c:v>
                </c:pt>
              </c:strCache>
            </c:strRef>
          </c:tx>
          <c:spPr>
            <a:ln w="28575" cap="rnd">
              <a:solidFill>
                <a:schemeClr val="accent1"/>
              </a:solidFill>
              <a:round/>
            </a:ln>
            <a:effectLst/>
          </c:spPr>
          <c:marker>
            <c:symbol val="none"/>
          </c:marker>
          <c:cat>
            <c:numRef>
              <c:f>Noguldījumi!$B$6:$CR$6</c:f>
              <c:numCache>
                <c:formatCode>mmm\-yy</c:formatCode>
                <c:ptCount val="58"/>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numCache>
            </c:numRef>
          </c:cat>
          <c:val>
            <c:numRef>
              <c:f>Noguldījumi!$B$7:$CR$7</c:f>
              <c:numCache>
                <c:formatCode>0.00</c:formatCode>
                <c:ptCount val="58"/>
                <c:pt idx="0">
                  <c:v>7902.4</c:v>
                </c:pt>
                <c:pt idx="1">
                  <c:v>6727.7</c:v>
                </c:pt>
                <c:pt idx="2">
                  <c:v>5668.5</c:v>
                </c:pt>
                <c:pt idx="3">
                  <c:v>5271.1</c:v>
                </c:pt>
                <c:pt idx="4">
                  <c:v>4996.1000000000004</c:v>
                </c:pt>
                <c:pt idx="5">
                  <c:v>4884.7</c:v>
                </c:pt>
                <c:pt idx="6">
                  <c:v>3138.6</c:v>
                </c:pt>
                <c:pt idx="7">
                  <c:v>3077.9</c:v>
                </c:pt>
                <c:pt idx="8">
                  <c:v>3018.4</c:v>
                </c:pt>
                <c:pt idx="9">
                  <c:v>3096</c:v>
                </c:pt>
                <c:pt idx="10">
                  <c:v>2989.3</c:v>
                </c:pt>
                <c:pt idx="11">
                  <c:v>3162.4</c:v>
                </c:pt>
                <c:pt idx="12">
                  <c:v>3043.7</c:v>
                </c:pt>
                <c:pt idx="13">
                  <c:v>2995.2</c:v>
                </c:pt>
                <c:pt idx="14">
                  <c:v>2979.2</c:v>
                </c:pt>
                <c:pt idx="15">
                  <c:v>2930.9</c:v>
                </c:pt>
                <c:pt idx="16">
                  <c:v>2991.9</c:v>
                </c:pt>
                <c:pt idx="17">
                  <c:v>2990.5</c:v>
                </c:pt>
                <c:pt idx="18">
                  <c:v>2857.4</c:v>
                </c:pt>
                <c:pt idx="19">
                  <c:v>2837.9</c:v>
                </c:pt>
                <c:pt idx="20">
                  <c:v>2689.1</c:v>
                </c:pt>
                <c:pt idx="21">
                  <c:v>2731.7</c:v>
                </c:pt>
                <c:pt idx="22">
                  <c:v>2655.8</c:v>
                </c:pt>
                <c:pt idx="23">
                  <c:v>2696.5</c:v>
                </c:pt>
                <c:pt idx="24">
                  <c:v>2755.9</c:v>
                </c:pt>
                <c:pt idx="25">
                  <c:v>2781.5</c:v>
                </c:pt>
                <c:pt idx="26">
                  <c:v>2672.4</c:v>
                </c:pt>
                <c:pt idx="27">
                  <c:v>2783.9</c:v>
                </c:pt>
                <c:pt idx="28">
                  <c:v>2880</c:v>
                </c:pt>
                <c:pt idx="29">
                  <c:v>2870.7</c:v>
                </c:pt>
                <c:pt idx="30">
                  <c:v>2792.6</c:v>
                </c:pt>
                <c:pt idx="31">
                  <c:v>2747.6</c:v>
                </c:pt>
                <c:pt idx="32">
                  <c:v>2762.5</c:v>
                </c:pt>
                <c:pt idx="33">
                  <c:v>2727.3</c:v>
                </c:pt>
                <c:pt idx="34">
                  <c:v>2774.1</c:v>
                </c:pt>
                <c:pt idx="35">
                  <c:v>2625.7</c:v>
                </c:pt>
                <c:pt idx="36">
                  <c:v>2606.1</c:v>
                </c:pt>
                <c:pt idx="37">
                  <c:v>2560.8000000000002</c:v>
                </c:pt>
                <c:pt idx="38">
                  <c:v>2658.6</c:v>
                </c:pt>
                <c:pt idx="39">
                  <c:v>2636.4</c:v>
                </c:pt>
                <c:pt idx="40">
                  <c:v>2507.8000000000002</c:v>
                </c:pt>
                <c:pt idx="41">
                  <c:v>2467.1999999999998</c:v>
                </c:pt>
                <c:pt idx="42">
                  <c:v>2415.1999999999998</c:v>
                </c:pt>
                <c:pt idx="43">
                  <c:v>2349.3000000000002</c:v>
                </c:pt>
                <c:pt idx="44">
                  <c:v>2269.6</c:v>
                </c:pt>
                <c:pt idx="45">
                  <c:v>2295.8000000000002</c:v>
                </c:pt>
                <c:pt idx="46">
                  <c:v>2243.6999999999998</c:v>
                </c:pt>
                <c:pt idx="47">
                  <c:v>2278</c:v>
                </c:pt>
                <c:pt idx="48">
                  <c:v>2292.8000000000002</c:v>
                </c:pt>
                <c:pt idx="49">
                  <c:v>2302.9</c:v>
                </c:pt>
                <c:pt idx="50">
                  <c:v>2243.5</c:v>
                </c:pt>
                <c:pt idx="51">
                  <c:v>2278.9</c:v>
                </c:pt>
                <c:pt idx="52">
                  <c:v>2219.1</c:v>
                </c:pt>
                <c:pt idx="53">
                  <c:v>2172.1999999999998</c:v>
                </c:pt>
                <c:pt idx="54">
                  <c:v>2136.9</c:v>
                </c:pt>
                <c:pt idx="55" formatCode="General">
                  <c:v>2081.9</c:v>
                </c:pt>
                <c:pt idx="56" formatCode="General">
                  <c:v>2044.3</c:v>
                </c:pt>
                <c:pt idx="57" formatCode="General">
                  <c:v>2028.8</c:v>
                </c:pt>
              </c:numCache>
            </c:numRef>
          </c:val>
          <c:smooth val="0"/>
          <c:extLst>
            <c:ext xmlns:c16="http://schemas.microsoft.com/office/drawing/2014/chart" uri="{C3380CC4-5D6E-409C-BE32-E72D297353CC}">
              <c16:uniqueId val="{00000000-EC69-4BD7-9049-9A2CDB470412}"/>
            </c:ext>
          </c:extLst>
        </c:ser>
        <c:ser>
          <c:idx val="1"/>
          <c:order val="1"/>
          <c:tx>
            <c:strRef>
              <c:f>Noguldījumi!$A$8</c:f>
              <c:strCache>
                <c:ptCount val="1"/>
                <c:pt idx="0">
                  <c:v>Rezidenti </c:v>
                </c:pt>
              </c:strCache>
            </c:strRef>
          </c:tx>
          <c:spPr>
            <a:ln w="28575" cap="rnd">
              <a:solidFill>
                <a:schemeClr val="accent2"/>
              </a:solidFill>
              <a:round/>
            </a:ln>
            <a:effectLst/>
          </c:spPr>
          <c:marker>
            <c:symbol val="none"/>
          </c:marker>
          <c:cat>
            <c:numRef>
              <c:f>Noguldījumi!$B$6:$CR$6</c:f>
              <c:numCache>
                <c:formatCode>mmm\-yy</c:formatCode>
                <c:ptCount val="58"/>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numCache>
            </c:numRef>
          </c:cat>
          <c:val>
            <c:numRef>
              <c:f>Noguldījumi!$B$8:$CR$8</c:f>
              <c:numCache>
                <c:formatCode>0.00</c:formatCode>
                <c:ptCount val="58"/>
                <c:pt idx="0">
                  <c:v>12449</c:v>
                </c:pt>
                <c:pt idx="1">
                  <c:v>12507.9</c:v>
                </c:pt>
                <c:pt idx="2">
                  <c:v>12235.3</c:v>
                </c:pt>
                <c:pt idx="3">
                  <c:v>12436.3</c:v>
                </c:pt>
                <c:pt idx="4">
                  <c:v>12478.9</c:v>
                </c:pt>
                <c:pt idx="5">
                  <c:v>12495.4</c:v>
                </c:pt>
                <c:pt idx="6">
                  <c:v>12269.3</c:v>
                </c:pt>
                <c:pt idx="7">
                  <c:v>12424.5</c:v>
                </c:pt>
                <c:pt idx="8">
                  <c:v>12308.8</c:v>
                </c:pt>
                <c:pt idx="9">
                  <c:v>12350.5</c:v>
                </c:pt>
                <c:pt idx="10">
                  <c:v>12552.7</c:v>
                </c:pt>
                <c:pt idx="11">
                  <c:v>13037.7</c:v>
                </c:pt>
                <c:pt idx="12">
                  <c:v>13056.1</c:v>
                </c:pt>
                <c:pt idx="13">
                  <c:v>13109</c:v>
                </c:pt>
                <c:pt idx="14">
                  <c:v>13194.5</c:v>
                </c:pt>
                <c:pt idx="15">
                  <c:v>13102.5</c:v>
                </c:pt>
                <c:pt idx="16">
                  <c:v>13027.3</c:v>
                </c:pt>
                <c:pt idx="17">
                  <c:v>13096.7</c:v>
                </c:pt>
                <c:pt idx="18">
                  <c:v>13473.6</c:v>
                </c:pt>
                <c:pt idx="19">
                  <c:v>13716</c:v>
                </c:pt>
                <c:pt idx="20">
                  <c:v>13346.9</c:v>
                </c:pt>
                <c:pt idx="21">
                  <c:v>13545</c:v>
                </c:pt>
                <c:pt idx="22">
                  <c:v>13472.9</c:v>
                </c:pt>
                <c:pt idx="23">
                  <c:v>13995.6</c:v>
                </c:pt>
                <c:pt idx="24">
                  <c:v>13918</c:v>
                </c:pt>
                <c:pt idx="25">
                  <c:v>14020.2</c:v>
                </c:pt>
                <c:pt idx="26">
                  <c:v>13982.1</c:v>
                </c:pt>
                <c:pt idx="27">
                  <c:v>14129</c:v>
                </c:pt>
                <c:pt idx="28">
                  <c:v>14042.2</c:v>
                </c:pt>
                <c:pt idx="29">
                  <c:v>14033.2</c:v>
                </c:pt>
                <c:pt idx="30">
                  <c:v>14096.6</c:v>
                </c:pt>
                <c:pt idx="31">
                  <c:v>14264.7</c:v>
                </c:pt>
                <c:pt idx="32">
                  <c:v>14434.5</c:v>
                </c:pt>
                <c:pt idx="33">
                  <c:v>14765.9</c:v>
                </c:pt>
                <c:pt idx="34">
                  <c:v>15033.3</c:v>
                </c:pt>
                <c:pt idx="35">
                  <c:v>15434.1</c:v>
                </c:pt>
                <c:pt idx="36">
                  <c:v>15468.4</c:v>
                </c:pt>
                <c:pt idx="37">
                  <c:v>15663.7</c:v>
                </c:pt>
                <c:pt idx="38">
                  <c:v>16219.2</c:v>
                </c:pt>
                <c:pt idx="39">
                  <c:v>16022.8</c:v>
                </c:pt>
                <c:pt idx="40">
                  <c:v>16122.1</c:v>
                </c:pt>
                <c:pt idx="41">
                  <c:v>16401.099999999999</c:v>
                </c:pt>
                <c:pt idx="42">
                  <c:v>16697.7</c:v>
                </c:pt>
                <c:pt idx="43">
                  <c:v>16654.5</c:v>
                </c:pt>
                <c:pt idx="44">
                  <c:v>16418.099999999999</c:v>
                </c:pt>
                <c:pt idx="45">
                  <c:v>16602</c:v>
                </c:pt>
                <c:pt idx="46">
                  <c:v>16724.900000000001</c:v>
                </c:pt>
                <c:pt idx="47">
                  <c:v>17024.400000000001</c:v>
                </c:pt>
                <c:pt idx="48">
                  <c:v>16828.5</c:v>
                </c:pt>
                <c:pt idx="49">
                  <c:v>16992.900000000001</c:v>
                </c:pt>
                <c:pt idx="50">
                  <c:v>17168.099999999999</c:v>
                </c:pt>
                <c:pt idx="51">
                  <c:v>17173.400000000001</c:v>
                </c:pt>
                <c:pt idx="52">
                  <c:v>17207.599999999999</c:v>
                </c:pt>
                <c:pt idx="53">
                  <c:v>17431.3</c:v>
                </c:pt>
                <c:pt idx="54">
                  <c:v>17433.5</c:v>
                </c:pt>
                <c:pt idx="55" formatCode="General">
                  <c:v>17568.599999999999</c:v>
                </c:pt>
                <c:pt idx="56" formatCode="General">
                  <c:v>17775</c:v>
                </c:pt>
                <c:pt idx="57" formatCode="General">
                  <c:v>18079.900000000001</c:v>
                </c:pt>
              </c:numCache>
            </c:numRef>
          </c:val>
          <c:smooth val="0"/>
          <c:extLst>
            <c:ext xmlns:c16="http://schemas.microsoft.com/office/drawing/2014/chart" uri="{C3380CC4-5D6E-409C-BE32-E72D297353CC}">
              <c16:uniqueId val="{00000001-EC69-4BD7-9049-9A2CDB470412}"/>
            </c:ext>
          </c:extLst>
        </c:ser>
        <c:dLbls>
          <c:showLegendKey val="0"/>
          <c:showVal val="0"/>
          <c:showCatName val="0"/>
          <c:showSerName val="0"/>
          <c:showPercent val="0"/>
          <c:showBubbleSize val="0"/>
        </c:dLbls>
        <c:smooth val="0"/>
        <c:axId val="1433876943"/>
        <c:axId val="1433885679"/>
      </c:lineChart>
      <c:dateAx>
        <c:axId val="1433876943"/>
        <c:scaling>
          <c:orientation val="minMax"/>
        </c:scaling>
        <c:delete val="0"/>
        <c:axPos val="b"/>
        <c:majorGridlines>
          <c:spPr>
            <a:ln w="9525" cap="flat" cmpd="sng" algn="ctr">
              <a:solidFill>
                <a:schemeClr val="tx1">
                  <a:lumMod val="15000"/>
                  <a:lumOff val="85000"/>
                </a:schemeClr>
              </a:solidFill>
              <a:round/>
            </a:ln>
            <a:effectLst/>
          </c:spPr>
        </c:majorGridlines>
        <c:numFmt formatCode="m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33885679"/>
        <c:crosses val="autoZero"/>
        <c:auto val="1"/>
        <c:lblOffset val="100"/>
        <c:baseTimeUnit val="months"/>
        <c:majorUnit val="12"/>
        <c:majorTimeUnit val="months"/>
      </c:dateAx>
      <c:valAx>
        <c:axId val="14338856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33876943"/>
        <c:crosses val="autoZero"/>
        <c:crossBetween val="between"/>
        <c:majorUnit val="5000"/>
      </c:valAx>
      <c:spPr>
        <a:noFill/>
        <a:ln>
          <a:noFill/>
        </a:ln>
        <a:effectLst/>
      </c:spPr>
    </c:plotArea>
    <c:legend>
      <c:legendPos val="b"/>
      <c:layout>
        <c:manualLayout>
          <c:xMode val="edge"/>
          <c:yMode val="edge"/>
          <c:x val="0.30800703889286568"/>
          <c:y val="0.90775956784471701"/>
          <c:w val="0.38398592221426869"/>
          <c:h val="9.224043215528290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640604239305869E-2"/>
          <c:y val="6.25E-2"/>
          <c:w val="0.91244433347303844"/>
          <c:h val="0.68725930565497495"/>
        </c:manualLayout>
      </c:layout>
      <c:barChart>
        <c:barDir val="col"/>
        <c:grouping val="stacked"/>
        <c:varyColors val="0"/>
        <c:ser>
          <c:idx val="0"/>
          <c:order val="0"/>
          <c:tx>
            <c:strRef>
              <c:f>'Jaunie kredīti'!$B$14</c:f>
              <c:strCache>
                <c:ptCount val="1"/>
                <c:pt idx="0">
                  <c:v>mājsaimniecībām mājokļa iegādei</c:v>
                </c:pt>
              </c:strCache>
            </c:strRef>
          </c:tx>
          <c:spPr>
            <a:solidFill>
              <a:schemeClr val="accent1"/>
            </a:solidFill>
            <a:ln>
              <a:noFill/>
            </a:ln>
            <a:effectLst/>
          </c:spPr>
          <c:invertIfNegative val="0"/>
          <c:cat>
            <c:numRef>
              <c:f>'Jaunie kredīti'!$C$13:$CR$13</c:f>
              <c:numCache>
                <c:formatCode>mmm\-yy</c:formatCode>
                <c:ptCount val="58"/>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numCache>
            </c:numRef>
          </c:cat>
          <c:val>
            <c:numRef>
              <c:f>'Jaunie kredīti'!$C$14:$CR$14</c:f>
              <c:numCache>
                <c:formatCode>#\ ##0.0</c:formatCode>
                <c:ptCount val="58"/>
                <c:pt idx="0">
                  <c:v>56.300000000000004</c:v>
                </c:pt>
                <c:pt idx="1">
                  <c:v>40.099999999999994</c:v>
                </c:pt>
                <c:pt idx="2">
                  <c:v>46.6</c:v>
                </c:pt>
                <c:pt idx="3">
                  <c:v>52.900000000000006</c:v>
                </c:pt>
                <c:pt idx="4">
                  <c:v>52.900000000000006</c:v>
                </c:pt>
                <c:pt idx="5">
                  <c:v>54</c:v>
                </c:pt>
                <c:pt idx="6">
                  <c:v>47.6</c:v>
                </c:pt>
                <c:pt idx="7">
                  <c:v>54.300000000000004</c:v>
                </c:pt>
                <c:pt idx="8">
                  <c:v>43.7</c:v>
                </c:pt>
                <c:pt idx="9">
                  <c:v>52.400000000000006</c:v>
                </c:pt>
                <c:pt idx="10">
                  <c:v>49.3</c:v>
                </c:pt>
                <c:pt idx="11">
                  <c:v>42.3</c:v>
                </c:pt>
                <c:pt idx="12">
                  <c:v>46.400000000000006</c:v>
                </c:pt>
                <c:pt idx="13">
                  <c:v>45.7</c:v>
                </c:pt>
                <c:pt idx="14">
                  <c:v>47.599999999999994</c:v>
                </c:pt>
                <c:pt idx="15">
                  <c:v>49.000000000000007</c:v>
                </c:pt>
                <c:pt idx="16">
                  <c:v>52.4</c:v>
                </c:pt>
                <c:pt idx="17">
                  <c:v>46.6</c:v>
                </c:pt>
                <c:pt idx="18">
                  <c:v>50.9</c:v>
                </c:pt>
                <c:pt idx="19">
                  <c:v>47.2</c:v>
                </c:pt>
                <c:pt idx="20">
                  <c:v>47.599999999999994</c:v>
                </c:pt>
                <c:pt idx="21">
                  <c:v>49.300000000000004</c:v>
                </c:pt>
                <c:pt idx="22">
                  <c:v>45.099999999999994</c:v>
                </c:pt>
                <c:pt idx="23">
                  <c:v>42.7</c:v>
                </c:pt>
                <c:pt idx="24">
                  <c:v>41.1</c:v>
                </c:pt>
                <c:pt idx="25">
                  <c:v>43.399999999999991</c:v>
                </c:pt>
                <c:pt idx="26">
                  <c:v>40.999999999999986</c:v>
                </c:pt>
                <c:pt idx="27">
                  <c:v>26.799999999999997</c:v>
                </c:pt>
                <c:pt idx="28">
                  <c:v>27.6</c:v>
                </c:pt>
                <c:pt idx="29">
                  <c:v>39.4</c:v>
                </c:pt>
                <c:pt idx="30">
                  <c:v>53.800000000000004</c:v>
                </c:pt>
                <c:pt idx="31">
                  <c:v>51.2</c:v>
                </c:pt>
                <c:pt idx="32">
                  <c:v>59.3</c:v>
                </c:pt>
                <c:pt idx="33">
                  <c:v>58.099999999999994</c:v>
                </c:pt>
                <c:pt idx="34">
                  <c:v>52.500000000000007</c:v>
                </c:pt>
                <c:pt idx="35">
                  <c:v>51.900000000000006</c:v>
                </c:pt>
                <c:pt idx="36">
                  <c:v>47.9</c:v>
                </c:pt>
                <c:pt idx="37">
                  <c:v>55.999999999999993</c:v>
                </c:pt>
                <c:pt idx="38">
                  <c:v>78</c:v>
                </c:pt>
                <c:pt idx="39">
                  <c:v>74</c:v>
                </c:pt>
                <c:pt idx="40">
                  <c:v>79.699999999999989</c:v>
                </c:pt>
                <c:pt idx="41">
                  <c:v>70.8</c:v>
                </c:pt>
                <c:pt idx="42">
                  <c:v>71.8</c:v>
                </c:pt>
                <c:pt idx="43">
                  <c:v>73.5</c:v>
                </c:pt>
                <c:pt idx="44">
                  <c:v>74.800000000000011</c:v>
                </c:pt>
                <c:pt idx="45">
                  <c:v>74</c:v>
                </c:pt>
                <c:pt idx="46">
                  <c:v>77.400000000000006</c:v>
                </c:pt>
                <c:pt idx="47">
                  <c:v>71.699999999999989</c:v>
                </c:pt>
                <c:pt idx="48">
                  <c:v>57.9</c:v>
                </c:pt>
                <c:pt idx="49">
                  <c:v>70</c:v>
                </c:pt>
                <c:pt idx="50">
                  <c:v>79.599999999999994</c:v>
                </c:pt>
                <c:pt idx="51">
                  <c:v>69.7</c:v>
                </c:pt>
                <c:pt idx="52">
                  <c:v>83.300000000000011</c:v>
                </c:pt>
                <c:pt idx="53">
                  <c:v>81.999999999999986</c:v>
                </c:pt>
                <c:pt idx="54">
                  <c:v>77.2</c:v>
                </c:pt>
                <c:pt idx="55">
                  <c:v>82.8</c:v>
                </c:pt>
                <c:pt idx="56">
                  <c:v>73.7</c:v>
                </c:pt>
                <c:pt idx="57">
                  <c:v>62.099999999999994</c:v>
                </c:pt>
              </c:numCache>
            </c:numRef>
          </c:val>
          <c:extLst>
            <c:ext xmlns:c16="http://schemas.microsoft.com/office/drawing/2014/chart" uri="{C3380CC4-5D6E-409C-BE32-E72D297353CC}">
              <c16:uniqueId val="{00000000-2481-4566-8B65-CA0379ABA375}"/>
            </c:ext>
          </c:extLst>
        </c:ser>
        <c:ser>
          <c:idx val="1"/>
          <c:order val="1"/>
          <c:tx>
            <c:strRef>
              <c:f>'Jaunie kredīti'!$B$15</c:f>
              <c:strCache>
                <c:ptCount val="1"/>
                <c:pt idx="0">
                  <c:v> patēriņa kredīti mājsaimniecībām</c:v>
                </c:pt>
              </c:strCache>
            </c:strRef>
          </c:tx>
          <c:spPr>
            <a:solidFill>
              <a:schemeClr val="accent2"/>
            </a:solidFill>
            <a:ln>
              <a:noFill/>
            </a:ln>
            <a:effectLst/>
          </c:spPr>
          <c:invertIfNegative val="0"/>
          <c:cat>
            <c:numRef>
              <c:f>'Jaunie kredīti'!$C$13:$CR$13</c:f>
              <c:numCache>
                <c:formatCode>mmm\-yy</c:formatCode>
                <c:ptCount val="58"/>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numCache>
            </c:numRef>
          </c:cat>
          <c:val>
            <c:numRef>
              <c:f>'Jaunie kredīti'!$C$15:$CR$15</c:f>
              <c:numCache>
                <c:formatCode>#\ ##0.0</c:formatCode>
                <c:ptCount val="58"/>
                <c:pt idx="0">
                  <c:v>20</c:v>
                </c:pt>
                <c:pt idx="1">
                  <c:v>16.7</c:v>
                </c:pt>
                <c:pt idx="2">
                  <c:v>18.299999999999997</c:v>
                </c:pt>
                <c:pt idx="3">
                  <c:v>19.7</c:v>
                </c:pt>
                <c:pt idx="4">
                  <c:v>21.2</c:v>
                </c:pt>
                <c:pt idx="5">
                  <c:v>20.399999999999999</c:v>
                </c:pt>
                <c:pt idx="6">
                  <c:v>22.400000000000002</c:v>
                </c:pt>
                <c:pt idx="7">
                  <c:v>23.9</c:v>
                </c:pt>
                <c:pt idx="8">
                  <c:v>20.599999999999998</c:v>
                </c:pt>
                <c:pt idx="9">
                  <c:v>24</c:v>
                </c:pt>
                <c:pt idx="10">
                  <c:v>20.2</c:v>
                </c:pt>
                <c:pt idx="11">
                  <c:v>18.600000000000001</c:v>
                </c:pt>
                <c:pt idx="12">
                  <c:v>17.900000000000002</c:v>
                </c:pt>
                <c:pt idx="13">
                  <c:v>17</c:v>
                </c:pt>
                <c:pt idx="14">
                  <c:v>19.399999999999999</c:v>
                </c:pt>
                <c:pt idx="15">
                  <c:v>21</c:v>
                </c:pt>
                <c:pt idx="16">
                  <c:v>23.599999999999998</c:v>
                </c:pt>
                <c:pt idx="17">
                  <c:v>20.599999999999998</c:v>
                </c:pt>
                <c:pt idx="18">
                  <c:v>19.100000000000001</c:v>
                </c:pt>
                <c:pt idx="19">
                  <c:v>18.3</c:v>
                </c:pt>
                <c:pt idx="20">
                  <c:v>17.700000000000003</c:v>
                </c:pt>
                <c:pt idx="21">
                  <c:v>20.5</c:v>
                </c:pt>
                <c:pt idx="22">
                  <c:v>18.400000000000002</c:v>
                </c:pt>
                <c:pt idx="23">
                  <c:v>15.399999999999999</c:v>
                </c:pt>
                <c:pt idx="24">
                  <c:v>15.2</c:v>
                </c:pt>
                <c:pt idx="25">
                  <c:v>15.2</c:v>
                </c:pt>
                <c:pt idx="26">
                  <c:v>13.8</c:v>
                </c:pt>
                <c:pt idx="27">
                  <c:v>8</c:v>
                </c:pt>
                <c:pt idx="28">
                  <c:v>12.2</c:v>
                </c:pt>
                <c:pt idx="29">
                  <c:v>13.7</c:v>
                </c:pt>
                <c:pt idx="30">
                  <c:v>16.3</c:v>
                </c:pt>
                <c:pt idx="31">
                  <c:v>16.5</c:v>
                </c:pt>
                <c:pt idx="32">
                  <c:v>18.5</c:v>
                </c:pt>
                <c:pt idx="33">
                  <c:v>15.900000000000002</c:v>
                </c:pt>
                <c:pt idx="34">
                  <c:v>13.499999999999998</c:v>
                </c:pt>
                <c:pt idx="35">
                  <c:v>12.4</c:v>
                </c:pt>
                <c:pt idx="36">
                  <c:v>11.3</c:v>
                </c:pt>
                <c:pt idx="37">
                  <c:v>11.700000000000001</c:v>
                </c:pt>
                <c:pt idx="38">
                  <c:v>16.299999999999997</c:v>
                </c:pt>
                <c:pt idx="39">
                  <c:v>17.899999999999999</c:v>
                </c:pt>
                <c:pt idx="40">
                  <c:v>17.600000000000001</c:v>
                </c:pt>
                <c:pt idx="41">
                  <c:v>17.400000000000002</c:v>
                </c:pt>
                <c:pt idx="42">
                  <c:v>19.7</c:v>
                </c:pt>
                <c:pt idx="43">
                  <c:v>18.900000000000002</c:v>
                </c:pt>
                <c:pt idx="44">
                  <c:v>23.6</c:v>
                </c:pt>
                <c:pt idx="45">
                  <c:v>20.3</c:v>
                </c:pt>
                <c:pt idx="46">
                  <c:v>22</c:v>
                </c:pt>
                <c:pt idx="47">
                  <c:v>18.900000000000002</c:v>
                </c:pt>
                <c:pt idx="48">
                  <c:v>18.7</c:v>
                </c:pt>
                <c:pt idx="49">
                  <c:v>19.3</c:v>
                </c:pt>
                <c:pt idx="50">
                  <c:v>23.200000000000003</c:v>
                </c:pt>
                <c:pt idx="51">
                  <c:v>25.7</c:v>
                </c:pt>
                <c:pt idx="52">
                  <c:v>28.6</c:v>
                </c:pt>
                <c:pt idx="53">
                  <c:v>28.400000000000002</c:v>
                </c:pt>
                <c:pt idx="54">
                  <c:v>30.099999999999998</c:v>
                </c:pt>
                <c:pt idx="55">
                  <c:v>32.800000000000004</c:v>
                </c:pt>
                <c:pt idx="56">
                  <c:v>30.400000000000002</c:v>
                </c:pt>
                <c:pt idx="57">
                  <c:v>27.400000000000002</c:v>
                </c:pt>
              </c:numCache>
            </c:numRef>
          </c:val>
          <c:extLst>
            <c:ext xmlns:c16="http://schemas.microsoft.com/office/drawing/2014/chart" uri="{C3380CC4-5D6E-409C-BE32-E72D297353CC}">
              <c16:uniqueId val="{00000001-2481-4566-8B65-CA0379ABA375}"/>
            </c:ext>
          </c:extLst>
        </c:ser>
        <c:ser>
          <c:idx val="2"/>
          <c:order val="2"/>
          <c:tx>
            <c:strRef>
              <c:f>'Jaunie kredīti'!$B$16</c:f>
              <c:strCache>
                <c:ptCount val="1"/>
                <c:pt idx="0">
                  <c:v> pārējie kredīti mājsaimniecībām</c:v>
                </c:pt>
              </c:strCache>
            </c:strRef>
          </c:tx>
          <c:spPr>
            <a:solidFill>
              <a:schemeClr val="accent3"/>
            </a:solidFill>
            <a:ln>
              <a:noFill/>
            </a:ln>
            <a:effectLst/>
          </c:spPr>
          <c:invertIfNegative val="0"/>
          <c:cat>
            <c:numRef>
              <c:f>'Jaunie kredīti'!$C$13:$CR$13</c:f>
              <c:numCache>
                <c:formatCode>mmm\-yy</c:formatCode>
                <c:ptCount val="58"/>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numCache>
            </c:numRef>
          </c:cat>
          <c:val>
            <c:numRef>
              <c:f>'Jaunie kredīti'!$C$16:$CR$16</c:f>
              <c:numCache>
                <c:formatCode>#\ ##0.0</c:formatCode>
                <c:ptCount val="58"/>
                <c:pt idx="0">
                  <c:v>3.8000000000000003</c:v>
                </c:pt>
                <c:pt idx="1">
                  <c:v>3.1000000000000005</c:v>
                </c:pt>
                <c:pt idx="2">
                  <c:v>3.3999999999999986</c:v>
                </c:pt>
                <c:pt idx="3">
                  <c:v>6.2</c:v>
                </c:pt>
                <c:pt idx="4">
                  <c:v>8.1999999999999993</c:v>
                </c:pt>
                <c:pt idx="5">
                  <c:v>7.5</c:v>
                </c:pt>
                <c:pt idx="6">
                  <c:v>4.4000000000000004</c:v>
                </c:pt>
                <c:pt idx="7">
                  <c:v>6</c:v>
                </c:pt>
                <c:pt idx="8">
                  <c:v>3.2999999999999989</c:v>
                </c:pt>
                <c:pt idx="9">
                  <c:v>8.5</c:v>
                </c:pt>
                <c:pt idx="10">
                  <c:v>5.3000000000000007</c:v>
                </c:pt>
                <c:pt idx="11">
                  <c:v>6.6999999999999993</c:v>
                </c:pt>
                <c:pt idx="12">
                  <c:v>4.7</c:v>
                </c:pt>
                <c:pt idx="13">
                  <c:v>4.0999999999999996</c:v>
                </c:pt>
                <c:pt idx="14">
                  <c:v>5.6000000000000005</c:v>
                </c:pt>
                <c:pt idx="15">
                  <c:v>5.0999999999999979</c:v>
                </c:pt>
                <c:pt idx="16">
                  <c:v>5.2</c:v>
                </c:pt>
                <c:pt idx="17">
                  <c:v>5.5</c:v>
                </c:pt>
                <c:pt idx="18">
                  <c:v>5.3999999999999986</c:v>
                </c:pt>
                <c:pt idx="19">
                  <c:v>4.6000000000000014</c:v>
                </c:pt>
                <c:pt idx="20">
                  <c:v>6.8999999999999986</c:v>
                </c:pt>
                <c:pt idx="21">
                  <c:v>5.9</c:v>
                </c:pt>
                <c:pt idx="22">
                  <c:v>7.3999999999999995</c:v>
                </c:pt>
                <c:pt idx="23">
                  <c:v>6.1</c:v>
                </c:pt>
                <c:pt idx="24">
                  <c:v>3.5999999999999996</c:v>
                </c:pt>
                <c:pt idx="25">
                  <c:v>5</c:v>
                </c:pt>
                <c:pt idx="26">
                  <c:v>4.5</c:v>
                </c:pt>
                <c:pt idx="27">
                  <c:v>8.6999999999999993</c:v>
                </c:pt>
                <c:pt idx="28">
                  <c:v>6.7999999999999989</c:v>
                </c:pt>
                <c:pt idx="29">
                  <c:v>4.3999999999999995</c:v>
                </c:pt>
                <c:pt idx="30">
                  <c:v>6</c:v>
                </c:pt>
                <c:pt idx="31">
                  <c:v>8.3000000000000007</c:v>
                </c:pt>
                <c:pt idx="32">
                  <c:v>11.4</c:v>
                </c:pt>
                <c:pt idx="33">
                  <c:v>4.7000000000000011</c:v>
                </c:pt>
                <c:pt idx="34">
                  <c:v>3.0000000000000009</c:v>
                </c:pt>
                <c:pt idx="35">
                  <c:v>4.2</c:v>
                </c:pt>
                <c:pt idx="36">
                  <c:v>3.1999999999999993</c:v>
                </c:pt>
                <c:pt idx="37">
                  <c:v>4</c:v>
                </c:pt>
                <c:pt idx="38">
                  <c:v>5.5</c:v>
                </c:pt>
                <c:pt idx="39">
                  <c:v>3.3000000000000007</c:v>
                </c:pt>
                <c:pt idx="40">
                  <c:v>3.3999999999999995</c:v>
                </c:pt>
                <c:pt idx="41">
                  <c:v>3.2</c:v>
                </c:pt>
                <c:pt idx="42">
                  <c:v>3.5999999999999996</c:v>
                </c:pt>
                <c:pt idx="43">
                  <c:v>7.1999999999999993</c:v>
                </c:pt>
                <c:pt idx="44">
                  <c:v>11.500000000000002</c:v>
                </c:pt>
                <c:pt idx="45">
                  <c:v>5.4999999999999991</c:v>
                </c:pt>
                <c:pt idx="46">
                  <c:v>6.3000000000000007</c:v>
                </c:pt>
                <c:pt idx="47">
                  <c:v>4.5</c:v>
                </c:pt>
                <c:pt idx="48">
                  <c:v>5.6</c:v>
                </c:pt>
                <c:pt idx="49">
                  <c:v>4.1999999999999993</c:v>
                </c:pt>
                <c:pt idx="50">
                  <c:v>3.9</c:v>
                </c:pt>
                <c:pt idx="51">
                  <c:v>5.0000000000000009</c:v>
                </c:pt>
                <c:pt idx="52">
                  <c:v>7.3000000000000007</c:v>
                </c:pt>
                <c:pt idx="53">
                  <c:v>7.3000000000000007</c:v>
                </c:pt>
                <c:pt idx="54">
                  <c:v>6.1999999999999993</c:v>
                </c:pt>
                <c:pt idx="55">
                  <c:v>9.8000000000000007</c:v>
                </c:pt>
                <c:pt idx="56">
                  <c:v>12.5</c:v>
                </c:pt>
                <c:pt idx="57">
                  <c:v>5.9</c:v>
                </c:pt>
              </c:numCache>
            </c:numRef>
          </c:val>
          <c:extLst>
            <c:ext xmlns:c16="http://schemas.microsoft.com/office/drawing/2014/chart" uri="{C3380CC4-5D6E-409C-BE32-E72D297353CC}">
              <c16:uniqueId val="{00000002-2481-4566-8B65-CA0379ABA375}"/>
            </c:ext>
          </c:extLst>
        </c:ser>
        <c:ser>
          <c:idx val="3"/>
          <c:order val="3"/>
          <c:tx>
            <c:strRef>
              <c:f>'Jaunie kredīti'!$B$17</c:f>
              <c:strCache>
                <c:ptCount val="1"/>
                <c:pt idx="0">
                  <c:v> kredīti nefinanšu sabiedrībām</c:v>
                </c:pt>
              </c:strCache>
            </c:strRef>
          </c:tx>
          <c:spPr>
            <a:solidFill>
              <a:schemeClr val="accent4"/>
            </a:solidFill>
            <a:ln>
              <a:noFill/>
            </a:ln>
            <a:effectLst/>
          </c:spPr>
          <c:invertIfNegative val="0"/>
          <c:cat>
            <c:numRef>
              <c:f>'Jaunie kredīti'!$C$13:$CR$13</c:f>
              <c:numCache>
                <c:formatCode>mmm\-yy</c:formatCode>
                <c:ptCount val="58"/>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numCache>
            </c:numRef>
          </c:cat>
          <c:val>
            <c:numRef>
              <c:f>'Jaunie kredīti'!$C$17:$CR$17</c:f>
              <c:numCache>
                <c:formatCode>#\ ##0.0</c:formatCode>
                <c:ptCount val="58"/>
                <c:pt idx="0">
                  <c:v>94.699999999999989</c:v>
                </c:pt>
                <c:pt idx="1">
                  <c:v>56.199999999999989</c:v>
                </c:pt>
                <c:pt idx="2">
                  <c:v>95.599999999999966</c:v>
                </c:pt>
                <c:pt idx="3">
                  <c:v>66.399999999999977</c:v>
                </c:pt>
                <c:pt idx="4">
                  <c:v>69.699999999999989</c:v>
                </c:pt>
                <c:pt idx="5">
                  <c:v>177.39999999999998</c:v>
                </c:pt>
                <c:pt idx="6">
                  <c:v>61.399999999999977</c:v>
                </c:pt>
                <c:pt idx="7">
                  <c:v>90.6</c:v>
                </c:pt>
                <c:pt idx="8">
                  <c:v>47.199999999999989</c:v>
                </c:pt>
                <c:pt idx="9">
                  <c:v>102.70000000000002</c:v>
                </c:pt>
                <c:pt idx="10">
                  <c:v>143.5</c:v>
                </c:pt>
                <c:pt idx="11">
                  <c:v>302.40000000000003</c:v>
                </c:pt>
                <c:pt idx="12">
                  <c:v>53</c:v>
                </c:pt>
                <c:pt idx="13">
                  <c:v>87.600000000000023</c:v>
                </c:pt>
                <c:pt idx="14">
                  <c:v>118.60000000000002</c:v>
                </c:pt>
                <c:pt idx="15">
                  <c:v>78.800000000000011</c:v>
                </c:pt>
                <c:pt idx="16">
                  <c:v>132.39999999999998</c:v>
                </c:pt>
                <c:pt idx="17">
                  <c:v>76.699999999999989</c:v>
                </c:pt>
                <c:pt idx="18">
                  <c:v>94</c:v>
                </c:pt>
                <c:pt idx="19">
                  <c:v>49.300000000000011</c:v>
                </c:pt>
                <c:pt idx="20">
                  <c:v>112.10000000000002</c:v>
                </c:pt>
                <c:pt idx="21">
                  <c:v>94.9</c:v>
                </c:pt>
                <c:pt idx="22">
                  <c:v>18.099999999999994</c:v>
                </c:pt>
                <c:pt idx="23">
                  <c:v>82.800000000000011</c:v>
                </c:pt>
                <c:pt idx="24">
                  <c:v>72.599999999999994</c:v>
                </c:pt>
                <c:pt idx="25">
                  <c:v>128.70000000000002</c:v>
                </c:pt>
                <c:pt idx="26">
                  <c:v>139</c:v>
                </c:pt>
                <c:pt idx="27">
                  <c:v>33.299999999999955</c:v>
                </c:pt>
                <c:pt idx="28">
                  <c:v>16.800000000000011</c:v>
                </c:pt>
                <c:pt idx="29">
                  <c:v>165</c:v>
                </c:pt>
                <c:pt idx="30">
                  <c:v>48.399999999999977</c:v>
                </c:pt>
                <c:pt idx="31">
                  <c:v>50.199999999999989</c:v>
                </c:pt>
                <c:pt idx="32">
                  <c:v>69</c:v>
                </c:pt>
                <c:pt idx="33">
                  <c:v>76.5</c:v>
                </c:pt>
                <c:pt idx="34">
                  <c:v>101.39999999999998</c:v>
                </c:pt>
                <c:pt idx="35">
                  <c:v>91.599999999999966</c:v>
                </c:pt>
                <c:pt idx="36">
                  <c:v>53.299999999999955</c:v>
                </c:pt>
                <c:pt idx="37">
                  <c:v>43.299999999999955</c:v>
                </c:pt>
                <c:pt idx="38">
                  <c:v>156.30000000000001</c:v>
                </c:pt>
                <c:pt idx="39">
                  <c:v>117</c:v>
                </c:pt>
                <c:pt idx="40">
                  <c:v>71.300000000000068</c:v>
                </c:pt>
                <c:pt idx="41">
                  <c:v>38</c:v>
                </c:pt>
                <c:pt idx="42">
                  <c:v>93.800000000000011</c:v>
                </c:pt>
                <c:pt idx="43">
                  <c:v>169.10000000000002</c:v>
                </c:pt>
                <c:pt idx="44">
                  <c:v>71.699999999999989</c:v>
                </c:pt>
                <c:pt idx="45">
                  <c:v>87.399999999999977</c:v>
                </c:pt>
                <c:pt idx="46">
                  <c:v>117.10000000000002</c:v>
                </c:pt>
                <c:pt idx="47">
                  <c:v>72.399999999999977</c:v>
                </c:pt>
                <c:pt idx="48">
                  <c:v>60.700000000000017</c:v>
                </c:pt>
                <c:pt idx="49">
                  <c:v>65.800000000000011</c:v>
                </c:pt>
                <c:pt idx="50">
                  <c:v>89.399999999999977</c:v>
                </c:pt>
                <c:pt idx="51">
                  <c:v>94.5</c:v>
                </c:pt>
                <c:pt idx="52">
                  <c:v>235.7</c:v>
                </c:pt>
                <c:pt idx="53">
                  <c:v>103.69999999999999</c:v>
                </c:pt>
                <c:pt idx="54">
                  <c:v>227.10000000000002</c:v>
                </c:pt>
                <c:pt idx="55">
                  <c:v>169.7</c:v>
                </c:pt>
                <c:pt idx="56">
                  <c:v>124.00000000000003</c:v>
                </c:pt>
                <c:pt idx="57">
                  <c:v>178.39999999999998</c:v>
                </c:pt>
              </c:numCache>
            </c:numRef>
          </c:val>
          <c:extLst>
            <c:ext xmlns:c16="http://schemas.microsoft.com/office/drawing/2014/chart" uri="{C3380CC4-5D6E-409C-BE32-E72D297353CC}">
              <c16:uniqueId val="{00000003-2481-4566-8B65-CA0379ABA375}"/>
            </c:ext>
          </c:extLst>
        </c:ser>
        <c:dLbls>
          <c:showLegendKey val="0"/>
          <c:showVal val="0"/>
          <c:showCatName val="0"/>
          <c:showSerName val="0"/>
          <c:showPercent val="0"/>
          <c:showBubbleSize val="0"/>
        </c:dLbls>
        <c:gapWidth val="50"/>
        <c:overlap val="100"/>
        <c:axId val="1602556559"/>
        <c:axId val="1602560719"/>
      </c:barChart>
      <c:dateAx>
        <c:axId val="1602556559"/>
        <c:scaling>
          <c:orientation val="minMax"/>
        </c:scaling>
        <c:delete val="0"/>
        <c:axPos val="b"/>
        <c:majorGridlines>
          <c:spPr>
            <a:ln w="9525" cap="flat" cmpd="sng" algn="ctr">
              <a:solidFill>
                <a:schemeClr val="tx1">
                  <a:lumMod val="15000"/>
                  <a:lumOff val="85000"/>
                </a:schemeClr>
              </a:solidFill>
              <a:round/>
            </a:ln>
            <a:effectLst/>
          </c:spPr>
        </c:majorGridlines>
        <c:numFmt formatCode="m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02560719"/>
        <c:crosses val="autoZero"/>
        <c:auto val="1"/>
        <c:lblOffset val="100"/>
        <c:baseTimeUnit val="months"/>
        <c:majorUnit val="12"/>
        <c:majorTimeUnit val="months"/>
      </c:dateAx>
      <c:valAx>
        <c:axId val="16025607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02556559"/>
        <c:crosses val="autoZero"/>
        <c:crossBetween val="between"/>
        <c:majorUnit val="100"/>
      </c:valAx>
      <c:spPr>
        <a:noFill/>
        <a:ln>
          <a:noFill/>
        </a:ln>
        <a:effectLst/>
      </c:spPr>
    </c:plotArea>
    <c:legend>
      <c:legendPos val="b"/>
      <c:layout>
        <c:manualLayout>
          <c:xMode val="edge"/>
          <c:yMode val="edge"/>
          <c:x val="0"/>
          <c:y val="0.84971674920725415"/>
          <c:w val="1"/>
          <c:h val="0.1343130618121763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b="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0.6808</cdr:x>
      <cdr:y>0.01802</cdr:y>
    </cdr:from>
    <cdr:to>
      <cdr:x>0.9419</cdr:x>
      <cdr:y>0.2359</cdr:y>
    </cdr:to>
    <cdr:sp macro="" textlink="">
      <cdr:nvSpPr>
        <cdr:cNvPr id="2" name="Rounded Rectangle 1"/>
        <cdr:cNvSpPr/>
      </cdr:nvSpPr>
      <cdr:spPr>
        <a:xfrm xmlns:a="http://schemas.openxmlformats.org/drawingml/2006/main">
          <a:off x="3709203" y="55783"/>
          <a:ext cx="1422552" cy="674466"/>
        </a:xfrm>
        <a:prstGeom xmlns:a="http://schemas.openxmlformats.org/drawingml/2006/main" prst="roundRect">
          <a:avLst/>
        </a:prstGeom>
        <a:noFill xmlns:a="http://schemas.openxmlformats.org/drawingml/2006/main"/>
        <a:ln xmlns:a="http://schemas.openxmlformats.org/drawingml/2006/main">
          <a:solidFill>
            <a:schemeClr val="bg1">
              <a:lumMod val="6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+643,7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0.09331</cdr:x>
      <cdr:y>0.02465</cdr:y>
    </cdr:from>
    <cdr:to>
      <cdr:x>0.34683</cdr:x>
      <cdr:y>0.23932</cdr:y>
    </cdr:to>
    <cdr:sp macro="" textlink="">
      <cdr:nvSpPr>
        <cdr:cNvPr id="3" name="Rounded Rectangle 2"/>
        <cdr:cNvSpPr/>
      </cdr:nvSpPr>
      <cdr:spPr>
        <a:xfrm xmlns:a="http://schemas.openxmlformats.org/drawingml/2006/main">
          <a:off x="508381" y="76308"/>
          <a:ext cx="1381253" cy="664526"/>
        </a:xfrm>
        <a:prstGeom xmlns:a="http://schemas.openxmlformats.org/drawingml/2006/main" prst="roundRect">
          <a:avLst/>
        </a:prstGeom>
        <a:noFill xmlns:a="http://schemas.openxmlformats.org/drawingml/2006/main"/>
        <a:ln xmlns:a="http://schemas.openxmlformats.org/drawingml/2006/main">
          <a:solidFill>
            <a:schemeClr val="bg1">
              <a:lumMod val="6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+ 1 192,1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0.38912</cdr:x>
      <cdr:y>0.01575</cdr:y>
    </cdr:from>
    <cdr:to>
      <cdr:x>0.64264</cdr:x>
      <cdr:y>0.23248</cdr:y>
    </cdr:to>
    <cdr:sp macro="" textlink="">
      <cdr:nvSpPr>
        <cdr:cNvPr id="4" name="Rounded Rectangle 3"/>
        <cdr:cNvSpPr/>
      </cdr:nvSpPr>
      <cdr:spPr>
        <a:xfrm xmlns:a="http://schemas.openxmlformats.org/drawingml/2006/main">
          <a:off x="2120043" y="48757"/>
          <a:ext cx="1381253" cy="670910"/>
        </a:xfrm>
        <a:prstGeom xmlns:a="http://schemas.openxmlformats.org/drawingml/2006/main" prst="roundRect">
          <a:avLst/>
        </a:prstGeom>
        <a:noFill xmlns:a="http://schemas.openxmlformats.org/drawingml/2006/main"/>
        <a:ln xmlns:a="http://schemas.openxmlformats.org/drawingml/2006/main">
          <a:solidFill>
            <a:schemeClr val="bg1">
              <a:lumMod val="6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+677,8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0.51714</cdr:x>
      <cdr:y>0.42441</cdr:y>
    </cdr:from>
    <cdr:to>
      <cdr:x>0.62547</cdr:x>
      <cdr:y>0.46769</cdr:y>
    </cdr:to>
    <cdr:sp macro="" textlink="">
      <cdr:nvSpPr>
        <cdr:cNvPr id="5" name="Left Brace 4"/>
        <cdr:cNvSpPr/>
      </cdr:nvSpPr>
      <cdr:spPr>
        <a:xfrm xmlns:a="http://schemas.openxmlformats.org/drawingml/2006/main" rot="16200000" flipH="1">
          <a:off x="3023870" y="1087755"/>
          <a:ext cx="133985" cy="586105"/>
        </a:xfrm>
        <a:prstGeom xmlns:a="http://schemas.openxmlformats.org/drawingml/2006/main" prst="leftBrace">
          <a:avLst/>
        </a:prstGeom>
        <a:noFill xmlns:a="http://schemas.openxmlformats.org/drawingml/2006/main"/>
        <a:ln xmlns:a="http://schemas.openxmlformats.org/drawingml/2006/main">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lv-LV"/>
        </a:p>
      </cdr:txBody>
    </cdr:sp>
  </cdr:relSizeAnchor>
  <cdr:relSizeAnchor xmlns:cdr="http://schemas.openxmlformats.org/drawingml/2006/chartDrawing">
    <cdr:from>
      <cdr:x>0.22371</cdr:x>
      <cdr:y>0.25285</cdr:y>
    </cdr:from>
    <cdr:to>
      <cdr:x>0.35474</cdr:x>
      <cdr:y>0.33149</cdr:y>
    </cdr:to>
    <cdr:sp macro="" textlink="">
      <cdr:nvSpPr>
        <cdr:cNvPr id="6" name="TextBox 7"/>
        <cdr:cNvSpPr txBox="1"/>
      </cdr:nvSpPr>
      <cdr:spPr>
        <a:xfrm xmlns:a="http://schemas.openxmlformats.org/drawingml/2006/main">
          <a:off x="1210309" y="782738"/>
          <a:ext cx="708920" cy="2434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+162,1</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0.50423</cdr:x>
      <cdr:y>0.33149</cdr:y>
    </cdr:from>
    <cdr:to>
      <cdr:x>0.63526</cdr:x>
      <cdr:y>0.41012</cdr:y>
    </cdr:to>
    <cdr:sp macro="" textlink="">
      <cdr:nvSpPr>
        <cdr:cNvPr id="7" name="TextBox 7"/>
        <cdr:cNvSpPr txBox="1"/>
      </cdr:nvSpPr>
      <cdr:spPr>
        <a:xfrm xmlns:a="http://schemas.openxmlformats.org/drawingml/2006/main">
          <a:off x="2727959" y="1026159"/>
          <a:ext cx="708920" cy="2434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+164,3</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0.80998</cdr:x>
      <cdr:y>0.34516</cdr:y>
    </cdr:from>
    <cdr:to>
      <cdr:x>0.94101</cdr:x>
      <cdr:y>0.42379</cdr:y>
    </cdr:to>
    <cdr:sp macro="" textlink="">
      <cdr:nvSpPr>
        <cdr:cNvPr id="8" name="TextBox 7"/>
        <cdr:cNvSpPr txBox="1"/>
      </cdr:nvSpPr>
      <cdr:spPr>
        <a:xfrm xmlns:a="http://schemas.openxmlformats.org/drawingml/2006/main">
          <a:off x="4382134" y="1068488"/>
          <a:ext cx="708920" cy="2434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+172,1</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0.6808</cdr:x>
      <cdr:y>0.01802</cdr:y>
    </cdr:from>
    <cdr:to>
      <cdr:x>0.9419</cdr:x>
      <cdr:y>0.21538</cdr:y>
    </cdr:to>
    <cdr:sp macro="" textlink="">
      <cdr:nvSpPr>
        <cdr:cNvPr id="2" name="Rounded Rectangle 1"/>
        <cdr:cNvSpPr/>
      </cdr:nvSpPr>
      <cdr:spPr>
        <a:xfrm xmlns:a="http://schemas.openxmlformats.org/drawingml/2006/main">
          <a:off x="3709203" y="55783"/>
          <a:ext cx="1422552" cy="610967"/>
        </a:xfrm>
        <a:prstGeom xmlns:a="http://schemas.openxmlformats.org/drawingml/2006/main" prst="roundRect">
          <a:avLst/>
        </a:prstGeom>
        <a:noFill xmlns:a="http://schemas.openxmlformats.org/drawingml/2006/main"/>
        <a:ln xmlns:a="http://schemas.openxmlformats.org/drawingml/2006/main">
          <a:solidFill>
            <a:schemeClr val="bg1">
              <a:lumMod val="6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+640,9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0.09525</cdr:x>
      <cdr:y>0.00756</cdr:y>
    </cdr:from>
    <cdr:to>
      <cdr:x>0.34877</cdr:x>
      <cdr:y>0.21197</cdr:y>
    </cdr:to>
    <cdr:sp macro="" textlink="">
      <cdr:nvSpPr>
        <cdr:cNvPr id="3" name="Rounded Rectangle 2"/>
        <cdr:cNvSpPr/>
      </cdr:nvSpPr>
      <cdr:spPr>
        <a:xfrm xmlns:a="http://schemas.openxmlformats.org/drawingml/2006/main">
          <a:off x="518964" y="23390"/>
          <a:ext cx="1381253" cy="632777"/>
        </a:xfrm>
        <a:prstGeom xmlns:a="http://schemas.openxmlformats.org/drawingml/2006/main" prst="roundRect">
          <a:avLst/>
        </a:prstGeom>
        <a:noFill xmlns:a="http://schemas.openxmlformats.org/drawingml/2006/main"/>
        <a:ln xmlns:a="http://schemas.openxmlformats.org/drawingml/2006/main">
          <a:solidFill>
            <a:schemeClr val="bg1">
              <a:lumMod val="6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+ 1 153,3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0.38912</cdr:x>
      <cdr:y>0.01575</cdr:y>
    </cdr:from>
    <cdr:to>
      <cdr:x>0.64264</cdr:x>
      <cdr:y>0.22222</cdr:y>
    </cdr:to>
    <cdr:sp macro="" textlink="">
      <cdr:nvSpPr>
        <cdr:cNvPr id="4" name="Rounded Rectangle 3"/>
        <cdr:cNvSpPr/>
      </cdr:nvSpPr>
      <cdr:spPr>
        <a:xfrm xmlns:a="http://schemas.openxmlformats.org/drawingml/2006/main">
          <a:off x="2120043" y="48756"/>
          <a:ext cx="1381253" cy="639161"/>
        </a:xfrm>
        <a:prstGeom xmlns:a="http://schemas.openxmlformats.org/drawingml/2006/main" prst="roundRect">
          <a:avLst/>
        </a:prstGeom>
        <a:noFill xmlns:a="http://schemas.openxmlformats.org/drawingml/2006/main"/>
        <a:ln xmlns:a="http://schemas.openxmlformats.org/drawingml/2006/main">
          <a:solidFill>
            <a:schemeClr val="bg1">
              <a:lumMod val="6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+625,1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0.51841</cdr:x>
      <cdr:y>0.45989</cdr:y>
    </cdr:from>
    <cdr:to>
      <cdr:x>0.62667</cdr:x>
      <cdr:y>0.50318</cdr:y>
    </cdr:to>
    <cdr:sp macro="" textlink="">
      <cdr:nvSpPr>
        <cdr:cNvPr id="5" name="Left Brace 4"/>
        <cdr:cNvSpPr/>
      </cdr:nvSpPr>
      <cdr:spPr>
        <a:xfrm xmlns:a="http://schemas.openxmlformats.org/drawingml/2006/main" rot="16200000" flipH="1">
          <a:off x="3032750" y="1197590"/>
          <a:ext cx="133994" cy="586134"/>
        </a:xfrm>
        <a:prstGeom xmlns:a="http://schemas.openxmlformats.org/drawingml/2006/main" prst="leftBrace">
          <a:avLst/>
        </a:prstGeom>
        <a:noFill xmlns:a="http://schemas.openxmlformats.org/drawingml/2006/main"/>
        <a:ln xmlns:a="http://schemas.openxmlformats.org/drawingml/2006/main">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0.81808</cdr:x>
      <cdr:y>0.45784</cdr:y>
    </cdr:from>
    <cdr:to>
      <cdr:x>0.92634</cdr:x>
      <cdr:y>0.50113</cdr:y>
    </cdr:to>
    <cdr:sp macro="" textlink="">
      <cdr:nvSpPr>
        <cdr:cNvPr id="6" name="Left Brace 5"/>
        <cdr:cNvSpPr/>
      </cdr:nvSpPr>
      <cdr:spPr>
        <a:xfrm xmlns:a="http://schemas.openxmlformats.org/drawingml/2006/main" rot="16200000" flipH="1">
          <a:off x="4655175" y="1191240"/>
          <a:ext cx="133994" cy="586134"/>
        </a:xfrm>
        <a:prstGeom xmlns:a="http://schemas.openxmlformats.org/drawingml/2006/main" prst="leftBrace">
          <a:avLst/>
        </a:prstGeom>
        <a:noFill xmlns:a="http://schemas.openxmlformats.org/drawingml/2006/main"/>
        <a:ln xmlns:a="http://schemas.openxmlformats.org/drawingml/2006/main">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0.21639</cdr:x>
      <cdr:y>0.344</cdr:y>
    </cdr:from>
    <cdr:to>
      <cdr:x>0.32466</cdr:x>
      <cdr:y>0.38728</cdr:y>
    </cdr:to>
    <cdr:sp macro="" textlink="">
      <cdr:nvSpPr>
        <cdr:cNvPr id="7" name="Left Brace 6"/>
        <cdr:cNvSpPr/>
      </cdr:nvSpPr>
      <cdr:spPr>
        <a:xfrm xmlns:a="http://schemas.openxmlformats.org/drawingml/2006/main" rot="16200000" flipH="1">
          <a:off x="1397625" y="838815"/>
          <a:ext cx="133994" cy="586134"/>
        </a:xfrm>
        <a:prstGeom xmlns:a="http://schemas.openxmlformats.org/drawingml/2006/main" prst="leftBrace">
          <a:avLst/>
        </a:prstGeom>
        <a:noFill xmlns:a="http://schemas.openxmlformats.org/drawingml/2006/main"/>
        <a:ln xmlns:a="http://schemas.openxmlformats.org/drawingml/2006/main">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0.20509</cdr:x>
      <cdr:y>0.25367</cdr:y>
    </cdr:from>
    <cdr:to>
      <cdr:x>0.33603</cdr:x>
      <cdr:y>0.3323</cdr:y>
    </cdr:to>
    <cdr:sp macro="" textlink="">
      <cdr:nvSpPr>
        <cdr:cNvPr id="8" name="TextBox 7"/>
        <cdr:cNvSpPr txBox="1"/>
      </cdr:nvSpPr>
      <cdr:spPr>
        <a:xfrm xmlns:a="http://schemas.openxmlformats.org/drawingml/2006/main">
          <a:off x="1110341" y="785274"/>
          <a:ext cx="708920" cy="2434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+146,0</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0.503</cdr:x>
      <cdr:y>0.36547</cdr:y>
    </cdr:from>
    <cdr:to>
      <cdr:x>0.63394</cdr:x>
      <cdr:y>0.4441</cdr:y>
    </cdr:to>
    <cdr:sp macro="" textlink="">
      <cdr:nvSpPr>
        <cdr:cNvPr id="9" name="TextBox 7"/>
        <cdr:cNvSpPr txBox="1"/>
      </cdr:nvSpPr>
      <cdr:spPr>
        <a:xfrm xmlns:a="http://schemas.openxmlformats.org/drawingml/2006/main">
          <a:off x="2723241" y="1131349"/>
          <a:ext cx="708920" cy="2434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+147,8</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0.80208</cdr:x>
      <cdr:y>0.36854</cdr:y>
    </cdr:from>
    <cdr:to>
      <cdr:x>0.93303</cdr:x>
      <cdr:y>0.44717</cdr:y>
    </cdr:to>
    <cdr:sp macro="" textlink="">
      <cdr:nvSpPr>
        <cdr:cNvPr id="10" name="TextBox 7"/>
        <cdr:cNvSpPr txBox="1"/>
      </cdr:nvSpPr>
      <cdr:spPr>
        <a:xfrm xmlns:a="http://schemas.openxmlformats.org/drawingml/2006/main">
          <a:off x="4342491" y="1140874"/>
          <a:ext cx="708920" cy="2434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+170,6</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0.6808</cdr:x>
      <cdr:y>0.01802</cdr:y>
    </cdr:from>
    <cdr:to>
      <cdr:x>0.9419</cdr:x>
      <cdr:y>0.21538</cdr:y>
    </cdr:to>
    <cdr:sp macro="" textlink="">
      <cdr:nvSpPr>
        <cdr:cNvPr id="2" name="Rounded Rectangle 1"/>
        <cdr:cNvSpPr/>
      </cdr:nvSpPr>
      <cdr:spPr>
        <a:xfrm xmlns:a="http://schemas.openxmlformats.org/drawingml/2006/main">
          <a:off x="3709203" y="55783"/>
          <a:ext cx="1422552" cy="610967"/>
        </a:xfrm>
        <a:prstGeom xmlns:a="http://schemas.openxmlformats.org/drawingml/2006/main" prst="roundRect">
          <a:avLst/>
        </a:prstGeom>
        <a:noFill xmlns:a="http://schemas.openxmlformats.org/drawingml/2006/main"/>
        <a:ln xmlns:a="http://schemas.openxmlformats.org/drawingml/2006/main">
          <a:solidFill>
            <a:schemeClr val="bg1">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2,7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0.09525</cdr:x>
      <cdr:y>0.02335</cdr:y>
    </cdr:from>
    <cdr:to>
      <cdr:x>0.34877</cdr:x>
      <cdr:y>0.22737</cdr:y>
    </cdr:to>
    <cdr:sp macro="" textlink="">
      <cdr:nvSpPr>
        <cdr:cNvPr id="3" name="Rounded Rectangle 2"/>
        <cdr:cNvSpPr/>
      </cdr:nvSpPr>
      <cdr:spPr>
        <a:xfrm xmlns:a="http://schemas.openxmlformats.org/drawingml/2006/main">
          <a:off x="502378" y="70428"/>
          <a:ext cx="1337143" cy="615372"/>
        </a:xfrm>
        <a:prstGeom xmlns:a="http://schemas.openxmlformats.org/drawingml/2006/main" prst="roundRect">
          <a:avLst/>
        </a:prstGeom>
        <a:noFill xmlns:a="http://schemas.openxmlformats.org/drawingml/2006/main"/>
        <a:ln xmlns:a="http://schemas.openxmlformats.org/drawingml/2006/main">
          <a:solidFill>
            <a:schemeClr val="bg1">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+38,8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0.38912</cdr:x>
      <cdr:y>0.01575</cdr:y>
    </cdr:from>
    <cdr:to>
      <cdr:x>0.64264</cdr:x>
      <cdr:y>0.22222</cdr:y>
    </cdr:to>
    <cdr:sp macro="" textlink="">
      <cdr:nvSpPr>
        <cdr:cNvPr id="4" name="Rounded Rectangle 3"/>
        <cdr:cNvSpPr/>
      </cdr:nvSpPr>
      <cdr:spPr>
        <a:xfrm xmlns:a="http://schemas.openxmlformats.org/drawingml/2006/main">
          <a:off x="2120043" y="48756"/>
          <a:ext cx="1381253" cy="639161"/>
        </a:xfrm>
        <a:prstGeom xmlns:a="http://schemas.openxmlformats.org/drawingml/2006/main" prst="roundRect">
          <a:avLst/>
        </a:prstGeom>
        <a:noFill xmlns:a="http://schemas.openxmlformats.org/drawingml/2006/main"/>
        <a:ln xmlns:a="http://schemas.openxmlformats.org/drawingml/2006/main">
          <a:solidFill>
            <a:schemeClr val="bg1">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52,6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0.20329</cdr:x>
      <cdr:y>0.37403</cdr:y>
    </cdr:from>
    <cdr:to>
      <cdr:x>0.33771</cdr:x>
      <cdr:y>0.45473</cdr:y>
    </cdr:to>
    <cdr:sp macro="" textlink="">
      <cdr:nvSpPr>
        <cdr:cNvPr id="5" name="TextBox 7"/>
        <cdr:cNvSpPr txBox="1"/>
      </cdr:nvSpPr>
      <cdr:spPr>
        <a:xfrm xmlns:a="http://schemas.openxmlformats.org/drawingml/2006/main">
          <a:off x="1072238" y="1128170"/>
          <a:ext cx="708923" cy="2434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+16,0</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0.5085</cdr:x>
      <cdr:y>0.21929</cdr:y>
    </cdr:from>
    <cdr:to>
      <cdr:x>0.64291</cdr:x>
      <cdr:y>0.3</cdr:y>
    </cdr:to>
    <cdr:sp macro="" textlink="">
      <cdr:nvSpPr>
        <cdr:cNvPr id="6" name="TextBox 7"/>
        <cdr:cNvSpPr txBox="1"/>
      </cdr:nvSpPr>
      <cdr:spPr>
        <a:xfrm xmlns:a="http://schemas.openxmlformats.org/drawingml/2006/main">
          <a:off x="2681963" y="661445"/>
          <a:ext cx="708923" cy="2434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+16,5</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0.79744</cdr:x>
      <cdr:y>0.35193</cdr:y>
    </cdr:from>
    <cdr:to>
      <cdr:x>0.93185</cdr:x>
      <cdr:y>0.43263</cdr:y>
    </cdr:to>
    <cdr:sp macro="" textlink="">
      <cdr:nvSpPr>
        <cdr:cNvPr id="7" name="TextBox 7"/>
        <cdr:cNvSpPr txBox="1"/>
      </cdr:nvSpPr>
      <cdr:spPr>
        <a:xfrm xmlns:a="http://schemas.openxmlformats.org/drawingml/2006/main">
          <a:off x="4205963" y="1061495"/>
          <a:ext cx="708923" cy="2434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+1,5</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0.2137</cdr:x>
      <cdr:y>0.45663</cdr:y>
    </cdr:from>
    <cdr:to>
      <cdr:x>0.32483</cdr:x>
      <cdr:y>0.50105</cdr:y>
    </cdr:to>
    <cdr:sp macro="" textlink="">
      <cdr:nvSpPr>
        <cdr:cNvPr id="8" name="Left Brace 7"/>
        <cdr:cNvSpPr/>
      </cdr:nvSpPr>
      <cdr:spPr>
        <a:xfrm xmlns:a="http://schemas.openxmlformats.org/drawingml/2006/main" rot="16200000" flipH="1">
          <a:off x="1353185" y="1151255"/>
          <a:ext cx="133985" cy="586105"/>
        </a:xfrm>
        <a:prstGeom xmlns:a="http://schemas.openxmlformats.org/drawingml/2006/main" prst="leftBrace">
          <a:avLst/>
        </a:prstGeom>
        <a:noFill xmlns:a="http://schemas.openxmlformats.org/drawingml/2006/main"/>
        <a:ln xmlns:a="http://schemas.openxmlformats.org/drawingml/2006/main">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lv-LV"/>
        </a:p>
      </cdr:txBody>
    </cdr:sp>
  </cdr:relSizeAnchor>
  <cdr:relSizeAnchor xmlns:cdr="http://schemas.openxmlformats.org/drawingml/2006/chartDrawing">
    <cdr:from>
      <cdr:x>0.52071</cdr:x>
      <cdr:y>0.28926</cdr:y>
    </cdr:from>
    <cdr:to>
      <cdr:x>0.63183</cdr:x>
      <cdr:y>0.33368</cdr:y>
    </cdr:to>
    <cdr:sp macro="" textlink="">
      <cdr:nvSpPr>
        <cdr:cNvPr id="9" name="Left Brace 8"/>
        <cdr:cNvSpPr/>
      </cdr:nvSpPr>
      <cdr:spPr>
        <a:xfrm xmlns:a="http://schemas.openxmlformats.org/drawingml/2006/main" rot="16200000" flipH="1">
          <a:off x="2972435" y="646430"/>
          <a:ext cx="133985" cy="586105"/>
        </a:xfrm>
        <a:prstGeom xmlns:a="http://schemas.openxmlformats.org/drawingml/2006/main" prst="leftBrace">
          <a:avLst/>
        </a:prstGeom>
        <a:noFill xmlns:a="http://schemas.openxmlformats.org/drawingml/2006/main"/>
        <a:ln xmlns:a="http://schemas.openxmlformats.org/drawingml/2006/main">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lv-LV"/>
        </a:p>
      </cdr:txBody>
    </cdr:sp>
  </cdr:relSizeAnchor>
  <cdr:relSizeAnchor xmlns:cdr="http://schemas.openxmlformats.org/drawingml/2006/chartDrawing">
    <cdr:from>
      <cdr:x>0.81146</cdr:x>
      <cdr:y>0.43137</cdr:y>
    </cdr:from>
    <cdr:to>
      <cdr:x>0.92259</cdr:x>
      <cdr:y>0.47579</cdr:y>
    </cdr:to>
    <cdr:sp macro="" textlink="">
      <cdr:nvSpPr>
        <cdr:cNvPr id="10" name="Left Brace 9"/>
        <cdr:cNvSpPr/>
      </cdr:nvSpPr>
      <cdr:spPr>
        <a:xfrm xmlns:a="http://schemas.openxmlformats.org/drawingml/2006/main" rot="16200000" flipH="1">
          <a:off x="4505960" y="1075055"/>
          <a:ext cx="133985" cy="586105"/>
        </a:xfrm>
        <a:prstGeom xmlns:a="http://schemas.openxmlformats.org/drawingml/2006/main" prst="leftBrace">
          <a:avLst/>
        </a:prstGeom>
        <a:noFill xmlns:a="http://schemas.openxmlformats.org/drawingml/2006/main"/>
        <a:ln xmlns:a="http://schemas.openxmlformats.org/drawingml/2006/main">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lv-LV"/>
        </a:p>
      </cdr:txBody>
    </cdr:sp>
  </cdr:relSizeAnchor>
</c:userShapes>
</file>

<file path=word/drawings/drawing4.xml><?xml version="1.0" encoding="utf-8"?>
<c:userShapes xmlns:c="http://schemas.openxmlformats.org/drawingml/2006/chart">
  <cdr:relSizeAnchor xmlns:cdr="http://schemas.openxmlformats.org/drawingml/2006/chartDrawing">
    <cdr:from>
      <cdr:x>0.6808</cdr:x>
      <cdr:y>0.01802</cdr:y>
    </cdr:from>
    <cdr:to>
      <cdr:x>0.9419</cdr:x>
      <cdr:y>0.21538</cdr:y>
    </cdr:to>
    <cdr:sp macro="" textlink="">
      <cdr:nvSpPr>
        <cdr:cNvPr id="2" name="Rounded Rectangle 1"/>
        <cdr:cNvSpPr/>
      </cdr:nvSpPr>
      <cdr:spPr>
        <a:xfrm xmlns:a="http://schemas.openxmlformats.org/drawingml/2006/main">
          <a:off x="3709203" y="55783"/>
          <a:ext cx="1422552" cy="610967"/>
        </a:xfrm>
        <a:prstGeom xmlns:a="http://schemas.openxmlformats.org/drawingml/2006/main" prst="roundRect">
          <a:avLst/>
        </a:prstGeom>
        <a:noFill xmlns:a="http://schemas.openxmlformats.org/drawingml/2006/main"/>
        <a:ln xmlns:a="http://schemas.openxmlformats.org/drawingml/2006/main">
          <a:solidFill>
            <a:schemeClr val="bg1">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+800,2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0.09525</cdr:x>
      <cdr:y>0.00756</cdr:y>
    </cdr:from>
    <cdr:to>
      <cdr:x>0.34877</cdr:x>
      <cdr:y>0.21197</cdr:y>
    </cdr:to>
    <cdr:sp macro="" textlink="">
      <cdr:nvSpPr>
        <cdr:cNvPr id="3" name="Rounded Rectangle 2"/>
        <cdr:cNvSpPr/>
      </cdr:nvSpPr>
      <cdr:spPr>
        <a:xfrm xmlns:a="http://schemas.openxmlformats.org/drawingml/2006/main">
          <a:off x="518964" y="23390"/>
          <a:ext cx="1381253" cy="632777"/>
        </a:xfrm>
        <a:prstGeom xmlns:a="http://schemas.openxmlformats.org/drawingml/2006/main" prst="roundRect">
          <a:avLst/>
        </a:prstGeom>
        <a:noFill xmlns:a="http://schemas.openxmlformats.org/drawingml/2006/main"/>
        <a:ln xmlns:a="http://schemas.openxmlformats.org/drawingml/2006/main">
          <a:solidFill>
            <a:schemeClr val="bg1">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+ 544,7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0.38912</cdr:x>
      <cdr:y>0.01575</cdr:y>
    </cdr:from>
    <cdr:to>
      <cdr:x>0.64264</cdr:x>
      <cdr:y>0.22222</cdr:y>
    </cdr:to>
    <cdr:sp macro="" textlink="">
      <cdr:nvSpPr>
        <cdr:cNvPr id="4" name="Rounded Rectangle 3"/>
        <cdr:cNvSpPr/>
      </cdr:nvSpPr>
      <cdr:spPr>
        <a:xfrm xmlns:a="http://schemas.openxmlformats.org/drawingml/2006/main">
          <a:off x="2120043" y="48756"/>
          <a:ext cx="1381253" cy="639161"/>
        </a:xfrm>
        <a:prstGeom xmlns:a="http://schemas.openxmlformats.org/drawingml/2006/main" prst="roundRect">
          <a:avLst/>
        </a:prstGeom>
        <a:noFill xmlns:a="http://schemas.openxmlformats.org/drawingml/2006/main"/>
        <a:ln xmlns:a="http://schemas.openxmlformats.org/drawingml/2006/main">
          <a:solidFill>
            <a:schemeClr val="bg1">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+550,1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0.223</cdr:x>
      <cdr:y>0.32287</cdr:y>
    </cdr:from>
    <cdr:to>
      <cdr:x>0.33134</cdr:x>
      <cdr:y>0.36615</cdr:y>
    </cdr:to>
    <cdr:sp macro="" textlink="">
      <cdr:nvSpPr>
        <cdr:cNvPr id="5" name="Left Brace 4"/>
        <cdr:cNvSpPr/>
      </cdr:nvSpPr>
      <cdr:spPr>
        <a:xfrm xmlns:a="http://schemas.openxmlformats.org/drawingml/2006/main" rot="16200000" flipH="1">
          <a:off x="1432571" y="773409"/>
          <a:ext cx="133982" cy="586134"/>
        </a:xfrm>
        <a:prstGeom xmlns:a="http://schemas.openxmlformats.org/drawingml/2006/main" prst="leftBrace">
          <a:avLst/>
        </a:prstGeom>
        <a:noFill xmlns:a="http://schemas.openxmlformats.org/drawingml/2006/main"/>
        <a:ln xmlns:a="http://schemas.openxmlformats.org/drawingml/2006/main">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0.21638</cdr:x>
      <cdr:y>0.24239</cdr:y>
    </cdr:from>
    <cdr:to>
      <cdr:x>0.34742</cdr:x>
      <cdr:y>0.32102</cdr:y>
    </cdr:to>
    <cdr:sp macro="" textlink="">
      <cdr:nvSpPr>
        <cdr:cNvPr id="6" name="TextBox 7"/>
        <cdr:cNvSpPr txBox="1"/>
      </cdr:nvSpPr>
      <cdr:spPr>
        <a:xfrm xmlns:a="http://schemas.openxmlformats.org/drawingml/2006/main">
          <a:off x="1170639" y="750343"/>
          <a:ext cx="708973" cy="24341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+28,9</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0.51408</cdr:x>
      <cdr:y>0.30851</cdr:y>
    </cdr:from>
    <cdr:to>
      <cdr:x>0.62242</cdr:x>
      <cdr:y>0.35179</cdr:y>
    </cdr:to>
    <cdr:sp macro="" textlink="">
      <cdr:nvSpPr>
        <cdr:cNvPr id="7" name="Left Brace 6"/>
        <cdr:cNvSpPr/>
      </cdr:nvSpPr>
      <cdr:spPr>
        <a:xfrm xmlns:a="http://schemas.openxmlformats.org/drawingml/2006/main" rot="16200000" flipH="1">
          <a:off x="3007371" y="728959"/>
          <a:ext cx="133982" cy="586134"/>
        </a:xfrm>
        <a:prstGeom xmlns:a="http://schemas.openxmlformats.org/drawingml/2006/main" prst="leftBrace">
          <a:avLst/>
        </a:prstGeom>
        <a:noFill xmlns:a="http://schemas.openxmlformats.org/drawingml/2006/main"/>
        <a:ln xmlns:a="http://schemas.openxmlformats.org/drawingml/2006/main">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0.81338</cdr:x>
      <cdr:y>0.29005</cdr:y>
    </cdr:from>
    <cdr:to>
      <cdr:x>0.92172</cdr:x>
      <cdr:y>0.33333</cdr:y>
    </cdr:to>
    <cdr:sp macro="" textlink="">
      <cdr:nvSpPr>
        <cdr:cNvPr id="8" name="Left Brace 7"/>
        <cdr:cNvSpPr/>
      </cdr:nvSpPr>
      <cdr:spPr>
        <a:xfrm xmlns:a="http://schemas.openxmlformats.org/drawingml/2006/main" rot="16200000" flipH="1">
          <a:off x="4626621" y="671809"/>
          <a:ext cx="133982" cy="586134"/>
        </a:xfrm>
        <a:prstGeom xmlns:a="http://schemas.openxmlformats.org/drawingml/2006/main" prst="leftBrace">
          <a:avLst/>
        </a:prstGeom>
        <a:noFill xmlns:a="http://schemas.openxmlformats.org/drawingml/2006/main"/>
        <a:ln xmlns:a="http://schemas.openxmlformats.org/drawingml/2006/main">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lv-LV"/>
        </a:p>
      </cdr:txBody>
    </cdr:sp>
  </cdr:relSizeAnchor>
  <cdr:relSizeAnchor xmlns:cdr="http://schemas.openxmlformats.org/drawingml/2006/chartDrawing">
    <cdr:from>
      <cdr:x>0.50746</cdr:x>
      <cdr:y>0.22803</cdr:y>
    </cdr:from>
    <cdr:to>
      <cdr:x>0.6385</cdr:x>
      <cdr:y>0.30666</cdr:y>
    </cdr:to>
    <cdr:sp macro="" textlink="">
      <cdr:nvSpPr>
        <cdr:cNvPr id="9" name="TextBox 7"/>
        <cdr:cNvSpPr txBox="1"/>
      </cdr:nvSpPr>
      <cdr:spPr>
        <a:xfrm xmlns:a="http://schemas.openxmlformats.org/drawingml/2006/main">
          <a:off x="2745439" y="705893"/>
          <a:ext cx="708973" cy="24341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+96,9</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0.81027</cdr:x>
      <cdr:y>0.21264</cdr:y>
    </cdr:from>
    <cdr:to>
      <cdr:x>0.94132</cdr:x>
      <cdr:y>0.29128</cdr:y>
    </cdr:to>
    <cdr:sp macro="" textlink="">
      <cdr:nvSpPr>
        <cdr:cNvPr id="10" name="TextBox 7"/>
        <cdr:cNvSpPr txBox="1"/>
      </cdr:nvSpPr>
      <cdr:spPr>
        <a:xfrm xmlns:a="http://schemas.openxmlformats.org/drawingml/2006/main">
          <a:off x="4383739" y="658268"/>
          <a:ext cx="708973" cy="24341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00B050"/>
              </a:solidFill>
              <a:latin typeface="Times New Roman" panose="02020603050405020304" pitchFamily="18" charset="0"/>
              <a:cs typeface="Times New Roman" panose="02020603050405020304" pitchFamily="18" charset="0"/>
            </a:rPr>
            <a:t>↑ +121,8</a:t>
          </a:r>
          <a:endParaRPr lang="lv-LV" sz="1100" b="1">
            <a:solidFill>
              <a:srgbClr val="00B050"/>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05C71-7E6C-4712-B4D0-3CBD36A26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54</Pages>
  <Words>87210</Words>
  <Characters>49710</Characters>
  <Application>Microsoft Office Word</Application>
  <DocSecurity>0</DocSecurity>
  <Lines>414</Lines>
  <Paragraphs>273</Paragraphs>
  <ScaleCrop>false</ScaleCrop>
  <HeadingPairs>
    <vt:vector size="2" baseType="variant">
      <vt:variant>
        <vt:lpstr>Title</vt:lpstr>
      </vt:variant>
      <vt:variant>
        <vt:i4>1</vt:i4>
      </vt:variant>
    </vt:vector>
  </HeadingPairs>
  <TitlesOfParts>
    <vt:vector size="1" baseType="lpstr">
      <vt:lpstr>„Par makroekonomisko rādītāju, ieņēmumu un vispārējās valdības budžeta bilances prognozēm 2023.-2025.gadā”</vt:lpstr>
    </vt:vector>
  </TitlesOfParts>
  <Company>Finanšu ministrija</Company>
  <LinksUpToDate>false</LinksUpToDate>
  <CharactersWithSpaces>136647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makroekonomisko rādītāju, ieņēmumu un vispārējās valdības budžeta bilances prognozēm 2023.-2025.gadā”</dc:title>
  <dc:subject>Informatīvais ziņojums</dc:subject>
  <dc:creator>Kristīne Gvarovska</dc:creator>
  <cp:keywords/>
  <dc:description>Kristīne Gavrovska_x000d_
26631915, Kristīne.Gavrovska@fm.gov.lv</dc:description>
  <cp:lastModifiedBy>Kristīne Gavrovska</cp:lastModifiedBy>
  <cp:revision>27</cp:revision>
  <cp:lastPrinted>2019-08-14T12:23:00Z</cp:lastPrinted>
  <dcterms:created xsi:type="dcterms:W3CDTF">2022-12-17T21:04:00Z</dcterms:created>
  <dcterms:modified xsi:type="dcterms:W3CDTF">2023-01-05T08:50:00Z</dcterms:modified>
</cp:coreProperties>
</file>