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F3983" w14:textId="755A2E8E" w:rsidR="00EC6282" w:rsidRDefault="00EC6282" w:rsidP="004B642E">
      <w:pPr>
        <w:jc w:val="center"/>
        <w:rPr>
          <w:rFonts w:eastAsia="Times New Roman" w:cs="Times New Roman"/>
          <w:b/>
          <w:bCs/>
          <w:szCs w:val="24"/>
        </w:rPr>
      </w:pPr>
      <w:r w:rsidRPr="004B642E">
        <w:rPr>
          <w:b/>
          <w:bCs/>
        </w:rPr>
        <w:t>Informatīvais ziņojums “</w:t>
      </w:r>
      <w:r w:rsidR="00B3692E" w:rsidRPr="004B642E">
        <w:rPr>
          <w:b/>
          <w:bCs/>
        </w:rPr>
        <w:t xml:space="preserve">Par </w:t>
      </w:r>
      <w:r w:rsidR="004B642E" w:rsidRPr="004B642E">
        <w:rPr>
          <w:b/>
          <w:bCs/>
        </w:rPr>
        <w:t xml:space="preserve">priekšlikumiem kapitāla tirgus attīstībai un </w:t>
      </w:r>
      <w:r w:rsidR="004B642E" w:rsidRPr="004B642E">
        <w:rPr>
          <w:rFonts w:eastAsia="Times New Roman" w:cs="Times New Roman"/>
          <w:b/>
          <w:bCs/>
          <w:szCs w:val="24"/>
        </w:rPr>
        <w:t>valsts un pašvaldību kapitālsabiedrībām, kas virzāmas sākotnējam publiskam piedāvājumam”</w:t>
      </w:r>
    </w:p>
    <w:p w14:paraId="5CA6F1B6" w14:textId="77777777" w:rsidR="004B642E" w:rsidRPr="004B642E" w:rsidRDefault="004B642E" w:rsidP="004B642E">
      <w:pPr>
        <w:jc w:val="center"/>
        <w:rPr>
          <w:b/>
          <w:bCs/>
        </w:rPr>
      </w:pPr>
    </w:p>
    <w:p w14:paraId="53B13F3D" w14:textId="72918BAE" w:rsidR="7828EF59" w:rsidRPr="00D61C80" w:rsidRDefault="00EC6282" w:rsidP="7FFFCD9B">
      <w:pPr>
        <w:spacing w:line="259" w:lineRule="auto"/>
        <w:rPr>
          <w:b/>
          <w:bCs/>
        </w:rPr>
      </w:pPr>
      <w:r>
        <w:rPr>
          <w:rFonts w:eastAsia="Times New Roman" w:cs="Times New Roman"/>
          <w:b/>
          <w:bCs/>
          <w:szCs w:val="24"/>
        </w:rPr>
        <w:t xml:space="preserve">Ievads </w:t>
      </w:r>
      <w:r w:rsidR="00D61C80" w:rsidRPr="00D61C80">
        <w:rPr>
          <w:rFonts w:eastAsia="Times New Roman" w:cs="Times New Roman"/>
          <w:b/>
          <w:bCs/>
          <w:szCs w:val="24"/>
        </w:rPr>
        <w:t xml:space="preserve"> </w:t>
      </w:r>
    </w:p>
    <w:p w14:paraId="127AF164" w14:textId="77777777" w:rsidR="00D61C80" w:rsidRDefault="00D61C80" w:rsidP="00D61C80">
      <w:pPr>
        <w:pStyle w:val="ListParagraph"/>
        <w:spacing w:line="259" w:lineRule="auto"/>
        <w:jc w:val="both"/>
        <w:rPr>
          <w:rFonts w:eastAsia="Times New Roman" w:cs="Times New Roman"/>
          <w:szCs w:val="24"/>
        </w:rPr>
      </w:pPr>
    </w:p>
    <w:p w14:paraId="4A3DEDA5" w14:textId="6BC8A65A" w:rsidR="002362A8" w:rsidRDefault="53BD5413" w:rsidP="004F41F3">
      <w:pPr>
        <w:pStyle w:val="ListParagraph"/>
        <w:spacing w:line="259" w:lineRule="auto"/>
        <w:ind w:left="0" w:firstLine="851"/>
        <w:jc w:val="both"/>
        <w:rPr>
          <w:rFonts w:eastAsia="Times New Roman" w:cs="Times New Roman"/>
        </w:rPr>
      </w:pPr>
      <w:r w:rsidRPr="43893D6D">
        <w:rPr>
          <w:rFonts w:eastAsia="Times New Roman" w:cs="Times New Roman"/>
        </w:rPr>
        <w:t xml:space="preserve">Informatīvā ziņojuma mērķis ir sniegt informāciju par </w:t>
      </w:r>
      <w:r w:rsidR="5B36B6CD" w:rsidRPr="43893D6D">
        <w:rPr>
          <w:rFonts w:eastAsia="Times New Roman" w:cs="Times New Roman"/>
        </w:rPr>
        <w:t xml:space="preserve">iepriekš izvirzīto </w:t>
      </w:r>
      <w:r w:rsidRPr="43893D6D">
        <w:rPr>
          <w:rFonts w:eastAsia="Times New Roman" w:cs="Times New Roman"/>
        </w:rPr>
        <w:t xml:space="preserve">kapitāla tirgus </w:t>
      </w:r>
      <w:r w:rsidR="6A537EC4" w:rsidRPr="43893D6D">
        <w:rPr>
          <w:rFonts w:eastAsia="Times New Roman" w:cs="Times New Roman"/>
        </w:rPr>
        <w:t xml:space="preserve">attīstības </w:t>
      </w:r>
      <w:r w:rsidRPr="43893D6D">
        <w:rPr>
          <w:rFonts w:eastAsia="Times New Roman" w:cs="Times New Roman"/>
        </w:rPr>
        <w:t>mērķu sasniegšanu</w:t>
      </w:r>
      <w:r w:rsidR="4A37F3B4" w:rsidRPr="43893D6D">
        <w:rPr>
          <w:rFonts w:eastAsia="Times New Roman" w:cs="Times New Roman"/>
        </w:rPr>
        <w:t xml:space="preserve"> un</w:t>
      </w:r>
      <w:r w:rsidR="6C4A83CE" w:rsidRPr="43893D6D">
        <w:rPr>
          <w:rFonts w:eastAsia="Times New Roman" w:cs="Times New Roman"/>
        </w:rPr>
        <w:t xml:space="preserve"> </w:t>
      </w:r>
      <w:r w:rsidRPr="43893D6D">
        <w:rPr>
          <w:rFonts w:eastAsia="Times New Roman" w:cs="Times New Roman"/>
        </w:rPr>
        <w:t>statusa informāciju par valsts un pašvaldību kapitālsabiedrību virzību sākotnēj</w:t>
      </w:r>
      <w:r w:rsidR="58C0EE03" w:rsidRPr="43893D6D">
        <w:rPr>
          <w:rFonts w:eastAsia="Times New Roman" w:cs="Times New Roman"/>
        </w:rPr>
        <w:t>am</w:t>
      </w:r>
      <w:r w:rsidRPr="43893D6D">
        <w:rPr>
          <w:rFonts w:eastAsia="Times New Roman" w:cs="Times New Roman"/>
        </w:rPr>
        <w:t xml:space="preserve"> publisk</w:t>
      </w:r>
      <w:r w:rsidR="1060D8E4" w:rsidRPr="43893D6D">
        <w:rPr>
          <w:rFonts w:eastAsia="Times New Roman" w:cs="Times New Roman"/>
        </w:rPr>
        <w:t>am</w:t>
      </w:r>
      <w:r w:rsidRPr="43893D6D">
        <w:rPr>
          <w:rFonts w:eastAsia="Times New Roman" w:cs="Times New Roman"/>
        </w:rPr>
        <w:t xml:space="preserve"> piedāvājum</w:t>
      </w:r>
      <w:r w:rsidR="0C0668E0" w:rsidRPr="43893D6D">
        <w:rPr>
          <w:rFonts w:eastAsia="Times New Roman" w:cs="Times New Roman"/>
        </w:rPr>
        <w:t>am</w:t>
      </w:r>
      <w:r w:rsidRPr="43893D6D">
        <w:rPr>
          <w:rFonts w:eastAsia="Times New Roman" w:cs="Times New Roman"/>
        </w:rPr>
        <w:t>, kā arī sniegt citus priekšlikumus, kas veicinātu kapitāla tirgus attīstību</w:t>
      </w:r>
      <w:r w:rsidR="64367D86" w:rsidRPr="43893D6D">
        <w:rPr>
          <w:rFonts w:eastAsia="Times New Roman" w:cs="Times New Roman"/>
        </w:rPr>
        <w:t xml:space="preserve"> un virzību uz iepriekš izvirzīto mērķu sasniegšanu</w:t>
      </w:r>
      <w:r w:rsidRPr="43893D6D">
        <w:rPr>
          <w:rFonts w:eastAsia="Times New Roman" w:cs="Times New Roman"/>
        </w:rPr>
        <w:t xml:space="preserve">.  </w:t>
      </w:r>
    </w:p>
    <w:p w14:paraId="35DE6245" w14:textId="1E2B1C08" w:rsidR="00BB25B5" w:rsidRPr="00BB25B5" w:rsidRDefault="002D7B21" w:rsidP="004F41F3">
      <w:pPr>
        <w:pStyle w:val="ListParagraph"/>
        <w:spacing w:line="259" w:lineRule="auto"/>
        <w:ind w:left="0" w:firstLine="851"/>
        <w:jc w:val="both"/>
        <w:rPr>
          <w:rFonts w:eastAsia="Times New Roman" w:cs="Times New Roman"/>
        </w:rPr>
      </w:pPr>
      <w:r w:rsidRPr="47A2AFF5">
        <w:rPr>
          <w:rFonts w:eastAsia="Times New Roman" w:cs="Times New Roman"/>
        </w:rPr>
        <w:t xml:space="preserve">2023.gada 16.maijā Ministru kabinets </w:t>
      </w:r>
      <w:r w:rsidRPr="65F841E6">
        <w:rPr>
          <w:rFonts w:eastAsia="Times New Roman" w:cs="Times New Roman"/>
        </w:rPr>
        <w:t>izskatīja</w:t>
      </w:r>
      <w:r w:rsidRPr="47A2AFF5">
        <w:rPr>
          <w:rFonts w:eastAsia="Times New Roman" w:cs="Times New Roman"/>
        </w:rPr>
        <w:t xml:space="preserve"> informatīvo ziņojumu “Par Latvijas kapitāla tirgus tālāku attīstību” (prot. Nr.26, 27§)</w:t>
      </w:r>
      <w:r w:rsidRPr="47A2AFF5">
        <w:rPr>
          <w:rFonts w:eastAsia="Times New Roman" w:cs="Times New Roman"/>
          <w:vertAlign w:val="superscript"/>
        </w:rPr>
        <w:footnoteReference w:id="2"/>
      </w:r>
      <w:r w:rsidRPr="47A2AFF5">
        <w:rPr>
          <w:rFonts w:eastAsia="Times New Roman" w:cs="Times New Roman"/>
        </w:rPr>
        <w:t xml:space="preserve"> (turpmāk - informatīvais ziņojums). Ņemot vērā informatīvajā ziņojumā izklāstīto kapitāla tirgus attīstības līmeni un attīstīta kapitāla tirgus devumu ekonomikas izaugsmei, Ministru kabinets noteica kapitāla tirgus attīstības mērķi vidējam termiņam – </w:t>
      </w:r>
      <w:r w:rsidRPr="47A2AFF5">
        <w:rPr>
          <w:rFonts w:eastAsia="Times New Roman" w:cs="Times New Roman"/>
          <w:b/>
        </w:rPr>
        <w:t>sasniegt akciju tirgus kapitalizācija</w:t>
      </w:r>
      <w:r w:rsidR="00B3692E" w:rsidRPr="47A2AFF5">
        <w:rPr>
          <w:rFonts w:eastAsia="Times New Roman" w:cs="Times New Roman"/>
          <w:b/>
        </w:rPr>
        <w:t>s</w:t>
      </w:r>
      <w:r w:rsidRPr="47A2AFF5">
        <w:rPr>
          <w:rFonts w:eastAsia="Times New Roman" w:cs="Times New Roman"/>
          <w:b/>
        </w:rPr>
        <w:t xml:space="preserve"> apmēru 9% no iekšzemes kopprodukta (turpmāk – IKP) 2027. gadā</w:t>
      </w:r>
      <w:r w:rsidRPr="47A2AFF5">
        <w:rPr>
          <w:rFonts w:eastAsia="Times New Roman" w:cs="Times New Roman"/>
        </w:rPr>
        <w:t xml:space="preserve">, lai veicinātu finansējuma pieejamību ekonomikas izaugsmei un sniegtu ieguldījumu iespējas, nodrošinot augsta līmeņa aizsardzību ieguldītājiem. </w:t>
      </w:r>
    </w:p>
    <w:p w14:paraId="0ACD13DB" w14:textId="77777777" w:rsidR="00030717" w:rsidRDefault="00217640" w:rsidP="00D724C2">
      <w:pPr>
        <w:pStyle w:val="ListParagraph"/>
        <w:spacing w:line="259" w:lineRule="auto"/>
        <w:ind w:left="0" w:firstLine="851"/>
        <w:jc w:val="both"/>
        <w:rPr>
          <w:rFonts w:eastAsia="Times New Roman" w:cs="Times New Roman"/>
        </w:rPr>
      </w:pPr>
      <w:r w:rsidRPr="43893D6D">
        <w:rPr>
          <w:rFonts w:eastAsia="Times New Roman" w:cs="Times New Roman"/>
        </w:rPr>
        <w:t>Savukārt 2024.gada 9.aprīli Ministru kabinets izskatīja informatīvo ziņojumu</w:t>
      </w:r>
      <w:r w:rsidR="00F04109" w:rsidRPr="43893D6D">
        <w:rPr>
          <w:rFonts w:eastAsia="Times New Roman" w:cs="Times New Roman"/>
        </w:rPr>
        <w:t xml:space="preserve"> “Par valsts un pašvaldību kapitālsabiedrībām, kas virzāmas sākotnējam publiskam piedāvājumam”</w:t>
      </w:r>
      <w:r w:rsidR="0074075B" w:rsidRPr="43893D6D">
        <w:rPr>
          <w:rFonts w:eastAsia="Times New Roman" w:cs="Times New Roman"/>
        </w:rPr>
        <w:t xml:space="preserve"> (prot</w:t>
      </w:r>
      <w:r w:rsidR="009472A2" w:rsidRPr="43893D6D">
        <w:rPr>
          <w:rFonts w:eastAsia="Times New Roman" w:cs="Times New Roman"/>
        </w:rPr>
        <w:t xml:space="preserve">. </w:t>
      </w:r>
      <w:r w:rsidR="0074075B" w:rsidRPr="43893D6D">
        <w:rPr>
          <w:rFonts w:eastAsia="Times New Roman" w:cs="Times New Roman"/>
        </w:rPr>
        <w:t>Nr. 15 70§)</w:t>
      </w:r>
      <w:r w:rsidR="0072059E" w:rsidRPr="43893D6D">
        <w:rPr>
          <w:rFonts w:eastAsia="Times New Roman" w:cs="Times New Roman"/>
        </w:rPr>
        <w:t xml:space="preserve">, kurā tika sniegti </w:t>
      </w:r>
      <w:r w:rsidR="0072059E" w:rsidRPr="43893D6D">
        <w:rPr>
          <w:rFonts w:eastAsia="Times New Roman" w:cs="Times New Roman"/>
          <w:b/>
          <w:bCs/>
        </w:rPr>
        <w:t>priekšlikumi</w:t>
      </w:r>
      <w:r w:rsidR="0074075B" w:rsidRPr="43893D6D">
        <w:rPr>
          <w:rFonts w:eastAsia="Times New Roman" w:cs="Times New Roman"/>
          <w:b/>
          <w:bCs/>
        </w:rPr>
        <w:t xml:space="preserve"> par </w:t>
      </w:r>
      <w:r w:rsidR="0072059E" w:rsidRPr="43893D6D">
        <w:rPr>
          <w:rFonts w:eastAsia="Times New Roman" w:cs="Times New Roman"/>
          <w:b/>
          <w:bCs/>
        </w:rPr>
        <w:t>valsts un pašvaldību kapitālsabiedrīb</w:t>
      </w:r>
      <w:r w:rsidR="0074075B" w:rsidRPr="43893D6D">
        <w:rPr>
          <w:rFonts w:eastAsia="Times New Roman" w:cs="Times New Roman"/>
          <w:b/>
          <w:bCs/>
        </w:rPr>
        <w:t>ām</w:t>
      </w:r>
      <w:r w:rsidR="0072059E" w:rsidRPr="43893D6D">
        <w:rPr>
          <w:rFonts w:eastAsia="Times New Roman" w:cs="Times New Roman"/>
        </w:rPr>
        <w:t xml:space="preserve"> (turpmāk – sabiedrības), kuras, ņemot vērā  finanšu kapacitātes un brieduma izvērtējumu saistībā ar sabiedrības attīstības mērķiem, </w:t>
      </w:r>
      <w:r w:rsidR="0072059E" w:rsidRPr="43893D6D">
        <w:rPr>
          <w:rFonts w:eastAsia="Times New Roman" w:cs="Times New Roman"/>
          <w:b/>
          <w:bCs/>
        </w:rPr>
        <w:t>virzāmas sākotnējam publiskam piedāvājumam</w:t>
      </w:r>
      <w:r w:rsidR="0072059E" w:rsidRPr="43893D6D">
        <w:rPr>
          <w:rFonts w:eastAsia="Times New Roman" w:cs="Times New Roman"/>
        </w:rPr>
        <w:t>.</w:t>
      </w:r>
      <w:r w:rsidR="0074075B" w:rsidRPr="43893D6D">
        <w:rPr>
          <w:rFonts w:eastAsia="Times New Roman" w:cs="Times New Roman"/>
        </w:rPr>
        <w:t xml:space="preserve"> Vienlaikus </w:t>
      </w:r>
      <w:r w:rsidR="00B52DE5" w:rsidRPr="43893D6D">
        <w:rPr>
          <w:rFonts w:eastAsia="Times New Roman" w:cs="Times New Roman"/>
        </w:rPr>
        <w:t xml:space="preserve">Finanšu ministrijai </w:t>
      </w:r>
      <w:r w:rsidR="0074075B" w:rsidRPr="43893D6D">
        <w:rPr>
          <w:rFonts w:eastAsia="Times New Roman" w:cs="Times New Roman"/>
        </w:rPr>
        <w:t xml:space="preserve">tika uzdots </w:t>
      </w:r>
      <w:r w:rsidR="00B52DE5" w:rsidRPr="43893D6D">
        <w:rPr>
          <w:rFonts w:eastAsia="Times New Roman" w:cs="Times New Roman"/>
        </w:rPr>
        <w:t>līdz 2025. gada 1. aprīlim iesniegt izskatīšanai Ministru kabinetā informatīvo ziņojumu par statusu attiecībā uz kapitāla tirgus attīstības mērķa sasniegšanu un par papildu priekšlikumiem</w:t>
      </w:r>
      <w:r w:rsidR="49994666" w:rsidRPr="43893D6D">
        <w:rPr>
          <w:rFonts w:eastAsia="Times New Roman" w:cs="Times New Roman"/>
        </w:rPr>
        <w:t>,</w:t>
      </w:r>
      <w:r w:rsidR="00B52DE5" w:rsidRPr="43893D6D">
        <w:rPr>
          <w:rFonts w:eastAsia="Times New Roman" w:cs="Times New Roman"/>
        </w:rPr>
        <w:t xml:space="preserve"> </w:t>
      </w:r>
      <w:r w:rsidR="49994666" w:rsidRPr="43893D6D">
        <w:rPr>
          <w:rFonts w:eastAsia="Times New Roman" w:cs="Times New Roman"/>
        </w:rPr>
        <w:t>kas būtu veicami, lai nodrošinātu virzību uz kapitāla tirgus attīstību un izvirzītā</w:t>
      </w:r>
      <w:r w:rsidR="00B52DE5" w:rsidRPr="43893D6D">
        <w:rPr>
          <w:rFonts w:eastAsia="Times New Roman" w:cs="Times New Roman"/>
        </w:rPr>
        <w:t xml:space="preserve">  mērķa sasniegšan</w:t>
      </w:r>
      <w:r w:rsidR="4E8EEF8F" w:rsidRPr="43893D6D">
        <w:rPr>
          <w:rFonts w:eastAsia="Times New Roman" w:cs="Times New Roman"/>
        </w:rPr>
        <w:t>u</w:t>
      </w:r>
      <w:r w:rsidR="00B52DE5" w:rsidRPr="43893D6D">
        <w:rPr>
          <w:rFonts w:eastAsia="Times New Roman" w:cs="Times New Roman"/>
        </w:rPr>
        <w:t>.</w:t>
      </w:r>
      <w:r w:rsidR="00030717" w:rsidRPr="00030717">
        <w:rPr>
          <w:rFonts w:eastAsia="Times New Roman" w:cs="Times New Roman"/>
        </w:rPr>
        <w:t xml:space="preserve"> </w:t>
      </w:r>
    </w:p>
    <w:p w14:paraId="5C07B96A" w14:textId="55134CFC" w:rsidR="00B52DE5" w:rsidRDefault="00030717" w:rsidP="00D724C2">
      <w:pPr>
        <w:pStyle w:val="ListParagraph"/>
        <w:spacing w:line="259" w:lineRule="auto"/>
        <w:ind w:left="0" w:firstLine="851"/>
        <w:jc w:val="both"/>
        <w:rPr>
          <w:rFonts w:eastAsia="Times New Roman" w:cs="Times New Roman"/>
        </w:rPr>
      </w:pPr>
      <w:r>
        <w:rPr>
          <w:rFonts w:eastAsia="Times New Roman" w:cs="Times New Roman"/>
        </w:rPr>
        <w:t xml:space="preserve">Ziņojuma izstrādē tika ņemta vērā arī </w:t>
      </w:r>
      <w:r w:rsidRPr="00401898">
        <w:rPr>
          <w:rFonts w:eastAsia="Times New Roman" w:cs="Times New Roman"/>
        </w:rPr>
        <w:t>Latvijas Bankas "10 soļu programm</w:t>
      </w:r>
      <w:r>
        <w:rPr>
          <w:rFonts w:eastAsia="Times New Roman" w:cs="Times New Roman"/>
        </w:rPr>
        <w:t>a</w:t>
      </w:r>
      <w:r w:rsidRPr="00401898">
        <w:rPr>
          <w:rFonts w:eastAsia="Times New Roman" w:cs="Times New Roman"/>
        </w:rPr>
        <w:t xml:space="preserve"> Latvijas kapitāla tirgus attīstībai 2.0".</w:t>
      </w:r>
    </w:p>
    <w:p w14:paraId="21739D64" w14:textId="77777777" w:rsidR="00D529D6" w:rsidRPr="00D85BC4" w:rsidRDefault="00D529D6" w:rsidP="00D529D6">
      <w:pPr>
        <w:pStyle w:val="ListParagraph"/>
        <w:spacing w:line="259" w:lineRule="auto"/>
        <w:ind w:left="0" w:firstLine="851"/>
        <w:jc w:val="both"/>
        <w:rPr>
          <w:rFonts w:eastAsia="Times New Roman" w:cs="Times New Roman"/>
        </w:rPr>
      </w:pPr>
      <w:r>
        <w:rPr>
          <w:rFonts w:eastAsia="Times New Roman" w:cs="Times New Roman"/>
        </w:rPr>
        <w:t>Atbilstoši Ministru kabineta 2025.gada 13.maija sēdes protokollēmuma (prot.Nr.19 50.</w:t>
      </w:r>
      <w:r w:rsidRPr="00D85BC4">
        <w:rPr>
          <w:rFonts w:eastAsia="Times New Roman" w:cs="Times New Roman"/>
        </w:rPr>
        <w:t>§</w:t>
      </w:r>
      <w:r>
        <w:rPr>
          <w:rFonts w:eastAsia="Times New Roman" w:cs="Times New Roman"/>
        </w:rPr>
        <w:t>) 3.punktam noteikts, ka viens</w:t>
      </w:r>
      <w:r w:rsidRPr="00D85BC4">
        <w:rPr>
          <w:rFonts w:eastAsia="Times New Roman" w:cs="Times New Roman"/>
        </w:rPr>
        <w:t xml:space="preserve"> no valsts bruto parāda samazināšanas pasākumiem </w:t>
      </w:r>
      <w:r>
        <w:rPr>
          <w:rFonts w:eastAsia="Times New Roman" w:cs="Times New Roman"/>
        </w:rPr>
        <w:t>ir</w:t>
      </w:r>
      <w:r w:rsidRPr="00D85BC4">
        <w:rPr>
          <w:rFonts w:eastAsia="Times New Roman" w:cs="Times New Roman"/>
        </w:rPr>
        <w:t xml:space="preserve"> valsts kapitālsabiedrību mazākuma daļas, kas ir ne mazāk kā 10%, atsavināšan</w:t>
      </w:r>
      <w:r>
        <w:rPr>
          <w:rFonts w:eastAsia="Times New Roman" w:cs="Times New Roman"/>
        </w:rPr>
        <w:t>a</w:t>
      </w:r>
      <w:r w:rsidRPr="00D85BC4">
        <w:rPr>
          <w:rFonts w:eastAsia="Times New Roman" w:cs="Times New Roman"/>
        </w:rPr>
        <w:t xml:space="preserve"> publiskajā piedāvājumā līdz 2029. gadam, tajā skaitā attiecībā uz tām komerciālajām valsts kapitālsabiedrībām, kurām atbilstoši normatīvajam regulējumam noteikts privatizācijas aizliegums. </w:t>
      </w:r>
      <w:r>
        <w:rPr>
          <w:rFonts w:eastAsia="Times New Roman" w:cs="Times New Roman"/>
        </w:rPr>
        <w:t xml:space="preserve">Ar minēto protokollēmumu </w:t>
      </w:r>
      <w:r w:rsidRPr="00D85BC4">
        <w:rPr>
          <w:rFonts w:eastAsia="Times New Roman" w:cs="Times New Roman"/>
        </w:rPr>
        <w:t xml:space="preserve">Finanšu ministrijai </w:t>
      </w:r>
      <w:r>
        <w:rPr>
          <w:rFonts w:eastAsia="Times New Roman" w:cs="Times New Roman"/>
        </w:rPr>
        <w:t xml:space="preserve">uzdots </w:t>
      </w:r>
      <w:r w:rsidRPr="00D85BC4">
        <w:rPr>
          <w:rFonts w:eastAsia="Times New Roman" w:cs="Times New Roman"/>
        </w:rPr>
        <w:t>līdz 2025. gada 30. jūnijam iesniegt izskatīšanai Ministru kabinetā priekšlikumus turpmākajai rīcībai šajā punktā noteiktā uzdevuma īstenošanai, tajā skaitā attiecībā uz grozījumu izdarīšanu normatīvajos aktos par privatizācijas aizlieguma atcelšanu.</w:t>
      </w:r>
    </w:p>
    <w:p w14:paraId="5EB219D9" w14:textId="77777777" w:rsidR="00D529D6" w:rsidRPr="00BB25B5" w:rsidRDefault="00D529D6" w:rsidP="00D724C2">
      <w:pPr>
        <w:pStyle w:val="ListParagraph"/>
        <w:spacing w:line="259" w:lineRule="auto"/>
        <w:ind w:left="0" w:firstLine="851"/>
        <w:jc w:val="both"/>
        <w:rPr>
          <w:rFonts w:eastAsia="Times New Roman" w:cs="Times New Roman"/>
        </w:rPr>
      </w:pPr>
    </w:p>
    <w:p w14:paraId="77FEACE2" w14:textId="77777777" w:rsidR="00BB25B5" w:rsidRDefault="00BB25B5" w:rsidP="00D61C80">
      <w:pPr>
        <w:pStyle w:val="ListParagraph"/>
        <w:spacing w:line="259" w:lineRule="auto"/>
        <w:jc w:val="both"/>
        <w:rPr>
          <w:rFonts w:eastAsia="Times New Roman" w:cs="Times New Roman"/>
          <w:szCs w:val="24"/>
        </w:rPr>
      </w:pPr>
    </w:p>
    <w:p w14:paraId="55755356" w14:textId="12770E9A" w:rsidR="7828EF59" w:rsidRPr="00EC6282" w:rsidRDefault="18BE27EF" w:rsidP="7FFFCD9B">
      <w:pPr>
        <w:pStyle w:val="ListParagraph"/>
        <w:numPr>
          <w:ilvl w:val="0"/>
          <w:numId w:val="4"/>
        </w:numPr>
        <w:spacing w:line="259" w:lineRule="auto"/>
        <w:jc w:val="both"/>
        <w:rPr>
          <w:rFonts w:eastAsia="Times New Roman" w:cs="Times New Roman"/>
          <w:b/>
        </w:rPr>
      </w:pPr>
      <w:r w:rsidRPr="359A5C1A">
        <w:rPr>
          <w:rFonts w:eastAsia="Times New Roman" w:cs="Times New Roman"/>
          <w:b/>
          <w:bCs/>
        </w:rPr>
        <w:lastRenderedPageBreak/>
        <w:t>E</w:t>
      </w:r>
      <w:r w:rsidR="05744932" w:rsidRPr="359A5C1A">
        <w:rPr>
          <w:rFonts w:eastAsia="Times New Roman" w:cs="Times New Roman"/>
          <w:b/>
          <w:bCs/>
        </w:rPr>
        <w:t xml:space="preserve">iropas </w:t>
      </w:r>
      <w:r w:rsidRPr="359A5C1A">
        <w:rPr>
          <w:rFonts w:eastAsia="Times New Roman" w:cs="Times New Roman"/>
          <w:b/>
          <w:bCs/>
        </w:rPr>
        <w:t>S</w:t>
      </w:r>
      <w:r w:rsidR="4194BDC3" w:rsidRPr="359A5C1A">
        <w:rPr>
          <w:rFonts w:eastAsia="Times New Roman" w:cs="Times New Roman"/>
          <w:b/>
          <w:bCs/>
        </w:rPr>
        <w:t>avienības</w:t>
      </w:r>
      <w:r w:rsidRPr="359A5C1A">
        <w:rPr>
          <w:rFonts w:eastAsia="Times New Roman" w:cs="Times New Roman"/>
          <w:b/>
        </w:rPr>
        <w:t xml:space="preserve"> līmeņa iniciatīvas un prioritātes </w:t>
      </w:r>
      <w:r w:rsidR="68A1E209" w:rsidRPr="359A5C1A">
        <w:rPr>
          <w:rFonts w:eastAsia="Times New Roman" w:cs="Times New Roman"/>
          <w:b/>
          <w:bCs/>
        </w:rPr>
        <w:t>vienota kapitāla tirgus izveidei</w:t>
      </w:r>
    </w:p>
    <w:p w14:paraId="53752AEA" w14:textId="112B8072" w:rsidR="359A5C1A" w:rsidRPr="009F5182" w:rsidRDefault="359A5C1A" w:rsidP="359A5C1A">
      <w:pPr>
        <w:pStyle w:val="ListParagraph"/>
        <w:spacing w:line="259" w:lineRule="auto"/>
        <w:jc w:val="both"/>
        <w:rPr>
          <w:rFonts w:eastAsia="Times New Roman" w:cs="Times New Roman"/>
          <w:szCs w:val="24"/>
        </w:rPr>
      </w:pPr>
    </w:p>
    <w:p w14:paraId="1C0E86A4" w14:textId="772E7960" w:rsidR="00804735" w:rsidRPr="009F5182" w:rsidRDefault="171E18C5" w:rsidP="009F5182">
      <w:pPr>
        <w:ind w:firstLine="720"/>
        <w:jc w:val="both"/>
      </w:pPr>
      <w:r w:rsidRPr="00A31344">
        <w:rPr>
          <w:szCs w:val="24"/>
        </w:rPr>
        <w:t xml:space="preserve">Latvijas valdības iesāktais darbs kapitāla tirgus attīstības veicināšanā, iet kopsolī ar Eiropas Savienības līmenī izvirzītajām </w:t>
      </w:r>
      <w:r w:rsidR="42613F35" w:rsidRPr="00A31344">
        <w:rPr>
          <w:szCs w:val="24"/>
        </w:rPr>
        <w:t>p</w:t>
      </w:r>
      <w:r w:rsidRPr="00A31344">
        <w:rPr>
          <w:szCs w:val="24"/>
        </w:rPr>
        <w:t xml:space="preserve">rioritātēm </w:t>
      </w:r>
      <w:r w:rsidR="55BA094D" w:rsidRPr="00A31344">
        <w:rPr>
          <w:szCs w:val="24"/>
        </w:rPr>
        <w:t>uzkrājumu un investīciju</w:t>
      </w:r>
      <w:r w:rsidRPr="00A31344">
        <w:rPr>
          <w:szCs w:val="24"/>
        </w:rPr>
        <w:t xml:space="preserve"> savienības izveidē, lai veicinātu finansējuma pieejamību zaļās un digitālās pārejas finansēšanai. Šobrīd, ņemot vērā ģeopolitiskos izaicinājumus </w:t>
      </w:r>
      <w:r w:rsidR="00BC3129" w:rsidRPr="00A31344">
        <w:rPr>
          <w:szCs w:val="24"/>
        </w:rPr>
        <w:t xml:space="preserve">2025.gada 19.martā Eiropas Komisijas </w:t>
      </w:r>
      <w:r w:rsidR="0058720F" w:rsidRPr="00A31344">
        <w:rPr>
          <w:szCs w:val="24"/>
        </w:rPr>
        <w:t>nāca klajā ar</w:t>
      </w:r>
      <w:r w:rsidR="002E7C0C" w:rsidRPr="00A31344">
        <w:rPr>
          <w:szCs w:val="24"/>
        </w:rPr>
        <w:t xml:space="preserve"> </w:t>
      </w:r>
      <w:r w:rsidR="002E7C0C" w:rsidRPr="009F5182">
        <w:rPr>
          <w:szCs w:val="24"/>
        </w:rPr>
        <w:t>Eiropas aizsardzības balt</w:t>
      </w:r>
      <w:r w:rsidR="00DB37A3" w:rsidRPr="00A31344">
        <w:rPr>
          <w:szCs w:val="24"/>
        </w:rPr>
        <w:t>o</w:t>
      </w:r>
      <w:r w:rsidR="002E7C0C" w:rsidRPr="009F5182">
        <w:rPr>
          <w:szCs w:val="24"/>
        </w:rPr>
        <w:t xml:space="preserve"> grāmatu </w:t>
      </w:r>
      <w:r w:rsidR="002E7C0C" w:rsidRPr="009F5182">
        <w:rPr>
          <w:i/>
          <w:iCs/>
          <w:szCs w:val="24"/>
        </w:rPr>
        <w:t>“</w:t>
      </w:r>
      <w:hyperlink r:id="rId11" w:history="1">
        <w:r w:rsidR="002E7C0C" w:rsidRPr="009F5182">
          <w:rPr>
            <w:rStyle w:val="Hyperlink"/>
            <w:i/>
            <w:iCs/>
            <w:szCs w:val="24"/>
          </w:rPr>
          <w:t>Readiness 2030</w:t>
        </w:r>
      </w:hyperlink>
      <w:r w:rsidR="002E7C0C" w:rsidRPr="009F5182">
        <w:rPr>
          <w:i/>
          <w:iCs/>
          <w:szCs w:val="24"/>
        </w:rPr>
        <w:t>”</w:t>
      </w:r>
      <w:r w:rsidR="002E7C0C" w:rsidRPr="009F5182">
        <w:rPr>
          <w:szCs w:val="24"/>
        </w:rPr>
        <w:t xml:space="preserve">, kas izklāsta jauno pieeju Eiropas aizsardzībai un apzina investīciju vajadzības. </w:t>
      </w:r>
      <w:r w:rsidR="00804735" w:rsidRPr="00A31344">
        <w:rPr>
          <w:szCs w:val="24"/>
        </w:rPr>
        <w:t xml:space="preserve">Baltajā grāmatā Eiropas Komisija </w:t>
      </w:r>
      <w:r w:rsidR="00804735" w:rsidRPr="00A31344">
        <w:t>norāda uz pēdējo desmit</w:t>
      </w:r>
      <w:r w:rsidR="005165AC" w:rsidRPr="00A31344">
        <w:t xml:space="preserve">u </w:t>
      </w:r>
      <w:r w:rsidR="00804735" w:rsidRPr="00A31344">
        <w:t>ga</w:t>
      </w:r>
      <w:r w:rsidR="005165AC" w:rsidRPr="00A31344">
        <w:t>d</w:t>
      </w:r>
      <w:r w:rsidR="00804735" w:rsidRPr="00A31344">
        <w:t xml:space="preserve">u laikā nepietiekamajām investīcijām aizsardzībā, kas novedis pie tā, ka </w:t>
      </w:r>
      <w:r w:rsidR="00804735" w:rsidRPr="009F5182">
        <w:t>esošās aizsardzības spējas nespētu pietiekami atturēt no pilna mēroga iebrukuma Eiropā</w:t>
      </w:r>
      <w:r w:rsidR="005F4B82" w:rsidRPr="009F5182">
        <w:t>. Eiropas Komisija uzsver, ka</w:t>
      </w:r>
      <w:r w:rsidR="00804735" w:rsidRPr="009F5182">
        <w:t xml:space="preserve"> visām </w:t>
      </w:r>
      <w:r w:rsidR="005F4B82" w:rsidRPr="009F5182">
        <w:t>dalībvalstīm</w:t>
      </w:r>
      <w:r w:rsidR="00804735" w:rsidRPr="009F5182">
        <w:t xml:space="preserve"> nepieciešams rīkoties</w:t>
      </w:r>
      <w:r w:rsidR="005F4B82" w:rsidRPr="009F5182">
        <w:t xml:space="preserve"> solidāri</w:t>
      </w:r>
      <w:r w:rsidR="00804735" w:rsidRPr="009F5182">
        <w:t>, lai veiktu nepieciešamos ieguldījumus kolektīvās aizsardzības spēju stiprināšan</w:t>
      </w:r>
      <w:r w:rsidR="000463E0" w:rsidRPr="009F5182">
        <w:t>ā</w:t>
      </w:r>
      <w:r w:rsidR="00345E0A" w:rsidRPr="009F5182">
        <w:t>, lai</w:t>
      </w:r>
      <w:r w:rsidR="00804735" w:rsidRPr="009F5182">
        <w:t xml:space="preserve"> līdz 2030. gadam sasniegtu pietiekamu militārās aizsardzības līmeni</w:t>
      </w:r>
      <w:r w:rsidR="00804735" w:rsidRPr="00A31344">
        <w:t xml:space="preserve">. </w:t>
      </w:r>
    </w:p>
    <w:p w14:paraId="200F0F28" w14:textId="59BE14F0" w:rsidR="171E18C5" w:rsidRDefault="00C811DF" w:rsidP="359A5C1A">
      <w:pPr>
        <w:ind w:firstLine="720"/>
        <w:jc w:val="both"/>
      </w:pPr>
      <w:r w:rsidRPr="009F5182">
        <w:rPr>
          <w:szCs w:val="24"/>
        </w:rPr>
        <w:t xml:space="preserve">Izvirzītā mērķa sasniegšanai, </w:t>
      </w:r>
      <w:r w:rsidR="00014E5E">
        <w:rPr>
          <w:szCs w:val="24"/>
        </w:rPr>
        <w:t>b</w:t>
      </w:r>
      <w:r w:rsidRPr="009F5182">
        <w:rPr>
          <w:szCs w:val="24"/>
        </w:rPr>
        <w:t>altā grāmata iezīmē finansējuma avotus, kā arī piedāvā izveid</w:t>
      </w:r>
      <w:r w:rsidR="00625128" w:rsidRPr="009F5182">
        <w:rPr>
          <w:szCs w:val="24"/>
        </w:rPr>
        <w:t>o</w:t>
      </w:r>
      <w:r w:rsidRPr="009F5182">
        <w:rPr>
          <w:szCs w:val="24"/>
        </w:rPr>
        <w:t>t jaunu</w:t>
      </w:r>
      <w:r w:rsidR="001020F7" w:rsidRPr="009F5182">
        <w:rPr>
          <w:szCs w:val="24"/>
        </w:rPr>
        <w:t xml:space="preserve"> instrumentu </w:t>
      </w:r>
      <w:r w:rsidR="00641E70" w:rsidRPr="009F5182">
        <w:rPr>
          <w:szCs w:val="24"/>
        </w:rPr>
        <w:t>– SAFE</w:t>
      </w:r>
      <w:r w:rsidR="00625128" w:rsidRPr="009F5182">
        <w:rPr>
          <w:szCs w:val="24"/>
        </w:rPr>
        <w:t xml:space="preserve"> (</w:t>
      </w:r>
      <w:r w:rsidR="00625128" w:rsidRPr="009F5182">
        <w:rPr>
          <w:i/>
          <w:iCs/>
          <w:szCs w:val="24"/>
        </w:rPr>
        <w:t>Security Action for Europe</w:t>
      </w:r>
      <w:r w:rsidR="00625128" w:rsidRPr="009F5182">
        <w:rPr>
          <w:szCs w:val="24"/>
        </w:rPr>
        <w:t>)</w:t>
      </w:r>
      <w:r w:rsidR="000B033E" w:rsidRPr="009F5182">
        <w:rPr>
          <w:szCs w:val="24"/>
        </w:rPr>
        <w:t>, lai stiprinātu</w:t>
      </w:r>
      <w:r w:rsidR="00762E53" w:rsidRPr="009F5182">
        <w:rPr>
          <w:szCs w:val="24"/>
        </w:rPr>
        <w:t xml:space="preserve"> aizsardzības spējas Eiropā </w:t>
      </w:r>
      <w:r w:rsidR="00987445" w:rsidRPr="009F5182">
        <w:rPr>
          <w:szCs w:val="24"/>
        </w:rPr>
        <w:t xml:space="preserve">un </w:t>
      </w:r>
      <w:r w:rsidR="002B63C1" w:rsidRPr="009F5182">
        <w:rPr>
          <w:szCs w:val="24"/>
        </w:rPr>
        <w:t>nodrošinātu</w:t>
      </w:r>
      <w:r w:rsidR="00E46065" w:rsidRPr="009F5182">
        <w:rPr>
          <w:szCs w:val="24"/>
        </w:rPr>
        <w:t xml:space="preserve"> aizsardzības industrijas projektu attīstību. </w:t>
      </w:r>
      <w:r w:rsidR="00F41390" w:rsidRPr="00014E5E">
        <w:t>Eiropas Komisija atzīst, ka publisko investīciju palielināšana aizsardzības jomā ir būtiska, bet vienlaikus jānodrošina, ka uzņēmumiem un industrijai ir pieeja kapitālam, lai nodrošinātu finansējumu atbilstoši uzņēmuma izaugsmes fāzei, nepieciešamajam apmēram, visā ražošanas ķēdē no izpētes un attīstības līdz piegādei</w:t>
      </w:r>
      <w:r w:rsidR="00F41390">
        <w:t>.</w:t>
      </w:r>
      <w:r w:rsidR="00F94036">
        <w:t xml:space="preserve"> Tādējādi, g</w:t>
      </w:r>
      <w:r w:rsidR="002B63C1" w:rsidRPr="009F5182">
        <w:rPr>
          <w:szCs w:val="24"/>
        </w:rPr>
        <w:t xml:space="preserve">an </w:t>
      </w:r>
      <w:r w:rsidR="000F646F" w:rsidRPr="009F5182">
        <w:rPr>
          <w:szCs w:val="24"/>
        </w:rPr>
        <w:t>2025.gada 4.mart</w:t>
      </w:r>
      <w:r w:rsidR="006B3EC4" w:rsidRPr="009F5182">
        <w:rPr>
          <w:szCs w:val="24"/>
        </w:rPr>
        <w:t>a Eiropas Komisijas paziņojums REARM Europe</w:t>
      </w:r>
      <w:r w:rsidR="00BB5F61" w:rsidRPr="009F5182">
        <w:rPr>
          <w:szCs w:val="24"/>
        </w:rPr>
        <w:t xml:space="preserve">, gan </w:t>
      </w:r>
      <w:r w:rsidR="00FA7DD6" w:rsidRPr="009F5182">
        <w:rPr>
          <w:szCs w:val="24"/>
        </w:rPr>
        <w:t xml:space="preserve">Eiropas </w:t>
      </w:r>
      <w:r w:rsidR="00014313" w:rsidRPr="009F5182">
        <w:rPr>
          <w:szCs w:val="24"/>
        </w:rPr>
        <w:t>aizsardzības b</w:t>
      </w:r>
      <w:r w:rsidR="00BB5F61" w:rsidRPr="009F5182">
        <w:rPr>
          <w:szCs w:val="24"/>
        </w:rPr>
        <w:t>altā grāmata</w:t>
      </w:r>
      <w:r w:rsidR="0025050F" w:rsidRPr="009F5182">
        <w:rPr>
          <w:szCs w:val="24"/>
        </w:rPr>
        <w:t xml:space="preserve"> </w:t>
      </w:r>
      <w:r w:rsidR="00014313" w:rsidRPr="009F5182">
        <w:rPr>
          <w:szCs w:val="24"/>
        </w:rPr>
        <w:t xml:space="preserve">akcentē </w:t>
      </w:r>
      <w:r w:rsidR="005B3FC1" w:rsidRPr="009F5182">
        <w:rPr>
          <w:szCs w:val="24"/>
        </w:rPr>
        <w:t>Eiropas investīciju bankas</w:t>
      </w:r>
      <w:r w:rsidR="00AF34CA" w:rsidRPr="009F5182">
        <w:rPr>
          <w:szCs w:val="24"/>
        </w:rPr>
        <w:t xml:space="preserve"> </w:t>
      </w:r>
      <w:r w:rsidR="005A5D6A" w:rsidRPr="009F5182">
        <w:rPr>
          <w:szCs w:val="24"/>
        </w:rPr>
        <w:t xml:space="preserve">būtisko </w:t>
      </w:r>
      <w:r w:rsidR="006F6154" w:rsidRPr="009F5182">
        <w:rPr>
          <w:szCs w:val="24"/>
        </w:rPr>
        <w:t>lomu, papl</w:t>
      </w:r>
      <w:r w:rsidR="00FD760B" w:rsidRPr="009F5182">
        <w:rPr>
          <w:szCs w:val="24"/>
        </w:rPr>
        <w:t>aš</w:t>
      </w:r>
      <w:r w:rsidR="006F6154" w:rsidRPr="009F5182">
        <w:rPr>
          <w:szCs w:val="24"/>
        </w:rPr>
        <w:t>inot aizdevuma</w:t>
      </w:r>
      <w:r w:rsidR="00E6217C" w:rsidRPr="009F5182">
        <w:rPr>
          <w:szCs w:val="24"/>
        </w:rPr>
        <w:t xml:space="preserve"> kapacitāti aizsardzības </w:t>
      </w:r>
      <w:r w:rsidR="00CA667E" w:rsidRPr="009F5182">
        <w:rPr>
          <w:szCs w:val="24"/>
        </w:rPr>
        <w:t>un drošības projektiem</w:t>
      </w:r>
      <w:r w:rsidR="00FD760B" w:rsidRPr="009F5182">
        <w:rPr>
          <w:szCs w:val="24"/>
        </w:rPr>
        <w:t xml:space="preserve">, kā arī uzsver </w:t>
      </w:r>
      <w:r w:rsidR="004E7072" w:rsidRPr="009F5182">
        <w:rPr>
          <w:szCs w:val="24"/>
        </w:rPr>
        <w:t>u</w:t>
      </w:r>
      <w:r w:rsidR="005C189E">
        <w:rPr>
          <w:szCs w:val="24"/>
        </w:rPr>
        <w:t>z</w:t>
      </w:r>
      <w:r w:rsidR="004E7072" w:rsidRPr="009F5182">
        <w:rPr>
          <w:szCs w:val="24"/>
        </w:rPr>
        <w:t xml:space="preserve">krājumu un investīciju </w:t>
      </w:r>
      <w:r w:rsidR="00B523B6" w:rsidRPr="009F5182">
        <w:rPr>
          <w:szCs w:val="24"/>
        </w:rPr>
        <w:t>savienības lom</w:t>
      </w:r>
      <w:r w:rsidR="005A0B18" w:rsidRPr="009F5182">
        <w:rPr>
          <w:szCs w:val="24"/>
        </w:rPr>
        <w:t>u privātā kapitāla mobilizēšanai</w:t>
      </w:r>
      <w:r w:rsidR="008B7827" w:rsidRPr="009F5182">
        <w:rPr>
          <w:szCs w:val="24"/>
        </w:rPr>
        <w:t>, lai novirzītu investīcijas</w:t>
      </w:r>
      <w:r w:rsidR="00875D9F" w:rsidRPr="009F5182">
        <w:rPr>
          <w:szCs w:val="24"/>
        </w:rPr>
        <w:t xml:space="preserve"> ekonomikai būtiskos sektoros</w:t>
      </w:r>
      <w:r w:rsidR="00121787" w:rsidRPr="009F5182">
        <w:rPr>
          <w:szCs w:val="24"/>
        </w:rPr>
        <w:t xml:space="preserve">, tajā skaitā, aizsardzībā </w:t>
      </w:r>
      <w:r w:rsidR="001871C2">
        <w:rPr>
          <w:szCs w:val="24"/>
        </w:rPr>
        <w:t xml:space="preserve">attiecībā uz </w:t>
      </w:r>
      <w:r w:rsidR="00121787" w:rsidRPr="009F5182">
        <w:rPr>
          <w:szCs w:val="24"/>
        </w:rPr>
        <w:t xml:space="preserve">tiem, kas vēlas šajā sektorā ieguldīt. </w:t>
      </w:r>
    </w:p>
    <w:p w14:paraId="61B61526" w14:textId="718C8251" w:rsidR="7828EF59" w:rsidRDefault="18BE27EF" w:rsidP="359A5C1A">
      <w:pPr>
        <w:spacing w:line="259" w:lineRule="auto"/>
        <w:ind w:firstLine="720"/>
        <w:jc w:val="both"/>
      </w:pPr>
      <w:r w:rsidRPr="359A5C1A">
        <w:rPr>
          <w:rFonts w:eastAsia="Times New Roman" w:cs="Times New Roman"/>
        </w:rPr>
        <w:t>Eiropas Savienībā kapitāla tirgi ir daudzveidīgi, tie aptver dažādi attīstītas ekonomikas. Kopējā tirgū ilgākā laika periodā ir izveidojusies noteikta pakalpojumu specializācija un nostiprinājušies finanšu centri un lielākās tirdzniecības vietas. Tirgus konkurencei, inovācijām un pārrobežu darbībai ir nozīmīga loma. Eiropas tirgū ir arī vairāki reģionāli sadarbības ietvari, ar reģionāliem tirgus dalībniekiem</w:t>
      </w:r>
      <w:r w:rsidR="00B6067F">
        <w:rPr>
          <w:rFonts w:eastAsia="Times New Roman" w:cs="Times New Roman"/>
        </w:rPr>
        <w:t>. K</w:t>
      </w:r>
      <w:r w:rsidRPr="359A5C1A">
        <w:rPr>
          <w:rFonts w:eastAsia="Times New Roman" w:cs="Times New Roman"/>
        </w:rPr>
        <w:t>ā piemēr</w:t>
      </w:r>
      <w:r w:rsidR="00B6067F">
        <w:rPr>
          <w:rFonts w:eastAsia="Times New Roman" w:cs="Times New Roman"/>
        </w:rPr>
        <w:t>u</w:t>
      </w:r>
      <w:r w:rsidRPr="359A5C1A">
        <w:rPr>
          <w:rFonts w:eastAsia="Times New Roman" w:cs="Times New Roman"/>
        </w:rPr>
        <w:t xml:space="preserve"> var atzīmēt integrāciju Ziemeļu un Baltijas valstu finanšu tirgū.  </w:t>
      </w:r>
    </w:p>
    <w:p w14:paraId="7A6BB315" w14:textId="71923F84" w:rsidR="7828EF59" w:rsidRDefault="18BE27EF" w:rsidP="359A5C1A">
      <w:pPr>
        <w:spacing w:line="259" w:lineRule="auto"/>
        <w:ind w:firstLine="720"/>
        <w:jc w:val="both"/>
        <w:rPr>
          <w:rFonts w:eastAsia="Times New Roman" w:cs="Times New Roman"/>
        </w:rPr>
      </w:pPr>
      <w:r w:rsidRPr="43893D6D">
        <w:rPr>
          <w:rFonts w:eastAsia="Times New Roman" w:cs="Times New Roman"/>
        </w:rPr>
        <w:t>Eiropas Savienības kapitāla tirgus attīstīb</w:t>
      </w:r>
      <w:r w:rsidR="7B002A6E" w:rsidRPr="43893D6D">
        <w:rPr>
          <w:rFonts w:eastAsia="Times New Roman" w:cs="Times New Roman"/>
        </w:rPr>
        <w:t xml:space="preserve">a ved uz </w:t>
      </w:r>
      <w:r w:rsidRPr="43893D6D">
        <w:rPr>
          <w:rFonts w:eastAsia="Times New Roman" w:cs="Times New Roman"/>
        </w:rPr>
        <w:t>ciešāk</w:t>
      </w:r>
      <w:r w:rsidR="0873B1EA" w:rsidRPr="43893D6D">
        <w:rPr>
          <w:rFonts w:eastAsia="Times New Roman" w:cs="Times New Roman"/>
        </w:rPr>
        <w:t>u</w:t>
      </w:r>
      <w:r w:rsidRPr="43893D6D">
        <w:rPr>
          <w:rFonts w:eastAsia="Times New Roman" w:cs="Times New Roman"/>
        </w:rPr>
        <w:t xml:space="preserve"> integrācij</w:t>
      </w:r>
      <w:r w:rsidR="0A966FA2" w:rsidRPr="43893D6D">
        <w:rPr>
          <w:rFonts w:eastAsia="Times New Roman" w:cs="Times New Roman"/>
        </w:rPr>
        <w:t>u</w:t>
      </w:r>
      <w:r w:rsidRPr="43893D6D">
        <w:rPr>
          <w:rFonts w:eastAsia="Times New Roman" w:cs="Times New Roman"/>
        </w:rPr>
        <w:t xml:space="preserve">, un tās politiskais ietvars </w:t>
      </w:r>
      <w:r w:rsidR="00B04758" w:rsidRPr="43893D6D">
        <w:rPr>
          <w:rFonts w:eastAsia="Times New Roman" w:cs="Times New Roman"/>
        </w:rPr>
        <w:t xml:space="preserve">iepriekšējos gados </w:t>
      </w:r>
      <w:r w:rsidRPr="43893D6D">
        <w:rPr>
          <w:rFonts w:eastAsia="Times New Roman" w:cs="Times New Roman"/>
        </w:rPr>
        <w:t xml:space="preserve">ir Kapitāla tirgu savienības </w:t>
      </w:r>
      <w:r w:rsidR="694E3B15" w:rsidRPr="43893D6D">
        <w:rPr>
          <w:rFonts w:eastAsia="Times New Roman" w:cs="Times New Roman"/>
        </w:rPr>
        <w:t xml:space="preserve">(KTS) </w:t>
      </w:r>
      <w:r w:rsidRPr="43893D6D">
        <w:rPr>
          <w:rFonts w:eastAsia="Times New Roman" w:cs="Times New Roman"/>
        </w:rPr>
        <w:t>iniciatīva</w:t>
      </w:r>
      <w:r w:rsidR="002755DD" w:rsidRPr="43893D6D">
        <w:rPr>
          <w:rFonts w:eastAsia="Times New Roman" w:cs="Times New Roman"/>
        </w:rPr>
        <w:t>,</w:t>
      </w:r>
      <w:r w:rsidR="115CB553" w:rsidRPr="43893D6D">
        <w:rPr>
          <w:rFonts w:eastAsia="Times New Roman" w:cs="Times New Roman"/>
        </w:rPr>
        <w:t xml:space="preserve"> </w:t>
      </w:r>
      <w:r w:rsidR="002755DD" w:rsidRPr="43893D6D">
        <w:rPr>
          <w:rFonts w:eastAsia="Times New Roman" w:cs="Times New Roman"/>
        </w:rPr>
        <w:t xml:space="preserve">kuras mērķis ir </w:t>
      </w:r>
      <w:r w:rsidRPr="43893D6D">
        <w:rPr>
          <w:rFonts w:eastAsia="Times New Roman" w:cs="Times New Roman"/>
        </w:rPr>
        <w:t>izveidot īstenu vienotu kapitāla tirgu visā E</w:t>
      </w:r>
      <w:r w:rsidR="00FB78EE" w:rsidRPr="43893D6D">
        <w:rPr>
          <w:rFonts w:eastAsia="Times New Roman" w:cs="Times New Roman"/>
        </w:rPr>
        <w:t xml:space="preserve">iropas </w:t>
      </w:r>
      <w:r w:rsidRPr="43893D6D">
        <w:rPr>
          <w:rFonts w:eastAsia="Times New Roman" w:cs="Times New Roman"/>
        </w:rPr>
        <w:t>S</w:t>
      </w:r>
      <w:r w:rsidR="00FB78EE" w:rsidRPr="43893D6D">
        <w:rPr>
          <w:rFonts w:eastAsia="Times New Roman" w:cs="Times New Roman"/>
        </w:rPr>
        <w:t>avienībā un</w:t>
      </w:r>
      <w:r w:rsidRPr="43893D6D">
        <w:rPr>
          <w:rFonts w:eastAsia="Times New Roman" w:cs="Times New Roman"/>
        </w:rPr>
        <w:t xml:space="preserve"> panākt, lai investīcijas un uzkrājumi būtu apritē visās dalībvalstīs un lai ieguvēji no tiem būtu iedzīvotāji, investori un uzņēmumi neatkarīgi no atrašanās vietas. Pilnībā funkcionējošs un integrēts kapitāla tirgus ļaus E</w:t>
      </w:r>
      <w:r w:rsidR="2F6AB5AF" w:rsidRPr="43893D6D">
        <w:rPr>
          <w:rFonts w:eastAsia="Times New Roman" w:cs="Times New Roman"/>
        </w:rPr>
        <w:t xml:space="preserve">iropas </w:t>
      </w:r>
      <w:r w:rsidRPr="43893D6D">
        <w:rPr>
          <w:rFonts w:eastAsia="Times New Roman" w:cs="Times New Roman"/>
        </w:rPr>
        <w:t>S</w:t>
      </w:r>
      <w:r w:rsidR="5F7B25CA" w:rsidRPr="43893D6D">
        <w:rPr>
          <w:rFonts w:eastAsia="Times New Roman" w:cs="Times New Roman"/>
        </w:rPr>
        <w:t>avienības</w:t>
      </w:r>
      <w:r w:rsidRPr="43893D6D">
        <w:rPr>
          <w:rFonts w:eastAsia="Times New Roman" w:cs="Times New Roman"/>
        </w:rPr>
        <w:t xml:space="preserve"> ekonomikai pieaugt ilgtspējīgi un būt konkurētspējīgākai. Ekonomiski spēcīgāka Eiropa labāk kalpos saviem iedzīvotājiem un palīdzēs E</w:t>
      </w:r>
      <w:r w:rsidR="5929AFA6" w:rsidRPr="43893D6D">
        <w:rPr>
          <w:rFonts w:eastAsia="Times New Roman" w:cs="Times New Roman"/>
        </w:rPr>
        <w:t xml:space="preserve">iropas </w:t>
      </w:r>
      <w:r w:rsidRPr="43893D6D">
        <w:rPr>
          <w:rFonts w:eastAsia="Times New Roman" w:cs="Times New Roman"/>
        </w:rPr>
        <w:t>S</w:t>
      </w:r>
      <w:r w:rsidR="319D285F" w:rsidRPr="43893D6D">
        <w:rPr>
          <w:rFonts w:eastAsia="Times New Roman" w:cs="Times New Roman"/>
        </w:rPr>
        <w:t>avienībai</w:t>
      </w:r>
      <w:r w:rsidRPr="43893D6D">
        <w:rPr>
          <w:rFonts w:eastAsia="Times New Roman" w:cs="Times New Roman"/>
        </w:rPr>
        <w:t xml:space="preserve"> uzņemties spēcīgāku lomu pasaules mērogā. Centieni izveidot patiesi vienotu kapitāla tirgu sākās ar Romas līgumu, turpinājās, izveidojot vienoto tirgu (1986–1992) un ieviešot </w:t>
      </w:r>
      <w:r w:rsidR="00890DCD">
        <w:rPr>
          <w:rFonts w:eastAsia="Times New Roman" w:cs="Times New Roman"/>
        </w:rPr>
        <w:t>euro</w:t>
      </w:r>
      <w:r w:rsidR="00890DCD" w:rsidRPr="43893D6D">
        <w:rPr>
          <w:rFonts w:eastAsia="Times New Roman" w:cs="Times New Roman"/>
        </w:rPr>
        <w:t xml:space="preserve"> </w:t>
      </w:r>
      <w:r w:rsidRPr="43893D6D">
        <w:rPr>
          <w:rFonts w:eastAsia="Times New Roman" w:cs="Times New Roman"/>
        </w:rPr>
        <w:t xml:space="preserve">(1999). Ar 2015.gada rīcības plānu </w:t>
      </w:r>
      <w:r w:rsidR="1A7B3CC2" w:rsidRPr="43893D6D">
        <w:rPr>
          <w:rFonts w:eastAsia="Times New Roman" w:cs="Times New Roman"/>
        </w:rPr>
        <w:t xml:space="preserve">Eiropas </w:t>
      </w:r>
      <w:r w:rsidRPr="43893D6D">
        <w:rPr>
          <w:rFonts w:eastAsia="Times New Roman" w:cs="Times New Roman"/>
        </w:rPr>
        <w:t>Komisija definēja KTS kā vienu no galvenajām prioritātēm</w:t>
      </w:r>
      <w:r w:rsidR="642C398F" w:rsidRPr="43893D6D">
        <w:rPr>
          <w:rFonts w:eastAsia="Times New Roman" w:cs="Times New Roman"/>
        </w:rPr>
        <w:t>.</w:t>
      </w:r>
    </w:p>
    <w:p w14:paraId="3B964DDB" w14:textId="609A234F" w:rsidR="004E3723" w:rsidRDefault="004466B3" w:rsidP="009F5182">
      <w:pPr>
        <w:spacing w:before="120" w:after="120"/>
        <w:ind w:firstLine="720"/>
        <w:jc w:val="both"/>
      </w:pPr>
      <w:r>
        <w:rPr>
          <w:noProof/>
        </w:rPr>
        <w:t>2024. gada 9. septembrī</w:t>
      </w:r>
      <w:r w:rsidRPr="00F97AF7">
        <w:rPr>
          <w:noProof/>
        </w:rPr>
        <w:t xml:space="preserve"> bijuša</w:t>
      </w:r>
      <w:r>
        <w:rPr>
          <w:noProof/>
        </w:rPr>
        <w:t>is</w:t>
      </w:r>
      <w:r w:rsidRPr="00F97AF7">
        <w:rPr>
          <w:noProof/>
        </w:rPr>
        <w:t xml:space="preserve"> Eiropas Centrālās Bankas vadītāj</w:t>
      </w:r>
      <w:r>
        <w:rPr>
          <w:noProof/>
        </w:rPr>
        <w:t>s</w:t>
      </w:r>
      <w:r w:rsidRPr="00F97AF7">
        <w:rPr>
          <w:noProof/>
        </w:rPr>
        <w:t xml:space="preserve"> un Itālijas premjerministr</w:t>
      </w:r>
      <w:r>
        <w:rPr>
          <w:noProof/>
        </w:rPr>
        <w:t>s Mario Dragi (</w:t>
      </w:r>
      <w:r w:rsidRPr="43893D6D">
        <w:rPr>
          <w:i/>
          <w:iCs/>
          <w:noProof/>
        </w:rPr>
        <w:t>Mario Draghi</w:t>
      </w:r>
      <w:r>
        <w:rPr>
          <w:noProof/>
        </w:rPr>
        <w:t>) prezentēja ziņojumu par Eiropas konkurētspējas nākotni (</w:t>
      </w:r>
      <w:r w:rsidRPr="43893D6D">
        <w:rPr>
          <w:i/>
          <w:iCs/>
          <w:noProof/>
        </w:rPr>
        <w:t>The future of European competitiveness</w:t>
      </w:r>
      <w:r>
        <w:rPr>
          <w:noProof/>
        </w:rPr>
        <w:t>).</w:t>
      </w:r>
      <w:r w:rsidR="18BE27EF" w:rsidRPr="359A5C1A">
        <w:rPr>
          <w:rFonts w:eastAsia="Times New Roman" w:cs="Times New Roman"/>
        </w:rPr>
        <w:t xml:space="preserve"> </w:t>
      </w:r>
      <w:r w:rsidR="00A35F7F">
        <w:rPr>
          <w:rFonts w:eastAsia="Calibri"/>
          <w:color w:val="000000"/>
          <w:spacing w:val="3"/>
          <w:bdr w:val="none" w:sz="0" w:space="0" w:color="auto" w:frame="1"/>
          <w:lang w:val="lv"/>
        </w:rPr>
        <w:t>M.</w:t>
      </w:r>
      <w:r w:rsidR="00A35F7F" w:rsidRPr="001B763A">
        <w:rPr>
          <w:rFonts w:eastAsia="Calibri"/>
          <w:color w:val="000000"/>
          <w:spacing w:val="3"/>
          <w:bdr w:val="none" w:sz="0" w:space="0" w:color="auto" w:frame="1"/>
          <w:lang w:val="lv"/>
        </w:rPr>
        <w:t xml:space="preserve">Dragi ziņojumā </w:t>
      </w:r>
      <w:r w:rsidR="00A35F7F" w:rsidRPr="001B763A">
        <w:rPr>
          <w:rFonts w:eastAsia="Calibri"/>
          <w:color w:val="000000"/>
          <w:spacing w:val="3"/>
          <w:bdr w:val="none" w:sz="0" w:space="0" w:color="auto" w:frame="1"/>
          <w:lang w:val="lv"/>
        </w:rPr>
        <w:lastRenderedPageBreak/>
        <w:t xml:space="preserve">analizēja </w:t>
      </w:r>
      <w:r w:rsidR="00A35F7F" w:rsidRPr="001B763A">
        <w:rPr>
          <w:rFonts w:eastAsia="Calibri"/>
          <w:noProof/>
        </w:rPr>
        <w:t>E</w:t>
      </w:r>
      <w:r w:rsidR="004F0A78">
        <w:rPr>
          <w:rFonts w:eastAsia="Calibri"/>
          <w:noProof/>
        </w:rPr>
        <w:t xml:space="preserve">iropas </w:t>
      </w:r>
      <w:r w:rsidR="00A35F7F" w:rsidRPr="001B763A">
        <w:rPr>
          <w:rFonts w:eastAsia="Calibri"/>
          <w:noProof/>
        </w:rPr>
        <w:t>S</w:t>
      </w:r>
      <w:r w:rsidR="004F0A78">
        <w:rPr>
          <w:rFonts w:eastAsia="Calibri"/>
          <w:noProof/>
        </w:rPr>
        <w:t>avienības</w:t>
      </w:r>
      <w:r w:rsidR="00A35F7F" w:rsidRPr="001B763A">
        <w:rPr>
          <w:rFonts w:eastAsia="Calibri"/>
          <w:noProof/>
        </w:rPr>
        <w:t xml:space="preserve"> konkurētspējas samazināšanos, ko izraisa daudzpusējas ekonomiskās, sociālās un politiskās pārmaiņas. Lai tās pārvaldītu, ziņojumā tiek ierosināta jauna rūpniecības stratēģija</w:t>
      </w:r>
      <w:r w:rsidR="00A35F7F">
        <w:rPr>
          <w:rFonts w:eastAsia="Calibri"/>
          <w:noProof/>
        </w:rPr>
        <w:t xml:space="preserve"> </w:t>
      </w:r>
      <w:r w:rsidR="00A35F7F" w:rsidRPr="00BB51E9">
        <w:t>(</w:t>
      </w:r>
      <w:r w:rsidR="00A35F7F" w:rsidRPr="43893D6D">
        <w:rPr>
          <w:i/>
          <w:iCs/>
        </w:rPr>
        <w:t>New Industrial Strategy</w:t>
      </w:r>
      <w:r w:rsidR="00A35F7F" w:rsidRPr="00BB51E9">
        <w:t>)</w:t>
      </w:r>
      <w:r w:rsidR="00A35F7F" w:rsidRPr="001B763A">
        <w:rPr>
          <w:rFonts w:eastAsia="Calibri"/>
          <w:noProof/>
        </w:rPr>
        <w:t xml:space="preserve"> Eiropai</w:t>
      </w:r>
      <w:r w:rsidR="61EFFA65" w:rsidRPr="001B763A">
        <w:rPr>
          <w:rFonts w:eastAsia="Calibri"/>
          <w:noProof/>
        </w:rPr>
        <w:t>.</w:t>
      </w:r>
      <w:r w:rsidR="00654ABB">
        <w:rPr>
          <w:rFonts w:eastAsia="Calibri"/>
          <w:noProof/>
        </w:rPr>
        <w:t xml:space="preserve"> </w:t>
      </w:r>
      <w:r w:rsidR="00FC2F9D">
        <w:t>Ziņojumā tiek veikta padziļinātā analīze un tiek piedāvātas rekomendācijas E</w:t>
      </w:r>
      <w:r w:rsidR="00FC259D">
        <w:t xml:space="preserve">iropas </w:t>
      </w:r>
      <w:r w:rsidR="00FC2F9D">
        <w:t>S</w:t>
      </w:r>
      <w:r w:rsidR="00FC259D">
        <w:t>avienības</w:t>
      </w:r>
      <w:r w:rsidR="00FC2F9D">
        <w:t xml:space="preserve"> konkurētspējas stiprināšanai desmit nozaru politikās un piecās horizontālajās politikās.</w:t>
      </w:r>
      <w:r w:rsidR="00BD7BDB">
        <w:t xml:space="preserve"> </w:t>
      </w:r>
      <w:r w:rsidR="0027248A">
        <w:t>Vienlaikus ziņoju</w:t>
      </w:r>
      <w:r w:rsidR="00A135B6">
        <w:t>mā norādīts, l</w:t>
      </w:r>
      <w:r w:rsidR="00B612D3" w:rsidRPr="00B612D3">
        <w:t xml:space="preserve">ai Eiropa spētu tikt galā ar pašreizējiem izaicinājumiem, piemēram, ar klimata pārmaiņām, straujām tehnoloģiskām pārvērtībām un jauno ģeopolitisko dinamiku, ir vajadzīgas ievērojamas investīcijas, kas saskaņā ar </w:t>
      </w:r>
      <w:r w:rsidR="003A5FF5">
        <w:t>M.</w:t>
      </w:r>
      <w:r w:rsidR="00B612D3" w:rsidRPr="00B612D3">
        <w:t>Dragi ziņojum</w:t>
      </w:r>
      <w:r w:rsidR="003A5FF5">
        <w:t>ā minētajām aplēsēm</w:t>
      </w:r>
      <w:r w:rsidR="00B612D3" w:rsidRPr="00B612D3">
        <w:t xml:space="preserve"> līdz 2030. gadam sasniegs papildu 750–800 miljardus </w:t>
      </w:r>
      <w:r w:rsidR="00890DCD">
        <w:t>euro</w:t>
      </w:r>
      <w:r w:rsidR="00890DCD" w:rsidRPr="00B612D3">
        <w:t xml:space="preserve"> </w:t>
      </w:r>
      <w:r w:rsidR="00B612D3" w:rsidRPr="00B612D3">
        <w:t xml:space="preserve">gadā un ko vēl ietekmēs arī pieaugošās aizsardzības vajadzības. Liela daļa šo papildu investīciju vajadzību attiecas uz maziem un vidējiem uzņēmumiem un inovatīviem uzņēmumiem, kas nevar paļauties tikai uz banku finansējumu. </w:t>
      </w:r>
    </w:p>
    <w:p w14:paraId="1F550A7D" w14:textId="6CEAC2EC" w:rsidR="004E3723" w:rsidRPr="00AD5FD7" w:rsidRDefault="00433E92" w:rsidP="009F5182">
      <w:pPr>
        <w:spacing w:before="120" w:after="120"/>
        <w:ind w:firstLine="720"/>
        <w:jc w:val="both"/>
      </w:pPr>
      <w:r>
        <w:t xml:space="preserve">2025.gada 19.martā Eiropas Komisija nāca klajā ar </w:t>
      </w:r>
      <w:r w:rsidR="00EB002A">
        <w:t>U</w:t>
      </w:r>
      <w:r w:rsidR="004D23E9">
        <w:t>zkrājumu un investīciju savienības (UIS) stratēģiju – svarīgu iniciatīvu, kuras mērķis ir uzlabot E</w:t>
      </w:r>
      <w:r w:rsidR="00EB002A">
        <w:t xml:space="preserve">iropas </w:t>
      </w:r>
      <w:r w:rsidR="004D23E9">
        <w:t>S</w:t>
      </w:r>
      <w:r w:rsidR="00EB002A">
        <w:t>avienības</w:t>
      </w:r>
      <w:r w:rsidR="004D23E9">
        <w:t xml:space="preserve"> finanšu sistēmas iespējas novirzīt uzkrājumus produktīvām investīcijām</w:t>
      </w:r>
      <w:r w:rsidR="00890DCD">
        <w:t xml:space="preserve"> (skat. 1.att)</w:t>
      </w:r>
      <w:r w:rsidR="004D23E9">
        <w:t>. Tās mērķis ir piedāvāt iedzīvotājiem plašāku piekļuvi kapitāla tirgiem un labākas finansēšanas iespējas uzņēmumiem. Tā var</w:t>
      </w:r>
      <w:r w:rsidR="00E15441">
        <w:t xml:space="preserve"> </w:t>
      </w:r>
      <w:r w:rsidR="004D23E9">
        <w:t>celt iedzīvotāju labklājību, vienlaikus veicinot E</w:t>
      </w:r>
      <w:r w:rsidR="00AD5FD7">
        <w:t xml:space="preserve">iropas </w:t>
      </w:r>
      <w:r w:rsidR="004D23E9">
        <w:t>S</w:t>
      </w:r>
      <w:r w:rsidR="00AD5FD7">
        <w:t>avienības</w:t>
      </w:r>
      <w:r w:rsidR="004D23E9">
        <w:t xml:space="preserve"> ekonomikas</w:t>
      </w:r>
      <w:r w:rsidR="0085028D">
        <w:t xml:space="preserve"> </w:t>
      </w:r>
      <w:r w:rsidR="004D23E9">
        <w:t>izaugsmi un konkurētspēju.</w:t>
      </w:r>
    </w:p>
    <w:p w14:paraId="3CF26818" w14:textId="7E306932" w:rsidR="007F3B0A" w:rsidRPr="007F3B0A" w:rsidRDefault="007F3B0A" w:rsidP="009F5182">
      <w:pPr>
        <w:spacing w:before="120" w:after="120"/>
        <w:ind w:firstLine="720"/>
        <w:jc w:val="both"/>
        <w:rPr>
          <w:b/>
          <w:bCs/>
        </w:rPr>
      </w:pPr>
      <w:r>
        <w:rPr>
          <w:b/>
          <w:bCs/>
        </w:rPr>
        <w:t xml:space="preserve">1.att. </w:t>
      </w:r>
      <w:r w:rsidR="00E15441">
        <w:rPr>
          <w:b/>
          <w:bCs/>
        </w:rPr>
        <w:t xml:space="preserve">Kapitāla tirgus attīstības mērķis </w:t>
      </w:r>
    </w:p>
    <w:p w14:paraId="6463CC3B" w14:textId="48CCA24B" w:rsidR="5A519008" w:rsidRDefault="5A519008" w:rsidP="1E0A1DDF">
      <w:pPr>
        <w:spacing w:before="120" w:after="120"/>
        <w:ind w:firstLine="720"/>
        <w:jc w:val="both"/>
      </w:pPr>
      <w:r>
        <w:rPr>
          <w:noProof/>
        </w:rPr>
        <w:drawing>
          <wp:inline distT="0" distB="0" distL="0" distR="0" wp14:anchorId="6C868795" wp14:editId="0CD838CD">
            <wp:extent cx="4251818" cy="1260398"/>
            <wp:effectExtent l="0" t="0" r="0" b="0"/>
            <wp:docPr id="2059215994" name="Picture 2059215994" descr="A white arrow with blue text and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51818" cy="1260398"/>
                    </a:xfrm>
                    <a:prstGeom prst="rect">
                      <a:avLst/>
                    </a:prstGeom>
                  </pic:spPr>
                </pic:pic>
              </a:graphicData>
            </a:graphic>
          </wp:inline>
        </w:drawing>
      </w:r>
      <w:r>
        <w:br/>
      </w:r>
    </w:p>
    <w:p w14:paraId="3ACDF70B" w14:textId="6A9923C7" w:rsidR="002F4846" w:rsidRPr="002F4846" w:rsidRDefault="00B612D3" w:rsidP="009F5182">
      <w:pPr>
        <w:spacing w:before="120" w:after="120"/>
        <w:ind w:firstLine="720"/>
        <w:jc w:val="both"/>
      </w:pPr>
      <w:r>
        <w:t xml:space="preserve">Attīstot integrētus kapitāla tirgus līdztekus integrētai banku sistēmai, </w:t>
      </w:r>
      <w:r w:rsidR="002F4846">
        <w:t>uzkrājumu un investīciju savienība</w:t>
      </w:r>
      <w:r>
        <w:t xml:space="preserve"> var būt efektīvs vidutājs starp uzkrājumiem un investīciju vajadzībām</w:t>
      </w:r>
      <w:r w:rsidR="00890DCD">
        <w:t xml:space="preserve"> (skat. 2. att.)</w:t>
      </w:r>
      <w:r>
        <w:t>.</w:t>
      </w:r>
      <w:r w:rsidR="002F4846">
        <w:t xml:space="preserve"> </w:t>
      </w:r>
      <w:r w:rsidR="00025F97">
        <w:t xml:space="preserve">ES rīcībā ir talantīgs darbaspēks, inovatīvi uzņēmumi un lieli mājsaimniecību noguldījumu uzkrājumi aptuveni 10 triljonu </w:t>
      </w:r>
      <w:r w:rsidR="00890DCD">
        <w:t xml:space="preserve">euro </w:t>
      </w:r>
      <w:r w:rsidR="00025F97">
        <w:t xml:space="preserve">apmērā. Noguldījumi bankās ir droši un viegli pieejami, taču parasti </w:t>
      </w:r>
      <w:r w:rsidR="495A4AB8">
        <w:t xml:space="preserve">atdeve </w:t>
      </w:r>
      <w:r w:rsidR="375A3C58">
        <w:t xml:space="preserve">tiem </w:t>
      </w:r>
      <w:r w:rsidR="495A4AB8">
        <w:t xml:space="preserve">ir </w:t>
      </w:r>
      <w:r w:rsidR="00025F97">
        <w:t>mazāk</w:t>
      </w:r>
      <w:r w:rsidR="4D329043">
        <w:t>a</w:t>
      </w:r>
      <w:r w:rsidR="00025F97">
        <w:t xml:space="preserve"> nekā ieguldījumi</w:t>
      </w:r>
      <w:r w:rsidR="65930C00">
        <w:t>em</w:t>
      </w:r>
      <w:r w:rsidR="00025F97">
        <w:t xml:space="preserve"> kapitāla tirgos. </w:t>
      </w:r>
      <w:r w:rsidR="00A100FA">
        <w:t>Uzkrājumu un investīciju savienība</w:t>
      </w:r>
      <w:r w:rsidR="00025F97">
        <w:t xml:space="preserve"> var celt iedzīvotāju labklājību un piedāvāt viņiem izvēli un iespējas saņemt labāku atdevi, ieguldot savus uzkrājumus kapitāla tirgos. Vienlaikus lielāki ieguldījumi kapitāla tirgos stiprina reālo ekonomiku, ļaujot uzņēmumiem visā Eiropā augt un attīstīties. Tādējādi var radīt labākas darbvietas ar konkurētspējīgākām algām Eiropas darba ņēmējiem un veicināt investīcijas un izaugsmi visās ekonomikas nozarēs, sevišķi jomās, kuras E</w:t>
      </w:r>
      <w:r w:rsidR="00086FE6">
        <w:t xml:space="preserve">iropas </w:t>
      </w:r>
      <w:r w:rsidR="00025F97">
        <w:t>S</w:t>
      </w:r>
      <w:r w:rsidR="00086FE6">
        <w:t>avienība</w:t>
      </w:r>
      <w:r w:rsidR="00025F97">
        <w:t xml:space="preserve"> ir atzinusi par stratēģiski svarīgām, piemēram, tehnoloģiskā</w:t>
      </w:r>
      <w:r w:rsidR="003C32AD">
        <w:t>s</w:t>
      </w:r>
      <w:r w:rsidR="00025F97">
        <w:t xml:space="preserve"> inovācija</w:t>
      </w:r>
      <w:r w:rsidR="003C32AD">
        <w:t>s</w:t>
      </w:r>
      <w:r w:rsidR="00025F97">
        <w:t xml:space="preserve">, dekarbonizācija un drošība. </w:t>
      </w:r>
      <w:r w:rsidR="002F4846">
        <w:t>Tās īstenošana ir E</w:t>
      </w:r>
      <w:r w:rsidR="00D7680C">
        <w:t xml:space="preserve">iropas </w:t>
      </w:r>
      <w:r w:rsidR="002F4846">
        <w:t>S</w:t>
      </w:r>
      <w:r w:rsidR="00D7680C">
        <w:t>avienības</w:t>
      </w:r>
      <w:r w:rsidR="002F4846">
        <w:t xml:space="preserve"> iestāžu, dalībvalstu un visu svarīgāko ieinteresēto personu kopīga atbildība, kas prasa saskaņotus centienus un ciešu sadarbību četros darba virzienos:</w:t>
      </w:r>
    </w:p>
    <w:p w14:paraId="0A8B2FF9" w14:textId="3DA1FBA8" w:rsidR="002F4846" w:rsidRPr="002F4846" w:rsidRDefault="002F4846" w:rsidP="002F4846">
      <w:pPr>
        <w:numPr>
          <w:ilvl w:val="0"/>
          <w:numId w:val="19"/>
        </w:numPr>
        <w:spacing w:before="120" w:after="120"/>
        <w:jc w:val="both"/>
      </w:pPr>
      <w:r w:rsidRPr="002F4846">
        <w:rPr>
          <w:b/>
          <w:bCs/>
        </w:rPr>
        <w:t>Iedzīvotāji un uzkrājumi.</w:t>
      </w:r>
      <w:r w:rsidR="003C32AD">
        <w:t xml:space="preserve"> </w:t>
      </w:r>
      <w:r w:rsidRPr="002F4846">
        <w:t>Privātajiem noguldītājiem jau tagad ir būtiska loma E</w:t>
      </w:r>
      <w:r w:rsidR="005270E5">
        <w:t xml:space="preserve">iropas </w:t>
      </w:r>
      <w:r w:rsidRPr="002F4846">
        <w:t>S</w:t>
      </w:r>
      <w:r w:rsidR="005270E5">
        <w:t>avienības</w:t>
      </w:r>
      <w:r w:rsidRPr="002F4846">
        <w:t xml:space="preserve"> ekonomikas finansēšanā no banku noguldījumiem, taču vajadzētu būt iespējai, ja viņi to vēlas, turēt vairāk savu uzkrājumu ienesīgākos kapitāla tirgus instrumentos, tostarp veidojot pensijas uzkrājumus.</w:t>
      </w:r>
    </w:p>
    <w:p w14:paraId="18BC282B" w14:textId="0A40374C" w:rsidR="002F4846" w:rsidRPr="002F4846" w:rsidRDefault="002F4846" w:rsidP="002F4846">
      <w:pPr>
        <w:numPr>
          <w:ilvl w:val="0"/>
          <w:numId w:val="19"/>
        </w:numPr>
        <w:spacing w:before="120" w:after="120"/>
        <w:jc w:val="both"/>
      </w:pPr>
      <w:r w:rsidRPr="002F4846">
        <w:rPr>
          <w:b/>
          <w:bCs/>
        </w:rPr>
        <w:lastRenderedPageBreak/>
        <w:t>Investīcijas un finansējums.</w:t>
      </w:r>
      <w:r w:rsidR="003C32AD">
        <w:t xml:space="preserve"> </w:t>
      </w:r>
      <w:r w:rsidRPr="002F4846">
        <w:t xml:space="preserve">Lai stimulētu investīcijas, </w:t>
      </w:r>
      <w:r w:rsidR="00441BEC">
        <w:t xml:space="preserve">it īpaši </w:t>
      </w:r>
      <w:r w:rsidRPr="002F4846">
        <w:t xml:space="preserve">sevišķi kritiski svarīgās nozarēs, </w:t>
      </w:r>
      <w:r w:rsidR="005270E5">
        <w:t xml:space="preserve">Eiropas </w:t>
      </w:r>
      <w:r w:rsidRPr="002F4846">
        <w:t>Komisija ieviesīs iniciatīvas ar mērķi uzlabot kapitāla pieejamību un piekļuvi visiem uzņēmumiem, tostarp maziem un vidējiem uzņēmumiem.</w:t>
      </w:r>
    </w:p>
    <w:p w14:paraId="055DC2C1" w14:textId="5C961B3A" w:rsidR="002F4846" w:rsidRPr="002F4846" w:rsidRDefault="002F4846" w:rsidP="002F4846">
      <w:pPr>
        <w:numPr>
          <w:ilvl w:val="0"/>
          <w:numId w:val="19"/>
        </w:numPr>
        <w:spacing w:before="120" w:after="120"/>
        <w:jc w:val="both"/>
      </w:pPr>
      <w:r w:rsidRPr="002F4846">
        <w:rPr>
          <w:b/>
          <w:bCs/>
        </w:rPr>
        <w:t>Integrācija un mērogs.</w:t>
      </w:r>
      <w:r w:rsidR="003C32AD">
        <w:t xml:space="preserve"> </w:t>
      </w:r>
      <w:r w:rsidRPr="002F4846">
        <w:t>Sadrumstalotības radītās neefektivitātes samazināšana prasīs ievērojamus centienus novērst jebkādus regulatīvus vai uzraudzības šķēršļus tirgus infrastruktūras, aktīvu pārvaldības un līdzekļu sadales pārrobežu darbībām. Tas ļaus uzņēmumiem efektīvi izvērst darbību visā E</w:t>
      </w:r>
      <w:r w:rsidR="00BC09F7">
        <w:t xml:space="preserve">iropas </w:t>
      </w:r>
      <w:r w:rsidRPr="002F4846">
        <w:t>S</w:t>
      </w:r>
      <w:r w:rsidR="00BC09F7">
        <w:t>avienībā</w:t>
      </w:r>
      <w:r w:rsidRPr="002F4846">
        <w:t>.</w:t>
      </w:r>
    </w:p>
    <w:p w14:paraId="79052460" w14:textId="34D04030" w:rsidR="002F4846" w:rsidRPr="002F4846" w:rsidRDefault="002F4846" w:rsidP="002F4846">
      <w:pPr>
        <w:numPr>
          <w:ilvl w:val="0"/>
          <w:numId w:val="19"/>
        </w:numPr>
        <w:spacing w:before="120" w:after="120"/>
        <w:jc w:val="both"/>
      </w:pPr>
      <w:r w:rsidRPr="002F4846">
        <w:rPr>
          <w:b/>
          <w:bCs/>
        </w:rPr>
        <w:t>Efektīva uzraudzība vienotajā tirgū.</w:t>
      </w:r>
      <w:r w:rsidR="003C32AD">
        <w:t xml:space="preserve"> </w:t>
      </w:r>
      <w:r w:rsidRPr="002F4846">
        <w:t>Komisija ierosinās pasākumus, kam jānodrošina, ka attieksme ir vienāda pret visiem finanšu tirgus dalībniekiem neatkarīgi no to atrašanās vietas E</w:t>
      </w:r>
      <w:r w:rsidR="009120FB">
        <w:t xml:space="preserve">iropas </w:t>
      </w:r>
      <w:r w:rsidRPr="002F4846">
        <w:t>S</w:t>
      </w:r>
      <w:r w:rsidR="00854218">
        <w:t>avienībā</w:t>
      </w:r>
      <w:r w:rsidRPr="002F4846">
        <w:t>. Tas nozīmēs konverģences instrumentu pastiprinātu lietošanu, kā arī uzraudzības kompetenču pārdali starp valstu un E</w:t>
      </w:r>
      <w:r w:rsidR="006E691B">
        <w:t xml:space="preserve">iropas </w:t>
      </w:r>
      <w:r w:rsidRPr="002F4846">
        <w:t>S</w:t>
      </w:r>
      <w:r w:rsidR="006E691B">
        <w:t>avienības</w:t>
      </w:r>
      <w:r w:rsidRPr="002F4846">
        <w:t xml:space="preserve"> līmeni.</w:t>
      </w:r>
    </w:p>
    <w:p w14:paraId="555174E7" w14:textId="5C786F94" w:rsidR="002F4846" w:rsidRDefault="002F4846" w:rsidP="00095BBF">
      <w:pPr>
        <w:spacing w:before="120" w:after="120"/>
        <w:ind w:firstLine="720"/>
        <w:jc w:val="both"/>
      </w:pPr>
      <w:r w:rsidRPr="002F4846">
        <w:t xml:space="preserve">Visbeidzot, </w:t>
      </w:r>
      <w:r w:rsidR="007C5B14">
        <w:t>uzkrājumu un investīciju savienības</w:t>
      </w:r>
      <w:r w:rsidRPr="002F4846">
        <w:t xml:space="preserve"> mērķis ir arī sekmēt </w:t>
      </w:r>
      <w:r w:rsidRPr="002F4846">
        <w:rPr>
          <w:b/>
          <w:bCs/>
        </w:rPr>
        <w:t>E</w:t>
      </w:r>
      <w:r w:rsidR="007C5B14">
        <w:rPr>
          <w:b/>
          <w:bCs/>
        </w:rPr>
        <w:t xml:space="preserve">iropas </w:t>
      </w:r>
      <w:r w:rsidRPr="002F4846">
        <w:rPr>
          <w:b/>
          <w:bCs/>
        </w:rPr>
        <w:t>S</w:t>
      </w:r>
      <w:r w:rsidR="007C5B14">
        <w:rPr>
          <w:b/>
          <w:bCs/>
        </w:rPr>
        <w:t>avienības</w:t>
      </w:r>
      <w:r w:rsidRPr="002F4846">
        <w:rPr>
          <w:b/>
          <w:bCs/>
        </w:rPr>
        <w:t xml:space="preserve"> banku nozares integrāciju un konkurētspēju</w:t>
      </w:r>
      <w:r w:rsidRPr="002F4846">
        <w:t xml:space="preserve">, tostarp padziļinot banku savienību. </w:t>
      </w:r>
      <w:r w:rsidR="005F6584">
        <w:t xml:space="preserve">Eiropas </w:t>
      </w:r>
      <w:r w:rsidRPr="002F4846">
        <w:t>Komisija arī izvērtēs banku sistēmas vispārējo situāciju vienotajā tirgū, tostarp tās konkurētspēju.</w:t>
      </w:r>
    </w:p>
    <w:p w14:paraId="571CEE27" w14:textId="4EA73177" w:rsidR="00095717" w:rsidRDefault="00095717" w:rsidP="00095BBF">
      <w:pPr>
        <w:spacing w:before="120" w:after="120"/>
        <w:ind w:firstLine="720"/>
        <w:jc w:val="both"/>
      </w:pPr>
      <w:r>
        <w:t>Eiropas Komisija uzkrājumu un investīciju savienības stratēģijā uzsver, ka</w:t>
      </w:r>
      <w:r w:rsidR="007B5734">
        <w:t xml:space="preserve"> tā aptver visu Eiropas Savienības</w:t>
      </w:r>
      <w:r w:rsidR="00E860F4">
        <w:t xml:space="preserve"> finanšu sistēmu un tā jāattīsta gan Eiropas Savienības, gan nacionālā līmenī. </w:t>
      </w:r>
      <w:r w:rsidR="000278FE">
        <w:t>Tā</w:t>
      </w:r>
      <w:r w:rsidR="00253576">
        <w:t xml:space="preserve">s </w:t>
      </w:r>
      <w:r w:rsidR="000278FE">
        <w:t>izveide ir dalīta Eiropas Savienības</w:t>
      </w:r>
      <w:r w:rsidR="001144E9">
        <w:t xml:space="preserve"> </w:t>
      </w:r>
      <w:r w:rsidR="008A5492">
        <w:t>un dalībvalstu atbildība</w:t>
      </w:r>
      <w:r w:rsidR="005F553C">
        <w:t xml:space="preserve">, kas ietver </w:t>
      </w:r>
      <w:r w:rsidR="00007A95">
        <w:t xml:space="preserve">dalībvalstu rīcību, lai novērstu atšķirības, kas pastāv </w:t>
      </w:r>
      <w:r w:rsidR="0065111D">
        <w:t xml:space="preserve">kapitāla tirgus </w:t>
      </w:r>
      <w:r w:rsidR="00BF5A9F">
        <w:t>darbību</w:t>
      </w:r>
      <w:r w:rsidR="0065111D">
        <w:t xml:space="preserve"> ietekmējošajos normatīvajos aktos</w:t>
      </w:r>
      <w:r w:rsidR="00591301">
        <w:t>, tajā skaitā attiecībā uz vērtspapīriem, komercties</w:t>
      </w:r>
      <w:r w:rsidR="00100F52">
        <w:t>īb</w:t>
      </w:r>
      <w:r w:rsidR="00F639D9">
        <w:t>ām</w:t>
      </w:r>
      <w:r w:rsidR="00100F52">
        <w:t xml:space="preserve"> un maksātnespējas regulējumu</w:t>
      </w:r>
      <w:r w:rsidR="00D60EF0">
        <w:t xml:space="preserve">, kā arī </w:t>
      </w:r>
      <w:r w:rsidR="00B05FEC">
        <w:t xml:space="preserve">uz </w:t>
      </w:r>
      <w:r w:rsidR="000F1BFF">
        <w:t>administratīv</w:t>
      </w:r>
      <w:r w:rsidR="00414031">
        <w:t>ajiem</w:t>
      </w:r>
      <w:r w:rsidR="00D60EF0">
        <w:t xml:space="preserve"> un </w:t>
      </w:r>
      <w:r w:rsidR="001B5C87">
        <w:t>tiesvedības procesiem</w:t>
      </w:r>
      <w:r w:rsidR="43224326">
        <w:t>.</w:t>
      </w:r>
    </w:p>
    <w:p w14:paraId="5FD332B2" w14:textId="775C0852" w:rsidR="00E73640" w:rsidRDefault="00F03D5B" w:rsidP="00E73640">
      <w:pPr>
        <w:spacing w:before="120" w:after="120"/>
        <w:ind w:firstLine="720"/>
        <w:jc w:val="both"/>
      </w:pPr>
      <w:r>
        <w:t xml:space="preserve">Eiropas Komisijas ieskatā strauji mainīgie ģeopolitiskie un </w:t>
      </w:r>
      <w:r w:rsidR="00AE58AA">
        <w:t>ekonomiskie</w:t>
      </w:r>
      <w:r>
        <w:t xml:space="preserve"> procesi padara uzkrājumu</w:t>
      </w:r>
      <w:r w:rsidR="002E1148">
        <w:t xml:space="preserve"> un </w:t>
      </w:r>
      <w:r w:rsidR="00F329E5">
        <w:t xml:space="preserve">investīciju stratēģiju par </w:t>
      </w:r>
      <w:r w:rsidR="00911B8E">
        <w:t xml:space="preserve">būtisku projektu, kas prasa nekavējošu </w:t>
      </w:r>
      <w:r w:rsidR="00DF71E1">
        <w:t>rīcību</w:t>
      </w:r>
      <w:r w:rsidR="00F54B69">
        <w:t xml:space="preserve">, apņemšanos un </w:t>
      </w:r>
      <w:r w:rsidR="00C43CEF">
        <w:t>politisko gribu</w:t>
      </w:r>
      <w:r w:rsidR="0056531E">
        <w:t xml:space="preserve">. </w:t>
      </w:r>
      <w:r w:rsidR="009559C7">
        <w:t xml:space="preserve">Eiropas Komisijas plāno </w:t>
      </w:r>
      <w:r w:rsidR="00E73640">
        <w:t>stratēģijā ierosinātās darbības turpmāk pilnveidot, turpinot dialogu ar ieinteresētajām personām. U</w:t>
      </w:r>
      <w:r w:rsidR="00C8462C">
        <w:t xml:space="preserve">zkrājumu un </w:t>
      </w:r>
      <w:r w:rsidR="00B76445">
        <w:t xml:space="preserve">investīciju savienības </w:t>
      </w:r>
      <w:r w:rsidR="00E73640">
        <w:t xml:space="preserve">īstenošana balstīsies gan uz leģislatīviem, gan neleģislatīviem pasākumiem, kā arī uz pasākumiem, kas jāizstrādā pašām dalībvalstīm. </w:t>
      </w:r>
      <w:r w:rsidR="00C52EF8">
        <w:t xml:space="preserve">Lielāko daļu pasākumu </w:t>
      </w:r>
      <w:r w:rsidR="00046BBB">
        <w:t xml:space="preserve">plānots </w:t>
      </w:r>
      <w:r w:rsidR="007E0CC7">
        <w:t xml:space="preserve">izsludināt jau 2025. un 2026.gadā. </w:t>
      </w:r>
      <w:r w:rsidR="00E73640">
        <w:t xml:space="preserve">2027. gada </w:t>
      </w:r>
      <w:r w:rsidR="00A9747D">
        <w:t>otrajā</w:t>
      </w:r>
      <w:r w:rsidR="00E73640">
        <w:t xml:space="preserve"> ceturksnī </w:t>
      </w:r>
      <w:r w:rsidR="007E0CC7">
        <w:t xml:space="preserve">Eiropas </w:t>
      </w:r>
      <w:r w:rsidR="00E73640">
        <w:t>Komisija publicēs vidusposma pārskatu par vispārējām sekmēm uzkrājumu un investīciju savienības izveidē.</w:t>
      </w:r>
    </w:p>
    <w:p w14:paraId="5AFC5185" w14:textId="77777777" w:rsidR="005264B0" w:rsidRDefault="005264B0" w:rsidP="00E73640">
      <w:pPr>
        <w:spacing w:before="120" w:after="120"/>
        <w:ind w:firstLine="720"/>
        <w:jc w:val="both"/>
      </w:pPr>
    </w:p>
    <w:p w14:paraId="7F25FC90" w14:textId="77777777" w:rsidR="005264B0" w:rsidRDefault="005264B0" w:rsidP="00E73640">
      <w:pPr>
        <w:spacing w:before="120" w:after="120"/>
        <w:ind w:firstLine="720"/>
        <w:jc w:val="both"/>
      </w:pPr>
    </w:p>
    <w:p w14:paraId="7E1107E7" w14:textId="77777777" w:rsidR="005264B0" w:rsidRDefault="005264B0" w:rsidP="00E73640">
      <w:pPr>
        <w:spacing w:before="120" w:after="120"/>
        <w:ind w:firstLine="720"/>
        <w:jc w:val="both"/>
      </w:pPr>
    </w:p>
    <w:p w14:paraId="6B6260AE" w14:textId="77777777" w:rsidR="00BC3EDD" w:rsidRDefault="00BC3EDD" w:rsidP="00E73640">
      <w:pPr>
        <w:spacing w:before="120" w:after="120"/>
        <w:ind w:firstLine="720"/>
        <w:jc w:val="both"/>
      </w:pPr>
    </w:p>
    <w:p w14:paraId="533E7DB5" w14:textId="77777777" w:rsidR="00BC3EDD" w:rsidRDefault="00BC3EDD" w:rsidP="00E73640">
      <w:pPr>
        <w:spacing w:before="120" w:after="120"/>
        <w:ind w:firstLine="720"/>
        <w:jc w:val="both"/>
      </w:pPr>
    </w:p>
    <w:p w14:paraId="54EDC9E7" w14:textId="77777777" w:rsidR="005264B0" w:rsidRDefault="005264B0" w:rsidP="00E73640">
      <w:pPr>
        <w:spacing w:before="120" w:after="120"/>
        <w:ind w:firstLine="720"/>
        <w:jc w:val="both"/>
      </w:pPr>
    </w:p>
    <w:p w14:paraId="3AED675B" w14:textId="77777777" w:rsidR="005264B0" w:rsidRDefault="005264B0" w:rsidP="00E73640">
      <w:pPr>
        <w:spacing w:before="120" w:after="120"/>
        <w:ind w:firstLine="720"/>
        <w:jc w:val="both"/>
      </w:pPr>
    </w:p>
    <w:p w14:paraId="42D5892D" w14:textId="77777777" w:rsidR="005264B0" w:rsidRPr="00E73640" w:rsidRDefault="005264B0" w:rsidP="00E73640">
      <w:pPr>
        <w:spacing w:before="120" w:after="120"/>
        <w:ind w:firstLine="720"/>
        <w:jc w:val="both"/>
      </w:pPr>
    </w:p>
    <w:p w14:paraId="6F757B04" w14:textId="149D0FD5" w:rsidR="00E15441" w:rsidRPr="00E15441" w:rsidRDefault="00E15441" w:rsidP="00E73640">
      <w:pPr>
        <w:spacing w:before="120" w:after="120"/>
        <w:ind w:firstLine="720"/>
        <w:jc w:val="both"/>
        <w:rPr>
          <w:b/>
          <w:bCs/>
        </w:rPr>
      </w:pPr>
      <w:r>
        <w:rPr>
          <w:b/>
          <w:bCs/>
        </w:rPr>
        <w:t xml:space="preserve">2.att. </w:t>
      </w:r>
      <w:r w:rsidR="00FD3CEE">
        <w:rPr>
          <w:b/>
          <w:bCs/>
        </w:rPr>
        <w:t>Uzkrājumu un investīciju savienības stratēģijas galvenie elementi</w:t>
      </w:r>
    </w:p>
    <w:p w14:paraId="6088CD74" w14:textId="77777777" w:rsidR="00FD3CEE" w:rsidRDefault="14FC9C08" w:rsidP="00FD3CEE">
      <w:pPr>
        <w:spacing w:before="120" w:after="120" w:line="257" w:lineRule="auto"/>
        <w:ind w:left="-142" w:firstLine="709"/>
        <w:jc w:val="both"/>
      </w:pPr>
      <w:r>
        <w:rPr>
          <w:noProof/>
        </w:rPr>
        <w:lastRenderedPageBreak/>
        <w:drawing>
          <wp:inline distT="0" distB="0" distL="0" distR="0" wp14:anchorId="77D56738" wp14:editId="58FC294C">
            <wp:extent cx="4438650" cy="3133725"/>
            <wp:effectExtent l="0" t="0" r="0" b="0"/>
            <wp:docPr id="860430643" name="Picture 86043064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430643"/>
                    <pic:cNvPicPr/>
                  </pic:nvPicPr>
                  <pic:blipFill>
                    <a:blip r:embed="rId13">
                      <a:extLst>
                        <a:ext uri="{28A0092B-C50C-407E-A947-70E740481C1C}">
                          <a14:useLocalDpi xmlns:a14="http://schemas.microsoft.com/office/drawing/2010/main" val="0"/>
                        </a:ext>
                      </a:extLst>
                    </a:blip>
                    <a:stretch>
                      <a:fillRect/>
                    </a:stretch>
                  </pic:blipFill>
                  <pic:spPr>
                    <a:xfrm>
                      <a:off x="0" y="0"/>
                      <a:ext cx="4438650" cy="3133725"/>
                    </a:xfrm>
                    <a:prstGeom prst="rect">
                      <a:avLst/>
                    </a:prstGeom>
                  </pic:spPr>
                </pic:pic>
              </a:graphicData>
            </a:graphic>
          </wp:inline>
        </w:drawing>
      </w:r>
    </w:p>
    <w:p w14:paraId="5371FE2E" w14:textId="08FCAD16" w:rsidR="00A2726F" w:rsidRPr="00CC5504" w:rsidRDefault="53EBABD9" w:rsidP="00FD3CEE">
      <w:pPr>
        <w:spacing w:before="120" w:after="120" w:line="257" w:lineRule="auto"/>
        <w:ind w:left="-142" w:firstLine="709"/>
        <w:jc w:val="both"/>
        <w:rPr>
          <w:rFonts w:eastAsia="Times New Roman" w:cs="Times New Roman"/>
        </w:rPr>
      </w:pPr>
      <w:r w:rsidRPr="43893D6D">
        <w:rPr>
          <w:rFonts w:eastAsia="Times New Roman" w:cs="Times New Roman"/>
        </w:rPr>
        <w:t>B</w:t>
      </w:r>
      <w:r w:rsidR="6EE1D5E2" w:rsidRPr="43893D6D">
        <w:rPr>
          <w:rFonts w:eastAsia="Times New Roman" w:cs="Times New Roman"/>
        </w:rPr>
        <w:t xml:space="preserve">ez Uzkrājumu un investīciju savienības stratēģijā paredzētajiem pasākumiem </w:t>
      </w:r>
      <w:r w:rsidR="00A2726F" w:rsidRPr="43893D6D">
        <w:rPr>
          <w:rFonts w:eastAsia="Times New Roman" w:cs="Times New Roman"/>
        </w:rPr>
        <w:t>2025.gada sākumā Eiropas Komisija ir jau uzsākusi vairāku iniciatīvu īstenošanu</w:t>
      </w:r>
      <w:r w:rsidR="28A6971E" w:rsidRPr="43893D6D">
        <w:rPr>
          <w:rFonts w:eastAsia="Times New Roman" w:cs="Times New Roman"/>
        </w:rPr>
        <w:t>:</w:t>
      </w:r>
    </w:p>
    <w:p w14:paraId="57311D33" w14:textId="4B0D8EB1" w:rsidR="00A2726F"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t xml:space="preserve">2025. gada 29. janvārī Eiropas Komisijas paziņojums par Konkurētspējas kompasu, kas ietver plašāku </w:t>
      </w:r>
      <w:r w:rsidR="7D74CD3E" w:rsidRPr="43893D6D">
        <w:rPr>
          <w:rFonts w:eastAsia="Times New Roman" w:cs="Times New Roman"/>
        </w:rPr>
        <w:t xml:space="preserve">pasākumu kopumu, </w:t>
      </w:r>
      <w:r w:rsidR="47143BC0" w:rsidRPr="43893D6D">
        <w:rPr>
          <w:rFonts w:eastAsia="Times New Roman" w:cs="Times New Roman"/>
        </w:rPr>
        <w:t>lai</w:t>
      </w:r>
      <w:r w:rsidR="7D74CD3E" w:rsidRPr="43893D6D">
        <w:rPr>
          <w:rFonts w:eastAsia="Times New Roman" w:cs="Times New Roman"/>
        </w:rPr>
        <w:t xml:space="preserve"> </w:t>
      </w:r>
      <w:r w:rsidRPr="43893D6D">
        <w:rPr>
          <w:rFonts w:eastAsia="Times New Roman" w:cs="Times New Roman"/>
        </w:rPr>
        <w:t>sekmē</w:t>
      </w:r>
      <w:r w:rsidR="5430154B" w:rsidRPr="43893D6D">
        <w:rPr>
          <w:rFonts w:eastAsia="Times New Roman" w:cs="Times New Roman"/>
        </w:rPr>
        <w:t>tu</w:t>
      </w:r>
      <w:r w:rsidRPr="43893D6D">
        <w:rPr>
          <w:rFonts w:eastAsia="Times New Roman" w:cs="Times New Roman"/>
        </w:rPr>
        <w:t xml:space="preserve"> inovāciju jomu,  piedāvā ceļu karti konkurētspējas jomā un dekarobizācijā (enerģētikas joma) un</w:t>
      </w:r>
      <w:r w:rsidR="2C96C09D" w:rsidRPr="43893D6D">
        <w:rPr>
          <w:rFonts w:eastAsia="Times New Roman" w:cs="Times New Roman"/>
        </w:rPr>
        <w:t xml:space="preserve"> </w:t>
      </w:r>
      <w:r w:rsidRPr="43893D6D">
        <w:rPr>
          <w:rFonts w:eastAsia="Times New Roman" w:cs="Times New Roman"/>
        </w:rPr>
        <w:t xml:space="preserve"> priekšlikumus drošības jomā</w:t>
      </w:r>
      <w:r w:rsidR="5C040532" w:rsidRPr="43893D6D">
        <w:rPr>
          <w:rFonts w:eastAsia="Times New Roman" w:cs="Times New Roman"/>
        </w:rPr>
        <w:t>;</w:t>
      </w:r>
    </w:p>
    <w:p w14:paraId="123A1C59" w14:textId="6F17D11F" w:rsidR="00A2726F"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t xml:space="preserve">2025. gada 26. februārī Eiropas Komisija nāca klajā ar priekšlikumu </w:t>
      </w:r>
      <w:r w:rsidR="1E7F7498" w:rsidRPr="43893D6D">
        <w:rPr>
          <w:rFonts w:eastAsia="Times New Roman" w:cs="Times New Roman"/>
        </w:rPr>
        <w:t>O</w:t>
      </w:r>
      <w:r w:rsidRPr="43893D6D">
        <w:rPr>
          <w:rFonts w:eastAsia="Times New Roman" w:cs="Times New Roman"/>
        </w:rPr>
        <w:t>mnibus pak</w:t>
      </w:r>
      <w:r w:rsidR="1A44CB87" w:rsidRPr="43893D6D">
        <w:rPr>
          <w:rFonts w:eastAsia="Times New Roman" w:cs="Times New Roman"/>
        </w:rPr>
        <w:t>otne</w:t>
      </w:r>
      <w:r w:rsidRPr="43893D6D">
        <w:rPr>
          <w:rFonts w:eastAsia="Times New Roman" w:cs="Times New Roman"/>
        </w:rPr>
        <w:t xml:space="preserve"> par regulējuma vienkāršošanu ilgtspējīgu finanšu jomā</w:t>
      </w:r>
      <w:r w:rsidR="00600723">
        <w:rPr>
          <w:rStyle w:val="FootnoteReference"/>
          <w:rFonts w:eastAsia="Times New Roman" w:cs="Times New Roman"/>
        </w:rPr>
        <w:footnoteReference w:id="3"/>
      </w:r>
      <w:r w:rsidR="00FF7935">
        <w:rPr>
          <w:rStyle w:val="FootnoteReference"/>
          <w:rFonts w:eastAsia="Times New Roman" w:cs="Times New Roman"/>
        </w:rPr>
        <w:footnoteReference w:id="4"/>
      </w:r>
      <w:r w:rsidRPr="43893D6D">
        <w:rPr>
          <w:rFonts w:eastAsia="Times New Roman" w:cs="Times New Roman"/>
        </w:rPr>
        <w:t>:</w:t>
      </w:r>
    </w:p>
    <w:p w14:paraId="5A5E4E9C" w14:textId="1D3AA3B9" w:rsidR="00A2726F" w:rsidRDefault="683AF251"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i</w:t>
      </w:r>
      <w:r w:rsidR="00A2726F" w:rsidRPr="43893D6D">
        <w:rPr>
          <w:rFonts w:eastAsia="Times New Roman" w:cs="Times New Roman"/>
        </w:rPr>
        <w:t xml:space="preserve">lgtspējas informācijas atklāšanas direktīva </w:t>
      </w:r>
      <w:r w:rsidR="00061B9B" w:rsidRPr="00061B9B">
        <w:rPr>
          <w:rFonts w:eastAsia="Times New Roman" w:cs="Times New Roman"/>
        </w:rPr>
        <w:t xml:space="preserve"> </w:t>
      </w:r>
      <w:r w:rsidR="00A2726F" w:rsidRPr="43893D6D">
        <w:rPr>
          <w:rFonts w:eastAsia="Times New Roman" w:cs="Times New Roman"/>
        </w:rPr>
        <w:t>tiek attiecināta uz lielākiem uzņēmumiem (virs 1000 darbinieku), samazinot regulatīvo slogu</w:t>
      </w:r>
      <w:r w:rsidR="44D0DFBA" w:rsidRPr="43893D6D">
        <w:rPr>
          <w:rFonts w:eastAsia="Times New Roman" w:cs="Times New Roman"/>
        </w:rPr>
        <w:t>;</w:t>
      </w:r>
    </w:p>
    <w:p w14:paraId="6EFA8D10" w14:textId="22E6205C" w:rsidR="00A2726F" w:rsidRDefault="44D0DFBA"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i</w:t>
      </w:r>
      <w:r w:rsidR="00A2726F" w:rsidRPr="43893D6D">
        <w:rPr>
          <w:rFonts w:eastAsia="Times New Roman" w:cs="Times New Roman"/>
        </w:rPr>
        <w:t>lgtspējas informācijas atklāšanas slogs noņemts lielo uzņēmumu piegāžu ķēdēs no mazākiem uzņēmumiem</w:t>
      </w:r>
      <w:r w:rsidR="42BCCB23" w:rsidRPr="43893D6D">
        <w:rPr>
          <w:rFonts w:eastAsia="Times New Roman" w:cs="Times New Roman"/>
        </w:rPr>
        <w:t>;</w:t>
      </w:r>
      <w:r w:rsidR="00A2726F" w:rsidRPr="43893D6D">
        <w:rPr>
          <w:rFonts w:eastAsia="Times New Roman" w:cs="Times New Roman"/>
        </w:rPr>
        <w:t xml:space="preserve"> </w:t>
      </w:r>
    </w:p>
    <w:p w14:paraId="1D028937" w14:textId="47A0AB74" w:rsidR="00A2726F" w:rsidRDefault="6B7CD391"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i</w:t>
      </w:r>
      <w:r w:rsidR="00A2726F" w:rsidRPr="43893D6D">
        <w:rPr>
          <w:rFonts w:eastAsia="Times New Roman" w:cs="Times New Roman"/>
        </w:rPr>
        <w:t>erosināts pārskatīt ES ilgtspējīgu finanšu taksonomijas prasības, un kritēriji, kas nosaka kuras aktivitātes ir “ilgtspējīgas” un nedara būtisku kaitējumu</w:t>
      </w:r>
      <w:r w:rsidR="5B69333A" w:rsidRPr="43893D6D">
        <w:rPr>
          <w:rFonts w:eastAsia="Times New Roman" w:cs="Times New Roman"/>
        </w:rPr>
        <w:t>;</w:t>
      </w:r>
      <w:r w:rsidR="00A2726F" w:rsidRPr="43893D6D">
        <w:rPr>
          <w:rFonts w:eastAsia="Times New Roman" w:cs="Times New Roman"/>
        </w:rPr>
        <w:t xml:space="preserve"> </w:t>
      </w:r>
    </w:p>
    <w:p w14:paraId="0556B3C3" w14:textId="5E2B525E" w:rsidR="00A2726F" w:rsidRPr="006A4AF7" w:rsidRDefault="4DBB3B78" w:rsidP="00747BA7">
      <w:pPr>
        <w:pStyle w:val="ListParagraph"/>
        <w:numPr>
          <w:ilvl w:val="1"/>
          <w:numId w:val="25"/>
        </w:numPr>
        <w:spacing w:line="257" w:lineRule="auto"/>
        <w:jc w:val="both"/>
        <w:rPr>
          <w:rFonts w:eastAsia="Times New Roman" w:cs="Times New Roman"/>
        </w:rPr>
      </w:pPr>
      <w:r w:rsidRPr="43893D6D">
        <w:rPr>
          <w:rFonts w:eastAsia="Times New Roman" w:cs="Times New Roman"/>
        </w:rPr>
        <w:t>p</w:t>
      </w:r>
      <w:r w:rsidR="00A2726F" w:rsidRPr="43893D6D">
        <w:rPr>
          <w:rFonts w:eastAsia="Times New Roman" w:cs="Times New Roman"/>
        </w:rPr>
        <w:t>ārcelts ilgtspējas ziņojumu (</w:t>
      </w:r>
      <w:r w:rsidR="00A2726F" w:rsidRPr="43893D6D">
        <w:rPr>
          <w:rFonts w:eastAsia="Times New Roman" w:cs="Times New Roman"/>
          <w:i/>
          <w:iCs/>
        </w:rPr>
        <w:t>due dil</w:t>
      </w:r>
      <w:r w:rsidR="00682445" w:rsidRPr="43893D6D">
        <w:rPr>
          <w:rFonts w:eastAsia="Times New Roman" w:cs="Times New Roman"/>
          <w:i/>
          <w:iCs/>
        </w:rPr>
        <w:t>l</w:t>
      </w:r>
      <w:r w:rsidR="00A2726F" w:rsidRPr="43893D6D">
        <w:rPr>
          <w:rFonts w:eastAsia="Times New Roman" w:cs="Times New Roman"/>
          <w:i/>
          <w:iCs/>
        </w:rPr>
        <w:t>igence</w:t>
      </w:r>
      <w:r w:rsidR="00A2726F" w:rsidRPr="43893D6D">
        <w:rPr>
          <w:rFonts w:eastAsia="Times New Roman" w:cs="Times New Roman"/>
        </w:rPr>
        <w:t xml:space="preserve">) spēkā stāšanās datums par </w:t>
      </w:r>
      <w:r w:rsidR="00450BBE" w:rsidRPr="43893D6D">
        <w:rPr>
          <w:rFonts w:eastAsia="Times New Roman" w:cs="Times New Roman"/>
        </w:rPr>
        <w:t>vienu</w:t>
      </w:r>
      <w:r w:rsidR="00A2726F" w:rsidRPr="43893D6D">
        <w:rPr>
          <w:rFonts w:eastAsia="Times New Roman" w:cs="Times New Roman"/>
        </w:rPr>
        <w:t xml:space="preserve"> gadu (uz 26.07.2028.).</w:t>
      </w:r>
    </w:p>
    <w:p w14:paraId="6A3AFCD4" w14:textId="4CC2D1A9" w:rsidR="00A2726F" w:rsidRPr="006A4AF7"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lastRenderedPageBreak/>
        <w:t>2025. gada 12. februārī Eiropas Komisija publicēja priekšlikumu pāreja uz īsāku norēķinu periodu (t+1) formātā, kas ietverti grozījumos Centrālo vērtspapīru depozitāriju regulā</w:t>
      </w:r>
      <w:r w:rsidR="00061B9B">
        <w:rPr>
          <w:rStyle w:val="FootnoteReference"/>
          <w:rFonts w:eastAsia="Times New Roman" w:cs="Times New Roman"/>
        </w:rPr>
        <w:footnoteReference w:id="5"/>
      </w:r>
      <w:r w:rsidR="599CCAFE" w:rsidRPr="43893D6D">
        <w:rPr>
          <w:rFonts w:eastAsia="Times New Roman" w:cs="Times New Roman"/>
        </w:rPr>
        <w:t>;</w:t>
      </w:r>
    </w:p>
    <w:p w14:paraId="3160F0DD" w14:textId="5DDE0B4C" w:rsidR="00192C96" w:rsidRPr="004F577E" w:rsidRDefault="00A2726F" w:rsidP="004F577E">
      <w:pPr>
        <w:pStyle w:val="ListParagraph"/>
        <w:numPr>
          <w:ilvl w:val="0"/>
          <w:numId w:val="24"/>
        </w:numPr>
        <w:spacing w:line="257" w:lineRule="auto"/>
        <w:jc w:val="both"/>
        <w:rPr>
          <w:rFonts w:eastAsia="Times New Roman" w:cs="Times New Roman"/>
        </w:rPr>
      </w:pPr>
      <w:r w:rsidRPr="004F577E">
        <w:rPr>
          <w:rFonts w:eastAsia="Times New Roman" w:cs="Times New Roman"/>
        </w:rPr>
        <w:t xml:space="preserve">Eiropas Komisijas </w:t>
      </w:r>
      <w:r w:rsidR="004F577E" w:rsidRPr="004F577E">
        <w:rPr>
          <w:rFonts w:eastAsia="Times New Roman" w:cs="Times New Roman"/>
        </w:rPr>
        <w:t>turpina</w:t>
      </w:r>
      <w:r w:rsidRPr="004F577E">
        <w:rPr>
          <w:rFonts w:eastAsia="Times New Roman" w:cs="Times New Roman"/>
        </w:rPr>
        <w:t xml:space="preserve"> horizontālu visu nozaru regulējuma vienkāršošanu (vienkāršošanas platforma un citi jautājumi</w:t>
      </w:r>
      <w:r w:rsidR="004F577E" w:rsidRPr="004F577E">
        <w:rPr>
          <w:rFonts w:eastAsia="Times New Roman" w:cs="Times New Roman"/>
        </w:rPr>
        <w:t xml:space="preserve">), </w:t>
      </w:r>
      <w:r w:rsidR="00B50EB4" w:rsidRPr="004F577E">
        <w:rPr>
          <w:rFonts w:eastAsia="Times New Roman" w:cs="Times New Roman"/>
        </w:rPr>
        <w:t xml:space="preserve">2025. gada 21. maijā Eiropas </w:t>
      </w:r>
      <w:r w:rsidR="00FD0779" w:rsidRPr="004F577E">
        <w:rPr>
          <w:rFonts w:eastAsia="Times New Roman" w:cs="Times New Roman"/>
        </w:rPr>
        <w:t>komisij</w:t>
      </w:r>
      <w:r w:rsidR="00FD0779">
        <w:rPr>
          <w:rFonts w:eastAsia="Times New Roman" w:cs="Times New Roman"/>
        </w:rPr>
        <w:t>a</w:t>
      </w:r>
      <w:r w:rsidR="00FD0779" w:rsidRPr="004F577E">
        <w:rPr>
          <w:rFonts w:eastAsia="Times New Roman" w:cs="Times New Roman"/>
        </w:rPr>
        <w:t xml:space="preserve"> </w:t>
      </w:r>
      <w:r w:rsidR="00B50EB4" w:rsidRPr="004F577E">
        <w:rPr>
          <w:rFonts w:eastAsia="Times New Roman" w:cs="Times New Roman"/>
        </w:rPr>
        <w:t>nāca klajā 4.omnibus vienkāršošanas priekšlikumu</w:t>
      </w:r>
      <w:r w:rsidR="00F862D5" w:rsidRPr="004F577E">
        <w:rPr>
          <w:rFonts w:eastAsia="Times New Roman" w:cs="Times New Roman"/>
        </w:rPr>
        <w:t xml:space="preserve">, lai samazinātu administratīvo slogu. </w:t>
      </w:r>
      <w:r w:rsidR="00774A1D">
        <w:rPr>
          <w:rFonts w:eastAsia="Times New Roman" w:cs="Times New Roman"/>
        </w:rPr>
        <w:t>Direktīvā 2004/39/EK par finanšu instrumentu tirgiem (</w:t>
      </w:r>
      <w:r w:rsidR="00F862D5" w:rsidRPr="004F577E">
        <w:rPr>
          <w:rFonts w:eastAsia="Times New Roman" w:cs="Times New Roman"/>
        </w:rPr>
        <w:t>MiFID</w:t>
      </w:r>
      <w:r w:rsidR="00774A1D">
        <w:rPr>
          <w:rFonts w:eastAsia="Times New Roman" w:cs="Times New Roman"/>
        </w:rPr>
        <w:t>)</w:t>
      </w:r>
      <w:r w:rsidR="00F862D5" w:rsidRPr="004F577E">
        <w:rPr>
          <w:rFonts w:eastAsia="Times New Roman" w:cs="Times New Roman"/>
        </w:rPr>
        <w:t xml:space="preserve"> regulējumā tiek ieviesta jauna uzņēmumu kategorija mazie </w:t>
      </w:r>
      <w:r w:rsidR="000919C9" w:rsidRPr="004F577E">
        <w:rPr>
          <w:rFonts w:eastAsia="Times New Roman" w:cs="Times New Roman"/>
        </w:rPr>
        <w:t>vidējas kapitalizācijas uzņēmumi</w:t>
      </w:r>
      <w:r w:rsidR="00F0306B" w:rsidRPr="004F577E">
        <w:rPr>
          <w:rFonts w:eastAsia="Times New Roman" w:cs="Times New Roman"/>
        </w:rPr>
        <w:t>,</w:t>
      </w:r>
      <w:r w:rsidR="00F0306B">
        <w:rPr>
          <w:rStyle w:val="FootnoteReference"/>
          <w:rFonts w:eastAsia="Times New Roman" w:cs="Times New Roman"/>
        </w:rPr>
        <w:footnoteReference w:id="6"/>
      </w:r>
    </w:p>
    <w:p w14:paraId="171DEC97" w14:textId="30E77E5C" w:rsidR="00A2726F" w:rsidRPr="006A4AF7" w:rsidRDefault="00816945" w:rsidP="00747BA7">
      <w:pPr>
        <w:pStyle w:val="ListParagraph"/>
        <w:numPr>
          <w:ilvl w:val="0"/>
          <w:numId w:val="24"/>
        </w:numPr>
        <w:spacing w:line="257" w:lineRule="auto"/>
        <w:jc w:val="both"/>
        <w:rPr>
          <w:rFonts w:eastAsia="Times New Roman" w:cs="Times New Roman"/>
        </w:rPr>
      </w:pPr>
      <w:r>
        <w:rPr>
          <w:rFonts w:eastAsia="Times New Roman" w:cs="Times New Roman"/>
        </w:rPr>
        <w:t xml:space="preserve">2025. gada 17. jūnijā Eiropas Komisija nāca klajā ar </w:t>
      </w:r>
      <w:r w:rsidR="00FD72A7">
        <w:rPr>
          <w:rFonts w:eastAsia="Times New Roman" w:cs="Times New Roman"/>
        </w:rPr>
        <w:t>priekšlikumu par</w:t>
      </w:r>
      <w:r w:rsidR="00FD0779">
        <w:rPr>
          <w:rFonts w:eastAsia="Times New Roman" w:cs="Times New Roman"/>
        </w:rPr>
        <w:t xml:space="preserve"> </w:t>
      </w:r>
      <w:r w:rsidR="00783C0D" w:rsidRPr="43893D6D">
        <w:rPr>
          <w:rFonts w:eastAsia="Times New Roman" w:cs="Times New Roman"/>
        </w:rPr>
        <w:t>v</w:t>
      </w:r>
      <w:r w:rsidR="00A2726F" w:rsidRPr="43893D6D">
        <w:rPr>
          <w:rFonts w:eastAsia="Times New Roman" w:cs="Times New Roman"/>
        </w:rPr>
        <w:t>ērtspapīrošanas regulējuma atvieglošan</w:t>
      </w:r>
      <w:r w:rsidR="00783C0D" w:rsidRPr="43893D6D">
        <w:rPr>
          <w:rFonts w:eastAsia="Times New Roman" w:cs="Times New Roman"/>
        </w:rPr>
        <w:t>u</w:t>
      </w:r>
      <w:r w:rsidR="00FD72A7">
        <w:rPr>
          <w:rStyle w:val="FootnoteReference"/>
          <w:rFonts w:eastAsia="Times New Roman" w:cs="Times New Roman"/>
        </w:rPr>
        <w:footnoteReference w:id="7"/>
      </w:r>
      <w:r w:rsidR="00A2726F" w:rsidRPr="43893D6D">
        <w:rPr>
          <w:rFonts w:eastAsia="Times New Roman" w:cs="Times New Roman"/>
        </w:rPr>
        <w:t xml:space="preserve">, </w:t>
      </w:r>
    </w:p>
    <w:p w14:paraId="720A0DEE" w14:textId="0F4E8EB0" w:rsidR="00A2726F" w:rsidRDefault="00A2726F" w:rsidP="00747BA7">
      <w:pPr>
        <w:pStyle w:val="ListParagraph"/>
        <w:numPr>
          <w:ilvl w:val="0"/>
          <w:numId w:val="24"/>
        </w:numPr>
        <w:spacing w:line="257" w:lineRule="auto"/>
        <w:jc w:val="both"/>
        <w:rPr>
          <w:rFonts w:eastAsia="Times New Roman" w:cs="Times New Roman"/>
        </w:rPr>
      </w:pPr>
      <w:r w:rsidRPr="43893D6D">
        <w:rPr>
          <w:rFonts w:eastAsia="Times New Roman" w:cs="Times New Roman"/>
        </w:rPr>
        <w:t xml:space="preserve">2025. gada </w:t>
      </w:r>
      <w:r w:rsidR="006E51E1">
        <w:rPr>
          <w:rFonts w:eastAsia="Times New Roman" w:cs="Times New Roman"/>
        </w:rPr>
        <w:t xml:space="preserve">30.septembrī </w:t>
      </w:r>
      <w:r w:rsidRPr="43893D6D">
        <w:rPr>
          <w:rFonts w:eastAsia="Times New Roman" w:cs="Times New Roman"/>
        </w:rPr>
        <w:t xml:space="preserve">Eiropas Komisijas </w:t>
      </w:r>
      <w:r w:rsidR="006E51E1">
        <w:rPr>
          <w:rFonts w:eastAsia="Times New Roman" w:cs="Times New Roman"/>
        </w:rPr>
        <w:t xml:space="preserve">nāca klajā ar ieteikumu dalībvalstīm par ieguldījumu un uzkrājumu kontiem, ko piedāvā finanšu iestādes un pakalpojumu sniedzēji, kas ļauj iedzīvotājiem savus uzkrājumus ieguldīt finanšu tirgus instrumentos. Šiem kontiem bieži vien ir nodokļu atvieglojumi un vienkāršotas nodokļu procedūras, kas padara tos ērtus un pievilcīgus ieguldījumu veikšanai. Uzkrājumu un ieguldījumu konti varētu veicināt spēcīgāku ieguldījumu kultūru. Dažās Eiropas Savienības dalībvalstīs šādi konti jau sekmīgi darbojas un Eiropas Komisija aicina tās dalībvalstis kur šādi konti nav, balstoties uz labāko praksi, izstrādāt ietvaru šādu kontu darbībai. </w:t>
      </w:r>
    </w:p>
    <w:p w14:paraId="3CAB4013" w14:textId="07D4D692" w:rsidR="00545768" w:rsidRPr="00545768" w:rsidRDefault="00545768" w:rsidP="00545768">
      <w:pPr>
        <w:pStyle w:val="ListParagraph"/>
        <w:numPr>
          <w:ilvl w:val="0"/>
          <w:numId w:val="24"/>
        </w:numPr>
        <w:spacing w:line="257" w:lineRule="auto"/>
        <w:jc w:val="both"/>
        <w:rPr>
          <w:rFonts w:eastAsia="Times New Roman" w:cs="Times New Roman"/>
        </w:rPr>
      </w:pPr>
      <w:r w:rsidRPr="00545768">
        <w:rPr>
          <w:rFonts w:eastAsia="Times New Roman" w:cs="Times New Roman"/>
        </w:rPr>
        <w:t xml:space="preserve">2025. gada 4.decembrī Eiropas Komisija nodeva apspriešanai </w:t>
      </w:r>
      <w:r w:rsidR="00FE0B9C">
        <w:rPr>
          <w:rFonts w:eastAsia="Times New Roman" w:cs="Times New Roman"/>
        </w:rPr>
        <w:t>kapitāla</w:t>
      </w:r>
      <w:r w:rsidRPr="00545768">
        <w:rPr>
          <w:rFonts w:eastAsia="Times New Roman" w:cs="Times New Roman"/>
        </w:rPr>
        <w:t xml:space="preserve"> </w:t>
      </w:r>
      <w:r w:rsidR="00774A1D">
        <w:rPr>
          <w:rFonts w:eastAsia="Times New Roman" w:cs="Times New Roman"/>
        </w:rPr>
        <w:t>t</w:t>
      </w:r>
      <w:r w:rsidRPr="00545768">
        <w:rPr>
          <w:rFonts w:eastAsia="Times New Roman" w:cs="Times New Roman"/>
        </w:rPr>
        <w:t xml:space="preserve">irgus </w:t>
      </w:r>
      <w:r w:rsidR="00225C76">
        <w:rPr>
          <w:rFonts w:eastAsia="Times New Roman" w:cs="Times New Roman"/>
        </w:rPr>
        <w:t>integrācijas un</w:t>
      </w:r>
      <w:r w:rsidRPr="00545768">
        <w:rPr>
          <w:rFonts w:eastAsia="Times New Roman" w:cs="Times New Roman"/>
        </w:rPr>
        <w:t xml:space="preserve"> uzraudzības tiesību aktu priekšlikumu pakotni</w:t>
      </w:r>
      <w:r w:rsidR="00344007">
        <w:rPr>
          <w:rStyle w:val="FootnoteReference"/>
          <w:rFonts w:eastAsia="Times New Roman" w:cs="Times New Roman"/>
        </w:rPr>
        <w:footnoteReference w:id="8"/>
      </w:r>
      <w:r w:rsidRPr="00545768">
        <w:rPr>
          <w:rFonts w:eastAsia="Times New Roman" w:cs="Times New Roman"/>
        </w:rPr>
        <w:t>. Pakotnes galvenie mērķi ir veicināt E</w:t>
      </w:r>
      <w:r w:rsidR="00774A1D">
        <w:rPr>
          <w:rFonts w:eastAsia="Times New Roman" w:cs="Times New Roman"/>
        </w:rPr>
        <w:t xml:space="preserve">iropas </w:t>
      </w:r>
      <w:r w:rsidRPr="00545768">
        <w:rPr>
          <w:rFonts w:eastAsia="Times New Roman" w:cs="Times New Roman"/>
        </w:rPr>
        <w:t>S</w:t>
      </w:r>
      <w:r w:rsidR="00774A1D">
        <w:rPr>
          <w:rFonts w:eastAsia="Times New Roman" w:cs="Times New Roman"/>
        </w:rPr>
        <w:t>avienības</w:t>
      </w:r>
      <w:r w:rsidRPr="00545768">
        <w:rPr>
          <w:rFonts w:eastAsia="Times New Roman" w:cs="Times New Roman"/>
        </w:rPr>
        <w:t xml:space="preserve"> vienotā kapitāla tirgus attīstību un mazināt šķēršļus pārrobežu kapitāla plūsmām. To plānots panākt ar šādiem instrumentiem:</w:t>
      </w:r>
    </w:p>
    <w:p w14:paraId="10C5E03D" w14:textId="49FFDC47" w:rsidR="00545768" w:rsidRPr="00B03384" w:rsidRDefault="00545768" w:rsidP="00B03384">
      <w:pPr>
        <w:spacing w:line="257" w:lineRule="auto"/>
        <w:ind w:left="1440"/>
        <w:jc w:val="both"/>
        <w:rPr>
          <w:rFonts w:eastAsia="Times New Roman" w:cs="Times New Roman"/>
        </w:rPr>
      </w:pPr>
      <w:r w:rsidRPr="00B03384">
        <w:rPr>
          <w:rFonts w:eastAsia="Times New Roman" w:cs="Times New Roman"/>
        </w:rPr>
        <w:t>1) tirgus infrastruktūras fragmentācijas mazināšana, paredzot harmonizētākus noteikumus E</w:t>
      </w:r>
      <w:r w:rsidR="00774A1D" w:rsidRPr="00B03384">
        <w:rPr>
          <w:rFonts w:eastAsia="Times New Roman" w:cs="Times New Roman"/>
        </w:rPr>
        <w:t xml:space="preserve">iropas </w:t>
      </w:r>
      <w:r w:rsidRPr="00B03384">
        <w:rPr>
          <w:rFonts w:eastAsia="Times New Roman" w:cs="Times New Roman"/>
        </w:rPr>
        <w:t>S</w:t>
      </w:r>
      <w:r w:rsidR="00774A1D" w:rsidRPr="00B03384">
        <w:rPr>
          <w:rFonts w:eastAsia="Times New Roman" w:cs="Times New Roman"/>
        </w:rPr>
        <w:t>avienībā</w:t>
      </w:r>
      <w:r w:rsidRPr="00B03384">
        <w:rPr>
          <w:rFonts w:eastAsia="Times New Roman" w:cs="Times New Roman"/>
        </w:rPr>
        <w:t xml:space="preserve"> (</w:t>
      </w:r>
      <w:r w:rsidRPr="00B03384">
        <w:rPr>
          <w:rFonts w:eastAsia="Times New Roman" w:cs="Times New Roman"/>
          <w:i/>
          <w:iCs/>
        </w:rPr>
        <w:t>single rulebook</w:t>
      </w:r>
      <w:r w:rsidRPr="00B03384">
        <w:rPr>
          <w:rFonts w:eastAsia="Times New Roman" w:cs="Times New Roman"/>
        </w:rPr>
        <w:t>);</w:t>
      </w:r>
    </w:p>
    <w:p w14:paraId="0AB89A73" w14:textId="77777777" w:rsidR="00B03384" w:rsidRDefault="00545768" w:rsidP="00B03384">
      <w:pPr>
        <w:spacing w:line="257" w:lineRule="auto"/>
        <w:ind w:left="720" w:firstLine="720"/>
        <w:jc w:val="both"/>
        <w:rPr>
          <w:rFonts w:eastAsia="Times New Roman" w:cs="Times New Roman"/>
        </w:rPr>
      </w:pPr>
      <w:r w:rsidRPr="00545768">
        <w:rPr>
          <w:rFonts w:eastAsia="Times New Roman" w:cs="Times New Roman"/>
        </w:rPr>
        <w:t xml:space="preserve">2) uzraudzības ietvara pārskatīšana, atsevišķus nozīmīgus un pārrobežu tirgus infrastruktūras subjektus nododot </w:t>
      </w:r>
      <w:r w:rsidR="00774A1D">
        <w:rPr>
          <w:rFonts w:eastAsia="Times New Roman" w:cs="Times New Roman"/>
        </w:rPr>
        <w:t>Eiropas Vērtspapīru un tirgus iestādes (</w:t>
      </w:r>
      <w:r w:rsidRPr="00545768">
        <w:rPr>
          <w:rFonts w:eastAsia="Times New Roman" w:cs="Times New Roman"/>
        </w:rPr>
        <w:t>ESMA</w:t>
      </w:r>
      <w:r w:rsidR="00774A1D">
        <w:rPr>
          <w:rFonts w:eastAsia="Times New Roman" w:cs="Times New Roman"/>
        </w:rPr>
        <w:t>)</w:t>
      </w:r>
      <w:r w:rsidRPr="00545768">
        <w:rPr>
          <w:rFonts w:eastAsia="Times New Roman" w:cs="Times New Roman"/>
        </w:rPr>
        <w:t xml:space="preserve"> tiešai, centralizētai uzraudzībai. </w:t>
      </w:r>
    </w:p>
    <w:p w14:paraId="5CFBD720" w14:textId="7F80C954" w:rsidR="7828EF59" w:rsidRDefault="18BE27EF" w:rsidP="359A5C1A">
      <w:pPr>
        <w:spacing w:line="257" w:lineRule="auto"/>
        <w:ind w:firstLine="720"/>
        <w:jc w:val="both"/>
        <w:rPr>
          <w:rFonts w:eastAsia="Times New Roman" w:cs="Times New Roman"/>
        </w:rPr>
      </w:pPr>
      <w:r w:rsidRPr="43893D6D">
        <w:rPr>
          <w:rFonts w:eastAsia="Times New Roman" w:cs="Times New Roman"/>
        </w:rPr>
        <w:t xml:space="preserve">Dalībvalstis savu nostāju par kapitāla tirgus politikas nākotni ir paudušas 2024. gada 11. marta Eirogrupas paplašinātā formāta paziņojumā par kapitāla tirgus politikas </w:t>
      </w:r>
      <w:r w:rsidRPr="43893D6D">
        <w:rPr>
          <w:rFonts w:eastAsia="Times New Roman" w:cs="Times New Roman"/>
        </w:rPr>
        <w:lastRenderedPageBreak/>
        <w:t>nākotni, Eiropadomes ietvaros un E</w:t>
      </w:r>
      <w:r w:rsidR="172E8C9A" w:rsidRPr="43893D6D">
        <w:rPr>
          <w:rFonts w:eastAsia="Times New Roman" w:cs="Times New Roman"/>
        </w:rPr>
        <w:t xml:space="preserve">iropas </w:t>
      </w:r>
      <w:r w:rsidRPr="43893D6D">
        <w:rPr>
          <w:rFonts w:eastAsia="Times New Roman" w:cs="Times New Roman"/>
        </w:rPr>
        <w:t>S</w:t>
      </w:r>
      <w:r w:rsidR="0EFE2D1C" w:rsidRPr="43893D6D">
        <w:rPr>
          <w:rFonts w:eastAsia="Times New Roman" w:cs="Times New Roman"/>
        </w:rPr>
        <w:t>avienības</w:t>
      </w:r>
      <w:r w:rsidRPr="43893D6D">
        <w:rPr>
          <w:rFonts w:eastAsia="Times New Roman" w:cs="Times New Roman"/>
        </w:rPr>
        <w:t xml:space="preserve"> Padomes Finanšu pakalpojumu darba grupā. </w:t>
      </w:r>
      <w:r w:rsidR="00CE1A90" w:rsidRPr="43893D6D">
        <w:rPr>
          <w:rFonts w:eastAsia="Times New Roman" w:cs="Times New Roman"/>
        </w:rPr>
        <w:t>Dalībvalstis ir apņēmušās sekot līdzi kapitāla tirgus attīstības rezultātiem.</w:t>
      </w:r>
      <w:r w:rsidR="00D75E63" w:rsidRPr="43893D6D">
        <w:rPr>
          <w:rFonts w:eastAsia="Times New Roman" w:cs="Times New Roman"/>
        </w:rPr>
        <w:t xml:space="preserve"> </w:t>
      </w:r>
      <w:r w:rsidR="00965D04" w:rsidRPr="43893D6D">
        <w:rPr>
          <w:rFonts w:eastAsia="Times New Roman" w:cs="Times New Roman"/>
        </w:rPr>
        <w:t xml:space="preserve"> </w:t>
      </w:r>
      <w:r w:rsidR="00DF1004" w:rsidRPr="43893D6D">
        <w:rPr>
          <w:rFonts w:eastAsia="Times New Roman" w:cs="Times New Roman"/>
        </w:rPr>
        <w:t xml:space="preserve">Līdz šim </w:t>
      </w:r>
      <w:r w:rsidR="006F6F21" w:rsidRPr="43893D6D">
        <w:rPr>
          <w:rFonts w:eastAsia="Times New Roman" w:cs="Times New Roman"/>
        </w:rPr>
        <w:t xml:space="preserve">Eiropas </w:t>
      </w:r>
      <w:r w:rsidR="00DF1004" w:rsidRPr="43893D6D">
        <w:rPr>
          <w:rFonts w:eastAsia="Times New Roman" w:cs="Times New Roman"/>
        </w:rPr>
        <w:t xml:space="preserve">kapitāla tirgus </w:t>
      </w:r>
      <w:r w:rsidR="006F6F21" w:rsidRPr="43893D6D">
        <w:rPr>
          <w:rFonts w:eastAsia="Times New Roman" w:cs="Times New Roman"/>
        </w:rPr>
        <w:t>attīstības tendences tika apskatītas</w:t>
      </w:r>
      <w:r w:rsidR="00D10F6E" w:rsidRPr="43893D6D">
        <w:rPr>
          <w:rFonts w:eastAsia="Times New Roman" w:cs="Times New Roman"/>
        </w:rPr>
        <w:t xml:space="preserve"> </w:t>
      </w:r>
      <w:r w:rsidR="006F6F21" w:rsidRPr="43893D6D">
        <w:rPr>
          <w:rFonts w:eastAsia="Times New Roman" w:cs="Times New Roman"/>
        </w:rPr>
        <w:t>tematiskos ziņojumos.</w:t>
      </w:r>
      <w:r w:rsidR="00364957" w:rsidRPr="43893D6D">
        <w:rPr>
          <w:rFonts w:eastAsia="Times New Roman" w:cs="Times New Roman"/>
        </w:rPr>
        <w:t xml:space="preserve"> Sākot no 2025. gada</w:t>
      </w:r>
      <w:r w:rsidR="000A2637" w:rsidRPr="43893D6D">
        <w:rPr>
          <w:rFonts w:eastAsia="Times New Roman" w:cs="Times New Roman"/>
        </w:rPr>
        <w:t xml:space="preserve"> oktobra,</w:t>
      </w:r>
      <w:r w:rsidR="00364957" w:rsidRPr="43893D6D">
        <w:rPr>
          <w:rFonts w:eastAsia="Times New Roman" w:cs="Times New Roman"/>
        </w:rPr>
        <w:t xml:space="preserve"> d</w:t>
      </w:r>
      <w:r w:rsidR="0014773E" w:rsidRPr="43893D6D">
        <w:rPr>
          <w:rFonts w:eastAsia="Times New Roman" w:cs="Times New Roman"/>
        </w:rPr>
        <w:t xml:space="preserve">alībvalstis </w:t>
      </w:r>
      <w:r w:rsidR="00364957" w:rsidRPr="43893D6D">
        <w:rPr>
          <w:rFonts w:eastAsia="Times New Roman" w:cs="Times New Roman"/>
        </w:rPr>
        <w:t>ir vienojušās</w:t>
      </w:r>
      <w:r w:rsidR="0014773E" w:rsidRPr="43893D6D">
        <w:rPr>
          <w:rFonts w:eastAsia="Times New Roman" w:cs="Times New Roman"/>
        </w:rPr>
        <w:t xml:space="preserve"> </w:t>
      </w:r>
      <w:r w:rsidR="00514747" w:rsidRPr="43893D6D">
        <w:rPr>
          <w:rFonts w:eastAsia="Times New Roman" w:cs="Times New Roman"/>
        </w:rPr>
        <w:t>veidot</w:t>
      </w:r>
      <w:r w:rsidR="0014773E" w:rsidRPr="43893D6D">
        <w:rPr>
          <w:rFonts w:eastAsia="Times New Roman" w:cs="Times New Roman"/>
        </w:rPr>
        <w:t xml:space="preserve"> </w:t>
      </w:r>
      <w:r w:rsidR="00BA2263" w:rsidRPr="43893D6D">
        <w:rPr>
          <w:rFonts w:eastAsia="Times New Roman" w:cs="Times New Roman"/>
          <w:b/>
          <w:bCs/>
        </w:rPr>
        <w:t>S</w:t>
      </w:r>
      <w:r w:rsidR="00364957" w:rsidRPr="43893D6D">
        <w:rPr>
          <w:rFonts w:eastAsia="Times New Roman" w:cs="Times New Roman"/>
          <w:b/>
          <w:bCs/>
        </w:rPr>
        <w:t xml:space="preserve">trukturētu </w:t>
      </w:r>
      <w:r w:rsidR="00035A63" w:rsidRPr="43893D6D">
        <w:rPr>
          <w:rFonts w:eastAsia="Times New Roman" w:cs="Times New Roman"/>
          <w:b/>
          <w:bCs/>
        </w:rPr>
        <w:t>uzraudzības ietvaru</w:t>
      </w:r>
      <w:r w:rsidR="007444BC" w:rsidRPr="43893D6D">
        <w:rPr>
          <w:rFonts w:eastAsia="Times New Roman" w:cs="Times New Roman"/>
          <w:b/>
          <w:bCs/>
        </w:rPr>
        <w:t xml:space="preserve"> kapitāla tirgus savienības izveidē</w:t>
      </w:r>
      <w:r w:rsidR="00035A63" w:rsidRPr="43893D6D">
        <w:rPr>
          <w:rFonts w:eastAsia="Times New Roman" w:cs="Times New Roman"/>
        </w:rPr>
        <w:t xml:space="preserve">, </w:t>
      </w:r>
      <w:r w:rsidR="007444BC" w:rsidRPr="43893D6D">
        <w:rPr>
          <w:rFonts w:eastAsia="Times New Roman" w:cs="Times New Roman"/>
        </w:rPr>
        <w:t>un tas</w:t>
      </w:r>
      <w:r w:rsidR="00035A63" w:rsidRPr="43893D6D">
        <w:rPr>
          <w:rFonts w:eastAsia="Times New Roman" w:cs="Times New Roman"/>
        </w:rPr>
        <w:t xml:space="preserve"> ietver</w:t>
      </w:r>
      <w:r w:rsidR="007444BC" w:rsidRPr="43893D6D">
        <w:rPr>
          <w:rFonts w:eastAsia="Times New Roman" w:cs="Times New Roman"/>
        </w:rPr>
        <w:t>s šādas sadaļas</w:t>
      </w:r>
      <w:r w:rsidR="0026498B" w:rsidRPr="43893D6D">
        <w:rPr>
          <w:rFonts w:eastAsia="Times New Roman" w:cs="Times New Roman"/>
        </w:rPr>
        <w:t>:</w:t>
      </w:r>
    </w:p>
    <w:p w14:paraId="5DC73230" w14:textId="7A3D85F0" w:rsidR="0026498B" w:rsidRDefault="0026498B"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Eiropas Kapitāla tirgus rādītāj</w:t>
      </w:r>
      <w:r w:rsidR="00D04EFC" w:rsidRPr="43893D6D">
        <w:rPr>
          <w:rFonts w:eastAsia="Times New Roman" w:cs="Times New Roman"/>
        </w:rPr>
        <w:t>u sniegums</w:t>
      </w:r>
      <w:r w:rsidR="675AE0AE" w:rsidRPr="43893D6D">
        <w:rPr>
          <w:rFonts w:eastAsia="Times New Roman" w:cs="Times New Roman"/>
        </w:rPr>
        <w:t>;</w:t>
      </w:r>
    </w:p>
    <w:p w14:paraId="384823A4" w14:textId="4C97EEFF" w:rsidR="0026498B" w:rsidRDefault="00D04EFC"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 xml:space="preserve">Eiropas līmeņa pasākumu </w:t>
      </w:r>
      <w:r w:rsidR="002C337F" w:rsidRPr="43893D6D">
        <w:rPr>
          <w:rFonts w:eastAsia="Times New Roman" w:cs="Times New Roman"/>
        </w:rPr>
        <w:t>progress</w:t>
      </w:r>
      <w:r w:rsidR="37D01633" w:rsidRPr="43893D6D">
        <w:rPr>
          <w:rFonts w:eastAsia="Times New Roman" w:cs="Times New Roman"/>
        </w:rPr>
        <w:t>;</w:t>
      </w:r>
    </w:p>
    <w:p w14:paraId="225275C4" w14:textId="72BE4141" w:rsidR="00D04EFC" w:rsidRDefault="37D01633"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n</w:t>
      </w:r>
      <w:r w:rsidR="006258A2" w:rsidRPr="43893D6D">
        <w:rPr>
          <w:rFonts w:eastAsia="Times New Roman" w:cs="Times New Roman"/>
        </w:rPr>
        <w:t xml:space="preserve">acionālā līmeņa pasākumu </w:t>
      </w:r>
      <w:r w:rsidR="002C337F" w:rsidRPr="43893D6D">
        <w:rPr>
          <w:rFonts w:eastAsia="Times New Roman" w:cs="Times New Roman"/>
        </w:rPr>
        <w:t>progress</w:t>
      </w:r>
      <w:r w:rsidR="1B370B0A" w:rsidRPr="43893D6D">
        <w:rPr>
          <w:rFonts w:eastAsia="Times New Roman" w:cs="Times New Roman"/>
        </w:rPr>
        <w:t>;</w:t>
      </w:r>
    </w:p>
    <w:p w14:paraId="446BBF24" w14:textId="443F6059" w:rsidR="006258A2" w:rsidRPr="0026498B" w:rsidRDefault="1B370B0A" w:rsidP="00747BA7">
      <w:pPr>
        <w:pStyle w:val="ListParagraph"/>
        <w:numPr>
          <w:ilvl w:val="0"/>
          <w:numId w:val="27"/>
        </w:numPr>
        <w:spacing w:line="257" w:lineRule="auto"/>
        <w:jc w:val="both"/>
        <w:rPr>
          <w:rFonts w:eastAsia="Times New Roman" w:cs="Times New Roman"/>
        </w:rPr>
      </w:pPr>
      <w:r w:rsidRPr="43893D6D">
        <w:rPr>
          <w:rFonts w:eastAsia="Times New Roman" w:cs="Times New Roman"/>
        </w:rPr>
        <w:t>l</w:t>
      </w:r>
      <w:r w:rsidR="006258A2" w:rsidRPr="43893D6D">
        <w:rPr>
          <w:rFonts w:eastAsia="Times New Roman" w:cs="Times New Roman"/>
        </w:rPr>
        <w:t>abākās prakses pieredzes apmaiņa.</w:t>
      </w:r>
    </w:p>
    <w:p w14:paraId="66C0DC62" w14:textId="58194461" w:rsidR="7828EF59" w:rsidRDefault="007516E8" w:rsidP="359A5C1A">
      <w:pPr>
        <w:spacing w:line="257" w:lineRule="auto"/>
        <w:ind w:firstLine="720"/>
        <w:jc w:val="both"/>
      </w:pPr>
      <w:r>
        <w:t xml:space="preserve">Pēdējās divas no šīm sadaļām sagatavo dalībvalstis. </w:t>
      </w:r>
      <w:r w:rsidR="007444BC">
        <w:t xml:space="preserve">Turklāt 2025. gadā ir noteiktas </w:t>
      </w:r>
      <w:r w:rsidR="62312552">
        <w:t>trīs</w:t>
      </w:r>
      <w:r w:rsidR="007444BC">
        <w:t xml:space="preserve"> </w:t>
      </w:r>
      <w:r w:rsidR="00C7382B">
        <w:t xml:space="preserve">kopīgās tematiskās prioritātes </w:t>
      </w:r>
      <w:r w:rsidR="00526477">
        <w:t xml:space="preserve">dalībvalstu ziņojumos par </w:t>
      </w:r>
      <w:r w:rsidR="007E0466">
        <w:t>nacionālā līmeņa progresu</w:t>
      </w:r>
      <w:r w:rsidR="0068044C">
        <w:t xml:space="preserve">, saskaņā ar Eirogrupas </w:t>
      </w:r>
      <w:r w:rsidR="00E75296">
        <w:t xml:space="preserve">2024. gada </w:t>
      </w:r>
      <w:r w:rsidR="004C467C">
        <w:t>11.marta paziņojumu par kapitāla tirgus nākotni,</w:t>
      </w:r>
      <w:r w:rsidR="007E0466">
        <w:t xml:space="preserve"> un tās ir:</w:t>
      </w:r>
    </w:p>
    <w:p w14:paraId="3BBE0227" w14:textId="480E6BCF" w:rsidR="007E0466" w:rsidRDefault="70BDE86F" w:rsidP="00747BA7">
      <w:pPr>
        <w:pStyle w:val="ListParagraph"/>
        <w:numPr>
          <w:ilvl w:val="1"/>
          <w:numId w:val="28"/>
        </w:numPr>
        <w:spacing w:line="257" w:lineRule="auto"/>
        <w:ind w:left="1418"/>
        <w:jc w:val="both"/>
      </w:pPr>
      <w:r w:rsidRPr="43893D6D">
        <w:rPr>
          <w:u w:val="single"/>
        </w:rPr>
        <w:t>p</w:t>
      </w:r>
      <w:r w:rsidR="007E0466" w:rsidRPr="43893D6D">
        <w:rPr>
          <w:u w:val="single"/>
        </w:rPr>
        <w:t>ensij</w:t>
      </w:r>
      <w:r w:rsidR="007A451D" w:rsidRPr="43893D6D">
        <w:rPr>
          <w:u w:val="single"/>
        </w:rPr>
        <w:t>as kā papildus ienākumu avots</w:t>
      </w:r>
      <w:r w:rsidR="007F3415">
        <w:t xml:space="preserve"> sabiedrības novecošanās kontek</w:t>
      </w:r>
      <w:r w:rsidR="00B12749">
        <w:t>stā, apskatot ilgtermiņa uzkrājumus un pensiju produktus</w:t>
      </w:r>
      <w:r w:rsidR="5C477588">
        <w:t>;</w:t>
      </w:r>
    </w:p>
    <w:p w14:paraId="447C879A" w14:textId="34D3D8A8" w:rsidR="00B12749" w:rsidRDefault="23736AB5" w:rsidP="00747BA7">
      <w:pPr>
        <w:pStyle w:val="ListParagraph"/>
        <w:numPr>
          <w:ilvl w:val="1"/>
          <w:numId w:val="28"/>
        </w:numPr>
        <w:spacing w:line="257" w:lineRule="auto"/>
        <w:ind w:left="1418"/>
        <w:jc w:val="both"/>
      </w:pPr>
      <w:r w:rsidRPr="43893D6D">
        <w:rPr>
          <w:u w:val="single"/>
        </w:rPr>
        <w:t>f</w:t>
      </w:r>
      <w:r w:rsidR="00894C95" w:rsidRPr="43893D6D">
        <w:rPr>
          <w:u w:val="single"/>
        </w:rPr>
        <w:t>inanšu pratība</w:t>
      </w:r>
      <w:r w:rsidR="00894C95">
        <w:t xml:space="preserve"> un investoru/akcionāru kultūras nostiprināšana, lai </w:t>
      </w:r>
      <w:r w:rsidR="00E75296">
        <w:t>palielinātu</w:t>
      </w:r>
      <w:r w:rsidR="003E44AA">
        <w:t xml:space="preserve"> </w:t>
      </w:r>
      <w:r w:rsidR="00E75296">
        <w:t>privātpersonu</w:t>
      </w:r>
      <w:r w:rsidR="003E44AA">
        <w:t xml:space="preserve"> līdzdalību kapitāla tirgū</w:t>
      </w:r>
      <w:r w:rsidR="5DB464E8">
        <w:t>;</w:t>
      </w:r>
    </w:p>
    <w:p w14:paraId="00E0FE56" w14:textId="3A3B495D" w:rsidR="003E44AA" w:rsidRDefault="0F1FB976" w:rsidP="00747BA7">
      <w:pPr>
        <w:pStyle w:val="ListParagraph"/>
        <w:numPr>
          <w:ilvl w:val="1"/>
          <w:numId w:val="28"/>
        </w:numPr>
        <w:spacing w:line="257" w:lineRule="auto"/>
        <w:ind w:left="1418"/>
        <w:jc w:val="both"/>
      </w:pPr>
      <w:r w:rsidRPr="43893D6D">
        <w:rPr>
          <w:u w:val="single"/>
        </w:rPr>
        <w:t>i</w:t>
      </w:r>
      <w:r w:rsidR="001749DD" w:rsidRPr="43893D6D">
        <w:rPr>
          <w:u w:val="single"/>
        </w:rPr>
        <w:t>nvestīciju/uzkrājumu produkti un konti.</w:t>
      </w:r>
      <w:r w:rsidR="001749DD">
        <w:t xml:space="preserve"> Lai izveidotu izmaksu efektīvus un vienkāršus pār</w:t>
      </w:r>
      <w:r w:rsidR="00722381">
        <w:t>r</w:t>
      </w:r>
      <w:r w:rsidR="001749DD">
        <w:t>o</w:t>
      </w:r>
      <w:r w:rsidR="00722381">
        <w:t>b</w:t>
      </w:r>
      <w:r w:rsidR="001749DD">
        <w:t xml:space="preserve">ežu </w:t>
      </w:r>
      <w:r w:rsidR="00722381">
        <w:t>investīciju/uzkrājumu produktus</w:t>
      </w:r>
      <w:r w:rsidR="00CA44C7">
        <w:t xml:space="preserve"> privātpersonām. </w:t>
      </w:r>
      <w:r w:rsidR="005830D9">
        <w:t xml:space="preserve">Dalībvalstis arī ziņos par pieredzi ieguldījumu kontu </w:t>
      </w:r>
      <w:r w:rsidR="00750DCD">
        <w:t>izveidē</w:t>
      </w:r>
      <w:r w:rsidR="46442BF8">
        <w:t>;</w:t>
      </w:r>
    </w:p>
    <w:p w14:paraId="3A261429" w14:textId="000576BA" w:rsidR="00A0762B" w:rsidRPr="005C09C7" w:rsidRDefault="00747BA7" w:rsidP="00747BA7">
      <w:pPr>
        <w:pStyle w:val="ListParagraph"/>
        <w:numPr>
          <w:ilvl w:val="0"/>
          <w:numId w:val="29"/>
        </w:numPr>
        <w:spacing w:line="257" w:lineRule="auto"/>
        <w:ind w:left="1418"/>
        <w:jc w:val="both"/>
      </w:pPr>
      <w:r>
        <w:t>p</w:t>
      </w:r>
      <w:r w:rsidR="00A0762B">
        <w:t xml:space="preserve">apildus iespējams sniegt pieredzi par </w:t>
      </w:r>
      <w:r w:rsidR="005C09C7">
        <w:t>vēl kādu no Eirogrupas paziņojuma prioritātēm</w:t>
      </w:r>
      <w:r w:rsidR="41C86A24">
        <w:t>.</w:t>
      </w:r>
    </w:p>
    <w:p w14:paraId="47E9566C" w14:textId="7EE9F33A" w:rsidR="43893D6D" w:rsidRDefault="43893D6D" w:rsidP="43893D6D">
      <w:pPr>
        <w:pStyle w:val="ListParagraph"/>
        <w:spacing w:line="257" w:lineRule="auto"/>
        <w:ind w:left="1440"/>
        <w:jc w:val="both"/>
      </w:pPr>
    </w:p>
    <w:p w14:paraId="50A70FB5" w14:textId="575844FF" w:rsidR="00B8043F" w:rsidRPr="00B8043F" w:rsidRDefault="005B0C27" w:rsidP="43893D6D">
      <w:pPr>
        <w:spacing w:line="259" w:lineRule="auto"/>
        <w:jc w:val="both"/>
        <w:rPr>
          <w:rFonts w:eastAsia="Times New Roman" w:cs="Times New Roman"/>
          <w:b/>
          <w:bCs/>
          <w:u w:val="single"/>
        </w:rPr>
      </w:pPr>
      <w:r w:rsidRPr="43893D6D">
        <w:rPr>
          <w:rFonts w:eastAsia="Times New Roman" w:cs="Times New Roman"/>
          <w:b/>
          <w:bCs/>
          <w:u w:val="single"/>
        </w:rPr>
        <w:t>Priekšlikum</w:t>
      </w:r>
      <w:r>
        <w:rPr>
          <w:rFonts w:eastAsia="Times New Roman" w:cs="Times New Roman"/>
          <w:b/>
          <w:bCs/>
          <w:u w:val="single"/>
        </w:rPr>
        <w:t>i</w:t>
      </w:r>
      <w:r w:rsidR="00B8043F" w:rsidRPr="43893D6D">
        <w:rPr>
          <w:rFonts w:eastAsia="Times New Roman" w:cs="Times New Roman"/>
          <w:b/>
          <w:bCs/>
          <w:u w:val="single"/>
        </w:rPr>
        <w:t xml:space="preserve">: </w:t>
      </w:r>
      <w:r w:rsidR="7232C961" w:rsidRPr="43893D6D">
        <w:rPr>
          <w:rFonts w:eastAsia="Times New Roman" w:cs="Times New Roman"/>
          <w:b/>
          <w:bCs/>
          <w:u w:val="single"/>
        </w:rPr>
        <w:t xml:space="preserve">aktīvi iesaistīties Eiropas Savienības līmeņa diskusijās par </w:t>
      </w:r>
      <w:r w:rsidR="005B1004">
        <w:rPr>
          <w:rFonts w:eastAsia="Times New Roman" w:cs="Times New Roman"/>
          <w:b/>
          <w:bCs/>
          <w:u w:val="single"/>
        </w:rPr>
        <w:t>I</w:t>
      </w:r>
      <w:r w:rsidR="005B1004" w:rsidRPr="43893D6D">
        <w:rPr>
          <w:rFonts w:eastAsia="Times New Roman" w:cs="Times New Roman"/>
          <w:b/>
          <w:bCs/>
          <w:u w:val="single"/>
        </w:rPr>
        <w:t xml:space="preserve">nvestīciju </w:t>
      </w:r>
      <w:r w:rsidR="7232C961" w:rsidRPr="43893D6D">
        <w:rPr>
          <w:rFonts w:eastAsia="Times New Roman" w:cs="Times New Roman"/>
          <w:b/>
          <w:bCs/>
          <w:u w:val="single"/>
        </w:rPr>
        <w:t>un uzkrājumu savienības izveides priekšlikumiem</w:t>
      </w:r>
      <w:r>
        <w:rPr>
          <w:rFonts w:eastAsia="Times New Roman" w:cs="Times New Roman"/>
          <w:b/>
          <w:bCs/>
          <w:u w:val="single"/>
        </w:rPr>
        <w:t>.</w:t>
      </w:r>
      <w:r w:rsidR="7232C961" w:rsidRPr="43893D6D">
        <w:rPr>
          <w:rFonts w:eastAsia="Times New Roman" w:cs="Times New Roman"/>
          <w:b/>
          <w:bCs/>
          <w:u w:val="single"/>
        </w:rPr>
        <w:t xml:space="preserve"> </w:t>
      </w:r>
    </w:p>
    <w:p w14:paraId="2887E023" w14:textId="77777777" w:rsidR="0068658A" w:rsidRDefault="0068658A" w:rsidP="7FFFCD9B">
      <w:pPr>
        <w:spacing w:line="257" w:lineRule="auto"/>
        <w:jc w:val="both"/>
      </w:pPr>
    </w:p>
    <w:p w14:paraId="34ED69C2" w14:textId="77777777" w:rsidR="003C3453" w:rsidRDefault="003C3453" w:rsidP="7828EF59">
      <w:pPr>
        <w:spacing w:line="259" w:lineRule="auto"/>
        <w:rPr>
          <w:rFonts w:eastAsia="Times New Roman" w:cs="Times New Roman"/>
          <w:b/>
          <w:bCs/>
          <w:u w:val="single"/>
        </w:rPr>
      </w:pPr>
    </w:p>
    <w:p w14:paraId="19698109" w14:textId="77777777" w:rsidR="00BC002F" w:rsidRPr="00B350DA" w:rsidRDefault="00BC002F" w:rsidP="7828EF59">
      <w:pPr>
        <w:spacing w:line="259" w:lineRule="auto"/>
        <w:rPr>
          <w:rFonts w:eastAsia="Times New Roman" w:cs="Times New Roman"/>
          <w:b/>
          <w:bCs/>
          <w:u w:val="single"/>
        </w:rPr>
      </w:pPr>
    </w:p>
    <w:p w14:paraId="57701324" w14:textId="02B09102" w:rsidR="00B526A2" w:rsidRPr="00473D17" w:rsidRDefault="00B526A2" w:rsidP="00473D17">
      <w:pPr>
        <w:pStyle w:val="ListParagraph"/>
        <w:numPr>
          <w:ilvl w:val="0"/>
          <w:numId w:val="4"/>
        </w:numPr>
        <w:spacing w:line="259" w:lineRule="auto"/>
        <w:rPr>
          <w:rFonts w:eastAsia="Times New Roman" w:cs="Times New Roman"/>
          <w:b/>
        </w:rPr>
      </w:pPr>
      <w:r w:rsidRPr="359A5C1A">
        <w:rPr>
          <w:rFonts w:eastAsia="Times New Roman" w:cs="Times New Roman"/>
          <w:b/>
          <w:bCs/>
        </w:rPr>
        <w:t xml:space="preserve">Esošā situācija Latvijā </w:t>
      </w:r>
      <w:r w:rsidR="0F288D12" w:rsidRPr="359A5C1A">
        <w:rPr>
          <w:rFonts w:eastAsia="Times New Roman" w:cs="Times New Roman"/>
          <w:b/>
          <w:bCs/>
        </w:rPr>
        <w:t>kapitāla tirgus attīstības jomā</w:t>
      </w:r>
    </w:p>
    <w:p w14:paraId="3CA8A693" w14:textId="0A0C1E5D" w:rsidR="00B526A2" w:rsidRDefault="00B526A2" w:rsidP="00B526A2"/>
    <w:p w14:paraId="4D5CE06A" w14:textId="7FA382A0" w:rsidR="00B526A2" w:rsidRPr="00C5335B" w:rsidRDefault="0F288D12" w:rsidP="00B526A2">
      <w:pPr>
        <w:rPr>
          <w:b/>
          <w:bCs/>
        </w:rPr>
      </w:pPr>
      <w:r w:rsidRPr="1E0A1DDF">
        <w:rPr>
          <w:b/>
          <w:bCs/>
        </w:rPr>
        <w:t>2.1.</w:t>
      </w:r>
      <w:r w:rsidR="00C5335B" w:rsidRPr="1E0A1DDF">
        <w:rPr>
          <w:b/>
          <w:bCs/>
        </w:rPr>
        <w:t xml:space="preserve">Pašreizējā situācija kapitāla tirgus attīstībā Latvijā </w:t>
      </w:r>
    </w:p>
    <w:p w14:paraId="11121890" w14:textId="77777777" w:rsidR="003E4E0C" w:rsidRDefault="003E4E0C" w:rsidP="359A5C1A">
      <w:pPr>
        <w:ind w:firstLine="720"/>
        <w:jc w:val="both"/>
      </w:pPr>
    </w:p>
    <w:p w14:paraId="23FB1A5B" w14:textId="30C9AC22" w:rsidR="0099638C" w:rsidRDefault="00A71D81" w:rsidP="359A5C1A">
      <w:pPr>
        <w:ind w:firstLine="720"/>
        <w:jc w:val="both"/>
      </w:pPr>
      <w:r>
        <w:t xml:space="preserve">Atbilstoši </w:t>
      </w:r>
      <w:r w:rsidR="0049487C">
        <w:t xml:space="preserve">Latvijas Bankas </w:t>
      </w:r>
      <w:r w:rsidR="00133820">
        <w:t>2</w:t>
      </w:r>
      <w:r w:rsidR="0081147D">
        <w:t>025</w:t>
      </w:r>
      <w:r w:rsidR="00133820">
        <w:t xml:space="preserve">.gada </w:t>
      </w:r>
      <w:r w:rsidR="0049487C">
        <w:t>Finanšu pieejamības pārskat</w:t>
      </w:r>
      <w:r w:rsidR="00133820">
        <w:t>am</w:t>
      </w:r>
      <w:r w:rsidR="000648DE">
        <w:t>,</w:t>
      </w:r>
      <w:r w:rsidR="00F52F05">
        <w:t xml:space="preserve"> </w:t>
      </w:r>
      <w:r w:rsidR="00A33F9B">
        <w:t>t</w:t>
      </w:r>
      <w:r w:rsidR="00EB1E55">
        <w:t>radicionālie kapitāla tirgus segmenti – akciju un obligāciju tirgi – Latvijā ir samērā mazi. Gan akciju, gan arī obligāciju tirgus kapitalizācija, izteikta procentos no valsts IKP, ir neliela salīdzinājumā ar citu eirozonas dalībvalstu rādītājiem</w:t>
      </w:r>
      <w:r w:rsidR="00890DCD">
        <w:t xml:space="preserve"> (skat. 3.-4.att.)</w:t>
      </w:r>
      <w:r w:rsidR="00463B88">
        <w:t xml:space="preserve">. </w:t>
      </w:r>
    </w:p>
    <w:p w14:paraId="6E03ECE3" w14:textId="77777777" w:rsidR="00A93D75" w:rsidRDefault="00A93D75" w:rsidP="359A5C1A">
      <w:pPr>
        <w:ind w:firstLine="720"/>
        <w:jc w:val="both"/>
      </w:pPr>
    </w:p>
    <w:p w14:paraId="4B85C6F2" w14:textId="77777777" w:rsidR="00A93D75" w:rsidRDefault="00A93D75" w:rsidP="359A5C1A">
      <w:pPr>
        <w:ind w:firstLine="720"/>
        <w:jc w:val="both"/>
      </w:pPr>
    </w:p>
    <w:p w14:paraId="1051D39B" w14:textId="77777777" w:rsidR="00A93D75" w:rsidRDefault="00A93D75" w:rsidP="359A5C1A">
      <w:pPr>
        <w:ind w:firstLine="720"/>
        <w:jc w:val="both"/>
      </w:pPr>
    </w:p>
    <w:p w14:paraId="747F7CC3" w14:textId="77777777" w:rsidR="00A93D75" w:rsidRDefault="00A93D75" w:rsidP="359A5C1A">
      <w:pPr>
        <w:ind w:firstLine="720"/>
        <w:jc w:val="both"/>
      </w:pPr>
    </w:p>
    <w:p w14:paraId="59292130" w14:textId="77777777" w:rsidR="00A93D75" w:rsidRDefault="00A93D75" w:rsidP="359A5C1A">
      <w:pPr>
        <w:ind w:firstLine="720"/>
        <w:jc w:val="both"/>
      </w:pPr>
    </w:p>
    <w:p w14:paraId="68BD7C8F" w14:textId="77777777" w:rsidR="00A93D75" w:rsidRDefault="00A93D75" w:rsidP="359A5C1A">
      <w:pPr>
        <w:ind w:firstLine="720"/>
        <w:jc w:val="both"/>
      </w:pPr>
    </w:p>
    <w:p w14:paraId="33D70E68" w14:textId="77777777" w:rsidR="00A93D75" w:rsidRDefault="00A93D75" w:rsidP="359A5C1A">
      <w:pPr>
        <w:ind w:firstLine="720"/>
        <w:jc w:val="both"/>
      </w:pPr>
    </w:p>
    <w:p w14:paraId="18149715" w14:textId="77777777" w:rsidR="00A93D75" w:rsidRDefault="00A93D75" w:rsidP="359A5C1A">
      <w:pPr>
        <w:ind w:firstLine="720"/>
        <w:jc w:val="both"/>
      </w:pPr>
    </w:p>
    <w:p w14:paraId="26E9CF9F" w14:textId="77777777" w:rsidR="00106ADC" w:rsidRDefault="00106ADC" w:rsidP="359A5C1A">
      <w:pPr>
        <w:ind w:firstLine="720"/>
        <w:jc w:val="both"/>
      </w:pPr>
    </w:p>
    <w:tbl>
      <w:tblPr>
        <w:tblStyle w:val="TableGrid"/>
        <w:tblW w:w="0" w:type="auto"/>
        <w:tblBorders>
          <w:insideH w:val="none" w:sz="0" w:space="0" w:color="auto"/>
          <w:insideV w:val="none" w:sz="0" w:space="0" w:color="auto"/>
        </w:tblBorders>
        <w:tblLayout w:type="fixed"/>
        <w:tblLook w:val="06A0" w:firstRow="1" w:lastRow="0" w:firstColumn="1" w:lastColumn="0" w:noHBand="1" w:noVBand="1"/>
      </w:tblPr>
      <w:tblGrid>
        <w:gridCol w:w="4148"/>
        <w:gridCol w:w="4148"/>
      </w:tblGrid>
      <w:tr w:rsidR="1E0A1DDF" w14:paraId="25B0F39C" w14:textId="77777777" w:rsidTr="00475194">
        <w:trPr>
          <w:trHeight w:val="300"/>
        </w:trPr>
        <w:tc>
          <w:tcPr>
            <w:tcW w:w="4148" w:type="dxa"/>
          </w:tcPr>
          <w:p w14:paraId="7EA01751" w14:textId="77777777" w:rsidR="6469AEF8" w:rsidRDefault="00F138A6" w:rsidP="1E0A1DDF">
            <w:pPr>
              <w:jc w:val="center"/>
              <w:rPr>
                <w:b/>
                <w:bCs/>
              </w:rPr>
            </w:pPr>
            <w:r>
              <w:rPr>
                <w:b/>
                <w:bCs/>
              </w:rPr>
              <w:lastRenderedPageBreak/>
              <w:t xml:space="preserve">3.att. </w:t>
            </w:r>
            <w:r w:rsidR="6469AEF8" w:rsidRPr="1E0A1DDF">
              <w:rPr>
                <w:b/>
                <w:bCs/>
              </w:rPr>
              <w:t xml:space="preserve">Uzņēmumu </w:t>
            </w:r>
            <w:r w:rsidR="71381652" w:rsidRPr="1E0A1DDF">
              <w:rPr>
                <w:b/>
                <w:bCs/>
              </w:rPr>
              <w:t>kotēto akciju atlikuma vērtība (%no IKP)</w:t>
            </w:r>
          </w:p>
          <w:p w14:paraId="52A54799" w14:textId="56DA450E" w:rsidR="005B6CD7" w:rsidRDefault="005B6CD7" w:rsidP="1E0A1DDF">
            <w:pPr>
              <w:jc w:val="center"/>
              <w:rPr>
                <w:b/>
                <w:bCs/>
              </w:rPr>
            </w:pPr>
          </w:p>
        </w:tc>
        <w:tc>
          <w:tcPr>
            <w:tcW w:w="4148" w:type="dxa"/>
          </w:tcPr>
          <w:p w14:paraId="7A8E534B" w14:textId="79230CC7" w:rsidR="463176CB" w:rsidRDefault="00F138A6" w:rsidP="1E0A1DDF">
            <w:pPr>
              <w:jc w:val="center"/>
              <w:rPr>
                <w:rFonts w:eastAsia="Times New Roman"/>
                <w:b/>
                <w:bCs/>
              </w:rPr>
            </w:pPr>
            <w:r>
              <w:rPr>
                <w:rFonts w:eastAsia="Times New Roman"/>
                <w:b/>
                <w:bCs/>
              </w:rPr>
              <w:t xml:space="preserve">4.att. </w:t>
            </w:r>
            <w:r w:rsidR="463176CB" w:rsidRPr="00475194">
              <w:rPr>
                <w:rFonts w:eastAsia="Times New Roman"/>
                <w:b/>
              </w:rPr>
              <w:t>Uzņēmumu emitēto obligāciju nominālvērtība (% no IKP)</w:t>
            </w:r>
          </w:p>
          <w:p w14:paraId="42CC07D4" w14:textId="528BA1F0" w:rsidR="1E0A1DDF" w:rsidRDefault="1E0A1DDF" w:rsidP="1E0A1DDF">
            <w:pPr>
              <w:ind w:left="720"/>
            </w:pPr>
          </w:p>
        </w:tc>
      </w:tr>
      <w:tr w:rsidR="1E0A1DDF" w14:paraId="3B81F571" w14:textId="77777777" w:rsidTr="00475194">
        <w:trPr>
          <w:trHeight w:val="300"/>
        </w:trPr>
        <w:tc>
          <w:tcPr>
            <w:tcW w:w="4148" w:type="dxa"/>
          </w:tcPr>
          <w:p w14:paraId="16787D00" w14:textId="6CB99F1A" w:rsidR="06CF9126" w:rsidRDefault="005B6CD7">
            <w:r w:rsidRPr="005B6CD7">
              <w:rPr>
                <w:noProof/>
              </w:rPr>
              <w:drawing>
                <wp:inline distT="0" distB="0" distL="0" distR="0" wp14:anchorId="79BED199" wp14:editId="287BCE0C">
                  <wp:extent cx="2496820" cy="1319530"/>
                  <wp:effectExtent l="0" t="0" r="0" b="0"/>
                  <wp:docPr id="146986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60253" name=""/>
                          <pic:cNvPicPr/>
                        </pic:nvPicPr>
                        <pic:blipFill>
                          <a:blip r:embed="rId14"/>
                          <a:stretch>
                            <a:fillRect/>
                          </a:stretch>
                        </pic:blipFill>
                        <pic:spPr>
                          <a:xfrm>
                            <a:off x="0" y="0"/>
                            <a:ext cx="2496820" cy="1319530"/>
                          </a:xfrm>
                          <a:prstGeom prst="rect">
                            <a:avLst/>
                          </a:prstGeom>
                        </pic:spPr>
                      </pic:pic>
                    </a:graphicData>
                  </a:graphic>
                </wp:inline>
              </w:drawing>
            </w:r>
            <w:r w:rsidR="06CF9126">
              <w:br/>
            </w:r>
          </w:p>
        </w:tc>
        <w:tc>
          <w:tcPr>
            <w:tcW w:w="4148" w:type="dxa"/>
          </w:tcPr>
          <w:p w14:paraId="1250D758" w14:textId="7EDA59D3" w:rsidR="2A4CE4AB" w:rsidRDefault="004A43DD">
            <w:r w:rsidRPr="004A43DD">
              <w:rPr>
                <w:noProof/>
              </w:rPr>
              <w:drawing>
                <wp:inline distT="0" distB="0" distL="0" distR="0" wp14:anchorId="643D9468" wp14:editId="297347ED">
                  <wp:extent cx="2496820" cy="1298575"/>
                  <wp:effectExtent l="0" t="0" r="0" b="0"/>
                  <wp:docPr id="1505107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07637" name=""/>
                          <pic:cNvPicPr/>
                        </pic:nvPicPr>
                        <pic:blipFill>
                          <a:blip r:embed="rId15"/>
                          <a:stretch>
                            <a:fillRect/>
                          </a:stretch>
                        </pic:blipFill>
                        <pic:spPr>
                          <a:xfrm>
                            <a:off x="0" y="0"/>
                            <a:ext cx="2496820" cy="1298575"/>
                          </a:xfrm>
                          <a:prstGeom prst="rect">
                            <a:avLst/>
                          </a:prstGeom>
                        </pic:spPr>
                      </pic:pic>
                    </a:graphicData>
                  </a:graphic>
                </wp:inline>
              </w:drawing>
            </w:r>
            <w:r w:rsidR="2A4CE4AB">
              <w:br/>
            </w:r>
          </w:p>
        </w:tc>
      </w:tr>
    </w:tbl>
    <w:p w14:paraId="5DFAEB56" w14:textId="001F2A3E" w:rsidR="5EF7A2D1" w:rsidRDefault="5EF7A2D1" w:rsidP="1E0A1DDF">
      <w:pPr>
        <w:rPr>
          <w:rFonts w:eastAsia="Times New Roman" w:cs="Times New Roman"/>
          <w:szCs w:val="24"/>
        </w:rPr>
      </w:pPr>
      <w:r w:rsidRPr="00475194">
        <w:rPr>
          <w:rFonts w:eastAsia="Times New Roman" w:cs="Times New Roman"/>
          <w:sz w:val="18"/>
          <w:szCs w:val="18"/>
        </w:rPr>
        <w:t>Avots: Latvijas Bankas finanšu pieejamības pārskats, 202</w:t>
      </w:r>
      <w:r w:rsidR="00E33271">
        <w:rPr>
          <w:rFonts w:eastAsia="Times New Roman" w:cs="Times New Roman"/>
          <w:sz w:val="18"/>
          <w:szCs w:val="18"/>
        </w:rPr>
        <w:t>5</w:t>
      </w:r>
    </w:p>
    <w:p w14:paraId="3701A671" w14:textId="76429B18" w:rsidR="1E0A1DDF" w:rsidRDefault="1E0A1DDF" w:rsidP="1E0A1DDF">
      <w:pPr>
        <w:jc w:val="both"/>
      </w:pPr>
    </w:p>
    <w:p w14:paraId="7F1A3059" w14:textId="46A43EBA" w:rsidR="00B526A2" w:rsidRDefault="00201CBA" w:rsidP="359A5C1A">
      <w:pPr>
        <w:ind w:firstLine="720"/>
        <w:jc w:val="both"/>
      </w:pPr>
      <w:r>
        <w:t xml:space="preserve">Pēdējos gados </w:t>
      </w:r>
      <w:r w:rsidR="00A53756">
        <w:t xml:space="preserve">Baltijas valstīs </w:t>
      </w:r>
      <w:r>
        <w:t>pakāpeniski pieaug uzņēmumu skaits</w:t>
      </w:r>
      <w:r w:rsidR="00890DCD">
        <w:t xml:space="preserve"> (skat. 5. att.)</w:t>
      </w:r>
      <w:r>
        <w:t xml:space="preserve">, kas </w:t>
      </w:r>
      <w:r w:rsidR="0035008B">
        <w:t>finansējuma piesaistei izvēlas emitēt obligācijas</w:t>
      </w:r>
      <w:r w:rsidR="00997A96">
        <w:t>, un šajā jomā vi</w:t>
      </w:r>
      <w:r w:rsidR="007A10A8">
        <w:t>s</w:t>
      </w:r>
      <w:r w:rsidR="00997A96">
        <w:t xml:space="preserve">straujākā izaugsme pēdējos gados bijusi tieši Latvijā. </w:t>
      </w:r>
      <w:r w:rsidR="009822EC" w:rsidRPr="009822EC">
        <w:t>Nasdaq Riga obligāciju tirgus kapitalizācija, kas ir kopējā visu apgrozībā esošo obligāciju vērtība 2025. gada beigās sasniedza 1,8 miljardus eiro, un salīdzinot ar 2024.gada apjomu pieauga par 28,8%. Papildus tam</w:t>
      </w:r>
      <w:r w:rsidR="00E33271">
        <w:t>,</w:t>
      </w:r>
      <w:r w:rsidR="009822EC" w:rsidRPr="009822EC">
        <w:t xml:space="preserve"> 2025. gadā AS “Latvenergo” starptautiskajā tirgū emitēja obligācijas 400 milj.eiro vērtībā un AS “Citadele Bank” attiecīgi – 300 milj.eiro vērtībā.</w:t>
      </w:r>
    </w:p>
    <w:p w14:paraId="6F8DF724" w14:textId="77777777" w:rsidR="00DC151F" w:rsidRDefault="00DC151F" w:rsidP="359A5C1A">
      <w:pPr>
        <w:ind w:firstLine="720"/>
        <w:jc w:val="both"/>
      </w:pPr>
    </w:p>
    <w:p w14:paraId="4250D8E5" w14:textId="191B3E04" w:rsidR="00175E0E" w:rsidRDefault="003358D9" w:rsidP="00175E0E">
      <w:r w:rsidRPr="003358D9">
        <w:rPr>
          <w:noProof/>
        </w:rPr>
        <w:drawing>
          <wp:inline distT="0" distB="0" distL="0" distR="0" wp14:anchorId="6EEDA14E" wp14:editId="693BFD98">
            <wp:extent cx="4572000" cy="2356338"/>
            <wp:effectExtent l="0" t="0" r="0" b="6350"/>
            <wp:docPr id="136378293" name="Chart 1">
              <a:extLst xmlns:a="http://schemas.openxmlformats.org/drawingml/2006/main">
                <a:ext uri="{FF2B5EF4-FFF2-40B4-BE49-F238E27FC236}">
                  <a16:creationId xmlns:a16="http://schemas.microsoft.com/office/drawing/2014/main" id="{22D6C7D4-F067-3951-D42B-A82D3CBAAB94}"/>
                </a:ext>
                <a:ext uri="{147F2762-F138-4A5C-976F-8EAC2B608ADB}">
                  <a16:predDERef xmlns:a16="http://schemas.microsoft.com/office/drawing/2014/main" pred="{EE4EED65-D078-C6C9-4B47-13CFF9633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059F3D" w14:textId="7CA2098F" w:rsidR="359A5C1A" w:rsidRPr="00917476" w:rsidRDefault="00890DCD" w:rsidP="359A5C1A">
      <w:pPr>
        <w:jc w:val="both"/>
        <w:rPr>
          <w:sz w:val="20"/>
          <w:szCs w:val="20"/>
        </w:rPr>
      </w:pPr>
      <w:r w:rsidRPr="00917476">
        <w:rPr>
          <w:sz w:val="20"/>
          <w:szCs w:val="20"/>
        </w:rPr>
        <w:t xml:space="preserve">Avots: </w:t>
      </w:r>
      <w:r w:rsidR="00162C7F">
        <w:rPr>
          <w:sz w:val="20"/>
          <w:szCs w:val="20"/>
        </w:rPr>
        <w:t>Nasdaq</w:t>
      </w:r>
      <w:r w:rsidR="00E40DAB">
        <w:rPr>
          <w:sz w:val="20"/>
          <w:szCs w:val="20"/>
        </w:rPr>
        <w:t xml:space="preserve"> Baltic</w:t>
      </w:r>
    </w:p>
    <w:p w14:paraId="65C7EC4C" w14:textId="77777777" w:rsidR="00890DCD" w:rsidRDefault="00890DCD" w:rsidP="359A5C1A">
      <w:pPr>
        <w:jc w:val="both"/>
      </w:pPr>
    </w:p>
    <w:p w14:paraId="3EC46AC6" w14:textId="0C4AEBA3" w:rsidR="00175E0E" w:rsidRDefault="00551DD6" w:rsidP="0099638C">
      <w:pPr>
        <w:ind w:firstLine="720"/>
        <w:jc w:val="both"/>
      </w:pPr>
      <w:r>
        <w:t xml:space="preserve">Savukārt akciju tirgus </w:t>
      </w:r>
      <w:r w:rsidR="009264FC">
        <w:t xml:space="preserve">jomā izaugsme </w:t>
      </w:r>
      <w:r w:rsidR="009830A1">
        <w:t xml:space="preserve">šobrīd nav vērojama, un Latvijā akciju tirgus kapitalizācija joprojām būtiski atpaliek no kaimiņvalstīm, </w:t>
      </w:r>
      <w:r w:rsidR="0040631E" w:rsidRPr="0040631E">
        <w:t xml:space="preserve">2025. gadā akciju tirgus kopējā kapitalizācija (vērtība) pieauga par 10% un sasniedza 584 milj. eiro, un procentos no IKP saglabājoties tuvu 2024.gada līmenim ap 1 procentu no IKP </w:t>
      </w:r>
      <w:r w:rsidR="0040631E" w:rsidRPr="00BC3EDD">
        <w:rPr>
          <w:i/>
          <w:iCs/>
        </w:rPr>
        <w:t>(piezīme</w:t>
      </w:r>
      <w:r w:rsidR="0040631E">
        <w:rPr>
          <w:i/>
          <w:iCs/>
        </w:rPr>
        <w:t>:</w:t>
      </w:r>
      <w:r w:rsidR="0040631E" w:rsidRPr="00BC3EDD">
        <w:rPr>
          <w:i/>
          <w:iCs/>
        </w:rPr>
        <w:t xml:space="preserve"> šobrīd vēl nav publicēta 2025. gada IKP statistika)</w:t>
      </w:r>
      <w:r w:rsidR="0040631E" w:rsidRPr="0040631E">
        <w:t xml:space="preserve">. </w:t>
      </w:r>
      <w:r w:rsidR="00F651A5">
        <w:t xml:space="preserve">2024.gadā Latvijas biržā sekmīgu </w:t>
      </w:r>
      <w:r w:rsidR="0DFE66CF">
        <w:t>sākotnējā publiskā piedāvājuma</w:t>
      </w:r>
      <w:r w:rsidR="00F651A5">
        <w:t xml:space="preserve"> rezultātā ienāca divi uzņēmumi – Eleving Group </w:t>
      </w:r>
      <w:r w:rsidR="00193D14">
        <w:t xml:space="preserve">Group S.A. </w:t>
      </w:r>
      <w:r w:rsidR="00F651A5">
        <w:t xml:space="preserve">un </w:t>
      </w:r>
      <w:r w:rsidR="00690A82">
        <w:t xml:space="preserve"> AS “K</w:t>
      </w:r>
      <w:r w:rsidR="00F651A5">
        <w:t>alve</w:t>
      </w:r>
      <w:r w:rsidR="00690A82">
        <w:t xml:space="preserve"> Coffee”</w:t>
      </w:r>
      <w:r w:rsidR="00F651A5">
        <w:t>.</w:t>
      </w:r>
      <w:r w:rsidR="002038CC">
        <w:t xml:space="preserve"> </w:t>
      </w:r>
      <w:r w:rsidR="00690A82">
        <w:t xml:space="preserve">Savukārt </w:t>
      </w:r>
      <w:r w:rsidR="00602127">
        <w:t xml:space="preserve">pēc akciju atpirkšanas </w:t>
      </w:r>
      <w:r w:rsidR="004C7DC3">
        <w:t>no biržas</w:t>
      </w:r>
      <w:r w:rsidR="00026594">
        <w:t xml:space="preserve"> tika izslēgtas </w:t>
      </w:r>
      <w:r w:rsidR="003C6DD9">
        <w:t>AS “</w:t>
      </w:r>
      <w:r w:rsidR="004C7DC3">
        <w:t>Latvijas Gāze</w:t>
      </w:r>
      <w:r w:rsidR="003C6DD9">
        <w:t>”</w:t>
      </w:r>
      <w:r w:rsidR="00026594">
        <w:t xml:space="preserve"> akcijas</w:t>
      </w:r>
      <w:r w:rsidR="004C7DC3">
        <w:t xml:space="preserve">. </w:t>
      </w:r>
      <w:r w:rsidR="0099638C" w:rsidRPr="00EB1E55">
        <w:t>Tas samazināja Latvijas akciju tirgus kapitalizāciju par vairāk nekā pusi.</w:t>
      </w:r>
      <w:r w:rsidR="00100BC6">
        <w:t xml:space="preserve"> 2025.gadā </w:t>
      </w:r>
      <w:r w:rsidR="00EC3808">
        <w:t>jauni sākotnējie publiskie piedāvājumi nenotika.</w:t>
      </w:r>
      <w:r w:rsidR="00FC3622">
        <w:t xml:space="preserve"> </w:t>
      </w:r>
      <w:r w:rsidR="00FC3622" w:rsidRPr="00FC3622">
        <w:t xml:space="preserve">Jāatzīmē, ka arī plašākā Eiropas reģionā 2025. gadā bija salīdzinoši maz sākotnējo publisko piedāvājumu, tostarp arī Igaunijā un Lietuvā. Latvijā pietrūkst nobriedušu, atbilstoša izmēra uzņēmumu, kuriem būtu spēcīgs izaugsmes potenciāls. Šobrīd vairāk uzņēmumu dod priekšroku finansējuma piesaistīšanai ar parāda </w:t>
      </w:r>
      <w:r w:rsidR="00FC3622" w:rsidRPr="00FC3622">
        <w:lastRenderedPageBreak/>
        <w:t>vērtspapīriem.</w:t>
      </w:r>
      <w:r w:rsidR="0099638C">
        <w:t xml:space="preserve"> </w:t>
      </w:r>
      <w:r w:rsidR="007915C0">
        <w:t>Lai veicinātu jaunu sākotnējo publisko piedāvājumu attīstību, 2025. gada 29.septembrī darbu uzsāka Baltijas kapitāla tirgus akseleratora fonds.</w:t>
      </w:r>
    </w:p>
    <w:p w14:paraId="4AA9965B" w14:textId="77777777" w:rsidR="004C3548" w:rsidRDefault="004C3548" w:rsidP="00C40B20">
      <w:pPr>
        <w:jc w:val="both"/>
      </w:pPr>
    </w:p>
    <w:p w14:paraId="284946B4" w14:textId="2A1CA780" w:rsidR="004C3548" w:rsidRDefault="00EB155B" w:rsidP="004C3548">
      <w:r w:rsidRPr="00EB155B">
        <w:rPr>
          <w:noProof/>
        </w:rPr>
        <w:drawing>
          <wp:inline distT="0" distB="0" distL="0" distR="0" wp14:anchorId="4379BCC7" wp14:editId="4CA98240">
            <wp:extent cx="4475285" cy="2417885"/>
            <wp:effectExtent l="0" t="0" r="1905" b="1905"/>
            <wp:docPr id="1658097008" name="Chart 1">
              <a:extLst xmlns:a="http://schemas.openxmlformats.org/drawingml/2006/main">
                <a:ext uri="{FF2B5EF4-FFF2-40B4-BE49-F238E27FC236}">
                  <a16:creationId xmlns:a16="http://schemas.microsoft.com/office/drawing/2014/main" id="{EE4EED65-D078-C6C9-4B47-13CFF9633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E5E675" w14:textId="314BD98C" w:rsidR="0057393F" w:rsidRDefault="0057393F" w:rsidP="0057393F"/>
    <w:p w14:paraId="659C2BCE" w14:textId="41DD65D5" w:rsidR="00890DCD" w:rsidRPr="007A28D1" w:rsidRDefault="00890DCD" w:rsidP="00890DCD">
      <w:pPr>
        <w:jc w:val="both"/>
        <w:rPr>
          <w:sz w:val="20"/>
          <w:szCs w:val="20"/>
        </w:rPr>
      </w:pPr>
      <w:r w:rsidRPr="007A28D1">
        <w:rPr>
          <w:sz w:val="20"/>
          <w:szCs w:val="20"/>
        </w:rPr>
        <w:t xml:space="preserve">Avots: </w:t>
      </w:r>
      <w:r w:rsidR="00162C7F">
        <w:rPr>
          <w:sz w:val="20"/>
          <w:szCs w:val="20"/>
        </w:rPr>
        <w:t>Nasdaq Baltic</w:t>
      </w:r>
    </w:p>
    <w:p w14:paraId="7269C470" w14:textId="77777777" w:rsidR="0057393F" w:rsidRDefault="0057393F" w:rsidP="0057393F"/>
    <w:p w14:paraId="79EA42B1" w14:textId="77777777" w:rsidR="00890DCD" w:rsidRDefault="00890DCD" w:rsidP="0057393F"/>
    <w:p w14:paraId="03BAF342" w14:textId="27B062B4" w:rsidR="0057393F" w:rsidRDefault="00715C98" w:rsidP="359A5C1A">
      <w:pPr>
        <w:ind w:firstLine="720"/>
        <w:jc w:val="both"/>
      </w:pPr>
      <w:r>
        <w:t>Neskatoties uz pozitīv</w:t>
      </w:r>
      <w:r w:rsidR="00BC5BF8">
        <w:t>o attīstību obligāciju tirgū, akciju tirgus joprojām stagnē. Jāsecina, ka valdības izvirzītā mērķa sasniegšanai joprojām būtiskākais trūkstošais elements ir lielāku uzņēmumu ienākšana biržā. Attiecīgi bez valsts un pašvaldību kapitālsabiedrī</w:t>
      </w:r>
      <w:r w:rsidR="00EA5C78">
        <w:t xml:space="preserve">bu </w:t>
      </w:r>
      <w:r w:rsidR="6E5763B8">
        <w:t xml:space="preserve">vai lielu privātu uzņēmumu </w:t>
      </w:r>
      <w:r w:rsidR="00EA5C78">
        <w:t>iesaistes kapitāla tirgū, neizdosies sasniegt izvirzīto mērķi – akciju tirgus kapitalizācija 9% apmērā no IKP</w:t>
      </w:r>
      <w:r w:rsidR="69DEAD06">
        <w:t xml:space="preserve"> 2027.gadā</w:t>
      </w:r>
      <w:r w:rsidR="00EA5C78">
        <w:t xml:space="preserve">. </w:t>
      </w:r>
    </w:p>
    <w:p w14:paraId="64BDF104" w14:textId="1C604560" w:rsidR="007129F1" w:rsidRDefault="00EE4612" w:rsidP="007129F1">
      <w:pPr>
        <w:ind w:firstLine="720"/>
        <w:jc w:val="both"/>
      </w:pPr>
      <w:r>
        <w:t>Apskatot plašāku kapitāla tirgus “ekosistēmu”</w:t>
      </w:r>
      <w:r w:rsidR="009F3531">
        <w:t>,</w:t>
      </w:r>
      <w:r w:rsidR="007129F1">
        <w:t xml:space="preserve"> </w:t>
      </w:r>
      <w:r w:rsidR="009F3531">
        <w:t>sav</w:t>
      </w:r>
      <w:r w:rsidR="001963EC">
        <w:t xml:space="preserve">u </w:t>
      </w:r>
      <w:r w:rsidR="006548DB">
        <w:t>pienesumu</w:t>
      </w:r>
      <w:r w:rsidR="001963EC">
        <w:t xml:space="preserve"> sniedz arī</w:t>
      </w:r>
      <w:r w:rsidR="007129F1">
        <w:t xml:space="preserve"> licencētie alternatīvie kapitāla tirgus dalībnieki – tostarp kolektīvās finansēšanas pakalpojumu sniedzēji un ieguldījumu brokeru sabiedrības – praksē nodrošina divējādu pienesumu kapitāla tirgum: no vienas puses, tie piesaista investoru līdzekļus Latvijai no Eiropas finanšu tirgiem valstu investoriem, bet, no otras puses, tie nodrošina šo līdzekļu tālāku novirzīšanu tautsaimniecībā, īpaši mazo un vidējo uzņēmumu finansēšanā.</w:t>
      </w:r>
      <w:r w:rsidR="006548DB" w:rsidRPr="006548DB">
        <w:t xml:space="preserve"> </w:t>
      </w:r>
      <w:r w:rsidR="006548DB">
        <w:t>P</w:t>
      </w:r>
      <w:r w:rsidR="006548DB" w:rsidRPr="006548DB">
        <w:t>ašlaik Latvijā ir 6 kolektīvās finansēšanas pakalpojumu sniedzēji un 10 ieguldījumu brokeru sabiedrības.</w:t>
      </w:r>
      <w:r w:rsidR="00862D84" w:rsidRPr="00862D84">
        <w:t xml:space="preserve"> Pēc nozares apkopotajiem datiem šo licencēto tirgus dalībnieku kopējais neto kreditēšanas portfelis uz </w:t>
      </w:r>
      <w:r w:rsidR="0010004C">
        <w:t>2025. gada beigām</w:t>
      </w:r>
      <w:r w:rsidR="00862D84" w:rsidRPr="00862D84">
        <w:t xml:space="preserve"> pārsniedza 172 miljonus </w:t>
      </w:r>
      <w:r w:rsidR="0010004C">
        <w:t>euro</w:t>
      </w:r>
      <w:r w:rsidR="00862D84" w:rsidRPr="00862D84">
        <w:t xml:space="preserve">, savukārt 2025. gadā uzņēmumiem tika izsniegts finansējums vairāk nekā 193 miljonu </w:t>
      </w:r>
      <w:r w:rsidR="0010004C">
        <w:t>euro</w:t>
      </w:r>
      <w:r w:rsidR="00862D84" w:rsidRPr="00862D84">
        <w:t xml:space="preserve"> apmērā.</w:t>
      </w:r>
    </w:p>
    <w:p w14:paraId="0F922133" w14:textId="77777777" w:rsidR="001829AC" w:rsidRDefault="001829AC" w:rsidP="001829AC">
      <w:pPr>
        <w:ind w:firstLine="720"/>
        <w:jc w:val="both"/>
      </w:pPr>
    </w:p>
    <w:p w14:paraId="6553DA01" w14:textId="5EEB01AF" w:rsidR="001829AC" w:rsidRPr="009F5182" w:rsidRDefault="0099638C" w:rsidP="001829AC">
      <w:pPr>
        <w:ind w:firstLine="720"/>
        <w:jc w:val="both"/>
        <w:rPr>
          <w:b/>
          <w:bCs/>
        </w:rPr>
      </w:pPr>
      <w:r>
        <w:rPr>
          <w:b/>
          <w:bCs/>
        </w:rPr>
        <w:t xml:space="preserve">2.2. </w:t>
      </w:r>
      <w:r w:rsidR="005552C0">
        <w:rPr>
          <w:b/>
          <w:bCs/>
        </w:rPr>
        <w:t>Valsts</w:t>
      </w:r>
      <w:r w:rsidR="001829AC" w:rsidRPr="009F5182">
        <w:rPr>
          <w:b/>
          <w:bCs/>
        </w:rPr>
        <w:t xml:space="preserve"> fondēto pensiju </w:t>
      </w:r>
      <w:r w:rsidR="005552C0">
        <w:rPr>
          <w:b/>
          <w:bCs/>
        </w:rPr>
        <w:t>plānu</w:t>
      </w:r>
      <w:r w:rsidR="00B95CE2">
        <w:rPr>
          <w:b/>
          <w:bCs/>
        </w:rPr>
        <w:t xml:space="preserve"> ieguldījumi </w:t>
      </w:r>
      <w:r w:rsidR="005552C0">
        <w:rPr>
          <w:b/>
          <w:bCs/>
        </w:rPr>
        <w:t>Latvijā</w:t>
      </w:r>
    </w:p>
    <w:p w14:paraId="73DB7FC4" w14:textId="77777777" w:rsidR="001829AC" w:rsidRDefault="001829AC" w:rsidP="001829AC">
      <w:pPr>
        <w:ind w:firstLine="720"/>
        <w:jc w:val="both"/>
      </w:pPr>
    </w:p>
    <w:p w14:paraId="5A50A2AE" w14:textId="0DFFB8D9" w:rsidR="001829AC" w:rsidRPr="001829AC" w:rsidRDefault="001829AC" w:rsidP="001829AC">
      <w:pPr>
        <w:ind w:firstLine="720"/>
        <w:jc w:val="both"/>
      </w:pPr>
      <w:bookmarkStart w:id="0" w:name="_Hlk194088419"/>
      <w:r w:rsidRPr="001829AC">
        <w:t xml:space="preserve">Kopējais valsts fondēto pensiju sistēmas </w:t>
      </w:r>
      <w:bookmarkEnd w:id="0"/>
      <w:r w:rsidRPr="001829AC">
        <w:t>(VFPS) jeb pensiju 2.līm</w:t>
      </w:r>
      <w:r w:rsidR="00AD0865">
        <w:t>e</w:t>
      </w:r>
      <w:r w:rsidRPr="001829AC">
        <w:t xml:space="preserve">ņa pārvaldītāju uzkrātais kapitāls ir </w:t>
      </w:r>
      <w:r w:rsidR="00C553A3">
        <w:t>9,</w:t>
      </w:r>
      <w:r w:rsidR="00C41614">
        <w:t>9</w:t>
      </w:r>
      <w:r w:rsidR="00F52269">
        <w:t xml:space="preserve"> miljrd.</w:t>
      </w:r>
      <w:r w:rsidRPr="001829AC">
        <w:t xml:space="preserve"> euro uz </w:t>
      </w:r>
      <w:r w:rsidR="00C41614">
        <w:t>31.12.</w:t>
      </w:r>
      <w:r w:rsidRPr="001829AC">
        <w:t xml:space="preserve">2025 </w:t>
      </w:r>
      <w:r w:rsidRPr="001829AC">
        <w:rPr>
          <w:vertAlign w:val="superscript"/>
        </w:rPr>
        <w:footnoteReference w:id="9"/>
      </w:r>
      <w:r w:rsidRPr="001829AC">
        <w:t xml:space="preserve">. Ieguldījumi Latvijā </w:t>
      </w:r>
      <w:r w:rsidR="00F52269">
        <w:t>veido</w:t>
      </w:r>
      <w:r w:rsidRPr="001829AC">
        <w:t xml:space="preserve"> </w:t>
      </w:r>
      <w:r w:rsidR="0006017B">
        <w:t>8,1</w:t>
      </w:r>
      <w:r w:rsidRPr="001829AC">
        <w:t>% no kopējā apjoma</w:t>
      </w:r>
      <w:r w:rsidRPr="001829AC">
        <w:rPr>
          <w:vertAlign w:val="superscript"/>
        </w:rPr>
        <w:footnoteReference w:id="10"/>
      </w:r>
      <w:r w:rsidRPr="001829AC">
        <w:t xml:space="preserve">. Vairāk nekā puse fondu aktīvu tiek ieguldīti vērtspapīros, kas emitēti ārpus Eiropas Savienības, un no tiem lielākā daļa – ASV emitentu vērtspapīros. Tas atspoguļo arī globālās ieguldījumu tendences –augstāka ienesīguma meklējumos investori izteikti fokusējās uz ASV akciju tirgu. </w:t>
      </w:r>
    </w:p>
    <w:p w14:paraId="627DC5A0" w14:textId="36F67218" w:rsidR="001829AC" w:rsidRPr="001829AC" w:rsidRDefault="001829AC" w:rsidP="001829AC">
      <w:pPr>
        <w:ind w:firstLine="720"/>
        <w:jc w:val="both"/>
      </w:pPr>
      <w:r>
        <w:lastRenderedPageBreak/>
        <w:t>Valsts fondēto pensiju sistēmas ieguldījumu plānos ir pārstāvētas dažādas ieguldījumu stratēģijas: akciju plāni (arī indeksu plāni), sabalansētie un konservatīvie plāni</w:t>
      </w:r>
      <w:r w:rsidR="00AB6C9D">
        <w:t xml:space="preserve">, kā arī dzīvescikla plāni, kas ieguldījumu proporcijas akcijās un obligācijas pielāgo </w:t>
      </w:r>
      <w:r w:rsidR="00543F51">
        <w:t>plānu dalībnieku vecumam</w:t>
      </w:r>
      <w:r>
        <w:t>. Skatoties pēc vēsturiskā ienesīguma rezultātiem, plāni</w:t>
      </w:r>
      <w:r w:rsidR="00CE4397">
        <w:t>, kas līdz 100% aktīvu iegulda akcijās,</w:t>
      </w:r>
      <w:r>
        <w:t xml:space="preserve"> nodrošina augstāku ienesīgumu garākā periodā, savukārt sabalansētie un konservatīvie plāni nodrošina pensiju kapitāla stabilitāti</w:t>
      </w:r>
      <w:r w:rsidR="00CE4397">
        <w:t>, kas ir svarīgi tuvojoties pensijas vecumam</w:t>
      </w:r>
      <w:r>
        <w:t xml:space="preserve">. Augstāka ienesīguma dēļ augsta riska plāni kļūst arvien populārāki. Atkarībā no pensiju plāna veida un stratēģijas, ir atšķirīgs ieguldījumu apjoms Latvijā. </w:t>
      </w:r>
    </w:p>
    <w:p w14:paraId="1B039329" w14:textId="2FCC90AA" w:rsidR="001829AC" w:rsidRPr="001829AC" w:rsidRDefault="001829AC" w:rsidP="001829AC">
      <w:pPr>
        <w:ind w:firstLine="720"/>
        <w:jc w:val="both"/>
      </w:pPr>
      <w:r>
        <w:t xml:space="preserve">Tomēr pasaules akciju tirgos ir jārēķinās ar svārstībām un lejupslīdes periodiem, un arī dažādiem makroekonomiskajiem riskiem. </w:t>
      </w:r>
    </w:p>
    <w:p w14:paraId="464A0F4D" w14:textId="499689F2" w:rsidR="001829AC" w:rsidRPr="001829AC" w:rsidRDefault="001829AC" w:rsidP="001829AC">
      <w:pPr>
        <w:ind w:firstLine="720"/>
        <w:jc w:val="both"/>
      </w:pPr>
      <w:r>
        <w:t xml:space="preserve">Neapšaubāmi, ka uzkrātā pensiju kapitāla ieguldīšana arvien lielākā apjomā Latvijā ir svarīga Latvijas ekonomikas attīstībai, un ir nosakāma kā augstāks finanšu politikas mērķis, ar pakāpenisku ieguldījuma apjomu pieaugumu </w:t>
      </w:r>
      <w:r w:rsidR="001C52C6">
        <w:t>–</w:t>
      </w:r>
      <w:r>
        <w:t xml:space="preserve"> atbilstoši vietējā kapitāla tirgus veselīgai attīstībai</w:t>
      </w:r>
      <w:r w:rsidR="0085146B">
        <w:t>, vienlaikus saglabājot principu</w:t>
      </w:r>
      <w:r w:rsidR="005E0B24">
        <w:t>, ka pensiju plānu pārvaldīšanā primārais mērķis ir nodrošināt</w:t>
      </w:r>
      <w:r w:rsidR="000450B6">
        <w:t xml:space="preserve"> pensiju plānu dalībnieku kapitāla pieaugumu</w:t>
      </w:r>
      <w:r w:rsidR="00A63B78">
        <w:t>.</w:t>
      </w:r>
    </w:p>
    <w:p w14:paraId="1F0CC595" w14:textId="77777777" w:rsidR="001829AC" w:rsidRPr="001829AC" w:rsidRDefault="001829AC" w:rsidP="001829AC">
      <w:pPr>
        <w:ind w:firstLine="720"/>
        <w:jc w:val="both"/>
      </w:pPr>
      <w:r>
        <w:t xml:space="preserve">Ir svarīgi, ka Latvijas uzņēmumi var piesaistīt investīcijas vietējā kapitāla tirgū. Maziem un vidējiem uzņēmumiem vietējais kapitāla tirgus ir sasniedzamākais finanšu avots. Vietējie investori atpazīst savas valsts uzņēmumu un tā produkciju, un būtu labvēlīgi noskaņoti investēt uzņēmuma izaugsmē. </w:t>
      </w:r>
    </w:p>
    <w:p w14:paraId="76B7DD70" w14:textId="77777777" w:rsidR="001829AC" w:rsidRPr="001829AC" w:rsidRDefault="001829AC" w:rsidP="001829AC">
      <w:pPr>
        <w:ind w:firstLine="720"/>
        <w:jc w:val="both"/>
      </w:pPr>
      <w:r>
        <w:t>Saskaņā ar Latvijas Bankas datiem, VFPS ieguldījumi Latvijā instrumentu veidu dalījumā ir šādi: komersabiedrību  parāda vērtspapīri – 28,0 procenti no kopējā apjoma, valsts parāda vērstpapīri – 23,4 procenti, prasības uz pieprasījumu 15,9 procenti un termiņnoguldījumi 12,1 procenti no kopējā apjoma. Alternatīvie ieguldījumu fondi un  riska kapitāls attiecīgi - 13,7  un 7,2 procenti.</w:t>
      </w:r>
    </w:p>
    <w:p w14:paraId="3813AB21" w14:textId="2F36EB4C" w:rsidR="001829AC" w:rsidRPr="001829AC" w:rsidRDefault="001829AC" w:rsidP="001829AC">
      <w:pPr>
        <w:ind w:firstLine="720"/>
        <w:jc w:val="both"/>
      </w:pPr>
      <w:r>
        <w:t>Secināms, ka ieguldījumus produktīvas investīcijās, tostarp komercsabiedrību parāda vērstpapīros, akcijās un riska kapitālā, galvenokārt ierobežo nepietiekams investīciju projektu piedāvājums, tomēr varam cerīgi raudzīties nākotnē, jo ir stabila izaugsme</w:t>
      </w:r>
      <w:r w:rsidR="001C52C6">
        <w:t>,</w:t>
      </w:r>
      <w:r>
        <w:t xml:space="preserve"> it īpaši komersabiedrību parāda vērtspapīru tirgū (jeb obligāciju tirgū).</w:t>
      </w:r>
    </w:p>
    <w:p w14:paraId="33595C83" w14:textId="21CA5AD1" w:rsidR="001829AC" w:rsidRPr="001829AC" w:rsidRDefault="001829AC" w:rsidP="001829AC">
      <w:pPr>
        <w:ind w:firstLine="720"/>
        <w:jc w:val="both"/>
      </w:pPr>
      <w:r>
        <w:t>Pensiju fondi ir būtiski obligāciju tirgus investori. Sagaidām, ka obligāciju tirgus izaugsme turpināsies arī šogad un turpmāk.</w:t>
      </w:r>
    </w:p>
    <w:p w14:paraId="34C8A993" w14:textId="77777777" w:rsidR="001829AC" w:rsidRDefault="616136FE" w:rsidP="001829AC">
      <w:pPr>
        <w:ind w:firstLine="720"/>
        <w:jc w:val="both"/>
      </w:pPr>
      <w:r>
        <w:t>Akciju tirgus Latvijā ir mazāk aktīvs, tomēr atsevišķi pensiju fondi ir piedalījušies akciju sākotnējos publiskajos piedāvājumos, kā piemēram olu ražotāja uzņēmumā “APF Holdings”. Ļoti būtiski, lai biržas akciju tirgū ienāktu lielie uzņēmumi, arī valsts un pašvaldību kapitālsabiedrības, kas varētu piesaistīt vairāk investīcijas, tostarp arī pensiju fondu aktīvo plānu līdzekļus.</w:t>
      </w:r>
    </w:p>
    <w:p w14:paraId="197AB3E7" w14:textId="305D8C93" w:rsidR="0057108D" w:rsidRPr="001829AC" w:rsidRDefault="008534F9" w:rsidP="001829AC">
      <w:pPr>
        <w:ind w:firstLine="720"/>
        <w:jc w:val="both"/>
      </w:pPr>
      <w:r>
        <w:t>Pakāpeniski jāattīsta</w:t>
      </w:r>
      <w:r w:rsidR="0057108D">
        <w:t xml:space="preserve"> pensiju fondu </w:t>
      </w:r>
      <w:r>
        <w:t>ieguldījumi</w:t>
      </w:r>
      <w:r w:rsidR="0057108D">
        <w:t xml:space="preserve"> </w:t>
      </w:r>
      <w:r w:rsidR="00EF2277">
        <w:t>infrastruktūr</w:t>
      </w:r>
      <w:r w:rsidR="00477A33">
        <w:t>ā, t.sk.</w:t>
      </w:r>
      <w:r w:rsidR="00EF2277">
        <w:t xml:space="preserve"> publiskās partnerības projektos</w:t>
      </w:r>
      <w:r w:rsidR="007E1C74">
        <w:t>, nodrošinot stabilu ilgtermiņa atdevi</w:t>
      </w:r>
      <w:r w:rsidR="003B1CC2">
        <w:t>, kas ir mazāk atkarīga no finanšu tirgus svārstībām.</w:t>
      </w:r>
    </w:p>
    <w:p w14:paraId="4C88ADC1" w14:textId="2BEC78AB" w:rsidR="001829AC" w:rsidRPr="001829AC" w:rsidRDefault="001829AC" w:rsidP="001829AC">
      <w:pPr>
        <w:ind w:firstLine="720"/>
        <w:jc w:val="both"/>
      </w:pPr>
      <w:r>
        <w:t xml:space="preserve">Pensiju fondu pārvaldniekam ir pienākums ieguldīt līdzekļus kā gādīgam un rūpīgam saimniekam, t.i. nevar fokusēties uz tikai uz plānu ģeogrāfiju, bet jānodrošina arī ienesīgums. </w:t>
      </w:r>
    </w:p>
    <w:p w14:paraId="33A16631" w14:textId="77777777" w:rsidR="001829AC" w:rsidRDefault="001829AC" w:rsidP="359A5C1A">
      <w:pPr>
        <w:ind w:firstLine="720"/>
        <w:jc w:val="both"/>
      </w:pPr>
    </w:p>
    <w:p w14:paraId="4446F21D" w14:textId="7B033C8E" w:rsidR="00A87167" w:rsidRDefault="0E0E5F10" w:rsidP="359A5C1A">
      <w:pPr>
        <w:spacing w:line="259" w:lineRule="auto"/>
        <w:ind w:firstLine="720"/>
        <w:rPr>
          <w:rFonts w:eastAsia="Times New Roman" w:cs="Times New Roman"/>
          <w:b/>
        </w:rPr>
      </w:pPr>
      <w:r w:rsidRPr="359A5C1A">
        <w:rPr>
          <w:rFonts w:eastAsia="Times New Roman" w:cs="Times New Roman"/>
          <w:b/>
          <w:bCs/>
        </w:rPr>
        <w:t>2.</w:t>
      </w:r>
      <w:r w:rsidR="0099638C">
        <w:rPr>
          <w:rFonts w:eastAsia="Times New Roman" w:cs="Times New Roman"/>
          <w:b/>
          <w:bCs/>
        </w:rPr>
        <w:t>3</w:t>
      </w:r>
      <w:r w:rsidRPr="359A5C1A">
        <w:rPr>
          <w:rFonts w:eastAsia="Times New Roman" w:cs="Times New Roman"/>
          <w:b/>
          <w:bCs/>
        </w:rPr>
        <w:t xml:space="preserve">. </w:t>
      </w:r>
      <w:r w:rsidR="006D7F1E" w:rsidRPr="359A5C1A">
        <w:rPr>
          <w:rFonts w:eastAsia="Times New Roman" w:cs="Times New Roman"/>
          <w:b/>
        </w:rPr>
        <w:t xml:space="preserve">Iedzīvotāji kā ilgtermiņa investori </w:t>
      </w:r>
    </w:p>
    <w:p w14:paraId="17D96A61" w14:textId="77777777" w:rsidR="006D7F1E" w:rsidRPr="006D7F1E" w:rsidRDefault="006D7F1E" w:rsidP="7828EF59">
      <w:pPr>
        <w:spacing w:line="259" w:lineRule="auto"/>
        <w:rPr>
          <w:rFonts w:eastAsia="Times New Roman" w:cs="Times New Roman"/>
          <w:szCs w:val="24"/>
        </w:rPr>
      </w:pPr>
    </w:p>
    <w:p w14:paraId="01D40E8E" w14:textId="77777777" w:rsidR="00F80345" w:rsidRDefault="3DB8D997" w:rsidP="0B1E8007">
      <w:pPr>
        <w:spacing w:line="259" w:lineRule="auto"/>
        <w:ind w:firstLine="720"/>
        <w:jc w:val="both"/>
        <w:rPr>
          <w:rFonts w:eastAsia="Times New Roman" w:cs="Times New Roman"/>
        </w:rPr>
      </w:pPr>
      <w:r w:rsidRPr="0B1E8007">
        <w:rPr>
          <w:rFonts w:eastAsia="Times New Roman" w:cs="Times New Roman"/>
        </w:rPr>
        <w:t>Svarīgs elements kapitāla tirgus attīstībā ir iedzīvotāju investīciju aktivitāte, kā arī uzkrājumu un ieguldīšanas kultūra kopumā.</w:t>
      </w:r>
      <w:r w:rsidR="60029369" w:rsidRPr="0B1E8007">
        <w:rPr>
          <w:rFonts w:eastAsia="Times New Roman" w:cs="Times New Roman"/>
        </w:rPr>
        <w:t xml:space="preserve"> </w:t>
      </w:r>
    </w:p>
    <w:p w14:paraId="1C1868E4" w14:textId="662D7FC8" w:rsidR="5F98231E" w:rsidRDefault="60029369" w:rsidP="0B1E8007">
      <w:pPr>
        <w:spacing w:line="259" w:lineRule="auto"/>
        <w:ind w:firstLine="720"/>
        <w:jc w:val="both"/>
        <w:rPr>
          <w:rFonts w:eastAsia="Times New Roman" w:cs="Times New Roman"/>
        </w:rPr>
      </w:pPr>
      <w:r w:rsidRPr="0B1E8007">
        <w:rPr>
          <w:rFonts w:eastAsia="Times New Roman" w:cs="Times New Roman"/>
        </w:rPr>
        <w:t xml:space="preserve">Pēdējo gadu laikā noguldījumu apjoms </w:t>
      </w:r>
      <w:r w:rsidR="06964C60" w:rsidRPr="0B1E8007">
        <w:rPr>
          <w:rFonts w:eastAsia="Times New Roman" w:cs="Times New Roman"/>
        </w:rPr>
        <w:t xml:space="preserve">kredītiestādēs </w:t>
      </w:r>
      <w:r w:rsidRPr="0B1E8007">
        <w:rPr>
          <w:rFonts w:eastAsia="Times New Roman" w:cs="Times New Roman"/>
        </w:rPr>
        <w:t>ir audzis</w:t>
      </w:r>
      <w:r w:rsidR="1A9D64F4" w:rsidRPr="0B1E8007">
        <w:rPr>
          <w:rFonts w:eastAsia="Times New Roman" w:cs="Times New Roman"/>
        </w:rPr>
        <w:t xml:space="preserve">. </w:t>
      </w:r>
      <w:r w:rsidR="00693095">
        <w:rPr>
          <w:rFonts w:eastAsia="Times New Roman" w:cs="Times New Roman"/>
        </w:rPr>
        <w:t>M</w:t>
      </w:r>
      <w:r w:rsidR="00693095" w:rsidRPr="00112451">
        <w:rPr>
          <w:rFonts w:eastAsia="Times New Roman" w:cs="Times New Roman"/>
        </w:rPr>
        <w:t xml:space="preserve">ājsaimniecību noguldījumi kredītiestādēs bija 11,7 miljardi euro  - 2025. gada 3.ceturksnī  (skat. 7. </w:t>
      </w:r>
      <w:r w:rsidR="00693095" w:rsidRPr="00112451">
        <w:rPr>
          <w:rFonts w:eastAsia="Times New Roman" w:cs="Times New Roman"/>
        </w:rPr>
        <w:lastRenderedPageBreak/>
        <w:t>att).</w:t>
      </w:r>
      <w:r w:rsidR="00693095">
        <w:rPr>
          <w:rFonts w:eastAsia="Times New Roman" w:cs="Times New Roman"/>
        </w:rPr>
        <w:t xml:space="preserve"> </w:t>
      </w:r>
      <w:r w:rsidR="1A9D64F4" w:rsidRPr="0B1E8007">
        <w:rPr>
          <w:rFonts w:eastAsia="Times New Roman" w:cs="Times New Roman"/>
        </w:rPr>
        <w:t>Vi</w:t>
      </w:r>
      <w:r w:rsidRPr="0B1E8007">
        <w:rPr>
          <w:rFonts w:eastAsia="Times New Roman" w:cs="Times New Roman"/>
        </w:rPr>
        <w:t xml:space="preserve">enlaikus jāatzīmē, ka liela daļa ir </w:t>
      </w:r>
      <w:r w:rsidR="2D86F860" w:rsidRPr="0B1E8007">
        <w:rPr>
          <w:rFonts w:eastAsia="Times New Roman" w:cs="Times New Roman"/>
        </w:rPr>
        <w:t>sevišķi</w:t>
      </w:r>
      <w:r w:rsidRPr="0B1E8007">
        <w:rPr>
          <w:rFonts w:eastAsia="Times New Roman" w:cs="Times New Roman"/>
        </w:rPr>
        <w:t xml:space="preserve"> no mājsaimniecību noguldījumiem atrodas norēķinu kontos par ko netiek maksāti procentu maksājumi</w:t>
      </w:r>
      <w:r w:rsidR="0E0D748E" w:rsidRPr="0B1E8007">
        <w:rPr>
          <w:rFonts w:eastAsia="Times New Roman" w:cs="Times New Roman"/>
        </w:rPr>
        <w:t xml:space="preserve">. </w:t>
      </w:r>
    </w:p>
    <w:p w14:paraId="2A08A72A" w14:textId="451488A5" w:rsidR="5F98231E" w:rsidRDefault="5F98231E" w:rsidP="0B1E8007">
      <w:pPr>
        <w:spacing w:line="259" w:lineRule="auto"/>
        <w:ind w:firstLine="720"/>
        <w:jc w:val="both"/>
        <w:rPr>
          <w:rFonts w:eastAsia="Times New Roman" w:cs="Times New Roman"/>
        </w:rPr>
      </w:pPr>
    </w:p>
    <w:p w14:paraId="6FE27A35" w14:textId="5DC2C219" w:rsidR="5F98231E" w:rsidRPr="009165A9" w:rsidRDefault="00371639" w:rsidP="009165A9">
      <w:pPr>
        <w:spacing w:line="259" w:lineRule="auto"/>
        <w:jc w:val="both"/>
        <w:rPr>
          <w:rFonts w:eastAsia="Times New Roman" w:cs="Times New Roman"/>
        </w:rPr>
      </w:pPr>
      <w:r>
        <w:rPr>
          <w:noProof/>
        </w:rPr>
        <w:drawing>
          <wp:inline distT="0" distB="0" distL="0" distR="0" wp14:anchorId="139D335E" wp14:editId="44A8CFE5">
            <wp:extent cx="5078413" cy="2743200"/>
            <wp:effectExtent l="0" t="0" r="8255" b="0"/>
            <wp:docPr id="1112349279" name="Chart 1">
              <a:extLst xmlns:a="http://schemas.openxmlformats.org/drawingml/2006/main">
                <a:ext uri="{FF2B5EF4-FFF2-40B4-BE49-F238E27FC236}">
                  <a16:creationId xmlns:a16="http://schemas.microsoft.com/office/drawing/2014/main" id="{E641675A-30E5-87CD-DBA1-395946B12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244BCA" w14:textId="3A2B97E0" w:rsidR="70EB2848" w:rsidRPr="009165A9" w:rsidRDefault="70EB2848" w:rsidP="0B1E8007">
      <w:pPr>
        <w:spacing w:line="259" w:lineRule="auto"/>
        <w:ind w:firstLine="720"/>
        <w:jc w:val="both"/>
        <w:rPr>
          <w:rFonts w:eastAsia="Times New Roman" w:cs="Times New Roman"/>
          <w:sz w:val="16"/>
          <w:szCs w:val="16"/>
        </w:rPr>
      </w:pPr>
      <w:r w:rsidRPr="009165A9">
        <w:rPr>
          <w:rFonts w:eastAsia="Times New Roman" w:cs="Times New Roman"/>
          <w:sz w:val="16"/>
          <w:szCs w:val="16"/>
        </w:rPr>
        <w:t xml:space="preserve">Avots: </w:t>
      </w:r>
      <w:r w:rsidR="009165A9" w:rsidRPr="009165A9">
        <w:rPr>
          <w:rFonts w:eastAsia="Times New Roman" w:cs="Times New Roman"/>
          <w:sz w:val="16"/>
          <w:szCs w:val="16"/>
        </w:rPr>
        <w:t>Latvijas Banka</w:t>
      </w:r>
    </w:p>
    <w:p w14:paraId="3B86517B" w14:textId="07D20C7B" w:rsidR="0B1E8007" w:rsidRDefault="0B1E8007" w:rsidP="0B1E8007">
      <w:pPr>
        <w:spacing w:line="259" w:lineRule="auto"/>
        <w:ind w:firstLine="720"/>
        <w:jc w:val="both"/>
        <w:rPr>
          <w:rFonts w:eastAsia="Times New Roman" w:cs="Times New Roman"/>
        </w:rPr>
      </w:pPr>
    </w:p>
    <w:p w14:paraId="5E71AA01" w14:textId="4FA41463" w:rsidR="003910A7" w:rsidRDefault="699E3F1C" w:rsidP="359A5C1A">
      <w:pPr>
        <w:spacing w:line="259" w:lineRule="auto"/>
        <w:ind w:firstLine="720"/>
        <w:jc w:val="both"/>
        <w:rPr>
          <w:rFonts w:eastAsia="Times New Roman" w:cs="Times New Roman"/>
        </w:rPr>
      </w:pPr>
      <w:r w:rsidRPr="0B1E8007">
        <w:rPr>
          <w:rFonts w:eastAsia="Times New Roman" w:cs="Times New Roman"/>
        </w:rPr>
        <w:t>Iedzīvotāju ilgtermiņa uzkrājum</w:t>
      </w:r>
      <w:r w:rsidR="041D8FDB" w:rsidRPr="0B1E8007">
        <w:rPr>
          <w:rFonts w:eastAsia="Times New Roman" w:cs="Times New Roman"/>
        </w:rPr>
        <w:t xml:space="preserve">i var būt nozīmīgs avots ienākumu aizvietošanai vecumdienās, pensijā. </w:t>
      </w:r>
      <w:r w:rsidR="5DBB144C" w:rsidRPr="0B1E8007">
        <w:rPr>
          <w:rFonts w:eastAsia="Times New Roman" w:cs="Times New Roman"/>
        </w:rPr>
        <w:t xml:space="preserve">Viens no pamata instrumentiem šim mērķim ir dažādi ilgtermiņa ieguldījumu instrumenti, tai skaitā </w:t>
      </w:r>
      <w:r w:rsidR="2710709B" w:rsidRPr="0B1E8007">
        <w:rPr>
          <w:rFonts w:eastAsia="Times New Roman" w:cs="Times New Roman"/>
        </w:rPr>
        <w:t xml:space="preserve">pensiju produkti. </w:t>
      </w:r>
      <w:r w:rsidR="00886CD7" w:rsidRPr="00886CD7">
        <w:rPr>
          <w:rFonts w:eastAsia="Times New Roman" w:cs="Times New Roman"/>
        </w:rPr>
        <w:t xml:space="preserve">Latvijas Bankas statistika par pensiju 3. līmeņa </w:t>
      </w:r>
      <w:r w:rsidR="00322586">
        <w:rPr>
          <w:rFonts w:eastAsia="Times New Roman" w:cs="Times New Roman"/>
        </w:rPr>
        <w:t xml:space="preserve">fondu </w:t>
      </w:r>
      <w:r w:rsidR="00886CD7" w:rsidRPr="00886CD7">
        <w:rPr>
          <w:rFonts w:eastAsia="Times New Roman" w:cs="Times New Roman"/>
        </w:rPr>
        <w:t>darbību liecina –</w:t>
      </w:r>
      <w:r w:rsidR="00322586">
        <w:rPr>
          <w:rFonts w:eastAsia="Times New Roman" w:cs="Times New Roman"/>
        </w:rPr>
        <w:t xml:space="preserve"> instruments ir populārs, ar salīdzinoši augstu ikgadējo pieauguma tempu</w:t>
      </w:r>
      <w:r w:rsidR="00F94664">
        <w:rPr>
          <w:rFonts w:eastAsia="Times New Roman" w:cs="Times New Roman"/>
        </w:rPr>
        <w:t xml:space="preserve"> (</w:t>
      </w:r>
      <w:r w:rsidR="00544C44">
        <w:rPr>
          <w:rFonts w:eastAsia="Times New Roman" w:cs="Times New Roman"/>
        </w:rPr>
        <w:t>s</w:t>
      </w:r>
      <w:r w:rsidR="0081185F">
        <w:rPr>
          <w:rFonts w:eastAsia="Times New Roman" w:cs="Times New Roman"/>
        </w:rPr>
        <w:t>k</w:t>
      </w:r>
      <w:r w:rsidR="00544C44">
        <w:rPr>
          <w:rFonts w:eastAsia="Times New Roman" w:cs="Times New Roman"/>
        </w:rPr>
        <w:t xml:space="preserve">at. </w:t>
      </w:r>
      <w:r w:rsidR="00F94664">
        <w:rPr>
          <w:rFonts w:eastAsia="Times New Roman" w:cs="Times New Roman"/>
        </w:rPr>
        <w:t>8.att)</w:t>
      </w:r>
      <w:r w:rsidR="00322586">
        <w:rPr>
          <w:rFonts w:eastAsia="Times New Roman" w:cs="Times New Roman"/>
        </w:rPr>
        <w:t xml:space="preserve">. </w:t>
      </w:r>
      <w:r w:rsidR="00886CD7" w:rsidRPr="00886CD7">
        <w:rPr>
          <w:rFonts w:eastAsia="Times New Roman" w:cs="Times New Roman"/>
        </w:rPr>
        <w:t xml:space="preserve"> </w:t>
      </w:r>
      <w:r w:rsidR="00752C32">
        <w:rPr>
          <w:rFonts w:eastAsia="Times New Roman" w:cs="Times New Roman"/>
        </w:rPr>
        <w:t>T</w:t>
      </w:r>
      <w:r w:rsidR="00886CD7" w:rsidRPr="00886CD7">
        <w:rPr>
          <w:rFonts w:eastAsia="Times New Roman" w:cs="Times New Roman"/>
        </w:rPr>
        <w:t xml:space="preserve">ā kopējie aktīvi </w:t>
      </w:r>
      <w:r w:rsidR="009E5E0D">
        <w:rPr>
          <w:rFonts w:eastAsia="Times New Roman" w:cs="Times New Roman"/>
        </w:rPr>
        <w:t xml:space="preserve">2025. gada </w:t>
      </w:r>
      <w:r w:rsidR="00D36F39">
        <w:rPr>
          <w:rFonts w:eastAsia="Times New Roman" w:cs="Times New Roman"/>
        </w:rPr>
        <w:t>3</w:t>
      </w:r>
      <w:r w:rsidR="009E5E0D">
        <w:rPr>
          <w:rFonts w:eastAsia="Times New Roman" w:cs="Times New Roman"/>
        </w:rPr>
        <w:t>.ceturksnī sasniedza</w:t>
      </w:r>
      <w:r w:rsidR="00886CD7" w:rsidRPr="00886CD7">
        <w:rPr>
          <w:rFonts w:eastAsia="Times New Roman" w:cs="Times New Roman"/>
        </w:rPr>
        <w:t xml:space="preserve"> </w:t>
      </w:r>
      <w:r w:rsidR="009E5E0D">
        <w:rPr>
          <w:rFonts w:eastAsia="Times New Roman" w:cs="Times New Roman"/>
        </w:rPr>
        <w:t>1</w:t>
      </w:r>
      <w:r w:rsidR="008D6B7F">
        <w:rPr>
          <w:rFonts w:eastAsia="Times New Roman" w:cs="Times New Roman"/>
        </w:rPr>
        <w:t>,</w:t>
      </w:r>
      <w:r w:rsidR="00D36F39">
        <w:rPr>
          <w:rFonts w:eastAsia="Times New Roman" w:cs="Times New Roman"/>
        </w:rPr>
        <w:t xml:space="preserve">1 </w:t>
      </w:r>
      <w:r w:rsidR="00886CD7" w:rsidRPr="00886CD7">
        <w:rPr>
          <w:rFonts w:eastAsia="Times New Roman" w:cs="Times New Roman"/>
        </w:rPr>
        <w:t>miljard</w:t>
      </w:r>
      <w:r w:rsidR="009E5E0D">
        <w:rPr>
          <w:rFonts w:eastAsia="Times New Roman" w:cs="Times New Roman"/>
        </w:rPr>
        <w:t>u</w:t>
      </w:r>
      <w:r w:rsidR="00886CD7" w:rsidRPr="00886CD7">
        <w:rPr>
          <w:rFonts w:eastAsia="Times New Roman" w:cs="Times New Roman"/>
        </w:rPr>
        <w:t xml:space="preserve"> eiro. </w:t>
      </w:r>
      <w:r w:rsidR="00F7320A" w:rsidRPr="00886CD7">
        <w:rPr>
          <w:rFonts w:eastAsia="Times New Roman" w:cs="Times New Roman"/>
        </w:rPr>
        <w:t>Salīdzinājum</w:t>
      </w:r>
      <w:r w:rsidR="00F7320A">
        <w:rPr>
          <w:rFonts w:eastAsia="Times New Roman" w:cs="Times New Roman"/>
        </w:rPr>
        <w:t xml:space="preserve">am ar </w:t>
      </w:r>
      <w:r w:rsidR="00886CD7" w:rsidRPr="00886CD7">
        <w:rPr>
          <w:rFonts w:eastAsia="Times New Roman" w:cs="Times New Roman"/>
        </w:rPr>
        <w:t xml:space="preserve">pensiju 2. </w:t>
      </w:r>
      <w:r w:rsidR="00F7320A" w:rsidRPr="00886CD7">
        <w:rPr>
          <w:rFonts w:eastAsia="Times New Roman" w:cs="Times New Roman"/>
        </w:rPr>
        <w:t>līmen</w:t>
      </w:r>
      <w:r w:rsidR="00F7320A">
        <w:rPr>
          <w:rFonts w:eastAsia="Times New Roman" w:cs="Times New Roman"/>
        </w:rPr>
        <w:t>i</w:t>
      </w:r>
      <w:r w:rsidR="00886CD7" w:rsidRPr="00886CD7">
        <w:rPr>
          <w:rFonts w:eastAsia="Times New Roman" w:cs="Times New Roman"/>
        </w:rPr>
        <w:t>, kurā dalība ir obligāta</w:t>
      </w:r>
      <w:r w:rsidR="009C2C3E">
        <w:rPr>
          <w:rFonts w:eastAsia="Times New Roman" w:cs="Times New Roman"/>
        </w:rPr>
        <w:t>,</w:t>
      </w:r>
      <w:r w:rsidR="00886CD7" w:rsidRPr="00886CD7">
        <w:rPr>
          <w:rFonts w:eastAsia="Times New Roman" w:cs="Times New Roman"/>
        </w:rPr>
        <w:t xml:space="preserve"> būtiski atšķiras dalībnieku skaits abos pensiju līmeņos, proti, pensiju 2. līmenī ir vairāk nekā 1,3 miljoni dalībnieku, bet pensiju 3. līmenī – 445 tūkstoši</w:t>
      </w:r>
      <w:r w:rsidR="00F301A5">
        <w:rPr>
          <w:rFonts w:eastAsia="Times New Roman" w:cs="Times New Roman"/>
        </w:rPr>
        <w:t xml:space="preserve"> dalībnieku,</w:t>
      </w:r>
      <w:r w:rsidR="00B92465">
        <w:rPr>
          <w:rFonts w:eastAsia="Times New Roman" w:cs="Times New Roman"/>
        </w:rPr>
        <w:t xml:space="preserve"> tuvu katrs trešais no strādājošajiem</w:t>
      </w:r>
      <w:r w:rsidR="00F301A5">
        <w:rPr>
          <w:rFonts w:eastAsia="Times New Roman" w:cs="Times New Roman"/>
        </w:rPr>
        <w:t xml:space="preserve"> iedzīvotājiem</w:t>
      </w:r>
      <w:r w:rsidR="00886CD7" w:rsidRPr="00886CD7">
        <w:rPr>
          <w:rFonts w:eastAsia="Times New Roman" w:cs="Times New Roman"/>
        </w:rPr>
        <w:t xml:space="preserve">.       </w:t>
      </w:r>
    </w:p>
    <w:p w14:paraId="5043820A" w14:textId="77777777" w:rsidR="008F3129" w:rsidRDefault="008F3129" w:rsidP="359A5C1A">
      <w:pPr>
        <w:spacing w:line="259" w:lineRule="auto"/>
        <w:ind w:firstLine="720"/>
        <w:jc w:val="both"/>
        <w:rPr>
          <w:rFonts w:eastAsia="Times New Roman" w:cs="Times New Roman"/>
        </w:rPr>
      </w:pPr>
    </w:p>
    <w:p w14:paraId="66C13347" w14:textId="19C6066E" w:rsidR="00246F41" w:rsidRPr="003F4379" w:rsidRDefault="00246F41" w:rsidP="00246F41">
      <w:pPr>
        <w:spacing w:line="259" w:lineRule="auto"/>
        <w:rPr>
          <w:rFonts w:eastAsia="Times New Roman" w:cs="Times New Roman"/>
          <w:b/>
          <w:bCs/>
          <w:szCs w:val="24"/>
        </w:rPr>
      </w:pPr>
      <w:r>
        <w:rPr>
          <w:rFonts w:eastAsia="Times New Roman" w:cs="Times New Roman"/>
          <w:b/>
          <w:bCs/>
          <w:szCs w:val="24"/>
        </w:rPr>
        <w:t>8. att.</w:t>
      </w:r>
      <w:r w:rsidRPr="003F4379">
        <w:rPr>
          <w:rFonts w:eastAsia="Times New Roman" w:cs="Times New Roman"/>
          <w:b/>
          <w:bCs/>
          <w:szCs w:val="24"/>
        </w:rPr>
        <w:t xml:space="preserve"> </w:t>
      </w:r>
      <w:r>
        <w:rPr>
          <w:rFonts w:eastAsia="Times New Roman" w:cs="Times New Roman"/>
          <w:b/>
          <w:bCs/>
          <w:szCs w:val="24"/>
        </w:rPr>
        <w:t xml:space="preserve">3.pensiju līmeņa aktīvu </w:t>
      </w:r>
      <w:r w:rsidR="0038773D">
        <w:rPr>
          <w:rFonts w:eastAsia="Times New Roman" w:cs="Times New Roman"/>
          <w:b/>
          <w:bCs/>
          <w:szCs w:val="24"/>
        </w:rPr>
        <w:t>pieaugums</w:t>
      </w:r>
      <w:r>
        <w:rPr>
          <w:rFonts w:eastAsia="Times New Roman" w:cs="Times New Roman"/>
          <w:b/>
          <w:bCs/>
          <w:szCs w:val="24"/>
        </w:rPr>
        <w:t xml:space="preserve">, </w:t>
      </w:r>
      <w:r w:rsidR="001E4F78">
        <w:rPr>
          <w:rFonts w:eastAsia="Times New Roman" w:cs="Times New Roman"/>
          <w:b/>
          <w:bCs/>
          <w:szCs w:val="24"/>
        </w:rPr>
        <w:t xml:space="preserve">% </w:t>
      </w:r>
    </w:p>
    <w:p w14:paraId="487919F1" w14:textId="77777777" w:rsidR="002857CB" w:rsidRDefault="002857CB" w:rsidP="002857CB">
      <w:pPr>
        <w:spacing w:line="259" w:lineRule="auto"/>
        <w:jc w:val="both"/>
        <w:rPr>
          <w:rFonts w:eastAsia="Times New Roman" w:cs="Times New Roman"/>
        </w:rPr>
      </w:pPr>
      <w:r>
        <w:rPr>
          <w:noProof/>
        </w:rPr>
        <w:drawing>
          <wp:inline distT="0" distB="0" distL="0" distR="0" wp14:anchorId="2A6F5544" wp14:editId="0C26DAB0">
            <wp:extent cx="4279900" cy="2063750"/>
            <wp:effectExtent l="0" t="0" r="6350" b="12700"/>
            <wp:docPr id="996235380" name="Chart 1">
              <a:extLst xmlns:a="http://schemas.openxmlformats.org/drawingml/2006/main">
                <a:ext uri="{FF2B5EF4-FFF2-40B4-BE49-F238E27FC236}">
                  <a16:creationId xmlns:a16="http://schemas.microsoft.com/office/drawing/2014/main" id="{68803890-A56D-A8A3-AF08-A30C599A9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F85AFC" w14:textId="4B459BDC" w:rsidR="00F16A60" w:rsidRPr="002857CB" w:rsidRDefault="00F16A60" w:rsidP="002857CB">
      <w:pPr>
        <w:spacing w:line="259" w:lineRule="auto"/>
        <w:jc w:val="both"/>
        <w:rPr>
          <w:rFonts w:eastAsia="Times New Roman" w:cs="Times New Roman"/>
          <w:sz w:val="18"/>
          <w:szCs w:val="18"/>
        </w:rPr>
      </w:pPr>
      <w:r w:rsidRPr="002857CB">
        <w:rPr>
          <w:rFonts w:eastAsia="Times New Roman" w:cs="Times New Roman"/>
          <w:sz w:val="18"/>
          <w:szCs w:val="18"/>
        </w:rPr>
        <w:t>Avots: Latvijas Banka</w:t>
      </w:r>
    </w:p>
    <w:p w14:paraId="379498EE" w14:textId="77777777" w:rsidR="002857CB" w:rsidRDefault="002857CB" w:rsidP="002857CB">
      <w:pPr>
        <w:spacing w:line="259" w:lineRule="auto"/>
        <w:jc w:val="both"/>
        <w:rPr>
          <w:rFonts w:eastAsia="Times New Roman" w:cs="Times New Roman"/>
        </w:rPr>
      </w:pPr>
    </w:p>
    <w:p w14:paraId="6BBB08EF" w14:textId="6A49A5CE" w:rsidR="007A70EB" w:rsidRDefault="00F301A5" w:rsidP="003910A7">
      <w:pPr>
        <w:spacing w:line="259" w:lineRule="auto"/>
        <w:ind w:firstLine="720"/>
        <w:jc w:val="both"/>
        <w:rPr>
          <w:rFonts w:eastAsia="Times New Roman" w:cs="Times New Roman"/>
          <w:szCs w:val="24"/>
        </w:rPr>
      </w:pPr>
      <w:r>
        <w:rPr>
          <w:rFonts w:eastAsia="Times New Roman" w:cs="Times New Roman"/>
          <w:szCs w:val="24"/>
        </w:rPr>
        <w:t>V</w:t>
      </w:r>
      <w:r w:rsidR="003F4379">
        <w:rPr>
          <w:rFonts w:eastAsia="Times New Roman" w:cs="Times New Roman"/>
          <w:szCs w:val="24"/>
        </w:rPr>
        <w:t xml:space="preserve">ērtējot </w:t>
      </w:r>
      <w:r w:rsidR="00F36BCA">
        <w:rPr>
          <w:rFonts w:eastAsia="Times New Roman" w:cs="Times New Roman"/>
          <w:szCs w:val="24"/>
        </w:rPr>
        <w:t xml:space="preserve">datus par pensiju 3.līmeņa dalībniekiem, jāsecina, ka </w:t>
      </w:r>
      <w:r w:rsidR="00FC2A81">
        <w:rPr>
          <w:rFonts w:eastAsia="Times New Roman" w:cs="Times New Roman"/>
          <w:szCs w:val="24"/>
        </w:rPr>
        <w:t xml:space="preserve">lielākā daļa pensiju produktos uzkrājumu veic īsākā termiņā kā būtu optimāli maksimāla </w:t>
      </w:r>
      <w:r w:rsidR="000E313E">
        <w:rPr>
          <w:rFonts w:eastAsia="Times New Roman" w:cs="Times New Roman"/>
          <w:szCs w:val="24"/>
        </w:rPr>
        <w:t>uzkrājuma sasniegšanai</w:t>
      </w:r>
      <w:r w:rsidR="007D1BDC">
        <w:rPr>
          <w:rFonts w:eastAsia="Times New Roman" w:cs="Times New Roman"/>
          <w:szCs w:val="24"/>
        </w:rPr>
        <w:t>,</w:t>
      </w:r>
      <w:r w:rsidR="0020396D">
        <w:rPr>
          <w:rFonts w:eastAsia="Times New Roman" w:cs="Times New Roman"/>
          <w:szCs w:val="24"/>
        </w:rPr>
        <w:t xml:space="preserve"> jo</w:t>
      </w:r>
      <w:r w:rsidR="007D1BDC">
        <w:rPr>
          <w:rFonts w:eastAsia="Times New Roman" w:cs="Times New Roman"/>
          <w:szCs w:val="24"/>
        </w:rPr>
        <w:t xml:space="preserve"> </w:t>
      </w:r>
      <w:r w:rsidR="008B2E03">
        <w:rPr>
          <w:rFonts w:eastAsia="Times New Roman" w:cs="Times New Roman"/>
          <w:szCs w:val="24"/>
        </w:rPr>
        <w:t xml:space="preserve">pavisam niecīgs skaits </w:t>
      </w:r>
      <w:r w:rsidR="00580CE2">
        <w:rPr>
          <w:rFonts w:eastAsia="Times New Roman" w:cs="Times New Roman"/>
          <w:szCs w:val="24"/>
        </w:rPr>
        <w:t xml:space="preserve">ir dalībnieki 3.pensiju līmenī ilgāk par 20 </w:t>
      </w:r>
      <w:r w:rsidR="00580CE2">
        <w:rPr>
          <w:rFonts w:eastAsia="Times New Roman" w:cs="Times New Roman"/>
          <w:szCs w:val="24"/>
        </w:rPr>
        <w:lastRenderedPageBreak/>
        <w:t>gadiem</w:t>
      </w:r>
      <w:r w:rsidR="00150FF6">
        <w:rPr>
          <w:rFonts w:eastAsia="Times New Roman" w:cs="Times New Roman"/>
          <w:szCs w:val="24"/>
        </w:rPr>
        <w:t xml:space="preserve"> (skat. </w:t>
      </w:r>
      <w:r w:rsidR="00544C44">
        <w:rPr>
          <w:rFonts w:eastAsia="Times New Roman" w:cs="Times New Roman"/>
          <w:szCs w:val="24"/>
        </w:rPr>
        <w:t>9</w:t>
      </w:r>
      <w:r w:rsidR="00150FF6">
        <w:rPr>
          <w:rFonts w:eastAsia="Times New Roman" w:cs="Times New Roman"/>
          <w:szCs w:val="24"/>
        </w:rPr>
        <w:t>.att.)</w:t>
      </w:r>
      <w:r w:rsidR="00580CE2">
        <w:rPr>
          <w:rFonts w:eastAsia="Times New Roman" w:cs="Times New Roman"/>
          <w:szCs w:val="24"/>
        </w:rPr>
        <w:t xml:space="preserve">. Tomēr vislielāko kapitāla pieaugumu ir iespējams sasniegt, uzsākot dalību pēc iespējas jaunākā vecumā. </w:t>
      </w:r>
      <w:r w:rsidR="0095652C">
        <w:rPr>
          <w:rFonts w:eastAsia="Times New Roman" w:cs="Times New Roman"/>
          <w:szCs w:val="24"/>
        </w:rPr>
        <w:t>Viens no iemesliem šādai dinamikai ir tas, ka jaunāki cilvēki nereti dod priekšroku uzkrājošai dzīvības apdrošināšanai</w:t>
      </w:r>
      <w:r w:rsidR="00C97743">
        <w:rPr>
          <w:rFonts w:eastAsia="Times New Roman" w:cs="Times New Roman"/>
          <w:szCs w:val="24"/>
        </w:rPr>
        <w:t>, ņemot vērā to, ka uzkrātie līdzekļi ir pieejami ātrāk kā 3.pensiju līmenī</w:t>
      </w:r>
      <w:r w:rsidR="00365339">
        <w:rPr>
          <w:rFonts w:eastAsia="Times New Roman" w:cs="Times New Roman"/>
          <w:szCs w:val="24"/>
        </w:rPr>
        <w:t xml:space="preserve">, vai arī citos aktīvu </w:t>
      </w:r>
      <w:r w:rsidR="006813ED">
        <w:rPr>
          <w:rFonts w:eastAsia="Times New Roman" w:cs="Times New Roman"/>
          <w:szCs w:val="24"/>
        </w:rPr>
        <w:t>veidos, kā piemēram, nekustamajā īpašumā</w:t>
      </w:r>
      <w:r w:rsidR="00C97743">
        <w:rPr>
          <w:rFonts w:eastAsia="Times New Roman" w:cs="Times New Roman"/>
          <w:szCs w:val="24"/>
        </w:rPr>
        <w:t xml:space="preserve">. Attiecīgi 3.pensiju līmenī </w:t>
      </w:r>
      <w:r w:rsidR="00357689">
        <w:rPr>
          <w:rFonts w:eastAsia="Times New Roman" w:cs="Times New Roman"/>
          <w:szCs w:val="24"/>
        </w:rPr>
        <w:t xml:space="preserve">uzkrājumus sāk veidot vēlākā vecumā, kad pensionēšanās vecums vai iespēja izņemt līdzekļus no pensiju 3.līmeņa uzkrājuma ir relatīvi tuvāk. </w:t>
      </w:r>
      <w:r w:rsidR="00D64CCD" w:rsidRPr="00D64CCD">
        <w:rPr>
          <w:rFonts w:eastAsia="Times New Roman" w:cs="Times New Roman"/>
          <w:szCs w:val="24"/>
        </w:rPr>
        <w:t>26,1% jauno dalībnieku sāk veidot uzkrājumu mazāk kā 5 gadus pirms uzkrājuma izņemšanas</w:t>
      </w:r>
      <w:r w:rsidR="00BF092C">
        <w:rPr>
          <w:rFonts w:eastAsia="Times New Roman" w:cs="Times New Roman"/>
          <w:szCs w:val="24"/>
        </w:rPr>
        <w:t>.</w:t>
      </w:r>
    </w:p>
    <w:p w14:paraId="37DA11BD" w14:textId="77777777" w:rsidR="004060C1" w:rsidRDefault="004060C1" w:rsidP="7828EF59">
      <w:pPr>
        <w:spacing w:line="259" w:lineRule="auto"/>
        <w:rPr>
          <w:rFonts w:eastAsia="Times New Roman" w:cs="Times New Roman"/>
          <w:szCs w:val="24"/>
        </w:rPr>
      </w:pPr>
    </w:p>
    <w:p w14:paraId="1DD72FDF" w14:textId="6ABEC12C" w:rsidR="004060C1" w:rsidRPr="003F4379" w:rsidRDefault="00544C44" w:rsidP="7828EF59">
      <w:pPr>
        <w:spacing w:line="259" w:lineRule="auto"/>
        <w:rPr>
          <w:rFonts w:eastAsia="Times New Roman" w:cs="Times New Roman"/>
          <w:b/>
          <w:bCs/>
          <w:szCs w:val="24"/>
        </w:rPr>
      </w:pPr>
      <w:r>
        <w:rPr>
          <w:rFonts w:eastAsia="Times New Roman" w:cs="Times New Roman"/>
          <w:b/>
          <w:bCs/>
          <w:szCs w:val="24"/>
        </w:rPr>
        <w:t>9</w:t>
      </w:r>
      <w:r w:rsidR="00150FF6">
        <w:rPr>
          <w:rFonts w:eastAsia="Times New Roman" w:cs="Times New Roman"/>
          <w:b/>
          <w:bCs/>
          <w:szCs w:val="24"/>
        </w:rPr>
        <w:t>. att.</w:t>
      </w:r>
      <w:r w:rsidR="003F4379" w:rsidRPr="003F4379">
        <w:rPr>
          <w:rFonts w:eastAsia="Times New Roman" w:cs="Times New Roman"/>
          <w:b/>
          <w:bCs/>
          <w:szCs w:val="24"/>
        </w:rPr>
        <w:t xml:space="preserve"> Dalībnieku skaita sadalījums pensiju fondos pēc uzkrāšanas ilguma gados, 2024.gads</w:t>
      </w:r>
    </w:p>
    <w:p w14:paraId="5463A7B3" w14:textId="465D52B2" w:rsidR="006D7F1E" w:rsidRDefault="00D2777C" w:rsidP="7828EF59">
      <w:pPr>
        <w:spacing w:line="259" w:lineRule="auto"/>
        <w:rPr>
          <w:rFonts w:eastAsia="Times New Roman" w:cs="Times New Roman"/>
        </w:rPr>
      </w:pPr>
      <w:r>
        <w:rPr>
          <w:noProof/>
        </w:rPr>
        <w:drawing>
          <wp:inline distT="0" distB="0" distL="0" distR="0" wp14:anchorId="053A4CC3" wp14:editId="3E61D3FD">
            <wp:extent cx="4572000" cy="1389185"/>
            <wp:effectExtent l="0" t="0" r="0" b="1905"/>
            <wp:docPr id="1263252995" name="Chart 1">
              <a:extLst xmlns:a="http://schemas.openxmlformats.org/drawingml/2006/main">
                <a:ext uri="{FF2B5EF4-FFF2-40B4-BE49-F238E27FC236}">
                  <a16:creationId xmlns:a16="http://schemas.microsoft.com/office/drawing/2014/main" id="{6E23A414-285B-A921-BFBD-2EC1B6F9B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8568EF" w14:textId="1B6F3BDC" w:rsidR="00D2777C" w:rsidRPr="003F4379" w:rsidRDefault="003F4379" w:rsidP="7828EF59">
      <w:pPr>
        <w:spacing w:line="259" w:lineRule="auto"/>
        <w:rPr>
          <w:rFonts w:eastAsia="Times New Roman" w:cs="Times New Roman"/>
          <w:sz w:val="18"/>
          <w:szCs w:val="18"/>
        </w:rPr>
      </w:pPr>
      <w:r w:rsidRPr="003F4379">
        <w:rPr>
          <w:rFonts w:eastAsia="Times New Roman" w:cs="Times New Roman"/>
          <w:sz w:val="18"/>
          <w:szCs w:val="18"/>
        </w:rPr>
        <w:t>Avots: Latvijas Banka</w:t>
      </w:r>
    </w:p>
    <w:p w14:paraId="175851D4" w14:textId="77777777" w:rsidR="00D2777C" w:rsidRPr="006D7F1E" w:rsidRDefault="00D2777C" w:rsidP="7828EF59">
      <w:pPr>
        <w:spacing w:line="259" w:lineRule="auto"/>
        <w:rPr>
          <w:rFonts w:eastAsia="Times New Roman" w:cs="Times New Roman"/>
          <w:szCs w:val="24"/>
        </w:rPr>
      </w:pPr>
    </w:p>
    <w:p w14:paraId="2C7AD3E7" w14:textId="741D043A" w:rsidR="00A7013A" w:rsidRDefault="00082CE9" w:rsidP="005E3940">
      <w:pPr>
        <w:spacing w:line="259" w:lineRule="auto"/>
        <w:ind w:firstLine="720"/>
        <w:jc w:val="both"/>
        <w:rPr>
          <w:rFonts w:eastAsia="Times New Roman" w:cs="Times New Roman"/>
          <w:szCs w:val="24"/>
        </w:rPr>
      </w:pPr>
      <w:r>
        <w:rPr>
          <w:rFonts w:eastAsia="Times New Roman" w:cs="Times New Roman"/>
          <w:szCs w:val="24"/>
        </w:rPr>
        <w:t xml:space="preserve">Būtiskākais pensiju produktu mērķis ir sasniegt maksimālu ienākumu aizvietojamību </w:t>
      </w:r>
      <w:r w:rsidR="00357689">
        <w:rPr>
          <w:rFonts w:eastAsia="Times New Roman" w:cs="Times New Roman"/>
          <w:szCs w:val="24"/>
        </w:rPr>
        <w:t xml:space="preserve">vecumdienās, un svarīgākais elements šī mērķa sasniegšanā ir atbilstošs ienesīgums jeb kapitāla pieaugums. </w:t>
      </w:r>
      <w:r w:rsidR="00FC264C">
        <w:rPr>
          <w:rFonts w:eastAsia="Times New Roman" w:cs="Times New Roman"/>
          <w:szCs w:val="24"/>
        </w:rPr>
        <w:t xml:space="preserve">Ieguldījumiem, kas veikti 20-30 gadu periodā, lielāko daļu kopējā uzkrājuma veidos kapitāla pieaugums. Vienlaikus </w:t>
      </w:r>
      <w:r w:rsidR="008027DA">
        <w:rPr>
          <w:rFonts w:eastAsia="Times New Roman" w:cs="Times New Roman"/>
          <w:szCs w:val="24"/>
        </w:rPr>
        <w:t xml:space="preserve">Latvijā kopš </w:t>
      </w:r>
      <w:r w:rsidR="008027DA" w:rsidRPr="00B274F3">
        <w:rPr>
          <w:rFonts w:eastAsia="Times New Roman" w:cs="Times New Roman"/>
          <w:szCs w:val="24"/>
        </w:rPr>
        <w:t>2025.gada 1.janvāra ir būtiski palielināts</w:t>
      </w:r>
      <w:r w:rsidR="008027DA">
        <w:rPr>
          <w:rFonts w:eastAsia="Times New Roman" w:cs="Times New Roman"/>
          <w:szCs w:val="24"/>
        </w:rPr>
        <w:t xml:space="preserve"> kapitāla pieauguma nodoklis, kas šobrīd ir 25,5%. </w:t>
      </w:r>
      <w:r w:rsidR="00FC264C">
        <w:rPr>
          <w:rFonts w:eastAsia="Times New Roman" w:cs="Times New Roman"/>
          <w:szCs w:val="24"/>
        </w:rPr>
        <w:t>jāatzīmē, ka pasaules praksē pensiju produkt</w:t>
      </w:r>
      <w:r w:rsidR="00814130">
        <w:rPr>
          <w:rFonts w:eastAsia="Times New Roman" w:cs="Times New Roman"/>
          <w:szCs w:val="24"/>
        </w:rPr>
        <w:t xml:space="preserve">os kapitāla pieaugums netiek aplikts ar kapitāla pieauguma nodokli, ņemot vērā to, ka kapitāla pieaugums </w:t>
      </w:r>
      <w:r w:rsidR="00173D03">
        <w:rPr>
          <w:rFonts w:eastAsia="Times New Roman" w:cs="Times New Roman"/>
          <w:szCs w:val="24"/>
        </w:rPr>
        <w:t xml:space="preserve">ir svarīgs elements, lai ilgtermiņā kompensētu inflācijas </w:t>
      </w:r>
      <w:r w:rsidR="00B054B3">
        <w:rPr>
          <w:rFonts w:eastAsia="Times New Roman" w:cs="Times New Roman"/>
          <w:szCs w:val="24"/>
        </w:rPr>
        <w:t xml:space="preserve">ietekmi uz </w:t>
      </w:r>
      <w:r w:rsidR="00E23246">
        <w:rPr>
          <w:rFonts w:eastAsia="Times New Roman" w:cs="Times New Roman"/>
          <w:szCs w:val="24"/>
        </w:rPr>
        <w:t xml:space="preserve">naudas pirktspējas </w:t>
      </w:r>
      <w:r w:rsidR="00B054B3">
        <w:rPr>
          <w:rFonts w:eastAsia="Times New Roman" w:cs="Times New Roman"/>
          <w:szCs w:val="24"/>
        </w:rPr>
        <w:t xml:space="preserve">kritumu. </w:t>
      </w:r>
      <w:r w:rsidR="00CE4BCC">
        <w:rPr>
          <w:rFonts w:eastAsia="Times New Roman" w:cs="Times New Roman"/>
          <w:szCs w:val="24"/>
        </w:rPr>
        <w:t xml:space="preserve">Šobrīd </w:t>
      </w:r>
      <w:r w:rsidR="00CE4BCC" w:rsidRPr="005E3940">
        <w:rPr>
          <w:rFonts w:eastAsia="Times New Roman" w:cs="Times New Roman"/>
          <w:szCs w:val="24"/>
        </w:rPr>
        <w:t>no 42 OECD</w:t>
      </w:r>
      <w:r w:rsidR="00CE4BCC">
        <w:rPr>
          <w:rFonts w:eastAsia="Times New Roman" w:cs="Times New Roman"/>
          <w:szCs w:val="24"/>
        </w:rPr>
        <w:t xml:space="preserve"> valstīm tikai 8 valstis piemēro </w:t>
      </w:r>
      <w:r w:rsidR="00BC1D41">
        <w:rPr>
          <w:rFonts w:eastAsia="Times New Roman" w:cs="Times New Roman"/>
          <w:szCs w:val="24"/>
        </w:rPr>
        <w:t xml:space="preserve">nodokli kapitāla pieaugumam pensiju produktos, un šī </w:t>
      </w:r>
      <w:r w:rsidR="003362C5">
        <w:rPr>
          <w:rFonts w:eastAsia="Times New Roman" w:cs="Times New Roman"/>
          <w:szCs w:val="24"/>
        </w:rPr>
        <w:t xml:space="preserve">brīža </w:t>
      </w:r>
      <w:r w:rsidR="00BC1D41">
        <w:rPr>
          <w:rFonts w:eastAsia="Times New Roman" w:cs="Times New Roman"/>
          <w:szCs w:val="24"/>
        </w:rPr>
        <w:t xml:space="preserve">nodokļa likme Latvijā ir otra augstākā </w:t>
      </w:r>
      <w:r w:rsidR="003362C5">
        <w:rPr>
          <w:rFonts w:eastAsia="Times New Roman" w:cs="Times New Roman"/>
          <w:szCs w:val="24"/>
        </w:rPr>
        <w:t>OECD</w:t>
      </w:r>
      <w:r w:rsidR="00173D9E">
        <w:rPr>
          <w:rFonts w:eastAsia="Times New Roman" w:cs="Times New Roman"/>
          <w:szCs w:val="24"/>
        </w:rPr>
        <w:t xml:space="preserve"> (</w:t>
      </w:r>
      <w:r w:rsidR="003362C5">
        <w:rPr>
          <w:rFonts w:eastAsia="Times New Roman" w:cs="Times New Roman"/>
          <w:szCs w:val="24"/>
        </w:rPr>
        <w:t xml:space="preserve">skat. </w:t>
      </w:r>
      <w:r w:rsidR="00544C44">
        <w:rPr>
          <w:rFonts w:eastAsia="Times New Roman" w:cs="Times New Roman"/>
          <w:szCs w:val="24"/>
        </w:rPr>
        <w:t>10</w:t>
      </w:r>
      <w:r w:rsidR="00173D9E">
        <w:rPr>
          <w:rFonts w:eastAsia="Times New Roman" w:cs="Times New Roman"/>
          <w:szCs w:val="24"/>
        </w:rPr>
        <w:t>.</w:t>
      </w:r>
      <w:r w:rsidR="003362C5">
        <w:rPr>
          <w:rFonts w:eastAsia="Times New Roman" w:cs="Times New Roman"/>
          <w:szCs w:val="24"/>
        </w:rPr>
        <w:t>att</w:t>
      </w:r>
      <w:r w:rsidR="00173D9E">
        <w:rPr>
          <w:rFonts w:eastAsia="Times New Roman" w:cs="Times New Roman"/>
          <w:szCs w:val="24"/>
        </w:rPr>
        <w:t>.)</w:t>
      </w:r>
      <w:r w:rsidR="00FD4946">
        <w:rPr>
          <w:rFonts w:eastAsia="Times New Roman" w:cs="Times New Roman"/>
          <w:szCs w:val="24"/>
        </w:rPr>
        <w:t>.</w:t>
      </w:r>
    </w:p>
    <w:p w14:paraId="0ECEA963" w14:textId="55A75726" w:rsidR="000C218B" w:rsidRDefault="000C218B" w:rsidP="005E3940">
      <w:pPr>
        <w:spacing w:line="259" w:lineRule="auto"/>
        <w:ind w:firstLine="720"/>
        <w:jc w:val="both"/>
        <w:rPr>
          <w:rFonts w:eastAsia="Times New Roman" w:cs="Times New Roman"/>
          <w:szCs w:val="24"/>
        </w:rPr>
      </w:pPr>
      <w:r>
        <w:rPr>
          <w:rFonts w:eastAsia="Times New Roman" w:cs="Times New Roman"/>
          <w:szCs w:val="24"/>
        </w:rPr>
        <w:t xml:space="preserve">Par kapitāla pieauguma nodokļa palielināšanas negatīvo ietekmi liecina tas, ka </w:t>
      </w:r>
      <w:r w:rsidR="005E3940">
        <w:rPr>
          <w:rFonts w:eastAsia="Times New Roman" w:cs="Times New Roman"/>
          <w:szCs w:val="24"/>
        </w:rPr>
        <w:t xml:space="preserve">2024.gada nogalē kapitāla pieauguma likmes izmaiņu rezultātā privātie pensiju fondi piedzīvoja krasu izmaksu pieaugumu – 2024.gada 4.ceturksnī izņemto līdzekļu apjoms bija par 47% augstāks kā 2023.gada attiecīgajā ceturksnī. </w:t>
      </w:r>
    </w:p>
    <w:p w14:paraId="6948D744" w14:textId="77777777" w:rsidR="00A7013A" w:rsidRPr="006D7F1E" w:rsidRDefault="00A7013A" w:rsidP="7828EF59">
      <w:pPr>
        <w:spacing w:line="259" w:lineRule="auto"/>
        <w:rPr>
          <w:rFonts w:eastAsia="Times New Roman" w:cs="Times New Roman"/>
          <w:szCs w:val="24"/>
        </w:rPr>
      </w:pPr>
    </w:p>
    <w:p w14:paraId="4BB3D9C8" w14:textId="60F8E105" w:rsidR="006D7F1E" w:rsidRPr="001E1739" w:rsidRDefault="00544C44" w:rsidP="7828EF59">
      <w:pPr>
        <w:spacing w:line="259" w:lineRule="auto"/>
        <w:rPr>
          <w:rFonts w:eastAsia="Times New Roman" w:cs="Times New Roman"/>
          <w:b/>
          <w:szCs w:val="24"/>
        </w:rPr>
      </w:pPr>
      <w:r>
        <w:rPr>
          <w:rFonts w:eastAsia="Times New Roman" w:cs="Times New Roman"/>
          <w:b/>
          <w:bCs/>
          <w:szCs w:val="24"/>
        </w:rPr>
        <w:t>10</w:t>
      </w:r>
      <w:r w:rsidR="00173D9E">
        <w:rPr>
          <w:rFonts w:eastAsia="Times New Roman" w:cs="Times New Roman"/>
          <w:b/>
          <w:bCs/>
          <w:szCs w:val="24"/>
        </w:rPr>
        <w:t>.att.</w:t>
      </w:r>
      <w:r w:rsidR="001E1739" w:rsidRPr="001E1739">
        <w:rPr>
          <w:rFonts w:eastAsia="Times New Roman" w:cs="Times New Roman"/>
          <w:b/>
          <w:bCs/>
          <w:szCs w:val="24"/>
        </w:rPr>
        <w:t xml:space="preserve"> </w:t>
      </w:r>
      <w:r w:rsidR="001E1739">
        <w:rPr>
          <w:rFonts w:eastAsia="Times New Roman" w:cs="Times New Roman"/>
          <w:b/>
          <w:bCs/>
          <w:szCs w:val="24"/>
        </w:rPr>
        <w:t>Maksimālā nodokļa likme no kapitāla pieauguma pensiju produktiem OECD valstīs, 2024.gads (</w:t>
      </w:r>
      <w:r w:rsidR="00A72E59">
        <w:rPr>
          <w:rFonts w:eastAsia="Times New Roman" w:cs="Times New Roman"/>
          <w:b/>
          <w:bCs/>
          <w:szCs w:val="24"/>
        </w:rPr>
        <w:t>%)</w:t>
      </w:r>
      <w:r w:rsidR="007D17AB">
        <w:rPr>
          <w:rFonts w:eastAsia="Times New Roman" w:cs="Times New Roman"/>
          <w:b/>
          <w:bCs/>
          <w:szCs w:val="24"/>
        </w:rPr>
        <w:t>*</w:t>
      </w:r>
    </w:p>
    <w:p w14:paraId="75C867D6" w14:textId="560E4E21" w:rsidR="006D7F1E" w:rsidRDefault="0029104B" w:rsidP="7828EF59">
      <w:pPr>
        <w:spacing w:line="259" w:lineRule="auto"/>
        <w:rPr>
          <w:rFonts w:eastAsia="Times New Roman" w:cs="Times New Roman"/>
        </w:rPr>
      </w:pPr>
      <w:r>
        <w:rPr>
          <w:noProof/>
        </w:rPr>
        <w:drawing>
          <wp:inline distT="0" distB="0" distL="0" distR="0" wp14:anchorId="7DD82C50" wp14:editId="7F817944">
            <wp:extent cx="5274310" cy="1432560"/>
            <wp:effectExtent l="0" t="0" r="2540" b="15240"/>
            <wp:docPr id="1253614697" name="Chart 1">
              <a:extLst xmlns:a="http://schemas.openxmlformats.org/drawingml/2006/main">
                <a:ext uri="{FF2B5EF4-FFF2-40B4-BE49-F238E27FC236}">
                  <a16:creationId xmlns:a16="http://schemas.microsoft.com/office/drawing/2014/main" id="{0EE5554D-4581-6779-EBA4-828D17721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6A1E60" w14:textId="3ECB7E83" w:rsidR="0043145F" w:rsidRDefault="007D17AB" w:rsidP="0043145F">
      <w:pPr>
        <w:spacing w:line="259" w:lineRule="auto"/>
        <w:jc w:val="right"/>
        <w:rPr>
          <w:rFonts w:eastAsia="Times New Roman" w:cs="Times New Roman"/>
          <w:sz w:val="16"/>
          <w:szCs w:val="16"/>
        </w:rPr>
      </w:pPr>
      <w:r>
        <w:rPr>
          <w:rFonts w:eastAsia="Times New Roman" w:cs="Times New Roman"/>
          <w:sz w:val="16"/>
          <w:szCs w:val="16"/>
        </w:rPr>
        <w:t xml:space="preserve">Avots: </w:t>
      </w:r>
      <w:r w:rsidR="0043145F">
        <w:rPr>
          <w:rFonts w:eastAsia="Times New Roman" w:cs="Times New Roman"/>
          <w:sz w:val="16"/>
          <w:szCs w:val="16"/>
        </w:rPr>
        <w:t>OECD</w:t>
      </w:r>
    </w:p>
    <w:p w14:paraId="3C10D1C4" w14:textId="2F9B99DA" w:rsidR="00B82235" w:rsidRPr="002C7B80" w:rsidRDefault="00EF69C9" w:rsidP="7828EF59">
      <w:pPr>
        <w:spacing w:line="259" w:lineRule="auto"/>
        <w:rPr>
          <w:rFonts w:eastAsia="Times New Roman" w:cs="Times New Roman"/>
          <w:sz w:val="16"/>
          <w:szCs w:val="16"/>
        </w:rPr>
      </w:pPr>
      <w:r w:rsidRPr="002C7B80">
        <w:rPr>
          <w:rFonts w:eastAsia="Times New Roman" w:cs="Times New Roman"/>
          <w:sz w:val="16"/>
          <w:szCs w:val="16"/>
        </w:rPr>
        <w:lastRenderedPageBreak/>
        <w:t>* - ņemot vērā to, ka Latvijā no 2025.gada</w:t>
      </w:r>
      <w:r w:rsidR="00D7562E">
        <w:rPr>
          <w:rFonts w:eastAsia="Times New Roman" w:cs="Times New Roman"/>
          <w:sz w:val="16"/>
          <w:szCs w:val="16"/>
        </w:rPr>
        <w:t xml:space="preserve"> 1.janvāra</w:t>
      </w:r>
      <w:r w:rsidRPr="002C7B80">
        <w:rPr>
          <w:rFonts w:eastAsia="Times New Roman" w:cs="Times New Roman"/>
          <w:sz w:val="16"/>
          <w:szCs w:val="16"/>
        </w:rPr>
        <w:t xml:space="preserve"> ir būtiski paaugstināta kapitāla pieauguma nodokļa likme</w:t>
      </w:r>
      <w:r w:rsidR="008768A2" w:rsidRPr="002C7B80">
        <w:rPr>
          <w:rFonts w:eastAsia="Times New Roman" w:cs="Times New Roman"/>
          <w:sz w:val="16"/>
          <w:szCs w:val="16"/>
        </w:rPr>
        <w:t xml:space="preserve">, grafikā ir attēlota </w:t>
      </w:r>
      <w:r w:rsidR="002C7B80">
        <w:rPr>
          <w:rFonts w:eastAsia="Times New Roman" w:cs="Times New Roman"/>
          <w:sz w:val="16"/>
          <w:szCs w:val="16"/>
        </w:rPr>
        <w:t xml:space="preserve">šobrīd spēkā esošā likme. </w:t>
      </w:r>
    </w:p>
    <w:p w14:paraId="3D2BEA66" w14:textId="77777777" w:rsidR="00B82235" w:rsidRPr="006D7F1E" w:rsidRDefault="00B82235" w:rsidP="7828EF59">
      <w:pPr>
        <w:spacing w:line="259" w:lineRule="auto"/>
        <w:rPr>
          <w:rFonts w:eastAsia="Times New Roman" w:cs="Times New Roman"/>
          <w:szCs w:val="24"/>
        </w:rPr>
      </w:pPr>
    </w:p>
    <w:p w14:paraId="59E1E0BC" w14:textId="5951A4DF" w:rsidR="00A87167" w:rsidRPr="006D7F1E" w:rsidRDefault="00A87167" w:rsidP="7828EF59">
      <w:pPr>
        <w:spacing w:line="259" w:lineRule="auto"/>
        <w:rPr>
          <w:rFonts w:eastAsia="Times New Roman" w:cs="Times New Roman"/>
          <w:szCs w:val="24"/>
        </w:rPr>
      </w:pPr>
    </w:p>
    <w:p w14:paraId="174FDDFF" w14:textId="6E0078E3" w:rsidR="00E23246" w:rsidRDefault="003F0291" w:rsidP="003F0291">
      <w:pPr>
        <w:spacing w:line="259" w:lineRule="auto"/>
        <w:ind w:firstLine="720"/>
        <w:jc w:val="both"/>
        <w:rPr>
          <w:rFonts w:eastAsia="Times New Roman" w:cs="Times New Roman"/>
          <w:szCs w:val="24"/>
        </w:rPr>
      </w:pPr>
      <w:r>
        <w:rPr>
          <w:rFonts w:eastAsia="Times New Roman" w:cs="Times New Roman"/>
          <w:szCs w:val="24"/>
        </w:rPr>
        <w:t xml:space="preserve">Lai veicinātu ilgtermiņa uzkrājumu veidošanu ilgtermiņā, ir svarīgi pilnveidot tam pielāgojamo nodokļu režīmu </w:t>
      </w:r>
      <w:r w:rsidR="00E35B6C">
        <w:rPr>
          <w:rFonts w:eastAsia="Times New Roman" w:cs="Times New Roman"/>
          <w:szCs w:val="24"/>
        </w:rPr>
        <w:t xml:space="preserve">attiecībā uz kapitāla pieaugumu </w:t>
      </w:r>
      <w:r>
        <w:rPr>
          <w:rFonts w:eastAsia="Times New Roman" w:cs="Times New Roman"/>
          <w:szCs w:val="24"/>
        </w:rPr>
        <w:t xml:space="preserve">ar mērķi motivēt veidot uzkrājumus ilgtermiņā. </w:t>
      </w:r>
      <w:r w:rsidR="00E23246">
        <w:rPr>
          <w:rFonts w:eastAsia="Times New Roman" w:cs="Times New Roman"/>
          <w:szCs w:val="24"/>
        </w:rPr>
        <w:t>Neapliekot ilgtermiņa ieguldījumus ar kapitāla pieauguma nodokli</w:t>
      </w:r>
      <w:r>
        <w:rPr>
          <w:rFonts w:eastAsia="Times New Roman" w:cs="Times New Roman"/>
          <w:szCs w:val="24"/>
        </w:rPr>
        <w:t xml:space="preserve"> vai to samazinot</w:t>
      </w:r>
      <w:r w:rsidR="00E23246">
        <w:rPr>
          <w:rFonts w:eastAsia="Times New Roman" w:cs="Times New Roman"/>
          <w:szCs w:val="24"/>
        </w:rPr>
        <w:t xml:space="preserve">, tiktu palielināta motivācija veikt ilgtermiņa uzkrājumus, samazinot slogu uz pensiju sistēmu, vienlaikus </w:t>
      </w:r>
      <w:r>
        <w:rPr>
          <w:rFonts w:eastAsia="Times New Roman" w:cs="Times New Roman"/>
          <w:szCs w:val="24"/>
        </w:rPr>
        <w:t xml:space="preserve">veicinot to, ka ilgtermiņa ieguldījumi spēj veiksmīgāk nodrošināt </w:t>
      </w:r>
      <w:r w:rsidR="00E23246">
        <w:rPr>
          <w:rFonts w:eastAsia="Times New Roman" w:cs="Times New Roman"/>
          <w:szCs w:val="24"/>
        </w:rPr>
        <w:t xml:space="preserve">naudas pirktspējas saglabāšanu. </w:t>
      </w:r>
    </w:p>
    <w:p w14:paraId="693BA6DE" w14:textId="76927BF1" w:rsidR="00130664" w:rsidRPr="00130664" w:rsidRDefault="00130664" w:rsidP="00130664">
      <w:pPr>
        <w:spacing w:line="259" w:lineRule="auto"/>
        <w:ind w:firstLine="720"/>
        <w:jc w:val="both"/>
        <w:rPr>
          <w:rFonts w:eastAsia="Times New Roman" w:cs="Times New Roman"/>
          <w:szCs w:val="24"/>
        </w:rPr>
      </w:pPr>
      <w:r w:rsidRPr="00130664">
        <w:rPr>
          <w:rFonts w:eastAsia="Times New Roman" w:cs="Times New Roman"/>
          <w:szCs w:val="24"/>
        </w:rPr>
        <w:t>Saeima 2024. gada 4. decembrī pieņēma likumprojektu “Grozījumi likumā “Par iedzīvotāju ienākuma nodokli”” (Nr. 742/Lp14), kas paredz no 2025. gada 1. janvāra palielināt iedzīvotāju ienākuma nodokļa likmi ienākumam no kapitāla, t.sk. kapitāla pieauguma, no 20% līdz 25,5%.</w:t>
      </w:r>
    </w:p>
    <w:p w14:paraId="307D8451" w14:textId="6E19ED2C" w:rsidR="00130664" w:rsidRPr="00130664" w:rsidRDefault="00A8457F" w:rsidP="00130664">
      <w:pPr>
        <w:spacing w:line="259" w:lineRule="auto"/>
        <w:ind w:firstLine="720"/>
        <w:jc w:val="both"/>
        <w:rPr>
          <w:rFonts w:eastAsia="Times New Roman" w:cs="Times New Roman"/>
          <w:szCs w:val="24"/>
        </w:rPr>
      </w:pPr>
      <w:r>
        <w:rPr>
          <w:rFonts w:eastAsia="Times New Roman" w:cs="Times New Roman"/>
          <w:szCs w:val="24"/>
        </w:rPr>
        <w:t>M</w:t>
      </w:r>
      <w:r w:rsidR="00130664" w:rsidRPr="00130664">
        <w:rPr>
          <w:rFonts w:eastAsia="Times New Roman" w:cs="Times New Roman"/>
          <w:szCs w:val="24"/>
        </w:rPr>
        <w:t xml:space="preserve">inētais likumprojekts “Grozījumi likumā “Par iedzīvotāju ienākuma nodokli”” (Nr. 742/Lp14) tika izstrādāts, pamatojoties uz Ministru kabineta 2024. gada 19. septembra sēdes protokola Nr.38 1.§ “Informatīvais ziņojums “Par valsts budžeta ieņēmumu un nodokļu politikas pārskatīšanu 2025.–2027. gadā”” 2.1. punktā minēto uzdevumu Finanšu ministrijai sagatavot likumprojekta “Par valsts budžetu 2025. gadam un budžeta ietvaru 2025., 2026. un 2027. gadam” pavadošo likumprojektu paketē attiecīgus grozījumus likumā “Par iedzīvotāju ienākuma nodokli”. </w:t>
      </w:r>
    </w:p>
    <w:p w14:paraId="6F679000" w14:textId="77777777" w:rsidR="00650A8D" w:rsidRDefault="000D00F8" w:rsidP="00130664">
      <w:pPr>
        <w:spacing w:line="259" w:lineRule="auto"/>
        <w:ind w:firstLine="720"/>
        <w:jc w:val="both"/>
        <w:rPr>
          <w:rFonts w:eastAsia="Times New Roman" w:cs="Times New Roman"/>
          <w:szCs w:val="24"/>
        </w:rPr>
      </w:pPr>
      <w:r>
        <w:rPr>
          <w:rFonts w:eastAsia="Times New Roman" w:cs="Times New Roman"/>
          <w:szCs w:val="24"/>
        </w:rPr>
        <w:t>I</w:t>
      </w:r>
      <w:r w:rsidR="00130664" w:rsidRPr="00130664">
        <w:rPr>
          <w:rFonts w:eastAsia="Times New Roman" w:cs="Times New Roman"/>
          <w:szCs w:val="24"/>
        </w:rPr>
        <w:t xml:space="preserve">nformatīvais ziņojums “Par valsts budžeta ieņēmumu un nodokļu politikas pārskatīšanu 2025.–2027. gadā”, kā jau viss nodokļu politikas pārskatīšanas piedāvājums, tika izstrādāts ciešā sadarbībā ar valdības koalīciju veidojošo politisko partiju un valdības sociālo un sadarbības partneru (nevalstisko organizāciju) pārstāvjiem. Minētais likumprojekts paredz veikt vienotu pasākumu kopumu – pārskatīt iedzīvotāju ienākuma nodokļa likmes un neapliekamā minimuma sistēmu, kas galvenokārt vērsts uz iedzīvotāju ienākuma nodokļa piemērošanas vienkāršošanu, darbaspēka konkurētspējas palielināšanu un darbaspēka nodokļu sloga samazinājumu darba ņēmējiem ar zemiem un vidējiem ienākumiem. </w:t>
      </w:r>
    </w:p>
    <w:p w14:paraId="5F218D3F" w14:textId="21EB6B81" w:rsidR="00130664" w:rsidRPr="00130664" w:rsidRDefault="00650A8D" w:rsidP="00130664">
      <w:pPr>
        <w:spacing w:line="259" w:lineRule="auto"/>
        <w:ind w:firstLine="720"/>
        <w:jc w:val="both"/>
        <w:rPr>
          <w:rFonts w:eastAsia="Times New Roman" w:cs="Times New Roman"/>
          <w:szCs w:val="24"/>
        </w:rPr>
      </w:pPr>
      <w:r>
        <w:rPr>
          <w:rFonts w:eastAsia="Times New Roman" w:cs="Times New Roman"/>
          <w:szCs w:val="24"/>
        </w:rPr>
        <w:t>Jāatzīmē</w:t>
      </w:r>
      <w:r w:rsidR="00130664" w:rsidRPr="00130664">
        <w:rPr>
          <w:rFonts w:eastAsia="Times New Roman" w:cs="Times New Roman"/>
          <w:szCs w:val="24"/>
        </w:rPr>
        <w:t xml:space="preserve">, ka minētajā likumprojektā ir ietverti fiskāli sabalansēti pasākumi. </w:t>
      </w:r>
      <w:r>
        <w:rPr>
          <w:rFonts w:eastAsia="Times New Roman" w:cs="Times New Roman"/>
          <w:szCs w:val="24"/>
        </w:rPr>
        <w:t xml:space="preserve"> </w:t>
      </w:r>
      <w:r w:rsidR="00D80F21">
        <w:rPr>
          <w:rFonts w:eastAsia="Times New Roman" w:cs="Times New Roman"/>
          <w:szCs w:val="24"/>
        </w:rPr>
        <w:t>J</w:t>
      </w:r>
      <w:r w:rsidR="00130664" w:rsidRPr="00130664">
        <w:rPr>
          <w:rFonts w:eastAsia="Times New Roman" w:cs="Times New Roman"/>
          <w:szCs w:val="24"/>
        </w:rPr>
        <w:t xml:space="preserve">autājumi saistībā ar iedzīvotāju ienākuma nodokli (izmaiņām, kas ietekmē iedzīvotāju ienākuma nodokļa ieņēmumu apmēru) ir jāskata kompleksi ar valdības noteiktajām prioritātēm un tie ir diskutējami kontekstā ar turpmāko gadu budžeta iespēju un fiskālās ietekmes izvērtējumu. </w:t>
      </w:r>
    </w:p>
    <w:p w14:paraId="2BFFFC1F" w14:textId="05A1C01B" w:rsidR="00130664" w:rsidRDefault="00130664" w:rsidP="00130664">
      <w:pPr>
        <w:spacing w:line="259" w:lineRule="auto"/>
        <w:ind w:firstLine="720"/>
        <w:jc w:val="both"/>
        <w:rPr>
          <w:rFonts w:eastAsia="Times New Roman" w:cs="Times New Roman"/>
          <w:szCs w:val="24"/>
        </w:rPr>
      </w:pPr>
      <w:r w:rsidRPr="00130664">
        <w:rPr>
          <w:rFonts w:eastAsia="Times New Roman" w:cs="Times New Roman"/>
          <w:szCs w:val="24"/>
        </w:rPr>
        <w:t>Ministru kabineta 2024. gada 20. janvāra rīkojumā Nr. 55 “Par Valdības rīcības plānu Deklarācijas par Evikas Siliņas vadītā Ministru kabineta iecerēto darbību īstenošanai” ietvertais 36. uzdevums paredz veikt būtiskas izmaiņas nodokļu politikā vienu reizi četru gadu ciklā.</w:t>
      </w:r>
    </w:p>
    <w:p w14:paraId="656AAE92" w14:textId="77777777" w:rsidR="008E73C7" w:rsidRDefault="008E73C7" w:rsidP="00130664">
      <w:pPr>
        <w:spacing w:line="259" w:lineRule="auto"/>
        <w:ind w:firstLine="720"/>
        <w:jc w:val="both"/>
        <w:rPr>
          <w:rFonts w:eastAsia="Times New Roman" w:cs="Times New Roman"/>
          <w:szCs w:val="24"/>
        </w:rPr>
      </w:pPr>
    </w:p>
    <w:p w14:paraId="1D25660E" w14:textId="2D5A6AE7" w:rsidR="00063C79" w:rsidRPr="00C713F5" w:rsidRDefault="000F22B1" w:rsidP="00063C79">
      <w:pPr>
        <w:spacing w:line="259" w:lineRule="auto"/>
        <w:ind w:firstLine="720"/>
        <w:jc w:val="both"/>
        <w:rPr>
          <w:rFonts w:eastAsia="Times New Roman" w:cs="Times New Roman"/>
          <w:b/>
          <w:bCs/>
        </w:rPr>
      </w:pPr>
      <w:r>
        <w:rPr>
          <w:rFonts w:eastAsia="Times New Roman" w:cs="Times New Roman"/>
          <w:b/>
          <w:bCs/>
        </w:rPr>
        <w:t>11</w:t>
      </w:r>
      <w:r w:rsidR="00063C79" w:rsidRPr="00C713F5">
        <w:rPr>
          <w:rFonts w:eastAsia="Times New Roman" w:cs="Times New Roman"/>
          <w:b/>
          <w:bCs/>
        </w:rPr>
        <w:t>.att. Finanšu pratības līmenis</w:t>
      </w:r>
      <w:r w:rsidR="00E74768">
        <w:rPr>
          <w:rFonts w:eastAsia="Times New Roman" w:cs="Times New Roman"/>
          <w:b/>
          <w:bCs/>
        </w:rPr>
        <w:t xml:space="preserve"> OECD dalībvalstīs, </w:t>
      </w:r>
      <w:r w:rsidR="00063C79" w:rsidRPr="00C713F5">
        <w:rPr>
          <w:rFonts w:eastAsia="Times New Roman" w:cs="Times New Roman"/>
          <w:b/>
          <w:bCs/>
        </w:rPr>
        <w:t xml:space="preserve"> vērtību skala no 0-100.</w:t>
      </w:r>
    </w:p>
    <w:p w14:paraId="32B9A87D" w14:textId="77777777" w:rsidR="002857CB" w:rsidRDefault="00E21A35" w:rsidP="0003126E">
      <w:pPr>
        <w:spacing w:line="259" w:lineRule="auto"/>
        <w:jc w:val="both"/>
        <w:rPr>
          <w:rFonts w:eastAsia="Times New Roman" w:cs="Times New Roman"/>
          <w:sz w:val="18"/>
          <w:szCs w:val="18"/>
        </w:rPr>
      </w:pPr>
      <w:r>
        <w:rPr>
          <w:noProof/>
        </w:rPr>
        <w:lastRenderedPageBreak/>
        <w:drawing>
          <wp:inline distT="0" distB="0" distL="0" distR="0" wp14:anchorId="05632BEC" wp14:editId="4898A80B">
            <wp:extent cx="4908828" cy="2872823"/>
            <wp:effectExtent l="0" t="0" r="6350" b="3810"/>
            <wp:docPr id="1286735274" name="Chart 1">
              <a:extLst xmlns:a="http://schemas.openxmlformats.org/drawingml/2006/main">
                <a:ext uri="{FF2B5EF4-FFF2-40B4-BE49-F238E27FC236}">
                  <a16:creationId xmlns:a16="http://schemas.microsoft.com/office/drawing/2014/main" id="{73F88F5D-240F-72AD-C04C-1F0FCF8FE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66E19D" w14:textId="6E75A7F7" w:rsidR="00063C79" w:rsidRDefault="00E74768" w:rsidP="0003126E">
      <w:pPr>
        <w:spacing w:line="259" w:lineRule="auto"/>
        <w:jc w:val="both"/>
        <w:rPr>
          <w:rFonts w:eastAsia="Times New Roman" w:cs="Times New Roman"/>
        </w:rPr>
      </w:pPr>
      <w:r w:rsidRPr="002857CB">
        <w:rPr>
          <w:rFonts w:eastAsia="Times New Roman" w:cs="Times New Roman"/>
          <w:sz w:val="18"/>
          <w:szCs w:val="18"/>
        </w:rPr>
        <w:t>Avots: OECD</w:t>
      </w:r>
    </w:p>
    <w:p w14:paraId="7708F9CB" w14:textId="77777777" w:rsidR="00E74768" w:rsidRDefault="00E74768" w:rsidP="00063C79">
      <w:pPr>
        <w:spacing w:line="259" w:lineRule="auto"/>
        <w:ind w:firstLine="720"/>
        <w:jc w:val="both"/>
        <w:rPr>
          <w:rFonts w:eastAsia="Times New Roman" w:cs="Times New Roman"/>
        </w:rPr>
      </w:pPr>
    </w:p>
    <w:p w14:paraId="3E06CD0F" w14:textId="49C753E5" w:rsidR="00A002CB" w:rsidRPr="00A002CB" w:rsidRDefault="00F05484" w:rsidP="00C713F5">
      <w:pPr>
        <w:spacing w:line="259" w:lineRule="auto"/>
        <w:ind w:firstLine="720"/>
        <w:jc w:val="both"/>
        <w:rPr>
          <w:rFonts w:eastAsia="Times New Roman" w:cs="Times New Roman"/>
        </w:rPr>
      </w:pPr>
      <w:r>
        <w:rPr>
          <w:rFonts w:eastAsia="Times New Roman" w:cs="Times New Roman"/>
        </w:rPr>
        <w:t xml:space="preserve">Iedzīvotāju </w:t>
      </w:r>
      <w:r w:rsidR="00F40AB8">
        <w:rPr>
          <w:rFonts w:eastAsia="Times New Roman" w:cs="Times New Roman"/>
        </w:rPr>
        <w:t>labklājības veidošana ir atkarīga arī</w:t>
      </w:r>
      <w:r w:rsidR="00D96D8B">
        <w:rPr>
          <w:rFonts w:eastAsia="Times New Roman" w:cs="Times New Roman"/>
        </w:rPr>
        <w:t xml:space="preserve"> no iedzīvotāju zināšanām un prasmēm pārvaldīt savas finanses.</w:t>
      </w:r>
      <w:r w:rsidR="00B866A5">
        <w:rPr>
          <w:rFonts w:eastAsia="Times New Roman" w:cs="Times New Roman"/>
        </w:rPr>
        <w:t xml:space="preserve"> </w:t>
      </w:r>
      <w:r w:rsidR="00A002CB" w:rsidRPr="00A002CB">
        <w:rPr>
          <w:rFonts w:eastAsia="Times New Roman" w:cs="Times New Roman"/>
        </w:rPr>
        <w:t xml:space="preserve">Latvija piedalījās </w:t>
      </w:r>
      <w:r w:rsidR="00A002CB">
        <w:rPr>
          <w:rFonts w:eastAsia="Times New Roman" w:cs="Times New Roman"/>
        </w:rPr>
        <w:t xml:space="preserve">2023. gada </w:t>
      </w:r>
      <w:r w:rsidR="00A002CB" w:rsidRPr="00A002CB">
        <w:rPr>
          <w:rFonts w:eastAsia="Times New Roman" w:cs="Times New Roman"/>
        </w:rPr>
        <w:t>OECD/INFE (International Network on Financial Education) koordinētajā pētījumā, kurā tika analizēta pieaugušo finanšu pratība 39 valstīs. Latvijas iedzīvotāju finanšu pratības rezultāts bija 59 % no maksimāli iespējamā punktu skaita, kas ir zem OECD vidējā rādītāja – 63 %</w:t>
      </w:r>
      <w:r w:rsidR="000F22B1">
        <w:rPr>
          <w:rFonts w:eastAsia="Times New Roman" w:cs="Times New Roman"/>
        </w:rPr>
        <w:t xml:space="preserve"> (skat. 11.att.)</w:t>
      </w:r>
      <w:r w:rsidR="00A002CB" w:rsidRPr="00A002CB">
        <w:rPr>
          <w:rFonts w:eastAsia="Times New Roman" w:cs="Times New Roman"/>
        </w:rPr>
        <w:t>.</w:t>
      </w:r>
      <w:r w:rsidR="00561AB9">
        <w:rPr>
          <w:rFonts w:eastAsia="Times New Roman" w:cs="Times New Roman"/>
        </w:rPr>
        <w:t xml:space="preserve"> </w:t>
      </w:r>
    </w:p>
    <w:p w14:paraId="5DA34776" w14:textId="3C86C9E3" w:rsidR="00B15569" w:rsidRDefault="00063C79" w:rsidP="00B15569">
      <w:pPr>
        <w:spacing w:line="259" w:lineRule="auto"/>
        <w:ind w:firstLine="720"/>
        <w:jc w:val="both"/>
      </w:pPr>
      <w:r w:rsidRPr="00C511ED">
        <w:rPr>
          <w:rFonts w:eastAsia="Times New Roman" w:cs="Times New Roman"/>
        </w:rPr>
        <w:t>Finanšu pratības līmenis ir rādītājs, kas atspoguļo personas zināšanas, attieksmi un uzvedību finanšu jautājumos.</w:t>
      </w:r>
      <w:r w:rsidR="00B30263" w:rsidRPr="00B30263">
        <w:t xml:space="preserve"> </w:t>
      </w:r>
      <w:r w:rsidR="00B30263" w:rsidRPr="00B30263">
        <w:rPr>
          <w:rFonts w:eastAsia="Times New Roman" w:cs="Times New Roman"/>
        </w:rPr>
        <w:t>Finanšu zināšanas</w:t>
      </w:r>
      <w:r w:rsidR="00B30263">
        <w:rPr>
          <w:rFonts w:eastAsia="Times New Roman" w:cs="Times New Roman"/>
        </w:rPr>
        <w:t xml:space="preserve"> </w:t>
      </w:r>
      <w:r w:rsidR="00B30263" w:rsidRPr="00B30263">
        <w:rPr>
          <w:rFonts w:eastAsia="Times New Roman" w:cs="Times New Roman"/>
        </w:rPr>
        <w:t xml:space="preserve"> – Latvijā tās ir būtiski zemākas nekā OECD vidēji (piemēram, saliktos procentus izprot tikai 26 % Latvijas iedzīvotāju, salīdzinot ar 41 % OECD valstīs).</w:t>
      </w:r>
      <w:r w:rsidR="000A0A1F">
        <w:rPr>
          <w:rFonts w:eastAsia="Times New Roman" w:cs="Times New Roman"/>
        </w:rPr>
        <w:t xml:space="preserve"> </w:t>
      </w:r>
      <w:r w:rsidR="00287A54">
        <w:rPr>
          <w:rFonts w:eastAsia="Times New Roman" w:cs="Times New Roman"/>
        </w:rPr>
        <w:t>Zināšanas ir viens no iemesliem, kādēļ f</w:t>
      </w:r>
      <w:r w:rsidR="00B15569" w:rsidRPr="00DF134F">
        <w:rPr>
          <w:rFonts w:eastAsia="Times New Roman" w:cs="Times New Roman"/>
        </w:rPr>
        <w:t>inanšu produktu izmantošanas daudzveidība ir salīdzinoši ierobežota, un tas cieši saistīts ar iedzīvotāju finanšu zināšanu līmeni, kā arī uzticību finanšu tirgum.</w:t>
      </w:r>
      <w:r w:rsidR="00B15569" w:rsidRPr="009E2E0C">
        <w:t xml:space="preserve"> </w:t>
      </w:r>
      <w:r w:rsidR="00B15569">
        <w:t xml:space="preserve"> </w:t>
      </w:r>
    </w:p>
    <w:p w14:paraId="14792CED" w14:textId="4F66D35D" w:rsidR="009E2E0C" w:rsidRDefault="00B30263" w:rsidP="00B30263">
      <w:pPr>
        <w:spacing w:line="259" w:lineRule="auto"/>
        <w:ind w:firstLine="720"/>
        <w:jc w:val="both"/>
        <w:rPr>
          <w:rFonts w:eastAsia="Times New Roman" w:cs="Times New Roman"/>
        </w:rPr>
      </w:pPr>
      <w:r w:rsidRPr="00B30263">
        <w:rPr>
          <w:rFonts w:eastAsia="Times New Roman" w:cs="Times New Roman"/>
        </w:rPr>
        <w:t>Finanšu uzvedība</w:t>
      </w:r>
      <w:r>
        <w:rPr>
          <w:rFonts w:eastAsia="Times New Roman" w:cs="Times New Roman"/>
        </w:rPr>
        <w:t xml:space="preserve"> </w:t>
      </w:r>
      <w:r w:rsidRPr="00B30263">
        <w:rPr>
          <w:rFonts w:eastAsia="Times New Roman" w:cs="Times New Roman"/>
        </w:rPr>
        <w:t>(piemēram, budžeta plānošana, uzkrājumu veidošana) – Latvijā ir nedaudz prasmīgāka nekā OECD vidēji.</w:t>
      </w:r>
      <w:r w:rsidR="002074A9">
        <w:rPr>
          <w:rFonts w:eastAsia="Times New Roman" w:cs="Times New Roman"/>
        </w:rPr>
        <w:t xml:space="preserve"> </w:t>
      </w:r>
      <w:r w:rsidR="0013046A">
        <w:rPr>
          <w:rFonts w:eastAsia="Times New Roman" w:cs="Times New Roman"/>
        </w:rPr>
        <w:t>D</w:t>
      </w:r>
      <w:r w:rsidR="0013046A" w:rsidRPr="00E54DA4">
        <w:rPr>
          <w:rFonts w:eastAsia="Times New Roman" w:cs="Times New Roman"/>
        </w:rPr>
        <w:t>rošības spilvens ir būtisks finanšu pratības rādītājs, un tā esamība vai neesamība būtiski ietekmē cilvēka spēju tikt galā ar finanšu krīzēm</w:t>
      </w:r>
      <w:r w:rsidR="0013046A" w:rsidRPr="00B30263">
        <w:rPr>
          <w:rFonts w:eastAsia="Times New Roman" w:cs="Times New Roman"/>
        </w:rPr>
        <w:t xml:space="preserve"> </w:t>
      </w:r>
      <w:r w:rsidRPr="00B30263">
        <w:rPr>
          <w:rFonts w:eastAsia="Times New Roman" w:cs="Times New Roman"/>
        </w:rPr>
        <w:t xml:space="preserve">Finanšu attieksme </w:t>
      </w:r>
      <w:r w:rsidR="000A0A1F" w:rsidRPr="000A0A1F">
        <w:rPr>
          <w:rFonts w:eastAsia="Times New Roman" w:cs="Times New Roman"/>
        </w:rPr>
        <w:t>(piemēram, attieksme pret aizņemšanos vai ilgtermiņa finanšu mērķiem)</w:t>
      </w:r>
      <w:r w:rsidRPr="00B30263">
        <w:rPr>
          <w:rFonts w:eastAsia="Times New Roman" w:cs="Times New Roman"/>
        </w:rPr>
        <w:t>– aptuveni OECD vidējā līmenī.</w:t>
      </w:r>
      <w:r w:rsidR="00DF134F">
        <w:rPr>
          <w:rFonts w:eastAsia="Times New Roman" w:cs="Times New Roman"/>
        </w:rPr>
        <w:t xml:space="preserve"> </w:t>
      </w:r>
    </w:p>
    <w:p w14:paraId="773F383D" w14:textId="7CC1DABC" w:rsidR="00B30263" w:rsidRDefault="00E54DA4" w:rsidP="00B30263">
      <w:pPr>
        <w:spacing w:line="259" w:lineRule="auto"/>
        <w:ind w:firstLine="720"/>
        <w:jc w:val="both"/>
        <w:rPr>
          <w:rFonts w:eastAsia="Times New Roman" w:cs="Times New Roman"/>
        </w:rPr>
      </w:pPr>
      <w:r w:rsidRPr="00E54DA4">
        <w:rPr>
          <w:rFonts w:eastAsia="Times New Roman" w:cs="Times New Roman"/>
        </w:rPr>
        <w:t>.</w:t>
      </w:r>
    </w:p>
    <w:p w14:paraId="557ADAF8" w14:textId="50F0296F" w:rsidR="009E3731" w:rsidRDefault="009E3731" w:rsidP="359A5C1A">
      <w:pPr>
        <w:spacing w:line="259" w:lineRule="auto"/>
        <w:ind w:firstLine="720"/>
        <w:jc w:val="both"/>
        <w:rPr>
          <w:rFonts w:eastAsia="Times New Roman" w:cs="Times New Roman"/>
          <w:b/>
          <w:bCs/>
          <w:u w:val="single"/>
        </w:rPr>
      </w:pPr>
      <w:r w:rsidRPr="359A5C1A">
        <w:rPr>
          <w:rFonts w:eastAsia="Times New Roman" w:cs="Times New Roman"/>
          <w:b/>
          <w:bCs/>
          <w:u w:val="single"/>
        </w:rPr>
        <w:t xml:space="preserve">Priekšlikums: </w:t>
      </w:r>
      <w:r w:rsidR="001B3C4C">
        <w:rPr>
          <w:rFonts w:eastAsia="Times New Roman" w:cs="Times New Roman"/>
          <w:b/>
          <w:bCs/>
          <w:u w:val="single"/>
        </w:rPr>
        <w:t xml:space="preserve">analizēt </w:t>
      </w:r>
      <w:r w:rsidR="00B97BAF">
        <w:rPr>
          <w:rFonts w:eastAsia="Times New Roman" w:cs="Times New Roman"/>
          <w:b/>
          <w:bCs/>
          <w:u w:val="single"/>
        </w:rPr>
        <w:t>iespēju</w:t>
      </w:r>
      <w:r w:rsidR="001B3C4C">
        <w:rPr>
          <w:rFonts w:eastAsia="Times New Roman" w:cs="Times New Roman"/>
          <w:b/>
          <w:bCs/>
          <w:u w:val="single"/>
        </w:rPr>
        <w:t xml:space="preserve"> </w:t>
      </w:r>
      <w:r w:rsidRPr="359A5C1A">
        <w:rPr>
          <w:rFonts w:eastAsia="Times New Roman" w:cs="Times New Roman"/>
          <w:b/>
          <w:bCs/>
          <w:u w:val="single"/>
        </w:rPr>
        <w:t>pārskatīt iedzīvotāju ienākuma nodokļa regulējumu</w:t>
      </w:r>
      <w:r w:rsidR="00B97BAF">
        <w:rPr>
          <w:rFonts w:eastAsia="Times New Roman" w:cs="Times New Roman"/>
          <w:b/>
          <w:bCs/>
          <w:u w:val="single"/>
        </w:rPr>
        <w:t>, lai veicinātu ilgtermiņa uzkrājumu</w:t>
      </w:r>
      <w:r w:rsidR="00752F50">
        <w:rPr>
          <w:rFonts w:eastAsia="Times New Roman" w:cs="Times New Roman"/>
          <w:b/>
          <w:bCs/>
          <w:u w:val="single"/>
        </w:rPr>
        <w:t xml:space="preserve"> veidošanu</w:t>
      </w:r>
      <w:r w:rsidR="00A82B36">
        <w:rPr>
          <w:rFonts w:eastAsia="Times New Roman" w:cs="Times New Roman"/>
          <w:b/>
          <w:bCs/>
          <w:u w:val="single"/>
        </w:rPr>
        <w:t>.</w:t>
      </w:r>
      <w:r w:rsidRPr="359A5C1A">
        <w:rPr>
          <w:rFonts w:eastAsia="Times New Roman" w:cs="Times New Roman"/>
          <w:b/>
          <w:bCs/>
          <w:u w:val="single"/>
        </w:rPr>
        <w:t xml:space="preserve"> </w:t>
      </w:r>
    </w:p>
    <w:p w14:paraId="4E1F3EEE" w14:textId="77777777" w:rsidR="0040549B" w:rsidRPr="006D7F1E" w:rsidRDefault="0040549B" w:rsidP="7828EF59">
      <w:pPr>
        <w:spacing w:line="259" w:lineRule="auto"/>
        <w:rPr>
          <w:rFonts w:eastAsia="Times New Roman" w:cs="Times New Roman"/>
          <w:szCs w:val="24"/>
        </w:rPr>
      </w:pPr>
    </w:p>
    <w:p w14:paraId="01A5F59B" w14:textId="46371476" w:rsidR="004C5C29" w:rsidRDefault="6697AA93" w:rsidP="359A5C1A">
      <w:pPr>
        <w:ind w:firstLine="720"/>
        <w:rPr>
          <w:rFonts w:cs="Times New Roman"/>
          <w:b/>
        </w:rPr>
      </w:pPr>
      <w:r w:rsidRPr="00977467">
        <w:rPr>
          <w:rFonts w:cs="Times New Roman"/>
          <w:b/>
          <w:bCs/>
        </w:rPr>
        <w:t>2.</w:t>
      </w:r>
      <w:r w:rsidR="0099638C" w:rsidRPr="00977467">
        <w:rPr>
          <w:rFonts w:cs="Times New Roman"/>
          <w:b/>
          <w:bCs/>
        </w:rPr>
        <w:t>4</w:t>
      </w:r>
      <w:r w:rsidRPr="00977467">
        <w:rPr>
          <w:rFonts w:cs="Times New Roman"/>
          <w:b/>
          <w:bCs/>
        </w:rPr>
        <w:t xml:space="preserve">. </w:t>
      </w:r>
      <w:r w:rsidR="004C5C29" w:rsidRPr="00977467">
        <w:rPr>
          <w:rFonts w:cs="Times New Roman"/>
          <w:b/>
        </w:rPr>
        <w:t>Krājobligācijas un citi valsts vērtspapīri plašam investoru lokam</w:t>
      </w:r>
      <w:r w:rsidR="004C5C29" w:rsidRPr="359A5C1A">
        <w:rPr>
          <w:rFonts w:cs="Times New Roman"/>
          <w:b/>
        </w:rPr>
        <w:t xml:space="preserve"> </w:t>
      </w:r>
    </w:p>
    <w:p w14:paraId="56CBDA8D" w14:textId="77777777" w:rsidR="004C5C29" w:rsidRDefault="004C5C29" w:rsidP="004C5C29">
      <w:pPr>
        <w:rPr>
          <w:rFonts w:cs="Times New Roman"/>
          <w:b/>
          <w:bCs/>
          <w:szCs w:val="24"/>
        </w:rPr>
      </w:pPr>
    </w:p>
    <w:p w14:paraId="658C499C" w14:textId="77777777" w:rsidR="004C5C29" w:rsidRDefault="004C5C29" w:rsidP="359A5C1A">
      <w:pPr>
        <w:ind w:firstLine="720"/>
        <w:jc w:val="both"/>
      </w:pPr>
      <w:r w:rsidRPr="359A5C1A">
        <w:rPr>
          <w:rFonts w:cs="Times New Roman"/>
        </w:rPr>
        <w:t xml:space="preserve">Krājobligāciju kā </w:t>
      </w:r>
      <w:r>
        <w:t xml:space="preserve">zema riska un fiksēta ienākuma </w:t>
      </w:r>
      <w:r w:rsidRPr="359A5C1A">
        <w:rPr>
          <w:rFonts w:cs="Times New Roman"/>
        </w:rPr>
        <w:t xml:space="preserve">ieguldījumu alternatīvas pieejamība privātpersonām kopš 2013.gada diversificē ieguldījumu produktu klāstu finanšu tirgū, veicina iedzīvotāju finanšu pratību </w:t>
      </w:r>
      <w:r>
        <w:t>un vairo iedzīvotāju praktisko investīciju pieredzi, kā arī kopumā sekmē Latvijas kapitāla tirgus attīstību,</w:t>
      </w:r>
      <w:r w:rsidRPr="00D844DE">
        <w:t xml:space="preserve"> stimulējot </w:t>
      </w:r>
      <w:r>
        <w:t xml:space="preserve">arī </w:t>
      </w:r>
      <w:r w:rsidRPr="00D844DE">
        <w:t>komercbanku piedāvājuma atbilstību finanšu tirgus aktuālajai situācijai</w:t>
      </w:r>
      <w:r>
        <w:t xml:space="preserve">. </w:t>
      </w:r>
    </w:p>
    <w:p w14:paraId="1D9C22FF" w14:textId="617E12B7" w:rsidR="004C5C29" w:rsidRDefault="004C5C29" w:rsidP="359A5C1A">
      <w:pPr>
        <w:ind w:firstLine="720"/>
        <w:jc w:val="both"/>
      </w:pPr>
      <w:r>
        <w:t xml:space="preserve">Iedzīvotāju pastiprinātu interesi un pieprasījumu pēc krājobligācijām veicina finanšu tirgus aktuālajai situācijai atbilstošas procentu likmes, iespēja saņemt ar </w:t>
      </w:r>
      <w:r>
        <w:lastRenderedPageBreak/>
        <w:t>nodokļiem neapliekamu fiksētu procentu ienākumu līdz krājobligāciju ieguldījuma termiņa beigām, valsts garantēts ieguldījumu drošums neatkarīgi no ieguldījuma summas, krājobligāciju iegādes ērtums tiešsaistē tīmekļa vietnē www.krajobligacijas.lv, norēķinoties ar internetbankas starpniecību, kā arī publiskā</w:t>
      </w:r>
      <w:r w:rsidR="002836D9">
        <w:t>s</w:t>
      </w:r>
      <w:r>
        <w:t xml:space="preserve"> komunikācija</w:t>
      </w:r>
      <w:r w:rsidR="002836D9">
        <w:t>s</w:t>
      </w:r>
      <w:r>
        <w:t xml:space="preserve"> un sabiedrības informēšanas </w:t>
      </w:r>
      <w:r w:rsidR="002836D9">
        <w:t xml:space="preserve">pasākumi </w:t>
      </w:r>
      <w:r>
        <w:t>par krājobligāciju iegādes iespējām un priekšrocībām.</w:t>
      </w:r>
    </w:p>
    <w:p w14:paraId="557CDA84" w14:textId="06C1F006" w:rsidR="5F98231E" w:rsidRDefault="004C5C29" w:rsidP="5F98231E">
      <w:pPr>
        <w:ind w:firstLine="720"/>
        <w:jc w:val="both"/>
      </w:pPr>
      <w:r>
        <w:t>2023.</w:t>
      </w:r>
      <w:r w:rsidR="00613AF9">
        <w:t> </w:t>
      </w:r>
      <w:r>
        <w:t>gadā tika sasniegts rekordaugsts privātpersonu pieprasījums pēc krājobligācijām, gada laikā iedzīvotāju īpašumā esošo krājobligāciju apjomam palielinoties no 15 m</w:t>
      </w:r>
      <w:r w:rsidR="03B1A415">
        <w:t xml:space="preserve">iljoniem </w:t>
      </w:r>
      <w:r w:rsidR="00890DCD">
        <w:t xml:space="preserve">euro </w:t>
      </w:r>
      <w:r>
        <w:t>līdz 253 milj</w:t>
      </w:r>
      <w:r w:rsidR="5BAE7667">
        <w:t xml:space="preserve">oniem </w:t>
      </w:r>
      <w:r w:rsidR="00890DCD">
        <w:t>euro</w:t>
      </w:r>
      <w:r>
        <w:t>. 2024.</w:t>
      </w:r>
      <w:r w:rsidR="00936645">
        <w:t> </w:t>
      </w:r>
      <w:r>
        <w:t>gadā iedzīvotāju ieguldījumu apjoms krājobligācijās turpināja kāpt, gada beigās sasniedzot 322 milj</w:t>
      </w:r>
      <w:r w:rsidR="3A52E58E">
        <w:t xml:space="preserve">onus </w:t>
      </w:r>
      <w:r w:rsidR="00890DCD">
        <w:t>euro</w:t>
      </w:r>
      <w:r>
        <w:t xml:space="preserve">, kā arī </w:t>
      </w:r>
      <w:r w:rsidR="005D2504">
        <w:t xml:space="preserve">tika </w:t>
      </w:r>
      <w:r>
        <w:t>novērota tendence, ka vairāk kā puse no kopējā dzēstā krājobligāciju apjoma tiek ieguldīts krājobligācijās atkārtoti. 2025.</w:t>
      </w:r>
      <w:r w:rsidR="00936645">
        <w:t> </w:t>
      </w:r>
      <w:r>
        <w:t>gad</w:t>
      </w:r>
      <w:r w:rsidR="00CF2A7F">
        <w:t>ā</w:t>
      </w:r>
      <w:r>
        <w:t xml:space="preserve"> </w:t>
      </w:r>
      <w:r w:rsidR="00893DD4">
        <w:t xml:space="preserve">iedzīvotāju īpašumā esošais </w:t>
      </w:r>
      <w:r w:rsidR="0020529A" w:rsidRPr="0020529A">
        <w:t>krājobligācij</w:t>
      </w:r>
      <w:r w:rsidR="00893DD4">
        <w:t>u</w:t>
      </w:r>
      <w:r w:rsidR="0020529A" w:rsidRPr="0020529A">
        <w:t xml:space="preserve"> </w:t>
      </w:r>
      <w:r w:rsidR="00893DD4">
        <w:t xml:space="preserve">apjoms turpināja palielināties, gada beigās sasniedzot </w:t>
      </w:r>
      <w:r w:rsidR="00893DD4" w:rsidRPr="00893DD4">
        <w:t>370</w:t>
      </w:r>
      <w:r w:rsidR="00B2511E" w:rsidRPr="0020529A">
        <w:t xml:space="preserve"> </w:t>
      </w:r>
      <w:r w:rsidR="0020529A" w:rsidRPr="0020529A">
        <w:t>miljonu</w:t>
      </w:r>
      <w:r w:rsidR="00893DD4">
        <w:t>s</w:t>
      </w:r>
      <w:r w:rsidR="0020529A" w:rsidRPr="0020529A">
        <w:t xml:space="preserve"> euro</w:t>
      </w:r>
      <w:r w:rsidR="00893DD4">
        <w:t>,</w:t>
      </w:r>
      <w:r w:rsidR="0020529A" w:rsidRPr="0020529A">
        <w:t xml:space="preserve"> </w:t>
      </w:r>
      <w:r>
        <w:t>liecin</w:t>
      </w:r>
      <w:r w:rsidR="007C078D">
        <w:t>ot</w:t>
      </w:r>
      <w:r>
        <w:t xml:space="preserve"> par stabilu un noturīgu iedzīvotāju pieprasījumu pēc šī valsts nodrošinātā ieguldījumu instrumenta</w:t>
      </w:r>
      <w:r w:rsidR="00860873">
        <w:t xml:space="preserve"> </w:t>
      </w:r>
      <w:r w:rsidR="005B4033">
        <w:t xml:space="preserve">un iedzīvotāju vēlmi veikt atkārtotus ieguldījumus krājobligācijās </w:t>
      </w:r>
      <w:r w:rsidR="00275270">
        <w:t>(skat. 1</w:t>
      </w:r>
      <w:r w:rsidR="00E27623">
        <w:t>2</w:t>
      </w:r>
      <w:r w:rsidR="00275270">
        <w:t>.att.)</w:t>
      </w:r>
      <w:r>
        <w:t xml:space="preserve">. </w:t>
      </w:r>
    </w:p>
    <w:tbl>
      <w:tblPr>
        <w:tblStyle w:val="TableGrid"/>
        <w:tblW w:w="8385" w:type="dxa"/>
        <w:tblLayout w:type="fixed"/>
        <w:tblLook w:val="06A0" w:firstRow="1" w:lastRow="0" w:firstColumn="1" w:lastColumn="0" w:noHBand="1" w:noVBand="1"/>
      </w:tblPr>
      <w:tblGrid>
        <w:gridCol w:w="4260"/>
        <w:gridCol w:w="4125"/>
      </w:tblGrid>
      <w:tr w:rsidR="5F98231E" w14:paraId="26C39BC6" w14:textId="77777777" w:rsidTr="0065563A">
        <w:trPr>
          <w:trHeight w:val="300"/>
        </w:trPr>
        <w:tc>
          <w:tcPr>
            <w:tcW w:w="4260" w:type="dxa"/>
          </w:tcPr>
          <w:p w14:paraId="33DC13F9" w14:textId="639E30B5" w:rsidR="5F98231E" w:rsidRDefault="00275270" w:rsidP="1E0A1DDF">
            <w:pPr>
              <w:jc w:val="center"/>
              <w:rPr>
                <w:noProof/>
                <w:sz w:val="22"/>
                <w:szCs w:val="22"/>
              </w:rPr>
            </w:pPr>
            <w:r>
              <w:rPr>
                <w:b/>
                <w:bCs/>
              </w:rPr>
              <w:t>1</w:t>
            </w:r>
            <w:r w:rsidR="00E27623">
              <w:rPr>
                <w:b/>
                <w:bCs/>
              </w:rPr>
              <w:t>2</w:t>
            </w:r>
            <w:r>
              <w:rPr>
                <w:b/>
                <w:bCs/>
              </w:rPr>
              <w:t>.att.</w:t>
            </w:r>
            <w:r w:rsidR="62A9349F" w:rsidRPr="1E0A1DDF">
              <w:rPr>
                <w:b/>
                <w:bCs/>
                <w:noProof/>
              </w:rPr>
              <w:t xml:space="preserve"> </w:t>
            </w:r>
            <w:r w:rsidR="62A9349F" w:rsidRPr="1E0A1DDF">
              <w:rPr>
                <w:b/>
                <w:bCs/>
              </w:rPr>
              <w:t xml:space="preserve">Privātpersonu īpašumā esošais krājobligāciju apjoms </w:t>
            </w:r>
            <w:r w:rsidR="62A9349F" w:rsidRPr="1E0A1DDF">
              <w:rPr>
                <w:noProof/>
                <w:sz w:val="22"/>
                <w:szCs w:val="22"/>
              </w:rPr>
              <w:t>(</w:t>
            </w:r>
            <w:r w:rsidR="00F42310">
              <w:rPr>
                <w:noProof/>
                <w:sz w:val="22"/>
                <w:szCs w:val="22"/>
              </w:rPr>
              <w:t>16</w:t>
            </w:r>
            <w:r w:rsidR="00CC23EA">
              <w:rPr>
                <w:noProof/>
                <w:sz w:val="22"/>
                <w:szCs w:val="22"/>
              </w:rPr>
              <w:t>.</w:t>
            </w:r>
            <w:r w:rsidR="00F42310">
              <w:rPr>
                <w:noProof/>
                <w:sz w:val="22"/>
                <w:szCs w:val="22"/>
              </w:rPr>
              <w:t>02</w:t>
            </w:r>
            <w:r w:rsidR="00CE088C">
              <w:rPr>
                <w:noProof/>
                <w:sz w:val="22"/>
                <w:szCs w:val="22"/>
              </w:rPr>
              <w:t>.202</w:t>
            </w:r>
            <w:r w:rsidR="00F42310">
              <w:rPr>
                <w:noProof/>
                <w:sz w:val="22"/>
                <w:szCs w:val="22"/>
              </w:rPr>
              <w:t>6</w:t>
            </w:r>
            <w:r w:rsidR="00CE088C">
              <w:rPr>
                <w:noProof/>
                <w:sz w:val="22"/>
                <w:szCs w:val="22"/>
              </w:rPr>
              <w:t xml:space="preserve">., </w:t>
            </w:r>
            <w:r w:rsidR="62A9349F" w:rsidRPr="1E0A1DDF">
              <w:rPr>
                <w:noProof/>
                <w:sz w:val="22"/>
                <w:szCs w:val="22"/>
              </w:rPr>
              <w:t>milj. EUR)</w:t>
            </w:r>
          </w:p>
        </w:tc>
        <w:tc>
          <w:tcPr>
            <w:tcW w:w="4125" w:type="dxa"/>
          </w:tcPr>
          <w:p w14:paraId="175EF92D" w14:textId="19A6A318" w:rsidR="3AC4E05A" w:rsidRDefault="00275270" w:rsidP="5F98231E">
            <w:pPr>
              <w:jc w:val="center"/>
              <w:rPr>
                <w:noProof/>
                <w:sz w:val="22"/>
                <w:szCs w:val="22"/>
              </w:rPr>
            </w:pPr>
            <w:r>
              <w:rPr>
                <w:b/>
                <w:bCs/>
                <w:noProof/>
              </w:rPr>
              <w:t>1</w:t>
            </w:r>
            <w:r w:rsidR="00E27623">
              <w:rPr>
                <w:b/>
                <w:bCs/>
                <w:noProof/>
              </w:rPr>
              <w:t>3</w:t>
            </w:r>
            <w:r>
              <w:rPr>
                <w:b/>
                <w:bCs/>
                <w:noProof/>
              </w:rPr>
              <w:t>.att.</w:t>
            </w:r>
            <w:r w:rsidR="3AC4E05A" w:rsidRPr="5F98231E">
              <w:rPr>
                <w:b/>
                <w:bCs/>
                <w:noProof/>
              </w:rPr>
              <w:t xml:space="preserve"> K</w:t>
            </w:r>
            <w:r w:rsidR="3AC4E05A" w:rsidRPr="5F98231E">
              <w:rPr>
                <w:b/>
                <w:bCs/>
              </w:rPr>
              <w:t xml:space="preserve">rājobligāciju portfeļa struktūra </w:t>
            </w:r>
            <w:r w:rsidR="3AC4E05A" w:rsidRPr="5F98231E">
              <w:rPr>
                <w:sz w:val="22"/>
                <w:szCs w:val="22"/>
              </w:rPr>
              <w:t>(</w:t>
            </w:r>
            <w:r w:rsidR="00F42310">
              <w:rPr>
                <w:sz w:val="22"/>
                <w:szCs w:val="22"/>
              </w:rPr>
              <w:t>16</w:t>
            </w:r>
            <w:r w:rsidR="00A26A0F">
              <w:rPr>
                <w:sz w:val="22"/>
                <w:szCs w:val="22"/>
              </w:rPr>
              <w:t>.</w:t>
            </w:r>
            <w:r w:rsidR="00F42310">
              <w:rPr>
                <w:sz w:val="22"/>
                <w:szCs w:val="22"/>
              </w:rPr>
              <w:t>02</w:t>
            </w:r>
            <w:r w:rsidR="3AC4E05A" w:rsidRPr="5F98231E">
              <w:rPr>
                <w:sz w:val="22"/>
                <w:szCs w:val="22"/>
              </w:rPr>
              <w:t>.202</w:t>
            </w:r>
            <w:r w:rsidR="00F42310">
              <w:rPr>
                <w:sz w:val="22"/>
                <w:szCs w:val="22"/>
              </w:rPr>
              <w:t>6</w:t>
            </w:r>
            <w:r w:rsidR="618E7863" w:rsidRPr="231C93CA">
              <w:rPr>
                <w:sz w:val="22"/>
                <w:szCs w:val="22"/>
              </w:rPr>
              <w:t>.</w:t>
            </w:r>
            <w:r w:rsidR="3713FCD2" w:rsidRPr="231C93CA">
              <w:rPr>
                <w:sz w:val="22"/>
                <w:szCs w:val="22"/>
              </w:rPr>
              <w:t>)</w:t>
            </w:r>
          </w:p>
          <w:p w14:paraId="7524EA09" w14:textId="1C35BF3C" w:rsidR="5F98231E" w:rsidRDefault="5F98231E" w:rsidP="5F98231E">
            <w:pPr>
              <w:rPr>
                <w:noProof/>
              </w:rPr>
            </w:pPr>
          </w:p>
        </w:tc>
      </w:tr>
      <w:tr w:rsidR="5F98231E" w14:paraId="6954C85C" w14:textId="77777777" w:rsidTr="0065563A">
        <w:trPr>
          <w:trHeight w:val="300"/>
        </w:trPr>
        <w:tc>
          <w:tcPr>
            <w:tcW w:w="4260" w:type="dxa"/>
          </w:tcPr>
          <w:p w14:paraId="5EC5AEDB" w14:textId="56D2E5A0" w:rsidR="0084070C" w:rsidRDefault="0084070C">
            <w:pPr>
              <w:rPr>
                <w:rFonts w:eastAsia="Times New Roman"/>
                <w:sz w:val="16"/>
                <w:szCs w:val="16"/>
              </w:rPr>
            </w:pPr>
          </w:p>
          <w:p w14:paraId="6F1E67DB" w14:textId="654D2C23" w:rsidR="00F42310" w:rsidRPr="00C713F5" w:rsidRDefault="00051043">
            <w:pPr>
              <w:rPr>
                <w:rFonts w:eastAsia="Times New Roman"/>
                <w:sz w:val="16"/>
                <w:szCs w:val="16"/>
              </w:rPr>
            </w:pPr>
            <w:r>
              <w:rPr>
                <w:rFonts w:eastAsia="Times New Roman"/>
                <w:noProof/>
                <w:sz w:val="16"/>
                <w:szCs w:val="16"/>
              </w:rPr>
              <w:drawing>
                <wp:inline distT="0" distB="0" distL="0" distR="0" wp14:anchorId="127B8074" wp14:editId="6A2CC378">
                  <wp:extent cx="2619709" cy="1562335"/>
                  <wp:effectExtent l="0" t="0" r="0" b="0"/>
                  <wp:docPr id="585802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4615" cy="1577188"/>
                          </a:xfrm>
                          <a:prstGeom prst="rect">
                            <a:avLst/>
                          </a:prstGeom>
                          <a:noFill/>
                        </pic:spPr>
                      </pic:pic>
                    </a:graphicData>
                  </a:graphic>
                </wp:inline>
              </w:drawing>
            </w:r>
          </w:p>
        </w:tc>
        <w:tc>
          <w:tcPr>
            <w:tcW w:w="4125" w:type="dxa"/>
          </w:tcPr>
          <w:p w14:paraId="2F805EFA" w14:textId="358BA7A4" w:rsidR="3AC4E05A" w:rsidRDefault="001B65FA">
            <w:r>
              <w:rPr>
                <w:noProof/>
              </w:rPr>
              <w:drawing>
                <wp:inline distT="0" distB="0" distL="0" distR="0" wp14:anchorId="4DCB8671" wp14:editId="78DBA334">
                  <wp:extent cx="2410056" cy="1687916"/>
                  <wp:effectExtent l="0" t="0" r="9525" b="7620"/>
                  <wp:docPr id="127013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4173" cy="1697803"/>
                          </a:xfrm>
                          <a:prstGeom prst="rect">
                            <a:avLst/>
                          </a:prstGeom>
                          <a:noFill/>
                        </pic:spPr>
                      </pic:pic>
                    </a:graphicData>
                  </a:graphic>
                </wp:inline>
              </w:drawing>
            </w:r>
          </w:p>
        </w:tc>
      </w:tr>
    </w:tbl>
    <w:p w14:paraId="4EE77D02" w14:textId="070CCEA8" w:rsidR="004C5C29" w:rsidRDefault="004C5C29" w:rsidP="359A5C1A">
      <w:pPr>
        <w:ind w:firstLine="720"/>
        <w:jc w:val="both"/>
      </w:pPr>
      <w:r>
        <w:t xml:space="preserve">2023.-2024.gadā sadarbībā ar krājobligāciju finanšu aģentu Nasdaq CSD (Nasdaq CSD - </w:t>
      </w:r>
      <w:r w:rsidRPr="007B06DA">
        <w:t>centrālais vērtspapīru depozitārijs</w:t>
      </w:r>
      <w:r>
        <w:t>,</w:t>
      </w:r>
      <w:r w:rsidRPr="007B06DA">
        <w:t xml:space="preserve"> kas saskaņā ar līgumu ar Valsts kasi nodrošina krājobligāciju emisijas procesa apkalpošanu</w:t>
      </w:r>
      <w:r>
        <w:t>)</w:t>
      </w:r>
      <w:r w:rsidRPr="007B06DA">
        <w:t xml:space="preserve"> </w:t>
      </w:r>
      <w:r w:rsidRPr="359A5C1A">
        <w:rPr>
          <w:rFonts w:eastAsia="Times New Roman" w:cs="Times New Roman"/>
          <w:color w:val="000000" w:themeColor="text1"/>
          <w:lang w:eastAsia="lv-LV"/>
        </w:rPr>
        <w:t xml:space="preserve">tika modernizēts krājobligāciju izplatīšanas kanāls </w:t>
      </w:r>
      <w:r w:rsidR="00BE04D9">
        <w:rPr>
          <w:rFonts w:eastAsia="Times New Roman" w:cs="Times New Roman"/>
          <w:color w:val="000000" w:themeColor="text1"/>
          <w:lang w:eastAsia="lv-LV"/>
        </w:rPr>
        <w:t>–</w:t>
      </w:r>
      <w:r w:rsidRPr="359A5C1A">
        <w:rPr>
          <w:rFonts w:eastAsia="Times New Roman" w:cs="Times New Roman"/>
          <w:color w:val="000000" w:themeColor="text1"/>
          <w:lang w:eastAsia="lv-LV"/>
        </w:rPr>
        <w:t xml:space="preserve"> </w:t>
      </w:r>
      <w:r>
        <w:t xml:space="preserve">veikts krājobligāciju iegādes vietnes www.krajobligacijas.lv pilnīgs redizains, </w:t>
      </w:r>
      <w:r w:rsidRPr="002B555F">
        <w:t>nodrošinot vietnes satura aktualizēšanu</w:t>
      </w:r>
      <w:r>
        <w:t xml:space="preserve"> un</w:t>
      </w:r>
      <w:r w:rsidRPr="002B555F">
        <w:t xml:space="preserve"> mūsdienīgu izskatu, ērtu lietošanu arī mobilajās ierīcēs un pilnveidojot </w:t>
      </w:r>
      <w:r>
        <w:t>vietnes</w:t>
      </w:r>
      <w:r w:rsidRPr="002B555F">
        <w:t xml:space="preserve"> funkcionalitāti.</w:t>
      </w:r>
      <w:r>
        <w:t xml:space="preserve"> Lai krājobligāciju ieguldītāji </w:t>
      </w:r>
      <w:r w:rsidR="000C3438">
        <w:t xml:space="preserve">varētu </w:t>
      </w:r>
      <w:r>
        <w:t>ērt</w:t>
      </w:r>
      <w:r w:rsidR="000C3438">
        <w:t>i</w:t>
      </w:r>
      <w:r>
        <w:t xml:space="preserve"> un droš</w:t>
      </w:r>
      <w:r w:rsidR="000C3438">
        <w:t>i</w:t>
      </w:r>
      <w:r>
        <w:t xml:space="preserve"> veikt atkārtotu līdzekļu ieguldīšanu krājobligācijās, </w:t>
      </w:r>
      <w:r w:rsidR="00195649">
        <w:t>kopš 2025. gada sākuma vietnē www.krajobligacijas.lv pieejams</w:t>
      </w:r>
      <w:r>
        <w:t xml:space="preserve"> krājobligāciju automātiskas pārguldīšanas risinājums, kas ieguldītājiem sniedz iespēju </w:t>
      </w:r>
      <w:r w:rsidRPr="359A5C1A">
        <w:rPr>
          <w:rFonts w:eastAsia="Times New Roman" w:cs="Times New Roman"/>
          <w:color w:val="000000" w:themeColor="text1"/>
          <w:lang w:eastAsia="lv-LV"/>
        </w:rPr>
        <w:t xml:space="preserve">automātiski (bez naudas līdzekļu pārveduma) īpašumā esošo krājobligāciju dzēšanas datumā veikt līdzekļu pārguldīšanu jaunās krājobligācijās, </w:t>
      </w:r>
      <w:r w:rsidRPr="00BD21C8">
        <w:rPr>
          <w:rFonts w:eastAsia="Times New Roman" w:cs="Times New Roman"/>
          <w:color w:val="000000" w:themeColor="text1"/>
          <w:lang w:eastAsia="lv-LV"/>
        </w:rPr>
        <w:t xml:space="preserve">izvēloties jaunu </w:t>
      </w:r>
      <w:r w:rsidRPr="00BD21C8">
        <w:t xml:space="preserve">krājobligāciju termiņu </w:t>
      </w:r>
      <w:r w:rsidR="00195649" w:rsidRPr="00BD21C8">
        <w:rPr>
          <w:rFonts w:eastAsia="Times New Roman" w:cs="Times New Roman"/>
          <w:color w:val="000000" w:themeColor="text1"/>
          <w:lang w:eastAsia="lv-LV"/>
        </w:rPr>
        <w:t xml:space="preserve">no </w:t>
      </w:r>
      <w:r w:rsidRPr="00BD21C8">
        <w:rPr>
          <w:rFonts w:eastAsia="Times New Roman" w:cs="Times New Roman"/>
          <w:color w:val="000000" w:themeColor="text1"/>
          <w:lang w:eastAsia="lv-LV"/>
        </w:rPr>
        <w:t>spēkā esoš</w:t>
      </w:r>
      <w:r w:rsidR="00195649" w:rsidRPr="00BD21C8">
        <w:rPr>
          <w:rFonts w:eastAsia="Times New Roman" w:cs="Times New Roman"/>
          <w:color w:val="000000" w:themeColor="text1"/>
          <w:lang w:eastAsia="lv-LV"/>
        </w:rPr>
        <w:t>ā</w:t>
      </w:r>
      <w:r w:rsidRPr="00BD21C8">
        <w:rPr>
          <w:rFonts w:eastAsia="Times New Roman" w:cs="Times New Roman"/>
          <w:color w:val="000000" w:themeColor="text1"/>
          <w:lang w:eastAsia="lv-LV"/>
        </w:rPr>
        <w:t xml:space="preserve"> piedāvājuma.</w:t>
      </w:r>
      <w:r w:rsidR="00893DD4" w:rsidRPr="00BD21C8">
        <w:rPr>
          <w:rFonts w:eastAsia="Times New Roman" w:cs="Times New Roman"/>
          <w:color w:val="000000" w:themeColor="text1"/>
          <w:lang w:eastAsia="lv-LV"/>
        </w:rPr>
        <w:t xml:space="preserve"> </w:t>
      </w:r>
      <w:r w:rsidR="00BD21C8" w:rsidRPr="00BC3EDD">
        <w:t>2025.gadā i</w:t>
      </w:r>
      <w:r w:rsidR="00893DD4" w:rsidRPr="00BD21C8">
        <w:t xml:space="preserve">eviesti </w:t>
      </w:r>
      <w:r w:rsidR="00BD21C8" w:rsidRPr="00BC3EDD">
        <w:t xml:space="preserve">arī citi </w:t>
      </w:r>
      <w:r w:rsidR="00893DD4" w:rsidRPr="00BD21C8">
        <w:t>uzlabojumi vietnē, pilnveidojot tās funkcionalitāti un padarot to ērtāku ieguldītājiem (piemēram, krājobligāciju portfeļa un konta izraksta lejuplādes iespējas dažādos formātos; iespēja krājobligāciju portfeļa filtrā ērti atlasīt pārguldīšanas rezultātā iegādātās krājobligācijas; biežāk uzdoto jautājumu ērtāka meklēšana u.c.). Ieguldītājiem vietnē ir nodrošināta arī iespēja novērtēt krājobligāciju pakalpojumu pēc tā izmantošanas un sniegt komentāru.</w:t>
      </w:r>
    </w:p>
    <w:p w14:paraId="7F472E7A" w14:textId="4765DDF7" w:rsidR="004C5C29" w:rsidRDefault="004C5C29" w:rsidP="359A5C1A">
      <w:pPr>
        <w:pStyle w:val="NormalWeb"/>
        <w:spacing w:before="0" w:beforeAutospacing="0" w:after="0" w:afterAutospacing="0"/>
        <w:ind w:firstLine="720"/>
        <w:jc w:val="both"/>
      </w:pPr>
      <w:r w:rsidRPr="359A5C1A">
        <w:rPr>
          <w:rFonts w:eastAsia="Times New Roman"/>
          <w:color w:val="000000" w:themeColor="text1"/>
        </w:rPr>
        <w:t>Paplašinot ieguldījumu termiņu klāstu, krājobligāciju publiskais piedāvājums 2023.</w:t>
      </w:r>
      <w:r w:rsidR="00020BCD">
        <w:rPr>
          <w:rFonts w:eastAsia="Times New Roman"/>
          <w:color w:val="000000" w:themeColor="text1"/>
        </w:rPr>
        <w:t> </w:t>
      </w:r>
      <w:r w:rsidRPr="359A5C1A">
        <w:rPr>
          <w:rFonts w:eastAsia="Times New Roman"/>
          <w:color w:val="000000" w:themeColor="text1"/>
        </w:rPr>
        <w:t xml:space="preserve">gadā tika </w:t>
      </w:r>
      <w:r>
        <w:t>papildināts ar jauniem termiņiem – 3 un 7 gadi</w:t>
      </w:r>
      <w:r w:rsidR="00D15F54">
        <w:t>,</w:t>
      </w:r>
      <w:r w:rsidR="00495C18">
        <w:t xml:space="preserve"> 2024. gadā atjaunots</w:t>
      </w:r>
      <w:r w:rsidR="006D11D3">
        <w:t xml:space="preserve"> 6 mēnešu piedāvājums.</w:t>
      </w:r>
      <w:r w:rsidR="00D15F54">
        <w:t xml:space="preserve"> </w:t>
      </w:r>
      <w:r w:rsidR="00676DBB">
        <w:t>2025. gad</w:t>
      </w:r>
      <w:r w:rsidR="006D11D3">
        <w:t xml:space="preserve">ā </w:t>
      </w:r>
      <w:r w:rsidR="004242E1">
        <w:t>ieguldītājiem tiek piedāvāt</w:t>
      </w:r>
      <w:r w:rsidR="0082766F">
        <w:t>as arī 2 gadu krājobligācijas (kopš jūnija)</w:t>
      </w:r>
      <w:r w:rsidR="00CD7FC9">
        <w:t xml:space="preserve"> un </w:t>
      </w:r>
      <w:r w:rsidR="00314408">
        <w:t>3 mēnešu krājobligācijas (kopš novembra)</w:t>
      </w:r>
      <w:r w:rsidR="00893DD4">
        <w:t xml:space="preserve">, </w:t>
      </w:r>
      <w:r w:rsidR="00893DD4" w:rsidRPr="00CF2A7F">
        <w:t xml:space="preserve">dažādojot </w:t>
      </w:r>
      <w:r w:rsidR="00893DD4" w:rsidRPr="00CF2A7F">
        <w:lastRenderedPageBreak/>
        <w:t>un paplašinot krājobligāciju piedāvājumu vispopulārāko termiņu segmentā</w:t>
      </w:r>
      <w:r w:rsidR="00890DCD">
        <w:t xml:space="preserve"> (skat. 1</w:t>
      </w:r>
      <w:r w:rsidR="00E27623">
        <w:t>3</w:t>
      </w:r>
      <w:r w:rsidR="00890DCD">
        <w:t>. att.)</w:t>
      </w:r>
      <w:r w:rsidRPr="00800D23">
        <w:t xml:space="preserve">. </w:t>
      </w:r>
      <w:r w:rsidR="00893DD4" w:rsidRPr="00893DD4">
        <w:t xml:space="preserve">3 mēnešu krājobligācijas ātri kļuva populāras un </w:t>
      </w:r>
      <w:r w:rsidR="00893DD4">
        <w:t>līdz š.g. 1</w:t>
      </w:r>
      <w:r w:rsidR="00F42310">
        <w:t>6</w:t>
      </w:r>
      <w:r w:rsidR="00893DD4">
        <w:t xml:space="preserve">.februārim </w:t>
      </w:r>
      <w:r w:rsidR="00893DD4" w:rsidRPr="00893DD4">
        <w:t>iedzīvotāj</w:t>
      </w:r>
      <w:r w:rsidR="00195649">
        <w:t>u ieguldījumu</w:t>
      </w:r>
      <w:r w:rsidR="00893DD4" w:rsidRPr="00893DD4">
        <w:t xml:space="preserve"> </w:t>
      </w:r>
      <w:r w:rsidR="00195649">
        <w:t>apjoms visīsākā termiņa krājobligācijās jau sasniedza 33</w:t>
      </w:r>
      <w:r w:rsidR="00893DD4" w:rsidRPr="00893DD4">
        <w:t xml:space="preserve"> milj</w:t>
      </w:r>
      <w:r w:rsidR="00BD21C8">
        <w:t>onus euro</w:t>
      </w:r>
      <w:r w:rsidR="00893DD4" w:rsidRPr="00893DD4">
        <w:t xml:space="preserve">. </w:t>
      </w:r>
      <w:r>
        <w:t xml:space="preserve">Līdz ar to, </w:t>
      </w:r>
      <w:r w:rsidRPr="00464E8B">
        <w:t xml:space="preserve">tiešsaistē vietnē www.krajobligacijas.lv </w:t>
      </w:r>
      <w:r w:rsidR="00CD5493">
        <w:t xml:space="preserve">šobrīd </w:t>
      </w:r>
      <w:r w:rsidRPr="00464E8B">
        <w:t xml:space="preserve">tiek pastāvīgi nodrošināts </w:t>
      </w:r>
      <w:r>
        <w:t>k</w:t>
      </w:r>
      <w:r w:rsidRPr="00464E8B">
        <w:t>rājobligāciju publiskais piedāvājums</w:t>
      </w:r>
      <w:r w:rsidR="00720360">
        <w:t xml:space="preserve"> 3,</w:t>
      </w:r>
      <w:r w:rsidRPr="00464E8B">
        <w:t xml:space="preserve"> 6 un 12 mēnešu, </w:t>
      </w:r>
      <w:r w:rsidR="00531023">
        <w:t xml:space="preserve">2, </w:t>
      </w:r>
      <w:r w:rsidRPr="00464E8B">
        <w:t xml:space="preserve">3, 5, 7 un 10 gadu termiņiem, nosakot procentu likmes atbilstoši aktuālajai finanšu tirgus situācijai. </w:t>
      </w:r>
      <w:r>
        <w:t>Lai gan tradicionāli vislielākā ieguldītāju interese ir par</w:t>
      </w:r>
      <w:r w:rsidR="009C534C">
        <w:t xml:space="preserve"> īstermiņa obligācijām (līdz </w:t>
      </w:r>
      <w:r>
        <w:t>12 mēneš</w:t>
      </w:r>
      <w:r w:rsidR="009C534C">
        <w:t>iem)</w:t>
      </w:r>
      <w:r w:rsidR="00B842F3">
        <w:t>, tomēr</w:t>
      </w:r>
      <w:r>
        <w:t xml:space="preserve"> tiek novērots stabils pieprasījums arī pēc garāka termiņa krājobligācijām,</w:t>
      </w:r>
      <w:r w:rsidRPr="00AE1799">
        <w:t xml:space="preserve"> jo tās sniedz iespēju līdz krājobligāciju termiņa beigām saņemt procentu ienākumu, kas ir fiksēts atbilstoši šī brīža procentu likmēm</w:t>
      </w:r>
      <w:r>
        <w:t xml:space="preserve">. Vairāku termiņu </w:t>
      </w:r>
      <w:r w:rsidR="00D70E4F">
        <w:t>(gan īs</w:t>
      </w:r>
      <w:r w:rsidR="006F72B0">
        <w:t xml:space="preserve">termiņa, gan ilgtermiņa) </w:t>
      </w:r>
      <w:r>
        <w:t xml:space="preserve">krājobligāciju piedāvājuma uzturēšana ir nepieciešama, lai mainīgajos finanšu tirgus apstākļos saglabātu iespējami plašas izvēles iespējas ieguldītājiem attiecībā uz termiņu un ienesīgumu. </w:t>
      </w:r>
    </w:p>
    <w:p w14:paraId="657AA9B5" w14:textId="2BECB573" w:rsidR="004C5C29" w:rsidRPr="00875CCF" w:rsidRDefault="004C5C29" w:rsidP="008C4983">
      <w:pPr>
        <w:pStyle w:val="NormalWeb"/>
        <w:spacing w:before="0" w:beforeAutospacing="0" w:after="0" w:afterAutospacing="0"/>
        <w:ind w:firstLine="720"/>
        <w:jc w:val="both"/>
      </w:pPr>
      <w:r>
        <w:t>I</w:t>
      </w:r>
      <w:r w:rsidRPr="00B52AEF">
        <w:t>edzīvotāju pieprasījum</w:t>
      </w:r>
      <w:r>
        <w:t>a</w:t>
      </w:r>
      <w:r w:rsidRPr="00B52AEF">
        <w:t xml:space="preserve"> pēc </w:t>
      </w:r>
      <w:r>
        <w:t>krājobligācijām veicināšanai</w:t>
      </w:r>
      <w:r w:rsidRPr="00B52AEF">
        <w:t xml:space="preserve"> </w:t>
      </w:r>
      <w:r w:rsidR="00D66056">
        <w:t xml:space="preserve">kopš </w:t>
      </w:r>
      <w:r>
        <w:t>2023.</w:t>
      </w:r>
      <w:r w:rsidR="00D66056">
        <w:t>gada</w:t>
      </w:r>
      <w:r>
        <w:t xml:space="preserve"> </w:t>
      </w:r>
      <w:r w:rsidR="00D66056">
        <w:t>veikti</w:t>
      </w:r>
      <w:r w:rsidR="00D66056" w:rsidRPr="00B52AEF">
        <w:t xml:space="preserve"> </w:t>
      </w:r>
      <w:r w:rsidRPr="00B52AEF">
        <w:t xml:space="preserve">regulāri </w:t>
      </w:r>
      <w:r>
        <w:t xml:space="preserve">publiskas </w:t>
      </w:r>
      <w:r w:rsidRPr="00B52AEF">
        <w:t>komunikācijas pasākumi par krājobligāciju iegādes iespējām un priekšrocībām</w:t>
      </w:r>
      <w:r>
        <w:t xml:space="preserve"> </w:t>
      </w:r>
      <w:r w:rsidRPr="00875CCF">
        <w:t>masu medijos, drukātajā presē, vides reklāmās un sociālajos tīklos</w:t>
      </w:r>
      <w:r>
        <w:t>.</w:t>
      </w:r>
      <w:r w:rsidRPr="00474D23">
        <w:t xml:space="preserve"> </w:t>
      </w:r>
      <w:r w:rsidRPr="00875CCF">
        <w:t xml:space="preserve">2023.gadā īstenotā komunikācijas kampaņa "Krājobligācijas - ērti, droši, ienesīgi" ir saņēmusi </w:t>
      </w:r>
      <w:r w:rsidRPr="00875CCF">
        <w:rPr>
          <w:i/>
          <w:iCs/>
        </w:rPr>
        <w:t>International Public Relations Association</w:t>
      </w:r>
      <w:r w:rsidRPr="00875CCF">
        <w:rPr>
          <w:rFonts w:ascii="Helvetica" w:hAnsi="Helvetica" w:cs="Helvetica"/>
          <w:color w:val="333333"/>
          <w:sz w:val="22"/>
          <w:szCs w:val="22"/>
          <w:shd w:val="clear" w:color="auto" w:fill="FFFFFF"/>
        </w:rPr>
        <w:t xml:space="preserve"> </w:t>
      </w:r>
      <w:r w:rsidRPr="00875CCF">
        <w:rPr>
          <w:i/>
          <w:iCs/>
        </w:rPr>
        <w:t>Golden World Awards</w:t>
      </w:r>
      <w:r w:rsidRPr="00875CCF">
        <w:t xml:space="preserve"> 2024.gada apbalvojumu kategorijā "Finanšu pakalpojumi un investoru attiecības" par izcilību sabiedrisko attiecību projektos, </w:t>
      </w:r>
      <w:r w:rsidRPr="001A3891">
        <w:rPr>
          <w:shd w:val="clear" w:color="auto" w:fill="FFFFFB"/>
          <w:lang w:eastAsia="en-US"/>
        </w:rPr>
        <w:t xml:space="preserve">kas izceļ radošumu, efektivitāti un ietekmi, </w:t>
      </w:r>
      <w:r w:rsidRPr="00875CCF">
        <w:t>kas ir viens no nozīmīgākajiem apbalvojumiem sabiedrisko attiecību nozarē.</w:t>
      </w:r>
    </w:p>
    <w:p w14:paraId="2DCD6CE8" w14:textId="77777777" w:rsidR="004C5C29" w:rsidRDefault="004C5C29" w:rsidP="008C4983">
      <w:pPr>
        <w:ind w:firstLine="720"/>
        <w:jc w:val="both"/>
        <w:rPr>
          <w:rFonts w:eastAsia="Times New Roman" w:cs="Times New Roman"/>
          <w:lang w:eastAsia="lv-LV"/>
        </w:rPr>
      </w:pPr>
      <w:r w:rsidRPr="359A5C1A">
        <w:rPr>
          <w:rFonts w:eastAsia="Times New Roman" w:cs="Times New Roman"/>
          <w:lang w:eastAsia="lv-LV"/>
        </w:rPr>
        <w:t xml:space="preserve">Ņemot vērā krājobligāciju nozīmi Latvijas kapitāla tirgus attīstības sekmēšanai, ir svarīgi uzturēt krājobligāciju publisko piedāvājumu privātpersonām arī turpmāk, veikt pasākumus krājobligāciju pakalpojuma attīstībai un iegādes vietnes pilnveidošanai, kā arī turpināt publiskās komunikācijas un mārketinga pasākumus krājobligāciju popularizēšanai un pieprasījuma pēc šī instrumenta veicināšanai, aktīvi informējot iedzīvotājus par šīs ieguldījumu alternatīvas priekšrocībām, nosacījumiem un izmantošanas iespējām. </w:t>
      </w:r>
    </w:p>
    <w:p w14:paraId="3CD7C631" w14:textId="43A681B2" w:rsidR="004C5C29" w:rsidRDefault="004C5C29" w:rsidP="359A5C1A">
      <w:pPr>
        <w:ind w:firstLine="720"/>
        <w:jc w:val="both"/>
        <w:rPr>
          <w:rFonts w:eastAsia="Times New Roman" w:cs="Times New Roman"/>
          <w:lang w:eastAsia="lv-LV"/>
        </w:rPr>
      </w:pPr>
      <w:r w:rsidRPr="3795FA80">
        <w:rPr>
          <w:rFonts w:eastAsia="Times New Roman" w:cs="Times New Roman"/>
          <w:lang w:eastAsia="lv-LV"/>
        </w:rPr>
        <w:t xml:space="preserve">Ņemot vērā, ka krājobligācijas ir valsts vērtspapīri bez pārveduma iespējām (nav tirgojami) </w:t>
      </w:r>
      <w:r>
        <w:rPr>
          <w:rFonts w:eastAsia="Times New Roman" w:cs="Times New Roman"/>
          <w:lang w:eastAsia="lv-LV"/>
        </w:rPr>
        <w:t>un</w:t>
      </w:r>
      <w:r w:rsidRPr="3795FA80">
        <w:rPr>
          <w:rFonts w:eastAsia="Times New Roman" w:cs="Times New Roman"/>
          <w:lang w:eastAsia="lv-LV"/>
        </w:rPr>
        <w:t xml:space="preserve"> Latvijas kapitāla tirgū ir potenciāls attiecībā uz plašāku investoru aptveri</w:t>
      </w:r>
      <w:r>
        <w:rPr>
          <w:rFonts w:eastAsia="Times New Roman" w:cs="Times New Roman"/>
          <w:lang w:eastAsia="lv-LV"/>
        </w:rPr>
        <w:t xml:space="preserve"> un aktīvāku iesaisti</w:t>
      </w:r>
      <w:r w:rsidRPr="3795FA80">
        <w:rPr>
          <w:rFonts w:eastAsia="Times New Roman" w:cs="Times New Roman"/>
          <w:lang w:eastAsia="lv-LV"/>
        </w:rPr>
        <w:t>, k</w:t>
      </w:r>
      <w:r w:rsidRPr="00D74482">
        <w:t xml:space="preserve">opš 2023.gada novembra </w:t>
      </w:r>
      <w:r>
        <w:t xml:space="preserve">starptautiskajos kapitāla tirgos </w:t>
      </w:r>
      <w:r w:rsidRPr="00D74482">
        <w:t xml:space="preserve">emitēto </w:t>
      </w:r>
      <w:r>
        <w:t xml:space="preserve">Latvijas valsts </w:t>
      </w:r>
      <w:r w:rsidRPr="00D74482">
        <w:t xml:space="preserve">obligāciju </w:t>
      </w:r>
      <w:r w:rsidRPr="0038061B">
        <w:t>(jeb eiroobligācij</w:t>
      </w:r>
      <w:r>
        <w:t>u</w:t>
      </w:r>
      <w:r w:rsidRPr="0038061B">
        <w:t>)</w:t>
      </w:r>
      <w:r>
        <w:t xml:space="preserve"> </w:t>
      </w:r>
      <w:r w:rsidRPr="00D74482">
        <w:t xml:space="preserve">nosacījumos minimālais vērtspapīru iegādes apjoms samazināts no 100 000 </w:t>
      </w:r>
      <w:r w:rsidR="00890DCD">
        <w:t>euro</w:t>
      </w:r>
      <w:r w:rsidR="00890DCD" w:rsidRPr="00D74482">
        <w:t xml:space="preserve"> </w:t>
      </w:r>
      <w:r w:rsidRPr="00D74482">
        <w:t xml:space="preserve">līdz 1000 </w:t>
      </w:r>
      <w:r w:rsidR="00890DCD">
        <w:t>euro</w:t>
      </w:r>
      <w:r w:rsidRPr="00D74482">
        <w:t xml:space="preserve">, </w:t>
      </w:r>
      <w:r w:rsidRPr="3795FA80">
        <w:rPr>
          <w:rFonts w:eastAsia="Times New Roman" w:cs="Times New Roman"/>
          <w:lang w:eastAsia="lv-LV"/>
        </w:rPr>
        <w:t>lai šie</w:t>
      </w:r>
      <w:r>
        <w:rPr>
          <w:rFonts w:eastAsia="Times New Roman" w:cs="Times New Roman"/>
          <w:lang w:eastAsia="lv-LV"/>
        </w:rPr>
        <w:t xml:space="preserve"> valsts</w:t>
      </w:r>
      <w:r w:rsidRPr="3795FA80">
        <w:rPr>
          <w:rFonts w:eastAsia="Times New Roman" w:cs="Times New Roman"/>
          <w:lang w:eastAsia="lv-LV"/>
        </w:rPr>
        <w:t xml:space="preserve"> vērtspapīri būtu pieejami plašākam investoru lokam</w:t>
      </w:r>
      <w:r>
        <w:rPr>
          <w:rFonts w:eastAsia="Times New Roman" w:cs="Times New Roman"/>
          <w:lang w:eastAsia="lv-LV"/>
        </w:rPr>
        <w:t>, t.sk. privātpersonām,</w:t>
      </w:r>
      <w:r w:rsidRPr="3795FA80">
        <w:rPr>
          <w:rFonts w:eastAsia="Times New Roman" w:cs="Times New Roman"/>
          <w:lang w:eastAsia="lv-LV"/>
        </w:rPr>
        <w:t xml:space="preserve"> un nodrošinātu tirdzniecības iespējas</w:t>
      </w:r>
      <w:r>
        <w:rPr>
          <w:rFonts w:eastAsia="Times New Roman" w:cs="Times New Roman"/>
          <w:lang w:eastAsia="lv-LV"/>
        </w:rPr>
        <w:t xml:space="preserve"> otrreizējā tirgū</w:t>
      </w:r>
      <w:r w:rsidRPr="3795FA80">
        <w:rPr>
          <w:rFonts w:eastAsia="Times New Roman" w:cs="Times New Roman"/>
          <w:lang w:eastAsia="lv-LV"/>
        </w:rPr>
        <w:t>.</w:t>
      </w:r>
      <w:r w:rsidRPr="00564949">
        <w:t xml:space="preserve"> </w:t>
      </w:r>
      <w:r w:rsidR="00C340DF">
        <w:t>Valsts kases rīkotajās</w:t>
      </w:r>
      <w:r w:rsidRPr="0038061B">
        <w:t xml:space="preserve"> izsolēs ar Primāro dīleru starpniecību tiek regulāri piedāvāti papildu laidieni apgrozībā esošajām </w:t>
      </w:r>
      <w:r w:rsidR="00474D29">
        <w:t xml:space="preserve">Latvijas </w:t>
      </w:r>
      <w:r>
        <w:t>eiroobligācijām</w:t>
      </w:r>
      <w:r w:rsidRPr="0038061B">
        <w:t>, kas sākotnēji emitētas starptautiskajos kapitāla tirgos</w:t>
      </w:r>
      <w:r w:rsidR="00F2025D">
        <w:t>,</w:t>
      </w:r>
      <w:r w:rsidR="00F2025D" w:rsidRPr="00F2025D">
        <w:t xml:space="preserve"> lai ar finansiāli izdevīgiem nosacījumiem nodrošinātu resursus kopējai finansēšanas nepieciešamības segšanai, t.sk. </w:t>
      </w:r>
      <w:r w:rsidR="00F2025D" w:rsidRPr="00B71270">
        <w:t>valsts budžeta deficīta finansēšanai, valsts parāda saistību izpildei, valsts aizdevumu nodrošināšanai</w:t>
      </w:r>
      <w:r w:rsidRPr="00B71270">
        <w:t xml:space="preserve">. </w:t>
      </w:r>
      <w:r w:rsidR="00541C67" w:rsidRPr="00B71270">
        <w:t xml:space="preserve">No </w:t>
      </w:r>
      <w:r w:rsidRPr="00B71270">
        <w:t>2024.</w:t>
      </w:r>
      <w:r w:rsidR="001C5BF9">
        <w:t> </w:t>
      </w:r>
      <w:r w:rsidRPr="00B71270">
        <w:t>gada sākuma līdz 202</w:t>
      </w:r>
      <w:r w:rsidR="00BD21C8">
        <w:t>6</w:t>
      </w:r>
      <w:r w:rsidRPr="00B71270">
        <w:t>.</w:t>
      </w:r>
      <w:r w:rsidR="00022F86">
        <w:t> </w:t>
      </w:r>
      <w:r w:rsidRPr="00B71270">
        <w:t xml:space="preserve">gada </w:t>
      </w:r>
      <w:r w:rsidR="00BD21C8">
        <w:t>17</w:t>
      </w:r>
      <w:r w:rsidR="00022F86">
        <w:t>.</w:t>
      </w:r>
      <w:r w:rsidR="00BD21C8">
        <w:t xml:space="preserve"> februārim</w:t>
      </w:r>
      <w:r w:rsidR="00D40939" w:rsidRPr="00B71270">
        <w:t xml:space="preserve"> </w:t>
      </w:r>
      <w:r w:rsidRPr="00B71270">
        <w:t xml:space="preserve">eiroobligāciju papildu laidienus ar minimālo iegādes apjomu 1000 </w:t>
      </w:r>
      <w:r w:rsidR="00890DCD" w:rsidRPr="00B71270">
        <w:t xml:space="preserve">euro </w:t>
      </w:r>
      <w:r w:rsidRPr="00B71270">
        <w:t xml:space="preserve">Valsts kase piedāvāja </w:t>
      </w:r>
      <w:r w:rsidR="00441966">
        <w:t>divdesmit divās</w:t>
      </w:r>
      <w:r w:rsidR="00441966" w:rsidRPr="00B71270">
        <w:t xml:space="preserve"> </w:t>
      </w:r>
      <w:r w:rsidRPr="00B71270">
        <w:t xml:space="preserve">izsolēs ar Primāro dīleru starpniecību, nodrošinot resursu piesaisti </w:t>
      </w:r>
      <w:r w:rsidR="004159AC" w:rsidRPr="00C713F5">
        <w:t>1</w:t>
      </w:r>
      <w:r w:rsidR="00EA6083">
        <w:t>,</w:t>
      </w:r>
      <w:r w:rsidR="00441966">
        <w:t>35</w:t>
      </w:r>
      <w:r w:rsidR="00441966" w:rsidRPr="00B71270">
        <w:t xml:space="preserve"> </w:t>
      </w:r>
      <w:r w:rsidRPr="00B71270">
        <w:t>m</w:t>
      </w:r>
      <w:r w:rsidR="0816D7FC" w:rsidRPr="00B71270">
        <w:t>ilj</w:t>
      </w:r>
      <w:r w:rsidR="004159AC" w:rsidRPr="00C713F5">
        <w:t>ardu</w:t>
      </w:r>
      <w:r w:rsidR="0816D7FC" w:rsidRPr="00B71270">
        <w:t xml:space="preserve"> </w:t>
      </w:r>
      <w:r w:rsidR="00890DCD" w:rsidRPr="00B71270">
        <w:t xml:space="preserve">euro </w:t>
      </w:r>
      <w:r w:rsidRPr="00B71270">
        <w:t xml:space="preserve">apmērā (investoru pieprasījums pēc šiem vērtspapīriem izsolēs vairākas reizes pārsniedza pārdoto apjomu). </w:t>
      </w:r>
      <w:r w:rsidR="007A2512">
        <w:t>Arī t</w:t>
      </w:r>
      <w:r w:rsidRPr="00B71270">
        <w:rPr>
          <w:rFonts w:eastAsia="Times New Roman" w:cs="Times New Roman"/>
          <w:lang w:eastAsia="lv-LV"/>
        </w:rPr>
        <w:t xml:space="preserve">urpmāk plānots regulāri nodrošināt valsts vērtspapīru ar minimālo iegādes apjomu 1000 </w:t>
      </w:r>
      <w:r w:rsidR="00890DCD" w:rsidRPr="00B71270">
        <w:rPr>
          <w:rFonts w:eastAsia="Times New Roman" w:cs="Times New Roman"/>
          <w:lang w:eastAsia="lv-LV"/>
        </w:rPr>
        <w:t xml:space="preserve">euro </w:t>
      </w:r>
      <w:r w:rsidRPr="00B71270">
        <w:rPr>
          <w:rFonts w:eastAsia="Times New Roman" w:cs="Times New Roman"/>
          <w:lang w:eastAsia="lv-LV"/>
        </w:rPr>
        <w:t>piedāvājumu</w:t>
      </w:r>
      <w:r w:rsidRPr="3795FA80">
        <w:rPr>
          <w:rFonts w:eastAsia="Times New Roman" w:cs="Times New Roman"/>
          <w:lang w:eastAsia="lv-LV"/>
        </w:rPr>
        <w:t xml:space="preserve"> izsolēs, lai veicinātu šo vērtspapīru likviditāti, investoru aktivitāti un</w:t>
      </w:r>
      <w:r>
        <w:rPr>
          <w:rFonts w:eastAsia="Times New Roman" w:cs="Times New Roman"/>
          <w:lang w:eastAsia="lv-LV"/>
        </w:rPr>
        <w:t xml:space="preserve"> iedzīvotāju</w:t>
      </w:r>
      <w:r w:rsidRPr="3795FA80">
        <w:rPr>
          <w:rFonts w:eastAsia="Times New Roman" w:cs="Times New Roman"/>
          <w:lang w:eastAsia="lv-LV"/>
        </w:rPr>
        <w:t xml:space="preserve"> finanšu pratību ieguldījumiem arī tirgojamos valsts vērtspapīros.</w:t>
      </w:r>
    </w:p>
    <w:p w14:paraId="3C67165E" w14:textId="1B42445E" w:rsidR="00F64746" w:rsidRPr="00F64746" w:rsidRDefault="00F64746" w:rsidP="00CD7D23">
      <w:pPr>
        <w:ind w:firstLine="720"/>
        <w:jc w:val="both"/>
        <w:rPr>
          <w:rFonts w:eastAsia="Times New Roman" w:cs="Times New Roman"/>
          <w:lang w:eastAsia="lv-LV"/>
        </w:rPr>
      </w:pPr>
      <w:r w:rsidRPr="00F64746">
        <w:rPr>
          <w:rFonts w:eastAsia="Times New Roman" w:cs="Times New Roman"/>
          <w:lang w:eastAsia="lv-LV"/>
        </w:rPr>
        <w:t xml:space="preserve">Krājobligācijas, </w:t>
      </w:r>
      <w:r w:rsidR="00DA2D25">
        <w:rPr>
          <w:rFonts w:eastAsia="Times New Roman" w:cs="Times New Roman"/>
          <w:lang w:eastAsia="lv-LV"/>
        </w:rPr>
        <w:t xml:space="preserve">salīdzinājumā ar </w:t>
      </w:r>
      <w:r w:rsidR="009D425A">
        <w:rPr>
          <w:rFonts w:eastAsia="Times New Roman" w:cs="Times New Roman"/>
          <w:lang w:eastAsia="lv-LV"/>
        </w:rPr>
        <w:t>ieguldījumu kont</w:t>
      </w:r>
      <w:r w:rsidR="00B84904">
        <w:rPr>
          <w:rFonts w:eastAsia="Times New Roman" w:cs="Times New Roman"/>
          <w:lang w:eastAsia="lv-LV"/>
        </w:rPr>
        <w:t>a</w:t>
      </w:r>
      <w:r w:rsidR="009D425A">
        <w:rPr>
          <w:rFonts w:eastAsia="Times New Roman" w:cs="Times New Roman"/>
          <w:lang w:eastAsia="lv-LV"/>
        </w:rPr>
        <w:t xml:space="preserve"> </w:t>
      </w:r>
      <w:r w:rsidR="00F7483E">
        <w:rPr>
          <w:rFonts w:eastAsia="Times New Roman" w:cs="Times New Roman"/>
          <w:lang w:eastAsia="lv-LV"/>
        </w:rPr>
        <w:t>palīdzību iegādājamajām obligācijām</w:t>
      </w:r>
      <w:r w:rsidRPr="00F64746">
        <w:rPr>
          <w:rFonts w:eastAsia="Times New Roman" w:cs="Times New Roman"/>
          <w:lang w:eastAsia="lv-LV"/>
        </w:rPr>
        <w:t>, ir vienkāršākas, saprotamākas un pieejamākas tiem iedzīvotājiem, kuri tikai sāk savas gaitas investīciju pasaulē vai arī ir ļoti piesardzīgi</w:t>
      </w:r>
      <w:r w:rsidR="00454D07">
        <w:rPr>
          <w:rFonts w:eastAsia="Times New Roman" w:cs="Times New Roman"/>
          <w:lang w:eastAsia="lv-LV"/>
        </w:rPr>
        <w:t xml:space="preserve"> ieguldījumu veikšanā</w:t>
      </w:r>
      <w:r w:rsidRPr="00F64746">
        <w:rPr>
          <w:rFonts w:eastAsia="Times New Roman" w:cs="Times New Roman"/>
          <w:lang w:eastAsia="lv-LV"/>
        </w:rPr>
        <w:t xml:space="preserve">. </w:t>
      </w:r>
    </w:p>
    <w:p w14:paraId="3A4EAB4C" w14:textId="77777777" w:rsidR="004C5C29" w:rsidRPr="00217066" w:rsidRDefault="004C5C29" w:rsidP="359A5C1A">
      <w:pPr>
        <w:ind w:firstLine="720"/>
        <w:jc w:val="both"/>
      </w:pPr>
      <w:r w:rsidRPr="00217066">
        <w:lastRenderedPageBreak/>
        <w:t xml:space="preserve">Finansējums krājobligāciju un citu valsts vērtspapīru emisijas procesa apkalpošanai un ar to saistītiem pakalpojumiem, t.sk. </w:t>
      </w:r>
      <w:r>
        <w:t xml:space="preserve">publiskās </w:t>
      </w:r>
      <w:r w:rsidRPr="00217066">
        <w:t xml:space="preserve">komunikācijas </w:t>
      </w:r>
      <w:r>
        <w:t xml:space="preserve">un sabiedrības </w:t>
      </w:r>
      <w:r w:rsidRPr="00217066">
        <w:t>informēšanas pasākumiem, tiek nodrošināts Finanšu ministrijas budžeta, t.sk. valsts budžeta programmas 31.00.00 “Budžeta izpilde un valsts parāda vadība”, ietvaros.</w:t>
      </w:r>
    </w:p>
    <w:p w14:paraId="5F816253" w14:textId="77777777" w:rsidR="004C5C29" w:rsidRDefault="004C5C29" w:rsidP="7828EF59">
      <w:pPr>
        <w:spacing w:line="259" w:lineRule="auto"/>
        <w:rPr>
          <w:rFonts w:eastAsia="Times New Roman" w:cs="Times New Roman"/>
          <w:b/>
          <w:bCs/>
          <w:szCs w:val="24"/>
        </w:rPr>
      </w:pPr>
    </w:p>
    <w:p w14:paraId="7914EB87" w14:textId="0B50F0B6" w:rsidR="004F0B97" w:rsidRDefault="004263AB" w:rsidP="004263AB">
      <w:pPr>
        <w:spacing w:before="120" w:after="120"/>
        <w:jc w:val="both"/>
        <w:rPr>
          <w:b/>
          <w:bCs/>
          <w:u w:val="single"/>
        </w:rPr>
      </w:pPr>
      <w:r w:rsidRPr="5F98231E">
        <w:rPr>
          <w:b/>
          <w:bCs/>
          <w:u w:val="single"/>
        </w:rPr>
        <w:t xml:space="preserve">Priekšlikums: </w:t>
      </w:r>
      <w:r w:rsidR="004F0B97" w:rsidRPr="5F98231E">
        <w:rPr>
          <w:b/>
          <w:bCs/>
          <w:u w:val="single"/>
        </w:rPr>
        <w:t xml:space="preserve"> Finanšu ministrijai (Valsts kasei) uzturēt krājobligāciju publisko piedāvājumu un sadarbībā ar krājobligāciju finanšu aģentu (Nasdaq CSD) turpināt krājobligāciju izplatīšanas kanāla (krājobligāciju iegādes vietnes www.krajobligacijas.lv) uzturēšanu un pilnveidošanu</w:t>
      </w:r>
      <w:r w:rsidR="006B5625">
        <w:rPr>
          <w:b/>
          <w:bCs/>
          <w:u w:val="single"/>
        </w:rPr>
        <w:t>.</w:t>
      </w:r>
      <w:r w:rsidR="006B5625" w:rsidRPr="5F98231E">
        <w:rPr>
          <w:b/>
          <w:bCs/>
          <w:u w:val="single"/>
        </w:rPr>
        <w:t xml:space="preserve"> </w:t>
      </w:r>
      <w:r w:rsidR="004F0B97" w:rsidRPr="5F98231E">
        <w:rPr>
          <w:b/>
          <w:bCs/>
          <w:u w:val="single"/>
        </w:rPr>
        <w:t xml:space="preserve">Finanšu ministrijai (Valsts kasei) turpināt publiskās komunikācijas pasākumus krājobligāciju popularizēšanai un pieprasījuma pēc krājobligācijām veicināšanai, nepieciešamības gadījumā nodrošinot ārpakalpojuma piesaisti saskaņā ar publisko iepirkumu regulējošiem normatīvajiem aktiem. </w:t>
      </w:r>
    </w:p>
    <w:p w14:paraId="42384211" w14:textId="77777777" w:rsidR="009C581C" w:rsidRDefault="009C581C" w:rsidP="004263AB">
      <w:pPr>
        <w:spacing w:before="120" w:after="120"/>
        <w:jc w:val="both"/>
        <w:rPr>
          <w:b/>
          <w:bCs/>
          <w:u w:val="single"/>
        </w:rPr>
      </w:pPr>
    </w:p>
    <w:p w14:paraId="3B1E687F" w14:textId="2F3D01E1" w:rsidR="004F0B97" w:rsidRPr="002B6217" w:rsidRDefault="15D45B20" w:rsidP="5F98231E">
      <w:pPr>
        <w:spacing w:line="259" w:lineRule="auto"/>
        <w:rPr>
          <w:rFonts w:eastAsia="Times New Roman" w:cs="Times New Roman"/>
          <w:b/>
          <w:bCs/>
        </w:rPr>
      </w:pPr>
      <w:r w:rsidRPr="5F98231E">
        <w:rPr>
          <w:rFonts w:eastAsia="Times New Roman" w:cs="Times New Roman"/>
          <w:b/>
          <w:bCs/>
        </w:rPr>
        <w:t>3. Kapitāla tirgus attīstību veicin</w:t>
      </w:r>
      <w:r w:rsidR="4AF16099" w:rsidRPr="5F98231E">
        <w:rPr>
          <w:rFonts w:eastAsia="Times New Roman" w:cs="Times New Roman"/>
          <w:b/>
          <w:bCs/>
        </w:rPr>
        <w:t>ošas</w:t>
      </w:r>
      <w:r w:rsidRPr="5F98231E">
        <w:rPr>
          <w:rFonts w:eastAsia="Times New Roman" w:cs="Times New Roman"/>
          <w:b/>
          <w:bCs/>
        </w:rPr>
        <w:t xml:space="preserve"> vides veidošana</w:t>
      </w:r>
    </w:p>
    <w:p w14:paraId="23D010A1" w14:textId="7512AFFD" w:rsidR="5F98231E" w:rsidRDefault="5F98231E" w:rsidP="5F98231E">
      <w:pPr>
        <w:spacing w:line="259" w:lineRule="auto"/>
        <w:rPr>
          <w:rFonts w:eastAsia="Times New Roman" w:cs="Times New Roman"/>
          <w:b/>
          <w:bCs/>
        </w:rPr>
      </w:pPr>
    </w:p>
    <w:p w14:paraId="4244B810" w14:textId="761137F7" w:rsidR="002B6217" w:rsidRPr="002B6217" w:rsidRDefault="7FDB92B0" w:rsidP="359A5C1A">
      <w:pPr>
        <w:spacing w:line="259" w:lineRule="auto"/>
        <w:ind w:firstLine="720"/>
        <w:rPr>
          <w:rFonts w:eastAsia="Times New Roman" w:cs="Times New Roman"/>
          <w:b/>
          <w:bCs/>
        </w:rPr>
      </w:pPr>
      <w:r w:rsidRPr="5F98231E">
        <w:rPr>
          <w:rFonts w:eastAsia="Times New Roman" w:cs="Times New Roman"/>
          <w:b/>
          <w:bCs/>
        </w:rPr>
        <w:t>3.1</w:t>
      </w:r>
      <w:r w:rsidR="0F005A04" w:rsidRPr="5F98231E">
        <w:rPr>
          <w:rFonts w:eastAsia="Times New Roman" w:cs="Times New Roman"/>
          <w:b/>
          <w:bCs/>
        </w:rPr>
        <w:t xml:space="preserve">. </w:t>
      </w:r>
      <w:r w:rsidR="002B6217" w:rsidRPr="5F98231E">
        <w:rPr>
          <w:rFonts w:eastAsia="Times New Roman" w:cs="Times New Roman"/>
          <w:b/>
          <w:bCs/>
        </w:rPr>
        <w:t>“</w:t>
      </w:r>
      <w:r w:rsidR="00F671CD">
        <w:rPr>
          <w:rFonts w:eastAsia="Times New Roman" w:cs="Times New Roman"/>
          <w:b/>
          <w:bCs/>
        </w:rPr>
        <w:t>Nepietiekamās</w:t>
      </w:r>
      <w:r w:rsidR="00F671CD" w:rsidRPr="5F98231E">
        <w:rPr>
          <w:rFonts w:eastAsia="Times New Roman" w:cs="Times New Roman"/>
          <w:b/>
          <w:bCs/>
        </w:rPr>
        <w:t xml:space="preserve"> </w:t>
      </w:r>
      <w:r w:rsidR="002B6217" w:rsidRPr="5F98231E">
        <w:rPr>
          <w:rFonts w:eastAsia="Times New Roman" w:cs="Times New Roman"/>
          <w:b/>
          <w:bCs/>
        </w:rPr>
        <w:t>kapitalizācijas” regulējums</w:t>
      </w:r>
    </w:p>
    <w:p w14:paraId="482C0566" w14:textId="77777777" w:rsidR="003E3A8B" w:rsidRPr="00917476" w:rsidRDefault="003E3A8B" w:rsidP="00917476">
      <w:pPr>
        <w:spacing w:line="259" w:lineRule="auto"/>
        <w:jc w:val="both"/>
        <w:rPr>
          <w:rFonts w:eastAsia="Times New Roman" w:cs="Times New Roman"/>
          <w:szCs w:val="24"/>
        </w:rPr>
      </w:pPr>
    </w:p>
    <w:p w14:paraId="201435E3" w14:textId="501EED69" w:rsidR="00344EBA" w:rsidRDefault="00BD22C3" w:rsidP="00E27A27">
      <w:pPr>
        <w:spacing w:line="259" w:lineRule="auto"/>
        <w:ind w:firstLine="720"/>
        <w:jc w:val="both"/>
        <w:rPr>
          <w:rFonts w:eastAsia="Times New Roman"/>
        </w:rPr>
      </w:pPr>
      <w:r w:rsidRPr="00BD22C3">
        <w:rPr>
          <w:rFonts w:eastAsia="Times New Roman" w:cs="Times New Roman"/>
          <w:szCs w:val="24"/>
        </w:rPr>
        <w:t>Saskaņā ar Uzņēmum</w:t>
      </w:r>
      <w:r w:rsidR="0096247A">
        <w:rPr>
          <w:rFonts w:eastAsia="Times New Roman" w:cs="Times New Roman"/>
          <w:szCs w:val="24"/>
        </w:rPr>
        <w:t xml:space="preserve">u ienākuma nodokļa </w:t>
      </w:r>
      <w:r w:rsidRPr="00BD22C3">
        <w:rPr>
          <w:rFonts w:eastAsia="Times New Roman" w:cs="Times New Roman"/>
          <w:szCs w:val="24"/>
        </w:rPr>
        <w:t xml:space="preserve">likumā </w:t>
      </w:r>
      <w:r w:rsidR="009A6E45">
        <w:rPr>
          <w:rFonts w:eastAsia="Times New Roman" w:cs="Times New Roman"/>
          <w:szCs w:val="24"/>
        </w:rPr>
        <w:t xml:space="preserve">10.pantā </w:t>
      </w:r>
      <w:r w:rsidRPr="00BD22C3">
        <w:rPr>
          <w:rFonts w:eastAsia="Times New Roman" w:cs="Times New Roman"/>
          <w:szCs w:val="24"/>
        </w:rPr>
        <w:t>noteikto regulējumu</w:t>
      </w:r>
      <w:r w:rsidR="00344EBA">
        <w:rPr>
          <w:rFonts w:eastAsia="Times New Roman" w:cs="Times New Roman"/>
          <w:szCs w:val="24"/>
        </w:rPr>
        <w:t xml:space="preserve">, </w:t>
      </w:r>
      <w:r w:rsidR="00344EBA">
        <w:rPr>
          <w:rFonts w:eastAsia="Times New Roman"/>
        </w:rPr>
        <w:t>a</w:t>
      </w:r>
      <w:r w:rsidR="00344EBA" w:rsidRPr="00344EBA">
        <w:rPr>
          <w:rFonts w:eastAsia="Times New Roman"/>
        </w:rPr>
        <w:t xml:space="preserve">r nodokli apliekamajā bāzē </w:t>
      </w:r>
      <w:r w:rsidR="00344EBA">
        <w:rPr>
          <w:rFonts w:eastAsia="Times New Roman"/>
        </w:rPr>
        <w:t xml:space="preserve">ir jāiekļauj </w:t>
      </w:r>
      <w:r w:rsidR="00344EBA" w:rsidRPr="00344EBA">
        <w:rPr>
          <w:rFonts w:eastAsia="Times New Roman"/>
        </w:rPr>
        <w:t>procentu maksājumus proporcionāli tam, kādā apmērā parādu saistību vidējais apjoms pārsniedz četrkāršotu pašu kapitāla apjomu</w:t>
      </w:r>
      <w:r w:rsidR="00344EBA">
        <w:rPr>
          <w:rFonts w:eastAsia="Times New Roman"/>
        </w:rPr>
        <w:t xml:space="preserve">. </w:t>
      </w:r>
      <w:r w:rsidR="00B2676F">
        <w:rPr>
          <w:rFonts w:eastAsia="Times New Roman"/>
        </w:rPr>
        <w:t>“Nepietiekamās kapit</w:t>
      </w:r>
      <w:r w:rsidR="00B56D55">
        <w:rPr>
          <w:rFonts w:eastAsia="Times New Roman"/>
        </w:rPr>
        <w:t>a</w:t>
      </w:r>
      <w:r w:rsidR="00B2676F">
        <w:rPr>
          <w:rFonts w:eastAsia="Times New Roman"/>
        </w:rPr>
        <w:t xml:space="preserve">lizācijas” normas </w:t>
      </w:r>
      <w:r w:rsidR="00B2676F" w:rsidRPr="00B2676F">
        <w:rPr>
          <w:rFonts w:eastAsia="Times New Roman"/>
        </w:rPr>
        <w:t xml:space="preserve">ir nodokļu regulējums, kas paredzēts, lai novērstu uzņēmumu pārmērīgu finansēšanu ar aizņēmumiem, tādējādi mākslīgi samazinot apliekamo ienākumu, izmantojot procentu maksājumu atskaitījumus. </w:t>
      </w:r>
      <w:r w:rsidR="00F00E3F">
        <w:rPr>
          <w:rFonts w:eastAsia="Times New Roman"/>
        </w:rPr>
        <w:t xml:space="preserve">Vienlaikus </w:t>
      </w:r>
      <w:r w:rsidR="00C307A0">
        <w:rPr>
          <w:rFonts w:eastAsia="Times New Roman"/>
        </w:rPr>
        <w:t>ir noteikts, ka procenti par saņemto aizdevumu nav jāiekļauj ar nodokli apliekamajā bāzē, ja aizdevējs ir kredītiestāde vai patērētāju kreditētājs. Papildus kā izņēmumi noteikti arī publiskās apgrozības vērtspapīri, kas iekļauti regulētajā tirgū, segto obligāciju sabiedrības, kā arī attīstības finanšu institūcijas.</w:t>
      </w:r>
      <w:r w:rsidR="00CC1A30">
        <w:rPr>
          <w:rFonts w:eastAsia="Times New Roman"/>
        </w:rPr>
        <w:t xml:space="preserve"> </w:t>
      </w:r>
    </w:p>
    <w:p w14:paraId="20AE5065" w14:textId="2ADD7ED2" w:rsidR="009217BB" w:rsidRDefault="002B291B" w:rsidP="00E27A27">
      <w:pPr>
        <w:spacing w:line="259" w:lineRule="auto"/>
        <w:ind w:firstLine="720"/>
        <w:jc w:val="both"/>
        <w:rPr>
          <w:rFonts w:eastAsia="Times New Roman"/>
        </w:rPr>
      </w:pPr>
      <w:r>
        <w:rPr>
          <w:rFonts w:eastAsia="Times New Roman"/>
        </w:rPr>
        <w:t xml:space="preserve">Tiek izvērtētas vairākas situācijas, kur </w:t>
      </w:r>
      <w:r w:rsidR="00A13A4E">
        <w:rPr>
          <w:rFonts w:eastAsia="Times New Roman"/>
        </w:rPr>
        <w:t xml:space="preserve">“neptietiekamās kapitalizācijas” regulējums </w:t>
      </w:r>
      <w:r w:rsidR="00257DE8">
        <w:rPr>
          <w:rFonts w:eastAsia="Times New Roman"/>
        </w:rPr>
        <w:t>nesasniedz mērķi</w:t>
      </w:r>
      <w:r w:rsidR="00796A7E">
        <w:rPr>
          <w:rFonts w:eastAsia="Times New Roman"/>
        </w:rPr>
        <w:t>, ir šķērslis pakalpojumus sniegšanai</w:t>
      </w:r>
      <w:r w:rsidR="00CE698F">
        <w:rPr>
          <w:rFonts w:eastAsia="Times New Roman"/>
        </w:rPr>
        <w:t xml:space="preserve">, vai sadārdzina pakalpojumu, </w:t>
      </w:r>
      <w:r w:rsidR="00257DE8">
        <w:rPr>
          <w:rFonts w:eastAsia="Times New Roman"/>
        </w:rPr>
        <w:t xml:space="preserve"> </w:t>
      </w:r>
      <w:r w:rsidR="00CE698F">
        <w:rPr>
          <w:rFonts w:eastAsia="Times New Roman"/>
        </w:rPr>
        <w:t>un tādēļ norma šajās situācijās būtu</w:t>
      </w:r>
      <w:r w:rsidR="00257DE8">
        <w:rPr>
          <w:rFonts w:eastAsia="Times New Roman"/>
        </w:rPr>
        <w:t xml:space="preserve"> jāpārskata</w:t>
      </w:r>
      <w:r w:rsidR="00704415">
        <w:rPr>
          <w:rFonts w:eastAsia="Times New Roman"/>
        </w:rPr>
        <w:t>:</w:t>
      </w:r>
    </w:p>
    <w:p w14:paraId="7C60D202" w14:textId="1F8B2BFA" w:rsidR="00C307A0" w:rsidRPr="00656A2E" w:rsidRDefault="003E3A8B" w:rsidP="00656A2E">
      <w:pPr>
        <w:pStyle w:val="ListParagraph"/>
        <w:numPr>
          <w:ilvl w:val="0"/>
          <w:numId w:val="33"/>
        </w:numPr>
        <w:spacing w:line="259" w:lineRule="auto"/>
        <w:jc w:val="both"/>
        <w:rPr>
          <w:rFonts w:eastAsia="Times New Roman"/>
        </w:rPr>
      </w:pPr>
      <w:r w:rsidRPr="00656A2E">
        <w:rPr>
          <w:rFonts w:eastAsia="Times New Roman"/>
        </w:rPr>
        <w:t xml:space="preserve">Normas jēga ir attiecināma uz reālā sektora uzņēmumiem, kamēr finanšu sektora uzņēmumiem, kam ir konkrēti noteikta darbības joma, un kas aizņemas resursus, lai finansētu citus uzņēmumus, norma būtu nosakāma citā proporcijā vai arī </w:t>
      </w:r>
      <w:r w:rsidR="00B56D55" w:rsidRPr="00656A2E">
        <w:rPr>
          <w:rFonts w:eastAsia="Times New Roman"/>
        </w:rPr>
        <w:t xml:space="preserve"> “nepietiekamās kapitalizācijas” regulējums </w:t>
      </w:r>
      <w:r w:rsidR="00C307A0" w:rsidRPr="00656A2E">
        <w:rPr>
          <w:rFonts w:eastAsia="Times New Roman"/>
        </w:rPr>
        <w:t>pēc būtības nebūtu jāattiecina</w:t>
      </w:r>
      <w:r w:rsidRPr="00656A2E">
        <w:rPr>
          <w:rFonts w:eastAsia="Times New Roman"/>
        </w:rPr>
        <w:t>. T</w:t>
      </w:r>
      <w:r w:rsidR="00B56D55" w:rsidRPr="00656A2E">
        <w:rPr>
          <w:rFonts w:eastAsia="Times New Roman"/>
        </w:rPr>
        <w:t>as pēc būtības</w:t>
      </w:r>
      <w:r w:rsidRPr="00656A2E">
        <w:rPr>
          <w:rFonts w:eastAsia="Times New Roman"/>
        </w:rPr>
        <w:t xml:space="preserve"> nebūtu </w:t>
      </w:r>
      <w:r w:rsidR="00B56D55" w:rsidRPr="00656A2E">
        <w:rPr>
          <w:rFonts w:eastAsia="Times New Roman"/>
        </w:rPr>
        <w:t>jāattiecina</w:t>
      </w:r>
      <w:r w:rsidR="00C307A0" w:rsidRPr="00656A2E">
        <w:rPr>
          <w:rFonts w:eastAsia="Times New Roman"/>
        </w:rPr>
        <w:t xml:space="preserve"> uz finanšu institūciju izsniegtiem aizdevumiem un kapitāla tirgū piesaistīta finansējuma</w:t>
      </w:r>
      <w:r w:rsidR="00E12211" w:rsidRPr="00656A2E">
        <w:rPr>
          <w:rFonts w:eastAsia="Times New Roman"/>
        </w:rPr>
        <w:t>, tomēr likumā ietvertie izņēmumi neaptver virkni citu šāda veida finansējuma piesaistes veidu</w:t>
      </w:r>
      <w:r w:rsidR="5B1E5ADB" w:rsidRPr="00656A2E">
        <w:rPr>
          <w:rFonts w:eastAsia="Times New Roman"/>
        </w:rPr>
        <w:t>,</w:t>
      </w:r>
      <w:r w:rsidR="008206DB" w:rsidRPr="00656A2E">
        <w:rPr>
          <w:rFonts w:eastAsia="Times New Roman"/>
        </w:rPr>
        <w:t xml:space="preserve"> līdz ar to būtu jāpārskata regulējums atbilstoši tirgus attīstībai. </w:t>
      </w:r>
      <w:r w:rsidR="00E12211" w:rsidRPr="00656A2E">
        <w:rPr>
          <w:rFonts w:eastAsia="Times New Roman"/>
        </w:rPr>
        <w:t xml:space="preserve"> </w:t>
      </w:r>
    </w:p>
    <w:p w14:paraId="5C8CAEBD" w14:textId="0383DD3C" w:rsidR="00E12211" w:rsidRPr="00656A2E" w:rsidRDefault="00E27A27" w:rsidP="00656A2E">
      <w:pPr>
        <w:pStyle w:val="ListParagraph"/>
        <w:numPr>
          <w:ilvl w:val="0"/>
          <w:numId w:val="33"/>
        </w:numPr>
        <w:spacing w:line="259" w:lineRule="auto"/>
        <w:jc w:val="both"/>
        <w:rPr>
          <w:rFonts w:eastAsia="Times New Roman"/>
        </w:rPr>
      </w:pPr>
      <w:r w:rsidRPr="00656A2E">
        <w:rPr>
          <w:rFonts w:eastAsia="Times New Roman"/>
        </w:rPr>
        <w:t xml:space="preserve">Šobrīd viens no strauji augošiem kapitāla tirgus segmentiem ir korporatīvās obligācijas, no kurām liela daļa tiek iekļauta </w:t>
      </w:r>
      <w:r w:rsidR="00110460" w:rsidRPr="00656A2E">
        <w:rPr>
          <w:rFonts w:eastAsia="Times New Roman"/>
        </w:rPr>
        <w:t xml:space="preserve">FirstNorth sarakstā, kas nav regulētais tirgus, līdz ar to būtu nepieciešams </w:t>
      </w:r>
      <w:r w:rsidR="000F3C21" w:rsidRPr="00656A2E">
        <w:rPr>
          <w:rFonts w:eastAsia="Times New Roman"/>
        </w:rPr>
        <w:t>paplašināt</w:t>
      </w:r>
      <w:r w:rsidR="00DA10E4" w:rsidRPr="00656A2E">
        <w:rPr>
          <w:rFonts w:eastAsia="Times New Roman"/>
        </w:rPr>
        <w:t xml:space="preserve"> likumā ietvertos izņēmuma gadījumus arī ar mazo un vidējo uzņēmumu izaugsmes tirgū </w:t>
      </w:r>
      <w:r w:rsidR="00DA10E4" w:rsidRPr="00656A2E">
        <w:rPr>
          <w:rFonts w:eastAsia="Times New Roman"/>
        </w:rPr>
        <w:lastRenderedPageBreak/>
        <w:t xml:space="preserve">iekļautajiem vērtspapīriem. </w:t>
      </w:r>
      <w:r w:rsidR="00652623" w:rsidRPr="00656A2E">
        <w:rPr>
          <w:rFonts w:eastAsia="Times New Roman"/>
        </w:rPr>
        <w:t xml:space="preserve">“Nepietiekamās kapitalizācijas” regulējums </w:t>
      </w:r>
      <w:r w:rsidR="006A7C44" w:rsidRPr="00656A2E">
        <w:rPr>
          <w:rFonts w:eastAsia="Times New Roman"/>
        </w:rPr>
        <w:t xml:space="preserve">šobrīd </w:t>
      </w:r>
      <w:r w:rsidR="00652623" w:rsidRPr="00656A2E">
        <w:rPr>
          <w:rFonts w:eastAsia="Times New Roman"/>
        </w:rPr>
        <w:t>sad</w:t>
      </w:r>
      <w:r w:rsidR="00F74C94" w:rsidRPr="00656A2E">
        <w:rPr>
          <w:rFonts w:eastAsia="Times New Roman"/>
        </w:rPr>
        <w:t>ārdzina obligāciju emisiju FirstNorth sarakstā</w:t>
      </w:r>
      <w:r w:rsidR="00527036" w:rsidRPr="00656A2E">
        <w:rPr>
          <w:rFonts w:eastAsia="Times New Roman"/>
        </w:rPr>
        <w:t xml:space="preserve">, un </w:t>
      </w:r>
      <w:r w:rsidR="00245D4A" w:rsidRPr="00656A2E">
        <w:rPr>
          <w:rFonts w:eastAsia="Times New Roman"/>
        </w:rPr>
        <w:t>būtu jāizslēdz</w:t>
      </w:r>
      <w:r w:rsidR="006A7C44" w:rsidRPr="00656A2E">
        <w:rPr>
          <w:rFonts w:eastAsia="Times New Roman"/>
        </w:rPr>
        <w:t>.</w:t>
      </w:r>
    </w:p>
    <w:p w14:paraId="4483C980" w14:textId="1A8F0AD8" w:rsidR="006A2DC5" w:rsidRPr="00656A2E" w:rsidRDefault="00047AD9" w:rsidP="00656A2E">
      <w:pPr>
        <w:pStyle w:val="ListParagraph"/>
        <w:numPr>
          <w:ilvl w:val="0"/>
          <w:numId w:val="33"/>
        </w:numPr>
        <w:spacing w:line="259" w:lineRule="auto"/>
        <w:jc w:val="both"/>
        <w:rPr>
          <w:rFonts w:eastAsia="Times New Roman"/>
        </w:rPr>
      </w:pPr>
      <w:r w:rsidRPr="00656A2E">
        <w:rPr>
          <w:rFonts w:eastAsia="Times New Roman"/>
        </w:rPr>
        <w:t>Tāpat kredītiestādes šobrīd nav vienīgais iespējamais kreditētājs</w:t>
      </w:r>
      <w:r w:rsidR="00D12746" w:rsidRPr="00656A2E">
        <w:rPr>
          <w:rFonts w:eastAsia="Times New Roman"/>
        </w:rPr>
        <w:t xml:space="preserve"> (finansētājs)</w:t>
      </w:r>
      <w:r w:rsidRPr="00656A2E">
        <w:rPr>
          <w:rFonts w:eastAsia="Times New Roman"/>
        </w:rPr>
        <w:t xml:space="preserve">, līdz ar to, lai nodrošinātu vienlīdzīgus konkurences apstākļus, kā arī veicinātu alternatīvu finanšu avotu pieejamību, būtu jāpaplašina </w:t>
      </w:r>
      <w:r w:rsidR="009C4C77" w:rsidRPr="00656A2E">
        <w:rPr>
          <w:rFonts w:eastAsia="Times New Roman"/>
        </w:rPr>
        <w:t xml:space="preserve">likumā ietvertos aizņēmumus ar aizdevumiem, ko izsnieguši alternatīvu ieguldījumu fondu pārvaldnieki, kā arī aizdevumi, kas izsniegti ar kolektīvās finansēšanas pakalpojumu sniedzēju starpniecību. </w:t>
      </w:r>
      <w:r w:rsidR="006A2DC5" w:rsidRPr="00656A2E">
        <w:rPr>
          <w:rFonts w:eastAsia="Times New Roman"/>
        </w:rPr>
        <w:t>Š</w:t>
      </w:r>
      <w:r w:rsidR="000B7E65" w:rsidRPr="00656A2E">
        <w:rPr>
          <w:rFonts w:eastAsia="Times New Roman"/>
        </w:rPr>
        <w:t xml:space="preserve">ie </w:t>
      </w:r>
      <w:r w:rsidR="006203EA" w:rsidRPr="00656A2E">
        <w:rPr>
          <w:rFonts w:eastAsia="Times New Roman"/>
        </w:rPr>
        <w:t xml:space="preserve">aizdevumu sniedzēji veic </w:t>
      </w:r>
      <w:r w:rsidR="005344C3" w:rsidRPr="00656A2E">
        <w:rPr>
          <w:rFonts w:eastAsia="Times New Roman"/>
        </w:rPr>
        <w:t>līdzīgu</w:t>
      </w:r>
      <w:r w:rsidR="006203EA" w:rsidRPr="00656A2E">
        <w:rPr>
          <w:rFonts w:eastAsia="Times New Roman"/>
        </w:rPr>
        <w:t xml:space="preserve"> funkciju</w:t>
      </w:r>
      <w:r w:rsidR="005344C3" w:rsidRPr="00656A2E">
        <w:rPr>
          <w:rFonts w:eastAsia="Times New Roman"/>
        </w:rPr>
        <w:t xml:space="preserve"> kā kredītiestādes</w:t>
      </w:r>
      <w:r w:rsidR="006203EA" w:rsidRPr="00656A2E">
        <w:rPr>
          <w:rFonts w:eastAsia="Times New Roman"/>
        </w:rPr>
        <w:t xml:space="preserve">. </w:t>
      </w:r>
    </w:p>
    <w:p w14:paraId="7E03F7DF" w14:textId="50996623" w:rsidR="009C4C77" w:rsidRPr="00656A2E" w:rsidRDefault="001119B5" w:rsidP="00656A2E">
      <w:pPr>
        <w:pStyle w:val="ListParagraph"/>
        <w:numPr>
          <w:ilvl w:val="0"/>
          <w:numId w:val="33"/>
        </w:numPr>
        <w:spacing w:line="259" w:lineRule="auto"/>
        <w:jc w:val="both"/>
        <w:rPr>
          <w:rFonts w:eastAsia="Times New Roman"/>
        </w:rPr>
      </w:pPr>
      <w:r w:rsidRPr="00656A2E">
        <w:rPr>
          <w:rFonts w:eastAsia="Times New Roman"/>
        </w:rPr>
        <w:t xml:space="preserve">Šobrīd </w:t>
      </w:r>
      <w:r w:rsidR="0096247A" w:rsidRPr="00656A2E">
        <w:rPr>
          <w:rFonts w:eastAsia="Times New Roman"/>
        </w:rPr>
        <w:t>no “</w:t>
      </w:r>
      <w:r w:rsidR="00B2676F" w:rsidRPr="00656A2E">
        <w:rPr>
          <w:rFonts w:eastAsia="Times New Roman"/>
        </w:rPr>
        <w:t>nepietiekamās</w:t>
      </w:r>
      <w:r w:rsidR="00B2676F" w:rsidRPr="00656A2E" w:rsidDel="00B2676F">
        <w:rPr>
          <w:rFonts w:eastAsia="Times New Roman"/>
        </w:rPr>
        <w:t xml:space="preserve"> </w:t>
      </w:r>
      <w:r w:rsidR="0096247A" w:rsidRPr="00656A2E">
        <w:rPr>
          <w:rFonts w:eastAsia="Times New Roman"/>
        </w:rPr>
        <w:t>kapitalizācijas” regulējuma kā izņēmums ir noteikts segto obligāciju sabiedrība</w:t>
      </w:r>
      <w:r w:rsidR="00664F64" w:rsidRPr="00656A2E">
        <w:rPr>
          <w:rFonts w:eastAsia="Times New Roman"/>
        </w:rPr>
        <w:t>, tomēr lai veicinātu plašāku kapitāla tirgus instrumentu attīstību</w:t>
      </w:r>
      <w:r w:rsidR="001B7A60" w:rsidRPr="00656A2E">
        <w:rPr>
          <w:rFonts w:eastAsia="Times New Roman"/>
        </w:rPr>
        <w:t>, izņēmumi būtu jāpaplašina arī ar</w:t>
      </w:r>
      <w:r w:rsidR="002A7683" w:rsidRPr="00656A2E">
        <w:rPr>
          <w:rFonts w:eastAsia="Times New Roman"/>
        </w:rPr>
        <w:t xml:space="preserve"> citām īpašam nolūkam veidotām sabiedrībām - </w:t>
      </w:r>
      <w:r w:rsidR="001B7A60" w:rsidRPr="00656A2E">
        <w:rPr>
          <w:rFonts w:eastAsia="Times New Roman"/>
        </w:rPr>
        <w:t xml:space="preserve"> vērtspapīrošanas sabiedrību, kā arī</w:t>
      </w:r>
      <w:r w:rsidR="002A7683" w:rsidRPr="00656A2E">
        <w:rPr>
          <w:rFonts w:eastAsia="Times New Roman"/>
        </w:rPr>
        <w:t xml:space="preserve"> mērķsabiedrību </w:t>
      </w:r>
      <w:r w:rsidR="00691B5D" w:rsidRPr="00656A2E">
        <w:rPr>
          <w:rFonts w:eastAsia="Times New Roman"/>
        </w:rPr>
        <w:t xml:space="preserve">Publiskās un privātās partnerības likuma izpratnē. </w:t>
      </w:r>
      <w:r w:rsidR="001C6579">
        <w:rPr>
          <w:rFonts w:eastAsia="Times New Roman"/>
        </w:rPr>
        <w:t xml:space="preserve">Šajās situācijās </w:t>
      </w:r>
      <w:r w:rsidR="00963479">
        <w:rPr>
          <w:rFonts w:eastAsia="Times New Roman"/>
        </w:rPr>
        <w:t>saistību apjoms ir lielāks nekā reālā sektora uzņēmumam.</w:t>
      </w:r>
    </w:p>
    <w:p w14:paraId="37157B16" w14:textId="6267733F" w:rsidR="003E3A8B" w:rsidRDefault="003E3A8B" w:rsidP="00E27A27">
      <w:pPr>
        <w:spacing w:line="259" w:lineRule="auto"/>
        <w:ind w:firstLine="720"/>
        <w:jc w:val="both"/>
        <w:rPr>
          <w:rFonts w:eastAsia="Times New Roman"/>
        </w:rPr>
      </w:pPr>
      <w:r w:rsidRPr="003E3A8B">
        <w:rPr>
          <w:rFonts w:eastAsia="Times New Roman"/>
        </w:rPr>
        <w:t xml:space="preserve">No ekonomikas teorijas viedokļa samazināta kreditēšana, ko raksturo aizņēmumu pret IKP attiecības mazināšanās, </w:t>
      </w:r>
      <w:r w:rsidR="00BF0EA8">
        <w:rPr>
          <w:rFonts w:eastAsia="Times New Roman"/>
        </w:rPr>
        <w:t xml:space="preserve">no vienas puses, </w:t>
      </w:r>
      <w:r w:rsidRPr="003E3A8B">
        <w:rPr>
          <w:rFonts w:eastAsia="Times New Roman"/>
        </w:rPr>
        <w:t>var uzlabot ilgtermiņa finanšu stabilitāti, bet no otras puses, tai ir negatīvas sekas uz ekonomisko aktivitāti, jo samazinās investīcijas un patēriņš, uzņēmumi nepaplašina savu darbību.</w:t>
      </w:r>
      <w:r w:rsidR="00BF0EA8">
        <w:rPr>
          <w:rFonts w:eastAsia="Times New Roman"/>
        </w:rPr>
        <w:t xml:space="preserve"> Latvijā kopš 2008. gada krīzes mājsaimniecības ir būtiski samazinājušas savu parāda/ienākumu attiecību, un 2023. gadā šī attiecība bija viena no zemākajām E</w:t>
      </w:r>
      <w:r w:rsidR="00436AE9">
        <w:rPr>
          <w:rFonts w:eastAsia="Times New Roman"/>
        </w:rPr>
        <w:t>iropas Savienībā</w:t>
      </w:r>
      <w:r w:rsidR="00BF0EA8">
        <w:rPr>
          <w:rFonts w:eastAsia="Times New Roman"/>
        </w:rPr>
        <w:t>. Līdzīgi arī uzņēmumu sektors un MVU ir samazinājuši aizņēmumu apjomu.</w:t>
      </w:r>
    </w:p>
    <w:p w14:paraId="4EF5D35A" w14:textId="0CECE995" w:rsidR="00BF0EA8" w:rsidRDefault="00BF0EA8" w:rsidP="00BF0EA8">
      <w:pPr>
        <w:spacing w:line="259" w:lineRule="auto"/>
        <w:ind w:firstLine="720"/>
        <w:jc w:val="both"/>
        <w:rPr>
          <w:rFonts w:eastAsia="Times New Roman"/>
        </w:rPr>
      </w:pPr>
      <w:r w:rsidRPr="00BF0EA8">
        <w:rPr>
          <w:rFonts w:eastAsia="Times New Roman"/>
        </w:rPr>
        <w:t xml:space="preserve">2024. </w:t>
      </w:r>
      <w:r>
        <w:rPr>
          <w:rFonts w:eastAsia="Times New Roman"/>
        </w:rPr>
        <w:t xml:space="preserve">gada </w:t>
      </w:r>
      <w:r w:rsidRPr="00BF0EA8">
        <w:rPr>
          <w:rFonts w:eastAsia="Times New Roman"/>
        </w:rPr>
        <w:t xml:space="preserve">OECD </w:t>
      </w:r>
      <w:r>
        <w:rPr>
          <w:rFonts w:eastAsia="Times New Roman"/>
        </w:rPr>
        <w:t>Ekonomikas pārskatā par Latviju</w:t>
      </w:r>
      <w:r w:rsidR="003A09FE">
        <w:rPr>
          <w:rFonts w:eastAsia="Times New Roman"/>
        </w:rPr>
        <w:t xml:space="preserve"> kontekstā ar globālo finanšu krīzi</w:t>
      </w:r>
      <w:r>
        <w:rPr>
          <w:rFonts w:eastAsia="Times New Roman"/>
        </w:rPr>
        <w:t xml:space="preserve"> ir teikts, ka “</w:t>
      </w:r>
      <w:r w:rsidRPr="00BF0EA8">
        <w:rPr>
          <w:rFonts w:eastAsia="Times New Roman"/>
        </w:rPr>
        <w:t>Banku lielā izvairīšanās no riska, vāja konkurence un nepietiekami attīstīts kapitāla tirgus ir galvenie faktori, kuru rezultātā samazinājusies uzņēmumu piekļuve finansējumam.</w:t>
      </w:r>
      <w:r>
        <w:rPr>
          <w:rFonts w:eastAsia="Times New Roman"/>
        </w:rPr>
        <w:t>”, kā arī “k</w:t>
      </w:r>
      <w:r w:rsidRPr="00BF0EA8">
        <w:rPr>
          <w:rFonts w:eastAsia="Times New Roman"/>
        </w:rPr>
        <w:t>apitāla tirgus ir nepietiekami attīstīts, tādēļ</w:t>
      </w:r>
      <w:r>
        <w:rPr>
          <w:rFonts w:eastAsia="Times New Roman"/>
        </w:rPr>
        <w:t xml:space="preserve"> </w:t>
      </w:r>
      <w:r w:rsidRPr="00BF0EA8">
        <w:rPr>
          <w:rFonts w:eastAsia="Times New Roman"/>
        </w:rPr>
        <w:t>uzņēmumiem ir ierobežotas iespējas piesaistīt nebanku finansējumu</w:t>
      </w:r>
      <w:r>
        <w:rPr>
          <w:rFonts w:eastAsia="Times New Roman"/>
        </w:rPr>
        <w:t>”.</w:t>
      </w:r>
    </w:p>
    <w:p w14:paraId="4217DFDD" w14:textId="5930E93A" w:rsidR="00CA4FA1" w:rsidRDefault="00C63292" w:rsidP="5F98231E">
      <w:pPr>
        <w:spacing w:line="259" w:lineRule="auto"/>
        <w:ind w:firstLine="720"/>
        <w:jc w:val="both"/>
        <w:rPr>
          <w:rFonts w:eastAsia="Times New Roman"/>
        </w:rPr>
      </w:pPr>
      <w:r>
        <w:rPr>
          <w:rFonts w:eastAsia="Times New Roman"/>
        </w:rPr>
        <w:t xml:space="preserve">Lai risinātu šajā sadaļā identificētos šķēršļus, Finanšu ministrija </w:t>
      </w:r>
      <w:r w:rsidR="00493DFA">
        <w:rPr>
          <w:rFonts w:eastAsia="Times New Roman"/>
        </w:rPr>
        <w:t>izstrādāja</w:t>
      </w:r>
      <w:r w:rsidR="00BA7096">
        <w:rPr>
          <w:rFonts w:eastAsia="Times New Roman"/>
        </w:rPr>
        <w:t xml:space="preserve"> atbilstošus</w:t>
      </w:r>
      <w:r>
        <w:rPr>
          <w:rFonts w:eastAsia="Times New Roman"/>
        </w:rPr>
        <w:t xml:space="preserve"> grozījumus Uzņēmumu ienākuma nodokļa likum</w:t>
      </w:r>
      <w:r w:rsidR="00493DFA">
        <w:rPr>
          <w:rFonts w:eastAsia="Times New Roman"/>
        </w:rPr>
        <w:t>a 10.pantā, kas tika pieņemti Saeimā</w:t>
      </w:r>
      <w:r w:rsidR="00BA7096">
        <w:rPr>
          <w:rFonts w:eastAsia="Times New Roman"/>
        </w:rPr>
        <w:t xml:space="preserve"> 2025. gada 18.decembrī</w:t>
      </w:r>
      <w:r w:rsidR="00774A1D">
        <w:rPr>
          <w:rFonts w:eastAsia="Times New Roman"/>
        </w:rPr>
        <w:t xml:space="preserve"> un ir piemērojami no 2026.gada 1.janvāra.</w:t>
      </w:r>
    </w:p>
    <w:p w14:paraId="2E8D3C72" w14:textId="77777777" w:rsidR="00833EB2" w:rsidRPr="00BD22C3" w:rsidRDefault="00833EB2" w:rsidP="5F98231E">
      <w:pPr>
        <w:spacing w:line="259" w:lineRule="auto"/>
        <w:ind w:firstLine="720"/>
        <w:jc w:val="both"/>
        <w:rPr>
          <w:rFonts w:eastAsia="Times New Roman" w:cs="Times New Roman"/>
          <w:b/>
          <w:bCs/>
          <w:u w:val="single"/>
        </w:rPr>
      </w:pPr>
    </w:p>
    <w:p w14:paraId="7A370DF4" w14:textId="3187313F" w:rsidR="00CA4FA1" w:rsidRPr="00BD22C3" w:rsidRDefault="5290F701"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3.2. Kapitāla tirgus sniegto finansējuma iespēju popularizēšana</w:t>
      </w:r>
      <w:r w:rsidR="26C354EB" w:rsidRPr="5F98231E">
        <w:rPr>
          <w:rFonts w:eastAsia="Times New Roman" w:cs="Times New Roman"/>
          <w:b/>
          <w:bCs/>
          <w:szCs w:val="24"/>
        </w:rPr>
        <w:t xml:space="preserve"> uzņēmumiem</w:t>
      </w:r>
    </w:p>
    <w:p w14:paraId="4DFCF0C8" w14:textId="7DFFAB61" w:rsidR="003655F2" w:rsidRPr="003655F2" w:rsidRDefault="5290F701" w:rsidP="003655F2">
      <w:pPr>
        <w:spacing w:after="160" w:line="257" w:lineRule="auto"/>
        <w:ind w:firstLine="720"/>
        <w:jc w:val="both"/>
        <w:rPr>
          <w:rFonts w:eastAsia="Times New Roman" w:cs="Times New Roman"/>
          <w:szCs w:val="24"/>
        </w:rPr>
      </w:pPr>
      <w:r w:rsidRPr="5F98231E">
        <w:rPr>
          <w:rFonts w:eastAsia="Times New Roman" w:cs="Times New Roman"/>
          <w:szCs w:val="24"/>
        </w:rPr>
        <w:t>Lai arī pēdējo gadu laikā uzņēmēju kopienā izpratne par kapitāla tirgus piedāvātajām iespējām ir uzlabojusies, vienlaikus secināms, ka tā joprojām nav pietiekama un būtu veicami turpmāki pasākumi kapitāla tirgus piedāvāto iespēju popularizēšanai. Latvijas investīciju un attīstības aģentūra ir valsts iestāde, kura aktīvi sadarbojas ar uzņēmējiem un kura var sniegt atbilstošas zināšanas uzņēmējdarbības veikšanai. Īpaša uzmanība būtu pievēršama MVU sektoram, tādēļ šī pasākuma īstenošanai būtu izmantojams Latvijā esoša</w:t>
      </w:r>
      <w:r w:rsidR="007778C9">
        <w:rPr>
          <w:rFonts w:eastAsia="Times New Roman" w:cs="Times New Roman"/>
          <w:szCs w:val="24"/>
        </w:rPr>
        <w:t>i</w:t>
      </w:r>
      <w:r w:rsidRPr="5F98231E">
        <w:rPr>
          <w:rFonts w:eastAsia="Times New Roman" w:cs="Times New Roman"/>
          <w:szCs w:val="24"/>
        </w:rPr>
        <w:t xml:space="preserve">s </w:t>
      </w:r>
      <w:r w:rsidR="00AD6246" w:rsidRPr="00AD6246">
        <w:rPr>
          <w:rFonts w:eastAsia="Times New Roman" w:cs="Times New Roman"/>
          <w:szCs w:val="24"/>
        </w:rPr>
        <w:t>LIAA reģionālo pārstāvniecību tīkls</w:t>
      </w:r>
      <w:r w:rsidRPr="5F98231E">
        <w:rPr>
          <w:rFonts w:eastAsia="Times New Roman" w:cs="Times New Roman"/>
          <w:szCs w:val="24"/>
        </w:rPr>
        <w:t>, kas sniedz atbalstu uzņēmējdarbības uzsākšanai un attīstībai. Būtisks uzsvars informējot uzņēmumus būtu liekams uz to, ka papildus finansējuma piesaistīšanas iespējas būtu meklējamas biznesa attīstībai un izaugsmei</w:t>
      </w:r>
      <w:r w:rsidR="0091300E">
        <w:rPr>
          <w:rFonts w:eastAsia="Times New Roman" w:cs="Times New Roman"/>
          <w:szCs w:val="24"/>
        </w:rPr>
        <w:t xml:space="preserve">, </w:t>
      </w:r>
      <w:r w:rsidR="0091300E" w:rsidRPr="0091300E">
        <w:rPr>
          <w:rFonts w:eastAsia="Times New Roman" w:cs="Times New Roman"/>
          <w:szCs w:val="24"/>
        </w:rPr>
        <w:t>popularizē</w:t>
      </w:r>
      <w:r w:rsidR="0091300E">
        <w:rPr>
          <w:rFonts w:eastAsia="Times New Roman" w:cs="Times New Roman"/>
          <w:szCs w:val="24"/>
        </w:rPr>
        <w:t>jot</w:t>
      </w:r>
      <w:r w:rsidR="0091300E" w:rsidRPr="0091300E">
        <w:rPr>
          <w:rFonts w:eastAsia="Times New Roman" w:cs="Times New Roman"/>
          <w:szCs w:val="24"/>
        </w:rPr>
        <w:t xml:space="preserve"> jau esošas iniciatīvas, kas varētu veicināt uzņēmumu iesaisti kapitāla tirgū. </w:t>
      </w:r>
      <w:r w:rsidR="003655F2" w:rsidRPr="003655F2">
        <w:rPr>
          <w:rFonts w:eastAsia="Times New Roman" w:cs="Times New Roman"/>
          <w:szCs w:val="24"/>
        </w:rPr>
        <w:t>Piem</w:t>
      </w:r>
      <w:r w:rsidR="001A37CE">
        <w:rPr>
          <w:rFonts w:eastAsia="Times New Roman" w:cs="Times New Roman"/>
          <w:szCs w:val="24"/>
        </w:rPr>
        <w:t>ēram</w:t>
      </w:r>
      <w:r w:rsidR="003655F2" w:rsidRPr="003655F2">
        <w:rPr>
          <w:rFonts w:eastAsia="Times New Roman" w:cs="Times New Roman"/>
          <w:szCs w:val="24"/>
        </w:rPr>
        <w:t xml:space="preserve">, </w:t>
      </w:r>
      <w:r w:rsidR="00447CFE">
        <w:rPr>
          <w:rFonts w:eastAsia="Times New Roman" w:cs="Times New Roman"/>
          <w:szCs w:val="24"/>
        </w:rPr>
        <w:t xml:space="preserve">izvietojot </w:t>
      </w:r>
      <w:r w:rsidR="003655F2" w:rsidRPr="003655F2">
        <w:rPr>
          <w:rFonts w:eastAsia="Times New Roman" w:cs="Times New Roman"/>
          <w:szCs w:val="24"/>
        </w:rPr>
        <w:t>informācij</w:t>
      </w:r>
      <w:r w:rsidR="00447CFE">
        <w:rPr>
          <w:rFonts w:eastAsia="Times New Roman" w:cs="Times New Roman"/>
          <w:szCs w:val="24"/>
        </w:rPr>
        <w:t>u</w:t>
      </w:r>
      <w:r w:rsidR="003655F2" w:rsidRPr="003655F2">
        <w:rPr>
          <w:rFonts w:eastAsia="Times New Roman" w:cs="Times New Roman"/>
          <w:szCs w:val="24"/>
        </w:rPr>
        <w:t xml:space="preserve"> par kapitāla tirgu platformā https://business.gov.lv/, </w:t>
      </w:r>
      <w:r w:rsidR="002A0802">
        <w:rPr>
          <w:rFonts w:eastAsia="Times New Roman" w:cs="Times New Roman"/>
          <w:szCs w:val="24"/>
        </w:rPr>
        <w:t>aicinot</w:t>
      </w:r>
      <w:r w:rsidR="003655F2" w:rsidRPr="003655F2">
        <w:rPr>
          <w:rFonts w:eastAsia="Times New Roman" w:cs="Times New Roman"/>
          <w:szCs w:val="24"/>
        </w:rPr>
        <w:t xml:space="preserve"> pieteikties L</w:t>
      </w:r>
      <w:r w:rsidR="00271527">
        <w:rPr>
          <w:rFonts w:eastAsia="Times New Roman" w:cs="Times New Roman"/>
          <w:szCs w:val="24"/>
        </w:rPr>
        <w:t>atvijas Bankas</w:t>
      </w:r>
      <w:r w:rsidR="003655F2" w:rsidRPr="003655F2">
        <w:rPr>
          <w:rFonts w:eastAsia="Times New Roman" w:cs="Times New Roman"/>
          <w:szCs w:val="24"/>
        </w:rPr>
        <w:t xml:space="preserve"> </w:t>
      </w:r>
      <w:r w:rsidR="003655F2" w:rsidRPr="003655F2">
        <w:rPr>
          <w:rFonts w:eastAsia="Times New Roman" w:cs="Times New Roman"/>
          <w:szCs w:val="24"/>
        </w:rPr>
        <w:lastRenderedPageBreak/>
        <w:t>Vērtspapīru smilškastei</w:t>
      </w:r>
      <w:r w:rsidR="00AF48B9">
        <w:rPr>
          <w:rFonts w:eastAsia="Times New Roman" w:cs="Times New Roman"/>
          <w:szCs w:val="24"/>
        </w:rPr>
        <w:t>, kā arī</w:t>
      </w:r>
      <w:r w:rsidR="006F4833">
        <w:rPr>
          <w:rFonts w:eastAsia="Times New Roman" w:cs="Times New Roman"/>
          <w:szCs w:val="24"/>
        </w:rPr>
        <w:t xml:space="preserve"> biržai </w:t>
      </w:r>
      <w:r w:rsidR="00A37187">
        <w:rPr>
          <w:rFonts w:eastAsia="Times New Roman" w:cs="Times New Roman"/>
          <w:szCs w:val="24"/>
        </w:rPr>
        <w:t>Nasdaq Riga l</w:t>
      </w:r>
      <w:r w:rsidR="00014262">
        <w:rPr>
          <w:rFonts w:eastAsia="Times New Roman" w:cs="Times New Roman"/>
          <w:szCs w:val="24"/>
        </w:rPr>
        <w:t xml:space="preserve">īdzdarbojoties </w:t>
      </w:r>
      <w:r w:rsidR="00AF48B9">
        <w:rPr>
          <w:rFonts w:eastAsia="Times New Roman" w:cs="Times New Roman"/>
          <w:szCs w:val="24"/>
        </w:rPr>
        <w:t>informatīvajos pasākumos</w:t>
      </w:r>
      <w:r w:rsidR="00014262">
        <w:rPr>
          <w:rFonts w:eastAsia="Times New Roman" w:cs="Times New Roman"/>
          <w:szCs w:val="24"/>
        </w:rPr>
        <w:t>.</w:t>
      </w:r>
    </w:p>
    <w:p w14:paraId="72C454D5" w14:textId="67F87C1A" w:rsidR="00F63860" w:rsidRDefault="474F3745" w:rsidP="5F98231E">
      <w:pPr>
        <w:spacing w:after="160" w:line="257" w:lineRule="auto"/>
        <w:ind w:firstLine="720"/>
        <w:jc w:val="both"/>
        <w:rPr>
          <w:rFonts w:eastAsia="Times New Roman" w:cs="Times New Roman"/>
          <w:b/>
          <w:bCs/>
          <w:szCs w:val="24"/>
          <w:u w:val="single"/>
        </w:rPr>
      </w:pPr>
      <w:r w:rsidRPr="5F98231E">
        <w:rPr>
          <w:rFonts w:eastAsia="Times New Roman" w:cs="Times New Roman"/>
          <w:b/>
          <w:bCs/>
          <w:szCs w:val="24"/>
          <w:u w:val="single"/>
        </w:rPr>
        <w:t>Priekšlikums:</w:t>
      </w:r>
      <w:r w:rsidR="5290F701" w:rsidRPr="5F98231E">
        <w:rPr>
          <w:rFonts w:eastAsia="Times New Roman" w:cs="Times New Roman"/>
          <w:b/>
          <w:bCs/>
          <w:szCs w:val="24"/>
          <w:u w:val="single"/>
        </w:rPr>
        <w:t xml:space="preserve"> </w:t>
      </w:r>
      <w:r w:rsidR="0088520E" w:rsidRPr="0088520E">
        <w:t xml:space="preserve"> </w:t>
      </w:r>
      <w:r w:rsidR="0088520E" w:rsidRPr="0088520E">
        <w:rPr>
          <w:rFonts w:eastAsia="Times New Roman" w:cs="Times New Roman"/>
          <w:b/>
          <w:bCs/>
          <w:szCs w:val="24"/>
          <w:u w:val="single"/>
        </w:rPr>
        <w:t>Kapitāla tirgus sniegto finansējuma iespēju</w:t>
      </w:r>
      <w:r w:rsidR="009F46BA">
        <w:rPr>
          <w:rFonts w:eastAsia="Times New Roman" w:cs="Times New Roman"/>
          <w:b/>
          <w:bCs/>
          <w:szCs w:val="24"/>
          <w:u w:val="single"/>
        </w:rPr>
        <w:t xml:space="preserve"> un atbalsta mehānismu</w:t>
      </w:r>
      <w:r w:rsidR="0088520E" w:rsidRPr="0088520E">
        <w:rPr>
          <w:rFonts w:eastAsia="Times New Roman" w:cs="Times New Roman"/>
          <w:b/>
          <w:bCs/>
          <w:szCs w:val="24"/>
          <w:u w:val="single"/>
        </w:rPr>
        <w:t xml:space="preserve"> popularizēšana</w:t>
      </w:r>
      <w:r w:rsidR="0088520E" w:rsidRPr="00EE768C">
        <w:rPr>
          <w:rFonts w:eastAsia="Times New Roman" w:cs="Times New Roman"/>
          <w:b/>
          <w:bCs/>
          <w:szCs w:val="24"/>
          <w:u w:val="single"/>
        </w:rPr>
        <w:t xml:space="preserve"> uzņēmumiem</w:t>
      </w:r>
      <w:r w:rsidR="007454E5">
        <w:rPr>
          <w:rFonts w:eastAsia="Times New Roman" w:cs="Times New Roman"/>
          <w:b/>
          <w:bCs/>
          <w:szCs w:val="24"/>
          <w:u w:val="single"/>
        </w:rPr>
        <w:t>.</w:t>
      </w:r>
    </w:p>
    <w:p w14:paraId="22EB3E97" w14:textId="10A2EF4C" w:rsidR="00CA4FA1" w:rsidRPr="00BD22C3" w:rsidRDefault="00CA4FA1" w:rsidP="5F98231E">
      <w:pPr>
        <w:spacing w:after="160" w:line="257" w:lineRule="auto"/>
        <w:ind w:firstLine="720"/>
        <w:jc w:val="both"/>
        <w:rPr>
          <w:rFonts w:eastAsia="Times New Roman" w:cs="Times New Roman"/>
          <w:b/>
          <w:bCs/>
          <w:szCs w:val="24"/>
          <w:u w:val="single"/>
        </w:rPr>
      </w:pPr>
    </w:p>
    <w:p w14:paraId="64539A1F" w14:textId="50833C63" w:rsidR="00CA4FA1" w:rsidRPr="00BD22C3" w:rsidRDefault="23012D65"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 xml:space="preserve">3.3. </w:t>
      </w:r>
      <w:r w:rsidR="5290F701" w:rsidRPr="5F98231E">
        <w:rPr>
          <w:rFonts w:eastAsia="Times New Roman" w:cs="Times New Roman"/>
          <w:b/>
          <w:bCs/>
          <w:szCs w:val="24"/>
        </w:rPr>
        <w:t>Uzņēmumu vadības izglītošana par efektīvu uzņēmumu struktūru, kas nepieciešama investīciju finansēšanai ar kapitāla tirgus instrumentiem</w:t>
      </w:r>
    </w:p>
    <w:p w14:paraId="1F8FEB79" w14:textId="1BAE4EE9" w:rsidR="00CA4FA1" w:rsidRDefault="5290F701" w:rsidP="5F98231E">
      <w:pPr>
        <w:spacing w:after="160" w:line="257" w:lineRule="auto"/>
        <w:ind w:firstLine="720"/>
        <w:jc w:val="both"/>
        <w:rPr>
          <w:rFonts w:eastAsia="Times New Roman" w:cs="Times New Roman"/>
          <w:szCs w:val="24"/>
        </w:rPr>
      </w:pPr>
      <w:r w:rsidRPr="5F98231E">
        <w:rPr>
          <w:rFonts w:eastAsia="Times New Roman" w:cs="Times New Roman"/>
          <w:szCs w:val="24"/>
        </w:rPr>
        <w:t>Aptaujājot kapitāla tirgus dalībniekus, iezīmējas būtiska tendence Latvijas uzņēmumu struktūrā – proti, bieži pastāv situācija, ka uzņēmumam attīstot jaunu darbības virzienu</w:t>
      </w:r>
      <w:r w:rsidR="2DE96F96" w:rsidRPr="5F98231E">
        <w:rPr>
          <w:rFonts w:eastAsia="Times New Roman" w:cs="Times New Roman"/>
          <w:szCs w:val="24"/>
        </w:rPr>
        <w:t>,</w:t>
      </w:r>
      <w:r w:rsidRPr="5F98231E">
        <w:rPr>
          <w:rFonts w:eastAsia="Times New Roman" w:cs="Times New Roman"/>
          <w:szCs w:val="24"/>
        </w:rPr>
        <w:t xml:space="preserve"> tiek radīta jauna juridiskā persona, tādējādi rodas saistīto uzņēmumu tīkls, kas nav uzskatāms par pārskatāmu struktūru vai labu uzņēmējdarbības praksi. Uzņēmumu nolūks šādai rīcībai pamatā ir vēlme diversificēt riskus – attiecīgi, ja kāds no uzņēmuma darbības veidiem izrādās finansiāli neveiksmīgs, necietīs pārējie uzņēmējdarbības veidi. Lai gan šāda rīcība nav aizliegta, tā nav uzskatāma par vēlamu uzņēmējdarbības praksi, proti, piesaistot investīcijas, investoram redzot šādu struktūru var rasties aizdomas un </w:t>
      </w:r>
      <w:r w:rsidR="004F51BC">
        <w:rPr>
          <w:rFonts w:eastAsia="Times New Roman" w:cs="Times New Roman"/>
          <w:szCs w:val="24"/>
        </w:rPr>
        <w:t xml:space="preserve">jautājumi (kā piemēram, </w:t>
      </w:r>
      <w:r w:rsidRPr="5F98231E">
        <w:rPr>
          <w:rFonts w:eastAsia="Times New Roman" w:cs="Times New Roman"/>
          <w:szCs w:val="24"/>
        </w:rPr>
        <w:t xml:space="preserve"> kādēļ šāda struktūra izveidojusies,</w:t>
      </w:r>
      <w:r w:rsidR="00B340B3">
        <w:rPr>
          <w:rFonts w:eastAsia="Times New Roman" w:cs="Times New Roman"/>
          <w:szCs w:val="24"/>
        </w:rPr>
        <w:t xml:space="preserve"> </w:t>
      </w:r>
      <w:r w:rsidR="0033359A">
        <w:rPr>
          <w:rFonts w:eastAsia="Times New Roman" w:cs="Times New Roman"/>
          <w:szCs w:val="24"/>
        </w:rPr>
        <w:t xml:space="preserve">kā notiks lēmumu pieņemšana, </w:t>
      </w:r>
      <w:r w:rsidR="0083747E">
        <w:rPr>
          <w:rFonts w:eastAsia="Times New Roman" w:cs="Times New Roman"/>
          <w:szCs w:val="24"/>
        </w:rPr>
        <w:t xml:space="preserve">vai </w:t>
      </w:r>
      <w:r w:rsidR="00C2400D">
        <w:rPr>
          <w:rFonts w:eastAsia="Times New Roman" w:cs="Times New Roman"/>
          <w:szCs w:val="24"/>
        </w:rPr>
        <w:t>mazākuma akcionāru intereses tiks ievērot</w:t>
      </w:r>
      <w:r w:rsidR="00DF663A">
        <w:rPr>
          <w:rFonts w:eastAsia="Times New Roman" w:cs="Times New Roman"/>
          <w:szCs w:val="24"/>
        </w:rPr>
        <w:t>as un vai dividendes</w:t>
      </w:r>
      <w:r w:rsidR="00391EDB">
        <w:rPr>
          <w:rFonts w:eastAsia="Times New Roman" w:cs="Times New Roman"/>
          <w:szCs w:val="24"/>
        </w:rPr>
        <w:t xml:space="preserve"> tiks</w:t>
      </w:r>
      <w:r w:rsidR="00DF663A">
        <w:rPr>
          <w:rFonts w:eastAsia="Times New Roman" w:cs="Times New Roman"/>
          <w:szCs w:val="24"/>
        </w:rPr>
        <w:t xml:space="preserve"> izmaksātas</w:t>
      </w:r>
      <w:r w:rsidR="004F51BC">
        <w:rPr>
          <w:rFonts w:eastAsia="Times New Roman" w:cs="Times New Roman"/>
          <w:szCs w:val="24"/>
        </w:rPr>
        <w:t>)</w:t>
      </w:r>
      <w:r w:rsidR="00DF663A">
        <w:rPr>
          <w:rFonts w:eastAsia="Times New Roman" w:cs="Times New Roman"/>
          <w:szCs w:val="24"/>
        </w:rPr>
        <w:t>,</w:t>
      </w:r>
      <w:r w:rsidRPr="5F98231E">
        <w:rPr>
          <w:rFonts w:eastAsia="Times New Roman" w:cs="Times New Roman"/>
          <w:szCs w:val="24"/>
        </w:rPr>
        <w:t xml:space="preserve"> kā rezultātā potenciālais investors var izvēlēties šādā uzņēmumā neinvestēt. </w:t>
      </w:r>
    </w:p>
    <w:p w14:paraId="3BD2C99F" w14:textId="35233FDF" w:rsidR="005B5981" w:rsidRPr="00BD22C3" w:rsidRDefault="00723EA1" w:rsidP="5F98231E">
      <w:pPr>
        <w:spacing w:after="160" w:line="257" w:lineRule="auto"/>
        <w:ind w:firstLine="720"/>
        <w:jc w:val="both"/>
        <w:rPr>
          <w:rFonts w:eastAsia="Times New Roman" w:cs="Times New Roman"/>
          <w:szCs w:val="24"/>
        </w:rPr>
      </w:pPr>
      <w:r w:rsidRPr="00723EA1">
        <w:rPr>
          <w:rFonts w:eastAsia="Times New Roman" w:cs="Times New Roman"/>
          <w:szCs w:val="24"/>
        </w:rPr>
        <w:t xml:space="preserve">Praksē parasti investīciju banka/konsultants ir tas, kurš palīdz uzņēmumam izveidot optimālu struktūru, kas apmierina investoru vēlmes un ir atbilstošs arī uzņēmuma vajadzībām. </w:t>
      </w:r>
      <w:r w:rsidR="00EF7948">
        <w:rPr>
          <w:rFonts w:eastAsia="Times New Roman" w:cs="Times New Roman"/>
          <w:szCs w:val="24"/>
        </w:rPr>
        <w:t xml:space="preserve">Savukārt, Latvijas Banka </w:t>
      </w:r>
      <w:r w:rsidR="00AA2C79">
        <w:rPr>
          <w:rFonts w:eastAsia="Times New Roman" w:cs="Times New Roman"/>
          <w:szCs w:val="24"/>
        </w:rPr>
        <w:t xml:space="preserve">sniegtu atbalstu jautājuma aktualizēšanā </w:t>
      </w:r>
      <w:r w:rsidR="002D5C93">
        <w:rPr>
          <w:rFonts w:eastAsia="Times New Roman" w:cs="Times New Roman"/>
          <w:szCs w:val="24"/>
        </w:rPr>
        <w:t>plašākā sabiedrībā</w:t>
      </w:r>
      <w:r w:rsidR="00AA2C79">
        <w:rPr>
          <w:rFonts w:eastAsia="Times New Roman" w:cs="Times New Roman"/>
          <w:szCs w:val="24"/>
        </w:rPr>
        <w:t>.</w:t>
      </w:r>
    </w:p>
    <w:p w14:paraId="6FBED449" w14:textId="742B4169" w:rsidR="00CA4FA1" w:rsidRPr="00BD22C3" w:rsidRDefault="407C5897" w:rsidP="5F98231E">
      <w:pPr>
        <w:spacing w:after="160" w:line="257" w:lineRule="auto"/>
        <w:jc w:val="both"/>
        <w:rPr>
          <w:rFonts w:eastAsia="Times New Roman" w:cs="Times New Roman"/>
          <w:b/>
          <w:bCs/>
          <w:szCs w:val="24"/>
          <w:u w:val="single"/>
        </w:rPr>
      </w:pPr>
      <w:r w:rsidRPr="5F98231E">
        <w:rPr>
          <w:rFonts w:eastAsia="Times New Roman" w:cs="Times New Roman"/>
          <w:b/>
          <w:bCs/>
          <w:szCs w:val="24"/>
          <w:u w:val="single"/>
        </w:rPr>
        <w:t>Priekšlikums</w:t>
      </w:r>
      <w:r w:rsidR="5290F701" w:rsidRPr="5F98231E">
        <w:rPr>
          <w:rFonts w:eastAsia="Times New Roman" w:cs="Times New Roman"/>
          <w:b/>
          <w:bCs/>
          <w:szCs w:val="24"/>
          <w:u w:val="single"/>
        </w:rPr>
        <w:t xml:space="preserve">: </w:t>
      </w:r>
      <w:r w:rsidR="003C23E8">
        <w:rPr>
          <w:rFonts w:eastAsia="Times New Roman" w:cs="Times New Roman"/>
          <w:b/>
          <w:bCs/>
          <w:szCs w:val="24"/>
          <w:u w:val="single"/>
        </w:rPr>
        <w:t>Latvijas Bankai</w:t>
      </w:r>
      <w:r w:rsidR="000D5269">
        <w:rPr>
          <w:rFonts w:eastAsia="Times New Roman" w:cs="Times New Roman"/>
          <w:b/>
          <w:bCs/>
          <w:szCs w:val="24"/>
          <w:u w:val="single"/>
        </w:rPr>
        <w:t xml:space="preserve"> sniegt atbalstu</w:t>
      </w:r>
      <w:r w:rsidR="00D16228">
        <w:rPr>
          <w:rFonts w:eastAsia="Times New Roman" w:cs="Times New Roman"/>
          <w:b/>
          <w:bCs/>
          <w:szCs w:val="24"/>
          <w:u w:val="single"/>
        </w:rPr>
        <w:t xml:space="preserve"> jautājuma aktualizēšanā</w:t>
      </w:r>
      <w:r w:rsidR="000D5269">
        <w:rPr>
          <w:rFonts w:eastAsia="Times New Roman" w:cs="Times New Roman"/>
          <w:b/>
          <w:bCs/>
          <w:szCs w:val="24"/>
          <w:u w:val="single"/>
        </w:rPr>
        <w:t xml:space="preserve">, </w:t>
      </w:r>
      <w:r w:rsidR="5290F701" w:rsidRPr="5F98231E">
        <w:rPr>
          <w:rFonts w:eastAsia="Times New Roman" w:cs="Times New Roman"/>
          <w:b/>
          <w:bCs/>
          <w:szCs w:val="24"/>
          <w:u w:val="single"/>
        </w:rPr>
        <w:t>informējot uzņēmumus par optimālas uzņēmuma struktūras nozīmi investīciju piesaistei</w:t>
      </w:r>
      <w:r w:rsidR="000D5269">
        <w:rPr>
          <w:rFonts w:eastAsia="Times New Roman" w:cs="Times New Roman"/>
          <w:b/>
          <w:bCs/>
          <w:szCs w:val="24"/>
          <w:u w:val="single"/>
        </w:rPr>
        <w:t>.</w:t>
      </w:r>
      <w:r w:rsidR="5290F701" w:rsidRPr="5F98231E">
        <w:rPr>
          <w:rFonts w:eastAsia="Times New Roman" w:cs="Times New Roman"/>
          <w:b/>
          <w:bCs/>
          <w:szCs w:val="24"/>
          <w:u w:val="single"/>
        </w:rPr>
        <w:t xml:space="preserve"> </w:t>
      </w:r>
    </w:p>
    <w:p w14:paraId="1C31A59D" w14:textId="77777777" w:rsidR="006B4FD2" w:rsidRDefault="0FB8A2B9" w:rsidP="5F98231E">
      <w:pPr>
        <w:spacing w:after="160" w:line="257" w:lineRule="auto"/>
        <w:ind w:firstLine="720"/>
        <w:jc w:val="both"/>
        <w:rPr>
          <w:rFonts w:ascii="Aptos" w:eastAsia="Aptos" w:hAnsi="Aptos" w:cs="Aptos"/>
          <w:b/>
          <w:bCs/>
          <w:sz w:val="22"/>
        </w:rPr>
      </w:pPr>
      <w:r w:rsidRPr="5F98231E">
        <w:rPr>
          <w:rFonts w:ascii="Aptos" w:eastAsia="Aptos" w:hAnsi="Aptos" w:cs="Aptos"/>
          <w:b/>
          <w:bCs/>
          <w:sz w:val="22"/>
        </w:rPr>
        <w:t xml:space="preserve"> </w:t>
      </w:r>
    </w:p>
    <w:p w14:paraId="4CF191F2" w14:textId="04145C9D" w:rsidR="00CA4FA1" w:rsidRPr="005112BF" w:rsidRDefault="0FB8A2B9" w:rsidP="5F98231E">
      <w:pPr>
        <w:spacing w:after="160" w:line="257" w:lineRule="auto"/>
        <w:ind w:firstLine="720"/>
        <w:jc w:val="both"/>
        <w:rPr>
          <w:rFonts w:eastAsia="Times New Roman" w:cs="Times New Roman"/>
          <w:i/>
          <w:iCs/>
          <w:szCs w:val="24"/>
        </w:rPr>
      </w:pPr>
      <w:r w:rsidRPr="5F98231E">
        <w:rPr>
          <w:rFonts w:eastAsia="Times New Roman" w:cs="Times New Roman"/>
          <w:b/>
          <w:bCs/>
          <w:szCs w:val="24"/>
        </w:rPr>
        <w:t xml:space="preserve">3.4. </w:t>
      </w:r>
      <w:r w:rsidR="00E877EF">
        <w:rPr>
          <w:rFonts w:eastAsia="Times New Roman" w:cs="Times New Roman"/>
          <w:b/>
          <w:bCs/>
          <w:szCs w:val="24"/>
        </w:rPr>
        <w:t>Plašāka starptautisko grāmatvedības standartu izmantošana</w:t>
      </w:r>
    </w:p>
    <w:p w14:paraId="4CF45C02" w14:textId="14772A44" w:rsidR="00786EFA" w:rsidRDefault="00E35B6C" w:rsidP="009E11A2">
      <w:pPr>
        <w:spacing w:after="160" w:line="257" w:lineRule="auto"/>
        <w:ind w:firstLine="720"/>
        <w:jc w:val="both"/>
        <w:rPr>
          <w:rFonts w:eastAsia="Times New Roman" w:cs="Times New Roman"/>
          <w:szCs w:val="24"/>
        </w:rPr>
      </w:pPr>
      <w:r>
        <w:rPr>
          <w:rFonts w:eastAsia="Times New Roman" w:cs="Times New Roman"/>
          <w:szCs w:val="24"/>
        </w:rPr>
        <w:t>Tika izvērtēta iespēja</w:t>
      </w:r>
      <w:r w:rsidR="00A61FE2">
        <w:rPr>
          <w:rFonts w:eastAsia="Times New Roman" w:cs="Times New Roman"/>
          <w:szCs w:val="24"/>
        </w:rPr>
        <w:t xml:space="preserve"> </w:t>
      </w:r>
      <w:r w:rsidR="00645C8C">
        <w:rPr>
          <w:rFonts w:eastAsia="Times New Roman" w:cs="Times New Roman"/>
          <w:szCs w:val="24"/>
        </w:rPr>
        <w:t>plašāk piemērot s</w:t>
      </w:r>
      <w:r w:rsidR="008E39B0" w:rsidRPr="008E39B0">
        <w:rPr>
          <w:rFonts w:eastAsia="Times New Roman" w:cs="Times New Roman"/>
          <w:szCs w:val="24"/>
        </w:rPr>
        <w:t xml:space="preserve">tarptautisko </w:t>
      </w:r>
      <w:r w:rsidR="00A61FE2">
        <w:rPr>
          <w:rFonts w:eastAsia="Times New Roman" w:cs="Times New Roman"/>
          <w:szCs w:val="24"/>
        </w:rPr>
        <w:t>grāmatvedības</w:t>
      </w:r>
      <w:r w:rsidR="004825B7">
        <w:rPr>
          <w:rFonts w:eastAsia="Times New Roman" w:cs="Times New Roman"/>
          <w:szCs w:val="24"/>
        </w:rPr>
        <w:t xml:space="preserve"> (finanšu</w:t>
      </w:r>
      <w:r w:rsidR="009E5342">
        <w:rPr>
          <w:rFonts w:eastAsia="Times New Roman" w:cs="Times New Roman"/>
          <w:szCs w:val="24"/>
        </w:rPr>
        <w:t xml:space="preserve"> pārskatu)</w:t>
      </w:r>
      <w:r w:rsidR="008E39B0" w:rsidRPr="008E39B0">
        <w:rPr>
          <w:rFonts w:eastAsia="Times New Roman" w:cs="Times New Roman"/>
          <w:szCs w:val="24"/>
        </w:rPr>
        <w:t xml:space="preserve"> standartu</w:t>
      </w:r>
      <w:r w:rsidR="00645C8C">
        <w:rPr>
          <w:rFonts w:eastAsia="Times New Roman" w:cs="Times New Roman"/>
          <w:szCs w:val="24"/>
        </w:rPr>
        <w:t xml:space="preserve"> (</w:t>
      </w:r>
      <w:r w:rsidR="00811103" w:rsidRPr="00F75048">
        <w:rPr>
          <w:rFonts w:eastAsia="Times New Roman" w:cs="Times New Roman"/>
          <w:szCs w:val="24"/>
        </w:rPr>
        <w:t>turpmāk – starptautiskie grāmatvedības standarti</w:t>
      </w:r>
      <w:r w:rsidR="00645C8C">
        <w:rPr>
          <w:rFonts w:eastAsia="Times New Roman" w:cs="Times New Roman"/>
          <w:szCs w:val="24"/>
        </w:rPr>
        <w:t>)</w:t>
      </w:r>
      <w:r w:rsidR="00F646ED">
        <w:rPr>
          <w:rFonts w:eastAsia="Times New Roman" w:cs="Times New Roman"/>
          <w:szCs w:val="24"/>
        </w:rPr>
        <w:t xml:space="preserve">, kas </w:t>
      </w:r>
      <w:r w:rsidR="003F471C">
        <w:rPr>
          <w:rFonts w:eastAsia="Times New Roman" w:cs="Times New Roman"/>
          <w:szCs w:val="24"/>
        </w:rPr>
        <w:t xml:space="preserve">varētu </w:t>
      </w:r>
      <w:r w:rsidR="00FE7D2C" w:rsidRPr="00FE7D2C">
        <w:rPr>
          <w:rFonts w:eastAsia="Times New Roman" w:cs="Times New Roman"/>
          <w:szCs w:val="24"/>
        </w:rPr>
        <w:t>palīdz</w:t>
      </w:r>
      <w:r w:rsidR="003F471C">
        <w:rPr>
          <w:rFonts w:eastAsia="Times New Roman" w:cs="Times New Roman"/>
          <w:szCs w:val="24"/>
        </w:rPr>
        <w:t>ēt</w:t>
      </w:r>
      <w:r w:rsidR="00FE7D2C" w:rsidRPr="00FE7D2C">
        <w:rPr>
          <w:rFonts w:eastAsia="Times New Roman" w:cs="Times New Roman"/>
          <w:szCs w:val="24"/>
        </w:rPr>
        <w:t xml:space="preserve"> piesaistīt investorus, paplašināties starptautiski un uzlabot uzņēmuma vadību</w:t>
      </w:r>
      <w:r w:rsidR="00BD75C3">
        <w:rPr>
          <w:rFonts w:eastAsia="Times New Roman" w:cs="Times New Roman"/>
          <w:szCs w:val="24"/>
        </w:rPr>
        <w:t xml:space="preserve">, savlaicīgi uzsākt </w:t>
      </w:r>
      <w:r w:rsidR="00586D58">
        <w:rPr>
          <w:rFonts w:eastAsia="Times New Roman" w:cs="Times New Roman"/>
          <w:szCs w:val="24"/>
        </w:rPr>
        <w:t>gada pārskatu sagatavošanu atbilstoši regulētā saraksta prasībām</w:t>
      </w:r>
      <w:r w:rsidR="00FE7D2C" w:rsidRPr="00FE7D2C">
        <w:rPr>
          <w:rFonts w:eastAsia="Times New Roman" w:cs="Times New Roman"/>
          <w:szCs w:val="24"/>
        </w:rPr>
        <w:t>.</w:t>
      </w:r>
      <w:r w:rsidR="009B3ED6">
        <w:rPr>
          <w:rFonts w:eastAsia="Times New Roman" w:cs="Times New Roman"/>
          <w:szCs w:val="24"/>
        </w:rPr>
        <w:t xml:space="preserve"> </w:t>
      </w:r>
    </w:p>
    <w:p w14:paraId="69525B20" w14:textId="44D11E1B" w:rsidR="00904197" w:rsidRDefault="00786EFA" w:rsidP="009E11A2">
      <w:pPr>
        <w:spacing w:after="160" w:line="257" w:lineRule="auto"/>
        <w:ind w:firstLine="720"/>
        <w:jc w:val="both"/>
        <w:rPr>
          <w:rFonts w:eastAsia="Times New Roman" w:cs="Times New Roman"/>
          <w:szCs w:val="24"/>
        </w:rPr>
      </w:pPr>
      <w:r>
        <w:rPr>
          <w:rFonts w:eastAsia="Times New Roman" w:cs="Times New Roman"/>
          <w:szCs w:val="24"/>
        </w:rPr>
        <w:t xml:space="preserve">Latvijā </w:t>
      </w:r>
      <w:r w:rsidR="00586F36" w:rsidRPr="00586F36">
        <w:rPr>
          <w:rFonts w:eastAsia="Times New Roman" w:cs="Times New Roman"/>
          <w:szCs w:val="24"/>
        </w:rPr>
        <w:t xml:space="preserve"> starptautisko </w:t>
      </w:r>
      <w:r w:rsidR="00811103">
        <w:rPr>
          <w:rFonts w:eastAsia="Times New Roman" w:cs="Times New Roman"/>
          <w:szCs w:val="24"/>
        </w:rPr>
        <w:t>grāmatvedības</w:t>
      </w:r>
      <w:r w:rsidR="00586F36" w:rsidRPr="00586F36">
        <w:rPr>
          <w:rFonts w:eastAsia="Times New Roman" w:cs="Times New Roman"/>
          <w:szCs w:val="24"/>
        </w:rPr>
        <w:t xml:space="preserve"> standartu piemērošana ir obligāta </w:t>
      </w:r>
      <w:r w:rsidRPr="00586F36">
        <w:rPr>
          <w:rFonts w:eastAsia="Times New Roman" w:cs="Times New Roman"/>
          <w:szCs w:val="24"/>
        </w:rPr>
        <w:t>finanšu iestādēm</w:t>
      </w:r>
      <w:r w:rsidR="00811103">
        <w:rPr>
          <w:rFonts w:eastAsia="Times New Roman" w:cs="Times New Roman"/>
          <w:szCs w:val="24"/>
        </w:rPr>
        <w:t xml:space="preserve"> </w:t>
      </w:r>
      <w:r>
        <w:rPr>
          <w:rFonts w:eastAsia="Times New Roman" w:cs="Times New Roman"/>
          <w:szCs w:val="24"/>
        </w:rPr>
        <w:t xml:space="preserve">un </w:t>
      </w:r>
      <w:r w:rsidR="00586F36" w:rsidRPr="00586F36">
        <w:rPr>
          <w:rFonts w:eastAsia="Times New Roman" w:cs="Times New Roman"/>
          <w:szCs w:val="24"/>
        </w:rPr>
        <w:t>uzņēmumiem, kas savus vērtspapīrus tirgo Regulētajā tirgū</w:t>
      </w:r>
      <w:r w:rsidR="00811103">
        <w:rPr>
          <w:rFonts w:eastAsia="Times New Roman" w:cs="Times New Roman"/>
          <w:szCs w:val="24"/>
        </w:rPr>
        <w:t>.</w:t>
      </w:r>
    </w:p>
    <w:p w14:paraId="27E7C9F8" w14:textId="257CDC5C" w:rsidR="00786EFA" w:rsidRDefault="00786EFA" w:rsidP="00786EFA">
      <w:pPr>
        <w:spacing w:after="160" w:line="257" w:lineRule="auto"/>
        <w:ind w:firstLine="720"/>
        <w:jc w:val="both"/>
        <w:rPr>
          <w:rFonts w:eastAsia="Times New Roman" w:cs="Times New Roman"/>
          <w:szCs w:val="24"/>
        </w:rPr>
      </w:pPr>
      <w:r>
        <w:rPr>
          <w:rFonts w:eastAsia="Times New Roman" w:cs="Times New Roman"/>
          <w:szCs w:val="24"/>
        </w:rPr>
        <w:t>Tāpat arī s</w:t>
      </w:r>
      <w:r w:rsidRPr="00057A72">
        <w:rPr>
          <w:rFonts w:eastAsia="Times New Roman" w:cs="Times New Roman"/>
          <w:szCs w:val="24"/>
        </w:rPr>
        <w:t>askaņā ar Gada pārskatu un konsolidēto gada pārskatu likum</w:t>
      </w:r>
      <w:r>
        <w:rPr>
          <w:rFonts w:eastAsia="Times New Roman" w:cs="Times New Roman"/>
          <w:szCs w:val="24"/>
        </w:rPr>
        <w:t>ā</w:t>
      </w:r>
      <w:r w:rsidRPr="00057A72">
        <w:rPr>
          <w:rFonts w:eastAsia="Times New Roman" w:cs="Times New Roman"/>
          <w:szCs w:val="24"/>
        </w:rPr>
        <w:t xml:space="preserve">  noteikto kapitālsabiedrība, tai skaitā valsts kapitālsabiedrība, kura atbilstoši šā likuma nosacījumiem </w:t>
      </w:r>
      <w:r w:rsidRPr="009B3599">
        <w:rPr>
          <w:rFonts w:eastAsia="Times New Roman" w:cs="Times New Roman"/>
          <w:b/>
          <w:bCs/>
          <w:szCs w:val="24"/>
        </w:rPr>
        <w:t>ir liela sabiedrība</w:t>
      </w:r>
      <w:r w:rsidRPr="00057A72">
        <w:rPr>
          <w:rFonts w:eastAsia="Times New Roman" w:cs="Times New Roman"/>
          <w:szCs w:val="24"/>
        </w:rPr>
        <w:t>, var izvēlēties sagatavot gada pārskatu atbilstoši starptautiskajiem grāmatvedības standartiem</w:t>
      </w:r>
      <w:r>
        <w:rPr>
          <w:rFonts w:eastAsia="Times New Roman" w:cs="Times New Roman"/>
          <w:szCs w:val="24"/>
        </w:rPr>
        <w:t xml:space="preserve">, </w:t>
      </w:r>
      <w:r w:rsidRPr="000B0A61">
        <w:rPr>
          <w:rFonts w:eastAsia="Times New Roman" w:cs="Times New Roman"/>
          <w:szCs w:val="24"/>
        </w:rPr>
        <w:t>kas pieņemti saskaņā ar Eiropas  Komisijas 2023. gada 13. septembra regulu (ES) Nr. 2023/1803, ar ko pieņem vairākus starptautiskos grāmatvedības standartus saskaņā ar Eiropas Parlamenta un Padomes regulu (EK) Nr. 1606/2002</w:t>
      </w:r>
      <w:r w:rsidRPr="00057A72">
        <w:rPr>
          <w:rFonts w:eastAsia="Times New Roman" w:cs="Times New Roman"/>
          <w:szCs w:val="24"/>
        </w:rPr>
        <w:t xml:space="preserve">. </w:t>
      </w:r>
    </w:p>
    <w:tbl>
      <w:tblPr>
        <w:tblStyle w:val="TableGrid"/>
        <w:tblW w:w="5000" w:type="pct"/>
        <w:tblLook w:val="04A0" w:firstRow="1" w:lastRow="0" w:firstColumn="1" w:lastColumn="0" w:noHBand="0" w:noVBand="1"/>
      </w:tblPr>
      <w:tblGrid>
        <w:gridCol w:w="2074"/>
        <w:gridCol w:w="2074"/>
        <w:gridCol w:w="2074"/>
        <w:gridCol w:w="2074"/>
      </w:tblGrid>
      <w:tr w:rsidR="001B336E" w14:paraId="43000541" w14:textId="77777777" w:rsidTr="001B336E">
        <w:tc>
          <w:tcPr>
            <w:tcW w:w="1250" w:type="pct"/>
          </w:tcPr>
          <w:p w14:paraId="57286E65" w14:textId="77777777" w:rsidR="001B336E" w:rsidRPr="00C713F5" w:rsidRDefault="001B336E" w:rsidP="005825CD">
            <w:pPr>
              <w:spacing w:after="160" w:line="257" w:lineRule="auto"/>
              <w:jc w:val="both"/>
              <w:rPr>
                <w:rFonts w:eastAsia="Times New Roman"/>
                <w:b/>
                <w:bCs/>
                <w:sz w:val="20"/>
                <w:szCs w:val="20"/>
              </w:rPr>
            </w:pPr>
          </w:p>
        </w:tc>
        <w:tc>
          <w:tcPr>
            <w:tcW w:w="1250" w:type="pct"/>
          </w:tcPr>
          <w:p w14:paraId="451FFD3F" w14:textId="47702FDA" w:rsidR="001B336E" w:rsidRPr="00C713F5" w:rsidRDefault="001B336E" w:rsidP="005825CD">
            <w:pPr>
              <w:spacing w:after="160" w:line="257" w:lineRule="auto"/>
              <w:jc w:val="both"/>
              <w:rPr>
                <w:rFonts w:eastAsia="Times New Roman"/>
                <w:b/>
                <w:bCs/>
                <w:sz w:val="20"/>
                <w:szCs w:val="20"/>
              </w:rPr>
            </w:pPr>
            <w:r w:rsidRPr="00C713F5">
              <w:rPr>
                <w:rFonts w:eastAsia="Times New Roman"/>
                <w:b/>
                <w:bCs/>
                <w:sz w:val="20"/>
                <w:szCs w:val="20"/>
              </w:rPr>
              <w:t>2022</w:t>
            </w:r>
          </w:p>
        </w:tc>
        <w:tc>
          <w:tcPr>
            <w:tcW w:w="1250" w:type="pct"/>
          </w:tcPr>
          <w:p w14:paraId="77432A95" w14:textId="737DD5B0" w:rsidR="001B336E" w:rsidRPr="00C713F5" w:rsidRDefault="001B336E" w:rsidP="005825CD">
            <w:pPr>
              <w:spacing w:after="160" w:line="257" w:lineRule="auto"/>
              <w:jc w:val="both"/>
              <w:rPr>
                <w:rFonts w:eastAsia="Times New Roman"/>
                <w:b/>
                <w:bCs/>
                <w:sz w:val="20"/>
                <w:szCs w:val="20"/>
              </w:rPr>
            </w:pPr>
            <w:r w:rsidRPr="00C713F5">
              <w:rPr>
                <w:rFonts w:eastAsia="Times New Roman"/>
                <w:b/>
                <w:bCs/>
                <w:sz w:val="20"/>
                <w:szCs w:val="20"/>
              </w:rPr>
              <w:t>2023</w:t>
            </w:r>
          </w:p>
        </w:tc>
        <w:tc>
          <w:tcPr>
            <w:tcW w:w="1250" w:type="pct"/>
          </w:tcPr>
          <w:p w14:paraId="66C58805" w14:textId="75A0949D" w:rsidR="001B336E" w:rsidRPr="00C713F5" w:rsidRDefault="00DB75FD" w:rsidP="005825CD">
            <w:pPr>
              <w:spacing w:after="160" w:line="257" w:lineRule="auto"/>
              <w:jc w:val="both"/>
              <w:rPr>
                <w:rFonts w:eastAsia="Times New Roman"/>
                <w:b/>
                <w:bCs/>
                <w:sz w:val="20"/>
                <w:szCs w:val="20"/>
              </w:rPr>
            </w:pPr>
            <w:r w:rsidRPr="00C713F5">
              <w:rPr>
                <w:rFonts w:eastAsia="Times New Roman"/>
                <w:b/>
                <w:bCs/>
                <w:sz w:val="20"/>
                <w:szCs w:val="20"/>
              </w:rPr>
              <w:t>2024</w:t>
            </w:r>
            <w:r w:rsidR="00CF6F31" w:rsidRPr="00C713F5">
              <w:rPr>
                <w:rFonts w:eastAsia="Times New Roman"/>
                <w:b/>
                <w:bCs/>
                <w:sz w:val="20"/>
                <w:szCs w:val="20"/>
              </w:rPr>
              <w:t>*</w:t>
            </w:r>
          </w:p>
        </w:tc>
      </w:tr>
      <w:tr w:rsidR="001B336E" w14:paraId="2F37D2F0" w14:textId="77777777" w:rsidTr="001B336E">
        <w:tc>
          <w:tcPr>
            <w:tcW w:w="1250" w:type="pct"/>
          </w:tcPr>
          <w:p w14:paraId="72D6557E" w14:textId="19020262" w:rsidR="001B336E" w:rsidRPr="00C713F5" w:rsidRDefault="00DB75FD" w:rsidP="005825CD">
            <w:pPr>
              <w:spacing w:after="160" w:line="257" w:lineRule="auto"/>
              <w:jc w:val="both"/>
              <w:rPr>
                <w:rFonts w:eastAsia="Times New Roman"/>
                <w:sz w:val="20"/>
                <w:szCs w:val="20"/>
              </w:rPr>
            </w:pPr>
            <w:r w:rsidRPr="00C713F5">
              <w:rPr>
                <w:rFonts w:eastAsia="Times New Roman"/>
                <w:sz w:val="20"/>
                <w:szCs w:val="20"/>
              </w:rPr>
              <w:t>Nelikvidētu uzņēmumu gada pārskati</w:t>
            </w:r>
            <w:r w:rsidR="00F57A21" w:rsidRPr="00C713F5">
              <w:rPr>
                <w:rFonts w:eastAsia="Times New Roman"/>
                <w:sz w:val="20"/>
                <w:szCs w:val="20"/>
              </w:rPr>
              <w:t>, skaits</w:t>
            </w:r>
          </w:p>
        </w:tc>
        <w:tc>
          <w:tcPr>
            <w:tcW w:w="1250" w:type="pct"/>
          </w:tcPr>
          <w:p w14:paraId="239ABC89" w14:textId="567E2B58"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107590</w:t>
            </w:r>
          </w:p>
        </w:tc>
        <w:tc>
          <w:tcPr>
            <w:tcW w:w="1250" w:type="pct"/>
          </w:tcPr>
          <w:p w14:paraId="023F8DB1" w14:textId="51FB256A"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110797</w:t>
            </w:r>
          </w:p>
        </w:tc>
        <w:tc>
          <w:tcPr>
            <w:tcW w:w="1250" w:type="pct"/>
          </w:tcPr>
          <w:p w14:paraId="5B2B826F" w14:textId="6B26BFD0"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105652</w:t>
            </w:r>
          </w:p>
        </w:tc>
      </w:tr>
      <w:tr w:rsidR="001B336E" w14:paraId="0489143F" w14:textId="77777777" w:rsidTr="001B336E">
        <w:tc>
          <w:tcPr>
            <w:tcW w:w="1250" w:type="pct"/>
          </w:tcPr>
          <w:p w14:paraId="0BA42046" w14:textId="61A9CD13" w:rsidR="001B336E" w:rsidRPr="00C713F5" w:rsidRDefault="00DB75FD" w:rsidP="005825CD">
            <w:pPr>
              <w:spacing w:after="160" w:line="257" w:lineRule="auto"/>
              <w:jc w:val="both"/>
              <w:rPr>
                <w:rFonts w:eastAsia="Times New Roman"/>
                <w:sz w:val="20"/>
                <w:szCs w:val="20"/>
              </w:rPr>
            </w:pPr>
            <w:r w:rsidRPr="00C713F5">
              <w:rPr>
                <w:rFonts w:eastAsia="Times New Roman"/>
                <w:sz w:val="20"/>
                <w:szCs w:val="20"/>
              </w:rPr>
              <w:t>Uzņēmumu gada pārskati pēc IFRS</w:t>
            </w:r>
            <w:r w:rsidR="00F57A21" w:rsidRPr="00C713F5">
              <w:rPr>
                <w:rFonts w:eastAsia="Times New Roman"/>
                <w:sz w:val="20"/>
                <w:szCs w:val="20"/>
              </w:rPr>
              <w:t>, skaits</w:t>
            </w:r>
          </w:p>
        </w:tc>
        <w:tc>
          <w:tcPr>
            <w:tcW w:w="1250" w:type="pct"/>
          </w:tcPr>
          <w:p w14:paraId="3276E42A" w14:textId="46F6E497"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140</w:t>
            </w:r>
          </w:p>
        </w:tc>
        <w:tc>
          <w:tcPr>
            <w:tcW w:w="1250" w:type="pct"/>
          </w:tcPr>
          <w:p w14:paraId="161BE4B8" w14:textId="23E19841"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149</w:t>
            </w:r>
          </w:p>
        </w:tc>
        <w:tc>
          <w:tcPr>
            <w:tcW w:w="1250" w:type="pct"/>
          </w:tcPr>
          <w:p w14:paraId="472228EE" w14:textId="252804A6"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123</w:t>
            </w:r>
          </w:p>
        </w:tc>
      </w:tr>
      <w:tr w:rsidR="001B336E" w14:paraId="18F8581E" w14:textId="77777777" w:rsidTr="001B336E">
        <w:tc>
          <w:tcPr>
            <w:tcW w:w="1250" w:type="pct"/>
          </w:tcPr>
          <w:p w14:paraId="19DA69F0" w14:textId="5FCF65E4" w:rsidR="001B336E" w:rsidRPr="00C713F5" w:rsidRDefault="00DB75FD" w:rsidP="005825CD">
            <w:pPr>
              <w:spacing w:after="160" w:line="257" w:lineRule="auto"/>
              <w:jc w:val="both"/>
              <w:rPr>
                <w:rFonts w:eastAsia="Times New Roman"/>
                <w:sz w:val="20"/>
                <w:szCs w:val="20"/>
              </w:rPr>
            </w:pPr>
            <w:r w:rsidRPr="00C713F5">
              <w:rPr>
                <w:rFonts w:eastAsia="Times New Roman"/>
                <w:sz w:val="20"/>
                <w:szCs w:val="20"/>
              </w:rPr>
              <w:t>IFRS īpatsvars</w:t>
            </w:r>
            <w:r w:rsidR="0059196B" w:rsidRPr="00C713F5">
              <w:rPr>
                <w:rFonts w:eastAsia="Times New Roman"/>
                <w:sz w:val="20"/>
                <w:szCs w:val="20"/>
              </w:rPr>
              <w:t xml:space="preserve"> no kopējā uzņēmumu skaita</w:t>
            </w:r>
          </w:p>
        </w:tc>
        <w:tc>
          <w:tcPr>
            <w:tcW w:w="1250" w:type="pct"/>
          </w:tcPr>
          <w:p w14:paraId="6B1EE6BD" w14:textId="4FFB1EDD"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0,130%</w:t>
            </w:r>
          </w:p>
        </w:tc>
        <w:tc>
          <w:tcPr>
            <w:tcW w:w="1250" w:type="pct"/>
          </w:tcPr>
          <w:p w14:paraId="1B86D69A" w14:textId="7DB23227"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0,134%</w:t>
            </w:r>
          </w:p>
        </w:tc>
        <w:tc>
          <w:tcPr>
            <w:tcW w:w="1250" w:type="pct"/>
          </w:tcPr>
          <w:p w14:paraId="1EE381D4" w14:textId="307825DD" w:rsidR="001B336E" w:rsidRPr="00C713F5" w:rsidRDefault="008C3541" w:rsidP="005825CD">
            <w:pPr>
              <w:spacing w:after="160" w:line="257" w:lineRule="auto"/>
              <w:jc w:val="both"/>
              <w:rPr>
                <w:rFonts w:eastAsia="Times New Roman"/>
                <w:sz w:val="20"/>
                <w:szCs w:val="20"/>
              </w:rPr>
            </w:pPr>
            <w:r w:rsidRPr="00C713F5">
              <w:rPr>
                <w:rFonts w:eastAsia="Times New Roman"/>
                <w:sz w:val="20"/>
                <w:szCs w:val="20"/>
              </w:rPr>
              <w:t>0,116%</w:t>
            </w:r>
          </w:p>
        </w:tc>
      </w:tr>
    </w:tbl>
    <w:p w14:paraId="4A14D5F2" w14:textId="32665BAC" w:rsidR="005825CD" w:rsidRPr="00C713F5" w:rsidRDefault="00CF6F31" w:rsidP="005825CD">
      <w:pPr>
        <w:spacing w:after="160" w:line="257" w:lineRule="auto"/>
        <w:ind w:firstLine="720"/>
        <w:jc w:val="both"/>
        <w:rPr>
          <w:rFonts w:eastAsia="Times New Roman" w:cs="Times New Roman"/>
          <w:i/>
          <w:iCs/>
          <w:sz w:val="20"/>
          <w:szCs w:val="20"/>
        </w:rPr>
      </w:pPr>
      <w:r w:rsidRPr="00C713F5">
        <w:rPr>
          <w:rFonts w:eastAsia="Times New Roman" w:cs="Times New Roman"/>
          <w:i/>
          <w:iCs/>
          <w:sz w:val="20"/>
          <w:szCs w:val="20"/>
        </w:rPr>
        <w:t>*Par</w:t>
      </w:r>
      <w:r w:rsidR="005825CD" w:rsidRPr="00C713F5">
        <w:rPr>
          <w:rFonts w:eastAsia="Times New Roman" w:cs="Times New Roman"/>
          <w:i/>
          <w:iCs/>
          <w:sz w:val="20"/>
          <w:szCs w:val="20"/>
        </w:rPr>
        <w:t xml:space="preserve"> 2024.gadu </w:t>
      </w:r>
      <w:r w:rsidR="00D34786" w:rsidRPr="00C713F5">
        <w:rPr>
          <w:rFonts w:eastAsia="Times New Roman" w:cs="Times New Roman"/>
          <w:i/>
          <w:iCs/>
          <w:sz w:val="20"/>
          <w:szCs w:val="20"/>
        </w:rPr>
        <w:t xml:space="preserve">– </w:t>
      </w:r>
      <w:r w:rsidR="004006E4" w:rsidRPr="00C713F5">
        <w:rPr>
          <w:rFonts w:eastAsia="Times New Roman" w:cs="Times New Roman"/>
          <w:i/>
          <w:iCs/>
          <w:sz w:val="20"/>
          <w:szCs w:val="20"/>
        </w:rPr>
        <w:t>nepilnīgi dati, jo</w:t>
      </w:r>
      <w:r w:rsidR="00D34786" w:rsidRPr="00C713F5">
        <w:rPr>
          <w:rFonts w:eastAsia="Times New Roman" w:cs="Times New Roman"/>
          <w:i/>
          <w:iCs/>
          <w:sz w:val="20"/>
          <w:szCs w:val="20"/>
        </w:rPr>
        <w:t xml:space="preserve"> vēl nav iesniegti visu uzņēmumu gada pārskati. </w:t>
      </w:r>
    </w:p>
    <w:p w14:paraId="6912D5BB" w14:textId="1FD35E15" w:rsidR="00786EFA" w:rsidRPr="00057A72" w:rsidRDefault="00786EFA" w:rsidP="00786EFA">
      <w:pPr>
        <w:spacing w:after="160" w:line="257" w:lineRule="auto"/>
        <w:ind w:firstLine="720"/>
        <w:jc w:val="both"/>
        <w:rPr>
          <w:rFonts w:eastAsia="Times New Roman" w:cs="Times New Roman"/>
          <w:szCs w:val="24"/>
        </w:rPr>
      </w:pPr>
      <w:r w:rsidRPr="00057A72">
        <w:rPr>
          <w:rFonts w:eastAsia="Times New Roman" w:cs="Times New Roman"/>
          <w:szCs w:val="24"/>
        </w:rPr>
        <w:t xml:space="preserve">Vienlaikus jāatzīmē, ka Gada pārskatu un konsolidēto gada pārskatu </w:t>
      </w:r>
      <w:r>
        <w:rPr>
          <w:rFonts w:eastAsia="Times New Roman" w:cs="Times New Roman"/>
          <w:szCs w:val="24"/>
        </w:rPr>
        <w:t>likums</w:t>
      </w:r>
      <w:r w:rsidRPr="00057A72">
        <w:rPr>
          <w:rFonts w:eastAsia="Times New Roman" w:cs="Times New Roman"/>
          <w:szCs w:val="24"/>
        </w:rPr>
        <w:t xml:space="preserve"> pieļauj visām sabiedrībām</w:t>
      </w:r>
      <w:r>
        <w:rPr>
          <w:rFonts w:eastAsia="Times New Roman" w:cs="Times New Roman"/>
          <w:szCs w:val="24"/>
        </w:rPr>
        <w:t xml:space="preserve"> neatkarīgi no lieluma</w:t>
      </w:r>
      <w:r w:rsidRPr="00057A72">
        <w:rPr>
          <w:rFonts w:eastAsia="Times New Roman" w:cs="Times New Roman"/>
          <w:szCs w:val="24"/>
        </w:rPr>
        <w:t xml:space="preserve">, ja tas nepieciešams skaidram un patiesam priekšstatam, atsevišķus posteņus novērtēt pēc </w:t>
      </w:r>
      <w:r>
        <w:rPr>
          <w:rFonts w:eastAsia="Times New Roman" w:cs="Times New Roman"/>
          <w:szCs w:val="24"/>
        </w:rPr>
        <w:t>starptautiskiem grāmatvedības standartiem</w:t>
      </w:r>
      <w:r w:rsidRPr="00057A72">
        <w:rPr>
          <w:rFonts w:eastAsia="Times New Roman" w:cs="Times New Roman"/>
          <w:szCs w:val="24"/>
        </w:rPr>
        <w:t>. Proti, mazas un vidējas sabiedrības var atkāpties no Gada pārskatu un konsolidēto gada pārskatu likum</w:t>
      </w:r>
      <w:r>
        <w:rPr>
          <w:rFonts w:eastAsia="Times New Roman" w:cs="Times New Roman"/>
          <w:szCs w:val="24"/>
        </w:rPr>
        <w:t>ā</w:t>
      </w:r>
      <w:r w:rsidRPr="00057A72">
        <w:rPr>
          <w:rFonts w:eastAsia="Times New Roman" w:cs="Times New Roman"/>
          <w:szCs w:val="24"/>
        </w:rPr>
        <w:t xml:space="preserve"> noteiktajiem finanšu pārskata posteņu novērtēšanas piemērojamiem principiem un noteikumiem izņēmuma gadījumos, kas noteikti šajā likumā. Taču katra šāda atkāpšanās jāpaskaidro finanšu pārskata pielikumā, norādot minētās atkāpšanās iemeslu un ietekmi uz sabiedrības līdzekļiem, saistībām, finansiālo stāvokli, peļņu vai zaudējumiem, kā arī  konkrēto šā likuma normu, no kuras piemērošanas sabiedrība ir atkāpusies, un attiecīgo starptautisko grāmatvedības standartu prasību, kuru sabiedrība piemērojusi, lai gūtu skaidrāku un patiesāku priekštatu par sabiedrību. Likumā noteikti izņēmuma gadījumi, kad var piemērot novērtēšanai un atspoguļošanai </w:t>
      </w:r>
      <w:r>
        <w:rPr>
          <w:rFonts w:eastAsia="Times New Roman" w:cs="Times New Roman"/>
          <w:szCs w:val="24"/>
        </w:rPr>
        <w:t>starptautiskos grāmatvedības standartus</w:t>
      </w:r>
      <w:r w:rsidRPr="00057A72">
        <w:rPr>
          <w:rFonts w:eastAsia="Times New Roman" w:cs="Times New Roman"/>
          <w:szCs w:val="24"/>
        </w:rPr>
        <w:t xml:space="preserve">. Jābūt pamatotam iemeslam (piemēram, ja sabiedrība, kuras pārvedami vērtspapīri ir iekļauti regulētajā tirgū, pati ir koncerna mātes sabiedrība un sagatavo konsolidēto gada pārskatu saskaņā ar starptautisko grāmatvedības standartu prasībām, vai, ja sabiedrība ir tāda koncerna meitas sabiedrība, kuras mātes sabiedrības prasība ir posteņu atzīšanai, novērtēšanai un atspoguļošanai izmantot starptautiskos grāmatvedības standartus). Ja sabiedrība atspoguļo finanšu pārskatā ieguldījuma īpašumus, bioloģiskos aktīvus, pārdošanai turētus ilgtermiņa ieguldījumus, atliktā nodokļa aktīvus, atliktā nodokļa saistības vai citus bilances aktīva vai pasīva posteņus saskaņā ar </w:t>
      </w:r>
      <w:r>
        <w:rPr>
          <w:rFonts w:eastAsia="Times New Roman" w:cs="Times New Roman"/>
          <w:szCs w:val="24"/>
        </w:rPr>
        <w:t>starptautiskajiem grāmatvedības standartiem</w:t>
      </w:r>
      <w:r w:rsidRPr="00057A72">
        <w:rPr>
          <w:rFonts w:eastAsia="Times New Roman" w:cs="Times New Roman"/>
          <w:szCs w:val="24"/>
        </w:rPr>
        <w:t>.</w:t>
      </w:r>
    </w:p>
    <w:p w14:paraId="129E505C" w14:textId="1202C310" w:rsidR="00786EFA" w:rsidRPr="00057A72" w:rsidRDefault="00786EFA" w:rsidP="00786EFA">
      <w:pPr>
        <w:spacing w:after="160" w:line="257" w:lineRule="auto"/>
        <w:ind w:firstLine="720"/>
        <w:jc w:val="both"/>
        <w:rPr>
          <w:rFonts w:eastAsia="Times New Roman" w:cs="Times New Roman"/>
          <w:szCs w:val="24"/>
        </w:rPr>
      </w:pPr>
      <w:r>
        <w:rPr>
          <w:rFonts w:eastAsia="Times New Roman" w:cs="Times New Roman"/>
          <w:szCs w:val="24"/>
        </w:rPr>
        <w:t>S</w:t>
      </w:r>
      <w:r w:rsidRPr="00057A72">
        <w:rPr>
          <w:rFonts w:eastAsia="Times New Roman" w:cs="Times New Roman"/>
          <w:szCs w:val="24"/>
        </w:rPr>
        <w:t>askaņā ar Gada pārskatu un konsolidēto gada pārskatu likum</w:t>
      </w:r>
      <w:r>
        <w:rPr>
          <w:rFonts w:eastAsia="Times New Roman" w:cs="Times New Roman"/>
          <w:szCs w:val="24"/>
        </w:rPr>
        <w:t>u</w:t>
      </w:r>
      <w:r w:rsidRPr="00057A72">
        <w:rPr>
          <w:rFonts w:eastAsia="Times New Roman" w:cs="Times New Roman"/>
          <w:szCs w:val="24"/>
        </w:rPr>
        <w:t xml:space="preserve">, ja sabiedrība </w:t>
      </w:r>
      <w:r>
        <w:rPr>
          <w:rFonts w:eastAsia="Times New Roman" w:cs="Times New Roman"/>
          <w:szCs w:val="24"/>
        </w:rPr>
        <w:t xml:space="preserve">atzīst, novērtē un klasificē aktīvus </w:t>
      </w:r>
      <w:r w:rsidRPr="00057A72">
        <w:rPr>
          <w:rFonts w:eastAsia="Times New Roman" w:cs="Times New Roman"/>
          <w:szCs w:val="24"/>
        </w:rPr>
        <w:t xml:space="preserve">saskaņā ar </w:t>
      </w:r>
      <w:r w:rsidR="00811103">
        <w:rPr>
          <w:rFonts w:eastAsia="Times New Roman" w:cs="Times New Roman"/>
          <w:szCs w:val="24"/>
        </w:rPr>
        <w:t>s</w:t>
      </w:r>
      <w:r>
        <w:rPr>
          <w:rFonts w:eastAsia="Times New Roman" w:cs="Times New Roman"/>
          <w:szCs w:val="24"/>
        </w:rPr>
        <w:t xml:space="preserve">tarptautiskajiem </w:t>
      </w:r>
      <w:r w:rsidR="00811103">
        <w:rPr>
          <w:rFonts w:eastAsia="Times New Roman" w:cs="Times New Roman"/>
          <w:szCs w:val="24"/>
        </w:rPr>
        <w:t>grāmatvedības</w:t>
      </w:r>
      <w:r>
        <w:rPr>
          <w:rFonts w:eastAsia="Times New Roman" w:cs="Times New Roman"/>
          <w:szCs w:val="24"/>
        </w:rPr>
        <w:t xml:space="preserve"> standartiem</w:t>
      </w:r>
      <w:r w:rsidRPr="00057A72">
        <w:rPr>
          <w:rFonts w:eastAsia="Times New Roman" w:cs="Times New Roman"/>
          <w:szCs w:val="24"/>
        </w:rPr>
        <w:t xml:space="preserve">, tad šāds sabiedrības sagatavotais gada pārskats ir </w:t>
      </w:r>
      <w:r>
        <w:rPr>
          <w:rFonts w:eastAsia="Times New Roman" w:cs="Times New Roman"/>
          <w:szCs w:val="24"/>
        </w:rPr>
        <w:t xml:space="preserve">pakļaut obligātai revīzijai, neatkarīgi no šīs sabiedrības </w:t>
      </w:r>
      <w:r w:rsidR="00811103">
        <w:rPr>
          <w:rFonts w:eastAsia="Times New Roman" w:cs="Times New Roman"/>
          <w:szCs w:val="24"/>
        </w:rPr>
        <w:t>kritēriju</w:t>
      </w:r>
      <w:r>
        <w:rPr>
          <w:rFonts w:eastAsia="Times New Roman" w:cs="Times New Roman"/>
          <w:szCs w:val="24"/>
        </w:rPr>
        <w:t xml:space="preserve"> robežvērtībām </w:t>
      </w:r>
      <w:r w:rsidRPr="00057A72">
        <w:rPr>
          <w:rFonts w:eastAsia="Times New Roman" w:cs="Times New Roman"/>
          <w:szCs w:val="24"/>
        </w:rPr>
        <w:t>un par veiktās revīzijas (pārbaudes) rezultātiem zvērinātam revidentam vai zvērinātu revidentu komercsabiedrībai atbilstoši Revīzijas pakalpojumu likumam ir jāsniedz revidenta ziņojums.</w:t>
      </w:r>
    </w:p>
    <w:p w14:paraId="4485FEA8" w14:textId="4A60B34C" w:rsidR="00D37312" w:rsidRDefault="00CE3C00" w:rsidP="00057A72">
      <w:pPr>
        <w:spacing w:after="160" w:line="257" w:lineRule="auto"/>
        <w:ind w:firstLine="720"/>
        <w:jc w:val="both"/>
        <w:rPr>
          <w:rFonts w:eastAsia="Times New Roman" w:cs="Times New Roman"/>
          <w:szCs w:val="24"/>
        </w:rPr>
      </w:pPr>
      <w:r w:rsidRPr="00CE3C00">
        <w:rPr>
          <w:rFonts w:eastAsia="Times New Roman" w:cs="Times New Roman"/>
          <w:szCs w:val="24"/>
        </w:rPr>
        <w:t>Pamatojoties uz Eiropas Parlamenta un Padomes 2002.gada 19.jūlija regulas (EK) Nr. 1606/2002 par starptautisko grāmatvedības standartu piemērošanu 5.pantu, koncerna mātes sabiedrība var sagatavot konsolidētos gada pārskatus saskaņā ar starptautiskajiem grāmatvedības standartiem.</w:t>
      </w:r>
      <w:r w:rsidR="00C8601C">
        <w:rPr>
          <w:rFonts w:eastAsia="Times New Roman" w:cs="Times New Roman"/>
          <w:szCs w:val="24"/>
        </w:rPr>
        <w:t xml:space="preserve"> </w:t>
      </w:r>
    </w:p>
    <w:p w14:paraId="52E391DD" w14:textId="4ABCB559" w:rsidR="00057A72" w:rsidRPr="00057A72" w:rsidRDefault="00057A72" w:rsidP="00057A72">
      <w:pPr>
        <w:spacing w:after="160" w:line="257" w:lineRule="auto"/>
        <w:ind w:firstLine="720"/>
        <w:jc w:val="both"/>
        <w:rPr>
          <w:rFonts w:eastAsia="Times New Roman" w:cs="Times New Roman"/>
          <w:szCs w:val="24"/>
        </w:rPr>
      </w:pPr>
      <w:r w:rsidRPr="00057A72">
        <w:rPr>
          <w:rFonts w:eastAsia="Times New Roman" w:cs="Times New Roman"/>
          <w:szCs w:val="24"/>
        </w:rPr>
        <w:lastRenderedPageBreak/>
        <w:t>Gada pārskatu un konsolidēto gada pārskatu likum</w:t>
      </w:r>
      <w:r>
        <w:rPr>
          <w:rFonts w:eastAsia="Times New Roman" w:cs="Times New Roman"/>
          <w:szCs w:val="24"/>
        </w:rPr>
        <w:t>ā</w:t>
      </w:r>
      <w:r w:rsidRPr="00057A72">
        <w:rPr>
          <w:rFonts w:eastAsia="Times New Roman" w:cs="Times New Roman"/>
          <w:szCs w:val="24"/>
        </w:rPr>
        <w:t xml:space="preserve">  ir iekļautas tiesību normas, kas izriet no Eiropas Parlamenta un Padomes 2013.gada 26.jūnija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w:t>
      </w:r>
    </w:p>
    <w:p w14:paraId="7F5FAA5E" w14:textId="77777777" w:rsidR="00057A72" w:rsidRPr="00057A72" w:rsidRDefault="00057A72" w:rsidP="00057A72">
      <w:pPr>
        <w:spacing w:after="160" w:line="257" w:lineRule="auto"/>
        <w:ind w:firstLine="720"/>
        <w:jc w:val="both"/>
        <w:rPr>
          <w:rFonts w:eastAsia="Times New Roman" w:cs="Times New Roman"/>
          <w:szCs w:val="24"/>
        </w:rPr>
      </w:pPr>
      <w:r w:rsidRPr="00057A72">
        <w:rPr>
          <w:rFonts w:eastAsia="Times New Roman" w:cs="Times New Roman"/>
          <w:szCs w:val="24"/>
        </w:rPr>
        <w:t>Šajā Direktīvā ir ņemta vērā Eiropas Komisijas labākā tiesiskā regulējuma programma un, jo īpaši paziņojums ar nosaukumu "Lietpratīgs regulējums Eiropas Savienībā", kura mērķis ir izveidot un izstrādāt augstākās kvalitātes regulējumu. Eiropas Savienības grāmatvedības tiesību aktos ir jāpanāk pienācīgs līdzsvars starp finanšu pārskatu lietotāju interesēm un uzņēmumu ieinteresētību tajā, lai ziņošanas prasības neizraisītu pārmērīgu slogu. Ar šo Direktīvu tika nodrošināts, ka prasības attiecībā uz maziem uzņēmumiem lielā mērā ir saskaņotas visā Eiropas Savienībā. Šīs Direktīvas pamatā ir princips "vispirms domāt par mazākajiem", tai skaitā novēršot nesamērīgu administratīvo slogu minētajiem uzņēmumiem.</w:t>
      </w:r>
    </w:p>
    <w:p w14:paraId="0C1C53E1" w14:textId="2D280DAE" w:rsidR="00CA4FA1" w:rsidRPr="00BD22C3" w:rsidRDefault="00D15A89" w:rsidP="5F98231E">
      <w:pPr>
        <w:spacing w:after="160" w:line="257" w:lineRule="auto"/>
        <w:jc w:val="both"/>
        <w:rPr>
          <w:rFonts w:eastAsia="Times New Roman" w:cs="Times New Roman"/>
          <w:b/>
          <w:bCs/>
          <w:szCs w:val="24"/>
          <w:u w:val="single"/>
        </w:rPr>
      </w:pPr>
      <w:r>
        <w:rPr>
          <w:rFonts w:eastAsia="Times New Roman" w:cs="Times New Roman"/>
          <w:b/>
          <w:bCs/>
          <w:szCs w:val="24"/>
          <w:u w:val="single"/>
        </w:rPr>
        <w:t>Secinājums:</w:t>
      </w:r>
      <w:r w:rsidR="5290F701" w:rsidRPr="5F98231E">
        <w:rPr>
          <w:rFonts w:eastAsia="Times New Roman" w:cs="Times New Roman"/>
          <w:b/>
          <w:bCs/>
          <w:szCs w:val="24"/>
          <w:u w:val="single"/>
        </w:rPr>
        <w:t xml:space="preserve"> </w:t>
      </w:r>
      <w:r w:rsidRPr="00D15A89">
        <w:rPr>
          <w:rFonts w:eastAsia="Times New Roman" w:cs="Times New Roman"/>
          <w:b/>
          <w:bCs/>
          <w:szCs w:val="24"/>
          <w:u w:val="single"/>
        </w:rPr>
        <w:t xml:space="preserve">Ņemot vērā to, ka </w:t>
      </w:r>
      <w:r w:rsidR="00D529D6">
        <w:rPr>
          <w:rFonts w:eastAsia="Times New Roman" w:cs="Times New Roman"/>
          <w:b/>
          <w:bCs/>
          <w:szCs w:val="24"/>
          <w:u w:val="single"/>
        </w:rPr>
        <w:t xml:space="preserve">starptautisko grāmatvedības </w:t>
      </w:r>
      <w:r>
        <w:rPr>
          <w:rFonts w:eastAsia="Times New Roman" w:cs="Times New Roman"/>
          <w:b/>
          <w:bCs/>
          <w:szCs w:val="24"/>
          <w:u w:val="single"/>
        </w:rPr>
        <w:t>standartu plašāka pielietošana</w:t>
      </w:r>
      <w:r w:rsidRPr="00D15A89">
        <w:rPr>
          <w:rFonts w:eastAsia="Times New Roman" w:cs="Times New Roman"/>
          <w:b/>
          <w:bCs/>
          <w:szCs w:val="24"/>
          <w:u w:val="single"/>
        </w:rPr>
        <w:t xml:space="preserve"> radītu administratīvo slogu,  </w:t>
      </w:r>
      <w:r w:rsidR="00281180">
        <w:rPr>
          <w:rFonts w:eastAsia="Times New Roman" w:cs="Times New Roman"/>
          <w:b/>
          <w:bCs/>
          <w:szCs w:val="24"/>
          <w:u w:val="single"/>
        </w:rPr>
        <w:t>priekšlikum</w:t>
      </w:r>
      <w:r w:rsidR="00D529D6">
        <w:rPr>
          <w:rFonts w:eastAsia="Times New Roman" w:cs="Times New Roman"/>
          <w:b/>
          <w:bCs/>
          <w:szCs w:val="24"/>
          <w:u w:val="single"/>
        </w:rPr>
        <w:t>s</w:t>
      </w:r>
      <w:r w:rsidR="00281180">
        <w:rPr>
          <w:rFonts w:eastAsia="Times New Roman" w:cs="Times New Roman"/>
          <w:b/>
          <w:bCs/>
          <w:szCs w:val="24"/>
          <w:u w:val="single"/>
        </w:rPr>
        <w:t xml:space="preserve"> </w:t>
      </w:r>
      <w:r w:rsidR="00D529D6">
        <w:rPr>
          <w:rFonts w:eastAsia="Times New Roman" w:cs="Times New Roman"/>
          <w:b/>
          <w:bCs/>
          <w:szCs w:val="24"/>
          <w:u w:val="single"/>
        </w:rPr>
        <w:t xml:space="preserve">par </w:t>
      </w:r>
      <w:r w:rsidRPr="00D15A89">
        <w:rPr>
          <w:rFonts w:eastAsia="Times New Roman" w:cs="Times New Roman"/>
          <w:b/>
          <w:bCs/>
          <w:szCs w:val="24"/>
          <w:u w:val="single"/>
        </w:rPr>
        <w:t xml:space="preserve">obligātu </w:t>
      </w:r>
      <w:r w:rsidR="00062184">
        <w:rPr>
          <w:rFonts w:eastAsia="Times New Roman" w:cs="Times New Roman"/>
          <w:b/>
          <w:bCs/>
          <w:szCs w:val="24"/>
          <w:u w:val="single"/>
        </w:rPr>
        <w:t xml:space="preserve">to </w:t>
      </w:r>
      <w:r w:rsidRPr="00D15A89">
        <w:rPr>
          <w:rFonts w:eastAsia="Times New Roman" w:cs="Times New Roman"/>
          <w:b/>
          <w:bCs/>
          <w:szCs w:val="24"/>
          <w:u w:val="single"/>
        </w:rPr>
        <w:t xml:space="preserve">ieviešanu </w:t>
      </w:r>
      <w:r w:rsidR="00062184">
        <w:rPr>
          <w:rFonts w:eastAsia="Times New Roman" w:cs="Times New Roman"/>
          <w:b/>
          <w:bCs/>
          <w:szCs w:val="24"/>
          <w:u w:val="single"/>
        </w:rPr>
        <w:t>uzņēmumiem pie noteiktiem kritērijiem, šobrīd netiek virzīts</w:t>
      </w:r>
      <w:r w:rsidR="00C63292">
        <w:rPr>
          <w:rFonts w:eastAsia="Times New Roman" w:cs="Times New Roman"/>
          <w:b/>
          <w:bCs/>
          <w:szCs w:val="24"/>
          <w:u w:val="single"/>
        </w:rPr>
        <w:t>, atstājot to pašu uzņēmumu ziņā</w:t>
      </w:r>
      <w:r w:rsidRPr="00D15A89">
        <w:rPr>
          <w:rFonts w:eastAsia="Times New Roman" w:cs="Times New Roman"/>
          <w:b/>
          <w:bCs/>
          <w:szCs w:val="24"/>
          <w:u w:val="single"/>
        </w:rPr>
        <w:t>.</w:t>
      </w:r>
    </w:p>
    <w:p w14:paraId="721B1825" w14:textId="77777777" w:rsidR="006B4FD2" w:rsidRDefault="006B4FD2" w:rsidP="5F98231E">
      <w:pPr>
        <w:spacing w:after="160" w:line="257" w:lineRule="auto"/>
        <w:ind w:firstLine="720"/>
        <w:jc w:val="both"/>
        <w:rPr>
          <w:rFonts w:eastAsia="Times New Roman" w:cs="Times New Roman"/>
          <w:b/>
          <w:bCs/>
          <w:szCs w:val="24"/>
        </w:rPr>
      </w:pPr>
    </w:p>
    <w:p w14:paraId="578496F7" w14:textId="7E63066B" w:rsidR="00CA4FA1" w:rsidRPr="00BD22C3" w:rsidRDefault="1D2F0A3C"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 xml:space="preserve">3.5. </w:t>
      </w:r>
      <w:r w:rsidR="5290F701" w:rsidRPr="5F98231E">
        <w:rPr>
          <w:rFonts w:eastAsia="Times New Roman" w:cs="Times New Roman"/>
          <w:b/>
          <w:bCs/>
          <w:szCs w:val="24"/>
        </w:rPr>
        <w:t>Komerclikuma regulējums par pamatkapitāla palielināšanu</w:t>
      </w:r>
    </w:p>
    <w:p w14:paraId="0581F0BC" w14:textId="7D00253A" w:rsidR="00FE5CE9" w:rsidRDefault="00FE5CE9" w:rsidP="00FE5CE9">
      <w:pPr>
        <w:spacing w:after="160" w:line="257" w:lineRule="auto"/>
        <w:ind w:firstLine="720"/>
        <w:jc w:val="both"/>
        <w:rPr>
          <w:rFonts w:eastAsia="Times New Roman" w:cs="Times New Roman"/>
          <w:szCs w:val="24"/>
        </w:rPr>
      </w:pPr>
      <w:r w:rsidRPr="5F98231E">
        <w:rPr>
          <w:rFonts w:eastAsia="Times New Roman" w:cs="Times New Roman"/>
          <w:szCs w:val="24"/>
        </w:rPr>
        <w:t>Sarunās ar kapitāla tirgus dalībniekiem</w:t>
      </w:r>
      <w:r>
        <w:rPr>
          <w:rFonts w:eastAsia="Times New Roman" w:cs="Times New Roman"/>
          <w:szCs w:val="24"/>
        </w:rPr>
        <w:t xml:space="preserve"> un potenciālajiem emitentiem</w:t>
      </w:r>
      <w:r w:rsidRPr="5F98231E">
        <w:rPr>
          <w:rFonts w:eastAsia="Times New Roman" w:cs="Times New Roman"/>
          <w:szCs w:val="24"/>
        </w:rPr>
        <w:t xml:space="preserve">, </w:t>
      </w:r>
      <w:r w:rsidR="00B56D55">
        <w:rPr>
          <w:rFonts w:eastAsia="Times New Roman" w:cs="Times New Roman"/>
          <w:szCs w:val="24"/>
        </w:rPr>
        <w:t xml:space="preserve">tika identificēts </w:t>
      </w:r>
      <w:r w:rsidRPr="5F98231E">
        <w:rPr>
          <w:rFonts w:eastAsia="Times New Roman" w:cs="Times New Roman"/>
          <w:szCs w:val="24"/>
        </w:rPr>
        <w:t xml:space="preserve">regulatīvs šķērslis akciju emisijas </w:t>
      </w:r>
      <w:r w:rsidR="00B56D55">
        <w:rPr>
          <w:rFonts w:eastAsia="Times New Roman" w:cs="Times New Roman"/>
          <w:szCs w:val="24"/>
        </w:rPr>
        <w:t>organizēšanā</w:t>
      </w:r>
      <w:r w:rsidRPr="5F98231E">
        <w:rPr>
          <w:rFonts w:eastAsia="Times New Roman" w:cs="Times New Roman"/>
          <w:szCs w:val="24"/>
        </w:rPr>
        <w:t xml:space="preserve">. </w:t>
      </w:r>
      <w:r>
        <w:rPr>
          <w:rFonts w:eastAsia="Times New Roman" w:cs="Times New Roman"/>
          <w:szCs w:val="24"/>
        </w:rPr>
        <w:t>Saskaņā ar Komerclikuma 261.panta trešo daļu pamatkapitāls ir uzskatāms par palielinātu un tiesības, kas izriet no akcijām, rodas brīdī, kad izdarīts ieraksts komercreģistrā. Savukārt, saskaņā ar Komerclikuma 261.panta otrās daļas 2.² punktu pieteikumam par pamatkapitāla palielināšanu, kuru valde iesniedz komercreģistra iestādei pievieno maksājumu pakalpojuma sniedzēja izziņu vai citu dokumentu par daļas apmaksu. No tā izriet, ka priekšnoteikums pamatkapitāla palielināšanas reģistrācijai komercreģistrā un sekojoši no akcijām izrietošo tiesību rašanās, ir pamatkapitāla apmaksa. Situācijā, kad pamatkapitāla reģistrācija tiek veikta tikai pēc tam, kad ir notikuši norēķini par akcijām, rada situāciju, ka norēķinu rezultātā, investori iegūst akcijas bez jebkādām tiesībām</w:t>
      </w:r>
      <w:r w:rsidR="00C63292">
        <w:rPr>
          <w:rFonts w:eastAsia="Times New Roman" w:cs="Times New Roman"/>
          <w:szCs w:val="24"/>
        </w:rPr>
        <w:t>.</w:t>
      </w:r>
      <w:r>
        <w:rPr>
          <w:rFonts w:eastAsia="Times New Roman" w:cs="Times New Roman"/>
          <w:szCs w:val="24"/>
        </w:rPr>
        <w:t xml:space="preserve"> Turklāt investoram pastāv būtisks risks, ka emitents var aizkavēt vai nepiereģistrēt pamatkapitāla palielināšanu, kā rezultātā šāds stāvoklis var saglabāties ilgāku laiku. Teorētiski pastāv iespēja šos riskus atspoguļot emisijas prospektā, taču tas nerisinās tos gadījumus, ja publiskā piedāvājuma ietvaros tiks atsavinātas esošās akcijas. Ja līdz norēķinu veikšanai ar investoriem  komercreģistrā netiks reģistrēts pamatkapitāla palielinājums, tad no jauna emitētām akcijām būs cits ISIN kods, salīdzinājumā ar ISIN kodu esošajām akcijām, kas izraisa sarežģījumus gan attiecībā uz norēķiniem, gan akciju piedāvājuma stadiju. Starptautiski ir atzīta prakse, ka akcionāriem pilntiesīgas akcijas bez jebkādiem ierobežojumiem tiek piešķirtas norēķinu dienā. Līdz ar to būtu apsverama grozījumu izdarīšana Komerclikumā, lai noteiktu starptautiskai praksei atbilstoša regulējuma ieviešanu attiecībā uz akcionāra pilntiesīgu tiesību iegūšanu, </w:t>
      </w:r>
      <w:r>
        <w:rPr>
          <w:rFonts w:eastAsia="Times New Roman" w:cs="Times New Roman"/>
          <w:szCs w:val="24"/>
        </w:rPr>
        <w:lastRenderedPageBreak/>
        <w:t xml:space="preserve">vienlaikus ar norēķinu par akcijām veikšanu, izslēdzot nepieciešamību pielietot mehānismus, kas palielina riskus investoram. </w:t>
      </w:r>
    </w:p>
    <w:p w14:paraId="33E615AE" w14:textId="6BEA30F8" w:rsidR="009F3009" w:rsidRDefault="000C07E4" w:rsidP="00167D1F">
      <w:pPr>
        <w:spacing w:after="160" w:line="257" w:lineRule="auto"/>
        <w:ind w:firstLine="720"/>
        <w:jc w:val="both"/>
        <w:rPr>
          <w:rFonts w:eastAsia="Times New Roman" w:cs="Times New Roman"/>
          <w:szCs w:val="24"/>
        </w:rPr>
      </w:pPr>
      <w:r>
        <w:rPr>
          <w:rFonts w:eastAsia="Times New Roman" w:cs="Times New Roman"/>
          <w:szCs w:val="24"/>
        </w:rPr>
        <w:t>Š</w:t>
      </w:r>
      <w:r w:rsidR="009F3009" w:rsidRPr="009F3009">
        <w:rPr>
          <w:rFonts w:eastAsia="Times New Roman" w:cs="Times New Roman"/>
          <w:szCs w:val="24"/>
        </w:rPr>
        <w:t>obrīd praksē tiek izmantots</w:t>
      </w:r>
      <w:r w:rsidRPr="000C07E4">
        <w:rPr>
          <w:rFonts w:eastAsia="Times New Roman" w:cs="Times New Roman"/>
          <w:szCs w:val="24"/>
        </w:rPr>
        <w:t xml:space="preserve"> </w:t>
      </w:r>
      <w:r w:rsidR="002F0B5E">
        <w:rPr>
          <w:rFonts w:eastAsia="Times New Roman" w:cs="Times New Roman"/>
          <w:szCs w:val="24"/>
        </w:rPr>
        <w:t>p</w:t>
      </w:r>
      <w:r w:rsidRPr="009F3009">
        <w:rPr>
          <w:rFonts w:eastAsia="Times New Roman" w:cs="Times New Roman"/>
          <w:szCs w:val="24"/>
        </w:rPr>
        <w:t>agaidu ISIN risinājums</w:t>
      </w:r>
      <w:r w:rsidR="009F3009" w:rsidRPr="009F3009">
        <w:rPr>
          <w:rFonts w:eastAsia="Times New Roman" w:cs="Times New Roman"/>
          <w:szCs w:val="24"/>
        </w:rPr>
        <w:t xml:space="preserve">. </w:t>
      </w:r>
      <w:r w:rsidR="002F0B5E">
        <w:rPr>
          <w:rFonts w:eastAsia="Times New Roman" w:cs="Times New Roman"/>
          <w:szCs w:val="24"/>
        </w:rPr>
        <w:t xml:space="preserve">Bez tam </w:t>
      </w:r>
      <w:r w:rsidR="008E3380">
        <w:rPr>
          <w:rFonts w:eastAsia="Times New Roman" w:cs="Times New Roman"/>
          <w:szCs w:val="24"/>
        </w:rPr>
        <w:t>alternatīvi,</w:t>
      </w:r>
      <w:r w:rsidR="009F3009" w:rsidRPr="009F3009">
        <w:rPr>
          <w:rFonts w:eastAsia="Times New Roman" w:cs="Times New Roman"/>
          <w:szCs w:val="24"/>
        </w:rPr>
        <w:t xml:space="preserve"> uzņēmumi izvēlas izmantot akciju aizņemšanos, lai akcijām netiktu piešķirts pagaidu ISIN, bet investoru kontos uzreiz būtu pamata ISIN akcijas.</w:t>
      </w:r>
    </w:p>
    <w:p w14:paraId="64FD1D8F" w14:textId="667B2BD5" w:rsidR="00FE5CE9" w:rsidRDefault="00FE5CE9" w:rsidP="00FE5CE9">
      <w:pPr>
        <w:spacing w:after="160" w:line="257" w:lineRule="auto"/>
        <w:jc w:val="both"/>
        <w:rPr>
          <w:rFonts w:eastAsia="Times New Roman" w:cs="Times New Roman"/>
          <w:b/>
          <w:bCs/>
          <w:szCs w:val="24"/>
          <w:u w:val="single"/>
        </w:rPr>
      </w:pPr>
      <w:r w:rsidRPr="5F98231E">
        <w:rPr>
          <w:rFonts w:eastAsia="Times New Roman" w:cs="Times New Roman"/>
          <w:b/>
          <w:bCs/>
          <w:szCs w:val="24"/>
          <w:u w:val="single"/>
        </w:rPr>
        <w:t>Priekšlikums: izvērtēt nepieciešamību veikt grozījumus Komerclikumā</w:t>
      </w:r>
      <w:r w:rsidR="00E90133">
        <w:rPr>
          <w:rFonts w:eastAsia="Times New Roman" w:cs="Times New Roman"/>
          <w:b/>
          <w:bCs/>
          <w:szCs w:val="24"/>
          <w:u w:val="single"/>
        </w:rPr>
        <w:t xml:space="preserve"> </w:t>
      </w:r>
      <w:r w:rsidR="00E90133" w:rsidRPr="00E90133">
        <w:rPr>
          <w:rFonts w:eastAsia="Times New Roman" w:cs="Times New Roman"/>
          <w:b/>
          <w:bCs/>
          <w:szCs w:val="24"/>
          <w:u w:val="single"/>
        </w:rPr>
        <w:t>par pamatkapitāla palielināšanu</w:t>
      </w:r>
      <w:r>
        <w:rPr>
          <w:rFonts w:eastAsia="Times New Roman" w:cs="Times New Roman"/>
          <w:b/>
          <w:bCs/>
          <w:szCs w:val="24"/>
          <w:u w:val="single"/>
        </w:rPr>
        <w:t>.</w:t>
      </w:r>
    </w:p>
    <w:p w14:paraId="48592B8C" w14:textId="77777777" w:rsidR="006B4FD2" w:rsidRDefault="006B4FD2" w:rsidP="5F98231E">
      <w:pPr>
        <w:spacing w:after="160" w:line="257" w:lineRule="auto"/>
        <w:jc w:val="both"/>
        <w:rPr>
          <w:rFonts w:eastAsia="Times New Roman" w:cs="Times New Roman"/>
          <w:b/>
          <w:bCs/>
          <w:szCs w:val="24"/>
          <w:u w:val="single"/>
        </w:rPr>
      </w:pPr>
    </w:p>
    <w:p w14:paraId="6A1E6474" w14:textId="107A1F23" w:rsidR="00CA4FA1" w:rsidRPr="00BD22C3" w:rsidRDefault="7914AD01" w:rsidP="5F98231E">
      <w:pPr>
        <w:spacing w:after="160" w:line="257" w:lineRule="auto"/>
        <w:ind w:firstLine="720"/>
        <w:jc w:val="both"/>
        <w:rPr>
          <w:rFonts w:eastAsia="Times New Roman" w:cs="Times New Roman"/>
          <w:b/>
          <w:bCs/>
          <w:szCs w:val="24"/>
        </w:rPr>
      </w:pPr>
      <w:r w:rsidRPr="5F98231E">
        <w:rPr>
          <w:rFonts w:eastAsia="Times New Roman" w:cs="Times New Roman"/>
          <w:b/>
          <w:bCs/>
          <w:szCs w:val="24"/>
        </w:rPr>
        <w:t xml:space="preserve">3.6. </w:t>
      </w:r>
      <w:r w:rsidR="5290F701" w:rsidRPr="5F98231E">
        <w:rPr>
          <w:rFonts w:eastAsia="Times New Roman" w:cs="Times New Roman"/>
          <w:b/>
          <w:bCs/>
          <w:szCs w:val="24"/>
        </w:rPr>
        <w:t>Investoru pārstāvja (</w:t>
      </w:r>
      <w:r w:rsidR="5290F701" w:rsidRPr="5F98231E">
        <w:rPr>
          <w:rFonts w:eastAsia="Times New Roman" w:cs="Times New Roman"/>
          <w:b/>
          <w:bCs/>
          <w:i/>
          <w:iCs/>
          <w:szCs w:val="24"/>
        </w:rPr>
        <w:t>trustee</w:t>
      </w:r>
      <w:r w:rsidR="5290F701" w:rsidRPr="5F98231E">
        <w:rPr>
          <w:rFonts w:eastAsia="Times New Roman" w:cs="Times New Roman"/>
          <w:b/>
          <w:bCs/>
          <w:szCs w:val="24"/>
        </w:rPr>
        <w:t>) koncepta ieviešana obligāciju emisijas gadījumā</w:t>
      </w:r>
    </w:p>
    <w:p w14:paraId="296DF6A0" w14:textId="5EF32348" w:rsidR="00CA4FA1" w:rsidRDefault="4989612B" w:rsidP="5F98231E">
      <w:pPr>
        <w:spacing w:after="160" w:line="257" w:lineRule="auto"/>
        <w:ind w:firstLine="720"/>
        <w:jc w:val="both"/>
        <w:rPr>
          <w:rFonts w:eastAsia="Times New Roman" w:cs="Times New Roman"/>
          <w:szCs w:val="24"/>
        </w:rPr>
      </w:pPr>
      <w:r w:rsidRPr="5F98231E">
        <w:rPr>
          <w:rFonts w:eastAsia="Times New Roman" w:cs="Times New Roman"/>
          <w:szCs w:val="24"/>
        </w:rPr>
        <w:t>Attiecībā uz kapitāla tirgus tiesisko ietvaru, l</w:t>
      </w:r>
      <w:r w:rsidR="5290F701" w:rsidRPr="5F98231E">
        <w:rPr>
          <w:rFonts w:eastAsia="Times New Roman" w:cs="Times New Roman"/>
          <w:szCs w:val="24"/>
        </w:rPr>
        <w:t xml:space="preserve">īdz šim lielāka uzmanība ir pievērsta tieši akcionāru, jo īpaši mazākuma akcionāru tiesību aizsardzībai, taču sarunās ar kapitāla tirgus dalībniekiem secināts, ka uzmanība būtu pievēršama arī investoru interešu pārstāvībai un aizsardzībai arī obligāciju emisijas gadījumā. </w:t>
      </w:r>
      <w:r w:rsidR="4CBB3D64" w:rsidRPr="5F98231E">
        <w:rPr>
          <w:rFonts w:eastAsia="Times New Roman" w:cs="Times New Roman"/>
          <w:szCs w:val="24"/>
        </w:rPr>
        <w:t xml:space="preserve">Vadoties no citu valstu pieredzes, būtu apsverams </w:t>
      </w:r>
      <w:r w:rsidR="5290F701" w:rsidRPr="5F98231E">
        <w:rPr>
          <w:rFonts w:eastAsia="Times New Roman" w:cs="Times New Roman"/>
          <w:szCs w:val="24"/>
        </w:rPr>
        <w:t>ieviest investoru pārstāvja konceptu obligāciju emisijas gadījumā.</w:t>
      </w:r>
    </w:p>
    <w:p w14:paraId="2CECDC11" w14:textId="3A7A4637" w:rsidR="008A0949" w:rsidRPr="00BD22C3" w:rsidRDefault="001A6F45" w:rsidP="5F98231E">
      <w:pPr>
        <w:spacing w:after="160" w:line="257" w:lineRule="auto"/>
        <w:ind w:firstLine="720"/>
        <w:jc w:val="both"/>
        <w:rPr>
          <w:rFonts w:eastAsia="Times New Roman" w:cs="Times New Roman"/>
          <w:szCs w:val="24"/>
        </w:rPr>
      </w:pPr>
      <w:r>
        <w:rPr>
          <w:rFonts w:eastAsia="Times New Roman" w:cs="Times New Roman"/>
          <w:szCs w:val="24"/>
        </w:rPr>
        <w:t>Obligācijām visbiežāk ir</w:t>
      </w:r>
      <w:r w:rsidR="003333DF">
        <w:rPr>
          <w:rFonts w:eastAsia="Times New Roman" w:cs="Times New Roman"/>
          <w:szCs w:val="24"/>
        </w:rPr>
        <w:t xml:space="preserve"> liels skaits </w:t>
      </w:r>
      <w:r w:rsidR="00EC6376">
        <w:rPr>
          <w:rFonts w:eastAsia="Times New Roman" w:cs="Times New Roman"/>
          <w:szCs w:val="24"/>
        </w:rPr>
        <w:t>investoru</w:t>
      </w:r>
      <w:r>
        <w:rPr>
          <w:rFonts w:eastAsia="Times New Roman" w:cs="Times New Roman"/>
          <w:szCs w:val="24"/>
        </w:rPr>
        <w:t xml:space="preserve"> (in</w:t>
      </w:r>
      <w:r w:rsidR="00464584">
        <w:rPr>
          <w:rFonts w:eastAsia="Times New Roman" w:cs="Times New Roman"/>
          <w:szCs w:val="24"/>
        </w:rPr>
        <w:t>stitucionālie investori un privātpersonas)</w:t>
      </w:r>
      <w:r w:rsidR="00CB04F9">
        <w:rPr>
          <w:rFonts w:eastAsia="Times New Roman" w:cs="Times New Roman"/>
          <w:szCs w:val="24"/>
        </w:rPr>
        <w:t>, tie var būt ģeogrāfiski izkaisīti dažādās valstīs,</w:t>
      </w:r>
      <w:r w:rsidR="00EC6376">
        <w:rPr>
          <w:rFonts w:eastAsia="Times New Roman" w:cs="Times New Roman"/>
          <w:szCs w:val="24"/>
        </w:rPr>
        <w:t xml:space="preserve"> un </w:t>
      </w:r>
      <w:r w:rsidR="00AF79CE">
        <w:rPr>
          <w:rFonts w:eastAsia="Times New Roman" w:cs="Times New Roman"/>
          <w:szCs w:val="24"/>
        </w:rPr>
        <w:t xml:space="preserve">tiem ir apgrūtināti </w:t>
      </w:r>
      <w:r>
        <w:rPr>
          <w:rFonts w:eastAsia="Times New Roman" w:cs="Times New Roman"/>
          <w:szCs w:val="24"/>
        </w:rPr>
        <w:t>rīkoties kolektīvi</w:t>
      </w:r>
      <w:r w:rsidR="00EC7387">
        <w:rPr>
          <w:rFonts w:eastAsia="Times New Roman" w:cs="Times New Roman"/>
          <w:szCs w:val="24"/>
        </w:rPr>
        <w:t xml:space="preserve"> savu</w:t>
      </w:r>
      <w:r>
        <w:rPr>
          <w:rFonts w:eastAsia="Times New Roman" w:cs="Times New Roman"/>
          <w:szCs w:val="24"/>
        </w:rPr>
        <w:t xml:space="preserve"> </w:t>
      </w:r>
      <w:r w:rsidR="00EC7387">
        <w:rPr>
          <w:rFonts w:eastAsia="Times New Roman" w:cs="Times New Roman"/>
          <w:szCs w:val="24"/>
        </w:rPr>
        <w:t xml:space="preserve">tiesību </w:t>
      </w:r>
      <w:r w:rsidR="00AF79CE">
        <w:rPr>
          <w:rFonts w:eastAsia="Times New Roman" w:cs="Times New Roman"/>
          <w:szCs w:val="24"/>
        </w:rPr>
        <w:t>aizsargāšanā</w:t>
      </w:r>
      <w:r w:rsidR="00EC7387">
        <w:rPr>
          <w:rFonts w:eastAsia="Times New Roman" w:cs="Times New Roman"/>
          <w:szCs w:val="24"/>
        </w:rPr>
        <w:t xml:space="preserve">. </w:t>
      </w:r>
      <w:r w:rsidR="00EE609B">
        <w:rPr>
          <w:rFonts w:eastAsia="Times New Roman" w:cs="Times New Roman"/>
          <w:szCs w:val="24"/>
        </w:rPr>
        <w:t xml:space="preserve"> Investoru pārstāvis </w:t>
      </w:r>
      <w:r w:rsidR="00895DCA">
        <w:rPr>
          <w:rFonts w:eastAsia="Times New Roman" w:cs="Times New Roman"/>
          <w:szCs w:val="24"/>
        </w:rPr>
        <w:t>daudzu</w:t>
      </w:r>
      <w:r w:rsidR="00515F27">
        <w:rPr>
          <w:rFonts w:eastAsia="Times New Roman" w:cs="Times New Roman"/>
          <w:szCs w:val="24"/>
        </w:rPr>
        <w:t xml:space="preserve"> investoru vārdā veic </w:t>
      </w:r>
      <w:r w:rsidR="00FD6292">
        <w:rPr>
          <w:rFonts w:eastAsia="Times New Roman" w:cs="Times New Roman"/>
          <w:szCs w:val="24"/>
        </w:rPr>
        <w:t>vērtspapīru</w:t>
      </w:r>
      <w:r w:rsidR="00275012">
        <w:rPr>
          <w:rFonts w:eastAsia="Times New Roman" w:cs="Times New Roman"/>
          <w:szCs w:val="24"/>
        </w:rPr>
        <w:t xml:space="preserve"> emitenta saistību</w:t>
      </w:r>
      <w:r w:rsidR="00895DCA">
        <w:rPr>
          <w:rFonts w:eastAsia="Times New Roman" w:cs="Times New Roman"/>
          <w:szCs w:val="24"/>
        </w:rPr>
        <w:t xml:space="preserve"> uzraudzību un juridiski aizstāv investoru tiesības.</w:t>
      </w:r>
      <w:r w:rsidR="001A1EF2">
        <w:rPr>
          <w:rFonts w:eastAsia="Times New Roman" w:cs="Times New Roman"/>
          <w:szCs w:val="24"/>
        </w:rPr>
        <w:t xml:space="preserve"> </w:t>
      </w:r>
      <w:r w:rsidR="00275012">
        <w:rPr>
          <w:rFonts w:eastAsia="Times New Roman" w:cs="Times New Roman"/>
          <w:szCs w:val="24"/>
        </w:rPr>
        <w:t>Investoru pārstāv</w:t>
      </w:r>
      <w:r w:rsidR="00ED0489">
        <w:rPr>
          <w:rFonts w:eastAsia="Times New Roman" w:cs="Times New Roman"/>
          <w:szCs w:val="24"/>
        </w:rPr>
        <w:t xml:space="preserve">ja institūts </w:t>
      </w:r>
      <w:r w:rsidR="00DF3D70">
        <w:rPr>
          <w:rFonts w:eastAsia="Times New Roman" w:cs="Times New Roman"/>
          <w:szCs w:val="24"/>
        </w:rPr>
        <w:t>darbojas</w:t>
      </w:r>
      <w:r w:rsidR="00ED0489">
        <w:rPr>
          <w:rFonts w:eastAsia="Times New Roman" w:cs="Times New Roman"/>
          <w:szCs w:val="24"/>
        </w:rPr>
        <w:t xml:space="preserve"> daudzās jurisdikcijās, kā piemēram, ASV, Apvienotā Karalist</w:t>
      </w:r>
      <w:r w:rsidR="0012565D">
        <w:rPr>
          <w:rFonts w:eastAsia="Times New Roman" w:cs="Times New Roman"/>
          <w:szCs w:val="24"/>
        </w:rPr>
        <w:t>ē</w:t>
      </w:r>
      <w:r w:rsidR="00ED0489">
        <w:rPr>
          <w:rFonts w:eastAsia="Times New Roman" w:cs="Times New Roman"/>
          <w:szCs w:val="24"/>
        </w:rPr>
        <w:t>, Japān</w:t>
      </w:r>
      <w:r w:rsidR="0012565D">
        <w:rPr>
          <w:rFonts w:eastAsia="Times New Roman" w:cs="Times New Roman"/>
          <w:szCs w:val="24"/>
        </w:rPr>
        <w:t>ā</w:t>
      </w:r>
      <w:r w:rsidR="00FD6292">
        <w:rPr>
          <w:rFonts w:eastAsia="Times New Roman" w:cs="Times New Roman"/>
          <w:szCs w:val="24"/>
        </w:rPr>
        <w:t xml:space="preserve"> un Luksemburg</w:t>
      </w:r>
      <w:r w:rsidR="0012565D">
        <w:rPr>
          <w:rFonts w:eastAsia="Times New Roman" w:cs="Times New Roman"/>
          <w:szCs w:val="24"/>
        </w:rPr>
        <w:t>ā</w:t>
      </w:r>
      <w:r w:rsidR="00FD6292">
        <w:rPr>
          <w:rFonts w:eastAsia="Times New Roman" w:cs="Times New Roman"/>
          <w:szCs w:val="24"/>
        </w:rPr>
        <w:t>.</w:t>
      </w:r>
      <w:r w:rsidR="00DF3D70">
        <w:rPr>
          <w:rFonts w:eastAsia="Times New Roman" w:cs="Times New Roman"/>
          <w:szCs w:val="24"/>
        </w:rPr>
        <w:t xml:space="preserve"> Nepastāvot šādam </w:t>
      </w:r>
      <w:r w:rsidR="00B156D5">
        <w:rPr>
          <w:rFonts w:eastAsia="Times New Roman" w:cs="Times New Roman"/>
          <w:szCs w:val="24"/>
        </w:rPr>
        <w:t xml:space="preserve">tiesību pārstāvības </w:t>
      </w:r>
      <w:r w:rsidR="00DF3D70">
        <w:rPr>
          <w:rFonts w:eastAsia="Times New Roman" w:cs="Times New Roman"/>
          <w:szCs w:val="24"/>
        </w:rPr>
        <w:t xml:space="preserve">instrumentam, </w:t>
      </w:r>
      <w:r w:rsidR="006B4FD2">
        <w:rPr>
          <w:rFonts w:eastAsia="Times New Roman" w:cs="Times New Roman"/>
          <w:szCs w:val="24"/>
        </w:rPr>
        <w:t>gadījumos, kad aizņēmējs jeb emitents nespēj izpildīt parāda vērtspapīru noteikumos paredzētās saistības,</w:t>
      </w:r>
      <w:r w:rsidR="003037CE">
        <w:rPr>
          <w:rFonts w:eastAsia="Times New Roman" w:cs="Times New Roman"/>
          <w:szCs w:val="24"/>
        </w:rPr>
        <w:t xml:space="preserve"> </w:t>
      </w:r>
      <w:r w:rsidR="00EF0370">
        <w:rPr>
          <w:rFonts w:eastAsia="Times New Roman" w:cs="Times New Roman"/>
          <w:szCs w:val="24"/>
        </w:rPr>
        <w:t xml:space="preserve">pastāv riski </w:t>
      </w:r>
      <w:r w:rsidR="004C57BF">
        <w:rPr>
          <w:rFonts w:eastAsia="Times New Roman" w:cs="Times New Roman"/>
          <w:szCs w:val="24"/>
        </w:rPr>
        <w:t xml:space="preserve">investoru interešu </w:t>
      </w:r>
      <w:r w:rsidR="006B4FD2">
        <w:rPr>
          <w:rFonts w:eastAsia="Times New Roman" w:cs="Times New Roman"/>
          <w:szCs w:val="24"/>
        </w:rPr>
        <w:t>atbilstošai</w:t>
      </w:r>
      <w:r w:rsidR="004C57BF">
        <w:rPr>
          <w:rFonts w:eastAsia="Times New Roman" w:cs="Times New Roman"/>
          <w:szCs w:val="24"/>
        </w:rPr>
        <w:t xml:space="preserve"> aizsardzībai</w:t>
      </w:r>
      <w:r w:rsidR="003037CE">
        <w:rPr>
          <w:rFonts w:eastAsia="Times New Roman" w:cs="Times New Roman"/>
          <w:szCs w:val="24"/>
        </w:rPr>
        <w:t>, atstājot</w:t>
      </w:r>
      <w:r w:rsidR="009D3E22">
        <w:rPr>
          <w:rFonts w:eastAsia="Times New Roman" w:cs="Times New Roman"/>
          <w:szCs w:val="24"/>
        </w:rPr>
        <w:t xml:space="preserve"> plašāku</w:t>
      </w:r>
      <w:r w:rsidR="003037CE">
        <w:rPr>
          <w:rFonts w:eastAsia="Times New Roman" w:cs="Times New Roman"/>
          <w:szCs w:val="24"/>
        </w:rPr>
        <w:t xml:space="preserve"> negatīvu </w:t>
      </w:r>
      <w:r w:rsidR="006B4FD2">
        <w:rPr>
          <w:rFonts w:eastAsia="Times New Roman" w:cs="Times New Roman"/>
          <w:szCs w:val="24"/>
        </w:rPr>
        <w:t>ietekmi</w:t>
      </w:r>
      <w:r w:rsidR="009D3E22">
        <w:rPr>
          <w:rFonts w:eastAsia="Times New Roman" w:cs="Times New Roman"/>
          <w:szCs w:val="24"/>
        </w:rPr>
        <w:t xml:space="preserve"> uz vērtspapīru tirgu kopumā.</w:t>
      </w:r>
    </w:p>
    <w:p w14:paraId="03EE4275" w14:textId="135533D4" w:rsidR="00CA4FA1" w:rsidRPr="00BD22C3" w:rsidRDefault="5290F701" w:rsidP="5F98231E">
      <w:pPr>
        <w:spacing w:after="160" w:line="257" w:lineRule="auto"/>
        <w:ind w:firstLine="720"/>
        <w:jc w:val="both"/>
        <w:rPr>
          <w:rFonts w:eastAsia="Times New Roman" w:cs="Times New Roman"/>
          <w:szCs w:val="24"/>
        </w:rPr>
      </w:pPr>
      <w:r w:rsidRPr="5F98231E">
        <w:rPr>
          <w:rFonts w:eastAsia="Times New Roman" w:cs="Times New Roman"/>
          <w:szCs w:val="24"/>
        </w:rPr>
        <w:t xml:space="preserve">Ieviešot attiecīgo konceptu, tiktu nodrošināta lielāka caurspīdība, drošība un uzticēšanās starp emitentu un investoriem. Tas ir īpaši svarīgi, ja uzņēmums vēlas piesaistīt institucionālos vai starptautiskos investorus. Investoru tiesību pārstāvis uzlabotu uzticību, samazinātu riskus, </w:t>
      </w:r>
      <w:r w:rsidR="0000109B">
        <w:rPr>
          <w:rFonts w:eastAsia="Times New Roman" w:cs="Times New Roman"/>
          <w:szCs w:val="24"/>
        </w:rPr>
        <w:t xml:space="preserve">palīdzētu </w:t>
      </w:r>
      <w:r w:rsidRPr="5F98231E">
        <w:rPr>
          <w:rFonts w:eastAsia="Times New Roman" w:cs="Times New Roman"/>
          <w:szCs w:val="24"/>
        </w:rPr>
        <w:t>investoriem aizsargāt savas intereses un atvieglo komunikāciju starp pusēm. Uzņēmumam tas var nozīmēt labākus obligāciju emisijas nosacījumus, lielāku pieprasījumu un mazāku juridisko risku.</w:t>
      </w:r>
    </w:p>
    <w:p w14:paraId="1319141F" w14:textId="6BE7895A" w:rsidR="00CA4FA1" w:rsidRDefault="4ACC7391" w:rsidP="5F98231E">
      <w:pPr>
        <w:spacing w:after="160" w:line="257" w:lineRule="auto"/>
        <w:jc w:val="both"/>
        <w:rPr>
          <w:rFonts w:eastAsia="Times New Roman" w:cs="Times New Roman"/>
          <w:b/>
          <w:bCs/>
          <w:szCs w:val="24"/>
          <w:u w:val="single"/>
        </w:rPr>
      </w:pPr>
      <w:r w:rsidRPr="5F98231E">
        <w:rPr>
          <w:rFonts w:eastAsia="Times New Roman" w:cs="Times New Roman"/>
          <w:b/>
          <w:bCs/>
          <w:szCs w:val="24"/>
          <w:u w:val="single"/>
        </w:rPr>
        <w:t>Priekšlikums</w:t>
      </w:r>
      <w:r w:rsidR="5290F701" w:rsidRPr="5F98231E">
        <w:rPr>
          <w:rFonts w:eastAsia="Times New Roman" w:cs="Times New Roman"/>
          <w:b/>
          <w:bCs/>
          <w:szCs w:val="24"/>
          <w:u w:val="single"/>
        </w:rPr>
        <w:t xml:space="preserve">: </w:t>
      </w:r>
      <w:r w:rsidR="0021535C">
        <w:rPr>
          <w:rFonts w:eastAsia="Times New Roman" w:cs="Times New Roman"/>
          <w:b/>
          <w:bCs/>
          <w:szCs w:val="24"/>
          <w:u w:val="single"/>
        </w:rPr>
        <w:t xml:space="preserve">veikt normatīvo aktu analīzi un </w:t>
      </w:r>
      <w:r w:rsidR="7FF098A6" w:rsidRPr="5F98231E">
        <w:rPr>
          <w:rFonts w:eastAsia="Times New Roman" w:cs="Times New Roman"/>
          <w:b/>
          <w:bCs/>
          <w:szCs w:val="24"/>
          <w:u w:val="single"/>
        </w:rPr>
        <w:t>izstrādāt nepieciešamos grozījumus normatīvajos aktos, lai ieviestu investoru pārstāvja institūtu</w:t>
      </w:r>
      <w:r w:rsidR="00026D15">
        <w:rPr>
          <w:rFonts w:eastAsia="Times New Roman" w:cs="Times New Roman"/>
          <w:b/>
          <w:bCs/>
          <w:szCs w:val="24"/>
          <w:u w:val="single"/>
        </w:rPr>
        <w:t xml:space="preserve"> (</w:t>
      </w:r>
      <w:r w:rsidR="00212C08">
        <w:rPr>
          <w:rFonts w:eastAsia="Times New Roman" w:cs="Times New Roman"/>
          <w:b/>
          <w:bCs/>
          <w:szCs w:val="24"/>
          <w:u w:val="single"/>
        </w:rPr>
        <w:t>jēdzienu)</w:t>
      </w:r>
      <w:r w:rsidR="7FF098A6" w:rsidRPr="5F98231E">
        <w:rPr>
          <w:rFonts w:eastAsia="Times New Roman" w:cs="Times New Roman"/>
          <w:b/>
          <w:bCs/>
          <w:szCs w:val="24"/>
          <w:u w:val="single"/>
        </w:rPr>
        <w:t xml:space="preserve"> Latvijas tiesību sistēmā.</w:t>
      </w:r>
      <w:r w:rsidR="5290F701" w:rsidRPr="5F98231E">
        <w:rPr>
          <w:rFonts w:eastAsia="Times New Roman" w:cs="Times New Roman"/>
          <w:b/>
          <w:bCs/>
          <w:szCs w:val="24"/>
          <w:u w:val="single"/>
        </w:rPr>
        <w:t xml:space="preserve"> </w:t>
      </w:r>
    </w:p>
    <w:p w14:paraId="45B9587A" w14:textId="77777777" w:rsidR="008C5BD9" w:rsidRDefault="008C5BD9" w:rsidP="003A3756">
      <w:pPr>
        <w:spacing w:after="160" w:line="257" w:lineRule="auto"/>
        <w:ind w:firstLine="720"/>
        <w:jc w:val="both"/>
        <w:rPr>
          <w:rFonts w:eastAsia="Times New Roman" w:cs="Times New Roman"/>
          <w:b/>
          <w:bCs/>
          <w:szCs w:val="24"/>
        </w:rPr>
      </w:pPr>
    </w:p>
    <w:p w14:paraId="3FCA7873" w14:textId="17A8E72D" w:rsidR="003A3756" w:rsidRPr="003A3756" w:rsidRDefault="00087F99" w:rsidP="003A3756">
      <w:pPr>
        <w:spacing w:after="160" w:line="257" w:lineRule="auto"/>
        <w:ind w:firstLine="720"/>
        <w:jc w:val="both"/>
        <w:rPr>
          <w:rFonts w:eastAsia="Times New Roman" w:cs="Times New Roman"/>
          <w:b/>
          <w:bCs/>
          <w:szCs w:val="24"/>
        </w:rPr>
      </w:pPr>
      <w:r w:rsidRPr="003A3756">
        <w:rPr>
          <w:rFonts w:eastAsia="Times New Roman" w:cs="Times New Roman"/>
          <w:b/>
          <w:bCs/>
          <w:szCs w:val="24"/>
        </w:rPr>
        <w:t xml:space="preserve">3.7. </w:t>
      </w:r>
      <w:r w:rsidR="00062184">
        <w:rPr>
          <w:rFonts w:eastAsia="Times New Roman" w:cs="Times New Roman"/>
          <w:b/>
          <w:bCs/>
          <w:szCs w:val="24"/>
        </w:rPr>
        <w:t>Nekustamā īpašuma investīciju trasta</w:t>
      </w:r>
      <w:r w:rsidR="003A3756" w:rsidRPr="003A3756">
        <w:rPr>
          <w:rFonts w:eastAsia="Times New Roman" w:cs="Times New Roman"/>
          <w:b/>
          <w:bCs/>
          <w:szCs w:val="24"/>
        </w:rPr>
        <w:t xml:space="preserve"> </w:t>
      </w:r>
      <w:r w:rsidR="007D3D87">
        <w:rPr>
          <w:rFonts w:eastAsia="Times New Roman" w:cs="Times New Roman"/>
          <w:b/>
          <w:bCs/>
          <w:szCs w:val="24"/>
        </w:rPr>
        <w:t>koncepta ieviešana Latvijā</w:t>
      </w:r>
    </w:p>
    <w:p w14:paraId="557BAA78" w14:textId="3F53C4FD" w:rsidR="003A3756" w:rsidRPr="003A3756" w:rsidRDefault="007D3D87" w:rsidP="008C7611">
      <w:pPr>
        <w:spacing w:after="160" w:line="257" w:lineRule="auto"/>
        <w:ind w:firstLine="720"/>
        <w:jc w:val="both"/>
        <w:rPr>
          <w:rFonts w:eastAsia="Times New Roman" w:cs="Times New Roman"/>
          <w:szCs w:val="24"/>
        </w:rPr>
      </w:pPr>
      <w:r>
        <w:rPr>
          <w:rFonts w:eastAsia="Times New Roman" w:cs="Times New Roman"/>
          <w:szCs w:val="24"/>
        </w:rPr>
        <w:t>Nekusta</w:t>
      </w:r>
      <w:r w:rsidR="00081066">
        <w:rPr>
          <w:rFonts w:eastAsia="Times New Roman" w:cs="Times New Roman"/>
          <w:szCs w:val="24"/>
        </w:rPr>
        <w:t xml:space="preserve">mā īpašuma </w:t>
      </w:r>
      <w:r w:rsidR="00651C99">
        <w:rPr>
          <w:rFonts w:eastAsia="Times New Roman" w:cs="Times New Roman"/>
          <w:szCs w:val="24"/>
        </w:rPr>
        <w:t xml:space="preserve">investīciju trasts, ko </w:t>
      </w:r>
      <w:r w:rsidR="002F699B">
        <w:rPr>
          <w:rFonts w:eastAsia="Times New Roman" w:cs="Times New Roman"/>
          <w:szCs w:val="24"/>
        </w:rPr>
        <w:t xml:space="preserve">finanšu </w:t>
      </w:r>
      <w:r w:rsidR="00651C99">
        <w:rPr>
          <w:rFonts w:eastAsia="Times New Roman" w:cs="Times New Roman"/>
          <w:szCs w:val="24"/>
        </w:rPr>
        <w:t xml:space="preserve">pasaulē apzīmē </w:t>
      </w:r>
      <w:r w:rsidR="002F699B">
        <w:rPr>
          <w:rFonts w:eastAsia="Times New Roman" w:cs="Times New Roman"/>
          <w:szCs w:val="24"/>
        </w:rPr>
        <w:t xml:space="preserve">ar saīsinājumu </w:t>
      </w:r>
      <w:r w:rsidR="008C7611">
        <w:rPr>
          <w:rFonts w:eastAsia="Times New Roman" w:cs="Times New Roman"/>
          <w:szCs w:val="24"/>
        </w:rPr>
        <w:t xml:space="preserve">REIT </w:t>
      </w:r>
      <w:r w:rsidR="008C7611" w:rsidRPr="002F699B">
        <w:rPr>
          <w:rFonts w:eastAsia="Times New Roman" w:cs="Times New Roman"/>
          <w:i/>
          <w:iCs/>
          <w:szCs w:val="24"/>
        </w:rPr>
        <w:t>(</w:t>
      </w:r>
      <w:r w:rsidR="002F699B" w:rsidRPr="002F699B">
        <w:rPr>
          <w:rFonts w:eastAsia="Times New Roman" w:cs="Times New Roman"/>
          <w:i/>
          <w:iCs/>
          <w:szCs w:val="24"/>
        </w:rPr>
        <w:t xml:space="preserve">no angļu val. </w:t>
      </w:r>
      <w:r w:rsidR="003A3756" w:rsidRPr="002F699B">
        <w:rPr>
          <w:rFonts w:eastAsia="Times New Roman" w:cs="Times New Roman"/>
          <w:i/>
          <w:iCs/>
          <w:szCs w:val="24"/>
        </w:rPr>
        <w:t>Real Estate Investment Trust</w:t>
      </w:r>
      <w:r w:rsidR="008C7611" w:rsidRPr="002F699B">
        <w:rPr>
          <w:rFonts w:eastAsia="Times New Roman" w:cs="Times New Roman"/>
          <w:i/>
          <w:iCs/>
          <w:szCs w:val="24"/>
        </w:rPr>
        <w:t>)</w:t>
      </w:r>
      <w:r w:rsidR="003A3756" w:rsidRPr="002F699B">
        <w:rPr>
          <w:rFonts w:eastAsia="Times New Roman" w:cs="Times New Roman"/>
          <w:i/>
          <w:iCs/>
          <w:szCs w:val="24"/>
        </w:rPr>
        <w:t xml:space="preserve"> </w:t>
      </w:r>
      <w:r w:rsidR="003A3756" w:rsidRPr="003A3756">
        <w:rPr>
          <w:rFonts w:eastAsia="Times New Roman" w:cs="Times New Roman"/>
          <w:szCs w:val="24"/>
        </w:rPr>
        <w:t xml:space="preserve">ir juridiska struktūra, kas paredzēta ieguldījumiem nekustamajā īpašumā, kas gūst ienākumus. REIT uzņēmumi iegulda, ir īpašnieki un pārvalda ienākumus nesošu nekustamo īpašumu vai arī nodarbojas ar šādu īpašumu finansēšanu. Atkarībā no fonda specializācijas mērķa objektu klāsts var būt </w:t>
      </w:r>
      <w:r w:rsidR="003A3756" w:rsidRPr="003A3756">
        <w:rPr>
          <w:rFonts w:eastAsia="Times New Roman" w:cs="Times New Roman"/>
          <w:szCs w:val="24"/>
        </w:rPr>
        <w:lastRenderedPageBreak/>
        <w:t>plašs: biroju telpas, komerciāli un tirdzniecības objekti, noliktavas, dzīvojamās mājas, medicīnas iestādes, valsts nozīmes objekti un tam līdzīgi.</w:t>
      </w:r>
    </w:p>
    <w:p w14:paraId="04479D82" w14:textId="77777777"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REIT raksturo vairākas galvenās iezīmes, piemēram, ienākumu sadale - saskaņā ar likumdošanas, kas ir spēkā fonda reģistrācijas valstī, prasībām REIT pienākums parasti ir vismaz 90% (dažās valstīs 80%) tīrās peļņas izmaksāt investoriem dividenžu veidā. Savukārt investora, kura rīcībā ir REIT fondu daļas, ienākumus veido gan vērtspapīru vērtības pieaugums, gan arī regulāras dividenžu izmaksas.</w:t>
      </w:r>
    </w:p>
    <w:p w14:paraId="4A722485" w14:textId="7828E2EB"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 xml:space="preserve">Būtisks ir arī publiskās pieejamības aspekts, proti, REIT bieži ir kotēti biržā, kas ļauj investoriem ieguldīt nekustamajā īpašumā bez nepieciešamības tieši to iegādāties, tādējādi ļaujot nemaksāt apdrošināšanas iemaksas un nekustamā īpašuma nodokli, ka arī neiesaistīties īpašuma apsaimniekošanā un remontu darbos. </w:t>
      </w:r>
      <w:r w:rsidR="009C6AD0">
        <w:rPr>
          <w:rFonts w:eastAsia="Times New Roman" w:cs="Times New Roman"/>
          <w:szCs w:val="24"/>
        </w:rPr>
        <w:t>Nekustamā īpašuma nodokli maksā Nekustamā īpašuma investīciju trasts kā juridiska persona.</w:t>
      </w:r>
      <w:r w:rsidR="00F671CD">
        <w:rPr>
          <w:rFonts w:eastAsia="Times New Roman" w:cs="Times New Roman"/>
          <w:szCs w:val="24"/>
        </w:rPr>
        <w:t xml:space="preserve"> REIT piemērotā nekustāmā īpašuma likme neatšķiras no citiem komerciālā nekustamā īpašuma objektiem.</w:t>
      </w:r>
      <w:r w:rsidR="009C6AD0">
        <w:rPr>
          <w:rFonts w:eastAsia="Times New Roman" w:cs="Times New Roman"/>
          <w:szCs w:val="24"/>
        </w:rPr>
        <w:t xml:space="preserve"> </w:t>
      </w:r>
      <w:r w:rsidRPr="003A3756">
        <w:rPr>
          <w:rFonts w:eastAsia="Times New Roman" w:cs="Times New Roman"/>
          <w:szCs w:val="24"/>
        </w:rPr>
        <w:t>Raksturīga REIT pazīme ir nodokļa priekšrocības, jo dažādās valstīs REIT parasti ir atbrīvoti no uzņēmumu ienākuma nodokļa, ja tiek ievēroti regulējuma noteikumi. Lai REIT varētu efektīvi darboties svarīga ir stingri noteiktu tiesiskā caurspīdīguma nosacījumu ietveršana nacionālajā tiesiskajā regulējumā.</w:t>
      </w:r>
    </w:p>
    <w:p w14:paraId="17EFE72C" w14:textId="77777777"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REIT ieviešana Latvijā veicinātu kapitāla piesaisti nekustamā īpašuma tirgum, jo REIT ļauj gan vietējiem, gan ārvalstu investoriem vienkārši ieguldīt Latvijas nekustamajā īpašumā, veicinot tirgus izaugsmi kopumā. Tajā pašā laikā ar REIT konceptu mazākajiem investoriem tiek nodrošināta iespēja ieguldīt likvīdos nekustamā īpašuma aktīvos, neuzņemoties riskus, kas saistīti ar tiešu īpašuma pārvaldību. Ņemot vērā minēto, REIT koncepta ieviešana stimulētu investīcijas, nodarbinātību un infrastruktūras attīstību, tādējādi veicinot ekonomisko izaugsmi.</w:t>
      </w:r>
    </w:p>
    <w:p w14:paraId="69844931" w14:textId="77777777"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REIT koncepts dažādās valstīs tiek īstenots atšķirīgās juridiskās formās (tajā skaitā, piemēram, kā akciju sabiedrības). Latvijā pastāvošais likumdošanas ietvars (tas ir, Alternatīvo ieguldījumu fondu un to pārvaldnieku likums un Finanšu instrumentu tirgus likums) pieļauj alternatīvo ieguldījumu fondu izveidi, kuros publiskais finansējums var tikt piesaistīts ar konkrētu mērķi, tajā skaitā nekustamā īpašuma attīstīšanu, iegādi un apsaimniekošanu. Vienlaikus konstatējams, ka atsevišķs, tieši uz REIT mērķēts regulējums nepastāv un valstiskā līmenī nav vērtēta tā ieviešanas nepieciešamība un iespējamība.</w:t>
      </w:r>
    </w:p>
    <w:p w14:paraId="12F8BE36" w14:textId="7FE48DD5" w:rsidR="003A3756" w:rsidRPr="003A3756" w:rsidRDefault="003A3756" w:rsidP="008C7611">
      <w:pPr>
        <w:spacing w:after="160" w:line="257" w:lineRule="auto"/>
        <w:ind w:firstLine="720"/>
        <w:jc w:val="both"/>
        <w:rPr>
          <w:rFonts w:eastAsia="Times New Roman" w:cs="Times New Roman"/>
          <w:szCs w:val="24"/>
        </w:rPr>
      </w:pPr>
      <w:r w:rsidRPr="003A3756">
        <w:rPr>
          <w:rFonts w:eastAsia="Times New Roman" w:cs="Times New Roman"/>
          <w:szCs w:val="24"/>
        </w:rPr>
        <w:t>Domājot par iespējamo REIT koncepta īstenošanu vai pilnveidošanu Latvijā, jāizvērtē un jāsalīdzina dažādi iespējamie struktūras uzbūves juridiskie risinājumi, kas nodrošinātu maksimāli efektīvu struktūras darbību</w:t>
      </w:r>
      <w:r w:rsidR="003A09FE">
        <w:rPr>
          <w:rFonts w:eastAsia="Times New Roman" w:cs="Times New Roman"/>
          <w:szCs w:val="24"/>
        </w:rPr>
        <w:t>.</w:t>
      </w:r>
    </w:p>
    <w:p w14:paraId="2D4BE46D" w14:textId="498E6D4F" w:rsidR="00087F99" w:rsidRDefault="003A3756" w:rsidP="002F699B">
      <w:pPr>
        <w:spacing w:after="160" w:line="257" w:lineRule="auto"/>
        <w:ind w:firstLine="720"/>
        <w:jc w:val="both"/>
        <w:rPr>
          <w:rFonts w:eastAsia="Times New Roman" w:cs="Times New Roman"/>
          <w:b/>
          <w:bCs/>
          <w:szCs w:val="24"/>
          <w:u w:val="single"/>
        </w:rPr>
      </w:pPr>
      <w:r w:rsidRPr="002F699B">
        <w:rPr>
          <w:rFonts w:eastAsia="Times New Roman" w:cs="Times New Roman"/>
          <w:b/>
          <w:bCs/>
          <w:szCs w:val="24"/>
          <w:u w:val="single"/>
        </w:rPr>
        <w:t xml:space="preserve">Priekšlikums. Izvērtēt lietderību un iespējas REIT regulējuma ieviešanai Latvijā un iesniegt informatīvo ziņojumu </w:t>
      </w:r>
      <w:r w:rsidR="00062184">
        <w:rPr>
          <w:rFonts w:eastAsia="Times New Roman" w:cs="Times New Roman"/>
          <w:b/>
          <w:bCs/>
          <w:szCs w:val="24"/>
          <w:u w:val="single"/>
        </w:rPr>
        <w:t>Ministru kabinetā par priekšlikumiem tā īstenošanai</w:t>
      </w:r>
      <w:r w:rsidR="00C07E57">
        <w:rPr>
          <w:rFonts w:eastAsia="Times New Roman" w:cs="Times New Roman"/>
          <w:b/>
          <w:bCs/>
          <w:szCs w:val="24"/>
          <w:u w:val="single"/>
        </w:rPr>
        <w:t xml:space="preserve">. </w:t>
      </w:r>
    </w:p>
    <w:p w14:paraId="7F74C821" w14:textId="77777777" w:rsidR="00B63B47" w:rsidRDefault="00B63B47" w:rsidP="002F699B">
      <w:pPr>
        <w:spacing w:after="160" w:line="257" w:lineRule="auto"/>
        <w:ind w:firstLine="720"/>
        <w:jc w:val="both"/>
        <w:rPr>
          <w:rFonts w:eastAsia="Times New Roman" w:cs="Times New Roman"/>
          <w:b/>
          <w:bCs/>
          <w:szCs w:val="24"/>
          <w:u w:val="single"/>
        </w:rPr>
      </w:pPr>
    </w:p>
    <w:p w14:paraId="75757B9B" w14:textId="05C74B7C" w:rsidR="00B63B47" w:rsidRPr="00992AAD" w:rsidRDefault="00992AAD" w:rsidP="00B63B47">
      <w:pPr>
        <w:spacing w:after="160" w:line="257" w:lineRule="auto"/>
        <w:ind w:firstLine="720"/>
        <w:jc w:val="both"/>
        <w:rPr>
          <w:rFonts w:eastAsia="Times New Roman" w:cs="Times New Roman"/>
          <w:b/>
          <w:bCs/>
          <w:szCs w:val="24"/>
        </w:rPr>
      </w:pPr>
      <w:r w:rsidRPr="00992AAD">
        <w:rPr>
          <w:rFonts w:eastAsia="Times New Roman" w:cs="Times New Roman"/>
          <w:b/>
          <w:bCs/>
          <w:szCs w:val="24"/>
        </w:rPr>
        <w:t xml:space="preserve">3.8. </w:t>
      </w:r>
      <w:r w:rsidR="00B63B47" w:rsidRPr="00992AAD">
        <w:rPr>
          <w:rFonts w:eastAsia="Times New Roman" w:cs="Times New Roman"/>
          <w:b/>
          <w:bCs/>
          <w:szCs w:val="24"/>
        </w:rPr>
        <w:t xml:space="preserve">Vērtspapīrošana </w:t>
      </w:r>
    </w:p>
    <w:p w14:paraId="075D781A" w14:textId="7E222D1F" w:rsidR="001C7386" w:rsidRDefault="003B2906" w:rsidP="00C65D25">
      <w:pPr>
        <w:spacing w:after="160" w:line="257" w:lineRule="auto"/>
        <w:ind w:firstLine="720"/>
        <w:jc w:val="both"/>
        <w:rPr>
          <w:rFonts w:eastAsia="Times New Roman" w:cs="Times New Roman"/>
          <w:szCs w:val="24"/>
        </w:rPr>
      </w:pPr>
      <w:r>
        <w:rPr>
          <w:rFonts w:eastAsia="Times New Roman" w:cs="Times New Roman"/>
          <w:szCs w:val="24"/>
        </w:rPr>
        <w:t xml:space="preserve">Kā minēts Eiropas Komisijas paziņojumā par </w:t>
      </w:r>
      <w:r w:rsidR="001554D5">
        <w:rPr>
          <w:rFonts w:eastAsia="Times New Roman" w:cs="Times New Roman"/>
          <w:szCs w:val="24"/>
        </w:rPr>
        <w:t>Uzkrājumu un investīciju savienību</w:t>
      </w:r>
      <w:r w:rsidR="002121A9">
        <w:rPr>
          <w:rFonts w:eastAsia="Times New Roman" w:cs="Times New Roman"/>
          <w:szCs w:val="24"/>
        </w:rPr>
        <w:t>,</w:t>
      </w:r>
      <w:r w:rsidR="001554D5">
        <w:rPr>
          <w:rFonts w:eastAsia="Times New Roman" w:cs="Times New Roman"/>
          <w:szCs w:val="24"/>
        </w:rPr>
        <w:t xml:space="preserve"> v</w:t>
      </w:r>
      <w:r w:rsidR="00B63B47" w:rsidRPr="00B63B47">
        <w:rPr>
          <w:rFonts w:eastAsia="Times New Roman" w:cs="Times New Roman"/>
          <w:szCs w:val="24"/>
        </w:rPr>
        <w:t xml:space="preserve">ērtspapīrošana var veicināt investīcijas, ļaujot bankām nodot riskus tiem, </w:t>
      </w:r>
      <w:r w:rsidR="00B63B47" w:rsidRPr="00B63B47">
        <w:rPr>
          <w:rFonts w:eastAsia="Times New Roman" w:cs="Times New Roman"/>
          <w:szCs w:val="24"/>
        </w:rPr>
        <w:lastRenderedPageBreak/>
        <w:t xml:space="preserve">kas spēj tos uzņemties, un tādējādi atbrīvot savu kapitālu papildu aizdevumiem mājsaimniecībām un uzņēmumiem, tostarp </w:t>
      </w:r>
      <w:r w:rsidR="003D44A8">
        <w:rPr>
          <w:rFonts w:eastAsia="Times New Roman" w:cs="Times New Roman"/>
          <w:szCs w:val="24"/>
        </w:rPr>
        <w:t>maziem un vidējiem uzņēmumiem</w:t>
      </w:r>
      <w:r w:rsidR="00B63B47" w:rsidRPr="00B63B47">
        <w:rPr>
          <w:rFonts w:eastAsia="Times New Roman" w:cs="Times New Roman"/>
          <w:szCs w:val="24"/>
        </w:rPr>
        <w:t>. E</w:t>
      </w:r>
      <w:r w:rsidR="003D44A8">
        <w:rPr>
          <w:rFonts w:eastAsia="Times New Roman" w:cs="Times New Roman"/>
          <w:szCs w:val="24"/>
        </w:rPr>
        <w:t xml:space="preserve">iropas </w:t>
      </w:r>
      <w:r w:rsidR="00B63B47" w:rsidRPr="00B63B47">
        <w:rPr>
          <w:rFonts w:eastAsia="Times New Roman" w:cs="Times New Roman"/>
          <w:szCs w:val="24"/>
        </w:rPr>
        <w:t>S</w:t>
      </w:r>
      <w:r w:rsidR="003D44A8">
        <w:rPr>
          <w:rFonts w:eastAsia="Times New Roman" w:cs="Times New Roman"/>
          <w:szCs w:val="24"/>
        </w:rPr>
        <w:t>avienībā</w:t>
      </w:r>
      <w:r w:rsidR="00B63B47" w:rsidRPr="00B63B47">
        <w:rPr>
          <w:rFonts w:eastAsia="Times New Roman" w:cs="Times New Roman"/>
          <w:szCs w:val="24"/>
        </w:rPr>
        <w:t xml:space="preserve"> vērtspapīrošanas regulējums, kas aptver gan vienkāršu, pārredzamu un standartizētu vērtspapīrošanu, gan ar </w:t>
      </w:r>
      <w:r w:rsidR="003D44A8">
        <w:rPr>
          <w:rFonts w:eastAsia="Times New Roman" w:cs="Times New Roman"/>
          <w:szCs w:val="24"/>
        </w:rPr>
        <w:t>to</w:t>
      </w:r>
      <w:r w:rsidR="003D44A8" w:rsidRPr="00B63B47">
        <w:rPr>
          <w:rFonts w:eastAsia="Times New Roman" w:cs="Times New Roman"/>
          <w:szCs w:val="24"/>
        </w:rPr>
        <w:t xml:space="preserve"> </w:t>
      </w:r>
      <w:r w:rsidR="00B63B47" w:rsidRPr="00B63B47">
        <w:rPr>
          <w:rFonts w:eastAsia="Times New Roman" w:cs="Times New Roman"/>
          <w:szCs w:val="24"/>
        </w:rPr>
        <w:t xml:space="preserve">nesaistītu vērtspapīrošanu, ir pastiprinājis tirgus pārredzamību, drošību un standartizāciju. </w:t>
      </w:r>
      <w:r w:rsidR="000025C2">
        <w:rPr>
          <w:rFonts w:eastAsia="Times New Roman" w:cs="Times New Roman"/>
          <w:szCs w:val="24"/>
        </w:rPr>
        <w:t>Tomēr v</w:t>
      </w:r>
      <w:r w:rsidR="003546D2">
        <w:rPr>
          <w:rFonts w:eastAsia="Times New Roman" w:cs="Times New Roman"/>
          <w:szCs w:val="24"/>
        </w:rPr>
        <w:t>aram novērot, ka</w:t>
      </w:r>
      <w:r w:rsidR="00A669A6">
        <w:rPr>
          <w:rFonts w:eastAsia="Times New Roman" w:cs="Times New Roman"/>
          <w:szCs w:val="24"/>
        </w:rPr>
        <w:t xml:space="preserve"> Eiropas Savienībā </w:t>
      </w:r>
      <w:r w:rsidR="00C65D25">
        <w:rPr>
          <w:rFonts w:eastAsia="Times New Roman" w:cs="Times New Roman"/>
          <w:szCs w:val="24"/>
        </w:rPr>
        <w:t>šobrīd klasiskā (naudas) vērtspapīrošana</w:t>
      </w:r>
      <w:r w:rsidR="00627E75">
        <w:rPr>
          <w:rFonts w:eastAsia="Times New Roman" w:cs="Times New Roman"/>
          <w:szCs w:val="24"/>
        </w:rPr>
        <w:t xml:space="preserve"> notiek</w:t>
      </w:r>
      <w:r w:rsidR="0006755D">
        <w:rPr>
          <w:rFonts w:eastAsia="Times New Roman" w:cs="Times New Roman"/>
          <w:szCs w:val="24"/>
        </w:rPr>
        <w:t xml:space="preserve"> tikai</w:t>
      </w:r>
      <w:r w:rsidR="00627E75">
        <w:rPr>
          <w:rFonts w:eastAsia="Times New Roman" w:cs="Times New Roman"/>
          <w:szCs w:val="24"/>
        </w:rPr>
        <w:t xml:space="preserve"> nelielos apjomos, kamēr izplatītāka ir sintētiskā vērtspapīrošana.</w:t>
      </w:r>
      <w:r w:rsidR="0072563D">
        <w:rPr>
          <w:rFonts w:eastAsia="Times New Roman" w:cs="Times New Roman"/>
          <w:szCs w:val="24"/>
        </w:rPr>
        <w:t xml:space="preserve"> </w:t>
      </w:r>
      <w:r w:rsidR="00C65D25">
        <w:rPr>
          <w:rFonts w:eastAsia="Times New Roman" w:cs="Times New Roman"/>
          <w:szCs w:val="24"/>
        </w:rPr>
        <w:t xml:space="preserve"> </w:t>
      </w:r>
    </w:p>
    <w:p w14:paraId="4288621C" w14:textId="33131F44" w:rsidR="001C7386" w:rsidRDefault="001C7386" w:rsidP="00C713F5">
      <w:pPr>
        <w:ind w:firstLine="720"/>
        <w:jc w:val="both"/>
      </w:pPr>
      <w:r>
        <w:rPr>
          <w:rFonts w:eastAsia="Times New Roman" w:cs="Times New Roman"/>
          <w:szCs w:val="24"/>
        </w:rPr>
        <w:t>2025.gada jūnijā Eiropas Komisija nāca klajā ar priekšlikumu kopumu, lai ES vērtspapīrošanas regulējumu padarītu vienkāršāku un atbilstīgāku mērķim</w:t>
      </w:r>
      <w:r>
        <w:rPr>
          <w:rStyle w:val="FootnoteReference"/>
          <w:rFonts w:eastAsia="Times New Roman" w:cs="Times New Roman"/>
          <w:szCs w:val="24"/>
        </w:rPr>
        <w:footnoteReference w:id="11"/>
      </w:r>
      <w:r>
        <w:rPr>
          <w:rFonts w:eastAsia="Times New Roman" w:cs="Times New Roman"/>
          <w:szCs w:val="24"/>
        </w:rPr>
        <w:t xml:space="preserve">. </w:t>
      </w:r>
      <w:r>
        <w:t xml:space="preserve">Saskaņā ar Eiropas Komisijas sniegto pamatojumu šo tiesību aktu priekšlikumiem, </w:t>
      </w:r>
      <w:r w:rsidRPr="0015207E">
        <w:t xml:space="preserve">Eiropas vērtspapīrošanas tirgus darbības </w:t>
      </w:r>
      <w:r>
        <w:t>aktivizēšana</w:t>
      </w:r>
      <w:r w:rsidRPr="0015207E">
        <w:t xml:space="preserve"> var palīdzēt palielināt reālajai ekonomikai pieejamā finansējuma apjomu.</w:t>
      </w:r>
      <w:r>
        <w:t xml:space="preserve"> </w:t>
      </w:r>
      <w:r w:rsidRPr="007C1004">
        <w:t xml:space="preserve">Labi funkcionējoši vērtspapīrošanas tirgi var veicināt lielāku ekonomikas izaugsmi, ļaujot </w:t>
      </w:r>
      <w:r>
        <w:t>kredītiestādēm</w:t>
      </w:r>
      <w:r w:rsidRPr="007C1004">
        <w:t xml:space="preserve"> pārnest riskus </w:t>
      </w:r>
      <w:r>
        <w:t>atbilstošiem investoriem</w:t>
      </w:r>
      <w:r w:rsidRPr="007C1004">
        <w:t xml:space="preserve">, un tādējādi atbrīvot savu kapitālu. </w:t>
      </w:r>
      <w:r>
        <w:t>Eiropas Komisija sagaida</w:t>
      </w:r>
      <w:r w:rsidRPr="007C1004">
        <w:t>, ka</w:t>
      </w:r>
      <w:r>
        <w:t xml:space="preserve"> kredītiestādes</w:t>
      </w:r>
      <w:r w:rsidRPr="007C1004">
        <w:t xml:space="preserve"> šo kapitālu izmantos papildu aizdevumiem mājsaimniecībām un uzņēmumiem, tostarp maziem un vidējiem uzņēmumie</w:t>
      </w:r>
      <w:r>
        <w:t>m</w:t>
      </w:r>
      <w:r w:rsidRPr="007C1004">
        <w:t>. Pašreizējais ES vērtspapīrošanas regulējums neļauj ES ekonomikai izmantot daudzus ieguvumus, ko var sniegt vērtspapīrošana.</w:t>
      </w:r>
      <w:r w:rsidRPr="0040588B">
        <w:t xml:space="preserve"> </w:t>
      </w:r>
    </w:p>
    <w:p w14:paraId="3C6B0711" w14:textId="575DD2FD" w:rsidR="001C7386" w:rsidRDefault="001C7386" w:rsidP="001C7386">
      <w:pPr>
        <w:ind w:firstLine="720"/>
        <w:jc w:val="both"/>
      </w:pPr>
      <w:r w:rsidRPr="00120CB5">
        <w:t>2023.</w:t>
      </w:r>
      <w:r>
        <w:t xml:space="preserve"> gada 8.jūnijā ir pieņemts Vērtspapīrošanas likums. </w:t>
      </w:r>
      <w:r w:rsidRPr="00AF4298">
        <w:t>Šā likuma mērķis ir veicināt papildu finansējuma pieejamību komercdarbības attīstībai, radot tiesiskus priekšnoteikumus vērtspapīrošanas darījumu norisei Latvijā.</w:t>
      </w:r>
      <w:r>
        <w:t xml:space="preserve"> Vienlaikus jāatzīmē, ka Eiropas Savienībā vērtspapīrošanas tirgus ir augstākā mērā koncentrēts un darījumi pārsvarā notiek piecās dalībvalstīs (Francija, Itālija, Vācijas, Nīderlande un Spānija). Latvijā vērtspapīrošanas darījumi praktiski nenotiek. Šobrīd viena kredītiestāde ir veikusi sintētisko vērtspapīrošanas darījumu. Prakse liecina, ka </w:t>
      </w:r>
      <w:r w:rsidRPr="0040588B">
        <w:t>vērtspapīroš</w:t>
      </w:r>
      <w:r>
        <w:t>a</w:t>
      </w:r>
      <w:r w:rsidRPr="0040588B">
        <w:t xml:space="preserve">nas instruments </w:t>
      </w:r>
      <w:r>
        <w:t>atbilstoši spēkā esošajai vērtspapīrošanas regulai</w:t>
      </w:r>
      <w:r w:rsidRPr="00461BB9">
        <w:t xml:space="preserve"> </w:t>
      </w:r>
      <w:r w:rsidRPr="0040588B">
        <w:t>nav īpaši piemērots mazākiem emisiju apjomiem</w:t>
      </w:r>
      <w:r>
        <w:t xml:space="preserve">. </w:t>
      </w:r>
    </w:p>
    <w:p w14:paraId="13482906" w14:textId="2BEFF0AA" w:rsidR="00B63B47" w:rsidRDefault="00A51D36" w:rsidP="00C713F5">
      <w:pPr>
        <w:spacing w:after="120"/>
        <w:ind w:firstLine="720"/>
        <w:jc w:val="both"/>
        <w:rPr>
          <w:rFonts w:eastAsia="Times New Roman" w:cs="Times New Roman"/>
          <w:szCs w:val="24"/>
        </w:rPr>
      </w:pPr>
      <w:r w:rsidRPr="002E4E7A">
        <w:t>Lai gan pašreizējais regulējums rada būtiskus izaicinājumus mazākiem emitentiem, plānotās reformas var padarīt to samērīgāku, uz risku orientētu un pieejamāku. Ja tās tiks ieviestas efektīvi, tas varētu atvērt vērtspapīrošanas potenciālu mazākām finanšu iestādēm, veicinot dzīvotspējīgāku un iekļaujošāku Eiropas kapitāla tirgu.</w:t>
      </w:r>
      <w:r>
        <w:t xml:space="preserve"> Paralēli diskusijām ES līmenī par regulējuma pielāgošanu apsverama ir </w:t>
      </w:r>
      <w:r w:rsidR="00523385">
        <w:rPr>
          <w:rFonts w:eastAsia="Times New Roman" w:cs="Times New Roman"/>
          <w:szCs w:val="24"/>
        </w:rPr>
        <w:t>tirgus</w:t>
      </w:r>
      <w:r w:rsidR="00796829">
        <w:rPr>
          <w:rFonts w:eastAsia="Times New Roman" w:cs="Times New Roman"/>
          <w:szCs w:val="24"/>
        </w:rPr>
        <w:t xml:space="preserve"> instrumentu veidošana, kas ir piemēro</w:t>
      </w:r>
      <w:r w:rsidR="003229A6">
        <w:rPr>
          <w:rFonts w:eastAsia="Times New Roman" w:cs="Times New Roman"/>
          <w:szCs w:val="24"/>
        </w:rPr>
        <w:t>ta</w:t>
      </w:r>
      <w:r w:rsidR="00796829">
        <w:rPr>
          <w:rFonts w:eastAsia="Times New Roman" w:cs="Times New Roman"/>
          <w:szCs w:val="24"/>
        </w:rPr>
        <w:t xml:space="preserve"> vietēj</w:t>
      </w:r>
      <w:r w:rsidR="00717B74">
        <w:rPr>
          <w:rFonts w:eastAsia="Times New Roman" w:cs="Times New Roman"/>
          <w:szCs w:val="24"/>
        </w:rPr>
        <w:t>o tirgus dalībnieku</w:t>
      </w:r>
      <w:r w:rsidR="00796829">
        <w:rPr>
          <w:rFonts w:eastAsia="Times New Roman" w:cs="Times New Roman"/>
          <w:szCs w:val="24"/>
        </w:rPr>
        <w:t xml:space="preserve"> mērogam</w:t>
      </w:r>
      <w:r w:rsidR="003229A6">
        <w:rPr>
          <w:rFonts w:eastAsia="Times New Roman" w:cs="Times New Roman"/>
          <w:szCs w:val="24"/>
        </w:rPr>
        <w:t>, ar atvieglotām prasībām</w:t>
      </w:r>
      <w:r w:rsidR="00D902D4">
        <w:rPr>
          <w:rFonts w:eastAsia="Times New Roman" w:cs="Times New Roman"/>
          <w:szCs w:val="24"/>
        </w:rPr>
        <w:t xml:space="preserve"> un zemākām izmaksām</w:t>
      </w:r>
      <w:r w:rsidR="00590F53">
        <w:rPr>
          <w:rFonts w:eastAsia="Times New Roman" w:cs="Times New Roman"/>
          <w:szCs w:val="24"/>
        </w:rPr>
        <w:t xml:space="preserve">, paredzot </w:t>
      </w:r>
      <w:r w:rsidR="00B1353C">
        <w:rPr>
          <w:rFonts w:eastAsia="Times New Roman" w:cs="Times New Roman"/>
          <w:szCs w:val="24"/>
        </w:rPr>
        <w:t xml:space="preserve">arī tādu vērtspapīrošanas paveidu kā </w:t>
      </w:r>
      <w:r w:rsidR="00A13BE6">
        <w:rPr>
          <w:rFonts w:eastAsia="Times New Roman" w:cs="Times New Roman"/>
          <w:szCs w:val="24"/>
        </w:rPr>
        <w:t>t.s</w:t>
      </w:r>
      <w:r w:rsidR="00A13BE6" w:rsidRPr="00A13BE6">
        <w:rPr>
          <w:rFonts w:eastAsia="Times New Roman" w:cs="Times New Roman"/>
          <w:i/>
          <w:iCs/>
          <w:szCs w:val="24"/>
        </w:rPr>
        <w:t xml:space="preserve">. </w:t>
      </w:r>
      <w:r w:rsidR="00B1353C" w:rsidRPr="00A13BE6">
        <w:rPr>
          <w:rFonts w:eastAsia="Times New Roman" w:cs="Times New Roman"/>
          <w:i/>
          <w:iCs/>
          <w:szCs w:val="24"/>
        </w:rPr>
        <w:t>beztranšu</w:t>
      </w:r>
      <w:r w:rsidR="00B1353C">
        <w:rPr>
          <w:rFonts w:eastAsia="Times New Roman" w:cs="Times New Roman"/>
          <w:szCs w:val="24"/>
        </w:rPr>
        <w:t xml:space="preserve"> </w:t>
      </w:r>
      <w:r w:rsidR="00B1353C" w:rsidRPr="00A13BE6">
        <w:rPr>
          <w:rFonts w:eastAsia="Times New Roman" w:cs="Times New Roman"/>
          <w:i/>
          <w:iCs/>
          <w:szCs w:val="24"/>
        </w:rPr>
        <w:t>vērtspapīrošana</w:t>
      </w:r>
      <w:r w:rsidR="00B1353C">
        <w:rPr>
          <w:rFonts w:eastAsia="Times New Roman" w:cs="Times New Roman"/>
          <w:szCs w:val="24"/>
        </w:rPr>
        <w:t>.</w:t>
      </w:r>
      <w:r w:rsidR="00796829">
        <w:rPr>
          <w:rFonts w:eastAsia="Times New Roman" w:cs="Times New Roman"/>
          <w:szCs w:val="24"/>
        </w:rPr>
        <w:t xml:space="preserve"> </w:t>
      </w:r>
    </w:p>
    <w:p w14:paraId="03C31E09" w14:textId="71974887" w:rsidR="000C2BD4" w:rsidRDefault="000C2BD4" w:rsidP="000C2BD4">
      <w:pPr>
        <w:spacing w:after="160" w:line="257" w:lineRule="auto"/>
        <w:ind w:firstLine="720"/>
        <w:jc w:val="both"/>
        <w:rPr>
          <w:rFonts w:eastAsia="Times New Roman" w:cs="Times New Roman"/>
          <w:b/>
          <w:bCs/>
          <w:szCs w:val="24"/>
          <w:u w:val="single"/>
        </w:rPr>
      </w:pPr>
      <w:r w:rsidRPr="002F699B">
        <w:rPr>
          <w:rFonts w:eastAsia="Times New Roman" w:cs="Times New Roman"/>
          <w:b/>
          <w:bCs/>
          <w:szCs w:val="24"/>
          <w:u w:val="single"/>
        </w:rPr>
        <w:t>Priekšlikums</w:t>
      </w:r>
      <w:r w:rsidR="003D44A8">
        <w:rPr>
          <w:rFonts w:eastAsia="Times New Roman" w:cs="Times New Roman"/>
          <w:b/>
          <w:bCs/>
          <w:szCs w:val="24"/>
          <w:u w:val="single"/>
        </w:rPr>
        <w:t>:</w:t>
      </w:r>
      <w:r w:rsidRPr="002F699B">
        <w:rPr>
          <w:rFonts w:eastAsia="Times New Roman" w:cs="Times New Roman"/>
          <w:b/>
          <w:bCs/>
          <w:szCs w:val="24"/>
          <w:u w:val="single"/>
        </w:rPr>
        <w:t xml:space="preserve"> Izvērtēt </w:t>
      </w:r>
      <w:r w:rsidR="002C29F2">
        <w:rPr>
          <w:rFonts w:eastAsia="Times New Roman" w:cs="Times New Roman"/>
          <w:b/>
          <w:bCs/>
          <w:szCs w:val="24"/>
          <w:u w:val="single"/>
        </w:rPr>
        <w:t xml:space="preserve">un izstrādāt </w:t>
      </w:r>
      <w:r>
        <w:rPr>
          <w:rFonts w:eastAsia="Times New Roman" w:cs="Times New Roman"/>
          <w:b/>
          <w:bCs/>
          <w:szCs w:val="24"/>
          <w:u w:val="single"/>
        </w:rPr>
        <w:t xml:space="preserve">vietējam </w:t>
      </w:r>
      <w:r w:rsidR="00214865">
        <w:rPr>
          <w:rFonts w:eastAsia="Times New Roman" w:cs="Times New Roman"/>
          <w:b/>
          <w:bCs/>
          <w:szCs w:val="24"/>
          <w:u w:val="single"/>
        </w:rPr>
        <w:t xml:space="preserve">finanšu </w:t>
      </w:r>
      <w:r w:rsidR="00CA2CA8">
        <w:rPr>
          <w:rFonts w:eastAsia="Times New Roman" w:cs="Times New Roman"/>
          <w:b/>
          <w:bCs/>
          <w:szCs w:val="24"/>
          <w:u w:val="single"/>
        </w:rPr>
        <w:t xml:space="preserve">tirgus dalībnieku </w:t>
      </w:r>
      <w:r>
        <w:rPr>
          <w:rFonts w:eastAsia="Times New Roman" w:cs="Times New Roman"/>
          <w:b/>
          <w:bCs/>
          <w:szCs w:val="24"/>
          <w:u w:val="single"/>
        </w:rPr>
        <w:t>mērogam atbilstošus vērtspapīrošanas instrumentus</w:t>
      </w:r>
      <w:r w:rsidR="00C07E57" w:rsidRPr="00C07E57">
        <w:rPr>
          <w:rFonts w:eastAsia="Times New Roman" w:cs="Times New Roman"/>
          <w:b/>
          <w:bCs/>
          <w:szCs w:val="24"/>
          <w:u w:val="single"/>
        </w:rPr>
        <w:t>.</w:t>
      </w:r>
    </w:p>
    <w:p w14:paraId="7AE8676D" w14:textId="77777777" w:rsidR="00916C47" w:rsidRDefault="00916C47" w:rsidP="00916C47">
      <w:pPr>
        <w:spacing w:after="160" w:line="257" w:lineRule="auto"/>
        <w:ind w:firstLine="720"/>
        <w:jc w:val="both"/>
        <w:rPr>
          <w:rFonts w:eastAsia="Times New Roman" w:cs="Times New Roman"/>
          <w:szCs w:val="24"/>
        </w:rPr>
      </w:pPr>
    </w:p>
    <w:p w14:paraId="75302371" w14:textId="6375AC1F" w:rsidR="00916C47" w:rsidRPr="00917476" w:rsidRDefault="00916C47" w:rsidP="00916C47">
      <w:pPr>
        <w:spacing w:after="160" w:line="257" w:lineRule="auto"/>
        <w:ind w:firstLine="720"/>
        <w:jc w:val="both"/>
        <w:rPr>
          <w:rFonts w:eastAsia="Times New Roman" w:cs="Times New Roman"/>
          <w:b/>
          <w:bCs/>
          <w:szCs w:val="24"/>
        </w:rPr>
      </w:pPr>
      <w:r w:rsidRPr="00917476">
        <w:rPr>
          <w:rFonts w:eastAsia="Times New Roman" w:cs="Times New Roman"/>
          <w:b/>
          <w:bCs/>
          <w:szCs w:val="24"/>
        </w:rPr>
        <w:t>3.9. Sākotnējais reģistrs</w:t>
      </w:r>
    </w:p>
    <w:p w14:paraId="52287024" w14:textId="77777777" w:rsidR="00201599" w:rsidRDefault="00916C47" w:rsidP="00C713F5">
      <w:pPr>
        <w:spacing w:line="257" w:lineRule="auto"/>
        <w:ind w:firstLine="720"/>
        <w:jc w:val="both"/>
        <w:rPr>
          <w:rFonts w:eastAsia="Times New Roman" w:cs="Times New Roman"/>
          <w:szCs w:val="24"/>
        </w:rPr>
      </w:pPr>
      <w:r>
        <w:rPr>
          <w:rFonts w:eastAsia="Times New Roman" w:cs="Times New Roman"/>
          <w:szCs w:val="24"/>
        </w:rPr>
        <w:t xml:space="preserve">Kopš </w:t>
      </w:r>
      <w:r w:rsidRPr="00916C47">
        <w:rPr>
          <w:rFonts w:eastAsia="Times New Roman" w:cs="Times New Roman"/>
          <w:szCs w:val="24"/>
        </w:rPr>
        <w:t xml:space="preserve">1994. </w:t>
      </w:r>
      <w:r>
        <w:rPr>
          <w:rFonts w:eastAsia="Times New Roman" w:cs="Times New Roman"/>
          <w:szCs w:val="24"/>
        </w:rPr>
        <w:t>gada Latvijā norisinājās</w:t>
      </w:r>
      <w:r w:rsidRPr="00916C47">
        <w:rPr>
          <w:rFonts w:eastAsia="Times New Roman" w:cs="Times New Roman"/>
          <w:szCs w:val="24"/>
        </w:rPr>
        <w:t xml:space="preserve"> centralizētais privatizācijas process, kura ietvaros notika akciju pārdošana par privatizācijas sertifikātiem</w:t>
      </w:r>
      <w:r>
        <w:rPr>
          <w:rFonts w:eastAsia="Times New Roman" w:cs="Times New Roman"/>
          <w:szCs w:val="24"/>
        </w:rPr>
        <w:t>.</w:t>
      </w:r>
      <w:r w:rsidRPr="00916C47">
        <w:rPr>
          <w:rFonts w:eastAsia="Times New Roman" w:cs="Times New Roman"/>
          <w:szCs w:val="24"/>
        </w:rPr>
        <w:t xml:space="preserve"> Tobrīd privātpersonām vēl nebija izveidoti finanšu instrumentu konti kredītiestādē, ieguldījumu brokeru sabiedrībā vai citur, kur, saskaņā ar Finanšu instrumentu tirgus likumā noteiktajām prasībām, tiek sniegti finanšu instrumentu kontu uzturēšanas un kapitālsabiedrību </w:t>
      </w:r>
      <w:r w:rsidRPr="00916C47">
        <w:rPr>
          <w:rFonts w:eastAsia="Times New Roman" w:cs="Times New Roman"/>
          <w:szCs w:val="24"/>
        </w:rPr>
        <w:lastRenderedPageBreak/>
        <w:t>akciju turēšanas pakalpojumi. Līdz ar to privātpersonām nebija iespēja par privatizācijas sertifikātiem iegādātās akcijas ieskaitīt finanšu instrumentu kontos un bija nepieciešams risinājums, kas nodrošinātu privatizēto akciju īpašnieku uzskaitījumu un iegūto vērtspapīru glabāšanu līdz brīdim, kad akciju īpašnieks pārvieto savas akcijas uz savu finanšu instrumentu kontu.</w:t>
      </w:r>
    </w:p>
    <w:p w14:paraId="7BEAC320" w14:textId="259B4EBD" w:rsidR="00916C47" w:rsidRP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 xml:space="preserve">Lai risinātu šo situāciju, tika izveidots sākotnējais reģistrs (turpmāk – Sākotnējais reģistrs), kurā tika uzskaitīti privatizēto akciju īpašnieki, vērtspapīri, kā arī izmaksātās dividendes. Tāpat tika nodrošināta vērtspapīru un  naudas līdzekļu glabāšana. </w:t>
      </w:r>
    </w:p>
    <w:p w14:paraId="784CAB4B" w14:textId="719F4499" w:rsidR="00916C47" w:rsidRPr="00916C47" w:rsidRDefault="00916C47" w:rsidP="00C713F5">
      <w:pPr>
        <w:spacing w:line="257" w:lineRule="auto"/>
        <w:ind w:firstLine="720"/>
        <w:jc w:val="both"/>
        <w:rPr>
          <w:rFonts w:eastAsia="Times New Roman" w:cs="Times New Roman"/>
          <w:szCs w:val="24"/>
        </w:rPr>
      </w:pPr>
      <w:bookmarkStart w:id="1" w:name="_Hlk200620907"/>
      <w:r w:rsidRPr="00916C47">
        <w:rPr>
          <w:rFonts w:eastAsia="Times New Roman" w:cs="Times New Roman"/>
          <w:szCs w:val="24"/>
        </w:rPr>
        <w:t xml:space="preserve">Atbilstoši </w:t>
      </w:r>
      <w:r>
        <w:rPr>
          <w:rFonts w:eastAsia="Times New Roman" w:cs="Times New Roman"/>
          <w:szCs w:val="24"/>
        </w:rPr>
        <w:t>d</w:t>
      </w:r>
      <w:r w:rsidRPr="00916C47">
        <w:rPr>
          <w:rFonts w:eastAsia="Times New Roman" w:cs="Times New Roman"/>
          <w:szCs w:val="24"/>
        </w:rPr>
        <w:t>epozitārija</w:t>
      </w:r>
      <w:r>
        <w:rPr>
          <w:rFonts w:eastAsia="Times New Roman" w:cs="Times New Roman"/>
          <w:szCs w:val="24"/>
        </w:rPr>
        <w:t xml:space="preserve"> NasdaqCSD</w:t>
      </w:r>
      <w:r w:rsidRPr="00916C47">
        <w:rPr>
          <w:rFonts w:eastAsia="Times New Roman" w:cs="Times New Roman"/>
          <w:szCs w:val="24"/>
        </w:rPr>
        <w:t xml:space="preserve">  sniegtajai informācijai</w:t>
      </w:r>
      <w:r w:rsidR="00361765">
        <w:rPr>
          <w:rFonts w:eastAsia="Times New Roman" w:cs="Times New Roman"/>
          <w:szCs w:val="24"/>
        </w:rPr>
        <w:t xml:space="preserve"> uz 2025. gada 18. jūniju</w:t>
      </w:r>
      <w:r>
        <w:rPr>
          <w:rFonts w:eastAsia="Times New Roman" w:cs="Times New Roman"/>
          <w:szCs w:val="24"/>
        </w:rPr>
        <w:t>,</w:t>
      </w:r>
      <w:r w:rsidRPr="00916C47">
        <w:rPr>
          <w:rFonts w:eastAsia="Times New Roman" w:cs="Times New Roman"/>
          <w:szCs w:val="24"/>
        </w:rPr>
        <w:t xml:space="preserve"> </w:t>
      </w:r>
      <w:r w:rsidR="00350EC2" w:rsidRPr="00350EC2">
        <w:rPr>
          <w:rFonts w:eastAsia="Times New Roman" w:cs="Times New Roman"/>
          <w:szCs w:val="24"/>
        </w:rPr>
        <w:t>Nasdaq CSD sistēmā ir reģistrēti līdzekļi 7</w:t>
      </w:r>
      <w:r w:rsidR="00361765">
        <w:rPr>
          <w:rFonts w:eastAsia="Times New Roman" w:cs="Times New Roman"/>
          <w:szCs w:val="24"/>
        </w:rPr>
        <w:t xml:space="preserve"> </w:t>
      </w:r>
      <w:r w:rsidR="00350EC2" w:rsidRPr="00350EC2">
        <w:rPr>
          <w:rFonts w:eastAsia="Times New Roman" w:cs="Times New Roman"/>
          <w:szCs w:val="24"/>
        </w:rPr>
        <w:t xml:space="preserve">736 085,96 </w:t>
      </w:r>
      <w:r w:rsidR="00383870">
        <w:rPr>
          <w:rFonts w:eastAsia="Times New Roman" w:cs="Times New Roman"/>
          <w:szCs w:val="24"/>
        </w:rPr>
        <w:t>euro</w:t>
      </w:r>
      <w:r w:rsidR="00383870" w:rsidRPr="00350EC2">
        <w:rPr>
          <w:rFonts w:eastAsia="Times New Roman" w:cs="Times New Roman"/>
          <w:szCs w:val="24"/>
        </w:rPr>
        <w:t xml:space="preserve"> </w:t>
      </w:r>
      <w:r w:rsidR="00350EC2" w:rsidRPr="00350EC2">
        <w:rPr>
          <w:rFonts w:eastAsia="Times New Roman" w:cs="Times New Roman"/>
          <w:szCs w:val="24"/>
        </w:rPr>
        <w:t>apmērā, kas ir saistīti ar sākotnējo/akcionāru reģistru. Vienlaikus jāuzsver, ka daļa no šīs summas attiecas uz akciju sabiedrībām un to akcionāriem Nasdaq CSD pārvaldītajā reģistrā, kuras nav biržā kotētas kompānijas.</w:t>
      </w:r>
    </w:p>
    <w:bookmarkEnd w:id="1"/>
    <w:p w14:paraId="30544213" w14:textId="77777777" w:rsidR="00916C47" w:rsidRP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Sākotnējais reģistrs tika izstrādāts kā pagaidu risinājums, taču tā pastāvēšanas termiņš netika noteikts, kā arī personām netika uzlikts pienākums sev piederošos vērtspapīrus un naudas līdzekļus noteiktā laika periodā pārvest uz savu finanšu instrumentu kontu.</w:t>
      </w:r>
    </w:p>
    <w:p w14:paraId="2B77A70C" w14:textId="77777777" w:rsidR="00916C47" w:rsidRP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Ņemot vērā minēto, šobrīd ir izveidojusies situācija, ka Sākotnējā reģistrā ilgstoši glabājas vērtspapīri un naudas līdzekļi, par kuriem to īpašnieki neizrāda interesi un nepārved tos uz saviem finanšu instrumentu kontiem, kā rezultātā vērtspapīri un  naudas līdzekļi nenonāk ekonomiskajā apritē un netiek sasniegts privatizācijas mērķis - privātā kapitāla darbība Latvijas tautsaimniecības attīstības interesēs.</w:t>
      </w:r>
    </w:p>
    <w:p w14:paraId="28505087" w14:textId="626AB2CB" w:rsidR="00916C47" w:rsidRDefault="00916C47" w:rsidP="00C713F5">
      <w:pPr>
        <w:spacing w:line="257" w:lineRule="auto"/>
        <w:ind w:firstLine="720"/>
        <w:jc w:val="both"/>
        <w:rPr>
          <w:rFonts w:eastAsia="Times New Roman" w:cs="Times New Roman"/>
          <w:szCs w:val="24"/>
        </w:rPr>
      </w:pPr>
      <w:r w:rsidRPr="00916C47">
        <w:rPr>
          <w:rFonts w:eastAsia="Times New Roman" w:cs="Times New Roman"/>
          <w:szCs w:val="24"/>
        </w:rPr>
        <w:t xml:space="preserve">Lai veicinātu privātpersonu vērtspapīru un naudas līdzekļu atgriešanos ekonomiskajā apritē, būtu nepieciešams </w:t>
      </w:r>
      <w:r w:rsidR="00B56D55">
        <w:rPr>
          <w:rFonts w:eastAsia="Times New Roman" w:cs="Times New Roman"/>
          <w:szCs w:val="24"/>
        </w:rPr>
        <w:t xml:space="preserve">izstrādāt regulējumu, kas ar atbilstošu pārejas periodu izbeigtu Sākotnējā reģistra darbību, vienlaikus publiski izplatot informāciju </w:t>
      </w:r>
      <w:r w:rsidRPr="00916C47">
        <w:rPr>
          <w:rFonts w:eastAsia="Times New Roman" w:cs="Times New Roman"/>
          <w:szCs w:val="24"/>
        </w:rPr>
        <w:t xml:space="preserve">par Sākotnējo reģistru, </w:t>
      </w:r>
      <w:r w:rsidR="00B56D55">
        <w:rPr>
          <w:rFonts w:eastAsia="Times New Roman" w:cs="Times New Roman"/>
          <w:szCs w:val="24"/>
        </w:rPr>
        <w:t>tostarp ar oficiālu publikāciju Latvijas Vēstnesī, aicinot</w:t>
      </w:r>
      <w:r w:rsidRPr="00916C47">
        <w:rPr>
          <w:rFonts w:eastAsia="Times New Roman" w:cs="Times New Roman"/>
          <w:szCs w:val="24"/>
        </w:rPr>
        <w:t xml:space="preserve"> privātpersonas, kuras reģistrētas Sākotnējā reģistrā, dereģistrēt sev piederošos finanšu instrumentus savos finanšu instrumentu kontos.</w:t>
      </w:r>
    </w:p>
    <w:p w14:paraId="140F24BC" w14:textId="172294D3" w:rsidR="00276984" w:rsidRPr="00916C47" w:rsidRDefault="00276984" w:rsidP="00C713F5">
      <w:pPr>
        <w:spacing w:line="257" w:lineRule="auto"/>
        <w:ind w:firstLine="720"/>
        <w:jc w:val="both"/>
        <w:rPr>
          <w:rFonts w:eastAsia="Times New Roman" w:cs="Times New Roman"/>
          <w:szCs w:val="24"/>
        </w:rPr>
      </w:pPr>
      <w:r w:rsidRPr="00276984">
        <w:rPr>
          <w:rFonts w:eastAsia="Times New Roman" w:cs="Times New Roman"/>
          <w:szCs w:val="24"/>
        </w:rPr>
        <w:t>Ņemot vērā, ka plānotais tiesiskais regulējums skars personu tiesības uz īpašumu, šis aspekts un tā iespējamie riski, kā arī Sākotnējā reģistra darbības izbeigšanas rezultātā iegūto finanšu līdzekļu izlietojums tiks izvērtēts grozījumu izstrādes gaitā un iekļauts normatīvā akta anotācijā.</w:t>
      </w:r>
    </w:p>
    <w:p w14:paraId="2D37B423" w14:textId="08D95AE8" w:rsidR="00B56D55" w:rsidRDefault="00B56D55" w:rsidP="00916C47">
      <w:pPr>
        <w:spacing w:after="160" w:line="257" w:lineRule="auto"/>
        <w:ind w:firstLine="720"/>
        <w:jc w:val="both"/>
        <w:rPr>
          <w:rFonts w:eastAsia="Times New Roman" w:cs="Times New Roman"/>
          <w:b/>
          <w:bCs/>
          <w:szCs w:val="24"/>
          <w:u w:val="single"/>
        </w:rPr>
      </w:pPr>
      <w:r w:rsidRPr="00917476">
        <w:rPr>
          <w:rFonts w:eastAsia="Times New Roman" w:cs="Times New Roman"/>
          <w:b/>
          <w:bCs/>
          <w:szCs w:val="24"/>
          <w:u w:val="single"/>
        </w:rPr>
        <w:t>Priekšlikums:</w:t>
      </w:r>
      <w:r>
        <w:rPr>
          <w:rFonts w:eastAsia="Times New Roman" w:cs="Times New Roman"/>
          <w:b/>
          <w:bCs/>
          <w:szCs w:val="24"/>
          <w:u w:val="single"/>
        </w:rPr>
        <w:t xml:space="preserve"> </w:t>
      </w:r>
      <w:r w:rsidR="00AF2E58">
        <w:rPr>
          <w:rFonts w:eastAsia="Times New Roman" w:cs="Times New Roman"/>
          <w:b/>
          <w:bCs/>
          <w:szCs w:val="24"/>
          <w:u w:val="single"/>
        </w:rPr>
        <w:t>I</w:t>
      </w:r>
      <w:r w:rsidR="00AF2E58" w:rsidRPr="00AF2E58">
        <w:rPr>
          <w:rFonts w:eastAsia="Times New Roman" w:cs="Times New Roman"/>
          <w:b/>
          <w:bCs/>
          <w:szCs w:val="24"/>
          <w:u w:val="single"/>
        </w:rPr>
        <w:t xml:space="preserve">zstrādāt </w:t>
      </w:r>
      <w:r w:rsidR="00062184">
        <w:rPr>
          <w:rFonts w:eastAsia="Times New Roman" w:cs="Times New Roman"/>
          <w:b/>
          <w:bCs/>
          <w:szCs w:val="24"/>
          <w:u w:val="single"/>
        </w:rPr>
        <w:t>grozījumus normatīvajos aktos</w:t>
      </w:r>
      <w:r w:rsidR="00AF2E58" w:rsidRPr="00AF2E58">
        <w:rPr>
          <w:rFonts w:eastAsia="Times New Roman" w:cs="Times New Roman"/>
          <w:b/>
          <w:bCs/>
          <w:szCs w:val="24"/>
          <w:u w:val="single"/>
        </w:rPr>
        <w:t>, kas ar atbilstošu pārejas periodu izbeigtu Sākotnējā reģistra darbību</w:t>
      </w:r>
      <w:r w:rsidR="00AF2E58">
        <w:rPr>
          <w:rFonts w:eastAsia="Times New Roman" w:cs="Times New Roman"/>
          <w:b/>
          <w:bCs/>
          <w:szCs w:val="24"/>
          <w:u w:val="single"/>
        </w:rPr>
        <w:t>.</w:t>
      </w:r>
    </w:p>
    <w:p w14:paraId="6B4AABA8" w14:textId="77777777" w:rsidR="006B4FD2" w:rsidRDefault="006B4FD2">
      <w:pPr>
        <w:spacing w:line="259" w:lineRule="auto"/>
        <w:ind w:firstLine="720"/>
        <w:rPr>
          <w:rFonts w:eastAsia="Times New Roman" w:cs="Times New Roman"/>
          <w:b/>
          <w:bCs/>
        </w:rPr>
      </w:pPr>
      <w:bookmarkStart w:id="2" w:name="_Hlk209614882"/>
    </w:p>
    <w:p w14:paraId="4E92B033" w14:textId="37D597D4" w:rsidR="00675D4B" w:rsidRDefault="00675D4B" w:rsidP="00C713F5">
      <w:pPr>
        <w:spacing w:line="259" w:lineRule="auto"/>
        <w:ind w:firstLine="720"/>
        <w:rPr>
          <w:rFonts w:eastAsia="Times New Roman" w:cs="Times New Roman"/>
          <w:b/>
          <w:bCs/>
        </w:rPr>
      </w:pPr>
      <w:r w:rsidRPr="00C713F5">
        <w:rPr>
          <w:rFonts w:eastAsia="Times New Roman" w:cs="Times New Roman"/>
          <w:b/>
          <w:bCs/>
        </w:rPr>
        <w:t>3.</w:t>
      </w:r>
      <w:r w:rsidR="00C63292">
        <w:rPr>
          <w:rFonts w:eastAsia="Times New Roman" w:cs="Times New Roman"/>
          <w:b/>
          <w:bCs/>
        </w:rPr>
        <w:t>10</w:t>
      </w:r>
      <w:r w:rsidRPr="00C713F5">
        <w:rPr>
          <w:rFonts w:eastAsia="Times New Roman" w:cs="Times New Roman"/>
          <w:b/>
          <w:bCs/>
        </w:rPr>
        <w:t xml:space="preserve">. </w:t>
      </w:r>
      <w:r w:rsidR="004B0290">
        <w:rPr>
          <w:rFonts w:eastAsia="Times New Roman" w:cs="Times New Roman"/>
          <w:b/>
          <w:bCs/>
        </w:rPr>
        <w:t>N</w:t>
      </w:r>
      <w:r w:rsidRPr="00C713F5">
        <w:rPr>
          <w:rFonts w:eastAsia="Times New Roman" w:cs="Times New Roman"/>
          <w:b/>
          <w:bCs/>
        </w:rPr>
        <w:t xml:space="preserve">orēķinu </w:t>
      </w:r>
      <w:r>
        <w:rPr>
          <w:rFonts w:eastAsia="Times New Roman" w:cs="Times New Roman"/>
          <w:b/>
          <w:bCs/>
        </w:rPr>
        <w:t>i</w:t>
      </w:r>
      <w:r w:rsidRPr="00C713F5">
        <w:rPr>
          <w:rFonts w:eastAsia="Times New Roman" w:cs="Times New Roman"/>
          <w:b/>
          <w:bCs/>
        </w:rPr>
        <w:t>nfrastruktūras savstarpēja savienojamības veicināšana</w:t>
      </w:r>
    </w:p>
    <w:p w14:paraId="0F350CAB" w14:textId="77777777" w:rsidR="00675D4B" w:rsidRPr="00C713F5" w:rsidRDefault="00675D4B" w:rsidP="00C713F5">
      <w:pPr>
        <w:spacing w:line="259" w:lineRule="auto"/>
        <w:ind w:firstLine="720"/>
        <w:jc w:val="center"/>
        <w:rPr>
          <w:rFonts w:eastAsia="Times New Roman" w:cs="Times New Roman"/>
          <w:b/>
          <w:bCs/>
        </w:rPr>
      </w:pPr>
    </w:p>
    <w:p w14:paraId="34477040" w14:textId="74C1C038" w:rsidR="00675D4B" w:rsidRDefault="00675D4B" w:rsidP="00675D4B">
      <w:pPr>
        <w:spacing w:line="259" w:lineRule="auto"/>
        <w:ind w:firstLine="720"/>
        <w:jc w:val="both"/>
        <w:rPr>
          <w:rFonts w:eastAsia="Times New Roman" w:cs="Times New Roman"/>
        </w:rPr>
      </w:pPr>
      <w:r>
        <w:rPr>
          <w:rFonts w:eastAsia="Times New Roman" w:cs="Times New Roman"/>
        </w:rPr>
        <w:t>Kā atzīmēts Uzkrājumu un investīciju stratēģijā ar ko klajā 2025.gada 19.martā nāca Eiropas Komisija, n</w:t>
      </w:r>
      <w:r w:rsidRPr="00675D4B">
        <w:rPr>
          <w:rFonts w:eastAsia="Times New Roman" w:cs="Times New Roman"/>
        </w:rPr>
        <w:t xml:space="preserve">eraugoties uz pēdējos gados panākto progresu, atlikušie šķēršļi neļauj ES tirdzniecības un pēctirdzniecības infrastruktūrām izmantot priekšrocības, ko sniedz patiesi netraucēts vienotais tirgus. Tas var arī ierobežot ieguvumus, ko var gūt grupās, kurās ietilpst vairākas tirdzniecības un pēctirdzniecības infrastruktūras. Šajā kontekstā ir svarīgi uzlabot ES tirdzniecības un pēctirdzniecības infrastruktūru sadarbspēju, savstarpējus savienojumus un efektivitāti. </w:t>
      </w:r>
      <w:r w:rsidR="00F50F36">
        <w:rPr>
          <w:rFonts w:eastAsia="Times New Roman" w:cs="Times New Roman"/>
        </w:rPr>
        <w:t xml:space="preserve">Atbilstoši Eiropas Komisijas </w:t>
      </w:r>
      <w:r w:rsidR="00F50F36">
        <w:rPr>
          <w:rFonts w:eastAsia="Times New Roman" w:cs="Times New Roman"/>
        </w:rPr>
        <w:lastRenderedPageBreak/>
        <w:t>viedoklim,</w:t>
      </w:r>
      <w:r w:rsidRPr="00675D4B">
        <w:rPr>
          <w:rFonts w:eastAsia="Times New Roman" w:cs="Times New Roman"/>
        </w:rPr>
        <w:t xml:space="preserve"> svarīgi, lai pašreizējā regulatīvā un uzraudzības sistēma pienācīgi nodrošinātu sinerģiju vairāku tirdzniecības un pēctirdzniecības infrastruktūru grupās.</w:t>
      </w:r>
    </w:p>
    <w:p w14:paraId="6C7E86CA" w14:textId="47F80E5E" w:rsidR="00675D4B" w:rsidRPr="00AB44B6" w:rsidRDefault="00675D4B" w:rsidP="00C713F5">
      <w:pPr>
        <w:spacing w:line="259" w:lineRule="auto"/>
        <w:ind w:firstLine="720"/>
        <w:jc w:val="both"/>
        <w:rPr>
          <w:rFonts w:eastAsia="Times New Roman" w:cs="Times New Roman"/>
        </w:rPr>
      </w:pPr>
      <w:r w:rsidRPr="00AB44B6">
        <w:rPr>
          <w:rFonts w:eastAsia="Times New Roman" w:cs="Times New Roman"/>
        </w:rPr>
        <w:t>Eiropā Savienībā ir divi galvenie un populārākie depozitāriji jeb organizācijas, kas reģistrē un uztur visus vērtspapīrus – akcijas, obligācijas, fondus – Euroclear un Clearstream.</w:t>
      </w:r>
      <w:r>
        <w:rPr>
          <w:rFonts w:eastAsia="Times New Roman" w:cs="Times New Roman"/>
        </w:rPr>
        <w:t xml:space="preserve"> </w:t>
      </w:r>
      <w:r w:rsidRPr="00AB44B6">
        <w:rPr>
          <w:rFonts w:eastAsia="Times New Roman" w:cs="Times New Roman"/>
        </w:rPr>
        <w:t>Baltijas uzņēmumi, emitējot vērtspapīrus visbiežāk reģistrē tos Baltijas Depozitārijā (Nasdaq CSD), jo tas ir t.s. “mājas” Depozitārijs.</w:t>
      </w:r>
      <w:r>
        <w:rPr>
          <w:rFonts w:eastAsia="Times New Roman" w:cs="Times New Roman"/>
        </w:rPr>
        <w:t xml:space="preserve"> </w:t>
      </w:r>
      <w:r w:rsidRPr="00AB44B6">
        <w:rPr>
          <w:rFonts w:eastAsia="Times New Roman" w:cs="Times New Roman"/>
        </w:rPr>
        <w:t>Baltijas Nasdaq CSD ir tehniska saite ar Clearstream, kas nozīmē, ka ārvalstu investori, kas glabā savus vērtspapīrus Clearstream var ērti veikt norēķinus par finanšu instrumentiem un glabāt Baltijas Depozitārijā reģistrētas akcijas, obligācijas un fondus. Bet šāda tehniska saite starp Baltijas depozitārijiem Nasdaq CSD nav izveidota ar depozitāriju Euroclear</w:t>
      </w:r>
      <w:r>
        <w:rPr>
          <w:rFonts w:eastAsia="Times New Roman" w:cs="Times New Roman"/>
        </w:rPr>
        <w:t xml:space="preserve">.  </w:t>
      </w:r>
      <w:r w:rsidRPr="00AB44B6">
        <w:rPr>
          <w:rFonts w:eastAsia="Times New Roman" w:cs="Times New Roman"/>
        </w:rPr>
        <w:t>Baltijas tirgus atrautība no Euroclear traucē ārvalstu investoriem iegādāties vietējās vērtspapīru emisijas gan pirmreizējos piedāvājumos, gan otrreizējā tirgū.</w:t>
      </w:r>
      <w:r w:rsidR="00F50F36">
        <w:rPr>
          <w:rFonts w:eastAsia="Times New Roman" w:cs="Times New Roman"/>
        </w:rPr>
        <w:t xml:space="preserve"> Savienojamības neesamība var ierobežot investoru iespējas piekļūt Latvijas uzņēmumu emitētajiem  vērtspapīriem, kas reģistrēti vietējā depozitārijā vai ierobežot dalību sākotnējā publiskā piedāvājumā. No otras puses tas ierobežo Latvijas uzņēmumus veikt vērtspapīru emisiju vai sākotnējo publisko piedāvājumu Latvijā un meklēt iespēju finansējuma piesaistei kādā no lielajām Eiropas Savienībā biržām, vienlaikus izvērtējot iespēju paralēlai emisijai Latvijā. Šā gada septembrī AS “Citadele bank</w:t>
      </w:r>
      <w:r w:rsidR="00AE1506">
        <w:rPr>
          <w:rFonts w:eastAsia="Times New Roman" w:cs="Times New Roman"/>
        </w:rPr>
        <w:t>a</w:t>
      </w:r>
      <w:r w:rsidR="00F50F36">
        <w:rPr>
          <w:rFonts w:eastAsia="Times New Roman" w:cs="Times New Roman"/>
        </w:rPr>
        <w:t>”</w:t>
      </w:r>
      <w:r w:rsidR="00AE1506">
        <w:rPr>
          <w:rFonts w:eastAsia="Times New Roman" w:cs="Times New Roman"/>
        </w:rPr>
        <w:t xml:space="preserve"> veica 300 miljonu euro obligāciju emisiju. Darījums radīja lielu </w:t>
      </w:r>
      <w:r w:rsidR="001A081C">
        <w:rPr>
          <w:rFonts w:eastAsia="Times New Roman" w:cs="Times New Roman"/>
        </w:rPr>
        <w:t>pieprasījumu</w:t>
      </w:r>
      <w:r w:rsidR="00AE1506">
        <w:rPr>
          <w:rFonts w:eastAsia="Times New Roman" w:cs="Times New Roman"/>
        </w:rPr>
        <w:t xml:space="preserve"> no investoriem visā pasaulē un tajā piedalījās ap 200 investoru. Obligācijas tika iekļautas Euronext Dublin regulētajā tirgū. Savienojuma neesamība ierobežo arī investoru aktivitāti vērtspapīru tirdzniecībai otrreizējā tirgū. </w:t>
      </w:r>
    </w:p>
    <w:p w14:paraId="4D05F3A9" w14:textId="7AA4DDF7" w:rsidR="00675D4B" w:rsidRPr="00AB44B6" w:rsidRDefault="00AE1506" w:rsidP="00675D4B">
      <w:pPr>
        <w:spacing w:line="259" w:lineRule="auto"/>
        <w:ind w:firstLine="720"/>
        <w:jc w:val="both"/>
        <w:rPr>
          <w:rFonts w:eastAsia="Times New Roman" w:cs="Times New Roman"/>
        </w:rPr>
      </w:pPr>
      <w:r>
        <w:rPr>
          <w:rFonts w:eastAsia="Times New Roman" w:cs="Times New Roman"/>
        </w:rPr>
        <w:t xml:space="preserve">Baltijas depozitārija savienojamības veicināšanai jau ir </w:t>
      </w:r>
      <w:r w:rsidR="00675D4B">
        <w:rPr>
          <w:rFonts w:eastAsia="Times New Roman" w:cs="Times New Roman"/>
        </w:rPr>
        <w:t>veiktas iestrādes saziņā ar Euroclear un  Eiropas institūcijām. Arī turpmāk,</w:t>
      </w:r>
      <w:r w:rsidR="00675D4B" w:rsidRPr="00AB44B6">
        <w:rPr>
          <w:rFonts w:eastAsia="Times New Roman" w:cs="Times New Roman"/>
        </w:rPr>
        <w:t xml:space="preserve"> būtu nepieciešams sadarboties arī ar pārējām Baltijas valstīm –Igauniju</w:t>
      </w:r>
      <w:r w:rsidR="00675D4B">
        <w:rPr>
          <w:rFonts w:eastAsia="Times New Roman" w:cs="Times New Roman"/>
        </w:rPr>
        <w:t xml:space="preserve"> un Lietuvu</w:t>
      </w:r>
      <w:r w:rsidR="00675D4B" w:rsidRPr="00AB44B6">
        <w:rPr>
          <w:rFonts w:eastAsia="Times New Roman" w:cs="Times New Roman"/>
        </w:rPr>
        <w:t>. Tāpat būtu nepieciešams stiprināt sadarbību ar Eiropas Vērtspapīru un tirgu iestādi (ESMA), tai skaitā, ar mērķi veicināt Eiropas Savienības klīringa un norēķinu infrastruktūras savstarpēju savienojamību sistēmiskā līmenī.</w:t>
      </w:r>
    </w:p>
    <w:p w14:paraId="70E737C6" w14:textId="1B333353" w:rsidR="001B5F60" w:rsidRDefault="008266B0" w:rsidP="001B5F60">
      <w:pPr>
        <w:spacing w:after="160" w:line="257" w:lineRule="auto"/>
        <w:ind w:firstLine="720"/>
        <w:jc w:val="both"/>
        <w:rPr>
          <w:rFonts w:eastAsia="Times New Roman" w:cs="Times New Roman"/>
          <w:b/>
          <w:bCs/>
          <w:szCs w:val="24"/>
          <w:u w:val="single"/>
        </w:rPr>
      </w:pPr>
      <w:r>
        <w:rPr>
          <w:rFonts w:eastAsia="Times New Roman" w:cs="Times New Roman"/>
          <w:b/>
          <w:bCs/>
          <w:szCs w:val="24"/>
          <w:u w:val="single"/>
        </w:rPr>
        <w:t>Priekšlikums:</w:t>
      </w:r>
      <w:r w:rsidR="001B5F60" w:rsidRPr="001B5F60">
        <w:rPr>
          <w:rFonts w:eastAsia="Times New Roman" w:cs="Times New Roman"/>
          <w:b/>
          <w:bCs/>
          <w:szCs w:val="24"/>
          <w:u w:val="single"/>
        </w:rPr>
        <w:t xml:space="preserve"> veikt saziņu ar Euroclear Bank SA, lai aktualizētu jautājumu par savienojumu un vienoties par praktisku risinājumu tā izveidei. </w:t>
      </w:r>
      <w:bookmarkEnd w:id="2"/>
    </w:p>
    <w:p w14:paraId="7140E885" w14:textId="77777777" w:rsidR="001B5F60" w:rsidRPr="00917476" w:rsidRDefault="001B5F60" w:rsidP="00916C47">
      <w:pPr>
        <w:spacing w:after="160" w:line="257" w:lineRule="auto"/>
        <w:ind w:firstLine="720"/>
        <w:jc w:val="both"/>
        <w:rPr>
          <w:rFonts w:eastAsia="Times New Roman" w:cs="Times New Roman"/>
          <w:b/>
          <w:bCs/>
          <w:szCs w:val="24"/>
          <w:u w:val="single"/>
        </w:rPr>
      </w:pPr>
    </w:p>
    <w:p w14:paraId="63D8AFA9" w14:textId="278318B1" w:rsidR="002228AB" w:rsidRPr="00BF1709" w:rsidRDefault="4D7C217F" w:rsidP="359A5C1A">
      <w:pPr>
        <w:ind w:firstLine="720"/>
        <w:jc w:val="center"/>
        <w:rPr>
          <w:b/>
          <w:bCs/>
        </w:rPr>
      </w:pPr>
      <w:r w:rsidRPr="5F98231E">
        <w:rPr>
          <w:b/>
          <w:bCs/>
        </w:rPr>
        <w:t>4</w:t>
      </w:r>
      <w:r w:rsidR="1DE0A1C0" w:rsidRPr="5F98231E">
        <w:rPr>
          <w:b/>
          <w:bCs/>
        </w:rPr>
        <w:t xml:space="preserve">. </w:t>
      </w:r>
      <w:r w:rsidR="002228AB" w:rsidRPr="5F98231E">
        <w:rPr>
          <w:b/>
          <w:bCs/>
        </w:rPr>
        <w:t>Par valsts un pašvaldību kapitālsabiedrību sākotnējo publisko piedāvājumu</w:t>
      </w:r>
    </w:p>
    <w:p w14:paraId="0AD7E0E8" w14:textId="77777777" w:rsidR="002228AB" w:rsidRDefault="002228AB" w:rsidP="002228AB"/>
    <w:p w14:paraId="16DBEE17" w14:textId="1581251D" w:rsidR="002228AB" w:rsidRDefault="002228AB" w:rsidP="002228AB">
      <w:pPr>
        <w:ind w:firstLine="720"/>
        <w:jc w:val="both"/>
      </w:pPr>
      <w:r>
        <w:t>2024.gada 9.aprīlī Ministru kabinets izskatīja Finanšu ministrijas izstrādātu informatīvo ziņojumu “Par valsts un pašvaldību kapitālsabiedrībām, kas virzāmas sākotnējam publiskam piedāvājumam” (sēdes protokols Nr.15 70.§).</w:t>
      </w:r>
      <w:r>
        <w:rPr>
          <w:rStyle w:val="FootnoteReference"/>
        </w:rPr>
        <w:footnoteReference w:id="12"/>
      </w:r>
      <w:r>
        <w:t xml:space="preserve"> Informatīvā ziņojuma ietvaros, atbilstoši kapitāla daļu turētāju sniegtajai informācijai, tika izvērtētas vairāk kā 20 valsts un pašvaldību kapitālsabiedrības par to iespējamu </w:t>
      </w:r>
      <w:r w:rsidR="00120962">
        <w:t>sākotnējo publisko piedāvājumu</w:t>
      </w:r>
      <w:r>
        <w:t xml:space="preserve">, vadoties no konkrētā uzņēmuma stratēģijas un investīciju vajadzībām turpmākajos gados. </w:t>
      </w:r>
    </w:p>
    <w:p w14:paraId="0E49989D" w14:textId="77777777" w:rsidR="002228AB" w:rsidRDefault="002228AB" w:rsidP="002228AB">
      <w:pPr>
        <w:ind w:firstLine="720"/>
        <w:jc w:val="both"/>
      </w:pPr>
      <w:r>
        <w:t>Izskatot sagatavoto izvērtējumu, Ministru kabinets noteica turpmāko rīcību attiecībā uz vairākām valsts un pašvaldību kapitālsabiedrībām:</w:t>
      </w:r>
    </w:p>
    <w:p w14:paraId="3870719D" w14:textId="77777777" w:rsidR="002228AB" w:rsidRDefault="002228AB" w:rsidP="002228AB">
      <w:pPr>
        <w:ind w:firstLine="720"/>
        <w:jc w:val="both"/>
        <w:rPr>
          <w:shd w:val="clear" w:color="auto" w:fill="FFFFFF"/>
        </w:rPr>
      </w:pPr>
      <w:r w:rsidRPr="00C53B10">
        <w:lastRenderedPageBreak/>
        <w:t xml:space="preserve">1) Ekonomikas ministrijai izvērtēt optimālāko risinājumu </w:t>
      </w:r>
      <w:r>
        <w:t xml:space="preserve">AS “Latvenergo” </w:t>
      </w:r>
      <w:r w:rsidRPr="00C53B10">
        <w:t xml:space="preserve">koncerna struktūrai, </w:t>
      </w:r>
      <w:r w:rsidRPr="00C53B10">
        <w:rPr>
          <w:shd w:val="clear" w:color="auto" w:fill="FFFFFF"/>
        </w:rPr>
        <w:t xml:space="preserve">izskatot iespēju atjaunojamo energoresursu jaudu īpatsvara palielināšanai un nepieciešamo investīciju piesaistei to finansēšanai, apvienot AS "Latvenergo" koncerna ietvaros esošos un plānotos atjaunojamo energoresursu projektus vienā meitas uzņēmumā, </w:t>
      </w:r>
      <w:r>
        <w:rPr>
          <w:shd w:val="clear" w:color="auto" w:fill="FFFFFF"/>
        </w:rPr>
        <w:t xml:space="preserve">kas nākotnē varētu piesaistīt finansējumu caur sākotnējo publisko piedāvājumu, </w:t>
      </w:r>
      <w:r w:rsidRPr="00C53B10">
        <w:rPr>
          <w:shd w:val="clear" w:color="auto" w:fill="FFFFFF"/>
        </w:rPr>
        <w:t>un iesniegt Ministru kabinetā attiecīgo ziņojumu (</w:t>
      </w:r>
      <w:r>
        <w:rPr>
          <w:shd w:val="clear" w:color="auto" w:fill="FFFFFF"/>
        </w:rPr>
        <w:t xml:space="preserve">Ministru kabineta 09.04. 2024. </w:t>
      </w:r>
      <w:r>
        <w:t>sēdes protokols Nr.15 70.§</w:t>
      </w:r>
      <w:r w:rsidRPr="00C53B10">
        <w:rPr>
          <w:shd w:val="clear" w:color="auto" w:fill="FFFFFF"/>
        </w:rPr>
        <w:t>3.1. apakšpunkts)</w:t>
      </w:r>
      <w:r>
        <w:rPr>
          <w:shd w:val="clear" w:color="auto" w:fill="FFFFFF"/>
        </w:rPr>
        <w:t>;</w:t>
      </w:r>
    </w:p>
    <w:p w14:paraId="4CC35ED0" w14:textId="6A49CDDA" w:rsidR="002228AB" w:rsidRDefault="002228AB" w:rsidP="002228AB">
      <w:pPr>
        <w:ind w:firstLine="720"/>
        <w:jc w:val="both"/>
        <w:rPr>
          <w:shd w:val="clear" w:color="auto" w:fill="FFFFFF"/>
        </w:rPr>
      </w:pPr>
      <w:r>
        <w:rPr>
          <w:shd w:val="clear" w:color="auto" w:fill="FFFFFF"/>
        </w:rPr>
        <w:t>2</w:t>
      </w:r>
      <w:r w:rsidRPr="00C53B10">
        <w:rPr>
          <w:shd w:val="clear" w:color="auto" w:fill="FFFFFF"/>
        </w:rPr>
        <w:t>) Noteikt, ka par SIA </w:t>
      </w:r>
      <w:r>
        <w:rPr>
          <w:shd w:val="clear" w:color="auto" w:fill="FFFFFF"/>
        </w:rPr>
        <w:t>“</w:t>
      </w:r>
      <w:r w:rsidRPr="00C53B10">
        <w:rPr>
          <w:shd w:val="clear" w:color="auto" w:fill="FFFFFF"/>
        </w:rPr>
        <w:t>Tet</w:t>
      </w:r>
      <w:r>
        <w:rPr>
          <w:shd w:val="clear" w:color="auto" w:fill="FFFFFF"/>
        </w:rPr>
        <w:t>”</w:t>
      </w:r>
      <w:r w:rsidRPr="00C53B10">
        <w:rPr>
          <w:shd w:val="clear" w:color="auto" w:fill="FFFFFF"/>
        </w:rPr>
        <w:t>, SIA </w:t>
      </w:r>
      <w:r>
        <w:rPr>
          <w:shd w:val="clear" w:color="auto" w:fill="FFFFFF"/>
        </w:rPr>
        <w:t>“</w:t>
      </w:r>
      <w:r w:rsidRPr="00C53B10">
        <w:rPr>
          <w:shd w:val="clear" w:color="auto" w:fill="FFFFFF"/>
        </w:rPr>
        <w:t>Latvijas Mobilais telefons</w:t>
      </w:r>
      <w:r>
        <w:rPr>
          <w:shd w:val="clear" w:color="auto" w:fill="FFFFFF"/>
        </w:rPr>
        <w:t>”</w:t>
      </w:r>
      <w:r w:rsidRPr="00C53B10">
        <w:rPr>
          <w:shd w:val="clear" w:color="auto" w:fill="FFFFFF"/>
        </w:rPr>
        <w:t> un SIA </w:t>
      </w:r>
      <w:r>
        <w:rPr>
          <w:shd w:val="clear" w:color="auto" w:fill="FFFFFF"/>
        </w:rPr>
        <w:t>“</w:t>
      </w:r>
      <w:r w:rsidRPr="00C53B10">
        <w:rPr>
          <w:shd w:val="clear" w:color="auto" w:fill="FFFFFF"/>
        </w:rPr>
        <w:t>Citrus Solutions</w:t>
      </w:r>
      <w:r>
        <w:rPr>
          <w:shd w:val="clear" w:color="auto" w:fill="FFFFFF"/>
        </w:rPr>
        <w:t>”</w:t>
      </w:r>
      <w:r w:rsidRPr="00C53B10">
        <w:rPr>
          <w:shd w:val="clear" w:color="auto" w:fill="FFFFFF"/>
        </w:rPr>
        <w:t xml:space="preserve"> iespējamu sākotnējo publisko piedāvājumu Ministru kabinets lemj kopā ar SIA "Publisko aktīvu pārvaldītājs </w:t>
      </w:r>
      <w:r>
        <w:rPr>
          <w:shd w:val="clear" w:color="auto" w:fill="FFFFFF"/>
        </w:rPr>
        <w:t>“</w:t>
      </w:r>
      <w:r w:rsidRPr="00C53B10">
        <w:rPr>
          <w:shd w:val="clear" w:color="auto" w:fill="FFFFFF"/>
        </w:rPr>
        <w:t>Possessor</w:t>
      </w:r>
      <w:r>
        <w:rPr>
          <w:shd w:val="clear" w:color="auto" w:fill="FFFFFF"/>
        </w:rPr>
        <w:t>”</w:t>
      </w:r>
      <w:r w:rsidR="00120962">
        <w:rPr>
          <w:shd w:val="clear" w:color="auto" w:fill="FFFFFF"/>
        </w:rPr>
        <w:t>”</w:t>
      </w:r>
      <w:r w:rsidR="00E75646">
        <w:rPr>
          <w:shd w:val="clear" w:color="auto" w:fill="FFFFFF"/>
        </w:rPr>
        <w:t xml:space="preserve"> </w:t>
      </w:r>
      <w:r w:rsidRPr="00C53B10">
        <w:rPr>
          <w:shd w:val="clear" w:color="auto" w:fill="FFFFFF"/>
        </w:rPr>
        <w:t>piesaistītā konsultanta rekomendācijām, ievērojot Latvijas valsts stratēģiskās intereses</w:t>
      </w:r>
      <w:r w:rsidR="00E75646">
        <w:rPr>
          <w:shd w:val="clear" w:color="auto" w:fill="FFFFFF"/>
        </w:rPr>
        <w:t xml:space="preserve"> </w:t>
      </w:r>
      <w:r w:rsidRPr="00C53B10">
        <w:rPr>
          <w:shd w:val="clear" w:color="auto" w:fill="FFFFFF"/>
        </w:rPr>
        <w:t>šajos uzņēmumo</w:t>
      </w:r>
      <w:r>
        <w:rPr>
          <w:shd w:val="clear" w:color="auto" w:fill="FFFFFF"/>
        </w:rPr>
        <w:t xml:space="preserve">s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4.</w:t>
      </w:r>
      <w:r w:rsidRPr="00C53B10">
        <w:rPr>
          <w:shd w:val="clear" w:color="auto" w:fill="FFFFFF"/>
        </w:rPr>
        <w:t>punkts)</w:t>
      </w:r>
      <w:r>
        <w:rPr>
          <w:shd w:val="clear" w:color="auto" w:fill="FFFFFF"/>
        </w:rPr>
        <w:t>;</w:t>
      </w:r>
    </w:p>
    <w:p w14:paraId="7E19360A" w14:textId="6B657AE3" w:rsidR="002228AB" w:rsidRPr="002B49EF" w:rsidRDefault="002228AB" w:rsidP="002228AB">
      <w:pPr>
        <w:shd w:val="clear" w:color="auto" w:fill="FFFFFF"/>
        <w:ind w:firstLine="720"/>
        <w:jc w:val="both"/>
        <w:rPr>
          <w:rFonts w:eastAsia="Times New Roman"/>
          <w:kern w:val="0"/>
          <w:lang w:eastAsia="lv-LV"/>
          <w14:ligatures w14:val="none"/>
        </w:rPr>
      </w:pPr>
      <w:r w:rsidRPr="002B49EF">
        <w:rPr>
          <w:rFonts w:eastAsia="Times New Roman"/>
          <w:kern w:val="0"/>
          <w:lang w:eastAsia="lv-LV"/>
          <w14:ligatures w14:val="none"/>
        </w:rPr>
        <w:t xml:space="preserve">3) Ņemot vērā AS </w:t>
      </w:r>
      <w:r w:rsidR="00876D42">
        <w:rPr>
          <w:rFonts w:eastAsia="Times New Roman"/>
          <w:kern w:val="0"/>
          <w:lang w:eastAsia="lv-LV"/>
          <w14:ligatures w14:val="none"/>
        </w:rPr>
        <w:t>“</w:t>
      </w:r>
      <w:r w:rsidRPr="002B49EF">
        <w:rPr>
          <w:rFonts w:eastAsia="Times New Roman"/>
          <w:kern w:val="0"/>
          <w:lang w:eastAsia="lv-LV"/>
          <w14:ligatures w14:val="none"/>
        </w:rPr>
        <w:t>Augstspriegumu tīkls</w:t>
      </w:r>
      <w:r w:rsidR="00876D42">
        <w:rPr>
          <w:rFonts w:eastAsia="Times New Roman"/>
          <w:kern w:val="0"/>
          <w:lang w:eastAsia="lv-LV"/>
          <w14:ligatures w14:val="none"/>
        </w:rPr>
        <w:t>”</w:t>
      </w:r>
      <w:r w:rsidRPr="002B49EF">
        <w:rPr>
          <w:rFonts w:eastAsia="Times New Roman"/>
          <w:kern w:val="0"/>
          <w:lang w:eastAsia="lv-LV"/>
          <w14:ligatures w14:val="none"/>
        </w:rPr>
        <w:t xml:space="preserve"> kapitāla daļu turētāja izvērtējumu, kas noteic, ka sākotnējais publiskais piedāvājums vērtējams kā nozīmīgs un vērā ņemams kapitālsabiedrības attīstības mērķu finansēšanai, AS </w:t>
      </w:r>
      <w:r w:rsidR="00876D42">
        <w:rPr>
          <w:rFonts w:eastAsia="Times New Roman"/>
          <w:kern w:val="0"/>
          <w:lang w:eastAsia="lv-LV"/>
          <w14:ligatures w14:val="none"/>
        </w:rPr>
        <w:t>“</w:t>
      </w:r>
      <w:r w:rsidRPr="002B49EF">
        <w:rPr>
          <w:rFonts w:eastAsia="Times New Roman"/>
          <w:kern w:val="0"/>
          <w:lang w:eastAsia="lv-LV"/>
          <w14:ligatures w14:val="none"/>
        </w:rPr>
        <w:t>Augstspriegumu tīkls</w:t>
      </w:r>
      <w:r w:rsidR="00876D42">
        <w:rPr>
          <w:rFonts w:eastAsia="Times New Roman"/>
          <w:kern w:val="0"/>
          <w:lang w:eastAsia="lv-LV"/>
          <w14:ligatures w14:val="none"/>
        </w:rPr>
        <w:t>”</w:t>
      </w:r>
      <w:r w:rsidRPr="002B49EF">
        <w:rPr>
          <w:rFonts w:eastAsia="Times New Roman"/>
          <w:kern w:val="0"/>
          <w:lang w:eastAsia="lv-LV"/>
          <w14:ligatures w14:val="none"/>
        </w:rPr>
        <w:t xml:space="preserve"> kapitālu daļu turētājam nodrošināt padziļinātu juridisko un finanšu risku novērtējumu par sākotnējā publiskā piedāvājuma īstenošanas iespēju un iespējamo laika grafiku, tai skaitā notiekošo elektroenerģijas sistēmas sinhronizācijas projektu ar kontinentālās Eiropas elektrotīkliem, un atbilstoši izvērtējuma rezultātiem līdz 2025. gada 31. decembrim informēt par to Finanšu ministriju</w:t>
      </w:r>
      <w:r>
        <w:rPr>
          <w:rFonts w:eastAsia="Times New Roman"/>
          <w:kern w:val="0"/>
          <w:lang w:eastAsia="lv-LV"/>
          <w14:ligatures w14:val="none"/>
        </w:rPr>
        <w:t xml:space="preserve">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5.</w:t>
      </w:r>
      <w:r w:rsidRPr="00C53B10">
        <w:rPr>
          <w:shd w:val="clear" w:color="auto" w:fill="FFFFFF"/>
        </w:rPr>
        <w:t>punkts)</w:t>
      </w:r>
      <w:r>
        <w:rPr>
          <w:shd w:val="clear" w:color="auto" w:fill="FFFFFF"/>
        </w:rPr>
        <w:t>;</w:t>
      </w:r>
    </w:p>
    <w:p w14:paraId="283B0DBA" w14:textId="218AA897" w:rsidR="002228AB" w:rsidRPr="002B49EF" w:rsidRDefault="002228AB" w:rsidP="002228AB">
      <w:pPr>
        <w:shd w:val="clear" w:color="auto" w:fill="FFFFFF"/>
        <w:ind w:firstLine="720"/>
        <w:jc w:val="both"/>
        <w:rPr>
          <w:rFonts w:eastAsia="Times New Roman"/>
          <w:kern w:val="0"/>
          <w:lang w:eastAsia="lv-LV"/>
          <w14:ligatures w14:val="none"/>
        </w:rPr>
      </w:pPr>
      <w:r w:rsidRPr="002B49EF">
        <w:rPr>
          <w:rFonts w:eastAsia="Times New Roman"/>
          <w:kern w:val="0"/>
          <w:lang w:eastAsia="lv-LV"/>
          <w14:ligatures w14:val="none"/>
        </w:rPr>
        <w:t>4) Satiksmes ministrijai līdz 2025. gada 31. martam nodrošināt VAS</w:t>
      </w:r>
      <w:r w:rsidR="009016A1">
        <w:rPr>
          <w:rFonts w:eastAsia="Times New Roman"/>
          <w:kern w:val="0"/>
          <w:lang w:eastAsia="lv-LV"/>
          <w14:ligatures w14:val="none"/>
        </w:rPr>
        <w:t xml:space="preserve"> “</w:t>
      </w:r>
      <w:r w:rsidRPr="002B49EF">
        <w:rPr>
          <w:rFonts w:eastAsia="Times New Roman"/>
          <w:kern w:val="0"/>
          <w:lang w:eastAsia="lv-LV"/>
          <w14:ligatures w14:val="none"/>
        </w:rPr>
        <w:t>Latvijas Pasts</w:t>
      </w:r>
      <w:r w:rsidR="009016A1">
        <w:rPr>
          <w:rFonts w:eastAsia="Times New Roman"/>
          <w:kern w:val="0"/>
          <w:lang w:eastAsia="lv-LV"/>
          <w14:ligatures w14:val="none"/>
        </w:rPr>
        <w:t xml:space="preserve">” </w:t>
      </w:r>
      <w:r w:rsidRPr="002B49EF">
        <w:rPr>
          <w:rFonts w:eastAsia="Times New Roman"/>
          <w:kern w:val="0"/>
          <w:lang w:eastAsia="lv-LV"/>
          <w14:ligatures w14:val="none"/>
        </w:rPr>
        <w:t>kapitāla un finansējuma piesaistes izvērtējumu atbilstoši aktuālajai uzņēmuma stratēģijai, lai aktualizētu sākotnējā publiskā piedāvājuma nepieciešamību un atbilstoši izvērtējuma secinājumiem sagatavot grozījumus normatīvajos aktos, lai atceltu ierobežojumus, kas liedz šobrīd VAS</w:t>
      </w:r>
      <w:r w:rsidR="009016A1">
        <w:rPr>
          <w:rFonts w:eastAsia="Times New Roman"/>
          <w:kern w:val="0"/>
          <w:lang w:eastAsia="lv-LV"/>
          <w14:ligatures w14:val="none"/>
        </w:rPr>
        <w:t xml:space="preserve"> “</w:t>
      </w:r>
      <w:r w:rsidRPr="002B49EF">
        <w:rPr>
          <w:rFonts w:eastAsia="Times New Roman"/>
          <w:kern w:val="0"/>
          <w:lang w:eastAsia="lv-LV"/>
          <w14:ligatures w14:val="none"/>
        </w:rPr>
        <w:t>Latvijas Pasts</w:t>
      </w:r>
      <w:r w:rsidR="009016A1">
        <w:rPr>
          <w:rFonts w:eastAsia="Times New Roman"/>
          <w:kern w:val="0"/>
          <w:lang w:eastAsia="lv-LV"/>
          <w14:ligatures w14:val="none"/>
        </w:rPr>
        <w:t>”</w:t>
      </w:r>
      <w:r w:rsidR="009016A1" w:rsidRPr="002B49EF">
        <w:rPr>
          <w:rFonts w:eastAsia="Times New Roman"/>
          <w:kern w:val="0"/>
          <w:lang w:eastAsia="lv-LV"/>
          <w14:ligatures w14:val="none"/>
        </w:rPr>
        <w:t xml:space="preserve"> </w:t>
      </w:r>
      <w:r w:rsidRPr="002B49EF">
        <w:rPr>
          <w:rFonts w:eastAsia="Times New Roman"/>
          <w:kern w:val="0"/>
          <w:lang w:eastAsia="lv-LV"/>
          <w14:ligatures w14:val="none"/>
        </w:rPr>
        <w:t>mazākuma daļas kotēšanu biržā</w:t>
      </w:r>
      <w:r>
        <w:rPr>
          <w:rFonts w:eastAsia="Times New Roman"/>
          <w:kern w:val="0"/>
          <w:lang w:eastAsia="lv-LV"/>
          <w14:ligatures w14:val="none"/>
        </w:rPr>
        <w:t xml:space="preserve">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6.</w:t>
      </w:r>
      <w:r w:rsidRPr="00C53B10">
        <w:rPr>
          <w:shd w:val="clear" w:color="auto" w:fill="FFFFFF"/>
        </w:rPr>
        <w:t>punkts)</w:t>
      </w:r>
      <w:r w:rsidRPr="002B49EF">
        <w:rPr>
          <w:rFonts w:eastAsia="Times New Roman"/>
          <w:kern w:val="0"/>
          <w:lang w:eastAsia="lv-LV"/>
          <w14:ligatures w14:val="none"/>
        </w:rPr>
        <w:t>;</w:t>
      </w:r>
    </w:p>
    <w:p w14:paraId="7C8A6837" w14:textId="52F0F0E0" w:rsidR="002228AB" w:rsidRDefault="002228AB" w:rsidP="002228AB">
      <w:pPr>
        <w:shd w:val="clear" w:color="auto" w:fill="FFFFFF"/>
        <w:jc w:val="both"/>
        <w:rPr>
          <w:rFonts w:eastAsia="Times New Roman"/>
          <w:kern w:val="0"/>
          <w:lang w:eastAsia="lv-LV"/>
          <w14:ligatures w14:val="none"/>
        </w:rPr>
      </w:pPr>
      <w:r w:rsidRPr="002B49EF">
        <w:rPr>
          <w:rFonts w:eastAsia="Times New Roman"/>
          <w:kern w:val="0"/>
          <w:lang w:eastAsia="lv-LV"/>
          <w14:ligatures w14:val="none"/>
        </w:rPr>
        <w:tab/>
        <w:t>5) Pieņemt zināšanai, ka SIA</w:t>
      </w:r>
      <w:r w:rsidR="00D47B1A">
        <w:rPr>
          <w:rFonts w:eastAsia="Times New Roman"/>
          <w:kern w:val="0"/>
          <w:lang w:eastAsia="lv-LV"/>
          <w14:ligatures w14:val="none"/>
        </w:rPr>
        <w:t xml:space="preserve"> “</w:t>
      </w:r>
      <w:r w:rsidRPr="002B49EF">
        <w:rPr>
          <w:rFonts w:eastAsia="Times New Roman"/>
          <w:kern w:val="0"/>
          <w:lang w:eastAsia="lv-LV"/>
          <w14:ligatures w14:val="none"/>
        </w:rPr>
        <w:t>Rīgas ūdens</w:t>
      </w:r>
      <w:r w:rsidR="00D47B1A">
        <w:rPr>
          <w:rFonts w:eastAsia="Times New Roman"/>
          <w:kern w:val="0"/>
          <w:lang w:eastAsia="lv-LV"/>
          <w14:ligatures w14:val="none"/>
        </w:rPr>
        <w:t xml:space="preserve">” </w:t>
      </w:r>
      <w:r w:rsidRPr="002B49EF">
        <w:rPr>
          <w:rFonts w:eastAsia="Times New Roman"/>
          <w:kern w:val="0"/>
          <w:lang w:eastAsia="lv-LV"/>
          <w14:ligatures w14:val="none"/>
        </w:rPr>
        <w:t>plāno emitēt obligācijas un SIA "Rīgas namu pārvaldnieks" strādā pie sākotnējā publiskā piedāvājuma izteikšanas 2026. gadā</w:t>
      </w:r>
      <w:r>
        <w:rPr>
          <w:rFonts w:eastAsia="Times New Roman"/>
          <w:kern w:val="0"/>
          <w:lang w:eastAsia="lv-LV"/>
          <w14:ligatures w14:val="none"/>
        </w:rPr>
        <w:t xml:space="preserve"> </w:t>
      </w:r>
      <w:r w:rsidRPr="00C53B10">
        <w:rPr>
          <w:shd w:val="clear" w:color="auto" w:fill="FFFFFF"/>
        </w:rPr>
        <w:t>(</w:t>
      </w:r>
      <w:r>
        <w:rPr>
          <w:shd w:val="clear" w:color="auto" w:fill="FFFFFF"/>
        </w:rPr>
        <w:t xml:space="preserve">Ministru kabineta 09.04. 2024. </w:t>
      </w:r>
      <w:r>
        <w:t>sēdes protokols Nr.15 70.§</w:t>
      </w:r>
      <w:r>
        <w:rPr>
          <w:shd w:val="clear" w:color="auto" w:fill="FFFFFF"/>
        </w:rPr>
        <w:t xml:space="preserve"> 7.</w:t>
      </w:r>
      <w:r w:rsidRPr="00C53B10">
        <w:rPr>
          <w:shd w:val="clear" w:color="auto" w:fill="FFFFFF"/>
        </w:rPr>
        <w:t>punkts)</w:t>
      </w:r>
      <w:r w:rsidRPr="002B49EF">
        <w:rPr>
          <w:rFonts w:eastAsia="Times New Roman"/>
          <w:kern w:val="0"/>
          <w:lang w:eastAsia="lv-LV"/>
          <w14:ligatures w14:val="none"/>
        </w:rPr>
        <w:t>.</w:t>
      </w:r>
    </w:p>
    <w:p w14:paraId="64CD0967" w14:textId="2F2852EC" w:rsidR="002228AB" w:rsidRDefault="002228AB" w:rsidP="00876D42">
      <w:pPr>
        <w:shd w:val="clear" w:color="auto" w:fill="FFFFFF"/>
        <w:ind w:firstLine="720"/>
        <w:jc w:val="both"/>
        <w:rPr>
          <w:rFonts w:eastAsia="Times New Roman"/>
          <w:kern w:val="0"/>
          <w:lang w:eastAsia="lv-LV"/>
          <w14:ligatures w14:val="none"/>
        </w:rPr>
      </w:pPr>
      <w:r>
        <w:rPr>
          <w:rFonts w:eastAsia="Times New Roman"/>
          <w:kern w:val="0"/>
          <w:lang w:eastAsia="lv-LV"/>
          <w14:ligatures w14:val="none"/>
        </w:rPr>
        <w:t>Attiecībā uz šo uzdevumu izpildi, Finanšu ministrija ir lūgusi attiecīgo kapitālsabiedrību kapitāla daļu turētājiem sniegt informāciju par minēto uzdevumu aktuālo statusu:</w:t>
      </w:r>
    </w:p>
    <w:p w14:paraId="28EEA556" w14:textId="77777777" w:rsidR="002228AB" w:rsidRPr="003C3F23" w:rsidRDefault="002228AB" w:rsidP="002228AB">
      <w:pPr>
        <w:pStyle w:val="ListParagraph"/>
        <w:numPr>
          <w:ilvl w:val="0"/>
          <w:numId w:val="12"/>
        </w:numPr>
        <w:shd w:val="clear" w:color="auto" w:fill="FFFFFF"/>
        <w:jc w:val="both"/>
        <w:rPr>
          <w:rFonts w:eastAsia="Times New Roman"/>
          <w:b/>
          <w:bCs/>
          <w:kern w:val="0"/>
          <w:lang w:eastAsia="lv-LV"/>
          <w14:ligatures w14:val="none"/>
        </w:rPr>
      </w:pPr>
      <w:r w:rsidRPr="003C3F23">
        <w:rPr>
          <w:rFonts w:eastAsia="Times New Roman"/>
          <w:b/>
          <w:bCs/>
          <w:kern w:val="0"/>
          <w:lang w:eastAsia="lv-LV"/>
          <w14:ligatures w14:val="none"/>
        </w:rPr>
        <w:t>AS “Latvenergo”</w:t>
      </w:r>
    </w:p>
    <w:p w14:paraId="6649A3D0" w14:textId="50C2EAF9" w:rsidR="002228AB" w:rsidRDefault="002403B8" w:rsidP="002228AB">
      <w:pPr>
        <w:shd w:val="clear" w:color="auto" w:fill="FFFFFF"/>
        <w:ind w:firstLine="720"/>
        <w:jc w:val="both"/>
        <w:rPr>
          <w:rFonts w:eastAsia="Times New Roman"/>
          <w:kern w:val="0"/>
          <w:lang w:eastAsia="lv-LV"/>
          <w14:ligatures w14:val="none"/>
        </w:rPr>
      </w:pPr>
      <w:r>
        <w:rPr>
          <w:rFonts w:eastAsia="Times New Roman"/>
          <w:kern w:val="0"/>
          <w:lang w:eastAsia="lv-LV"/>
          <w14:ligatures w14:val="none"/>
        </w:rPr>
        <w:t xml:space="preserve">Atbilstoši Ekonomikas ministrijas sniegtajai informācijai </w:t>
      </w:r>
      <w:r w:rsidR="001606D7" w:rsidRPr="001606D7">
        <w:rPr>
          <w:rFonts w:eastAsia="Times New Roman"/>
          <w:kern w:val="0"/>
          <w:lang w:eastAsia="lv-LV"/>
          <w14:ligatures w14:val="none"/>
        </w:rPr>
        <w:t>2024.gada novembrī Komercreģistrā ir reģistrēta SIA “Elektrum Next”</w:t>
      </w:r>
      <w:r w:rsidR="00120962">
        <w:rPr>
          <w:rFonts w:eastAsia="Times New Roman"/>
          <w:kern w:val="0"/>
          <w:lang w:eastAsia="lv-LV"/>
          <w14:ligatures w14:val="none"/>
        </w:rPr>
        <w:t>, kas</w:t>
      </w:r>
      <w:r w:rsidR="001606D7" w:rsidRPr="001606D7">
        <w:rPr>
          <w:rFonts w:eastAsia="Times New Roman"/>
          <w:kern w:val="0"/>
          <w:lang w:eastAsia="lv-LV"/>
          <w14:ligatures w14:val="none"/>
        </w:rPr>
        <w:t xml:space="preserve"> ir  AS “Latvenergo” meitas sabiedrība, kas izveidota kā specializēta atjaunojamo energoresursu (turpmāk – AER) projektu īstenošanas sabiedrība. Ņemot vērā </w:t>
      </w:r>
      <w:r w:rsidR="00120962">
        <w:rPr>
          <w:rFonts w:eastAsia="Times New Roman"/>
          <w:kern w:val="0"/>
          <w:lang w:eastAsia="lv-LV"/>
          <w14:ligatures w14:val="none"/>
        </w:rPr>
        <w:t>uzņēmuma</w:t>
      </w:r>
      <w:r w:rsidR="001606D7" w:rsidRPr="001606D7">
        <w:rPr>
          <w:rFonts w:eastAsia="Times New Roman"/>
          <w:kern w:val="0"/>
          <w:lang w:eastAsia="lv-LV"/>
          <w14:ligatures w14:val="none"/>
        </w:rPr>
        <w:t xml:space="preserve"> tālākās attīstības plānus un darbības mēroga paredzamo paplašināšanos, nepieciešama investīciju piesaiste, tostarp izvērtējot iespēju piesaistīt finansējumu kapitāla tirgos. Sagatavošanās ir uzsākta savlaicīgi, paredzot to īstenojot pakāpeniski, atbilstoši faktiskajai situācijai un nepārtraukti izvērtējot optimālāko koncerna struktūru</w:t>
      </w:r>
      <w:r w:rsidR="001606D7">
        <w:rPr>
          <w:rFonts w:eastAsia="Times New Roman"/>
          <w:kern w:val="0"/>
          <w:lang w:eastAsia="lv-LV"/>
          <w14:ligatures w14:val="none"/>
        </w:rPr>
        <w:t xml:space="preserve">. </w:t>
      </w:r>
    </w:p>
    <w:p w14:paraId="37DDEDB2" w14:textId="54E04B34" w:rsidR="001606D7" w:rsidRDefault="001606D7" w:rsidP="001606D7">
      <w:pPr>
        <w:ind w:firstLine="720"/>
        <w:jc w:val="both"/>
      </w:pPr>
      <w:r w:rsidRPr="00DA428C">
        <w:t xml:space="preserve">Atbilstoši </w:t>
      </w:r>
      <w:r w:rsidR="006D7DF9">
        <w:rPr>
          <w:rFonts w:eastAsia="Times New Roman" w:cs="Times New Roman"/>
          <w:szCs w:val="24"/>
        </w:rPr>
        <w:t>AS “</w:t>
      </w:r>
      <w:r w:rsidR="006D7DF9" w:rsidRPr="0B1E8007">
        <w:rPr>
          <w:rFonts w:eastAsia="Times New Roman" w:cs="Times New Roman"/>
          <w:szCs w:val="24"/>
        </w:rPr>
        <w:t>Latvenergo</w:t>
      </w:r>
      <w:r w:rsidR="006D7DF9">
        <w:rPr>
          <w:rFonts w:eastAsia="Times New Roman" w:cs="Times New Roman"/>
          <w:szCs w:val="24"/>
        </w:rPr>
        <w:t>”</w:t>
      </w:r>
      <w:r w:rsidR="006D7DF9" w:rsidRPr="0B1E8007">
        <w:rPr>
          <w:rFonts w:eastAsia="Times New Roman" w:cs="Times New Roman"/>
          <w:szCs w:val="24"/>
        </w:rPr>
        <w:t xml:space="preserve"> </w:t>
      </w:r>
      <w:r w:rsidRPr="00DA428C">
        <w:t xml:space="preserve"> koncerna izaugsmes stratēģijai 2022.-2026.gadam un AS </w:t>
      </w:r>
      <w:r>
        <w:t>“</w:t>
      </w:r>
      <w:r w:rsidRPr="00DA428C">
        <w:t>Latvenergo</w:t>
      </w:r>
      <w:r>
        <w:t>”</w:t>
      </w:r>
      <w:r w:rsidRPr="00DA428C">
        <w:t xml:space="preserve"> vispārējam stratēģiskajam mērķim</w:t>
      </w:r>
      <w:r>
        <w:t>,</w:t>
      </w:r>
      <w:r w:rsidRPr="00DA428C">
        <w:t xml:space="preserve"> laika periodā līdz 2026.gadam ir plānots attīstīt ģenerācijas projektus ar būtiskām investīcijām </w:t>
      </w:r>
      <w:r>
        <w:t>AER</w:t>
      </w:r>
      <w:r w:rsidRPr="00DA428C">
        <w:t xml:space="preserve"> ģenerācijas aktīvos. Plānots palielināt koncernam piederošo elektroenerģijas no AER ražošanas jaudu par aptuveni1000 MW 2026.gadā. </w:t>
      </w:r>
      <w:r w:rsidR="006D7DF9">
        <w:rPr>
          <w:rFonts w:eastAsia="Times New Roman" w:cs="Times New Roman"/>
          <w:szCs w:val="24"/>
        </w:rPr>
        <w:t>AS “</w:t>
      </w:r>
      <w:r w:rsidR="006D7DF9" w:rsidRPr="0B1E8007">
        <w:rPr>
          <w:rFonts w:eastAsia="Times New Roman" w:cs="Times New Roman"/>
          <w:szCs w:val="24"/>
        </w:rPr>
        <w:t>Latvenergo</w:t>
      </w:r>
      <w:r w:rsidR="006D7DF9">
        <w:rPr>
          <w:rFonts w:eastAsia="Times New Roman" w:cs="Times New Roman"/>
          <w:szCs w:val="24"/>
        </w:rPr>
        <w:t>”</w:t>
      </w:r>
      <w:r w:rsidR="006D7DF9" w:rsidRPr="0B1E8007">
        <w:rPr>
          <w:rFonts w:eastAsia="Times New Roman" w:cs="Times New Roman"/>
          <w:szCs w:val="24"/>
        </w:rPr>
        <w:t xml:space="preserve"> </w:t>
      </w:r>
      <w:r w:rsidRPr="00DA428C">
        <w:t xml:space="preserve"> koncerns plāno īstenot jaudu pieauguma mērķus dažādos veidos:</w:t>
      </w:r>
      <w:r>
        <w:t xml:space="preserve"> (1) </w:t>
      </w:r>
      <w:r w:rsidRPr="00DA428C">
        <w:t xml:space="preserve">uzsākot projekta attīstību teritorijās bez jebkādas ierīkotas infrastruktūras un pat bez projekta ieceres sākotnējās dokumentācijas jeb t.s. </w:t>
      </w:r>
      <w:r w:rsidRPr="00C03D58">
        <w:rPr>
          <w:i/>
          <w:iCs/>
        </w:rPr>
        <w:t>green field</w:t>
      </w:r>
      <w:r w:rsidRPr="00DA428C">
        <w:t xml:space="preserve"> veidā;</w:t>
      </w:r>
      <w:r>
        <w:t xml:space="preserve"> (2) </w:t>
      </w:r>
      <w:r w:rsidRPr="00DA428C">
        <w:t xml:space="preserve">izmantojot t.s. </w:t>
      </w:r>
      <w:r w:rsidRPr="00C03D58">
        <w:rPr>
          <w:i/>
          <w:iCs/>
        </w:rPr>
        <w:t>inorganic growth</w:t>
      </w:r>
      <w:r w:rsidRPr="00DA428C">
        <w:t xml:space="preserve"> instrumentus un </w:t>
      </w:r>
      <w:r w:rsidRPr="00DA428C">
        <w:lastRenderedPageBreak/>
        <w:t xml:space="preserve">iegādājoties kapitāla daļas/akcijas kapitālsabiedrībās, t.i., īstenojot uzņēmuma/projekta iegādes un apvienošanās darījumus (turpmāk – M&amp;A). Pielietojot M&amp;A darījumus, tiek iegādātas īpašam nolūkam dibinātas kapitālsabiedrības (SPV – </w:t>
      </w:r>
      <w:r w:rsidRPr="00C03D58">
        <w:rPr>
          <w:i/>
          <w:iCs/>
        </w:rPr>
        <w:t>special purpose vehicle</w:t>
      </w:r>
      <w:r w:rsidRPr="00DA428C">
        <w:t xml:space="preserve"> vai SPE – </w:t>
      </w:r>
      <w:r w:rsidRPr="00C03D58">
        <w:rPr>
          <w:i/>
          <w:iCs/>
        </w:rPr>
        <w:t>special purpose entity</w:t>
      </w:r>
      <w:r w:rsidRPr="00DA428C">
        <w:t>) ar sagat</w:t>
      </w:r>
      <w:r>
        <w:t>a</w:t>
      </w:r>
      <w:r w:rsidRPr="00DA428C">
        <w:t>votiem AER ģenerācijas projektiem.</w:t>
      </w:r>
    </w:p>
    <w:p w14:paraId="57F49B88" w14:textId="3BB1E168" w:rsidR="001606D7" w:rsidRDefault="001606D7" w:rsidP="001606D7">
      <w:pPr>
        <w:ind w:firstLine="720"/>
        <w:jc w:val="both"/>
      </w:pPr>
      <w:r w:rsidRPr="00DA428C">
        <w:t>Īstenojot AER ģenerācijas ekspansiju mājas tirgū, 2024.gada otrajā pusē  </w:t>
      </w:r>
      <w:r w:rsidR="006D7DF9">
        <w:rPr>
          <w:rFonts w:eastAsia="Times New Roman" w:cs="Times New Roman"/>
          <w:szCs w:val="24"/>
        </w:rPr>
        <w:t>AS “</w:t>
      </w:r>
      <w:r w:rsidR="006D7DF9" w:rsidRPr="0B1E8007">
        <w:rPr>
          <w:rFonts w:eastAsia="Times New Roman" w:cs="Times New Roman"/>
          <w:szCs w:val="24"/>
        </w:rPr>
        <w:t>Latvenergo</w:t>
      </w:r>
      <w:r w:rsidR="006D7DF9">
        <w:rPr>
          <w:rFonts w:eastAsia="Times New Roman" w:cs="Times New Roman"/>
          <w:szCs w:val="24"/>
        </w:rPr>
        <w:t>”</w:t>
      </w:r>
      <w:r w:rsidR="006D7DF9" w:rsidRPr="0B1E8007">
        <w:rPr>
          <w:rFonts w:eastAsia="Times New Roman" w:cs="Times New Roman"/>
          <w:szCs w:val="24"/>
        </w:rPr>
        <w:t xml:space="preserve"> </w:t>
      </w:r>
      <w:r w:rsidRPr="00DA428C">
        <w:t xml:space="preserve"> koncerna sastāvā bija 17 dažāda lieluma un veida AER SPV, kā arī vairāk kā 15 </w:t>
      </w:r>
      <w:r w:rsidRPr="00C03D58">
        <w:rPr>
          <w:i/>
          <w:iCs/>
        </w:rPr>
        <w:t>green field</w:t>
      </w:r>
      <w:r w:rsidRPr="00DA428C">
        <w:t xml:space="preserve"> projekti dažādās attīstības stadijās. Tādējādi bija acīmredzama nepieciešamība pilnveidot koncerna darbības modeļu un biznesa arhitektūras (</w:t>
      </w:r>
      <w:r w:rsidRPr="00C03D58">
        <w:rPr>
          <w:i/>
          <w:iCs/>
        </w:rPr>
        <w:t>operating model; business architecture</w:t>
      </w:r>
      <w:r w:rsidRPr="00DA428C">
        <w:t>) elementus, lai nodrošinātu efektīvu un uz tālāko attīstību vērstu koncerna sabiedrību pārvaldības un attiecību modeli.</w:t>
      </w:r>
    </w:p>
    <w:p w14:paraId="5DFF9063" w14:textId="3E9F9717" w:rsidR="001606D7" w:rsidRDefault="001606D7" w:rsidP="001606D7">
      <w:pPr>
        <w:ind w:firstLine="720"/>
        <w:jc w:val="both"/>
      </w:pPr>
      <w:r w:rsidRPr="00DA428C">
        <w:t xml:space="preserve">Jau 2023.gadā AS </w:t>
      </w:r>
      <w:r>
        <w:t>“</w:t>
      </w:r>
      <w:r w:rsidRPr="00DA428C">
        <w:t>Latvenergo</w:t>
      </w:r>
      <w:r>
        <w:t>” uzsākta izpēte</w:t>
      </w:r>
      <w:r w:rsidRPr="00DA428C">
        <w:t xml:space="preserve"> par optimālāko risinājumu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0DA428C">
        <w:t xml:space="preserve"> koncerna organizatoriskās struktūras pilnveidei, lai pielāgotu struktūru AER projektu attīstībai aktuālo koncerna ražošanas mērķu sasniegšanai. Tāpat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0DA428C">
        <w:t xml:space="preserve"> koncerna struktūras modeļa izvēlē cita starpā vērtēti tādi aspekti kā struktūras sasaist</w:t>
      </w:r>
      <w:r>
        <w:t>e</w:t>
      </w:r>
      <w:r w:rsidRPr="00DA428C">
        <w:t xml:space="preserve"> ar finansējuma piesaistes potenciālu, koncerna peļņas stabilitāte un plūsma, kā arī pārvaldības un administratīvo izmaksu aspekti.</w:t>
      </w:r>
    </w:p>
    <w:p w14:paraId="305319F5" w14:textId="32AE8C52" w:rsidR="001606D7" w:rsidRDefault="001606D7" w:rsidP="001606D7">
      <w:pPr>
        <w:ind w:firstLine="720"/>
        <w:jc w:val="both"/>
      </w:pPr>
      <w:r w:rsidRPr="00DA428C">
        <w:t xml:space="preserve">Starptautiskā prakse liecina, ka AER projekti grupas ietvaros bieži tiek nodoti specializētas AER sabiedrības kompetencē, tādā veidā koncentrējot kompetences un resursus atbilstoši uzņēmuma darbības profilam. Šāda prakse ar tendenci apvienot lielu skaitu mazāku uzņēmumu un/vai projektu AER meitas sabiedrībās novērojama gan kaimiņu valstu energosabiedrībās – </w:t>
      </w:r>
      <w:r w:rsidRPr="001952B5">
        <w:rPr>
          <w:i/>
          <w:iCs/>
        </w:rPr>
        <w:t>Ignitis Grupe</w:t>
      </w:r>
      <w:r w:rsidRPr="00DA428C">
        <w:t xml:space="preserve"> un </w:t>
      </w:r>
      <w:r w:rsidRPr="001952B5">
        <w:rPr>
          <w:i/>
          <w:iCs/>
        </w:rPr>
        <w:t>Eesti Energia</w:t>
      </w:r>
      <w:r w:rsidRPr="00DA428C">
        <w:t xml:space="preserve">, gan Centrāleiropas uzņēmumu praksē – </w:t>
      </w:r>
      <w:r w:rsidRPr="001952B5">
        <w:rPr>
          <w:i/>
          <w:iCs/>
        </w:rPr>
        <w:t>Enel Group</w:t>
      </w:r>
      <w:r w:rsidRPr="00DA428C">
        <w:t xml:space="preserve">, </w:t>
      </w:r>
      <w:r w:rsidRPr="001952B5">
        <w:rPr>
          <w:i/>
          <w:iCs/>
        </w:rPr>
        <w:t>EDF</w:t>
      </w:r>
      <w:r w:rsidRPr="00DA428C">
        <w:t xml:space="preserve">, </w:t>
      </w:r>
      <w:r w:rsidRPr="001952B5">
        <w:rPr>
          <w:i/>
          <w:iCs/>
        </w:rPr>
        <w:t>RWE</w:t>
      </w:r>
      <w:r w:rsidRPr="00DA428C">
        <w:t xml:space="preserve"> u.c.</w:t>
      </w:r>
      <w:r>
        <w:t xml:space="preserve"> </w:t>
      </w:r>
      <w:r w:rsidRPr="001952B5">
        <w:rPr>
          <w:i/>
          <w:iCs/>
        </w:rPr>
        <w:t>Ignitis Grupe</w:t>
      </w:r>
      <w:r w:rsidRPr="00DA428C">
        <w:t xml:space="preserve"> koncernā Lietuvā šāds AER uzņēmums ir </w:t>
      </w:r>
      <w:r w:rsidRPr="001952B5">
        <w:rPr>
          <w:i/>
          <w:iCs/>
        </w:rPr>
        <w:t>Ignitis Renewables AB</w:t>
      </w:r>
      <w:r w:rsidRPr="00DA428C">
        <w:t xml:space="preserve">, bet </w:t>
      </w:r>
      <w:r w:rsidRPr="001952B5">
        <w:rPr>
          <w:i/>
          <w:iCs/>
        </w:rPr>
        <w:t>Eesti Energia</w:t>
      </w:r>
      <w:r w:rsidRPr="00DA428C">
        <w:t xml:space="preserve"> koncernā Igaunijā šāds uzņēmums ir Enefit Green AS</w:t>
      </w:r>
      <w:r>
        <w:t xml:space="preserve">. </w:t>
      </w:r>
      <w:r w:rsidRPr="00DA428C">
        <w:t>Pamatojoties uz vispusīgu nozares prakses, kā arī ekonomisko un tiesisko aspektu analīzi</w:t>
      </w:r>
      <w:r w:rsidR="00120962">
        <w:t>,</w:t>
      </w:r>
      <w:r w:rsidRPr="00DA428C">
        <w:t xml:space="preserve"> tika definēti šādi koncerna struktūras optimālā mērķa modeļa pamatprincipi:</w:t>
      </w:r>
    </w:p>
    <w:p w14:paraId="7F17865F" w14:textId="77777777" w:rsidR="001606D7" w:rsidRDefault="001606D7" w:rsidP="001606D7">
      <w:pPr>
        <w:pStyle w:val="ListParagraph"/>
        <w:numPr>
          <w:ilvl w:val="0"/>
          <w:numId w:val="31"/>
        </w:numPr>
        <w:jc w:val="both"/>
      </w:pPr>
      <w:r w:rsidRPr="00DA428C">
        <w:t xml:space="preserve">AER aktīvi, kas balstās aprobētās un tradicionālās tehnoloģijās (pamatā SES, sauszemes VES) tiek koncentrēti atsevišķā AS </w:t>
      </w:r>
      <w:r>
        <w:t>“</w:t>
      </w:r>
      <w:r w:rsidRPr="00DA428C">
        <w:t>Latvenergo</w:t>
      </w:r>
      <w:r>
        <w:t>”</w:t>
      </w:r>
      <w:r w:rsidRPr="00DA428C">
        <w:t xml:space="preserve"> AER meitas sabiedrībā.</w:t>
      </w:r>
    </w:p>
    <w:p w14:paraId="448AD775" w14:textId="77777777" w:rsidR="001606D7" w:rsidRDefault="001606D7" w:rsidP="001606D7">
      <w:pPr>
        <w:pStyle w:val="ListParagraph"/>
        <w:numPr>
          <w:ilvl w:val="0"/>
          <w:numId w:val="31"/>
        </w:numPr>
        <w:jc w:val="both"/>
      </w:pPr>
      <w:r w:rsidRPr="00DA428C">
        <w:t>AER meitas sabiedrībai pieder AER ģenerācijas uzņēmumi arī citos mājas tirgus apgabalos ārpus Latvijas.</w:t>
      </w:r>
    </w:p>
    <w:p w14:paraId="1D78818B" w14:textId="77777777" w:rsidR="001606D7" w:rsidRDefault="001606D7" w:rsidP="001606D7">
      <w:pPr>
        <w:pStyle w:val="ListParagraph"/>
        <w:numPr>
          <w:ilvl w:val="0"/>
          <w:numId w:val="31"/>
        </w:numPr>
        <w:jc w:val="both"/>
      </w:pPr>
      <w:r w:rsidRPr="00DA428C">
        <w:t>Liela mēroga, komplicēti vai kapitālietilpīgi AER projekti (piemēram, atkrastes vēja projekti vai alternatīvu tehnoloģiju AER projekti) arī pēc SPV fāzes varētu palikt  ārpus AER meitas sabiedrības.</w:t>
      </w:r>
    </w:p>
    <w:p w14:paraId="330E6366" w14:textId="77777777" w:rsidR="001606D7" w:rsidRDefault="001606D7" w:rsidP="001606D7">
      <w:pPr>
        <w:pStyle w:val="ListParagraph"/>
        <w:numPr>
          <w:ilvl w:val="0"/>
          <w:numId w:val="31"/>
        </w:numPr>
        <w:jc w:val="both"/>
      </w:pPr>
      <w:r w:rsidRPr="00DA428C">
        <w:t xml:space="preserve">SIA </w:t>
      </w:r>
      <w:r>
        <w:t>“</w:t>
      </w:r>
      <w:r w:rsidRPr="00DA428C">
        <w:t>Latvijas vēja parki</w:t>
      </w:r>
      <w:r>
        <w:t>”</w:t>
      </w:r>
      <w:r w:rsidRPr="00DA428C">
        <w:t xml:space="preserve"> turpina darbību atbilstoši tās dibināšanas mērķim kā atsevišķa meitas sabiedrība. Sasniedzot noteiktu projekta attīstības stadiju, tiks vērtēts un lemts atsevišķi par šīs sabiedrības integrēšanu AER meitas sabiedrībā.</w:t>
      </w:r>
    </w:p>
    <w:p w14:paraId="4A0818D8" w14:textId="77777777" w:rsidR="001606D7" w:rsidRDefault="001606D7" w:rsidP="001606D7">
      <w:pPr>
        <w:pStyle w:val="ListParagraph"/>
        <w:numPr>
          <w:ilvl w:val="0"/>
          <w:numId w:val="31"/>
        </w:numPr>
        <w:jc w:val="both"/>
      </w:pPr>
      <w:r w:rsidRPr="00DA428C">
        <w:t>Iekšējie savstarpējie elektroenerģijas pirkšanas – pārdošanas darījumi tiek veikti atbilstoši tirgus cenu līmenim, potenciāli slēdzot gan ilgtermiņa, gan īstermiņa darījumus.</w:t>
      </w:r>
    </w:p>
    <w:p w14:paraId="33ADF9AD" w14:textId="77777777" w:rsidR="001606D7" w:rsidRDefault="001606D7" w:rsidP="001606D7">
      <w:pPr>
        <w:pStyle w:val="ListParagraph"/>
        <w:numPr>
          <w:ilvl w:val="0"/>
          <w:numId w:val="31"/>
        </w:numPr>
        <w:jc w:val="both"/>
      </w:pPr>
      <w:r w:rsidRPr="00DA428C">
        <w:t xml:space="preserve">Koncerna ietvaros jāturpina nodrošināt noteiktus mātes sabiedrības sniegtos centralizētos iekšējos pakalpojumus, kad tas ir ekonomiski pamatoti. Starp AS </w:t>
      </w:r>
      <w:r>
        <w:t>“</w:t>
      </w:r>
      <w:r w:rsidRPr="00DA428C">
        <w:t>Latvenergo</w:t>
      </w:r>
      <w:r>
        <w:t>”</w:t>
      </w:r>
      <w:r w:rsidRPr="00DA428C">
        <w:t xml:space="preserve"> un AER meitas sabiedrību jāslēdz savstarpējo pakalpojumu līgumi, kura tvērums tiek regulāri pārskatīts pēc vajadzības.</w:t>
      </w:r>
    </w:p>
    <w:p w14:paraId="34502835" w14:textId="79421B52" w:rsidR="001606D7" w:rsidRDefault="001606D7" w:rsidP="001606D7">
      <w:pPr>
        <w:pStyle w:val="ListParagraph"/>
        <w:numPr>
          <w:ilvl w:val="0"/>
          <w:numId w:val="31"/>
        </w:numPr>
        <w:jc w:val="both"/>
      </w:pPr>
      <w:r w:rsidRPr="00DA428C">
        <w:t>Nepieciešamo finansējumu, lai attīstītu jaunas AER ģenerācijas jaudas līdz aptuveni 1500 MW, nodrošina centralizēti koncerna mātes sabiedrība AS “Latvenergo”. Lai nodrošinātu turpmāku AER ģenerācijas jaudu attīstību, tiks veikts vispusīgs izvērtējums un tirgus situācijas analīze.</w:t>
      </w:r>
    </w:p>
    <w:p w14:paraId="0223423D" w14:textId="0A7FF5F4" w:rsidR="001606D7" w:rsidRDefault="001606D7" w:rsidP="001606D7">
      <w:pPr>
        <w:pStyle w:val="ListParagraph"/>
        <w:numPr>
          <w:ilvl w:val="0"/>
          <w:numId w:val="31"/>
        </w:numPr>
        <w:jc w:val="both"/>
      </w:pPr>
      <w:r w:rsidRPr="00DA428C">
        <w:lastRenderedPageBreak/>
        <w:t>AER meitas sabiedrības izveidei izmantojama M</w:t>
      </w:r>
      <w:r>
        <w:t>inistru kabineta</w:t>
      </w:r>
      <w:r w:rsidRPr="00DA428C">
        <w:t xml:space="preserve"> izdota Vispārējā atļauja, kas izdota ar M</w:t>
      </w:r>
      <w:r>
        <w:t>inistru kabineta</w:t>
      </w:r>
      <w:r w:rsidRPr="00DA428C">
        <w:t xml:space="preserve"> 2022.gada 6.septembra lēmumu</w:t>
      </w:r>
      <w:r w:rsidR="008B04A8">
        <w:t>,</w:t>
      </w:r>
      <w:r w:rsidRPr="00DA428C">
        <w:t xml:space="preserve"> </w:t>
      </w:r>
      <w:r w:rsidR="008B04A8">
        <w:t>protokola</w:t>
      </w:r>
      <w:r w:rsidR="008B04A8" w:rsidRPr="00DA428C">
        <w:t xml:space="preserve"> </w:t>
      </w:r>
      <w:r w:rsidRPr="00DA428C">
        <w:t>Nr.44, 68§ (2.1. nodaļa).</w:t>
      </w:r>
    </w:p>
    <w:p w14:paraId="1DB0CE7E" w14:textId="77777777" w:rsidR="001606D7" w:rsidRDefault="001606D7" w:rsidP="001606D7">
      <w:pPr>
        <w:ind w:firstLine="720"/>
        <w:jc w:val="both"/>
      </w:pPr>
      <w:r w:rsidRPr="00DA428C">
        <w:t>2024.gadā tika uzsāktas aktivitātes virzībai uz definēto mērķa modeli un pirmais nozīmīgais solis bija AER meitas sabiedrības izveide. Atbilstoši Komerclikumā un Publiskas personas kapitāla daļu un kapitālsabiedrību pārvaldības likumā noteiktajam regulējumam 2024.gada 13.novem</w:t>
      </w:r>
      <w:r>
        <w:t>b</w:t>
      </w:r>
      <w:r w:rsidRPr="00DA428C">
        <w:t xml:space="preserve">rī Komercreģistrā tika reģistrēta AS </w:t>
      </w:r>
      <w:r>
        <w:t>“</w:t>
      </w:r>
      <w:r w:rsidRPr="00DA428C">
        <w:t>Latvenergo</w:t>
      </w:r>
      <w:r>
        <w:t>”</w:t>
      </w:r>
      <w:r w:rsidRPr="00DA428C">
        <w:t xml:space="preserve"> meitas sabiedrība  SIA </w:t>
      </w:r>
      <w:r>
        <w:t>“</w:t>
      </w:r>
      <w:r w:rsidRPr="00DA428C">
        <w:t>Elektrum Next</w:t>
      </w:r>
      <w:r>
        <w:t>”</w:t>
      </w:r>
      <w:r w:rsidRPr="00DA428C">
        <w:t xml:space="preserve">, kas tika izveidota reorganizējot sešas AS </w:t>
      </w:r>
      <w:r>
        <w:t>“</w:t>
      </w:r>
      <w:r w:rsidRPr="00DA428C">
        <w:t>Latvenergo</w:t>
      </w:r>
      <w:r>
        <w:t>”</w:t>
      </w:r>
      <w:r w:rsidRPr="00DA428C">
        <w:t xml:space="preserve"> AER projektu meitas sabiedrības (SPV) saplūšanas ceļā.</w:t>
      </w:r>
    </w:p>
    <w:p w14:paraId="22EE7153" w14:textId="77777777" w:rsidR="001606D7" w:rsidRDefault="001606D7" w:rsidP="001606D7">
      <w:pPr>
        <w:ind w:firstLine="720"/>
        <w:jc w:val="both"/>
      </w:pPr>
      <w:r w:rsidRPr="00DA428C">
        <w:t xml:space="preserve">Pašlaik SIA </w:t>
      </w:r>
      <w:r>
        <w:t>“</w:t>
      </w:r>
      <w:r w:rsidRPr="00DA428C">
        <w:t>Elektrum Next</w:t>
      </w:r>
      <w:r>
        <w:t xml:space="preserve">” </w:t>
      </w:r>
      <w:r w:rsidRPr="00DA428C">
        <w:t>vēl ir visai agrīnā attīstības stadijā.  </w:t>
      </w:r>
      <w:r>
        <w:t>T</w:t>
      </w:r>
      <w:r w:rsidRPr="00DA428C">
        <w:t>ā</w:t>
      </w:r>
      <w:r>
        <w:t>s</w:t>
      </w:r>
      <w:r w:rsidRPr="00DA428C">
        <w:t xml:space="preserve"> ekspluatācijā nodotā AER ģenerācijas jauda nedaudz pārsniedz 30 MW, bet aktīvu vērtība – 17 milj. EUR.</w:t>
      </w:r>
    </w:p>
    <w:p w14:paraId="307E3473" w14:textId="5810639A" w:rsidR="001606D7" w:rsidRDefault="001606D7" w:rsidP="001606D7">
      <w:pPr>
        <w:shd w:val="clear" w:color="auto" w:fill="FFFFFF"/>
        <w:ind w:firstLine="720"/>
        <w:jc w:val="both"/>
        <w:rPr>
          <w:strike/>
        </w:rPr>
      </w:pPr>
      <w:r w:rsidRPr="00DA428C">
        <w:t xml:space="preserve">SIA </w:t>
      </w:r>
      <w:r>
        <w:t>“</w:t>
      </w:r>
      <w:r w:rsidRPr="00DA428C">
        <w:t>Elektrum Next</w:t>
      </w:r>
      <w:r>
        <w:t>”</w:t>
      </w:r>
      <w:r w:rsidRPr="00DA428C">
        <w:t xml:space="preserve"> tālākā attīstīšana notiks pakāpeniski 2025.</w:t>
      </w:r>
      <w:r>
        <w:t>-</w:t>
      </w:r>
      <w:r w:rsidRPr="00DA428C">
        <w:t xml:space="preserve">2027.gadu laikā plānveidīgi pārceļot uz šo uzņēmumu jaunizbūvētos AER aktīvus un pievienojot AER SPV. Attiecīgi, vienlaikus ar uzņēmuma darbības mēroga un vērtības palielināšanos uz SIA </w:t>
      </w:r>
      <w:r>
        <w:t>“</w:t>
      </w:r>
      <w:r w:rsidRPr="00DA428C">
        <w:t>Elektrum Next</w:t>
      </w:r>
      <w:r>
        <w:t>”</w:t>
      </w:r>
      <w:r w:rsidRPr="00DA428C">
        <w:t xml:space="preserve"> tiks pārnesta arī projektu attīstīšanas, ekspluatācijas un pārvaldības kompetences.</w:t>
      </w:r>
      <w:r>
        <w:t xml:space="preserve"> </w:t>
      </w:r>
      <w:r w:rsidRPr="00DA428C">
        <w:t xml:space="preserve">Paredzams, ka līdz pašreizējā stratēģijas perioda beigām (2026.gads) SIA </w:t>
      </w:r>
      <w:r>
        <w:t>“</w:t>
      </w:r>
      <w:r w:rsidRPr="00DA428C">
        <w:t>Elektrum Next</w:t>
      </w:r>
      <w:r>
        <w:t>”</w:t>
      </w:r>
      <w:r w:rsidRPr="00DA428C">
        <w:t xml:space="preserve"> AER jaudas sasniegs 1000 MW, bet aktīvu vērtība </w:t>
      </w:r>
      <w:r>
        <w:t>–</w:t>
      </w:r>
      <w:r w:rsidRPr="00DA428C">
        <w:t xml:space="preserve"> 1 mljd. EUR.</w:t>
      </w:r>
      <w:r>
        <w:t xml:space="preserve"> Tādējādi, tālākai uzņēmuma </w:t>
      </w:r>
      <w:r w:rsidRPr="00DA428C">
        <w:t>attīstībai nepieciešams pielietot jaunu piemērotu kapitāla piesaistes modeli</w:t>
      </w:r>
      <w:r>
        <w:t xml:space="preserve">. </w:t>
      </w:r>
      <w:r w:rsidR="000730FC" w:rsidRPr="00CE3A0A">
        <w:t xml:space="preserve">Piemēram, 2025.gada 23.maijā AS "Latvenergo” kārtējā akcionāru sapulce pieņēma lēmumu par </w:t>
      </w:r>
      <w:r w:rsidR="00E8158F" w:rsidRPr="00DA6888">
        <w:t>jaun</w:t>
      </w:r>
      <w:r w:rsidR="00906AF6" w:rsidRPr="00DA6888">
        <w:t>u</w:t>
      </w:r>
      <w:r w:rsidR="00E8158F">
        <w:t xml:space="preserve"> </w:t>
      </w:r>
      <w:r w:rsidR="000730FC" w:rsidRPr="00CE3A0A">
        <w:t>parāda vērtspapīru (obligāciju) emisiju programmas veidā publiskā piedāvājumā</w:t>
      </w:r>
      <w:r w:rsidR="00751321">
        <w:t>.</w:t>
      </w:r>
      <w:r w:rsidR="002F5135">
        <w:t xml:space="preserve"> </w:t>
      </w:r>
    </w:p>
    <w:p w14:paraId="0514C2C5" w14:textId="4ABBB252" w:rsidR="00871C50" w:rsidRDefault="009A7E84" w:rsidP="001606D7">
      <w:pPr>
        <w:shd w:val="clear" w:color="auto" w:fill="FFFFFF"/>
        <w:ind w:firstLine="720"/>
        <w:jc w:val="both"/>
      </w:pPr>
      <w:r>
        <w:t>Ja</w:t>
      </w:r>
      <w:r w:rsidR="001B7E05">
        <w:t xml:space="preserve"> </w:t>
      </w:r>
      <w:r w:rsidR="00C27D1A">
        <w:t>atjaunojamās enerģijas se</w:t>
      </w:r>
      <w:r w:rsidR="00BE4D9C">
        <w:t>gment</w:t>
      </w:r>
      <w:r>
        <w:t>s</w:t>
      </w:r>
      <w:r w:rsidR="00C27D1A">
        <w:t xml:space="preserve"> </w:t>
      </w:r>
      <w:r>
        <w:t xml:space="preserve">turpinās </w:t>
      </w:r>
      <w:r w:rsidR="00C27D1A">
        <w:t>izaugsmi</w:t>
      </w:r>
      <w:r>
        <w:t xml:space="preserve"> un</w:t>
      </w:r>
      <w:r w:rsidR="00A1602C">
        <w:t xml:space="preserve"> </w:t>
      </w:r>
      <w:r>
        <w:t>būs nepieciešama papildu kapitā</w:t>
      </w:r>
      <w:r w:rsidR="00FC0609">
        <w:t>la piesaiste</w:t>
      </w:r>
      <w:r w:rsidR="008D7601">
        <w:t>, tuvākajos gados varētu tikt sagatavot</w:t>
      </w:r>
      <w:r w:rsidR="00BE4D9C">
        <w:t xml:space="preserve">s </w:t>
      </w:r>
      <w:r w:rsidR="0037417A">
        <w:t>AS “</w:t>
      </w:r>
      <w:r w:rsidR="007C1010">
        <w:t>Lat</w:t>
      </w:r>
      <w:r w:rsidR="0037417A">
        <w:t xml:space="preserve">venergo” </w:t>
      </w:r>
      <w:r w:rsidR="004C114A">
        <w:t>atjaunojamās enerģijas meitas uzņēmuma sākotnēj</w:t>
      </w:r>
      <w:r w:rsidR="008D7601">
        <w:t>ais</w:t>
      </w:r>
      <w:r w:rsidR="004C114A">
        <w:t xml:space="preserve"> publisk</w:t>
      </w:r>
      <w:r w:rsidR="008D7601">
        <w:t>ais</w:t>
      </w:r>
      <w:r w:rsidR="004C114A">
        <w:t xml:space="preserve"> piedāvājum</w:t>
      </w:r>
      <w:r w:rsidR="008D7601">
        <w:t>s</w:t>
      </w:r>
      <w:r w:rsidR="004C114A">
        <w:t>.</w:t>
      </w:r>
    </w:p>
    <w:p w14:paraId="17E9B73F" w14:textId="77777777" w:rsidR="0037417A" w:rsidRPr="005264B0" w:rsidRDefault="0037417A" w:rsidP="001606D7">
      <w:pPr>
        <w:shd w:val="clear" w:color="auto" w:fill="FFFFFF"/>
        <w:ind w:firstLine="720"/>
        <w:jc w:val="both"/>
      </w:pPr>
    </w:p>
    <w:p w14:paraId="42FFB9BC" w14:textId="45B45503" w:rsidR="00754EF7" w:rsidRPr="00527F74" w:rsidRDefault="00A76169" w:rsidP="00A76169">
      <w:pPr>
        <w:pStyle w:val="ListParagraph"/>
        <w:numPr>
          <w:ilvl w:val="0"/>
          <w:numId w:val="12"/>
        </w:numPr>
        <w:shd w:val="clear" w:color="auto" w:fill="FFFFFF"/>
        <w:jc w:val="both"/>
        <w:rPr>
          <w:b/>
          <w:bCs/>
        </w:rPr>
      </w:pPr>
      <w:r w:rsidRPr="00527F74">
        <w:rPr>
          <w:b/>
          <w:bCs/>
        </w:rPr>
        <w:t>AS “Augstsprieguma tīkls”</w:t>
      </w:r>
    </w:p>
    <w:p w14:paraId="189AE881" w14:textId="13709D1F" w:rsidR="00A76169" w:rsidRPr="001952B5" w:rsidRDefault="00A76169" w:rsidP="00527F74">
      <w:pPr>
        <w:pStyle w:val="ListParagraph"/>
        <w:shd w:val="clear" w:color="auto" w:fill="FFFFFF"/>
        <w:ind w:left="1080"/>
        <w:jc w:val="both"/>
      </w:pPr>
      <w:r w:rsidRPr="00A76169">
        <w:t>AS "Augstsprieguma tīkls" 2021. gada 13. oktobrī realizēja 5,25 gadu zaļo obligāciju izvietošanu par summu EUR 100 miljoni</w:t>
      </w:r>
      <w:r>
        <w:t>.</w:t>
      </w:r>
    </w:p>
    <w:p w14:paraId="49AB947E" w14:textId="2BE66F6C" w:rsidR="001606D7" w:rsidRPr="003C3F23" w:rsidRDefault="002F5135" w:rsidP="002228AB">
      <w:pPr>
        <w:shd w:val="clear" w:color="auto" w:fill="FFFFFF"/>
        <w:ind w:firstLine="720"/>
        <w:jc w:val="both"/>
        <w:rPr>
          <w:rFonts w:eastAsia="Times New Roman"/>
          <w:kern w:val="0"/>
          <w:lang w:eastAsia="lv-LV"/>
          <w14:ligatures w14:val="none"/>
        </w:rPr>
      </w:pPr>
      <w:r>
        <w:rPr>
          <w:rFonts w:eastAsia="Times New Roman"/>
          <w:kern w:val="0"/>
          <w:lang w:eastAsia="lv-LV"/>
          <w14:ligatures w14:val="none"/>
        </w:rPr>
        <w:t xml:space="preserve"> </w:t>
      </w:r>
    </w:p>
    <w:p w14:paraId="321E5F05" w14:textId="77777777" w:rsidR="002228AB" w:rsidRDefault="002228AB" w:rsidP="002228AB">
      <w:pPr>
        <w:pStyle w:val="ListParagraph"/>
        <w:numPr>
          <w:ilvl w:val="0"/>
          <w:numId w:val="12"/>
        </w:numPr>
        <w:shd w:val="clear" w:color="auto" w:fill="FFFFFF"/>
        <w:jc w:val="both"/>
        <w:rPr>
          <w:rFonts w:eastAsia="Times New Roman"/>
          <w:b/>
          <w:bCs/>
          <w:kern w:val="0"/>
          <w:lang w:eastAsia="lv-LV"/>
          <w14:ligatures w14:val="none"/>
        </w:rPr>
      </w:pPr>
      <w:r w:rsidRPr="003C3F23">
        <w:rPr>
          <w:rFonts w:eastAsia="Times New Roman"/>
          <w:b/>
          <w:bCs/>
          <w:kern w:val="0"/>
          <w:lang w:eastAsia="lv-LV"/>
          <w14:ligatures w14:val="none"/>
        </w:rPr>
        <w:t xml:space="preserve">“Latvijas Pasts” </w:t>
      </w:r>
    </w:p>
    <w:p w14:paraId="52301157" w14:textId="7E910FA5" w:rsidR="002228AB" w:rsidRPr="00001591" w:rsidRDefault="00EA7D2D" w:rsidP="002228AB">
      <w:pPr>
        <w:shd w:val="clear" w:color="auto" w:fill="FFFFFF"/>
        <w:ind w:firstLine="720"/>
        <w:jc w:val="both"/>
        <w:rPr>
          <w:rFonts w:eastAsia="Times New Roman"/>
          <w:b/>
          <w:bCs/>
          <w:kern w:val="0"/>
          <w:lang w:eastAsia="lv-LV"/>
          <w14:ligatures w14:val="none"/>
        </w:rPr>
      </w:pPr>
      <w:r w:rsidRPr="00EA7D2D">
        <w:t>VAS “Latvijas Pasts”</w:t>
      </w:r>
      <w:r w:rsidR="00D60DE7">
        <w:t xml:space="preserve"> akcionāra gaidu vēstule</w:t>
      </w:r>
      <w:r w:rsidRPr="00EA7D2D">
        <w:t xml:space="preserve"> tika apstiprināta 2025. gada 4. jūlijā un sagatavotajā vidēja termiņa darbības stratēģijas projektā būs jāveic izmaiņas</w:t>
      </w:r>
      <w:r w:rsidR="00505501">
        <w:t xml:space="preserve">. </w:t>
      </w:r>
      <w:r w:rsidR="00AA3CA3" w:rsidRPr="00AA3CA3">
        <w:t>Satiksmes ministrija līdz 2026.gada 28.februārim nodrošinās VAS “Latvijas Pasts” kapitāla un finansējuma piesaistes izvērtējumu atbilstoši aktuālajai uzņēmuma stratēģijai, lai aktualizētu sākotnējā publiskā piedāvājuma nepieciešamību un atbilstoši izvērtējuma secinājumiem sagatavot grozījumus normatīvajos aktos, lai atceltu ierobežojumus, kas liedz šobrīd VAS “Latvijas Pasts” mazākuma daļas kotēšanu biržā.</w:t>
      </w:r>
      <w:r w:rsidR="006A1239">
        <w:t xml:space="preserve"> </w:t>
      </w:r>
      <w:r w:rsidR="002228AB">
        <w:t>2025.gada otrajā pusē vai 2026.gada sākumā ir paredzams konkurss par universālā pasta pakalpojuma (UPP) sniegšanu no 2027.gada 1.janvāra. Lai arī VAS “Latvijas Pasts” stratēģiskais mērķis ir turpināt sniegt UPP arī no 2027.gada 1.janvāra, šo tiesību iegūšana nav garantēta un nav skaidrs, kādas būs faktiskās prasības un pienākumi uzņēmumam, kam UPP būs jāsniedz. Šī ir būtiska nenoteiktība attiecībā uz uzņēmuma darbību, ieņēmumu apjomu un regulatīvo vidi, kurā uzņēmums darbotos. Lai nodrošinātu investoru interesi par VAS “Latvijas Pasts” akcijām iespējamā sākotnējā publiskā piedāvājumā, būtu loģiski to veikt tad, kad ir skaidrs, vai uzņēmums turpina būt UPP sniedzējs Latvijas teritorijā. Iespējams, šīs jaunās UPP sniegšanas prasības tiktu attiecinātas vēl uz 2026.gadu. Sekmīgam sākotnējam publiskam piedāvājumam nepieciešamas investoriem saprotamas prasības regulētajam biznesa segmentam un augstāka rentabilitāte neregulētajiem segmentiem vismaz divus gadus.</w:t>
      </w:r>
    </w:p>
    <w:p w14:paraId="19161E3C" w14:textId="77777777" w:rsidR="002228AB" w:rsidRDefault="002228AB" w:rsidP="002228AB">
      <w:pPr>
        <w:ind w:firstLine="720"/>
        <w:jc w:val="both"/>
      </w:pPr>
      <w:r>
        <w:lastRenderedPageBreak/>
        <w:t>Ņemot vērā nepieciešamību attīstīt jaunus biznesa virzienus, lai piesaistītu investoru interesi, pēc Satiksmes ministrijas aplēsēm, iespējamais VAS “Latvijas Pasts” sākotnējais publiskais piedāvājums varētu notikt ne agrāk kā 2027.gadā. Vienlaikus tā nav VAS “Latvijas Pasts” apņemšanās veikt sākotnējo publisko piedāvājumu, jo tas ir atkarīgs arī no valsts kā akcionāra gatavības atteikties no daļas uzņēmuma akciju, spējas nodrošināt uzņēmuma mērķu saskaņotību ar jaunajiem akcionāriem un kopējās finanšu tirgus situācijas. Tāpat sākotnējā publiskā piedāvājuma gadījumā ir jārēķinās, ka jaunie akcionāri varētu kā prioritāti izvirzīt peļņas gūšanu, kas nozīmētu straujāku cenu pieaugumu, darbinieku skaita samazināšanu un pakalpojumu optimizāciju.</w:t>
      </w:r>
    </w:p>
    <w:p w14:paraId="00929F4B" w14:textId="77777777" w:rsidR="002228AB" w:rsidRDefault="002228AB" w:rsidP="002228AB">
      <w:pPr>
        <w:ind w:firstLine="720"/>
        <w:jc w:val="both"/>
      </w:pPr>
      <w:r>
        <w:t>Papildus informējam, ka sākotnēja izpēte parāda, ka tikai četri no 27 Eiropas Savienības dalībvalstu pasta operatoriem ir kotēti fondu biržās, kā arī šo uzņēmumu sākotnējais publiskais piedāvājums nav noticis pēdējo gadu laikā. No biržā kotētajiem lielākais ir Vācijas pasta un loģistikas pakalpojumu sniedzējs ar globālu piegāžu tīklu “Deutsche Post” AG. Iemesli tam, kāpēc ir relatīvi maz publisko kotētu UPP sniedzēju, varētu būt dažādi.  VAS “Latvijas Pasts” rīcībā esošā informācija liecina, ka arī citās dalībvalstīs pasta pakalpojumu sniedzēji sastopas ar izaicinājumiem, kas ir saistīti ar vēstuļu un preses apjomu kritumu, nepieciešamību celt tarifus un vienlaicīgi UPP sniegšanas turpināšanu un pakalpojumu pieejamību. Bez tam biržā kotēti ir arī Japānas un Lielbritānijas pasta uzņēmumi, kas šiem uzņēmumiem ir kalpojis par stimulu modernizēties un koncentrēties uz augošiem vai pelnošiem tirgus segmentiem.</w:t>
      </w:r>
    </w:p>
    <w:p w14:paraId="13F5BC44" w14:textId="77777777" w:rsidR="002228AB" w:rsidRPr="00684E2F" w:rsidRDefault="002228AB" w:rsidP="002228AB">
      <w:pPr>
        <w:pStyle w:val="ListParagraph"/>
        <w:numPr>
          <w:ilvl w:val="0"/>
          <w:numId w:val="12"/>
        </w:numPr>
        <w:spacing w:line="259" w:lineRule="auto"/>
        <w:jc w:val="both"/>
        <w:rPr>
          <w:b/>
          <w:bCs/>
          <w:szCs w:val="24"/>
        </w:rPr>
      </w:pPr>
      <w:r w:rsidRPr="00684E2F">
        <w:rPr>
          <w:b/>
          <w:bCs/>
          <w:szCs w:val="24"/>
        </w:rPr>
        <w:t xml:space="preserve">SIA “Rīgas ūdens” </w:t>
      </w:r>
    </w:p>
    <w:p w14:paraId="55444323" w14:textId="33957B1E" w:rsidR="002228AB" w:rsidRPr="00684E2F" w:rsidRDefault="00F91E29" w:rsidP="002228AB">
      <w:pPr>
        <w:pStyle w:val="NoSpacing"/>
        <w:ind w:firstLine="720"/>
        <w:jc w:val="both"/>
        <w:rPr>
          <w:rFonts w:ascii="Times New Roman" w:hAnsi="Times New Roman"/>
          <w:sz w:val="24"/>
          <w:szCs w:val="24"/>
        </w:rPr>
      </w:pPr>
      <w:r>
        <w:rPr>
          <w:rFonts w:ascii="Times New Roman" w:hAnsi="Times New Roman"/>
          <w:sz w:val="24"/>
          <w:szCs w:val="24"/>
        </w:rPr>
        <w:t xml:space="preserve">Šobrīd </w:t>
      </w:r>
      <w:r w:rsidR="005C4264">
        <w:rPr>
          <w:rFonts w:ascii="Times New Roman" w:hAnsi="Times New Roman"/>
          <w:sz w:val="24"/>
          <w:szCs w:val="24"/>
        </w:rPr>
        <w:t xml:space="preserve">nesenākais obligāciju emitents, </w:t>
      </w:r>
      <w:r w:rsidR="000D3BEF">
        <w:rPr>
          <w:rFonts w:ascii="Times New Roman" w:hAnsi="Times New Roman"/>
          <w:sz w:val="24"/>
          <w:szCs w:val="24"/>
        </w:rPr>
        <w:t>un pirm</w:t>
      </w:r>
      <w:r w:rsidR="006A5F05">
        <w:rPr>
          <w:rFonts w:ascii="Times New Roman" w:hAnsi="Times New Roman"/>
          <w:sz w:val="24"/>
          <w:szCs w:val="24"/>
        </w:rPr>
        <w:t>ais</w:t>
      </w:r>
      <w:r w:rsidR="000D3BEF">
        <w:rPr>
          <w:rFonts w:ascii="Times New Roman" w:hAnsi="Times New Roman"/>
          <w:sz w:val="24"/>
          <w:szCs w:val="24"/>
        </w:rPr>
        <w:t xml:space="preserve"> kā </w:t>
      </w:r>
      <w:r w:rsidR="005C4264">
        <w:rPr>
          <w:rFonts w:ascii="Times New Roman" w:hAnsi="Times New Roman"/>
          <w:sz w:val="24"/>
          <w:szCs w:val="24"/>
        </w:rPr>
        <w:t>pašvaldības kapitāsabiedrība,</w:t>
      </w:r>
      <w:r>
        <w:rPr>
          <w:rFonts w:ascii="Times New Roman" w:hAnsi="Times New Roman"/>
          <w:sz w:val="24"/>
          <w:szCs w:val="24"/>
        </w:rPr>
        <w:t xml:space="preserve"> ir</w:t>
      </w:r>
      <w:r w:rsidR="005D0971">
        <w:rPr>
          <w:rFonts w:ascii="Times New Roman" w:hAnsi="Times New Roman"/>
          <w:sz w:val="24"/>
          <w:szCs w:val="24"/>
        </w:rPr>
        <w:t xml:space="preserve"> </w:t>
      </w:r>
      <w:r w:rsidR="002228AB" w:rsidRPr="00684E2F">
        <w:rPr>
          <w:rFonts w:ascii="Times New Roman" w:hAnsi="Times New Roman"/>
          <w:sz w:val="24"/>
          <w:szCs w:val="24"/>
        </w:rPr>
        <w:t>SIA “Rīgas ūdens”</w:t>
      </w:r>
      <w:r w:rsidR="005D0971">
        <w:rPr>
          <w:rFonts w:ascii="Times New Roman" w:hAnsi="Times New Roman"/>
          <w:sz w:val="24"/>
          <w:szCs w:val="24"/>
        </w:rPr>
        <w:t xml:space="preserve">, kas </w:t>
      </w:r>
      <w:r w:rsidR="002228AB" w:rsidRPr="00684E2F">
        <w:rPr>
          <w:rFonts w:ascii="Times New Roman" w:hAnsi="Times New Roman"/>
          <w:sz w:val="24"/>
          <w:szCs w:val="24"/>
        </w:rPr>
        <w:t xml:space="preserve"> </w:t>
      </w:r>
      <w:r w:rsidR="004F5308" w:rsidRPr="00684E2F">
        <w:rPr>
          <w:rFonts w:ascii="Times New Roman" w:hAnsi="Times New Roman"/>
          <w:sz w:val="24"/>
          <w:szCs w:val="24"/>
        </w:rPr>
        <w:t xml:space="preserve">2025. gada </w:t>
      </w:r>
      <w:r w:rsidR="004454C6">
        <w:rPr>
          <w:rFonts w:ascii="Times New Roman" w:hAnsi="Times New Roman"/>
          <w:sz w:val="24"/>
          <w:szCs w:val="24"/>
        </w:rPr>
        <w:t>2. jūnijā</w:t>
      </w:r>
      <w:r w:rsidR="004F5308">
        <w:rPr>
          <w:rFonts w:ascii="Times New Roman" w:hAnsi="Times New Roman"/>
          <w:sz w:val="24"/>
          <w:szCs w:val="24"/>
        </w:rPr>
        <w:t xml:space="preserve"> </w:t>
      </w:r>
      <w:r w:rsidR="00A70C85">
        <w:rPr>
          <w:rFonts w:ascii="Times New Roman" w:hAnsi="Times New Roman"/>
          <w:sz w:val="24"/>
          <w:szCs w:val="24"/>
        </w:rPr>
        <w:t>realizēja</w:t>
      </w:r>
      <w:r w:rsidR="00A70C85" w:rsidRPr="00684E2F">
        <w:rPr>
          <w:rFonts w:ascii="Times New Roman" w:hAnsi="Times New Roman"/>
          <w:sz w:val="24"/>
          <w:szCs w:val="24"/>
        </w:rPr>
        <w:t xml:space="preserve"> </w:t>
      </w:r>
      <w:r w:rsidR="007334FC">
        <w:rPr>
          <w:rFonts w:ascii="Times New Roman" w:hAnsi="Times New Roman"/>
          <w:sz w:val="24"/>
          <w:szCs w:val="24"/>
        </w:rPr>
        <w:t xml:space="preserve">Eiropas zaļo </w:t>
      </w:r>
      <w:r w:rsidR="002228AB" w:rsidRPr="00684E2F">
        <w:rPr>
          <w:rFonts w:ascii="Times New Roman" w:hAnsi="Times New Roman"/>
          <w:sz w:val="24"/>
          <w:szCs w:val="24"/>
        </w:rPr>
        <w:t>obligāciju emisiju</w:t>
      </w:r>
      <w:r w:rsidR="00A70C85">
        <w:rPr>
          <w:rFonts w:ascii="Times New Roman" w:hAnsi="Times New Roman"/>
          <w:sz w:val="24"/>
          <w:szCs w:val="24"/>
        </w:rPr>
        <w:t xml:space="preserve">, un piesaistīja </w:t>
      </w:r>
      <w:r w:rsidR="007334FC">
        <w:rPr>
          <w:rFonts w:ascii="Times New Roman" w:hAnsi="Times New Roman"/>
          <w:sz w:val="24"/>
          <w:szCs w:val="24"/>
        </w:rPr>
        <w:t xml:space="preserve">20 miljonus euro ar </w:t>
      </w:r>
      <w:r w:rsidR="004454C6">
        <w:rPr>
          <w:rFonts w:ascii="Times New Roman" w:hAnsi="Times New Roman"/>
          <w:sz w:val="24"/>
          <w:szCs w:val="24"/>
        </w:rPr>
        <w:t>fiksētu</w:t>
      </w:r>
      <w:r w:rsidR="007334FC">
        <w:rPr>
          <w:rFonts w:ascii="Times New Roman" w:hAnsi="Times New Roman"/>
          <w:sz w:val="24"/>
          <w:szCs w:val="24"/>
        </w:rPr>
        <w:t xml:space="preserve"> </w:t>
      </w:r>
      <w:r w:rsidR="00A70C85" w:rsidRPr="00684E2F">
        <w:rPr>
          <w:rFonts w:ascii="Times New Roman" w:hAnsi="Times New Roman"/>
          <w:sz w:val="24"/>
          <w:szCs w:val="24"/>
        </w:rPr>
        <w:t xml:space="preserve"> </w:t>
      </w:r>
      <w:r w:rsidR="00502D46">
        <w:rPr>
          <w:rFonts w:ascii="Times New Roman" w:hAnsi="Times New Roman"/>
          <w:sz w:val="24"/>
          <w:szCs w:val="24"/>
        </w:rPr>
        <w:t xml:space="preserve">4 procentu gada likmi un </w:t>
      </w:r>
      <w:r w:rsidR="00AA79C5">
        <w:rPr>
          <w:rFonts w:ascii="Times New Roman" w:hAnsi="Times New Roman"/>
          <w:sz w:val="24"/>
          <w:szCs w:val="24"/>
        </w:rPr>
        <w:t>pie</w:t>
      </w:r>
      <w:r w:rsidR="003A0F0D">
        <w:rPr>
          <w:rFonts w:ascii="Times New Roman" w:hAnsi="Times New Roman"/>
          <w:sz w:val="24"/>
          <w:szCs w:val="24"/>
        </w:rPr>
        <w:t>cu</w:t>
      </w:r>
      <w:r w:rsidR="00502D46">
        <w:rPr>
          <w:rFonts w:ascii="Times New Roman" w:hAnsi="Times New Roman"/>
          <w:sz w:val="24"/>
          <w:szCs w:val="24"/>
        </w:rPr>
        <w:t xml:space="preserve"> gadu termiņu</w:t>
      </w:r>
      <w:r w:rsidR="69C847E6" w:rsidRPr="359A5C1A">
        <w:rPr>
          <w:rFonts w:ascii="Times New Roman" w:hAnsi="Times New Roman"/>
          <w:sz w:val="24"/>
          <w:szCs w:val="24"/>
        </w:rPr>
        <w:t>.</w:t>
      </w:r>
      <w:r w:rsidR="002228AB" w:rsidRPr="00684E2F">
        <w:rPr>
          <w:rFonts w:ascii="Times New Roman" w:hAnsi="Times New Roman"/>
          <w:sz w:val="24"/>
          <w:szCs w:val="24"/>
        </w:rPr>
        <w:t xml:space="preserve"> </w:t>
      </w:r>
    </w:p>
    <w:p w14:paraId="36D0712A" w14:textId="77777777" w:rsidR="002228AB" w:rsidRPr="00684E2F" w:rsidRDefault="002228AB" w:rsidP="002228AB">
      <w:pPr>
        <w:pStyle w:val="NoSpacing"/>
        <w:numPr>
          <w:ilvl w:val="0"/>
          <w:numId w:val="12"/>
        </w:numPr>
        <w:jc w:val="both"/>
        <w:rPr>
          <w:rFonts w:ascii="Times New Roman" w:hAnsi="Times New Roman"/>
          <w:b/>
          <w:bCs/>
          <w:sz w:val="24"/>
          <w:szCs w:val="24"/>
        </w:rPr>
      </w:pPr>
      <w:r w:rsidRPr="00684E2F">
        <w:rPr>
          <w:rFonts w:ascii="Times New Roman" w:hAnsi="Times New Roman"/>
          <w:b/>
          <w:bCs/>
          <w:sz w:val="24"/>
          <w:szCs w:val="24"/>
        </w:rPr>
        <w:t xml:space="preserve">SIA “Rīgas namu pārvaldnieks” </w:t>
      </w:r>
    </w:p>
    <w:p w14:paraId="75923983" w14:textId="77777777" w:rsidR="002228AB" w:rsidRPr="00001591" w:rsidRDefault="002228AB" w:rsidP="002228AB">
      <w:pPr>
        <w:pStyle w:val="NoSpacing"/>
        <w:ind w:firstLine="720"/>
        <w:jc w:val="both"/>
        <w:rPr>
          <w:rFonts w:ascii="Times New Roman" w:hAnsi="Times New Roman"/>
          <w:sz w:val="24"/>
          <w:szCs w:val="24"/>
        </w:rPr>
      </w:pPr>
      <w:r>
        <w:rPr>
          <w:rFonts w:ascii="Times New Roman" w:hAnsi="Times New Roman"/>
          <w:sz w:val="24"/>
          <w:szCs w:val="24"/>
        </w:rPr>
        <w:t>A</w:t>
      </w:r>
      <w:r w:rsidRPr="00001591">
        <w:rPr>
          <w:rFonts w:ascii="Times New Roman" w:hAnsi="Times New Roman"/>
          <w:sz w:val="24"/>
          <w:szCs w:val="24"/>
        </w:rPr>
        <w:t xml:space="preserve">tbilstoši </w:t>
      </w:r>
      <w:r>
        <w:rPr>
          <w:rFonts w:ascii="Times New Roman" w:hAnsi="Times New Roman"/>
          <w:sz w:val="24"/>
          <w:szCs w:val="24"/>
        </w:rPr>
        <w:t>v</w:t>
      </w:r>
      <w:r w:rsidRPr="00001591">
        <w:rPr>
          <w:rFonts w:ascii="Times New Roman" w:hAnsi="Times New Roman"/>
          <w:sz w:val="24"/>
          <w:szCs w:val="24"/>
        </w:rPr>
        <w:t>idēja termiņa darbības stratēģijā 2022.–2026. gadam noteiktajam</w:t>
      </w:r>
      <w:r>
        <w:rPr>
          <w:rFonts w:ascii="Times New Roman" w:hAnsi="Times New Roman"/>
          <w:sz w:val="24"/>
          <w:szCs w:val="24"/>
        </w:rPr>
        <w:t>,</w:t>
      </w:r>
      <w:r w:rsidRPr="00001591">
        <w:rPr>
          <w:rFonts w:ascii="Times New Roman" w:hAnsi="Times New Roman"/>
          <w:sz w:val="24"/>
          <w:szCs w:val="24"/>
        </w:rPr>
        <w:t xml:space="preserve"> SIA “Rīgas namu pārvaldnieks” šobrīd strādā pie finanšu rezultātu uzlabošanas, uzņēmuma vērtības celšanas un veic citas uz attīstību un digitalizāciju vērstas darbības, lai stratēģijas īstenošanas otrajā pusē SIA “Rīgas namu pārvaldnieks” būtu pievilcīgs privātā kapitāla piesaistei un atbilstu biržas standartam.  </w:t>
      </w:r>
    </w:p>
    <w:p w14:paraId="2D5C947D" w14:textId="6B4B1DA9" w:rsidR="00C2591D" w:rsidRPr="00BC3EDD" w:rsidRDefault="002228AB" w:rsidP="00C2591D">
      <w:pPr>
        <w:pStyle w:val="NoSpacing"/>
        <w:ind w:firstLine="720"/>
        <w:jc w:val="both"/>
        <w:rPr>
          <w:rFonts w:ascii="Times New Roman" w:hAnsi="Times New Roman"/>
          <w:sz w:val="24"/>
          <w:szCs w:val="24"/>
        </w:rPr>
      </w:pPr>
      <w:r w:rsidRPr="00001591">
        <w:rPr>
          <w:rFonts w:ascii="Times New Roman" w:hAnsi="Times New Roman"/>
          <w:sz w:val="24"/>
          <w:szCs w:val="24"/>
        </w:rPr>
        <w:t xml:space="preserve">SIA “Rīgas namu pārvaldnieks” atbilstoši izstrādātajai </w:t>
      </w:r>
      <w:r>
        <w:rPr>
          <w:rFonts w:ascii="Times New Roman" w:hAnsi="Times New Roman"/>
          <w:sz w:val="24"/>
          <w:szCs w:val="24"/>
        </w:rPr>
        <w:t>f</w:t>
      </w:r>
      <w:r w:rsidRPr="00001591">
        <w:rPr>
          <w:rFonts w:ascii="Times New Roman" w:hAnsi="Times New Roman"/>
          <w:sz w:val="24"/>
          <w:szCs w:val="24"/>
        </w:rPr>
        <w:t>inanšu stratēģijai ir sagatavo</w:t>
      </w:r>
      <w:r>
        <w:rPr>
          <w:rFonts w:ascii="Times New Roman" w:hAnsi="Times New Roman"/>
          <w:sz w:val="24"/>
          <w:szCs w:val="24"/>
        </w:rPr>
        <w:t>jusi</w:t>
      </w:r>
      <w:r w:rsidRPr="00001591">
        <w:rPr>
          <w:rFonts w:ascii="Times New Roman" w:hAnsi="Times New Roman"/>
          <w:sz w:val="24"/>
          <w:szCs w:val="24"/>
        </w:rPr>
        <w:t xml:space="preserve"> privātā kapitāla</w:t>
      </w:r>
      <w:r w:rsidR="00B62DF8">
        <w:rPr>
          <w:rFonts w:ascii="Times New Roman" w:hAnsi="Times New Roman"/>
          <w:sz w:val="24"/>
          <w:szCs w:val="24"/>
        </w:rPr>
        <w:t xml:space="preserve"> (t.i. publiskā tirgus finansējuma)</w:t>
      </w:r>
      <w:r w:rsidR="00402244">
        <w:rPr>
          <w:rFonts w:ascii="Times New Roman" w:hAnsi="Times New Roman"/>
          <w:sz w:val="24"/>
          <w:szCs w:val="24"/>
        </w:rPr>
        <w:t xml:space="preserve"> </w:t>
      </w:r>
      <w:r w:rsidRPr="00001591">
        <w:rPr>
          <w:rFonts w:ascii="Times New Roman" w:hAnsi="Times New Roman"/>
          <w:sz w:val="24"/>
          <w:szCs w:val="24"/>
        </w:rPr>
        <w:t xml:space="preserve"> piesaistes ceļa karti, kura apstiprināta ar SIA “Rīgas namu pārvaldnieks” padomē 2024.gada 6.decembrī.  </w:t>
      </w:r>
      <w:r w:rsidR="00D607CD">
        <w:rPr>
          <w:rFonts w:ascii="Times New Roman" w:hAnsi="Times New Roman"/>
          <w:sz w:val="24"/>
          <w:szCs w:val="24"/>
        </w:rPr>
        <w:t xml:space="preserve">2026. gada </w:t>
      </w:r>
      <w:r w:rsidR="00C2591D">
        <w:rPr>
          <w:rFonts w:ascii="Times New Roman" w:hAnsi="Times New Roman"/>
          <w:sz w:val="24"/>
          <w:szCs w:val="24"/>
        </w:rPr>
        <w:t xml:space="preserve">4. februārī </w:t>
      </w:r>
      <w:r w:rsidR="00C2591D" w:rsidRPr="00BC3EDD">
        <w:rPr>
          <w:rFonts w:ascii="Times New Roman" w:hAnsi="Times New Roman"/>
          <w:sz w:val="24"/>
          <w:szCs w:val="24"/>
        </w:rPr>
        <w:t>R</w:t>
      </w:r>
      <w:r w:rsidR="00C2591D" w:rsidRPr="00BC3EDD">
        <w:rPr>
          <w:rFonts w:ascii="Times New Roman" w:hAnsi="Times New Roman" w:hint="eastAsia"/>
          <w:sz w:val="24"/>
          <w:szCs w:val="24"/>
        </w:rPr>
        <w:t>ī</w:t>
      </w:r>
      <w:r w:rsidR="00C2591D" w:rsidRPr="00BC3EDD">
        <w:rPr>
          <w:rFonts w:ascii="Times New Roman" w:hAnsi="Times New Roman"/>
          <w:sz w:val="24"/>
          <w:szCs w:val="24"/>
        </w:rPr>
        <w:t xml:space="preserve">gas dome </w:t>
      </w:r>
      <w:r w:rsidR="00CC7F5D" w:rsidRPr="00BC3EDD">
        <w:rPr>
          <w:rFonts w:ascii="Times New Roman" w:hAnsi="Times New Roman"/>
          <w:sz w:val="24"/>
          <w:szCs w:val="24"/>
        </w:rPr>
        <w:t>vad</w:t>
      </w:r>
      <w:r w:rsidR="00CC7F5D" w:rsidRPr="00BC3EDD">
        <w:rPr>
          <w:rFonts w:ascii="Times New Roman" w:hAnsi="Times New Roman" w:hint="eastAsia"/>
          <w:sz w:val="24"/>
          <w:szCs w:val="24"/>
        </w:rPr>
        <w:t>ī</w:t>
      </w:r>
      <w:r w:rsidR="00CC7F5D" w:rsidRPr="00BC3EDD">
        <w:rPr>
          <w:rFonts w:ascii="Times New Roman" w:hAnsi="Times New Roman"/>
          <w:sz w:val="24"/>
          <w:szCs w:val="24"/>
        </w:rPr>
        <w:t>ba inform</w:t>
      </w:r>
      <w:r w:rsidR="00CC7F5D" w:rsidRPr="00BC3EDD">
        <w:rPr>
          <w:rFonts w:ascii="Times New Roman" w:hAnsi="Times New Roman" w:hint="eastAsia"/>
          <w:sz w:val="24"/>
          <w:szCs w:val="24"/>
        </w:rPr>
        <w:t>ē</w:t>
      </w:r>
      <w:r w:rsidR="00CC7F5D" w:rsidRPr="00BC3EDD">
        <w:rPr>
          <w:rFonts w:ascii="Times New Roman" w:hAnsi="Times New Roman"/>
          <w:sz w:val="24"/>
          <w:szCs w:val="24"/>
        </w:rPr>
        <w:t>ja, ka ir pie</w:t>
      </w:r>
      <w:r w:rsidR="00CC7F5D" w:rsidRPr="00BC3EDD">
        <w:rPr>
          <w:rFonts w:ascii="Times New Roman" w:hAnsi="Times New Roman" w:hint="eastAsia"/>
          <w:sz w:val="24"/>
          <w:szCs w:val="24"/>
        </w:rPr>
        <w:t>ņ</w:t>
      </w:r>
      <w:r w:rsidR="00CC7F5D" w:rsidRPr="00BC3EDD">
        <w:rPr>
          <w:rFonts w:ascii="Times New Roman" w:hAnsi="Times New Roman"/>
          <w:sz w:val="24"/>
          <w:szCs w:val="24"/>
        </w:rPr>
        <w:t>emts l</w:t>
      </w:r>
      <w:r w:rsidR="00CC7F5D" w:rsidRPr="00BC3EDD">
        <w:rPr>
          <w:rFonts w:ascii="Times New Roman" w:hAnsi="Times New Roman" w:hint="eastAsia"/>
          <w:sz w:val="24"/>
          <w:szCs w:val="24"/>
        </w:rPr>
        <w:t>ē</w:t>
      </w:r>
      <w:r w:rsidR="00CC7F5D" w:rsidRPr="00BC3EDD">
        <w:rPr>
          <w:rFonts w:ascii="Times New Roman" w:hAnsi="Times New Roman"/>
          <w:sz w:val="24"/>
          <w:szCs w:val="24"/>
        </w:rPr>
        <w:t>mums</w:t>
      </w:r>
      <w:r w:rsidR="00C2591D" w:rsidRPr="00BC3EDD">
        <w:rPr>
          <w:rFonts w:ascii="Times New Roman" w:hAnsi="Times New Roman"/>
          <w:sz w:val="24"/>
          <w:szCs w:val="24"/>
        </w:rPr>
        <w:t xml:space="preserve"> s</w:t>
      </w:r>
      <w:r w:rsidR="00C2591D" w:rsidRPr="00BC3EDD">
        <w:rPr>
          <w:rFonts w:ascii="Times New Roman" w:hAnsi="Times New Roman" w:hint="eastAsia"/>
          <w:sz w:val="24"/>
          <w:szCs w:val="24"/>
        </w:rPr>
        <w:t>ā</w:t>
      </w:r>
      <w:r w:rsidR="00C2591D" w:rsidRPr="00BC3EDD">
        <w:rPr>
          <w:rFonts w:ascii="Times New Roman" w:hAnsi="Times New Roman"/>
          <w:sz w:val="24"/>
          <w:szCs w:val="24"/>
        </w:rPr>
        <w:t>kt sagatavo</w:t>
      </w:r>
      <w:r w:rsidR="00C2591D" w:rsidRPr="00BC3EDD">
        <w:rPr>
          <w:rFonts w:ascii="Times New Roman" w:hAnsi="Times New Roman" w:hint="eastAsia"/>
          <w:sz w:val="24"/>
          <w:szCs w:val="24"/>
        </w:rPr>
        <w:t>š</w:t>
      </w:r>
      <w:r w:rsidR="00C2591D" w:rsidRPr="00BC3EDD">
        <w:rPr>
          <w:rFonts w:ascii="Times New Roman" w:hAnsi="Times New Roman"/>
          <w:sz w:val="24"/>
          <w:szCs w:val="24"/>
        </w:rPr>
        <w:t>an</w:t>
      </w:r>
      <w:r w:rsidR="00C2591D" w:rsidRPr="00BC3EDD">
        <w:rPr>
          <w:rFonts w:ascii="Times New Roman" w:hAnsi="Times New Roman" w:hint="eastAsia"/>
          <w:sz w:val="24"/>
          <w:szCs w:val="24"/>
        </w:rPr>
        <w:t>ā</w:t>
      </w:r>
      <w:r w:rsidR="00C2591D" w:rsidRPr="00BC3EDD">
        <w:rPr>
          <w:rFonts w:ascii="Times New Roman" w:hAnsi="Times New Roman"/>
          <w:sz w:val="24"/>
          <w:szCs w:val="24"/>
        </w:rPr>
        <w:t xml:space="preserve">s procesu, lai </w:t>
      </w:r>
      <w:r w:rsidR="00CC7F5D" w:rsidRPr="00BC3EDD">
        <w:rPr>
          <w:rFonts w:ascii="Times New Roman" w:hAnsi="Times New Roman"/>
          <w:sz w:val="24"/>
          <w:szCs w:val="24"/>
        </w:rPr>
        <w:t xml:space="preserve"> SIA </w:t>
      </w:r>
      <w:r w:rsidR="00CC7F5D" w:rsidRPr="00BC3EDD">
        <w:rPr>
          <w:rFonts w:ascii="Times New Roman" w:hAnsi="Times New Roman" w:hint="eastAsia"/>
          <w:sz w:val="24"/>
          <w:szCs w:val="24"/>
        </w:rPr>
        <w:t>“</w:t>
      </w:r>
      <w:r w:rsidR="00CC7F5D" w:rsidRPr="00BC3EDD">
        <w:rPr>
          <w:rFonts w:ascii="Times New Roman" w:hAnsi="Times New Roman"/>
          <w:sz w:val="24"/>
          <w:szCs w:val="24"/>
        </w:rPr>
        <w:t>R</w:t>
      </w:r>
      <w:r w:rsidR="00CC7F5D" w:rsidRPr="00BC3EDD">
        <w:rPr>
          <w:rFonts w:ascii="Times New Roman" w:hAnsi="Times New Roman" w:hint="eastAsia"/>
          <w:sz w:val="24"/>
          <w:szCs w:val="24"/>
        </w:rPr>
        <w:t>ī</w:t>
      </w:r>
      <w:r w:rsidR="00CC7F5D" w:rsidRPr="00BC3EDD">
        <w:rPr>
          <w:rFonts w:ascii="Times New Roman" w:hAnsi="Times New Roman"/>
          <w:sz w:val="24"/>
          <w:szCs w:val="24"/>
        </w:rPr>
        <w:t>gas namu p</w:t>
      </w:r>
      <w:r w:rsidR="00CC7F5D" w:rsidRPr="00BC3EDD">
        <w:rPr>
          <w:rFonts w:ascii="Times New Roman" w:hAnsi="Times New Roman" w:hint="eastAsia"/>
          <w:sz w:val="24"/>
          <w:szCs w:val="24"/>
        </w:rPr>
        <w:t>ā</w:t>
      </w:r>
      <w:r w:rsidR="00CC7F5D" w:rsidRPr="00BC3EDD">
        <w:rPr>
          <w:rFonts w:ascii="Times New Roman" w:hAnsi="Times New Roman"/>
          <w:sz w:val="24"/>
          <w:szCs w:val="24"/>
        </w:rPr>
        <w:t>rvaldnieks</w:t>
      </w:r>
      <w:r w:rsidR="00CC7F5D" w:rsidRPr="00BC3EDD">
        <w:rPr>
          <w:rFonts w:ascii="Times New Roman" w:hAnsi="Times New Roman" w:hint="eastAsia"/>
          <w:sz w:val="24"/>
          <w:szCs w:val="24"/>
        </w:rPr>
        <w:t>”</w:t>
      </w:r>
      <w:r w:rsidR="00C2591D" w:rsidRPr="00BC3EDD">
        <w:rPr>
          <w:rFonts w:ascii="Times New Roman" w:hAnsi="Times New Roman"/>
          <w:sz w:val="24"/>
          <w:szCs w:val="24"/>
        </w:rPr>
        <w:t xml:space="preserve"> n</w:t>
      </w:r>
      <w:r w:rsidR="00C2591D" w:rsidRPr="00BC3EDD">
        <w:rPr>
          <w:rFonts w:ascii="Times New Roman" w:hAnsi="Times New Roman" w:hint="eastAsia"/>
          <w:sz w:val="24"/>
          <w:szCs w:val="24"/>
        </w:rPr>
        <w:t>ā</w:t>
      </w:r>
      <w:r w:rsidR="00C2591D" w:rsidRPr="00BC3EDD">
        <w:rPr>
          <w:rFonts w:ascii="Times New Roman" w:hAnsi="Times New Roman"/>
          <w:sz w:val="24"/>
          <w:szCs w:val="24"/>
        </w:rPr>
        <w:t>kotn</w:t>
      </w:r>
      <w:r w:rsidR="00C2591D" w:rsidRPr="00BC3EDD">
        <w:rPr>
          <w:rFonts w:ascii="Times New Roman" w:hAnsi="Times New Roman" w:hint="eastAsia"/>
          <w:sz w:val="24"/>
          <w:szCs w:val="24"/>
        </w:rPr>
        <w:t>ē</w:t>
      </w:r>
      <w:r w:rsidR="00C2591D" w:rsidRPr="00BC3EDD">
        <w:rPr>
          <w:rFonts w:ascii="Times New Roman" w:hAnsi="Times New Roman"/>
          <w:sz w:val="24"/>
          <w:szCs w:val="24"/>
        </w:rPr>
        <w:t xml:space="preserve"> var</w:t>
      </w:r>
      <w:r w:rsidR="00C2591D" w:rsidRPr="00BC3EDD">
        <w:rPr>
          <w:rFonts w:ascii="Times New Roman" w:hAnsi="Times New Roman" w:hint="eastAsia"/>
          <w:sz w:val="24"/>
          <w:szCs w:val="24"/>
        </w:rPr>
        <w:t>ē</w:t>
      </w:r>
      <w:r w:rsidR="00C2591D" w:rsidRPr="00BC3EDD">
        <w:rPr>
          <w:rFonts w:ascii="Times New Roman" w:hAnsi="Times New Roman"/>
          <w:sz w:val="24"/>
          <w:szCs w:val="24"/>
        </w:rPr>
        <w:t>tu tikt kot</w:t>
      </w:r>
      <w:r w:rsidR="00C2591D" w:rsidRPr="00BC3EDD">
        <w:rPr>
          <w:rFonts w:ascii="Times New Roman" w:hAnsi="Times New Roman" w:hint="eastAsia"/>
          <w:sz w:val="24"/>
          <w:szCs w:val="24"/>
        </w:rPr>
        <w:t>ē</w:t>
      </w:r>
      <w:r w:rsidR="00C2591D" w:rsidRPr="00BC3EDD">
        <w:rPr>
          <w:rFonts w:ascii="Times New Roman" w:hAnsi="Times New Roman"/>
          <w:sz w:val="24"/>
          <w:szCs w:val="24"/>
        </w:rPr>
        <w:t>ts bir</w:t>
      </w:r>
      <w:r w:rsidR="00C2591D" w:rsidRPr="00BC3EDD">
        <w:rPr>
          <w:rFonts w:ascii="Times New Roman" w:hAnsi="Times New Roman" w:hint="eastAsia"/>
          <w:sz w:val="24"/>
          <w:szCs w:val="24"/>
        </w:rPr>
        <w:t>žā</w:t>
      </w:r>
      <w:r w:rsidR="00C2591D" w:rsidRPr="00BC3EDD">
        <w:rPr>
          <w:rFonts w:ascii="Times New Roman" w:hAnsi="Times New Roman"/>
          <w:sz w:val="24"/>
          <w:szCs w:val="24"/>
        </w:rPr>
        <w:t xml:space="preserve">. </w:t>
      </w:r>
      <w:r w:rsidR="00CC7F5D" w:rsidRPr="00BC3EDD">
        <w:rPr>
          <w:rFonts w:ascii="Times New Roman" w:hAnsi="Times New Roman"/>
          <w:sz w:val="24"/>
          <w:szCs w:val="24"/>
        </w:rPr>
        <w:t>M</w:t>
      </w:r>
      <w:r w:rsidR="00CC7F5D" w:rsidRPr="00BC3EDD">
        <w:rPr>
          <w:rFonts w:ascii="Times New Roman" w:hAnsi="Times New Roman" w:hint="eastAsia"/>
          <w:sz w:val="24"/>
          <w:szCs w:val="24"/>
        </w:rPr>
        <w:t>ē</w:t>
      </w:r>
      <w:r w:rsidR="00CC7F5D" w:rsidRPr="00BC3EDD">
        <w:rPr>
          <w:rFonts w:ascii="Times New Roman" w:hAnsi="Times New Roman"/>
          <w:sz w:val="24"/>
          <w:szCs w:val="24"/>
        </w:rPr>
        <w:t>r</w:t>
      </w:r>
      <w:r w:rsidR="00CC7F5D" w:rsidRPr="00BC3EDD">
        <w:rPr>
          <w:rFonts w:ascii="Times New Roman" w:hAnsi="Times New Roman" w:hint="eastAsia"/>
          <w:sz w:val="24"/>
          <w:szCs w:val="24"/>
        </w:rPr>
        <w:t>ķ</w:t>
      </w:r>
      <w:r w:rsidR="00CC7F5D" w:rsidRPr="00BC3EDD">
        <w:rPr>
          <w:rFonts w:ascii="Times New Roman" w:hAnsi="Times New Roman"/>
          <w:sz w:val="24"/>
          <w:szCs w:val="24"/>
        </w:rPr>
        <w:t>is</w:t>
      </w:r>
      <w:r w:rsidR="00C2591D" w:rsidRPr="00BC3EDD">
        <w:rPr>
          <w:rFonts w:ascii="Times New Roman" w:hAnsi="Times New Roman"/>
          <w:sz w:val="24"/>
          <w:szCs w:val="24"/>
        </w:rPr>
        <w:t xml:space="preserve"> ir izstr</w:t>
      </w:r>
      <w:r w:rsidR="00C2591D" w:rsidRPr="00BC3EDD">
        <w:rPr>
          <w:rFonts w:ascii="Times New Roman" w:hAnsi="Times New Roman" w:hint="eastAsia"/>
          <w:sz w:val="24"/>
          <w:szCs w:val="24"/>
        </w:rPr>
        <w:t>ā</w:t>
      </w:r>
      <w:r w:rsidR="00C2591D" w:rsidRPr="00BC3EDD">
        <w:rPr>
          <w:rFonts w:ascii="Times New Roman" w:hAnsi="Times New Roman"/>
          <w:sz w:val="24"/>
          <w:szCs w:val="24"/>
        </w:rPr>
        <w:t>d</w:t>
      </w:r>
      <w:r w:rsidR="00C2591D" w:rsidRPr="00BC3EDD">
        <w:rPr>
          <w:rFonts w:ascii="Times New Roman" w:hAnsi="Times New Roman" w:hint="eastAsia"/>
          <w:sz w:val="24"/>
          <w:szCs w:val="24"/>
        </w:rPr>
        <w:t>ā</w:t>
      </w:r>
      <w:r w:rsidR="00C2591D" w:rsidRPr="00BC3EDD">
        <w:rPr>
          <w:rFonts w:ascii="Times New Roman" w:hAnsi="Times New Roman"/>
          <w:sz w:val="24"/>
          <w:szCs w:val="24"/>
        </w:rPr>
        <w:t>t t</w:t>
      </w:r>
      <w:r w:rsidR="00C2591D" w:rsidRPr="00BC3EDD">
        <w:rPr>
          <w:rFonts w:ascii="Times New Roman" w:hAnsi="Times New Roman" w:hint="eastAsia"/>
          <w:sz w:val="24"/>
          <w:szCs w:val="24"/>
        </w:rPr>
        <w:t>ā</w:t>
      </w:r>
      <w:r w:rsidR="00C2591D" w:rsidRPr="00BC3EDD">
        <w:rPr>
          <w:rFonts w:ascii="Times New Roman" w:hAnsi="Times New Roman"/>
          <w:sz w:val="24"/>
          <w:szCs w:val="24"/>
        </w:rPr>
        <w:t>du IPO modeli, kas l</w:t>
      </w:r>
      <w:r w:rsidR="00C2591D" w:rsidRPr="00BC3EDD">
        <w:rPr>
          <w:rFonts w:ascii="Times New Roman" w:hAnsi="Times New Roman" w:hint="eastAsia"/>
          <w:sz w:val="24"/>
          <w:szCs w:val="24"/>
        </w:rPr>
        <w:t>ī</w:t>
      </w:r>
      <w:r w:rsidR="00C2591D" w:rsidRPr="00BC3EDD">
        <w:rPr>
          <w:rFonts w:ascii="Times New Roman" w:hAnsi="Times New Roman"/>
          <w:sz w:val="24"/>
          <w:szCs w:val="24"/>
        </w:rPr>
        <w:t>dzsvaro pa</w:t>
      </w:r>
      <w:r w:rsidR="00C2591D" w:rsidRPr="00BC3EDD">
        <w:rPr>
          <w:rFonts w:ascii="Times New Roman" w:hAnsi="Times New Roman" w:hint="eastAsia"/>
          <w:sz w:val="24"/>
          <w:szCs w:val="24"/>
        </w:rPr>
        <w:t>š</w:t>
      </w:r>
      <w:r w:rsidR="00C2591D" w:rsidRPr="00BC3EDD">
        <w:rPr>
          <w:rFonts w:ascii="Times New Roman" w:hAnsi="Times New Roman"/>
          <w:sz w:val="24"/>
          <w:szCs w:val="24"/>
        </w:rPr>
        <w:t>vald</w:t>
      </w:r>
      <w:r w:rsidR="00C2591D" w:rsidRPr="00BC3EDD">
        <w:rPr>
          <w:rFonts w:ascii="Times New Roman" w:hAnsi="Times New Roman" w:hint="eastAsia"/>
          <w:sz w:val="24"/>
          <w:szCs w:val="24"/>
        </w:rPr>
        <w:t>ī</w:t>
      </w:r>
      <w:r w:rsidR="00C2591D" w:rsidRPr="00BC3EDD">
        <w:rPr>
          <w:rFonts w:ascii="Times New Roman" w:hAnsi="Times New Roman"/>
          <w:sz w:val="24"/>
          <w:szCs w:val="24"/>
        </w:rPr>
        <w:t>bas k</w:t>
      </w:r>
      <w:r w:rsidR="00C2591D" w:rsidRPr="00BC3EDD">
        <w:rPr>
          <w:rFonts w:ascii="Times New Roman" w:hAnsi="Times New Roman" w:hint="eastAsia"/>
          <w:sz w:val="24"/>
          <w:szCs w:val="24"/>
        </w:rPr>
        <w:t>ā</w:t>
      </w:r>
      <w:r w:rsidR="00C2591D" w:rsidRPr="00BC3EDD">
        <w:rPr>
          <w:rFonts w:ascii="Times New Roman" w:hAnsi="Times New Roman"/>
          <w:sz w:val="24"/>
          <w:szCs w:val="24"/>
        </w:rPr>
        <w:t xml:space="preserve"> akcion</w:t>
      </w:r>
      <w:r w:rsidR="00C2591D" w:rsidRPr="00BC3EDD">
        <w:rPr>
          <w:rFonts w:ascii="Times New Roman" w:hAnsi="Times New Roman" w:hint="eastAsia"/>
          <w:sz w:val="24"/>
          <w:szCs w:val="24"/>
        </w:rPr>
        <w:t>ā</w:t>
      </w:r>
      <w:r w:rsidR="00C2591D" w:rsidRPr="00BC3EDD">
        <w:rPr>
          <w:rFonts w:ascii="Times New Roman" w:hAnsi="Times New Roman"/>
          <w:sz w:val="24"/>
          <w:szCs w:val="24"/>
        </w:rPr>
        <w:t>ra intereses ar r</w:t>
      </w:r>
      <w:r w:rsidR="00C2591D" w:rsidRPr="00BC3EDD">
        <w:rPr>
          <w:rFonts w:ascii="Times New Roman" w:hAnsi="Times New Roman" w:hint="eastAsia"/>
          <w:sz w:val="24"/>
          <w:szCs w:val="24"/>
        </w:rPr>
        <w:t>ī</w:t>
      </w:r>
      <w:r w:rsidR="00C2591D" w:rsidRPr="00BC3EDD">
        <w:rPr>
          <w:rFonts w:ascii="Times New Roman" w:hAnsi="Times New Roman"/>
          <w:sz w:val="24"/>
          <w:szCs w:val="24"/>
        </w:rPr>
        <w:t>dzinieku interes</w:t>
      </w:r>
      <w:r w:rsidR="00C2591D" w:rsidRPr="00BC3EDD">
        <w:rPr>
          <w:rFonts w:ascii="Times New Roman" w:hAnsi="Times New Roman" w:hint="eastAsia"/>
          <w:sz w:val="24"/>
          <w:szCs w:val="24"/>
        </w:rPr>
        <w:t>ē</w:t>
      </w:r>
      <w:r w:rsidR="00C2591D" w:rsidRPr="00BC3EDD">
        <w:rPr>
          <w:rFonts w:ascii="Times New Roman" w:hAnsi="Times New Roman"/>
          <w:sz w:val="24"/>
          <w:szCs w:val="24"/>
        </w:rPr>
        <w:t xml:space="preserve">m </w:t>
      </w:r>
      <w:r w:rsidR="00C2591D" w:rsidRPr="00BC3EDD">
        <w:rPr>
          <w:rFonts w:ascii="Times New Roman" w:hAnsi="Times New Roman" w:hint="eastAsia"/>
          <w:sz w:val="24"/>
          <w:szCs w:val="24"/>
        </w:rPr>
        <w:t>–</w:t>
      </w:r>
      <w:r w:rsidR="00C2591D" w:rsidRPr="00BC3EDD">
        <w:rPr>
          <w:rFonts w:ascii="Times New Roman" w:hAnsi="Times New Roman"/>
          <w:sz w:val="24"/>
          <w:szCs w:val="24"/>
        </w:rPr>
        <w:t xml:space="preserve"> kvalitat</w:t>
      </w:r>
      <w:r w:rsidR="00C2591D" w:rsidRPr="00BC3EDD">
        <w:rPr>
          <w:rFonts w:ascii="Times New Roman" w:hAnsi="Times New Roman" w:hint="eastAsia"/>
          <w:sz w:val="24"/>
          <w:szCs w:val="24"/>
        </w:rPr>
        <w:t>ī</w:t>
      </w:r>
      <w:r w:rsidR="00C2591D" w:rsidRPr="00BC3EDD">
        <w:rPr>
          <w:rFonts w:ascii="Times New Roman" w:hAnsi="Times New Roman"/>
          <w:sz w:val="24"/>
          <w:szCs w:val="24"/>
        </w:rPr>
        <w:t>v</w:t>
      </w:r>
      <w:r w:rsidR="00C2591D" w:rsidRPr="00BC3EDD">
        <w:rPr>
          <w:rFonts w:ascii="Times New Roman" w:hAnsi="Times New Roman" w:hint="eastAsia"/>
          <w:sz w:val="24"/>
          <w:szCs w:val="24"/>
        </w:rPr>
        <w:t>ā</w:t>
      </w:r>
      <w:r w:rsidR="00C2591D" w:rsidRPr="00BC3EDD">
        <w:rPr>
          <w:rFonts w:ascii="Times New Roman" w:hAnsi="Times New Roman"/>
          <w:sz w:val="24"/>
          <w:szCs w:val="24"/>
        </w:rPr>
        <w:t>kiem pakalpojumiem un caursp</w:t>
      </w:r>
      <w:r w:rsidR="00C2591D" w:rsidRPr="00BC3EDD">
        <w:rPr>
          <w:rFonts w:ascii="Times New Roman" w:hAnsi="Times New Roman" w:hint="eastAsia"/>
          <w:sz w:val="24"/>
          <w:szCs w:val="24"/>
        </w:rPr>
        <w:t>ī</w:t>
      </w:r>
      <w:r w:rsidR="00C2591D" w:rsidRPr="00BC3EDD">
        <w:rPr>
          <w:rFonts w:ascii="Times New Roman" w:hAnsi="Times New Roman"/>
          <w:sz w:val="24"/>
          <w:szCs w:val="24"/>
        </w:rPr>
        <w:t>d</w:t>
      </w:r>
      <w:r w:rsidR="00C2591D" w:rsidRPr="00BC3EDD">
        <w:rPr>
          <w:rFonts w:ascii="Times New Roman" w:hAnsi="Times New Roman" w:hint="eastAsia"/>
          <w:sz w:val="24"/>
          <w:szCs w:val="24"/>
        </w:rPr>
        <w:t>ī</w:t>
      </w:r>
      <w:r w:rsidR="00C2591D" w:rsidRPr="00BC3EDD">
        <w:rPr>
          <w:rFonts w:ascii="Times New Roman" w:hAnsi="Times New Roman"/>
          <w:sz w:val="24"/>
          <w:szCs w:val="24"/>
        </w:rPr>
        <w:t>gu p</w:t>
      </w:r>
      <w:r w:rsidR="00C2591D" w:rsidRPr="00BC3EDD">
        <w:rPr>
          <w:rFonts w:ascii="Times New Roman" w:hAnsi="Times New Roman" w:hint="eastAsia"/>
          <w:sz w:val="24"/>
          <w:szCs w:val="24"/>
        </w:rPr>
        <w:t>ā</w:t>
      </w:r>
      <w:r w:rsidR="00C2591D" w:rsidRPr="00BC3EDD">
        <w:rPr>
          <w:rFonts w:ascii="Times New Roman" w:hAnsi="Times New Roman"/>
          <w:sz w:val="24"/>
          <w:szCs w:val="24"/>
        </w:rPr>
        <w:t>rvald</w:t>
      </w:r>
      <w:r w:rsidR="00C2591D" w:rsidRPr="00BC3EDD">
        <w:rPr>
          <w:rFonts w:ascii="Times New Roman" w:hAnsi="Times New Roman" w:hint="eastAsia"/>
          <w:sz w:val="24"/>
          <w:szCs w:val="24"/>
        </w:rPr>
        <w:t>ī</w:t>
      </w:r>
      <w:r w:rsidR="00C2591D" w:rsidRPr="00BC3EDD">
        <w:rPr>
          <w:rFonts w:ascii="Times New Roman" w:hAnsi="Times New Roman"/>
          <w:sz w:val="24"/>
          <w:szCs w:val="24"/>
        </w:rPr>
        <w:t>bu</w:t>
      </w:r>
      <w:r w:rsidR="00CC7F5D" w:rsidRPr="00BC3EDD">
        <w:rPr>
          <w:rFonts w:ascii="Times New Roman" w:hAnsi="Times New Roman"/>
          <w:sz w:val="24"/>
          <w:szCs w:val="24"/>
        </w:rPr>
        <w:t>.</w:t>
      </w:r>
      <w:r w:rsidR="00C2591D" w:rsidRPr="00BC3EDD">
        <w:rPr>
          <w:rFonts w:ascii="Times New Roman" w:hAnsi="Times New Roman" w:hint="eastAsia"/>
          <w:sz w:val="24"/>
          <w:szCs w:val="24"/>
        </w:rPr>
        <w:t> </w:t>
      </w:r>
    </w:p>
    <w:p w14:paraId="076B4BE5" w14:textId="77777777" w:rsidR="00C2591D" w:rsidRPr="00BC3EDD" w:rsidRDefault="00C2591D" w:rsidP="00C2591D">
      <w:pPr>
        <w:pStyle w:val="NoSpacing"/>
        <w:ind w:firstLine="720"/>
        <w:jc w:val="both"/>
        <w:rPr>
          <w:rFonts w:ascii="Times New Roman" w:hAnsi="Times New Roman"/>
          <w:sz w:val="24"/>
          <w:szCs w:val="24"/>
        </w:rPr>
      </w:pPr>
      <w:r w:rsidRPr="00BC3EDD">
        <w:rPr>
          <w:rFonts w:ascii="Times New Roman" w:hAnsi="Times New Roman"/>
          <w:sz w:val="24"/>
          <w:szCs w:val="24"/>
        </w:rPr>
        <w:t>Gala l</w:t>
      </w:r>
      <w:r w:rsidRPr="00BC3EDD">
        <w:rPr>
          <w:rFonts w:ascii="Times New Roman" w:hAnsi="Times New Roman" w:hint="eastAsia"/>
          <w:sz w:val="24"/>
          <w:szCs w:val="24"/>
        </w:rPr>
        <w:t>ē</w:t>
      </w:r>
      <w:r w:rsidRPr="00BC3EDD">
        <w:rPr>
          <w:rFonts w:ascii="Times New Roman" w:hAnsi="Times New Roman"/>
          <w:sz w:val="24"/>
          <w:szCs w:val="24"/>
        </w:rPr>
        <w:t>mumu par akciju publisko pied</w:t>
      </w:r>
      <w:r w:rsidRPr="00BC3EDD">
        <w:rPr>
          <w:rFonts w:ascii="Times New Roman" w:hAnsi="Times New Roman" w:hint="eastAsia"/>
          <w:sz w:val="24"/>
          <w:szCs w:val="24"/>
        </w:rPr>
        <w:t>ā</w:t>
      </w:r>
      <w:r w:rsidRPr="00BC3EDD">
        <w:rPr>
          <w:rFonts w:ascii="Times New Roman" w:hAnsi="Times New Roman"/>
          <w:sz w:val="24"/>
          <w:szCs w:val="24"/>
        </w:rPr>
        <w:t>v</w:t>
      </w:r>
      <w:r w:rsidRPr="00BC3EDD">
        <w:rPr>
          <w:rFonts w:ascii="Times New Roman" w:hAnsi="Times New Roman" w:hint="eastAsia"/>
          <w:sz w:val="24"/>
          <w:szCs w:val="24"/>
        </w:rPr>
        <w:t>ā</w:t>
      </w:r>
      <w:r w:rsidRPr="00BC3EDD">
        <w:rPr>
          <w:rFonts w:ascii="Times New Roman" w:hAnsi="Times New Roman"/>
          <w:sz w:val="24"/>
          <w:szCs w:val="24"/>
        </w:rPr>
        <w:t>jumu un t</w:t>
      </w:r>
      <w:r w:rsidRPr="00BC3EDD">
        <w:rPr>
          <w:rFonts w:ascii="Times New Roman" w:hAnsi="Times New Roman" w:hint="eastAsia"/>
          <w:sz w:val="24"/>
          <w:szCs w:val="24"/>
        </w:rPr>
        <w:t>ā</w:t>
      </w:r>
      <w:r w:rsidRPr="00BC3EDD">
        <w:rPr>
          <w:rFonts w:ascii="Times New Roman" w:hAnsi="Times New Roman"/>
          <w:sz w:val="24"/>
          <w:szCs w:val="24"/>
        </w:rPr>
        <w:t xml:space="preserve"> nosac</w:t>
      </w:r>
      <w:r w:rsidRPr="00BC3EDD">
        <w:rPr>
          <w:rFonts w:ascii="Times New Roman" w:hAnsi="Times New Roman" w:hint="eastAsia"/>
          <w:sz w:val="24"/>
          <w:szCs w:val="24"/>
        </w:rPr>
        <w:t>ī</w:t>
      </w:r>
      <w:r w:rsidRPr="00BC3EDD">
        <w:rPr>
          <w:rFonts w:ascii="Times New Roman" w:hAnsi="Times New Roman"/>
          <w:sz w:val="24"/>
          <w:szCs w:val="24"/>
        </w:rPr>
        <w:t>jumiem R</w:t>
      </w:r>
      <w:r w:rsidRPr="00BC3EDD">
        <w:rPr>
          <w:rFonts w:ascii="Times New Roman" w:hAnsi="Times New Roman" w:hint="eastAsia"/>
          <w:sz w:val="24"/>
          <w:szCs w:val="24"/>
        </w:rPr>
        <w:t>ī</w:t>
      </w:r>
      <w:r w:rsidRPr="00BC3EDD">
        <w:rPr>
          <w:rFonts w:ascii="Times New Roman" w:hAnsi="Times New Roman"/>
          <w:sz w:val="24"/>
          <w:szCs w:val="24"/>
        </w:rPr>
        <w:t>gas dome pl</w:t>
      </w:r>
      <w:r w:rsidRPr="00BC3EDD">
        <w:rPr>
          <w:rFonts w:ascii="Times New Roman" w:hAnsi="Times New Roman" w:hint="eastAsia"/>
          <w:sz w:val="24"/>
          <w:szCs w:val="24"/>
        </w:rPr>
        <w:t>ā</w:t>
      </w:r>
      <w:r w:rsidRPr="00BC3EDD">
        <w:rPr>
          <w:rFonts w:ascii="Times New Roman" w:hAnsi="Times New Roman"/>
          <w:sz w:val="24"/>
          <w:szCs w:val="24"/>
        </w:rPr>
        <w:t>no pie</w:t>
      </w:r>
      <w:r w:rsidRPr="00BC3EDD">
        <w:rPr>
          <w:rFonts w:ascii="Times New Roman" w:hAnsi="Times New Roman" w:hint="eastAsia"/>
          <w:sz w:val="24"/>
          <w:szCs w:val="24"/>
        </w:rPr>
        <w:t>ņ</w:t>
      </w:r>
      <w:r w:rsidRPr="00BC3EDD">
        <w:rPr>
          <w:rFonts w:ascii="Times New Roman" w:hAnsi="Times New Roman"/>
          <w:sz w:val="24"/>
          <w:szCs w:val="24"/>
        </w:rPr>
        <w:t>emt p</w:t>
      </w:r>
      <w:r w:rsidRPr="00BC3EDD">
        <w:rPr>
          <w:rFonts w:ascii="Times New Roman" w:hAnsi="Times New Roman" w:hint="eastAsia"/>
          <w:sz w:val="24"/>
          <w:szCs w:val="24"/>
        </w:rPr>
        <w:t>ē</w:t>
      </w:r>
      <w:r w:rsidRPr="00BC3EDD">
        <w:rPr>
          <w:rFonts w:ascii="Times New Roman" w:hAnsi="Times New Roman"/>
          <w:sz w:val="24"/>
          <w:szCs w:val="24"/>
        </w:rPr>
        <w:t>c sagatavo</w:t>
      </w:r>
      <w:r w:rsidRPr="00BC3EDD">
        <w:rPr>
          <w:rFonts w:ascii="Times New Roman" w:hAnsi="Times New Roman" w:hint="eastAsia"/>
          <w:sz w:val="24"/>
          <w:szCs w:val="24"/>
        </w:rPr>
        <w:t>š</w:t>
      </w:r>
      <w:r w:rsidRPr="00BC3EDD">
        <w:rPr>
          <w:rFonts w:ascii="Times New Roman" w:hAnsi="Times New Roman"/>
          <w:sz w:val="24"/>
          <w:szCs w:val="24"/>
        </w:rPr>
        <w:t>an</w:t>
      </w:r>
      <w:r w:rsidRPr="00BC3EDD">
        <w:rPr>
          <w:rFonts w:ascii="Times New Roman" w:hAnsi="Times New Roman" w:hint="eastAsia"/>
          <w:sz w:val="24"/>
          <w:szCs w:val="24"/>
        </w:rPr>
        <w:t>ā</w:t>
      </w:r>
      <w:r w:rsidRPr="00BC3EDD">
        <w:rPr>
          <w:rFonts w:ascii="Times New Roman" w:hAnsi="Times New Roman"/>
          <w:sz w:val="24"/>
          <w:szCs w:val="24"/>
        </w:rPr>
        <w:t>s strat</w:t>
      </w:r>
      <w:r w:rsidRPr="00BC3EDD">
        <w:rPr>
          <w:rFonts w:ascii="Times New Roman" w:hAnsi="Times New Roman" w:hint="eastAsia"/>
          <w:sz w:val="24"/>
          <w:szCs w:val="24"/>
        </w:rPr>
        <w:t>ēģ</w:t>
      </w:r>
      <w:r w:rsidRPr="00BC3EDD">
        <w:rPr>
          <w:rFonts w:ascii="Times New Roman" w:hAnsi="Times New Roman"/>
          <w:sz w:val="24"/>
          <w:szCs w:val="24"/>
        </w:rPr>
        <w:t>ijas izstr</w:t>
      </w:r>
      <w:r w:rsidRPr="00BC3EDD">
        <w:rPr>
          <w:rFonts w:ascii="Times New Roman" w:hAnsi="Times New Roman" w:hint="eastAsia"/>
          <w:sz w:val="24"/>
          <w:szCs w:val="24"/>
        </w:rPr>
        <w:t>ā</w:t>
      </w:r>
      <w:r w:rsidRPr="00BC3EDD">
        <w:rPr>
          <w:rFonts w:ascii="Times New Roman" w:hAnsi="Times New Roman"/>
          <w:sz w:val="24"/>
          <w:szCs w:val="24"/>
        </w:rPr>
        <w:t>des. Provizoriski sagatavo</w:t>
      </w:r>
      <w:r w:rsidRPr="00BC3EDD">
        <w:rPr>
          <w:rFonts w:ascii="Times New Roman" w:hAnsi="Times New Roman" w:hint="eastAsia"/>
          <w:sz w:val="24"/>
          <w:szCs w:val="24"/>
        </w:rPr>
        <w:t>š</w:t>
      </w:r>
      <w:r w:rsidRPr="00BC3EDD">
        <w:rPr>
          <w:rFonts w:ascii="Times New Roman" w:hAnsi="Times New Roman"/>
          <w:sz w:val="24"/>
          <w:szCs w:val="24"/>
        </w:rPr>
        <w:t>an</w:t>
      </w:r>
      <w:r w:rsidRPr="00BC3EDD">
        <w:rPr>
          <w:rFonts w:ascii="Times New Roman" w:hAnsi="Times New Roman" w:hint="eastAsia"/>
          <w:sz w:val="24"/>
          <w:szCs w:val="24"/>
        </w:rPr>
        <w:t>ā</w:t>
      </w:r>
      <w:r w:rsidRPr="00BC3EDD">
        <w:rPr>
          <w:rFonts w:ascii="Times New Roman" w:hAnsi="Times New Roman"/>
          <w:sz w:val="24"/>
          <w:szCs w:val="24"/>
        </w:rPr>
        <w:t>s process var</w:t>
      </w:r>
      <w:r w:rsidRPr="00BC3EDD">
        <w:rPr>
          <w:rFonts w:ascii="Times New Roman" w:hAnsi="Times New Roman" w:hint="eastAsia"/>
          <w:sz w:val="24"/>
          <w:szCs w:val="24"/>
        </w:rPr>
        <w:t>ē</w:t>
      </w:r>
      <w:r w:rsidRPr="00BC3EDD">
        <w:rPr>
          <w:rFonts w:ascii="Times New Roman" w:hAnsi="Times New Roman"/>
          <w:sz w:val="24"/>
          <w:szCs w:val="24"/>
        </w:rPr>
        <w:t>tu ilgt no 12 l</w:t>
      </w:r>
      <w:r w:rsidRPr="00BC3EDD">
        <w:rPr>
          <w:rFonts w:ascii="Times New Roman" w:hAnsi="Times New Roman" w:hint="eastAsia"/>
          <w:sz w:val="24"/>
          <w:szCs w:val="24"/>
        </w:rPr>
        <w:t>ī</w:t>
      </w:r>
      <w:r w:rsidRPr="00BC3EDD">
        <w:rPr>
          <w:rFonts w:ascii="Times New Roman" w:hAnsi="Times New Roman"/>
          <w:sz w:val="24"/>
          <w:szCs w:val="24"/>
        </w:rPr>
        <w:t>dz 18 m</w:t>
      </w:r>
      <w:r w:rsidRPr="00BC3EDD">
        <w:rPr>
          <w:rFonts w:ascii="Times New Roman" w:hAnsi="Times New Roman" w:hint="eastAsia"/>
          <w:sz w:val="24"/>
          <w:szCs w:val="24"/>
        </w:rPr>
        <w:t>ē</w:t>
      </w:r>
      <w:r w:rsidRPr="00BC3EDD">
        <w:rPr>
          <w:rFonts w:ascii="Times New Roman" w:hAnsi="Times New Roman"/>
          <w:sz w:val="24"/>
          <w:szCs w:val="24"/>
        </w:rPr>
        <w:t>ne</w:t>
      </w:r>
      <w:r w:rsidRPr="00BC3EDD">
        <w:rPr>
          <w:rFonts w:ascii="Times New Roman" w:hAnsi="Times New Roman" w:hint="eastAsia"/>
          <w:sz w:val="24"/>
          <w:szCs w:val="24"/>
        </w:rPr>
        <w:t>š</w:t>
      </w:r>
      <w:r w:rsidRPr="00BC3EDD">
        <w:rPr>
          <w:rFonts w:ascii="Times New Roman" w:hAnsi="Times New Roman"/>
          <w:sz w:val="24"/>
          <w:szCs w:val="24"/>
        </w:rPr>
        <w:t>iem.</w:t>
      </w:r>
      <w:r w:rsidRPr="00BC3EDD">
        <w:rPr>
          <w:rFonts w:ascii="Times New Roman" w:hAnsi="Times New Roman" w:hint="eastAsia"/>
          <w:sz w:val="24"/>
          <w:szCs w:val="24"/>
        </w:rPr>
        <w:t> </w:t>
      </w:r>
    </w:p>
    <w:p w14:paraId="05B54DF4" w14:textId="3A4B33EF" w:rsidR="002228AB" w:rsidRPr="00001591" w:rsidRDefault="002228AB" w:rsidP="002228AB">
      <w:pPr>
        <w:pStyle w:val="NoSpacing"/>
        <w:ind w:firstLine="720"/>
        <w:jc w:val="both"/>
        <w:rPr>
          <w:rFonts w:ascii="Times New Roman" w:hAnsi="Times New Roman"/>
          <w:sz w:val="24"/>
          <w:szCs w:val="24"/>
        </w:rPr>
      </w:pPr>
    </w:p>
    <w:p w14:paraId="177C4AC2" w14:textId="77777777" w:rsidR="002228AB" w:rsidRPr="00001591" w:rsidRDefault="002228AB" w:rsidP="002228AB">
      <w:pPr>
        <w:pStyle w:val="ListParagraph"/>
        <w:numPr>
          <w:ilvl w:val="0"/>
          <w:numId w:val="12"/>
        </w:numPr>
        <w:spacing w:line="259" w:lineRule="auto"/>
        <w:jc w:val="both"/>
        <w:rPr>
          <w:b/>
          <w:bCs/>
        </w:rPr>
      </w:pPr>
      <w:r w:rsidRPr="00001591">
        <w:rPr>
          <w:b/>
          <w:bCs/>
        </w:rPr>
        <w:t xml:space="preserve">VAS “Latvijas autoceļu uzturētājs” </w:t>
      </w:r>
    </w:p>
    <w:p w14:paraId="345AB4E1" w14:textId="7E9562EC" w:rsidR="001606D7" w:rsidRDefault="001606D7" w:rsidP="001606D7">
      <w:pPr>
        <w:ind w:firstLine="720"/>
        <w:jc w:val="both"/>
      </w:pPr>
      <w:r>
        <w:t xml:space="preserve">VAS “Latvijas autoceļu uzturētājs” (turpmāk - VAS LAU) saskaņā ar kapitālsabiedrību iedalījumu, klasificējama kā komerciāla valsts kapitālsabiedrība, kas visos darbības veidos veic komercdarbību brīvā tirgus apstākļos, tajā skaitā arī attiecībā uz autoceļu ikdienas uzturēšanas darbu pakalpojumiem. Sabiedrības ieņēmumus pilnā apmērā veido no komercdarbības brīvā tirgū gūtie ieņēmumi. VAS LAU esošais statuss apgrūtina uzņēmuma attīstību un neveicina konkurētspēju un vienlīdzību ar tirgus </w:t>
      </w:r>
      <w:r>
        <w:lastRenderedPageBreak/>
        <w:t xml:space="preserve">dalībniekiem darbojoties brīvā tirgus apstākļos. VAS LAU ir uzsākusi izvērtējumu par iespējamu kapitāla piesaisti caur sākotnējo publisko akciju piedāvājumu . </w:t>
      </w:r>
      <w:r w:rsidR="002403B8">
        <w:t>Sākotnējā publiskā piedāvājuma</w:t>
      </w:r>
      <w:r>
        <w:t xml:space="preserve"> izvēle balstās uz iepriekš veiktiem pētījumiem attiecībā uz valsts līdzdalības saglabāšanu VAS LAU, kā arī apsvērumiem par izmaiņām tirgū attiecībā uz konkurences stāvokli, akciju tirgus kapitalizācijas palielināšanu, papildu finansējuma piesaisti, VAS LAU redzamības un mārketinga paplašināšanu, korporatīvās pārvaldības uzlabošanu, regulatīvā sloga mazināšanu saistībā ar potenciālu kļūšanu par privātu kapitālsabiedrību Publiskas personas kapitāla daļu un kapitālsabiedrību pārvaldības likuma izpratnē, kā arī valdes fiduciārā pienākuma uzņemšanos attiecībā uz interešu ievērošanu ne tikai pret valsti, bet arī pret jaunajiem privātajiem akcionāriem, tostarp mazākuma akcionāriem. </w:t>
      </w:r>
    </w:p>
    <w:p w14:paraId="16D9E10D" w14:textId="5E6B8000" w:rsidR="001606D7" w:rsidRDefault="001606D7" w:rsidP="001606D7">
      <w:pPr>
        <w:ind w:firstLine="720"/>
        <w:jc w:val="both"/>
      </w:pPr>
      <w:r>
        <w:t xml:space="preserve">VAS LAU uz šī ziņojuma sagatavošanas brīdi ir izstrādāta sākotnējā publiskā piedāvājuma ceļa karte, kas </w:t>
      </w:r>
      <w:r w:rsidR="00C0753D">
        <w:t xml:space="preserve">sākotnējā publiskā piedāvājuma </w:t>
      </w:r>
      <w:r>
        <w:t xml:space="preserve">procesa īstenošanai paredz trīs secīgus posmus: 1) sagatavošanās process un pamatnosacījumu izpilde, kā ietvaros notiek koncentrēšanās uz finanšu plūsmu, juridisko un korporatīvās pārvaldības plūsmu, kā arī citiem darbiem, piemēram, ESG ziņošanai, zīmola maiņai, ja nepieciešams, u.c.; 2) priekšdarbu veikšana </w:t>
      </w:r>
      <w:r w:rsidR="00C0753D">
        <w:t xml:space="preserve">sākotnējā publiskā piedāvājuma </w:t>
      </w:r>
      <w:r>
        <w:t xml:space="preserve">faktiskai realizācijai, kuras ietvaros tiek gatavotas prezentācijas investoriem, vērtspapīru piedāvājuma dokuments, noris komunikācija ar uzraudzības iestādēm u. tml.; 3) posms raksturojams kā “dzīve biržā”, kas sevī ietver visu uz akciju emitenta attiecināmo regulatīvo prasību izpildi un ievērošanu. </w:t>
      </w:r>
    </w:p>
    <w:p w14:paraId="6DD3C7C3" w14:textId="19174E10" w:rsidR="00C0753D" w:rsidRDefault="001606D7" w:rsidP="00C0753D">
      <w:pPr>
        <w:ind w:firstLine="720"/>
        <w:jc w:val="both"/>
      </w:pPr>
      <w:r>
        <w:t xml:space="preserve">Saskaņā ar sākotnējo juridisko un risku izvērtējumu, VAS LAU šobrīd ir augstā gatavības pakāpē iziešanai kapitāla tirgū. Ministru </w:t>
      </w:r>
      <w:r w:rsidR="00D17658">
        <w:t xml:space="preserve">kabinets 2025. gada oktobrī atbalstīja </w:t>
      </w:r>
      <w:r w:rsidR="00D17658" w:rsidRPr="00D17658">
        <w:t>VAS LAU virzīb</w:t>
      </w:r>
      <w:r w:rsidR="00D17658">
        <w:t>u</w:t>
      </w:r>
      <w:r w:rsidR="00D17658" w:rsidRPr="00D17658">
        <w:t xml:space="preserve"> uz sākotnējo publisko piedāvājumu </w:t>
      </w:r>
      <w:r>
        <w:t xml:space="preserve">, lai VAS LAU varētu uzsākt pamatnosacījumu izstrādi, kas, tostarp, paredz VAS LAU finanšu līdzekļu ieguldījumus juridiskā un finanšu izvērtējuma sagatavošanā un mārketinga un PR aģentūras piesaistē.  VAS LAU sākotnējo publisko piedāvājumu iespējams īstenot līdz 2027.gadam, kas ir laika termiņš kādā Ministru kabinets </w:t>
      </w:r>
      <w:r w:rsidR="00A4575D">
        <w:t xml:space="preserve">iepriekš bija </w:t>
      </w:r>
      <w:r>
        <w:t>izvirzījis mērķi – sasniegt akciju tirgus kapitalizācijas līmeni 9% no IKP 2027.gadā.</w:t>
      </w:r>
    </w:p>
    <w:p w14:paraId="14F0F788" w14:textId="78128490" w:rsidR="002228AB" w:rsidRPr="008B2394" w:rsidRDefault="00C0753D" w:rsidP="005264B0">
      <w:pPr>
        <w:ind w:firstLine="709"/>
        <w:jc w:val="both"/>
        <w:rPr>
          <w:b/>
          <w:bCs/>
        </w:rPr>
      </w:pPr>
      <w:r>
        <w:t xml:space="preserve">6) </w:t>
      </w:r>
      <w:r w:rsidR="002228AB" w:rsidRPr="008B2394">
        <w:rPr>
          <w:b/>
          <w:bCs/>
        </w:rPr>
        <w:t>AS “Air Baltic Coorporation”</w:t>
      </w:r>
    </w:p>
    <w:p w14:paraId="111826A8" w14:textId="47655AC8" w:rsidR="000212CE" w:rsidRPr="000212CE" w:rsidRDefault="000212CE" w:rsidP="00BC3EDD">
      <w:pPr>
        <w:ind w:firstLine="709"/>
        <w:jc w:val="both"/>
        <w:rPr>
          <w:rFonts w:eastAsia="Times New Roman"/>
        </w:rPr>
      </w:pPr>
      <w:r w:rsidRPr="000212CE">
        <w:rPr>
          <w:rFonts w:eastAsia="Times New Roman"/>
        </w:rPr>
        <w:t>Pēc darījuma pabeigšanas ar Lufthansa 2025. gada rudenī</w:t>
      </w:r>
      <w:r w:rsidR="0036359B">
        <w:rPr>
          <w:rFonts w:eastAsia="Times New Roman"/>
        </w:rPr>
        <w:t>,</w:t>
      </w:r>
      <w:r w:rsidRPr="000212CE">
        <w:rPr>
          <w:rFonts w:eastAsia="Times New Roman"/>
        </w:rPr>
        <w:t xml:space="preserve"> uzņēmums turpinās darbu pie sākotnējā publiskā piedāvājuma procesa virzības. Sākotnējā publiskā piedāvājuma precīzs laika grafiks būs atkarīgs no tirgus apstākļiem, uzņēmuma tehniskās gatavības un investīciju pievilcības līmeņa. Papildus tiek izvērtēti arī citi uzņēmuma kapitalizācijas risinājumi, kas veiksmīgas attīstības gadījumā varētu vai nu pagarināt sākotnējā publiskā piedāvājuma īstenošanas termiņu, vai arī pilnībā izslēgt tā nepieciešamību.</w:t>
      </w:r>
    </w:p>
    <w:p w14:paraId="47374B63" w14:textId="0C1CC6E8" w:rsidR="0010274D" w:rsidRPr="00527F74" w:rsidRDefault="004839BA" w:rsidP="004839BA">
      <w:pPr>
        <w:pStyle w:val="ListParagraph"/>
        <w:numPr>
          <w:ilvl w:val="0"/>
          <w:numId w:val="12"/>
        </w:numPr>
        <w:jc w:val="both"/>
        <w:rPr>
          <w:rFonts w:eastAsia="Times New Roman"/>
          <w:b/>
          <w:bCs/>
        </w:rPr>
      </w:pPr>
      <w:r w:rsidRPr="00527F74">
        <w:rPr>
          <w:rFonts w:eastAsia="Times New Roman"/>
          <w:b/>
          <w:bCs/>
        </w:rPr>
        <w:t>SIA “tet” un SIA “Latvijas mobilais telefons”</w:t>
      </w:r>
    </w:p>
    <w:p w14:paraId="057C732E" w14:textId="5CB03B35" w:rsidR="004839BA" w:rsidRPr="00527F74" w:rsidRDefault="005D025D" w:rsidP="007855D3">
      <w:pPr>
        <w:ind w:firstLine="709"/>
        <w:jc w:val="both"/>
        <w:rPr>
          <w:rFonts w:eastAsia="Times New Roman"/>
        </w:rPr>
      </w:pPr>
      <w:r w:rsidRPr="005D025D">
        <w:rPr>
          <w:rFonts w:eastAsia="Times New Roman"/>
        </w:rPr>
        <w:t xml:space="preserve">2025. gada 15.jūlijā Zviedrijas telekomunikāciju kompānijas "Telia" ir parakstījusi saprašanās memorandu ar Latviju, "Latvenergo" un LVRTC par visu tai piederošo "Tet" un LMT akciju pārdošanu. Pieņemot, ka darījums par "Telia" akciju izpirkšanu noslēgsies </w:t>
      </w:r>
      <w:r w:rsidR="00083723">
        <w:rPr>
          <w:rFonts w:eastAsia="Times New Roman"/>
        </w:rPr>
        <w:t>2026.</w:t>
      </w:r>
      <w:r w:rsidRPr="005D025D">
        <w:rPr>
          <w:rFonts w:eastAsia="Times New Roman"/>
        </w:rPr>
        <w:t xml:space="preserve"> gadā, tad triju gadu laikā ir plānots veikt "Tet" un LMT vai tā apvienotā uzņēmuma akciju sākotnējo publisko piedāvājumu (IPO) biržā.</w:t>
      </w:r>
    </w:p>
    <w:p w14:paraId="6D2433FD" w14:textId="77777777" w:rsidR="00E50BA5" w:rsidRDefault="00E50BA5" w:rsidP="002228AB">
      <w:pPr>
        <w:ind w:firstLine="709"/>
        <w:jc w:val="both"/>
        <w:rPr>
          <w:rFonts w:eastAsia="Times New Roman"/>
        </w:rPr>
      </w:pPr>
    </w:p>
    <w:p w14:paraId="0272635A" w14:textId="55257630" w:rsidR="002228AB" w:rsidRDefault="002228AB" w:rsidP="002228AB">
      <w:pPr>
        <w:ind w:firstLine="709"/>
        <w:jc w:val="both"/>
        <w:rPr>
          <w:rFonts w:eastAsia="Times New Roman"/>
          <w:b/>
          <w:bCs/>
          <w:u w:val="single"/>
        </w:rPr>
      </w:pPr>
      <w:r w:rsidRPr="006C2AED">
        <w:rPr>
          <w:rFonts w:eastAsia="Times New Roman"/>
          <w:b/>
          <w:bCs/>
          <w:u w:val="single"/>
        </w:rPr>
        <w:t>Ņemot vērā apkopoto informāciju, jāsecina, ka AS “Air Baltic Coorporation”</w:t>
      </w:r>
      <w:r w:rsidR="00120962">
        <w:rPr>
          <w:rFonts w:eastAsia="Times New Roman"/>
          <w:b/>
          <w:bCs/>
          <w:u w:val="single"/>
        </w:rPr>
        <w:t>,</w:t>
      </w:r>
      <w:r>
        <w:rPr>
          <w:rFonts w:eastAsia="Times New Roman"/>
          <w:b/>
          <w:bCs/>
          <w:u w:val="single"/>
        </w:rPr>
        <w:t xml:space="preserve"> VAS “Latvijas autoceļu uzturētājs”</w:t>
      </w:r>
      <w:r w:rsidR="00120962">
        <w:rPr>
          <w:rFonts w:eastAsia="Times New Roman"/>
          <w:b/>
          <w:bCs/>
          <w:u w:val="single"/>
        </w:rPr>
        <w:t xml:space="preserve"> un SIA “Rīgas namu pārvaldnieks”</w:t>
      </w:r>
      <w:r>
        <w:rPr>
          <w:rFonts w:eastAsia="Times New Roman"/>
          <w:b/>
          <w:bCs/>
          <w:u w:val="single"/>
        </w:rPr>
        <w:t xml:space="preserve"> ir vienīgās valsts vai pašvaldību kapitālsabiedrības, kas</w:t>
      </w:r>
      <w:r w:rsidRPr="006C2AED">
        <w:rPr>
          <w:rFonts w:eastAsia="Times New Roman"/>
          <w:b/>
          <w:bCs/>
          <w:u w:val="single"/>
        </w:rPr>
        <w:t xml:space="preserve"> </w:t>
      </w:r>
      <w:r w:rsidR="00707F2B">
        <w:rPr>
          <w:rFonts w:eastAsia="Times New Roman"/>
          <w:b/>
          <w:bCs/>
          <w:u w:val="single"/>
        </w:rPr>
        <w:t>padziļināti</w:t>
      </w:r>
      <w:r w:rsidR="00741502">
        <w:rPr>
          <w:rFonts w:eastAsia="Times New Roman"/>
          <w:b/>
          <w:bCs/>
          <w:u w:val="single"/>
        </w:rPr>
        <w:t xml:space="preserve"> </w:t>
      </w:r>
      <w:r w:rsidR="00D50D9F">
        <w:rPr>
          <w:rFonts w:eastAsia="Times New Roman"/>
          <w:b/>
          <w:bCs/>
          <w:u w:val="single"/>
        </w:rPr>
        <w:t>izvērtē</w:t>
      </w:r>
      <w:r w:rsidR="00D81B00">
        <w:rPr>
          <w:rFonts w:eastAsia="Times New Roman"/>
          <w:b/>
          <w:bCs/>
          <w:u w:val="single"/>
        </w:rPr>
        <w:t xml:space="preserve"> iespējas</w:t>
      </w:r>
      <w:r w:rsidR="00D50D9F" w:rsidRPr="006C2AED">
        <w:rPr>
          <w:rFonts w:eastAsia="Times New Roman"/>
          <w:b/>
          <w:bCs/>
          <w:u w:val="single"/>
        </w:rPr>
        <w:t xml:space="preserve"> </w:t>
      </w:r>
      <w:r w:rsidRPr="006C2AED">
        <w:rPr>
          <w:rFonts w:eastAsia="Times New Roman"/>
          <w:b/>
          <w:bCs/>
          <w:u w:val="single"/>
        </w:rPr>
        <w:t xml:space="preserve">veikt sākotnējo publisko piedāvājumu līdz 2027.gadam, kas ir laika termiņš kādā Ministru kabinets ir izvirzījis mērķi – sasniegt akciju tirgus </w:t>
      </w:r>
      <w:r w:rsidRPr="006C2AED">
        <w:rPr>
          <w:rFonts w:eastAsia="Times New Roman"/>
          <w:b/>
          <w:bCs/>
          <w:u w:val="single"/>
        </w:rPr>
        <w:lastRenderedPageBreak/>
        <w:t xml:space="preserve">kapitalizācijas līmeni 9% no IKP 2027.gadā. </w:t>
      </w:r>
      <w:r w:rsidR="00064021">
        <w:rPr>
          <w:rFonts w:eastAsia="Times New Roman"/>
          <w:b/>
          <w:bCs/>
          <w:u w:val="single"/>
        </w:rPr>
        <w:t>Šāds kapitalizācijas apjoms nenodrošinās izvirzītā mērķa sasniegšanu.</w:t>
      </w:r>
    </w:p>
    <w:p w14:paraId="09A32D0C" w14:textId="77777777" w:rsidR="00507162" w:rsidRDefault="00507162" w:rsidP="002228AB">
      <w:pPr>
        <w:ind w:firstLine="709"/>
        <w:jc w:val="both"/>
        <w:rPr>
          <w:rFonts w:eastAsia="Times New Roman"/>
          <w:b/>
          <w:bCs/>
          <w:u w:val="single"/>
        </w:rPr>
      </w:pPr>
    </w:p>
    <w:p w14:paraId="5983D137" w14:textId="77777777" w:rsidR="00D52C57" w:rsidRDefault="00D52C57" w:rsidP="002228AB">
      <w:pPr>
        <w:ind w:firstLine="709"/>
        <w:jc w:val="both"/>
        <w:rPr>
          <w:rFonts w:eastAsia="Times New Roman"/>
          <w:u w:val="single"/>
        </w:rPr>
      </w:pPr>
    </w:p>
    <w:p w14:paraId="72B0D969" w14:textId="1A6AD542" w:rsidR="01A53778" w:rsidRDefault="005B54C2" w:rsidP="5F98231E">
      <w:pPr>
        <w:pStyle w:val="ListParagraph"/>
        <w:spacing w:line="259" w:lineRule="auto"/>
        <w:rPr>
          <w:rFonts w:eastAsia="Times New Roman" w:cs="Times New Roman"/>
          <w:b/>
          <w:bCs/>
        </w:rPr>
      </w:pPr>
      <w:r>
        <w:rPr>
          <w:rFonts w:eastAsia="Times New Roman" w:cs="Times New Roman"/>
          <w:b/>
          <w:bCs/>
        </w:rPr>
        <w:t>4</w:t>
      </w:r>
      <w:r w:rsidR="00BB5B02">
        <w:rPr>
          <w:rFonts w:eastAsia="Times New Roman" w:cs="Times New Roman"/>
          <w:b/>
          <w:bCs/>
        </w:rPr>
        <w:t>.1</w:t>
      </w:r>
      <w:r w:rsidR="01A53778" w:rsidRPr="5F98231E">
        <w:rPr>
          <w:rFonts w:eastAsia="Times New Roman" w:cs="Times New Roman"/>
          <w:b/>
          <w:bCs/>
        </w:rPr>
        <w:t xml:space="preserve">. </w:t>
      </w:r>
      <w:r w:rsidR="0046521A">
        <w:rPr>
          <w:rFonts w:eastAsia="Times New Roman" w:cs="Times New Roman"/>
          <w:b/>
          <w:bCs/>
        </w:rPr>
        <w:t>Kapitāla piesa</w:t>
      </w:r>
      <w:r w:rsidR="00026B01">
        <w:rPr>
          <w:rFonts w:eastAsia="Times New Roman" w:cs="Times New Roman"/>
          <w:b/>
          <w:bCs/>
        </w:rPr>
        <w:t>iste v</w:t>
      </w:r>
      <w:r w:rsidR="01A53778" w:rsidRPr="5F98231E">
        <w:rPr>
          <w:rFonts w:eastAsia="Times New Roman" w:cs="Times New Roman"/>
          <w:b/>
          <w:bCs/>
        </w:rPr>
        <w:t xml:space="preserve">alsts </w:t>
      </w:r>
      <w:r w:rsidR="00026B01" w:rsidRPr="5F98231E">
        <w:rPr>
          <w:rFonts w:eastAsia="Times New Roman" w:cs="Times New Roman"/>
          <w:b/>
          <w:bCs/>
        </w:rPr>
        <w:t>komerciāl</w:t>
      </w:r>
      <w:r w:rsidR="00026B01">
        <w:rPr>
          <w:rFonts w:eastAsia="Times New Roman" w:cs="Times New Roman"/>
          <w:b/>
          <w:bCs/>
        </w:rPr>
        <w:t>ajām</w:t>
      </w:r>
      <w:r w:rsidR="00026B01" w:rsidRPr="5F98231E">
        <w:rPr>
          <w:rFonts w:eastAsia="Times New Roman" w:cs="Times New Roman"/>
          <w:b/>
          <w:bCs/>
        </w:rPr>
        <w:t xml:space="preserve"> kapitālsabiedrīb</w:t>
      </w:r>
      <w:r w:rsidR="00026B01">
        <w:rPr>
          <w:rFonts w:eastAsia="Times New Roman" w:cs="Times New Roman"/>
          <w:b/>
          <w:bCs/>
        </w:rPr>
        <w:t xml:space="preserve">ām un </w:t>
      </w:r>
      <w:r w:rsidR="01A53778" w:rsidRPr="5F98231E">
        <w:rPr>
          <w:rFonts w:eastAsia="Times New Roman" w:cs="Times New Roman"/>
          <w:b/>
          <w:bCs/>
        </w:rPr>
        <w:t>mazākuma daļas atsavināšana</w:t>
      </w:r>
    </w:p>
    <w:p w14:paraId="4B79A67E" w14:textId="77777777" w:rsidR="00C13D5D" w:rsidRDefault="00C13D5D" w:rsidP="5F98231E">
      <w:pPr>
        <w:pStyle w:val="ListParagraph"/>
        <w:spacing w:line="259" w:lineRule="auto"/>
        <w:rPr>
          <w:rFonts w:eastAsia="Times New Roman" w:cs="Times New Roman"/>
        </w:rPr>
      </w:pPr>
    </w:p>
    <w:p w14:paraId="46026058" w14:textId="77777777" w:rsidR="005558D1" w:rsidRDefault="00C13D5D" w:rsidP="00182697">
      <w:pPr>
        <w:shd w:val="clear" w:color="auto" w:fill="FFFFFF" w:themeFill="background1"/>
        <w:ind w:firstLine="720"/>
        <w:jc w:val="both"/>
        <w:rPr>
          <w:rFonts w:eastAsia="Times New Roman" w:cs="Times New Roman"/>
        </w:rPr>
      </w:pPr>
      <w:r>
        <w:rPr>
          <w:rFonts w:eastAsia="Times New Roman" w:cs="Times New Roman"/>
        </w:rPr>
        <w:t>Krievijas izvērstais agresijas karš pret Ukrainu ir neatgriezeniski ietekmējis Eiropas drošības situāciju. Latvija</w:t>
      </w:r>
      <w:r w:rsidR="005558D1">
        <w:rPr>
          <w:rFonts w:eastAsia="Times New Roman" w:cs="Times New Roman"/>
        </w:rPr>
        <w:t xml:space="preserve"> kā viena no</w:t>
      </w:r>
      <w:r>
        <w:rPr>
          <w:rFonts w:eastAsia="Times New Roman" w:cs="Times New Roman"/>
        </w:rPr>
        <w:t xml:space="preserve"> Ziemeļatlantijas Līguma organizācij</w:t>
      </w:r>
      <w:r w:rsidR="005558D1">
        <w:rPr>
          <w:rFonts w:eastAsia="Times New Roman" w:cs="Times New Roman"/>
        </w:rPr>
        <w:t>as dalībvalstīm</w:t>
      </w:r>
      <w:r>
        <w:rPr>
          <w:rFonts w:eastAsia="Times New Roman" w:cs="Times New Roman"/>
        </w:rPr>
        <w:t xml:space="preserve"> ir apliecinājusi gatavību</w:t>
      </w:r>
      <w:r w:rsidR="005558D1">
        <w:rPr>
          <w:rFonts w:eastAsia="Times New Roman" w:cs="Times New Roman"/>
        </w:rPr>
        <w:t>,</w:t>
      </w:r>
      <w:r>
        <w:rPr>
          <w:rFonts w:eastAsia="Times New Roman" w:cs="Times New Roman"/>
        </w:rPr>
        <w:t xml:space="preserve"> aizsardzības spēju kāpināšanai, </w:t>
      </w:r>
      <w:r w:rsidR="005558D1">
        <w:rPr>
          <w:rFonts w:eastAsia="Times New Roman" w:cs="Times New Roman"/>
        </w:rPr>
        <w:t xml:space="preserve">tuvākajos gados </w:t>
      </w:r>
      <w:r>
        <w:rPr>
          <w:rFonts w:eastAsia="Times New Roman" w:cs="Times New Roman"/>
        </w:rPr>
        <w:t xml:space="preserve">nodrošināt finansējumu valsts aizsardzībai 5% apmērā no iekšzemes kopprodukta. </w:t>
      </w:r>
      <w:r w:rsidR="005558D1">
        <w:rPr>
          <w:rFonts w:eastAsia="Times New Roman" w:cs="Times New Roman"/>
        </w:rPr>
        <w:t xml:space="preserve">Atkarībā no izvēlētā veida, kā tiek finansēts valsts aizsardzības finansējuma pieaugums, ņemot vērā aktivizēto izņēmuma klauzulu no 2025. līdz 2028.gadam, prognozējams, ka vidējā termiņā sagaidāms valsts parāda pieaugums. </w:t>
      </w:r>
    </w:p>
    <w:p w14:paraId="403E48AB" w14:textId="7968D34E" w:rsidR="005558D1" w:rsidRDefault="005558D1" w:rsidP="00182697">
      <w:pPr>
        <w:shd w:val="clear" w:color="auto" w:fill="FFFFFF" w:themeFill="background1"/>
        <w:ind w:firstLine="720"/>
        <w:jc w:val="both"/>
        <w:rPr>
          <w:rFonts w:eastAsia="Times New Roman" w:cs="Times New Roman"/>
        </w:rPr>
      </w:pPr>
      <w:r>
        <w:rPr>
          <w:rFonts w:eastAsia="Times New Roman" w:cs="Times New Roman"/>
        </w:rPr>
        <w:t xml:space="preserve">Atbilstoši OECD 2024.gada Ekonomikas pārskatam par Latviju secināts, ka kapitāla tirgus ir nepietiekami attīstīts, tādēļ uzņēmumiem ir ierobežotas iespējas piesaistīt nebanku finansējumu. </w:t>
      </w:r>
    </w:p>
    <w:p w14:paraId="3111AA49" w14:textId="029F9C5D" w:rsidR="00182697" w:rsidRDefault="00182697" w:rsidP="00182697">
      <w:pPr>
        <w:shd w:val="clear" w:color="auto" w:fill="FFFFFF" w:themeFill="background1"/>
        <w:ind w:firstLine="720"/>
        <w:jc w:val="both"/>
        <w:rPr>
          <w:rFonts w:eastAsia="Times New Roman" w:cs="Times New Roman"/>
        </w:rPr>
      </w:pPr>
      <w:r>
        <w:rPr>
          <w:rFonts w:eastAsia="Times New Roman" w:cs="Times New Roman"/>
        </w:rPr>
        <w:t>Atbilstoši Ministru kabineta 2025.gada 13.maija sēdes protokollēmuma (prot.Nr.19 50.</w:t>
      </w:r>
      <w:r w:rsidRPr="00D85BC4">
        <w:rPr>
          <w:rFonts w:eastAsia="Times New Roman" w:cs="Times New Roman"/>
        </w:rPr>
        <w:t>§</w:t>
      </w:r>
      <w:r>
        <w:rPr>
          <w:rFonts w:eastAsia="Times New Roman" w:cs="Times New Roman"/>
        </w:rPr>
        <w:t>) 3.punktam noteikts, ka viens</w:t>
      </w:r>
      <w:r w:rsidRPr="00D85BC4">
        <w:rPr>
          <w:rFonts w:eastAsia="Times New Roman" w:cs="Times New Roman"/>
        </w:rPr>
        <w:t xml:space="preserve"> no valsts bruto parāda samazināšanas pasākumiem </w:t>
      </w:r>
      <w:r>
        <w:rPr>
          <w:rFonts w:eastAsia="Times New Roman" w:cs="Times New Roman"/>
        </w:rPr>
        <w:t>ir</w:t>
      </w:r>
      <w:r w:rsidRPr="00D85BC4">
        <w:rPr>
          <w:rFonts w:eastAsia="Times New Roman" w:cs="Times New Roman"/>
        </w:rPr>
        <w:t xml:space="preserve"> valsts kapitālsabiedrību mazākuma daļas, kas ir ne mazāk kā 10%, atsavināšan</w:t>
      </w:r>
      <w:r>
        <w:rPr>
          <w:rFonts w:eastAsia="Times New Roman" w:cs="Times New Roman"/>
        </w:rPr>
        <w:t>a</w:t>
      </w:r>
      <w:r w:rsidRPr="00D85BC4">
        <w:rPr>
          <w:rFonts w:eastAsia="Times New Roman" w:cs="Times New Roman"/>
        </w:rPr>
        <w:t xml:space="preserve"> publiskajā piedāvājumā līdz 2029. gadam, tajā skaitā attiecībā uz tām komerciālajām valsts kapitālsabiedrībām, kurām atbilstoši normatīvajam regulējumam noteikts privatizācijas aizliegums.</w:t>
      </w:r>
    </w:p>
    <w:p w14:paraId="205A7FE2" w14:textId="3E9843EA" w:rsidR="216FEB74" w:rsidRDefault="216FEB74" w:rsidP="43893D6D">
      <w:pPr>
        <w:shd w:val="clear" w:color="auto" w:fill="FFFFFF" w:themeFill="background1"/>
        <w:ind w:firstLine="720"/>
        <w:jc w:val="both"/>
        <w:rPr>
          <w:rFonts w:eastAsia="Times New Roman" w:cs="Times New Roman"/>
          <w:color w:val="000000" w:themeColor="text1"/>
        </w:rPr>
      </w:pPr>
      <w:r w:rsidRPr="43893D6D">
        <w:rPr>
          <w:rFonts w:eastAsia="Times New Roman" w:cs="Times New Roman"/>
          <w:color w:val="000000" w:themeColor="text1"/>
        </w:rPr>
        <w:t xml:space="preserve">Valstij </w:t>
      </w:r>
      <w:r w:rsidR="00D47338">
        <w:rPr>
          <w:rFonts w:eastAsia="Times New Roman" w:cs="Times New Roman"/>
          <w:color w:val="000000" w:themeColor="text1"/>
        </w:rPr>
        <w:t xml:space="preserve">piesaistot kapitālu vai </w:t>
      </w:r>
      <w:r w:rsidRPr="43893D6D">
        <w:rPr>
          <w:rFonts w:eastAsia="Times New Roman" w:cs="Times New Roman"/>
          <w:color w:val="000000" w:themeColor="text1"/>
        </w:rPr>
        <w:t xml:space="preserve">daļēji atsavinot kapitāla daļas piederošos uzņēmumus, ir </w:t>
      </w:r>
      <w:r w:rsidR="178526C0" w:rsidRPr="43893D6D">
        <w:rPr>
          <w:rFonts w:eastAsia="Times New Roman" w:cs="Times New Roman"/>
          <w:color w:val="000000" w:themeColor="text1"/>
        </w:rPr>
        <w:t xml:space="preserve">identificējami </w:t>
      </w:r>
      <w:r w:rsidRPr="43893D6D">
        <w:rPr>
          <w:rFonts w:eastAsia="Times New Roman" w:cs="Times New Roman"/>
          <w:color w:val="000000" w:themeColor="text1"/>
        </w:rPr>
        <w:t>vairāki ieguvumi:</w:t>
      </w:r>
    </w:p>
    <w:p w14:paraId="0B268F23" w14:textId="6D6EA2F9"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Efektivitātes uzlabošana</w:t>
      </w:r>
      <w:r w:rsidRPr="5F98231E">
        <w:rPr>
          <w:rFonts w:eastAsia="Times New Roman" w:cs="Times New Roman"/>
          <w:color w:val="000000" w:themeColor="text1"/>
          <w:szCs w:val="24"/>
        </w:rPr>
        <w:t>: Privātā sektora uzņēmumi bieži vien darbojas efektīvāk nekā valsts uzņēmumi, jo tiem ir lielāka motivācija samazināt izmaksas un palielināt ražīgumu.</w:t>
      </w:r>
    </w:p>
    <w:p w14:paraId="32C04DF2" w14:textId="5B8B911E"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Investīciju piesaiste</w:t>
      </w:r>
      <w:r w:rsidRPr="5F98231E">
        <w:rPr>
          <w:rFonts w:eastAsia="Times New Roman" w:cs="Times New Roman"/>
          <w:color w:val="000000" w:themeColor="text1"/>
          <w:szCs w:val="24"/>
        </w:rPr>
        <w:t>:</w:t>
      </w:r>
      <w:r w:rsidR="38FE92B4" w:rsidRPr="5F98231E">
        <w:rPr>
          <w:rFonts w:eastAsia="Times New Roman" w:cs="Times New Roman"/>
          <w:color w:val="000000" w:themeColor="text1"/>
          <w:szCs w:val="24"/>
        </w:rPr>
        <w:t xml:space="preserve"> kapitāla daļu atsavināšanas rezultātā</w:t>
      </w:r>
      <w:r w:rsidRPr="5F98231E">
        <w:rPr>
          <w:rFonts w:eastAsia="Times New Roman" w:cs="Times New Roman"/>
          <w:color w:val="000000" w:themeColor="text1"/>
          <w:szCs w:val="24"/>
        </w:rPr>
        <w:t xml:space="preserve"> var piesaistīt privātos investorus, kas var sniegt nepieciešamos finanšu resursus un modernizēt uzņēmumus.</w:t>
      </w:r>
    </w:p>
    <w:p w14:paraId="77B134AA" w14:textId="28506EF7"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Valsts budžeta stiprināšana</w:t>
      </w:r>
      <w:r w:rsidRPr="5F98231E">
        <w:rPr>
          <w:rFonts w:eastAsia="Times New Roman" w:cs="Times New Roman"/>
          <w:color w:val="000000" w:themeColor="text1"/>
          <w:szCs w:val="24"/>
        </w:rPr>
        <w:t xml:space="preserve">: </w:t>
      </w:r>
      <w:r w:rsidR="4568A80A" w:rsidRPr="5F98231E">
        <w:rPr>
          <w:rFonts w:eastAsia="Times New Roman" w:cs="Times New Roman"/>
          <w:color w:val="000000" w:themeColor="text1"/>
          <w:szCs w:val="24"/>
        </w:rPr>
        <w:t>mazākuma daļas atsavināšana</w:t>
      </w:r>
      <w:r w:rsidRPr="5F98231E">
        <w:rPr>
          <w:rFonts w:eastAsia="Times New Roman" w:cs="Times New Roman"/>
          <w:color w:val="000000" w:themeColor="text1"/>
          <w:szCs w:val="24"/>
        </w:rPr>
        <w:t xml:space="preserve"> var radīt tūlītējus ieņēmumus no akciju pārdošanas, kā arī ilgtermiņa ieguvumus no nodokļu ieņēmumiem no </w:t>
      </w:r>
      <w:r w:rsidR="17CBE1F4" w:rsidRPr="5F98231E">
        <w:rPr>
          <w:rFonts w:eastAsia="Times New Roman" w:cs="Times New Roman"/>
          <w:color w:val="000000" w:themeColor="text1"/>
          <w:szCs w:val="24"/>
        </w:rPr>
        <w:t>biržā kotētajiem</w:t>
      </w:r>
      <w:r w:rsidRPr="5F98231E">
        <w:rPr>
          <w:rFonts w:eastAsia="Times New Roman" w:cs="Times New Roman"/>
          <w:color w:val="000000" w:themeColor="text1"/>
          <w:szCs w:val="24"/>
        </w:rPr>
        <w:t xml:space="preserve"> uzņēmumiem.</w:t>
      </w:r>
    </w:p>
    <w:p w14:paraId="1E1E1370" w14:textId="7B21BABC" w:rsidR="216FEB74" w:rsidRDefault="216FEB74" w:rsidP="5F98231E">
      <w:pPr>
        <w:pStyle w:val="ListParagraph"/>
        <w:numPr>
          <w:ilvl w:val="0"/>
          <w:numId w:val="2"/>
        </w:numPr>
        <w:shd w:val="clear" w:color="auto" w:fill="FFFFFF" w:themeFill="background1"/>
        <w:spacing w:before="240" w:after="240"/>
        <w:rPr>
          <w:rFonts w:eastAsia="Times New Roman" w:cs="Times New Roman"/>
          <w:color w:val="000000" w:themeColor="text1"/>
          <w:szCs w:val="24"/>
        </w:rPr>
      </w:pPr>
      <w:r w:rsidRPr="5F98231E">
        <w:rPr>
          <w:rFonts w:eastAsia="Times New Roman" w:cs="Times New Roman"/>
          <w:b/>
          <w:bCs/>
          <w:color w:val="000000" w:themeColor="text1"/>
          <w:szCs w:val="24"/>
        </w:rPr>
        <w:t>Konkur</w:t>
      </w:r>
      <w:r w:rsidR="00465D03">
        <w:rPr>
          <w:rFonts w:eastAsia="Times New Roman" w:cs="Times New Roman"/>
          <w:b/>
          <w:bCs/>
          <w:color w:val="000000" w:themeColor="text1"/>
          <w:szCs w:val="24"/>
        </w:rPr>
        <w:t>ences</w:t>
      </w:r>
      <w:r w:rsidRPr="5F98231E">
        <w:rPr>
          <w:rFonts w:eastAsia="Times New Roman" w:cs="Times New Roman"/>
          <w:b/>
          <w:bCs/>
          <w:color w:val="000000" w:themeColor="text1"/>
          <w:szCs w:val="24"/>
        </w:rPr>
        <w:t xml:space="preserve"> veicin</w:t>
      </w:r>
      <w:r w:rsidR="12B8FBF2" w:rsidRPr="5F98231E">
        <w:rPr>
          <w:rFonts w:eastAsia="Times New Roman" w:cs="Times New Roman"/>
          <w:b/>
          <w:bCs/>
          <w:color w:val="000000" w:themeColor="text1"/>
          <w:szCs w:val="24"/>
        </w:rPr>
        <w:t>ā</w:t>
      </w:r>
      <w:r w:rsidRPr="5F98231E">
        <w:rPr>
          <w:rFonts w:eastAsia="Times New Roman" w:cs="Times New Roman"/>
          <w:b/>
          <w:bCs/>
          <w:color w:val="000000" w:themeColor="text1"/>
          <w:szCs w:val="24"/>
        </w:rPr>
        <w:t>šana</w:t>
      </w:r>
      <w:r w:rsidRPr="5F98231E">
        <w:rPr>
          <w:rFonts w:eastAsia="Times New Roman" w:cs="Times New Roman"/>
          <w:color w:val="000000" w:themeColor="text1"/>
          <w:szCs w:val="24"/>
        </w:rPr>
        <w:t xml:space="preserve">: </w:t>
      </w:r>
      <w:r w:rsidR="0CB23D43" w:rsidRPr="5F98231E">
        <w:rPr>
          <w:rFonts w:eastAsia="Times New Roman" w:cs="Times New Roman"/>
          <w:color w:val="000000" w:themeColor="text1"/>
          <w:szCs w:val="24"/>
        </w:rPr>
        <w:t>mazākuma daļas kotācija b</w:t>
      </w:r>
      <w:r w:rsidR="3915D40A" w:rsidRPr="5F98231E">
        <w:rPr>
          <w:rFonts w:eastAsia="Times New Roman" w:cs="Times New Roman"/>
          <w:color w:val="000000" w:themeColor="text1"/>
          <w:szCs w:val="24"/>
        </w:rPr>
        <w:t>i</w:t>
      </w:r>
      <w:r w:rsidR="0CB23D43" w:rsidRPr="5F98231E">
        <w:rPr>
          <w:rFonts w:eastAsia="Times New Roman" w:cs="Times New Roman"/>
          <w:color w:val="000000" w:themeColor="text1"/>
          <w:szCs w:val="24"/>
        </w:rPr>
        <w:t>ržā</w:t>
      </w:r>
      <w:r w:rsidRPr="5F98231E">
        <w:rPr>
          <w:rFonts w:eastAsia="Times New Roman" w:cs="Times New Roman"/>
          <w:color w:val="000000" w:themeColor="text1"/>
          <w:szCs w:val="24"/>
        </w:rPr>
        <w:t xml:space="preserve"> var radīt konkurenci tirgū, kas var uzlabot pakalpojumu kvalitāti un samazināt cenas patērētājiem.</w:t>
      </w:r>
    </w:p>
    <w:p w14:paraId="4FC1C937" w14:textId="0BB4816F" w:rsidR="216FEB74" w:rsidRDefault="216FEB74" w:rsidP="5F98231E">
      <w:pPr>
        <w:pStyle w:val="ListParagraph"/>
        <w:numPr>
          <w:ilvl w:val="0"/>
          <w:numId w:val="2"/>
        </w:numPr>
        <w:shd w:val="clear" w:color="auto" w:fill="FFFFFF" w:themeFill="background1"/>
        <w:spacing w:before="240" w:after="240"/>
        <w:jc w:val="both"/>
        <w:rPr>
          <w:rFonts w:eastAsia="Times New Roman" w:cs="Times New Roman"/>
          <w:color w:val="000000" w:themeColor="text1"/>
          <w:szCs w:val="24"/>
        </w:rPr>
      </w:pPr>
      <w:r w:rsidRPr="5F98231E">
        <w:rPr>
          <w:rFonts w:eastAsia="Times New Roman" w:cs="Times New Roman"/>
          <w:b/>
          <w:bCs/>
          <w:color w:val="000000" w:themeColor="text1"/>
          <w:szCs w:val="24"/>
        </w:rPr>
        <w:t>Finanšu sloga samazināšana</w:t>
      </w:r>
      <w:r w:rsidRPr="5F98231E">
        <w:rPr>
          <w:rFonts w:eastAsia="Times New Roman" w:cs="Times New Roman"/>
          <w:color w:val="000000" w:themeColor="text1"/>
          <w:szCs w:val="24"/>
        </w:rPr>
        <w:t xml:space="preserve">: Valsts var samazināt </w:t>
      </w:r>
      <w:r w:rsidR="0381E440" w:rsidRPr="5F98231E">
        <w:rPr>
          <w:rFonts w:eastAsia="Times New Roman" w:cs="Times New Roman"/>
          <w:color w:val="000000" w:themeColor="text1"/>
          <w:szCs w:val="24"/>
        </w:rPr>
        <w:t>slogu budžetam</w:t>
      </w:r>
      <w:r w:rsidRPr="5F98231E">
        <w:rPr>
          <w:rFonts w:eastAsia="Times New Roman" w:cs="Times New Roman"/>
          <w:color w:val="000000" w:themeColor="text1"/>
          <w:szCs w:val="24"/>
        </w:rPr>
        <w:t xml:space="preserve">, ko rada valsts </w:t>
      </w:r>
      <w:r w:rsidR="467506B2" w:rsidRPr="5F98231E">
        <w:rPr>
          <w:rFonts w:eastAsia="Times New Roman" w:cs="Times New Roman"/>
          <w:color w:val="000000" w:themeColor="text1"/>
          <w:szCs w:val="24"/>
        </w:rPr>
        <w:t>kapitālsabiedrības</w:t>
      </w:r>
      <w:r w:rsidRPr="5F98231E">
        <w:rPr>
          <w:rFonts w:eastAsia="Times New Roman" w:cs="Times New Roman"/>
          <w:color w:val="000000" w:themeColor="text1"/>
          <w:szCs w:val="24"/>
        </w:rPr>
        <w:t xml:space="preserve">, kas </w:t>
      </w:r>
      <w:r w:rsidR="486EEC8E" w:rsidRPr="5F98231E">
        <w:rPr>
          <w:rFonts w:eastAsia="Times New Roman" w:cs="Times New Roman"/>
          <w:color w:val="000000" w:themeColor="text1"/>
          <w:szCs w:val="24"/>
        </w:rPr>
        <w:t>ir neefektīvas, kuru uzturēšana jānodrošina no valsts budžeta līdzekļiem</w:t>
      </w:r>
      <w:r w:rsidRPr="5F98231E">
        <w:rPr>
          <w:rFonts w:eastAsia="Times New Roman" w:cs="Times New Roman"/>
          <w:color w:val="000000" w:themeColor="text1"/>
          <w:szCs w:val="24"/>
        </w:rPr>
        <w:t>.</w:t>
      </w:r>
    </w:p>
    <w:p w14:paraId="69C9BBFD" w14:textId="6812DFFB" w:rsidR="56F60570" w:rsidRDefault="56F60570" w:rsidP="0B1E8007">
      <w:pPr>
        <w:pStyle w:val="ListParagraph"/>
        <w:numPr>
          <w:ilvl w:val="0"/>
          <w:numId w:val="2"/>
        </w:numPr>
        <w:shd w:val="clear" w:color="auto" w:fill="FFFFFF" w:themeFill="background1"/>
        <w:spacing w:before="240" w:after="240"/>
        <w:jc w:val="both"/>
        <w:rPr>
          <w:rFonts w:eastAsia="Times New Roman" w:cs="Times New Roman"/>
          <w:color w:val="000000" w:themeColor="text1"/>
        </w:rPr>
      </w:pPr>
      <w:r w:rsidRPr="0B1E8007">
        <w:rPr>
          <w:rFonts w:eastAsia="Times New Roman" w:cs="Times New Roman"/>
          <w:b/>
          <w:bCs/>
          <w:color w:val="000000" w:themeColor="text1"/>
        </w:rPr>
        <w:t>Sociālā atbildība</w:t>
      </w:r>
      <w:r w:rsidRPr="0B1E8007">
        <w:rPr>
          <w:rFonts w:eastAsia="Times New Roman" w:cs="Times New Roman"/>
          <w:color w:val="000000" w:themeColor="text1"/>
        </w:rPr>
        <w:t xml:space="preserve">: </w:t>
      </w:r>
      <w:r w:rsidR="4FBBF657" w:rsidRPr="0B1E8007">
        <w:rPr>
          <w:rFonts w:eastAsia="Times New Roman" w:cs="Times New Roman"/>
          <w:color w:val="000000" w:themeColor="text1"/>
        </w:rPr>
        <w:t>mazākuma daļas kotācija gadījumā</w:t>
      </w:r>
      <w:r w:rsidRPr="0B1E8007">
        <w:rPr>
          <w:rFonts w:eastAsia="Times New Roman" w:cs="Times New Roman"/>
          <w:color w:val="000000" w:themeColor="text1"/>
        </w:rPr>
        <w:t xml:space="preserve"> valsts </w:t>
      </w:r>
      <w:r w:rsidR="1834A708" w:rsidRPr="0B1E8007">
        <w:rPr>
          <w:rFonts w:eastAsia="Times New Roman" w:cs="Times New Roman"/>
          <w:color w:val="000000" w:themeColor="text1"/>
        </w:rPr>
        <w:t>joprojām va</w:t>
      </w:r>
      <w:r w:rsidRPr="0B1E8007">
        <w:rPr>
          <w:rFonts w:eastAsia="Times New Roman" w:cs="Times New Roman"/>
          <w:color w:val="000000" w:themeColor="text1"/>
        </w:rPr>
        <w:t>r saglabāt noteiktu līmeni kontroles un nodrošināt, ka uzņēmumi darbojas saskaņā ar sabiedrības interesēm</w:t>
      </w:r>
      <w:r w:rsidR="00523A56">
        <w:rPr>
          <w:rFonts w:eastAsia="Times New Roman" w:cs="Times New Roman"/>
          <w:color w:val="000000" w:themeColor="text1"/>
        </w:rPr>
        <w:t xml:space="preserve">, </w:t>
      </w:r>
      <w:r w:rsidR="005E093A">
        <w:rPr>
          <w:rFonts w:eastAsia="Times New Roman" w:cs="Times New Roman"/>
          <w:color w:val="000000" w:themeColor="text1"/>
        </w:rPr>
        <w:t xml:space="preserve">nodalot un </w:t>
      </w:r>
      <w:r w:rsidR="00523A56">
        <w:rPr>
          <w:rFonts w:eastAsia="Times New Roman" w:cs="Times New Roman"/>
          <w:color w:val="000000" w:themeColor="text1"/>
        </w:rPr>
        <w:t xml:space="preserve">sabalansējot </w:t>
      </w:r>
      <w:r w:rsidR="00470576">
        <w:rPr>
          <w:rFonts w:eastAsia="Times New Roman" w:cs="Times New Roman"/>
          <w:color w:val="000000" w:themeColor="text1"/>
        </w:rPr>
        <w:t>finanšu un nefinanšu funkciju izpildi.</w:t>
      </w:r>
    </w:p>
    <w:p w14:paraId="54889DC7" w14:textId="29B86C3F" w:rsidR="00F5716E" w:rsidRDefault="00176B77" w:rsidP="0B1E8007">
      <w:pPr>
        <w:shd w:val="clear" w:color="auto" w:fill="FFFFFF" w:themeFill="background1"/>
        <w:spacing w:before="240" w:after="240"/>
        <w:ind w:firstLine="720"/>
        <w:jc w:val="both"/>
        <w:rPr>
          <w:rFonts w:eastAsia="Times New Roman" w:cs="Times New Roman"/>
          <w:color w:val="000000" w:themeColor="text1"/>
        </w:rPr>
      </w:pPr>
      <w:r w:rsidRPr="000D3625">
        <w:rPr>
          <w:rFonts w:eastAsia="Times New Roman" w:cs="Times New Roman"/>
          <w:color w:val="000000" w:themeColor="text1"/>
        </w:rPr>
        <w:t>Neapšaubāmi pastāv arī riski neprasmīgi atsavinot valsts kapitāla daļas</w:t>
      </w:r>
      <w:r w:rsidR="0046053E">
        <w:rPr>
          <w:rFonts w:eastAsia="Times New Roman" w:cs="Times New Roman"/>
          <w:color w:val="000000" w:themeColor="text1"/>
        </w:rPr>
        <w:t xml:space="preserve">. </w:t>
      </w:r>
      <w:r w:rsidR="69B8DBD5" w:rsidRPr="0B1E8007">
        <w:rPr>
          <w:rFonts w:eastAsia="Times New Roman" w:cs="Times New Roman"/>
          <w:color w:val="000000" w:themeColor="text1"/>
        </w:rPr>
        <w:t>Vienlaikus katra konkrēta uzņēmuma gadījumā pirms kapitāla daļu mazākuma daļas atsavināšana, jāvērtē potenci</w:t>
      </w:r>
      <w:r w:rsidR="7A65FBC6" w:rsidRPr="0B1E8007">
        <w:rPr>
          <w:rFonts w:eastAsia="Times New Roman" w:cs="Times New Roman"/>
          <w:color w:val="000000" w:themeColor="text1"/>
        </w:rPr>
        <w:t>ā</w:t>
      </w:r>
      <w:r w:rsidR="69B8DBD5" w:rsidRPr="0B1E8007">
        <w:rPr>
          <w:rFonts w:eastAsia="Times New Roman" w:cs="Times New Roman"/>
          <w:color w:val="000000" w:themeColor="text1"/>
        </w:rPr>
        <w:t>lie riski</w:t>
      </w:r>
      <w:r w:rsidR="56F60570" w:rsidRPr="0B1E8007">
        <w:rPr>
          <w:rFonts w:eastAsia="Times New Roman" w:cs="Times New Roman"/>
          <w:color w:val="000000" w:themeColor="text1"/>
        </w:rPr>
        <w:t xml:space="preserve"> un izaicinājumi, piemēram, sabiedrisko pakalpojumu pieejamība un kontrolēšana, kā arī sociālie aspekti. Tāpēc ir svarīgi rūpīgi </w:t>
      </w:r>
      <w:r w:rsidR="56F60570" w:rsidRPr="0B1E8007">
        <w:rPr>
          <w:rFonts w:eastAsia="Times New Roman" w:cs="Times New Roman"/>
          <w:color w:val="000000" w:themeColor="text1"/>
        </w:rPr>
        <w:lastRenderedPageBreak/>
        <w:t xml:space="preserve">izvērtēt </w:t>
      </w:r>
      <w:r w:rsidR="13B7BFA4" w:rsidRPr="0B1E8007">
        <w:rPr>
          <w:rFonts w:eastAsia="Times New Roman" w:cs="Times New Roman"/>
          <w:color w:val="000000" w:themeColor="text1"/>
        </w:rPr>
        <w:t>katra konkrētā uzņēmuma mazākuma daļas</w:t>
      </w:r>
      <w:r w:rsidR="56F60570" w:rsidRPr="0B1E8007">
        <w:rPr>
          <w:rFonts w:eastAsia="Times New Roman" w:cs="Times New Roman"/>
          <w:color w:val="000000" w:themeColor="text1"/>
        </w:rPr>
        <w:t xml:space="preserve"> procesu un nosacījumus</w:t>
      </w:r>
      <w:r w:rsidR="27A26E1C" w:rsidRPr="0B1E8007">
        <w:rPr>
          <w:rFonts w:eastAsia="Times New Roman" w:cs="Times New Roman"/>
          <w:color w:val="000000" w:themeColor="text1"/>
        </w:rPr>
        <w:t>.</w:t>
      </w:r>
      <w:r w:rsidR="00AE656A" w:rsidRPr="00AE656A">
        <w:t xml:space="preserve"> </w:t>
      </w:r>
      <w:r w:rsidR="00AE656A" w:rsidRPr="00AE656A">
        <w:rPr>
          <w:rFonts w:eastAsia="Times New Roman" w:cs="Times New Roman"/>
          <w:color w:val="000000" w:themeColor="text1"/>
        </w:rPr>
        <w:t>Kapitāla piesaistē valsts komerciālajām kapitālsabiedrībām iespējams izmantot dažādus instrumentus, tostarp sākotnējo publisko piedāvājumu (IPO), ja tas ir ekonomiski pamatots un atbilstošs kapitālsabiedrības attīstības vajadzībām.</w:t>
      </w:r>
    </w:p>
    <w:p w14:paraId="410001AE" w14:textId="231D6F33" w:rsidR="00F5716E" w:rsidRDefault="00D82AD0" w:rsidP="005264B0">
      <w:pPr>
        <w:ind w:firstLine="720"/>
        <w:jc w:val="both"/>
      </w:pPr>
      <w:r>
        <w:t>Šobrīd ir identificēt</w:t>
      </w:r>
      <w:r w:rsidR="00465674">
        <w:t>i arī vairāki šķēršļi un izaicinājumi, kā piemēram  -  lai</w:t>
      </w:r>
      <w:r w:rsidR="00F5716E">
        <w:t xml:space="preserve"> nodrošinātu </w:t>
      </w:r>
      <w:r w:rsidR="001026AF">
        <w:t>vienlīdzīgu attieksmi pret valsts un pašvaldību kapitālsabiedrībām</w:t>
      </w:r>
      <w:r w:rsidR="00F83734">
        <w:t xml:space="preserve">, kas ir būtiski </w:t>
      </w:r>
      <w:r w:rsidR="0077468D">
        <w:t>no potenciālo investoru skatījuma</w:t>
      </w:r>
      <w:r w:rsidR="00F5716E">
        <w:t>. Saglabājot nevienlīdzīgus nosacījumus attiecībā pret ārvalstu publisko personu kapitālsabiedrībām un privātajiem uzņēmumiem, tiek mazināta investoru interese par attiecīgo akciju iegādi, tādējādi valsts un pašvaldību kapitālsabiedrības nesaņems plānotos papildu līdzekļus.</w:t>
      </w:r>
    </w:p>
    <w:p w14:paraId="384D3B4A" w14:textId="3B3FC7DA" w:rsidR="00F5716E" w:rsidRDefault="00F5716E" w:rsidP="005264B0">
      <w:pPr>
        <w:ind w:firstLine="720"/>
        <w:jc w:val="both"/>
      </w:pPr>
      <w:r>
        <w:t xml:space="preserve">Priekšlikumi, lai nodrošinātu </w:t>
      </w:r>
      <w:r w:rsidR="004A5B4C">
        <w:t>vienlīdzīgu attieksmi</w:t>
      </w:r>
      <w:r>
        <w:t xml:space="preserve"> attiecībā pret citu valstu publisko personu kapitālsabiedrībām, nepieciešams grozīt Valsts pārvaldes iekārtas likumu, nosakot tām līdzvērtīgus ierobežojumus, kā Latvijas valstij vai pašvaldībām piederošām sabiedrībām, vai arī neattiecināt Valsts pārvaldes iekārtas likuma 88. pantu un publisko kapitālsabiedrību darbību un atalgojumu regulējošās normas uz </w:t>
      </w:r>
      <w:r w:rsidR="00A363E5">
        <w:t xml:space="preserve">biržā kotētām </w:t>
      </w:r>
      <w:r>
        <w:t>valsts un pašvaldību komerciālajām kapitālsabiedrībām.</w:t>
      </w:r>
    </w:p>
    <w:p w14:paraId="565EFC4D" w14:textId="6D89E230" w:rsidR="008E3BEB" w:rsidRPr="00AB5904" w:rsidRDefault="00D20B4A" w:rsidP="00AB5904">
      <w:pPr>
        <w:ind w:firstLine="720"/>
        <w:jc w:val="both"/>
      </w:pPr>
      <w:r w:rsidRPr="00D20B4A">
        <w:t xml:space="preserve">2025. gada 13.oktobrī Ministru kabinets Saeimā iesniedza likumprojektu “Grozījumi Valsts pārvaldes iekārtas likumā” (Nr: 1106/Lp14, </w:t>
      </w:r>
      <w:r w:rsidR="00856DD2">
        <w:t>grozījumus sagatavoja</w:t>
      </w:r>
      <w:r w:rsidRPr="00D20B4A">
        <w:t xml:space="preserve"> Valsts kanceleja), kas paredz grozījumus 88.panta pirmajā daļā, paplašinot valsts kapitālsabiedrību konkurences iespējas</w:t>
      </w:r>
      <w:r>
        <w:t>.</w:t>
      </w:r>
      <w:r w:rsidR="00AB5904">
        <w:t xml:space="preserve"> </w:t>
      </w:r>
      <w:r w:rsidR="00FA6361">
        <w:rPr>
          <w:rFonts w:eastAsia="Times New Roman" w:cs="Times New Roman"/>
          <w:color w:val="000000" w:themeColor="text1"/>
        </w:rPr>
        <w:t>Likumprojekts paredz, ka</w:t>
      </w:r>
      <w:r w:rsidR="00E37332">
        <w:rPr>
          <w:rFonts w:eastAsia="Times New Roman" w:cs="Times New Roman"/>
          <w:color w:val="000000" w:themeColor="text1"/>
        </w:rPr>
        <w:t xml:space="preserve"> </w:t>
      </w:r>
      <w:r w:rsidR="007859FC" w:rsidRPr="007859FC">
        <w:rPr>
          <w:rFonts w:eastAsia="Times New Roman" w:cs="Times New Roman"/>
          <w:color w:val="000000" w:themeColor="text1"/>
        </w:rPr>
        <w:t xml:space="preserve">blakus vai papildus darbības netiks vērtētas no Konkurences padomes puses vēl pirms to uzsākšanas, bet tiks vērtētas vienlīdzīgi ar privātām kapitālsabiedrībām. </w:t>
      </w:r>
    </w:p>
    <w:p w14:paraId="5DF9ED51" w14:textId="6C2B6872" w:rsidR="40CFEFE3" w:rsidRDefault="00BB5B02" w:rsidP="0B1E8007">
      <w:pPr>
        <w:shd w:val="clear" w:color="auto" w:fill="FFFFFF" w:themeFill="background1"/>
        <w:spacing w:before="240" w:after="240"/>
        <w:ind w:firstLine="720"/>
        <w:jc w:val="both"/>
        <w:rPr>
          <w:rFonts w:eastAsia="Times New Roman" w:cs="Times New Roman"/>
          <w:b/>
          <w:bCs/>
          <w:szCs w:val="24"/>
        </w:rPr>
      </w:pPr>
      <w:r>
        <w:rPr>
          <w:rFonts w:eastAsia="Times New Roman" w:cs="Times New Roman"/>
          <w:b/>
          <w:bCs/>
          <w:szCs w:val="24"/>
        </w:rPr>
        <w:t>4.2.</w:t>
      </w:r>
      <w:r w:rsidR="40CFEFE3" w:rsidRPr="0B1E8007">
        <w:rPr>
          <w:rFonts w:eastAsia="Times New Roman" w:cs="Times New Roman"/>
          <w:b/>
          <w:bCs/>
          <w:szCs w:val="24"/>
        </w:rPr>
        <w:t xml:space="preserve"> Akciju atsavināšanas ierobežojumi</w:t>
      </w:r>
    </w:p>
    <w:p w14:paraId="7A737F52" w14:textId="77777777" w:rsidR="00CE2622" w:rsidRDefault="40CFEFE3" w:rsidP="0B1E8007">
      <w:pPr>
        <w:ind w:firstLine="720"/>
        <w:jc w:val="both"/>
      </w:pPr>
      <w:r w:rsidRPr="0B1E8007">
        <w:rPr>
          <w:rFonts w:eastAsia="Times New Roman" w:cs="Times New Roman"/>
          <w:szCs w:val="24"/>
        </w:rPr>
        <w:t xml:space="preserve">Saskaņā ar </w:t>
      </w:r>
      <w:r w:rsidRPr="0B1E8007">
        <w:rPr>
          <w:rFonts w:eastAsia="Times New Roman" w:cs="Times New Roman"/>
          <w:b/>
          <w:bCs/>
          <w:szCs w:val="24"/>
        </w:rPr>
        <w:t>Enerģētikas likuma</w:t>
      </w:r>
      <w:r w:rsidRPr="0B1E8007">
        <w:rPr>
          <w:rFonts w:eastAsia="Times New Roman" w:cs="Times New Roman"/>
          <w:szCs w:val="24"/>
        </w:rPr>
        <w:t xml:space="preserve"> 20.</w:t>
      </w:r>
      <w:r w:rsidRPr="0B1E8007">
        <w:rPr>
          <w:rFonts w:eastAsia="Times New Roman" w:cs="Times New Roman"/>
          <w:szCs w:val="24"/>
          <w:vertAlign w:val="superscript"/>
        </w:rPr>
        <w:t xml:space="preserve">1 </w:t>
      </w:r>
      <w:r w:rsidRPr="0B1E8007">
        <w:rPr>
          <w:rFonts w:eastAsia="Times New Roman" w:cs="Times New Roman"/>
          <w:szCs w:val="24"/>
        </w:rPr>
        <w:t xml:space="preserve">panta pirmo, otro un trešo daļu </w:t>
      </w:r>
      <w:r w:rsidR="00847850">
        <w:rPr>
          <w:rFonts w:eastAsia="Times New Roman" w:cs="Times New Roman"/>
          <w:szCs w:val="24"/>
        </w:rPr>
        <w:t>AS “</w:t>
      </w:r>
      <w:r w:rsidRPr="0B1E8007">
        <w:rPr>
          <w:rFonts w:eastAsia="Times New Roman" w:cs="Times New Roman"/>
          <w:szCs w:val="24"/>
        </w:rPr>
        <w:t>Latvenergo</w:t>
      </w:r>
      <w:r w:rsidR="00847850">
        <w:rPr>
          <w:rFonts w:eastAsia="Times New Roman" w:cs="Times New Roman"/>
          <w:szCs w:val="24"/>
        </w:rPr>
        <w:t>”</w:t>
      </w:r>
      <w:r w:rsidRPr="0B1E8007">
        <w:rPr>
          <w:rFonts w:eastAsia="Times New Roman" w:cs="Times New Roman"/>
          <w:szCs w:val="24"/>
        </w:rPr>
        <w:t xml:space="preserve"> kā valstiski svarīgs tautsaimniecības objekts nav privatizējama un visas tās akcijas ir valsts īpašums, un tās nav privatizējamas vai atsavināmas. Pļaviņu, Ķeguma un Rīgas hidroelektrostacijas uz Daugavas, Rīgas 1. un 2. termoelektrocentrāli, elektroenerģijas pārvades tīklus un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īpašumā esošos elektroenerģijas sadales un telekomunikāciju tīklus un iekārtas nevar izmantot kā ķīlu kredītu vai citu saistību nodrošināšanai, un šie objekti kā neprivatizējama manta var pāriet un būt vienīgi tādu kapitālsabiedrību īpašumā vai valdījumā, kuru visas kapitāla daļas ir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vai valsts īpašums un kuras nevar privatizēt vai atsavināt.</w:t>
      </w:r>
      <w:r w:rsidRPr="0B1E8007">
        <w:rPr>
          <w:rFonts w:ascii="Arial" w:eastAsia="Arial" w:hAnsi="Arial" w:cs="Arial"/>
          <w:color w:val="414142"/>
          <w:szCs w:val="24"/>
        </w:rPr>
        <w:t xml:space="preserve"> </w:t>
      </w:r>
      <w:r w:rsidRPr="0B1E8007">
        <w:rPr>
          <w:rFonts w:eastAsia="Times New Roman" w:cs="Times New Roman"/>
          <w:szCs w:val="24"/>
        </w:rPr>
        <w:t xml:space="preserve">Ja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tiek reorganizēta, jaunizveidotais tiesību subjekts ir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tiesību un saistību pārņēmēja un uz to attiecināmi iepriekš minēti noteikumi. Attiecīgi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00847850" w:rsidRPr="0B1E8007">
        <w:rPr>
          <w:rFonts w:eastAsia="Times New Roman" w:cs="Times New Roman"/>
          <w:szCs w:val="24"/>
        </w:rPr>
        <w:t xml:space="preserve"> </w:t>
      </w:r>
      <w:r w:rsidRPr="0B1E8007">
        <w:rPr>
          <w:rFonts w:eastAsia="Times New Roman" w:cs="Times New Roman"/>
          <w:szCs w:val="24"/>
        </w:rPr>
        <w:t xml:space="preserve"> akciju kotācija biržā atbilstoši spēkā esošajam normatīvajam regulējumam, nav iespējama.</w:t>
      </w:r>
      <w:r w:rsidR="00470745" w:rsidRPr="00470745">
        <w:t xml:space="preserve"> </w:t>
      </w:r>
    </w:p>
    <w:p w14:paraId="46112E46" w14:textId="2ABEF2C0" w:rsidR="40CFEFE3" w:rsidRDefault="00470745" w:rsidP="0B1E8007">
      <w:pPr>
        <w:ind w:firstLine="720"/>
        <w:jc w:val="both"/>
        <w:rPr>
          <w:rFonts w:eastAsia="Times New Roman" w:cs="Times New Roman"/>
          <w:szCs w:val="24"/>
        </w:rPr>
      </w:pPr>
      <w:r w:rsidRPr="00470745">
        <w:rPr>
          <w:rFonts w:eastAsia="Times New Roman" w:cs="Times New Roman"/>
          <w:szCs w:val="24"/>
        </w:rPr>
        <w:t>Enerģētikas likuma 20.</w:t>
      </w:r>
      <w:r w:rsidRPr="00707C2F">
        <w:rPr>
          <w:rFonts w:eastAsia="Times New Roman" w:cs="Times New Roman"/>
          <w:szCs w:val="24"/>
          <w:vertAlign w:val="superscript"/>
        </w:rPr>
        <w:t>1</w:t>
      </w:r>
      <w:r w:rsidRPr="00470745">
        <w:rPr>
          <w:rFonts w:eastAsia="Times New Roman" w:cs="Times New Roman"/>
          <w:szCs w:val="24"/>
        </w:rPr>
        <w:t xml:space="preserve"> panta ceturtajā daļā </w:t>
      </w:r>
      <w:r>
        <w:rPr>
          <w:rFonts w:eastAsia="Times New Roman" w:cs="Times New Roman"/>
          <w:szCs w:val="24"/>
        </w:rPr>
        <w:t xml:space="preserve">ir ietverts </w:t>
      </w:r>
      <w:r w:rsidRPr="00470745">
        <w:rPr>
          <w:rFonts w:eastAsia="Times New Roman" w:cs="Times New Roman"/>
          <w:szCs w:val="24"/>
        </w:rPr>
        <w:t>ierobežojums par AS “Augstsprieguma tīkls” akciju un tai piederošo elektroenerģijas pārvades sistēmas infrastruktūras objektu atsavināšanu vai izmantošanu kā ķīlu kredītu vai citu saistību nodrošināšanai.</w:t>
      </w:r>
    </w:p>
    <w:p w14:paraId="1E99E201" w14:textId="77777777" w:rsidR="00CE2622" w:rsidRDefault="00CE2622" w:rsidP="00707C2F">
      <w:pPr>
        <w:ind w:firstLine="720"/>
        <w:jc w:val="both"/>
      </w:pPr>
      <w:r>
        <w:t xml:space="preserve">Papildus jāņem vērā Elektroenerģijas tirgus likuma 12. panta otrajā daļā minētie ierobežojumi attiecība uz AS ''Augstsprieguma tīkls'' akcionāriem. Proti, pārvades sistēmas operatora kapitāla daļu turētājs nevar tiešā vai netiešā veidā būt tādu komersantu kapitāla daļu turētājs, kuri veic elektroenerģijas ražošanas, tirdzniecības un sadales darbības, persona, kas ieceļ pārvades sistēmas operatora padomes vai valdes locekļus, nevar tiešā vai netiešā veidā iecelt tāda komersanta padomes vai valdes locekļus, kurš veic elektroenerģijas ražošanas, tirdzniecības un sadales darbības, viena </w:t>
      </w:r>
      <w:r>
        <w:lastRenderedPageBreak/>
        <w:t>un tā pati persona nevar vienlaikus ieņemt pārvades sistēmas operatora padomes vai valdes locekļa amatu un padomes vai valdes locekļa amatu kapitālsabiedrībā, kas veic elektroenerģijas ražošanas, tirdzniecības vai sadales darbības.</w:t>
      </w:r>
    </w:p>
    <w:p w14:paraId="18EB0312" w14:textId="77777777" w:rsidR="00CE2622" w:rsidRDefault="00CE2622" w:rsidP="00707C2F">
      <w:pPr>
        <w:ind w:firstLine="720"/>
        <w:jc w:val="both"/>
      </w:pPr>
      <w:r>
        <w:t>Akciju iegūšanas ierobežojumi ietverti arī Nacionālās drošības likuma 38. pantā, kas noteic pienākumu Ministru kabineta atļaujas saņemšanai būtiskas līdzdalības iegūšanai un izšķirošas ietekmes iegūšanai.</w:t>
      </w:r>
    </w:p>
    <w:p w14:paraId="30D92251" w14:textId="77777777" w:rsidR="00CE2622" w:rsidRDefault="00CE2622" w:rsidP="0B1E8007">
      <w:pPr>
        <w:ind w:firstLine="720"/>
        <w:jc w:val="both"/>
      </w:pPr>
    </w:p>
    <w:p w14:paraId="3C45C3C8" w14:textId="03C5F9CC" w:rsidR="40CFEFE3" w:rsidRDefault="40CFEFE3" w:rsidP="0B1E8007">
      <w:pPr>
        <w:ind w:firstLine="720"/>
        <w:jc w:val="both"/>
      </w:pPr>
      <w:r w:rsidRPr="0B1E8007">
        <w:rPr>
          <w:rFonts w:eastAsia="Times New Roman" w:cs="Times New Roman"/>
          <w:szCs w:val="24"/>
        </w:rPr>
        <w:t xml:space="preserve">Atbilstoši </w:t>
      </w:r>
      <w:r w:rsidRPr="0B1E8007">
        <w:rPr>
          <w:rFonts w:eastAsia="Times New Roman" w:cs="Times New Roman"/>
          <w:b/>
          <w:bCs/>
          <w:szCs w:val="24"/>
        </w:rPr>
        <w:t>Valsts un pašvaldību īpašuma privatizācijas un privatizācijas sertifikātu izmantošanas pabeigšanas likuma</w:t>
      </w:r>
      <w:r w:rsidRPr="0B1E8007">
        <w:rPr>
          <w:rFonts w:eastAsia="Times New Roman" w:cs="Times New Roman"/>
          <w:szCs w:val="24"/>
        </w:rPr>
        <w:t xml:space="preserve"> 17. panta pirmajai daļai </w:t>
      </w:r>
      <w:r w:rsidR="00847850">
        <w:rPr>
          <w:rFonts w:eastAsia="Times New Roman" w:cs="Times New Roman"/>
          <w:szCs w:val="24"/>
        </w:rPr>
        <w:t>AS “</w:t>
      </w:r>
      <w:r w:rsidR="00847850" w:rsidRPr="0B1E8007">
        <w:rPr>
          <w:rFonts w:eastAsia="Times New Roman" w:cs="Times New Roman"/>
          <w:szCs w:val="24"/>
        </w:rPr>
        <w:t>Latvenergo</w:t>
      </w:r>
      <w:r w:rsidR="00847850">
        <w:rPr>
          <w:rFonts w:eastAsia="Times New Roman" w:cs="Times New Roman"/>
          <w:szCs w:val="24"/>
        </w:rPr>
        <w:t>”</w:t>
      </w:r>
      <w:r w:rsidRPr="0B1E8007">
        <w:rPr>
          <w:rFonts w:eastAsia="Times New Roman" w:cs="Times New Roman"/>
          <w:szCs w:val="24"/>
        </w:rPr>
        <w:t xml:space="preserve">, VAS “Latvijas Pasts”, VAS “Starptautiskā lidosta “Rīga””, VAS “Latvijas dzelzceļš”, VAS “Latvijas gaisa satiksme” un </w:t>
      </w:r>
      <w:r w:rsidR="00182697">
        <w:rPr>
          <w:rFonts w:eastAsia="Times New Roman" w:cs="Times New Roman"/>
          <w:szCs w:val="24"/>
        </w:rPr>
        <w:t>AS “</w:t>
      </w:r>
      <w:r w:rsidRPr="0B1E8007">
        <w:rPr>
          <w:rFonts w:eastAsia="Times New Roman" w:cs="Times New Roman"/>
          <w:szCs w:val="24"/>
        </w:rPr>
        <w:t>Latvijas valsts meži</w:t>
      </w:r>
      <w:r w:rsidR="00182697">
        <w:rPr>
          <w:rFonts w:eastAsia="Times New Roman" w:cs="Times New Roman"/>
          <w:szCs w:val="24"/>
        </w:rPr>
        <w:t>”</w:t>
      </w:r>
      <w:r w:rsidRPr="0B1E8007">
        <w:rPr>
          <w:rFonts w:eastAsia="Times New Roman" w:cs="Times New Roman"/>
          <w:szCs w:val="24"/>
        </w:rPr>
        <w:t xml:space="preserve"> un šo sabiedrību akcijas nedrīkst privatizēt vai atsavināt</w:t>
      </w:r>
      <w:r w:rsidR="00C6364B">
        <w:rPr>
          <w:rFonts w:eastAsia="Times New Roman" w:cs="Times New Roman"/>
          <w:szCs w:val="24"/>
        </w:rPr>
        <w:t xml:space="preserve"> jeb </w:t>
      </w:r>
      <w:r w:rsidR="00040E7E">
        <w:rPr>
          <w:rFonts w:eastAsia="Times New Roman" w:cs="Times New Roman"/>
          <w:szCs w:val="24"/>
        </w:rPr>
        <w:t xml:space="preserve">skaidrojot </w:t>
      </w:r>
      <w:r w:rsidR="00C6364B">
        <w:rPr>
          <w:rFonts w:eastAsia="Times New Roman" w:cs="Times New Roman"/>
          <w:szCs w:val="24"/>
        </w:rPr>
        <w:t xml:space="preserve">citiem vārdiem </w:t>
      </w:r>
      <w:r w:rsidR="00040E7E">
        <w:rPr>
          <w:rFonts w:eastAsia="Times New Roman" w:cs="Times New Roman"/>
          <w:szCs w:val="24"/>
        </w:rPr>
        <w:t>-</w:t>
      </w:r>
      <w:r w:rsidR="00C6364B">
        <w:rPr>
          <w:rFonts w:eastAsia="Times New Roman" w:cs="Times New Roman"/>
          <w:szCs w:val="24"/>
        </w:rPr>
        <w:t xml:space="preserve">atsavināšanas </w:t>
      </w:r>
      <w:r w:rsidR="00040E7E">
        <w:rPr>
          <w:rFonts w:eastAsia="Times New Roman" w:cs="Times New Roman"/>
          <w:szCs w:val="24"/>
        </w:rPr>
        <w:t>aizliegums</w:t>
      </w:r>
      <w:r w:rsidRPr="0B1E8007">
        <w:rPr>
          <w:rFonts w:eastAsia="Times New Roman" w:cs="Times New Roman"/>
          <w:szCs w:val="24"/>
        </w:rPr>
        <w:t>.</w:t>
      </w:r>
    </w:p>
    <w:p w14:paraId="16159664" w14:textId="74B75B74" w:rsidR="40CFEFE3" w:rsidRDefault="40CFEFE3" w:rsidP="0B1E8007">
      <w:pPr>
        <w:ind w:firstLine="720"/>
        <w:jc w:val="both"/>
      </w:pPr>
      <w:r w:rsidRPr="0B1E8007">
        <w:rPr>
          <w:rFonts w:eastAsia="Times New Roman" w:cs="Times New Roman"/>
          <w:szCs w:val="24"/>
        </w:rPr>
        <w:t xml:space="preserve">Saskaņā ar </w:t>
      </w:r>
      <w:r w:rsidRPr="0B1E8007">
        <w:rPr>
          <w:rFonts w:eastAsia="Times New Roman" w:cs="Times New Roman"/>
          <w:b/>
          <w:bCs/>
          <w:szCs w:val="24"/>
        </w:rPr>
        <w:t>Azartspēļu un izložu likuma</w:t>
      </w:r>
      <w:r w:rsidRPr="0B1E8007">
        <w:rPr>
          <w:rFonts w:eastAsia="Times New Roman" w:cs="Times New Roman"/>
          <w:szCs w:val="24"/>
        </w:rPr>
        <w:t xml:space="preserve"> 60. panta pirmo daļu Latvijas Republikā valsts mēroga izložu organizēšanas monopols pieder valstij un atbilstoši minētā likuma 63.panta pirmajai daļai valsts mēroga izlozes organizē valsts kapitālsabiedrība, kurā visas kapitāla daļas pieder valstij un kuras akcijas </w:t>
      </w:r>
      <w:r w:rsidRPr="0B1E8007">
        <w:rPr>
          <w:rFonts w:eastAsia="Times New Roman" w:cs="Times New Roman"/>
          <w:szCs w:val="24"/>
          <w:u w:val="single"/>
        </w:rPr>
        <w:t>nav atsavināmas un privatizējamas</w:t>
      </w:r>
      <w:r w:rsidRPr="0B1E8007">
        <w:rPr>
          <w:rFonts w:eastAsia="Times New Roman" w:cs="Times New Roman"/>
          <w:szCs w:val="24"/>
        </w:rPr>
        <w:t xml:space="preserve">,  – </w:t>
      </w:r>
      <w:r w:rsidR="00847850">
        <w:rPr>
          <w:rFonts w:eastAsia="Times New Roman" w:cs="Times New Roman"/>
          <w:szCs w:val="24"/>
        </w:rPr>
        <w:t>VAS</w:t>
      </w:r>
      <w:r w:rsidRPr="0B1E8007">
        <w:rPr>
          <w:rFonts w:eastAsia="Times New Roman" w:cs="Times New Roman"/>
          <w:szCs w:val="24"/>
        </w:rPr>
        <w:t xml:space="preserve"> “Latvijas Loto”.</w:t>
      </w:r>
    </w:p>
    <w:p w14:paraId="4FF79F88" w14:textId="3FC61187" w:rsidR="40CFEFE3" w:rsidRDefault="40CFEFE3" w:rsidP="0B1E8007">
      <w:pPr>
        <w:ind w:firstLine="720"/>
        <w:jc w:val="both"/>
      </w:pPr>
      <w:r w:rsidRPr="0B1E8007">
        <w:rPr>
          <w:rFonts w:eastAsia="Times New Roman" w:cs="Times New Roman"/>
          <w:szCs w:val="24"/>
        </w:rPr>
        <w:t xml:space="preserve">Saskaņā ar </w:t>
      </w:r>
      <w:r w:rsidRPr="0B1E8007">
        <w:rPr>
          <w:rFonts w:eastAsia="Times New Roman" w:cs="Times New Roman"/>
          <w:b/>
          <w:bCs/>
          <w:szCs w:val="24"/>
        </w:rPr>
        <w:t>Elektronisko plašsaziņas līdzekļu likuma</w:t>
      </w:r>
      <w:r w:rsidRPr="0B1E8007">
        <w:rPr>
          <w:rFonts w:eastAsia="Times New Roman" w:cs="Times New Roman"/>
          <w:szCs w:val="24"/>
        </w:rPr>
        <w:t xml:space="preserve"> 13.panta 1.</w:t>
      </w:r>
      <w:r w:rsidRPr="0B1E8007">
        <w:rPr>
          <w:rFonts w:eastAsia="Times New Roman" w:cs="Times New Roman"/>
          <w:szCs w:val="24"/>
          <w:vertAlign w:val="superscript"/>
        </w:rPr>
        <w:t>1</w:t>
      </w:r>
      <w:r w:rsidRPr="0B1E8007">
        <w:rPr>
          <w:rFonts w:eastAsia="Times New Roman" w:cs="Times New Roman"/>
          <w:szCs w:val="24"/>
        </w:rPr>
        <w:t>daļu VAS "Latvijas Valsts radio un televīzijas centrs" akcijas nedrīkst atsavināt.</w:t>
      </w:r>
      <w:r w:rsidR="00E76A53" w:rsidRPr="00E76A53">
        <w:t xml:space="preserve"> </w:t>
      </w:r>
      <w:r w:rsidR="00E76A53">
        <w:t>VAS "Latvijas Valsts radio un televīzijas centrs" ir valsts kritiskās elektronisko sakaru infrastruktūras turētājs un nodrošinātājs, atzīts par kvalificētu paaugstinātas drošības elektroniskās identifikācijas pakalpojuma sniedzēju un pilda citus kritiski svarīgus valsts deleģētos uzdevumus.</w:t>
      </w:r>
    </w:p>
    <w:p w14:paraId="4A66581E" w14:textId="0EA9C566" w:rsidR="40CFEFE3" w:rsidRDefault="40CFEFE3" w:rsidP="0B1E8007">
      <w:pPr>
        <w:tabs>
          <w:tab w:val="left" w:pos="0"/>
        </w:tabs>
        <w:spacing w:after="120" w:line="257" w:lineRule="auto"/>
        <w:ind w:firstLine="720"/>
        <w:jc w:val="both"/>
        <w:rPr>
          <w:rFonts w:eastAsia="Times New Roman" w:cs="Times New Roman"/>
        </w:rPr>
      </w:pPr>
      <w:r w:rsidRPr="23292859">
        <w:rPr>
          <w:rFonts w:eastAsia="Times New Roman" w:cs="Times New Roman"/>
        </w:rPr>
        <w:t xml:space="preserve">ALTUM darbības joma un ierobežojumi noteikti </w:t>
      </w:r>
      <w:r w:rsidRPr="23292859">
        <w:rPr>
          <w:rFonts w:eastAsia="Times New Roman" w:cs="Times New Roman"/>
          <w:b/>
        </w:rPr>
        <w:t>Attīstības finanšu institūcijas likumā</w:t>
      </w:r>
      <w:r w:rsidRPr="23292859">
        <w:rPr>
          <w:rFonts w:eastAsia="Times New Roman" w:cs="Times New Roman"/>
        </w:rPr>
        <w:t>. Saskaņā ar minētā likuma 15.pantu finanšu stabilitātes un ilgtspējīgas darbības nodrošināšanai, kā arī apstiprināto programmu risku ietekmes mazināšanai, finanšu institūcija veido rezerves kapitālu, kurā atbilstoši minētajam pantam ieskaitāma arī finanšu institūcijas peļņa. Attīstības finanšu institūcijas likuma 16.pants noteic, ka finanšu institūcija neveic maksājumus par valsts kapitāla izmantošanu un tās peļņa izmantojama finanšu institūcijas ilgtspējīgas darbības nodrošināšanai, ieskaitot to rezerves kapitālā. Atbilstoši minētā likuma 4.panta ceturtajai daļai, ALTUM akcijas aizliegts ieķīlāt vai citādi apgrūtināt.</w:t>
      </w:r>
    </w:p>
    <w:p w14:paraId="11C4153C" w14:textId="59451F4D" w:rsidR="00A937DF" w:rsidRDefault="004D05C1" w:rsidP="0B1E8007">
      <w:pPr>
        <w:tabs>
          <w:tab w:val="left" w:pos="0"/>
        </w:tabs>
        <w:spacing w:after="120" w:line="257" w:lineRule="auto"/>
        <w:ind w:firstLine="720"/>
        <w:jc w:val="both"/>
        <w:rPr>
          <w:rFonts w:eastAsia="Times New Roman" w:cs="Times New Roman"/>
          <w:bCs/>
          <w:szCs w:val="24"/>
        </w:rPr>
      </w:pPr>
      <w:r w:rsidRPr="004178C5">
        <w:rPr>
          <w:rFonts w:eastAsia="Times New Roman" w:cs="Times New Roman"/>
          <w:bCs/>
          <w:szCs w:val="24"/>
        </w:rPr>
        <w:t xml:space="preserve"> </w:t>
      </w:r>
      <w:r w:rsidR="00801EB9" w:rsidRPr="004178C5">
        <w:rPr>
          <w:rFonts w:eastAsia="Times New Roman" w:cs="Times New Roman"/>
          <w:bCs/>
          <w:szCs w:val="24"/>
        </w:rPr>
        <w:t>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w:t>
      </w:r>
      <w:r w:rsidR="00FF55DE">
        <w:rPr>
          <w:rFonts w:eastAsia="Times New Roman" w:cs="Times New Roman"/>
          <w:bCs/>
          <w:szCs w:val="24"/>
        </w:rPr>
        <w:t>t</w:t>
      </w:r>
      <w:r w:rsidR="00801EB9" w:rsidRPr="004178C5">
        <w:rPr>
          <w:rFonts w:eastAsia="Times New Roman" w:cs="Times New Roman"/>
          <w:bCs/>
          <w:szCs w:val="24"/>
        </w:rPr>
        <w:t>varos</w:t>
      </w:r>
      <w:r w:rsidR="00464A98" w:rsidRPr="00707C2F">
        <w:rPr>
          <w:rFonts w:eastAsia="Times New Roman" w:cs="Times New Roman"/>
          <w:bCs/>
          <w:szCs w:val="24"/>
        </w:rPr>
        <w:t>.</w:t>
      </w:r>
      <w:r w:rsidR="00AA158A" w:rsidRPr="004178C5">
        <w:rPr>
          <w:bCs/>
        </w:rPr>
        <w:t xml:space="preserve"> </w:t>
      </w:r>
      <w:r w:rsidR="00AA158A" w:rsidRPr="00707C2F">
        <w:rPr>
          <w:rFonts w:eastAsia="Times New Roman" w:cs="Times New Roman"/>
          <w:bCs/>
          <w:szCs w:val="24"/>
        </w:rPr>
        <w:t>Līdz turpmākam politiskam lēmumam netiek virzīta arī AS “Latvijas valsts meži” 10% kapitāldaļu atsavināšana publiskajā piedāvājumā.”</w:t>
      </w:r>
    </w:p>
    <w:p w14:paraId="4DBCF68B" w14:textId="7A4C3AA6" w:rsidR="005E285D" w:rsidRPr="005E285D" w:rsidRDefault="005F64A4" w:rsidP="005E285D">
      <w:pPr>
        <w:tabs>
          <w:tab w:val="left" w:pos="0"/>
        </w:tabs>
        <w:spacing w:after="120" w:line="257" w:lineRule="auto"/>
        <w:ind w:firstLine="720"/>
        <w:jc w:val="both"/>
        <w:rPr>
          <w:rFonts w:eastAsia="Times New Roman" w:cs="Times New Roman"/>
          <w:szCs w:val="24"/>
        </w:rPr>
      </w:pPr>
      <w:r>
        <w:rPr>
          <w:rFonts w:eastAsia="Times New Roman" w:cs="Times New Roman"/>
          <w:szCs w:val="24"/>
        </w:rPr>
        <w:t xml:space="preserve">2026.gada 22.janvārī Ministru kabineta iesniegtais likumprojekts </w:t>
      </w:r>
      <w:r w:rsidR="005E285D" w:rsidRPr="005E285D">
        <w:rPr>
          <w:rFonts w:eastAsia="Times New Roman" w:cs="Times New Roman"/>
          <w:szCs w:val="24"/>
        </w:rPr>
        <w:t>“Grozījumi Publiskas personas kapitāla daļu un kapitālsabiedrību pārvaldības likumā”</w:t>
      </w:r>
      <w:r w:rsidR="00D057EE">
        <w:rPr>
          <w:rFonts w:eastAsia="Times New Roman" w:cs="Times New Roman"/>
          <w:szCs w:val="24"/>
        </w:rPr>
        <w:t xml:space="preserve"> </w:t>
      </w:r>
      <w:r w:rsidR="007323F5">
        <w:rPr>
          <w:rFonts w:eastAsia="Times New Roman" w:cs="Times New Roman"/>
          <w:szCs w:val="24"/>
        </w:rPr>
        <w:t>Saeimā tika pieņemts 1.lasījumā</w:t>
      </w:r>
      <w:r w:rsidR="005E285D" w:rsidRPr="005E285D">
        <w:rPr>
          <w:rFonts w:eastAsia="Times New Roman" w:cs="Times New Roman"/>
          <w:szCs w:val="24"/>
        </w:rPr>
        <w:t>(Nr. 1105/Lp14</w:t>
      </w:r>
      <w:r w:rsidR="00AE43B9">
        <w:rPr>
          <w:rFonts w:eastAsia="Times New Roman" w:cs="Times New Roman"/>
          <w:szCs w:val="24"/>
        </w:rPr>
        <w:t>;</w:t>
      </w:r>
      <w:r w:rsidR="005E285D" w:rsidRPr="005E285D">
        <w:rPr>
          <w:rFonts w:eastAsia="Times New Roman" w:cs="Times New Roman"/>
          <w:szCs w:val="24"/>
        </w:rPr>
        <w:t xml:space="preserve"> </w:t>
      </w:r>
      <w:r w:rsidR="005E285D">
        <w:rPr>
          <w:rFonts w:eastAsia="Times New Roman" w:cs="Times New Roman"/>
          <w:szCs w:val="24"/>
        </w:rPr>
        <w:t>grozījumus izstrādāja</w:t>
      </w:r>
      <w:r w:rsidR="005E285D" w:rsidRPr="005E285D">
        <w:rPr>
          <w:rFonts w:eastAsia="Times New Roman" w:cs="Times New Roman"/>
          <w:szCs w:val="24"/>
        </w:rPr>
        <w:t xml:space="preserve"> Valsts kanceleja)</w:t>
      </w:r>
      <w:r w:rsidR="00950FAB">
        <w:rPr>
          <w:rFonts w:eastAsia="Times New Roman" w:cs="Times New Roman"/>
          <w:szCs w:val="24"/>
        </w:rPr>
        <w:t>.</w:t>
      </w:r>
    </w:p>
    <w:p w14:paraId="654B0C1C" w14:textId="24F19742" w:rsidR="005E285D" w:rsidRDefault="005E285D" w:rsidP="005E285D">
      <w:pPr>
        <w:tabs>
          <w:tab w:val="left" w:pos="0"/>
        </w:tabs>
        <w:spacing w:after="120" w:line="257" w:lineRule="auto"/>
        <w:ind w:firstLine="720"/>
        <w:jc w:val="both"/>
        <w:rPr>
          <w:rFonts w:eastAsia="Times New Roman" w:cs="Times New Roman"/>
          <w:szCs w:val="24"/>
        </w:rPr>
      </w:pPr>
      <w:r w:rsidRPr="005E285D">
        <w:rPr>
          <w:rFonts w:eastAsia="Times New Roman" w:cs="Times New Roman"/>
          <w:szCs w:val="24"/>
        </w:rPr>
        <w:t xml:space="preserve"> Ņemot vērā, ka atsevišķu kapitālsabiedrību kapitāla daļas ar Valsts un pašvaldību īpašuma privatizācijas un privatizācijas sertifikātu izmantošanas pabeigšanas likuma 17.pantu</w:t>
      </w:r>
      <w:r w:rsidR="008E3DB1">
        <w:rPr>
          <w:rFonts w:eastAsia="Times New Roman" w:cs="Times New Roman"/>
          <w:szCs w:val="24"/>
        </w:rPr>
        <w:t xml:space="preserve"> vai speciālo regulējumu</w:t>
      </w:r>
      <w:r w:rsidRPr="005E285D">
        <w:rPr>
          <w:rFonts w:eastAsia="Times New Roman" w:cs="Times New Roman"/>
          <w:szCs w:val="24"/>
        </w:rPr>
        <w:t xml:space="preserve">, ir noteiktas kā neatsavināmas, </w:t>
      </w:r>
      <w:r w:rsidRPr="005E285D">
        <w:rPr>
          <w:rFonts w:eastAsia="Times New Roman" w:cs="Times New Roman"/>
          <w:szCs w:val="24"/>
        </w:rPr>
        <w:lastRenderedPageBreak/>
        <w:t>attiecībā uz šīm kapitālsabiedrībām resursu ekonomijas nolūkos izveidots īpašs risinājums, paredzot, ka izvērtējumā un augstākās lēmējinstitūcijas nolēmumā neietver sadaļu par publiskas personas līdzdalības kapitālsabiedrībā saglabāšanas lietderību un stratēģiskā mērķa sasniegšanai nepieciešamo līdzdalības īpatsvaru pamatkapitālā. Vienlaikus, stiprinot akcionāra lomu kapitālsabiedrību pārvaldībā, izstrādāta iespēja augstākajai lēmējinstitūcijai rosināt līdzdalības kapitālsabiedrībā ārkārtas pārvērtēšanu (ārpus Likumā noteiktā 5 gadu perioda), ārkārtas līdzdalības izvērtēšanas procesā paredzot arī iespēju vērtēt par publiskas personas līdzdalības kapitālsabiedrībā saglabāšanas lietderību un stratēģiskā mērķa sasniegšanai nepieciešamo līdzdalības īpatsvaru pamatkapitālā attiecībā uz kapitālsabiedrībām, kuru kapitāla daļas (akcijas) nav atsavināmas un augstākās lēmējinstitūcijas rīcību gadījumā, ja izvērtējuma rezultātā konstatēts, ka 100% līdzdalības kapitālsabiedrībā nav nepieciešama. Šis instruments var tikt izmantots, piemēram, ja tiek plānots tāds politisks vai stratēģisks risinājums, kura ietvaros paredzēta valsts līdzdalības samazināšana vai izbeigšana vai citu akcionāru (kapitāla daļu turētāju) piesaiste, vai arī, ja būtiski mainījusies kapitālsabiedrības stratēģiska nozīmība. Tikai pēc šāda līdzdalības izvērtējuma veikšanas ir iespējams rosināt Valsts un pašvaldību īpašuma privatizācijas un privatizācijas sertifikātu izmantošanas pabeigšanas likuma 17.panta (Rīcība ar tautsaimniecībai svarīgiem objektiem) grozījumus, precizējot neprivatizējamo jeb neatsavināmo valsts kapitālsabiedrību sarakstu</w:t>
      </w:r>
      <w:r w:rsidR="00CD27A2">
        <w:rPr>
          <w:rFonts w:eastAsia="Times New Roman" w:cs="Times New Roman"/>
          <w:szCs w:val="24"/>
        </w:rPr>
        <w:t>.</w:t>
      </w:r>
    </w:p>
    <w:p w14:paraId="619CEA2C" w14:textId="77777777" w:rsidR="00500A71" w:rsidRDefault="00500A71" w:rsidP="005E285D">
      <w:pPr>
        <w:tabs>
          <w:tab w:val="left" w:pos="0"/>
        </w:tabs>
        <w:spacing w:after="120" w:line="257" w:lineRule="auto"/>
        <w:ind w:firstLine="720"/>
        <w:jc w:val="both"/>
        <w:rPr>
          <w:rFonts w:eastAsia="Times New Roman" w:cs="Times New Roman"/>
          <w:szCs w:val="24"/>
        </w:rPr>
      </w:pPr>
    </w:p>
    <w:p w14:paraId="66C199C8" w14:textId="1EF441CD" w:rsidR="00500A71" w:rsidRPr="002E2945" w:rsidRDefault="00500A71" w:rsidP="005E285D">
      <w:pPr>
        <w:tabs>
          <w:tab w:val="left" w:pos="0"/>
        </w:tabs>
        <w:spacing w:after="120" w:line="257" w:lineRule="auto"/>
        <w:ind w:firstLine="720"/>
        <w:jc w:val="both"/>
        <w:rPr>
          <w:rFonts w:eastAsia="Times New Roman" w:cs="Times New Roman"/>
          <w:b/>
          <w:bCs/>
          <w:szCs w:val="24"/>
        </w:rPr>
      </w:pPr>
      <w:r w:rsidRPr="002E2945">
        <w:rPr>
          <w:rFonts w:eastAsia="Times New Roman" w:cs="Times New Roman"/>
          <w:b/>
          <w:bCs/>
          <w:szCs w:val="24"/>
        </w:rPr>
        <w:t xml:space="preserve">4.3. Diskusijas ar nozari un </w:t>
      </w:r>
      <w:r w:rsidR="00E90462" w:rsidRPr="002E2945">
        <w:rPr>
          <w:rFonts w:eastAsia="Times New Roman" w:cs="Times New Roman"/>
          <w:b/>
          <w:bCs/>
          <w:szCs w:val="24"/>
        </w:rPr>
        <w:t>sociālajiem partneriem</w:t>
      </w:r>
    </w:p>
    <w:p w14:paraId="554D4674" w14:textId="714FBC3C" w:rsidR="00467BCA" w:rsidRDefault="00E90462" w:rsidP="005E285D">
      <w:pPr>
        <w:tabs>
          <w:tab w:val="left" w:pos="0"/>
        </w:tabs>
        <w:spacing w:after="120" w:line="257" w:lineRule="auto"/>
        <w:ind w:firstLine="720"/>
        <w:jc w:val="both"/>
        <w:rPr>
          <w:rFonts w:eastAsia="Times New Roman" w:cs="Times New Roman"/>
          <w:szCs w:val="24"/>
        </w:rPr>
      </w:pPr>
      <w:r>
        <w:rPr>
          <w:rFonts w:eastAsia="Times New Roman" w:cs="Times New Roman"/>
          <w:szCs w:val="24"/>
        </w:rPr>
        <w:t>2026.</w:t>
      </w:r>
      <w:r w:rsidR="00F418F9">
        <w:rPr>
          <w:rFonts w:eastAsia="Times New Roman" w:cs="Times New Roman"/>
          <w:szCs w:val="24"/>
        </w:rPr>
        <w:t xml:space="preserve"> </w:t>
      </w:r>
      <w:r>
        <w:rPr>
          <w:rFonts w:eastAsia="Times New Roman" w:cs="Times New Roman"/>
          <w:szCs w:val="24"/>
        </w:rPr>
        <w:t>gada 29.janvārī notika finanšu ministra diskusija ar kapitāla tirgus nozares dalībniekiem.</w:t>
      </w:r>
      <w:r w:rsidR="00A94392">
        <w:rPr>
          <w:rFonts w:eastAsia="Times New Roman" w:cs="Times New Roman"/>
          <w:szCs w:val="24"/>
        </w:rPr>
        <w:t xml:space="preserve"> </w:t>
      </w:r>
      <w:r w:rsidR="00B90989" w:rsidRPr="009D27A9">
        <w:rPr>
          <w:rFonts w:eastAsia="Times New Roman" w:cs="Times New Roman"/>
          <w:szCs w:val="24"/>
        </w:rPr>
        <w:t xml:space="preserve">Sanāksmē uzsvērts, ka kapitāla tirgus attīstībai būtiski trūkst pietiekama mēroga uzņēmumu un aktīvu </w:t>
      </w:r>
      <w:r w:rsidR="00CA6462" w:rsidRPr="009D27A9">
        <w:rPr>
          <w:rFonts w:eastAsia="Times New Roman" w:cs="Times New Roman"/>
          <w:szCs w:val="24"/>
        </w:rPr>
        <w:t>izaugsmes</w:t>
      </w:r>
      <w:r w:rsidR="00CA6462" w:rsidRPr="005F06C9">
        <w:rPr>
          <w:rFonts w:eastAsia="Times New Roman" w:cs="Times New Roman"/>
          <w:szCs w:val="24"/>
        </w:rPr>
        <w:t xml:space="preserve"> </w:t>
      </w:r>
      <w:r w:rsidR="00B90989" w:rsidRPr="009D27A9">
        <w:rPr>
          <w:rFonts w:eastAsia="Times New Roman" w:cs="Times New Roman"/>
          <w:szCs w:val="24"/>
        </w:rPr>
        <w:t xml:space="preserve">stadijas uzņēmumu skaita, jo ekosistēmā pirms </w:t>
      </w:r>
      <w:r w:rsidR="00CA6462" w:rsidRPr="009D27A9">
        <w:rPr>
          <w:rFonts w:eastAsia="Times New Roman" w:cs="Times New Roman"/>
          <w:szCs w:val="24"/>
        </w:rPr>
        <w:t>sākotnējā publiskā piedāvājuma</w:t>
      </w:r>
      <w:r w:rsidR="00B90989" w:rsidRPr="009D27A9">
        <w:rPr>
          <w:rFonts w:eastAsia="Times New Roman" w:cs="Times New Roman"/>
          <w:szCs w:val="24"/>
        </w:rPr>
        <w:t xml:space="preserve"> pastāv </w:t>
      </w:r>
      <w:r w:rsidR="0020585B" w:rsidRPr="009D27A9">
        <w:rPr>
          <w:rFonts w:eastAsia="Times New Roman" w:cs="Times New Roman"/>
          <w:szCs w:val="24"/>
        </w:rPr>
        <w:t>izaicinājumi</w:t>
      </w:r>
      <w:r w:rsidR="00B90989" w:rsidRPr="009D27A9">
        <w:rPr>
          <w:rFonts w:eastAsia="Times New Roman" w:cs="Times New Roman"/>
          <w:szCs w:val="24"/>
        </w:rPr>
        <w:t xml:space="preserve"> – </w:t>
      </w:r>
      <w:r w:rsidR="00FF2650" w:rsidRPr="009D27A9">
        <w:rPr>
          <w:rFonts w:eastAsia="Times New Roman" w:cs="Times New Roman"/>
          <w:szCs w:val="24"/>
        </w:rPr>
        <w:t>nepietiekama</w:t>
      </w:r>
      <w:r w:rsidR="00B90989" w:rsidRPr="009D27A9">
        <w:rPr>
          <w:rFonts w:eastAsia="Times New Roman" w:cs="Times New Roman"/>
          <w:szCs w:val="24"/>
        </w:rPr>
        <w:t xml:space="preserve"> jaunuzņēmumu </w:t>
      </w:r>
      <w:r w:rsidR="00FF2650" w:rsidRPr="009D27A9">
        <w:rPr>
          <w:rFonts w:eastAsia="Times New Roman" w:cs="Times New Roman"/>
          <w:szCs w:val="24"/>
        </w:rPr>
        <w:t>veidošanās</w:t>
      </w:r>
      <w:r w:rsidR="00B90989" w:rsidRPr="009D27A9">
        <w:rPr>
          <w:rFonts w:eastAsia="Times New Roman" w:cs="Times New Roman"/>
          <w:szCs w:val="24"/>
        </w:rPr>
        <w:t xml:space="preserve">, ierobežotas finansējuma piesaistes iespējas, vāji attīstīti </w:t>
      </w:r>
      <w:r w:rsidR="00FF7C36" w:rsidRPr="009D27A9">
        <w:rPr>
          <w:rFonts w:eastAsia="Times New Roman" w:cs="Times New Roman"/>
          <w:szCs w:val="24"/>
        </w:rPr>
        <w:t>finansējum</w:t>
      </w:r>
      <w:r w:rsidR="00FF7C36">
        <w:rPr>
          <w:rFonts w:eastAsia="Times New Roman" w:cs="Times New Roman"/>
          <w:szCs w:val="24"/>
        </w:rPr>
        <w:t>a</w:t>
      </w:r>
      <w:r w:rsidR="00FF2650" w:rsidRPr="009D27A9">
        <w:rPr>
          <w:rFonts w:eastAsia="Times New Roman" w:cs="Times New Roman"/>
          <w:szCs w:val="24"/>
        </w:rPr>
        <w:t xml:space="preserve"> piesaistes</w:t>
      </w:r>
      <w:r w:rsidR="00B90989" w:rsidRPr="009D27A9">
        <w:rPr>
          <w:rFonts w:eastAsia="Times New Roman" w:cs="Times New Roman"/>
          <w:szCs w:val="24"/>
        </w:rPr>
        <w:t xml:space="preserve"> kanāli</w:t>
      </w:r>
      <w:r w:rsidR="00FF2650" w:rsidRPr="009D27A9">
        <w:rPr>
          <w:rFonts w:eastAsia="Times New Roman" w:cs="Times New Roman"/>
          <w:szCs w:val="24"/>
        </w:rPr>
        <w:t xml:space="preserve"> </w:t>
      </w:r>
      <w:r w:rsidR="00B90989" w:rsidRPr="009D27A9">
        <w:rPr>
          <w:rFonts w:eastAsia="Times New Roman" w:cs="Times New Roman"/>
          <w:szCs w:val="24"/>
        </w:rPr>
        <w:t>un nepietiekama</w:t>
      </w:r>
      <w:r w:rsidR="00FF2650" w:rsidRPr="009D27A9">
        <w:rPr>
          <w:rFonts w:eastAsia="Times New Roman" w:cs="Times New Roman"/>
          <w:szCs w:val="24"/>
        </w:rPr>
        <w:t xml:space="preserve"> vietējo</w:t>
      </w:r>
      <w:r w:rsidR="00B90989" w:rsidRPr="009D27A9">
        <w:rPr>
          <w:rFonts w:eastAsia="Times New Roman" w:cs="Times New Roman"/>
          <w:szCs w:val="24"/>
        </w:rPr>
        <w:t xml:space="preserve"> pensiju fondu iesaiste</w:t>
      </w:r>
      <w:r w:rsidR="00467BCA" w:rsidRPr="009D27A9">
        <w:rPr>
          <w:rFonts w:eastAsia="Times New Roman" w:cs="Times New Roman"/>
          <w:szCs w:val="24"/>
        </w:rPr>
        <w:t>. Kopumā</w:t>
      </w:r>
      <w:r w:rsidR="00B90989" w:rsidRPr="009D27A9">
        <w:rPr>
          <w:rFonts w:eastAsia="Times New Roman" w:cs="Times New Roman"/>
          <w:szCs w:val="24"/>
        </w:rPr>
        <w:t xml:space="preserve"> </w:t>
      </w:r>
      <w:r w:rsidR="00467BCA" w:rsidRPr="009D27A9">
        <w:rPr>
          <w:rFonts w:eastAsia="Times New Roman" w:cs="Times New Roman"/>
          <w:szCs w:val="24"/>
        </w:rPr>
        <w:t xml:space="preserve">tas </w:t>
      </w:r>
      <w:r w:rsidR="00B90989" w:rsidRPr="009D27A9">
        <w:rPr>
          <w:rFonts w:eastAsia="Times New Roman" w:cs="Times New Roman"/>
          <w:szCs w:val="24"/>
        </w:rPr>
        <w:t>kavē uzņēmumu nonākšanu līdz biržai un samazina Latvijas kapitāla tirgus kopējo attīstības potenciālu.</w:t>
      </w:r>
      <w:r w:rsidR="00A62B95" w:rsidRPr="009D27A9">
        <w:rPr>
          <w:rFonts w:eastAsia="Times New Roman" w:cs="Times New Roman"/>
          <w:szCs w:val="24"/>
        </w:rPr>
        <w:t xml:space="preserve"> </w:t>
      </w:r>
      <w:r w:rsidR="009D27A9" w:rsidRPr="005F06C9">
        <w:rPr>
          <w:rFonts w:eastAsia="Times New Roman" w:cs="Times New Roman"/>
          <w:szCs w:val="24"/>
        </w:rPr>
        <w:t>Pozitīvi vērtējama Baltijas kapitāla tirgus akselerācijas fonda darbības uzsākšana.</w:t>
      </w:r>
      <w:r w:rsidR="009460E3" w:rsidRPr="005F06C9">
        <w:rPr>
          <w:rFonts w:eastAsia="Times New Roman" w:cs="Times New Roman"/>
          <w:szCs w:val="24"/>
        </w:rPr>
        <w:t xml:space="preserve"> Kā </w:t>
      </w:r>
      <w:r w:rsidR="000E5B91" w:rsidRPr="005F06C9">
        <w:rPr>
          <w:rFonts w:eastAsia="Times New Roman" w:cs="Times New Roman"/>
          <w:szCs w:val="24"/>
        </w:rPr>
        <w:t>liecina</w:t>
      </w:r>
      <w:r w:rsidR="009460E3" w:rsidRPr="005F06C9">
        <w:rPr>
          <w:rFonts w:eastAsia="Times New Roman" w:cs="Times New Roman"/>
          <w:szCs w:val="24"/>
        </w:rPr>
        <w:t xml:space="preserve"> starptautiskā pieredze valsts kapitālsabiedrību dalība biržā ir </w:t>
      </w:r>
      <w:r w:rsidR="000E5B91" w:rsidRPr="005F06C9">
        <w:rPr>
          <w:rFonts w:eastAsia="Times New Roman" w:cs="Times New Roman"/>
          <w:szCs w:val="24"/>
        </w:rPr>
        <w:t>nozīmīga loma citu uzņēmumu ienākšanai tirgū.</w:t>
      </w:r>
      <w:r w:rsidR="005F06C9">
        <w:rPr>
          <w:rFonts w:eastAsia="Times New Roman" w:cs="Times New Roman"/>
          <w:szCs w:val="24"/>
        </w:rPr>
        <w:t xml:space="preserve"> </w:t>
      </w:r>
      <w:r w:rsidR="00A62B95" w:rsidRPr="00A62B95">
        <w:rPr>
          <w:rFonts w:eastAsia="Times New Roman" w:cs="Times New Roman"/>
          <w:szCs w:val="24"/>
        </w:rPr>
        <w:t>Aktuāla ir finanšu pakalpojumu nodokļu tēma – gan iedzīvotājiem, gan emitentiem. Šeit jādara viss, lai veicinātu uzkrājumu</w:t>
      </w:r>
      <w:r w:rsidR="00467BCA">
        <w:rPr>
          <w:rFonts w:eastAsia="Times New Roman" w:cs="Times New Roman"/>
          <w:szCs w:val="24"/>
        </w:rPr>
        <w:t xml:space="preserve"> veidošanos un </w:t>
      </w:r>
      <w:r w:rsidR="00A62B95" w:rsidRPr="00A62B95">
        <w:rPr>
          <w:rFonts w:eastAsia="Times New Roman" w:cs="Times New Roman"/>
          <w:szCs w:val="24"/>
        </w:rPr>
        <w:t>investīcij</w:t>
      </w:r>
      <w:r w:rsidR="00467BCA">
        <w:rPr>
          <w:rFonts w:eastAsia="Times New Roman" w:cs="Times New Roman"/>
          <w:szCs w:val="24"/>
        </w:rPr>
        <w:t>as.</w:t>
      </w:r>
      <w:r w:rsidR="009D27A9">
        <w:rPr>
          <w:rFonts w:eastAsia="Times New Roman" w:cs="Times New Roman"/>
          <w:szCs w:val="24"/>
        </w:rPr>
        <w:t xml:space="preserve"> </w:t>
      </w:r>
    </w:p>
    <w:p w14:paraId="14C95056" w14:textId="7EEE4A29" w:rsidR="00CA7A91" w:rsidRDefault="00F418F9" w:rsidP="005E285D">
      <w:pPr>
        <w:tabs>
          <w:tab w:val="left" w:pos="0"/>
        </w:tabs>
        <w:spacing w:after="120" w:line="257" w:lineRule="auto"/>
        <w:ind w:firstLine="720"/>
        <w:jc w:val="both"/>
        <w:rPr>
          <w:rFonts w:eastAsia="Times New Roman" w:cs="Times New Roman"/>
          <w:szCs w:val="24"/>
        </w:rPr>
      </w:pPr>
      <w:r>
        <w:rPr>
          <w:rFonts w:eastAsia="Times New Roman" w:cs="Times New Roman"/>
          <w:szCs w:val="24"/>
        </w:rPr>
        <w:t>2026. gad</w:t>
      </w:r>
      <w:r w:rsidR="00F9532F">
        <w:rPr>
          <w:rFonts w:eastAsia="Times New Roman" w:cs="Times New Roman"/>
          <w:szCs w:val="24"/>
        </w:rPr>
        <w:t xml:space="preserve">a </w:t>
      </w:r>
      <w:r w:rsidR="005F06C9">
        <w:rPr>
          <w:rFonts w:eastAsia="Times New Roman" w:cs="Times New Roman"/>
          <w:szCs w:val="24"/>
        </w:rPr>
        <w:t>25. februārī notika finan</w:t>
      </w:r>
      <w:r w:rsidR="000F4E64">
        <w:rPr>
          <w:rFonts w:eastAsia="Times New Roman" w:cs="Times New Roman"/>
          <w:szCs w:val="24"/>
        </w:rPr>
        <w:t xml:space="preserve">šu ministra diskusija ar Latvijas </w:t>
      </w:r>
      <w:r w:rsidR="002C6ED5">
        <w:rPr>
          <w:rFonts w:eastAsia="Times New Roman" w:cs="Times New Roman"/>
          <w:szCs w:val="24"/>
        </w:rPr>
        <w:t>D</w:t>
      </w:r>
      <w:r w:rsidR="000F4E64">
        <w:rPr>
          <w:rFonts w:eastAsia="Times New Roman" w:cs="Times New Roman"/>
          <w:szCs w:val="24"/>
        </w:rPr>
        <w:t>arba devēju konfederāciju</w:t>
      </w:r>
      <w:r w:rsidR="00D76C86">
        <w:rPr>
          <w:rFonts w:eastAsia="Times New Roman" w:cs="Times New Roman"/>
          <w:szCs w:val="24"/>
        </w:rPr>
        <w:t xml:space="preserve"> (LDDK)</w:t>
      </w:r>
      <w:r w:rsidR="000F4E64">
        <w:rPr>
          <w:rFonts w:eastAsia="Times New Roman" w:cs="Times New Roman"/>
          <w:szCs w:val="24"/>
        </w:rPr>
        <w:t xml:space="preserve">, Latvijas </w:t>
      </w:r>
      <w:r w:rsidR="002C6ED5">
        <w:rPr>
          <w:rFonts w:eastAsia="Times New Roman" w:cs="Times New Roman"/>
          <w:szCs w:val="24"/>
        </w:rPr>
        <w:t>Tirdzniecības</w:t>
      </w:r>
      <w:r w:rsidR="000F4E64">
        <w:rPr>
          <w:rFonts w:eastAsia="Times New Roman" w:cs="Times New Roman"/>
          <w:szCs w:val="24"/>
        </w:rPr>
        <w:t xml:space="preserve"> un rūpniecības kameru, Latvijas Brīvo arodbiedrību savienību un Ārvalstu investoru </w:t>
      </w:r>
      <w:r w:rsidR="002C6ED5">
        <w:rPr>
          <w:rFonts w:eastAsia="Times New Roman" w:cs="Times New Roman"/>
          <w:szCs w:val="24"/>
        </w:rPr>
        <w:t>padomi Latvijā</w:t>
      </w:r>
      <w:r w:rsidR="00CA7A91">
        <w:rPr>
          <w:rFonts w:eastAsia="Times New Roman" w:cs="Times New Roman"/>
          <w:szCs w:val="24"/>
        </w:rPr>
        <w:t xml:space="preserve"> (FICIL)</w:t>
      </w:r>
      <w:r w:rsidR="002C6ED5">
        <w:rPr>
          <w:rFonts w:eastAsia="Times New Roman" w:cs="Times New Roman"/>
          <w:szCs w:val="24"/>
        </w:rPr>
        <w:t>. Kopumā tika pausts atbalsts kapitāla tirgus attīstības mērķiem. Vienlaikus attiecībā uz valsts kapitālsabiedrībām tika uzsvērta pārvaldības nozīme, tostarp centralizēts</w:t>
      </w:r>
      <w:r w:rsidR="00546629">
        <w:rPr>
          <w:rFonts w:eastAsia="Times New Roman" w:cs="Times New Roman"/>
          <w:szCs w:val="24"/>
        </w:rPr>
        <w:t xml:space="preserve"> un profesionāls</w:t>
      </w:r>
      <w:r w:rsidR="002C6ED5">
        <w:rPr>
          <w:rFonts w:eastAsia="Times New Roman" w:cs="Times New Roman"/>
          <w:szCs w:val="24"/>
        </w:rPr>
        <w:t xml:space="preserve"> pārvaldības modelis</w:t>
      </w:r>
      <w:r w:rsidR="00546629">
        <w:rPr>
          <w:rFonts w:eastAsia="Times New Roman" w:cs="Times New Roman"/>
          <w:szCs w:val="24"/>
        </w:rPr>
        <w:t xml:space="preserve">. </w:t>
      </w:r>
      <w:r w:rsidR="00275B6D">
        <w:rPr>
          <w:rFonts w:eastAsia="Times New Roman" w:cs="Times New Roman"/>
          <w:szCs w:val="24"/>
        </w:rPr>
        <w:t>Būtu jāpārskata nekomerciālo kapitālsabiedrību darbība un vienlaikus ir atvērti diskusijai par neprivatizējamo valsts kapitālsa</w:t>
      </w:r>
      <w:r w:rsidR="00DD1152">
        <w:rPr>
          <w:rFonts w:eastAsia="Times New Roman" w:cs="Times New Roman"/>
          <w:szCs w:val="24"/>
        </w:rPr>
        <w:t xml:space="preserve">biedrību valsts līdzdalības izvērtēšanu. </w:t>
      </w:r>
      <w:r w:rsidR="00546629">
        <w:rPr>
          <w:rFonts w:eastAsia="Times New Roman" w:cs="Times New Roman"/>
          <w:szCs w:val="24"/>
        </w:rPr>
        <w:t xml:space="preserve">Savukārt </w:t>
      </w:r>
      <w:r w:rsidR="00AA5677">
        <w:rPr>
          <w:rFonts w:eastAsia="Times New Roman" w:cs="Times New Roman"/>
          <w:szCs w:val="24"/>
        </w:rPr>
        <w:t>lēmumam par š</w:t>
      </w:r>
      <w:r w:rsidR="00546629">
        <w:rPr>
          <w:rFonts w:eastAsia="Times New Roman" w:cs="Times New Roman"/>
          <w:szCs w:val="24"/>
        </w:rPr>
        <w:t>o kapitālsabiedrību virzīb</w:t>
      </w:r>
      <w:r w:rsidR="00AA5677">
        <w:rPr>
          <w:rFonts w:eastAsia="Times New Roman" w:cs="Times New Roman"/>
          <w:szCs w:val="24"/>
        </w:rPr>
        <w:t>u</w:t>
      </w:r>
      <w:r w:rsidR="00546629">
        <w:rPr>
          <w:rFonts w:eastAsia="Times New Roman" w:cs="Times New Roman"/>
          <w:szCs w:val="24"/>
        </w:rPr>
        <w:t xml:space="preserve"> uz biržu </w:t>
      </w:r>
      <w:r w:rsidR="00AA5677">
        <w:rPr>
          <w:rFonts w:eastAsia="Times New Roman" w:cs="Times New Roman"/>
          <w:szCs w:val="24"/>
        </w:rPr>
        <w:t xml:space="preserve">būtu galvenokārt jābalstās uz </w:t>
      </w:r>
      <w:r w:rsidR="00D76C86">
        <w:rPr>
          <w:rFonts w:eastAsia="Times New Roman" w:cs="Times New Roman"/>
          <w:szCs w:val="24"/>
        </w:rPr>
        <w:t xml:space="preserve">šo uzņēmumu izaugsmes vajadzībām. LDDK uzsvēra, ka AS “Latvenergo”, AS “Augstsprieguma tīkli” un </w:t>
      </w:r>
      <w:r w:rsidR="00D03D38">
        <w:rPr>
          <w:rFonts w:eastAsia="Times New Roman" w:cs="Times New Roman"/>
          <w:szCs w:val="24"/>
        </w:rPr>
        <w:t xml:space="preserve">AS “Latvijas valsts meži” nebūtu virzāmas publiskajam piedāvājumam, ņemot vērā </w:t>
      </w:r>
      <w:r w:rsidR="003A42CE">
        <w:rPr>
          <w:rFonts w:eastAsia="Times New Roman" w:cs="Times New Roman"/>
          <w:szCs w:val="24"/>
        </w:rPr>
        <w:t xml:space="preserve">šo kapitāla sabiedrību nozīmi </w:t>
      </w:r>
      <w:r w:rsidR="003A42CE">
        <w:rPr>
          <w:rFonts w:eastAsia="Times New Roman" w:cs="Times New Roman"/>
          <w:szCs w:val="24"/>
        </w:rPr>
        <w:lastRenderedPageBreak/>
        <w:t>nozares politikā un to finanšu mērķus</w:t>
      </w:r>
      <w:r w:rsidR="00527A46">
        <w:rPr>
          <w:rFonts w:eastAsia="Times New Roman" w:cs="Times New Roman"/>
          <w:szCs w:val="24"/>
        </w:rPr>
        <w:t xml:space="preserve">, vienlaikus nebūtu iebildumu pret AS “Latvenergo” meitas uzņēmumu </w:t>
      </w:r>
      <w:r w:rsidR="001030FD">
        <w:rPr>
          <w:rFonts w:eastAsia="Times New Roman" w:cs="Times New Roman"/>
          <w:szCs w:val="24"/>
        </w:rPr>
        <w:t>darbību biržā</w:t>
      </w:r>
      <w:r w:rsidR="003A42CE">
        <w:rPr>
          <w:rFonts w:eastAsia="Times New Roman" w:cs="Times New Roman"/>
          <w:szCs w:val="24"/>
        </w:rPr>
        <w:t xml:space="preserve">. </w:t>
      </w:r>
      <w:r w:rsidR="00CA7A91">
        <w:rPr>
          <w:rFonts w:eastAsia="Times New Roman" w:cs="Times New Roman"/>
          <w:szCs w:val="24"/>
        </w:rPr>
        <w:t>FICIL uzsvēra, ka nekustamā īpašuma trasti (REIT) var būt pievilcīgs instruments pensiju instruments</w:t>
      </w:r>
      <w:r w:rsidR="008A126F">
        <w:rPr>
          <w:rFonts w:eastAsia="Times New Roman" w:cs="Times New Roman"/>
          <w:szCs w:val="24"/>
        </w:rPr>
        <w:t xml:space="preserve">, kā arī akcijas opciju instruments ir nozīmīgs vadības motivācijas instruments, </w:t>
      </w:r>
      <w:r w:rsidR="00DA73A3">
        <w:rPr>
          <w:rFonts w:eastAsia="Times New Roman" w:cs="Times New Roman"/>
          <w:szCs w:val="24"/>
        </w:rPr>
        <w:t>kas valsts kapitālsabiedrībās ir neizmantota iespēja. Sociālie partneri arī uzsvēra, ka kapitāla pieauguma nodok</w:t>
      </w:r>
      <w:r w:rsidR="005E5BCB">
        <w:rPr>
          <w:rFonts w:eastAsia="Times New Roman" w:cs="Times New Roman"/>
          <w:szCs w:val="24"/>
        </w:rPr>
        <w:t>ļa šī brīža likmei ir negatīva ietekme uz uzkrājumu veidošanu un aicināja rast iespējas to pārskatīt pēc iespējas tuvākajā laikā.</w:t>
      </w:r>
    </w:p>
    <w:p w14:paraId="2205CA12" w14:textId="77777777" w:rsidR="00B8431C" w:rsidRDefault="00B8431C" w:rsidP="0B1E8007">
      <w:pPr>
        <w:tabs>
          <w:tab w:val="left" w:pos="0"/>
        </w:tabs>
        <w:spacing w:after="120" w:line="257" w:lineRule="auto"/>
        <w:ind w:firstLine="720"/>
        <w:jc w:val="both"/>
        <w:rPr>
          <w:rFonts w:eastAsia="Times New Roman" w:cs="Times New Roman"/>
          <w:szCs w:val="24"/>
        </w:rPr>
      </w:pPr>
    </w:p>
    <w:p w14:paraId="66509945" w14:textId="003924D7" w:rsidR="00A937DF" w:rsidRPr="00656A2E" w:rsidRDefault="00BB5B02" w:rsidP="0B1E8007">
      <w:pPr>
        <w:tabs>
          <w:tab w:val="left" w:pos="0"/>
        </w:tabs>
        <w:spacing w:after="120" w:line="257" w:lineRule="auto"/>
        <w:ind w:firstLine="720"/>
        <w:jc w:val="both"/>
        <w:rPr>
          <w:rFonts w:eastAsia="Times New Roman" w:cs="Times New Roman"/>
          <w:b/>
          <w:bCs/>
          <w:szCs w:val="24"/>
        </w:rPr>
      </w:pPr>
      <w:r>
        <w:rPr>
          <w:rFonts w:eastAsia="Times New Roman" w:cs="Times New Roman"/>
          <w:b/>
          <w:bCs/>
          <w:szCs w:val="24"/>
        </w:rPr>
        <w:t>4.</w:t>
      </w:r>
      <w:r w:rsidR="002E2945">
        <w:rPr>
          <w:rFonts w:eastAsia="Times New Roman" w:cs="Times New Roman"/>
          <w:b/>
          <w:bCs/>
          <w:szCs w:val="24"/>
        </w:rPr>
        <w:t>4</w:t>
      </w:r>
      <w:r>
        <w:rPr>
          <w:rFonts w:eastAsia="Times New Roman" w:cs="Times New Roman"/>
          <w:b/>
          <w:bCs/>
          <w:szCs w:val="24"/>
        </w:rPr>
        <w:t>.</w:t>
      </w:r>
      <w:r w:rsidR="00A937DF" w:rsidRPr="00656A2E">
        <w:rPr>
          <w:rFonts w:eastAsia="Times New Roman" w:cs="Times New Roman"/>
          <w:b/>
          <w:bCs/>
          <w:szCs w:val="24"/>
        </w:rPr>
        <w:t xml:space="preserve"> Citi jautājumi</w:t>
      </w:r>
    </w:p>
    <w:p w14:paraId="7530F8EB" w14:textId="2C0065EA" w:rsidR="00A937DF" w:rsidRDefault="00A937DF" w:rsidP="00ED78E5">
      <w:pPr>
        <w:tabs>
          <w:tab w:val="left" w:pos="0"/>
        </w:tabs>
        <w:spacing w:after="120" w:line="257" w:lineRule="auto"/>
        <w:ind w:firstLine="720"/>
        <w:jc w:val="both"/>
        <w:rPr>
          <w:rFonts w:eastAsia="Times New Roman" w:cs="Times New Roman"/>
          <w:szCs w:val="24"/>
        </w:rPr>
      </w:pPr>
      <w:r w:rsidRPr="00A937DF">
        <w:rPr>
          <w:rFonts w:eastAsia="Times New Roman" w:cs="Times New Roman"/>
          <w:szCs w:val="24"/>
        </w:rPr>
        <w:t>Ministru kabineta  2023. gada 16. maija sēdes protokol</w:t>
      </w:r>
      <w:r w:rsidR="004B120E">
        <w:rPr>
          <w:rFonts w:eastAsia="Times New Roman" w:cs="Times New Roman"/>
          <w:szCs w:val="24"/>
        </w:rPr>
        <w:t>a</w:t>
      </w:r>
      <w:r w:rsidRPr="00A937DF">
        <w:rPr>
          <w:rFonts w:eastAsia="Times New Roman" w:cs="Times New Roman"/>
          <w:szCs w:val="24"/>
        </w:rPr>
        <w:t xml:space="preserve"> Nr. 26., 27. § 11. punktu </w:t>
      </w:r>
      <w:r w:rsidR="004B120E">
        <w:rPr>
          <w:rFonts w:eastAsia="Times New Roman" w:cs="Times New Roman"/>
          <w:szCs w:val="24"/>
        </w:rPr>
        <w:t>ir nepieciešams a</w:t>
      </w:r>
      <w:r w:rsidR="004B120E" w:rsidRPr="00A937DF">
        <w:rPr>
          <w:rFonts w:eastAsia="Times New Roman" w:cs="Times New Roman"/>
          <w:szCs w:val="24"/>
        </w:rPr>
        <w:t>tzīt par aktualitāti zaudējušu</w:t>
      </w:r>
      <w:r w:rsidRPr="00A937DF">
        <w:rPr>
          <w:rFonts w:eastAsia="Times New Roman" w:cs="Times New Roman"/>
          <w:szCs w:val="24"/>
        </w:rPr>
        <w:t>.</w:t>
      </w:r>
      <w:r w:rsidR="00067F13" w:rsidRPr="00067F13">
        <w:t xml:space="preserve"> </w:t>
      </w:r>
      <w:r w:rsidR="00CE3F50">
        <w:t xml:space="preserve">Attiecīgais punkts paredzēja uzdevumu </w:t>
      </w:r>
      <w:r w:rsidR="00943E99">
        <w:t xml:space="preserve">identificēt </w:t>
      </w:r>
      <w:r w:rsidR="00ED78E5">
        <w:t xml:space="preserve">kapitāla tirgus attīstības </w:t>
      </w:r>
      <w:r w:rsidR="00CE3F50" w:rsidRPr="00CE3F50">
        <w:t xml:space="preserve">pasākumus </w:t>
      </w:r>
      <w:r w:rsidR="00ED78E5">
        <w:t xml:space="preserve">un </w:t>
      </w:r>
      <w:r w:rsidR="00CE3F50" w:rsidRPr="00CE3F50">
        <w:t xml:space="preserve">iekļaut </w:t>
      </w:r>
      <w:r w:rsidR="00ED78E5">
        <w:t xml:space="preserve"> tos </w:t>
      </w:r>
      <w:r w:rsidR="00CE3F50" w:rsidRPr="00CE3F50">
        <w:t>Finanšu sektora attīstības plānā 2024.-2026. gadam un iesniegt to izskatīšanai Ministru kabinetā līdz 2023. gada 1. decembrim.</w:t>
      </w:r>
      <w:r w:rsidR="00067F13">
        <w:t xml:space="preserve"> </w:t>
      </w:r>
      <w:r w:rsidR="00ED78E5">
        <w:t>Ar šo informatīvo ziņojumu uzdevums</w:t>
      </w:r>
      <w:r w:rsidR="00042E01">
        <w:rPr>
          <w:rFonts w:eastAsia="Times New Roman" w:cs="Times New Roman"/>
          <w:szCs w:val="24"/>
        </w:rPr>
        <w:t xml:space="preserve"> ir pēc būtības izpildīts</w:t>
      </w:r>
      <w:r w:rsidR="00ED78E5">
        <w:rPr>
          <w:rFonts w:eastAsia="Times New Roman" w:cs="Times New Roman"/>
          <w:szCs w:val="24"/>
        </w:rPr>
        <w:t>, jo ietver kapitāla tirgus attīstības pasākumus.</w:t>
      </w:r>
      <w:r w:rsidR="00042E01">
        <w:rPr>
          <w:rFonts w:eastAsia="Times New Roman" w:cs="Times New Roman"/>
          <w:szCs w:val="24"/>
        </w:rPr>
        <w:t xml:space="preserve"> </w:t>
      </w:r>
    </w:p>
    <w:p w14:paraId="4105B442" w14:textId="114429BB" w:rsidR="23292859" w:rsidRDefault="23292859" w:rsidP="23292859">
      <w:pPr>
        <w:spacing w:after="120" w:line="257" w:lineRule="auto"/>
        <w:ind w:firstLine="720"/>
        <w:jc w:val="both"/>
        <w:rPr>
          <w:rFonts w:eastAsia="Times New Roman" w:cs="Times New Roman"/>
        </w:rPr>
      </w:pPr>
    </w:p>
    <w:p w14:paraId="6DEBEA1E" w14:textId="2C273508" w:rsidR="23292859" w:rsidRDefault="23292859" w:rsidP="23292859">
      <w:pPr>
        <w:spacing w:after="120" w:line="257" w:lineRule="auto"/>
        <w:jc w:val="both"/>
        <w:rPr>
          <w:rFonts w:eastAsia="Times New Roman" w:cs="Times New Roman"/>
        </w:rPr>
      </w:pPr>
    </w:p>
    <w:p w14:paraId="6C854951" w14:textId="77777777" w:rsidR="00E96FB2" w:rsidRPr="00EB71E2" w:rsidRDefault="00E96FB2" w:rsidP="00E96FB2">
      <w:pPr>
        <w:spacing w:line="259" w:lineRule="auto"/>
        <w:rPr>
          <w:rFonts w:eastAsia="Times New Roman" w:cs="Times New Roman"/>
          <w:szCs w:val="24"/>
        </w:rPr>
      </w:pPr>
    </w:p>
    <w:p w14:paraId="588F1A65" w14:textId="77777777" w:rsidR="0027104D" w:rsidRDefault="0027104D">
      <w:pPr>
        <w:rPr>
          <w:rFonts w:eastAsia="Times New Roman" w:cs="Times New Roman"/>
          <w:b/>
          <w:bCs/>
          <w:szCs w:val="24"/>
        </w:rPr>
      </w:pPr>
      <w:r>
        <w:rPr>
          <w:rFonts w:eastAsia="Times New Roman" w:cs="Times New Roman"/>
          <w:b/>
          <w:bCs/>
          <w:szCs w:val="24"/>
        </w:rPr>
        <w:br w:type="page"/>
      </w:r>
    </w:p>
    <w:p w14:paraId="7538B286" w14:textId="0710D724" w:rsidR="005E1728" w:rsidRDefault="005E1728" w:rsidP="005E1728">
      <w:pPr>
        <w:spacing w:before="120"/>
        <w:jc w:val="both"/>
        <w:rPr>
          <w:rFonts w:eastAsia="Times New Roman" w:cs="Times New Roman"/>
          <w:b/>
          <w:bCs/>
          <w:szCs w:val="24"/>
        </w:rPr>
      </w:pPr>
      <w:r>
        <w:rPr>
          <w:rFonts w:eastAsia="Times New Roman" w:cs="Times New Roman"/>
          <w:b/>
          <w:bCs/>
          <w:szCs w:val="24"/>
        </w:rPr>
        <w:lastRenderedPageBreak/>
        <w:t>Kopsavilkums par informatīvajā ziņojumā ietvertajiem priekšlikumiem</w:t>
      </w:r>
      <w:r w:rsidR="004A0E35">
        <w:rPr>
          <w:rFonts w:eastAsia="Times New Roman" w:cs="Times New Roman"/>
          <w:b/>
          <w:bCs/>
          <w:szCs w:val="24"/>
        </w:rPr>
        <w:t xml:space="preserve"> </w:t>
      </w:r>
    </w:p>
    <w:tbl>
      <w:tblPr>
        <w:tblStyle w:val="TableGrid"/>
        <w:tblW w:w="9913" w:type="dxa"/>
        <w:tblLayout w:type="fixed"/>
        <w:tblLook w:val="04A0" w:firstRow="1" w:lastRow="0" w:firstColumn="1" w:lastColumn="0" w:noHBand="0" w:noVBand="1"/>
      </w:tblPr>
      <w:tblGrid>
        <w:gridCol w:w="704"/>
        <w:gridCol w:w="3402"/>
        <w:gridCol w:w="2405"/>
        <w:gridCol w:w="1276"/>
        <w:gridCol w:w="1134"/>
        <w:gridCol w:w="992"/>
      </w:tblGrid>
      <w:tr w:rsidR="004A6AB2" w:rsidRPr="00EB71E2" w14:paraId="25DAE623" w14:textId="77777777" w:rsidTr="009C6EE2">
        <w:tc>
          <w:tcPr>
            <w:tcW w:w="704" w:type="dxa"/>
          </w:tcPr>
          <w:p w14:paraId="27231FC4" w14:textId="77777777" w:rsidR="004A6AB2" w:rsidRPr="0027104D" w:rsidRDefault="004A6AB2" w:rsidP="00055C32">
            <w:pPr>
              <w:spacing w:line="259" w:lineRule="auto"/>
              <w:rPr>
                <w:rFonts w:eastAsia="Times New Roman"/>
                <w:b/>
                <w:sz w:val="20"/>
                <w:szCs w:val="20"/>
              </w:rPr>
            </w:pPr>
          </w:p>
        </w:tc>
        <w:tc>
          <w:tcPr>
            <w:tcW w:w="3402" w:type="dxa"/>
          </w:tcPr>
          <w:p w14:paraId="1B25AAF4" w14:textId="407718A0" w:rsidR="004A6AB2" w:rsidRPr="0027104D" w:rsidRDefault="002F3C5B" w:rsidP="00055C32">
            <w:pPr>
              <w:spacing w:line="259" w:lineRule="auto"/>
              <w:rPr>
                <w:rFonts w:eastAsia="Times New Roman"/>
                <w:b/>
                <w:sz w:val="20"/>
                <w:szCs w:val="20"/>
              </w:rPr>
            </w:pPr>
            <w:r w:rsidRPr="0027104D">
              <w:rPr>
                <w:rFonts w:eastAsia="Times New Roman"/>
                <w:b/>
                <w:sz w:val="20"/>
                <w:szCs w:val="20"/>
              </w:rPr>
              <w:t>Priekšlikum</w:t>
            </w:r>
            <w:r>
              <w:rPr>
                <w:rFonts w:eastAsia="Times New Roman"/>
                <w:b/>
                <w:sz w:val="20"/>
                <w:szCs w:val="20"/>
              </w:rPr>
              <w:t xml:space="preserve">i </w:t>
            </w:r>
          </w:p>
        </w:tc>
        <w:tc>
          <w:tcPr>
            <w:tcW w:w="2405" w:type="dxa"/>
          </w:tcPr>
          <w:p w14:paraId="0F1C1841" w14:textId="77777777" w:rsidR="004A6AB2" w:rsidRPr="0027104D" w:rsidRDefault="004A6AB2" w:rsidP="00055C32">
            <w:pPr>
              <w:spacing w:line="259" w:lineRule="auto"/>
              <w:rPr>
                <w:rFonts w:eastAsia="Times New Roman"/>
                <w:b/>
                <w:sz w:val="20"/>
                <w:szCs w:val="20"/>
              </w:rPr>
            </w:pPr>
            <w:r w:rsidRPr="0027104D">
              <w:rPr>
                <w:rFonts w:eastAsia="Times New Roman"/>
                <w:b/>
                <w:sz w:val="20"/>
                <w:szCs w:val="20"/>
              </w:rPr>
              <w:t xml:space="preserve">Rezultāts </w:t>
            </w:r>
          </w:p>
        </w:tc>
        <w:tc>
          <w:tcPr>
            <w:tcW w:w="1276" w:type="dxa"/>
          </w:tcPr>
          <w:p w14:paraId="43DB1F46" w14:textId="77777777" w:rsidR="004A6AB2" w:rsidRPr="0027104D" w:rsidRDefault="004A6AB2" w:rsidP="00055C32">
            <w:pPr>
              <w:spacing w:line="259" w:lineRule="auto"/>
              <w:rPr>
                <w:rFonts w:eastAsia="Times New Roman"/>
                <w:b/>
                <w:sz w:val="20"/>
                <w:szCs w:val="20"/>
              </w:rPr>
            </w:pPr>
            <w:r w:rsidRPr="0027104D">
              <w:rPr>
                <w:rFonts w:eastAsia="Times New Roman"/>
                <w:b/>
                <w:sz w:val="20"/>
                <w:szCs w:val="20"/>
              </w:rPr>
              <w:t>Termiņš</w:t>
            </w:r>
          </w:p>
        </w:tc>
        <w:tc>
          <w:tcPr>
            <w:tcW w:w="1134" w:type="dxa"/>
          </w:tcPr>
          <w:p w14:paraId="484B99F8" w14:textId="77777777" w:rsidR="004A6AB2" w:rsidRDefault="004A6AB2" w:rsidP="00055C32">
            <w:pPr>
              <w:spacing w:line="259" w:lineRule="auto"/>
              <w:rPr>
                <w:rFonts w:eastAsia="Times New Roman"/>
                <w:b/>
                <w:bCs/>
                <w:sz w:val="20"/>
                <w:szCs w:val="20"/>
              </w:rPr>
            </w:pPr>
            <w:r>
              <w:rPr>
                <w:rFonts w:eastAsia="Times New Roman"/>
                <w:b/>
                <w:bCs/>
                <w:sz w:val="20"/>
                <w:szCs w:val="20"/>
              </w:rPr>
              <w:t>Atbildīgā</w:t>
            </w:r>
          </w:p>
          <w:p w14:paraId="175E9B42" w14:textId="77777777" w:rsidR="004A6AB2" w:rsidRPr="0027104D" w:rsidRDefault="004A6AB2" w:rsidP="00055C32">
            <w:pPr>
              <w:spacing w:line="259" w:lineRule="auto"/>
              <w:rPr>
                <w:rFonts w:eastAsia="Times New Roman"/>
                <w:b/>
                <w:sz w:val="20"/>
                <w:szCs w:val="20"/>
              </w:rPr>
            </w:pPr>
            <w:r>
              <w:rPr>
                <w:rFonts w:eastAsia="Times New Roman"/>
                <w:b/>
                <w:sz w:val="20"/>
                <w:szCs w:val="20"/>
              </w:rPr>
              <w:t>institūcija</w:t>
            </w:r>
          </w:p>
        </w:tc>
        <w:tc>
          <w:tcPr>
            <w:tcW w:w="992" w:type="dxa"/>
          </w:tcPr>
          <w:p w14:paraId="2376F67D" w14:textId="77777777" w:rsidR="004A6AB2" w:rsidRDefault="004A6AB2" w:rsidP="00055C32">
            <w:pPr>
              <w:spacing w:line="259" w:lineRule="auto"/>
              <w:rPr>
                <w:rFonts w:eastAsia="Times New Roman"/>
                <w:b/>
                <w:bCs/>
                <w:sz w:val="20"/>
                <w:szCs w:val="20"/>
              </w:rPr>
            </w:pPr>
            <w:r>
              <w:rPr>
                <w:rFonts w:eastAsia="Times New Roman"/>
                <w:b/>
                <w:bCs/>
                <w:sz w:val="20"/>
                <w:szCs w:val="20"/>
              </w:rPr>
              <w:t>Līdzatb. inst.</w:t>
            </w:r>
          </w:p>
        </w:tc>
      </w:tr>
      <w:tr w:rsidR="004A6AB2" w:rsidRPr="0027104D" w14:paraId="163FAC1E" w14:textId="77777777" w:rsidTr="009C6EE2">
        <w:tc>
          <w:tcPr>
            <w:tcW w:w="704" w:type="dxa"/>
          </w:tcPr>
          <w:p w14:paraId="54D160F1" w14:textId="5FC858D2" w:rsidR="004A6AB2" w:rsidRPr="23292859" w:rsidRDefault="00F27830" w:rsidP="00055C32">
            <w:pPr>
              <w:spacing w:line="259" w:lineRule="auto"/>
              <w:jc w:val="both"/>
              <w:rPr>
                <w:rFonts w:eastAsia="Times New Roman"/>
                <w:sz w:val="20"/>
                <w:szCs w:val="20"/>
              </w:rPr>
            </w:pPr>
            <w:r>
              <w:rPr>
                <w:rFonts w:eastAsia="Times New Roman"/>
                <w:sz w:val="20"/>
                <w:szCs w:val="20"/>
              </w:rPr>
              <w:t>1.</w:t>
            </w:r>
          </w:p>
        </w:tc>
        <w:tc>
          <w:tcPr>
            <w:tcW w:w="3402" w:type="dxa"/>
          </w:tcPr>
          <w:p w14:paraId="59BBA68D" w14:textId="4C36290B"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Iesaistīties Eiropas Savienības līmeņa diskusijās par </w:t>
            </w:r>
            <w:r>
              <w:rPr>
                <w:rFonts w:eastAsia="Times New Roman"/>
                <w:sz w:val="20"/>
                <w:szCs w:val="20"/>
              </w:rPr>
              <w:t>I</w:t>
            </w:r>
            <w:r w:rsidRPr="23292859">
              <w:rPr>
                <w:rFonts w:eastAsia="Times New Roman"/>
                <w:sz w:val="20"/>
                <w:szCs w:val="20"/>
              </w:rPr>
              <w:t>nvestīciju un uzkrājumu savienības izveides priekšlikumiem</w:t>
            </w:r>
            <w:r>
              <w:rPr>
                <w:rFonts w:eastAsia="Times New Roman"/>
                <w:sz w:val="20"/>
                <w:szCs w:val="20"/>
              </w:rPr>
              <w:t>.</w:t>
            </w:r>
            <w:r w:rsidRPr="23292859">
              <w:rPr>
                <w:rFonts w:eastAsia="Times New Roman"/>
                <w:sz w:val="20"/>
                <w:szCs w:val="20"/>
              </w:rPr>
              <w:t xml:space="preserve"> </w:t>
            </w:r>
          </w:p>
        </w:tc>
        <w:tc>
          <w:tcPr>
            <w:tcW w:w="2405" w:type="dxa"/>
          </w:tcPr>
          <w:p w14:paraId="0EF16743" w14:textId="5AF486B3" w:rsidR="004A6AB2" w:rsidRPr="0027104D" w:rsidRDefault="004A6AB2" w:rsidP="00055C32">
            <w:pPr>
              <w:spacing w:line="259" w:lineRule="auto"/>
              <w:rPr>
                <w:rFonts w:eastAsia="Times New Roman"/>
                <w:sz w:val="20"/>
                <w:szCs w:val="20"/>
              </w:rPr>
            </w:pPr>
            <w:r>
              <w:rPr>
                <w:rFonts w:eastAsia="Times New Roman"/>
                <w:sz w:val="20"/>
                <w:szCs w:val="20"/>
              </w:rPr>
              <w:t xml:space="preserve">Izskatīti ES tiesību aktu priekšlikumi </w:t>
            </w:r>
          </w:p>
        </w:tc>
        <w:tc>
          <w:tcPr>
            <w:tcW w:w="1276" w:type="dxa"/>
          </w:tcPr>
          <w:p w14:paraId="5E13285D" w14:textId="0CB27EE9" w:rsidR="004A6AB2" w:rsidRPr="0027104D" w:rsidRDefault="004A6AB2" w:rsidP="00055C32">
            <w:pPr>
              <w:spacing w:line="259" w:lineRule="auto"/>
              <w:rPr>
                <w:rFonts w:eastAsia="Times New Roman"/>
                <w:sz w:val="20"/>
                <w:szCs w:val="20"/>
              </w:rPr>
            </w:pPr>
            <w:r w:rsidRPr="23292859">
              <w:rPr>
                <w:rFonts w:eastAsia="Times New Roman"/>
                <w:sz w:val="20"/>
                <w:szCs w:val="20"/>
              </w:rPr>
              <w:t>Regulāri</w:t>
            </w:r>
            <w:r>
              <w:rPr>
                <w:rFonts w:eastAsia="Times New Roman"/>
                <w:sz w:val="20"/>
                <w:szCs w:val="20"/>
              </w:rPr>
              <w:t>,</w:t>
            </w:r>
            <w:r w:rsidRPr="23292859">
              <w:rPr>
                <w:rFonts w:eastAsia="Times New Roman"/>
                <w:sz w:val="20"/>
                <w:szCs w:val="20"/>
              </w:rPr>
              <w:t xml:space="preserve"> atbilstoši tiesību aktu priekšlikumu un politikas dokumentu virzības termiņiem</w:t>
            </w:r>
          </w:p>
        </w:tc>
        <w:tc>
          <w:tcPr>
            <w:tcW w:w="1134" w:type="dxa"/>
          </w:tcPr>
          <w:p w14:paraId="4634BF80" w14:textId="77777777" w:rsidR="004A6AB2" w:rsidRDefault="004A6AB2" w:rsidP="00055C32">
            <w:pPr>
              <w:spacing w:line="259" w:lineRule="auto"/>
              <w:rPr>
                <w:rFonts w:eastAsia="Times New Roman"/>
                <w:sz w:val="20"/>
                <w:szCs w:val="20"/>
              </w:rPr>
            </w:pPr>
            <w:r w:rsidRPr="23292859">
              <w:rPr>
                <w:rFonts w:eastAsia="Times New Roman"/>
                <w:sz w:val="20"/>
                <w:szCs w:val="20"/>
              </w:rPr>
              <w:t>FM</w:t>
            </w:r>
          </w:p>
          <w:p w14:paraId="20006C60" w14:textId="7C5B4AC5" w:rsidR="00FC1CC0" w:rsidRPr="0027104D" w:rsidRDefault="00FC1CC0" w:rsidP="00055C32">
            <w:pPr>
              <w:spacing w:line="259" w:lineRule="auto"/>
              <w:rPr>
                <w:rFonts w:eastAsia="Times New Roman"/>
                <w:sz w:val="20"/>
                <w:szCs w:val="20"/>
              </w:rPr>
            </w:pPr>
          </w:p>
        </w:tc>
        <w:tc>
          <w:tcPr>
            <w:tcW w:w="992" w:type="dxa"/>
          </w:tcPr>
          <w:p w14:paraId="4B4A6AA1" w14:textId="14CC19BA" w:rsidR="004A6AB2" w:rsidRPr="0027104D" w:rsidRDefault="004A6AB2" w:rsidP="00055C32">
            <w:pPr>
              <w:spacing w:line="259" w:lineRule="auto"/>
              <w:rPr>
                <w:rFonts w:eastAsia="Times New Roman"/>
                <w:sz w:val="20"/>
                <w:szCs w:val="20"/>
              </w:rPr>
            </w:pPr>
            <w:r w:rsidRPr="23292859">
              <w:rPr>
                <w:rFonts w:eastAsia="Times New Roman"/>
                <w:sz w:val="20"/>
                <w:szCs w:val="20"/>
              </w:rPr>
              <w:t>LB</w:t>
            </w:r>
          </w:p>
          <w:p w14:paraId="00E96E78" w14:textId="77777777" w:rsidR="004A6AB2" w:rsidRPr="0027104D" w:rsidRDefault="004A6AB2" w:rsidP="00055C32">
            <w:pPr>
              <w:spacing w:line="259" w:lineRule="auto"/>
              <w:rPr>
                <w:rFonts w:eastAsia="Times New Roman"/>
                <w:sz w:val="20"/>
                <w:szCs w:val="20"/>
              </w:rPr>
            </w:pPr>
          </w:p>
        </w:tc>
      </w:tr>
      <w:tr w:rsidR="004A6AB2" w:rsidRPr="00EB71E2" w14:paraId="00C84F8B" w14:textId="77777777" w:rsidTr="009C6EE2">
        <w:tc>
          <w:tcPr>
            <w:tcW w:w="704" w:type="dxa"/>
          </w:tcPr>
          <w:p w14:paraId="7C2370EA" w14:textId="17C391D5" w:rsidR="004A6AB2" w:rsidRDefault="00EB24A2" w:rsidP="00055C32">
            <w:pPr>
              <w:spacing w:line="259" w:lineRule="auto"/>
              <w:jc w:val="both"/>
              <w:rPr>
                <w:rFonts w:eastAsia="Times New Roman"/>
                <w:sz w:val="20"/>
                <w:szCs w:val="20"/>
              </w:rPr>
            </w:pPr>
            <w:r>
              <w:rPr>
                <w:rFonts w:eastAsia="Times New Roman"/>
                <w:sz w:val="20"/>
                <w:szCs w:val="20"/>
              </w:rPr>
              <w:t>2</w:t>
            </w:r>
            <w:r w:rsidR="00F27830">
              <w:rPr>
                <w:rFonts w:eastAsia="Times New Roman"/>
                <w:sz w:val="20"/>
                <w:szCs w:val="20"/>
              </w:rPr>
              <w:t>.</w:t>
            </w:r>
          </w:p>
        </w:tc>
        <w:tc>
          <w:tcPr>
            <w:tcW w:w="3402" w:type="dxa"/>
          </w:tcPr>
          <w:p w14:paraId="7385BAB0" w14:textId="120310B1" w:rsidR="004A6AB2" w:rsidRPr="0027104D" w:rsidRDefault="00F30450" w:rsidP="00055C32">
            <w:pPr>
              <w:spacing w:line="259" w:lineRule="auto"/>
              <w:jc w:val="both"/>
              <w:rPr>
                <w:rFonts w:eastAsia="Times New Roman"/>
                <w:sz w:val="20"/>
                <w:szCs w:val="20"/>
              </w:rPr>
            </w:pPr>
            <w:r>
              <w:rPr>
                <w:rFonts w:eastAsia="Times New Roman"/>
                <w:sz w:val="20"/>
                <w:szCs w:val="20"/>
              </w:rPr>
              <w:t>A</w:t>
            </w:r>
            <w:r w:rsidR="00010453" w:rsidRPr="00010453">
              <w:rPr>
                <w:rFonts w:eastAsia="Times New Roman"/>
                <w:sz w:val="20"/>
                <w:szCs w:val="20"/>
              </w:rPr>
              <w:t>nalizēt iespēju pārskatīt iedzīvotāju ienākuma nodokļa regulējumu, lai veicinātu ilgtermiņa uzkrājumu veidošanu.</w:t>
            </w:r>
          </w:p>
        </w:tc>
        <w:tc>
          <w:tcPr>
            <w:tcW w:w="2405" w:type="dxa"/>
          </w:tcPr>
          <w:p w14:paraId="6C57F1C3" w14:textId="41077431" w:rsidR="004A6AB2" w:rsidRPr="0027104D" w:rsidRDefault="00674670" w:rsidP="00055C32">
            <w:pPr>
              <w:spacing w:line="259" w:lineRule="auto"/>
              <w:jc w:val="both"/>
              <w:rPr>
                <w:rFonts w:eastAsia="Times New Roman"/>
                <w:sz w:val="20"/>
                <w:szCs w:val="20"/>
              </w:rPr>
            </w:pPr>
            <w:r w:rsidRPr="00775CD3">
              <w:rPr>
                <w:rFonts w:eastAsia="Times New Roman"/>
                <w:sz w:val="20"/>
                <w:szCs w:val="20"/>
              </w:rPr>
              <w:t>Sagatavot</w:t>
            </w:r>
            <w:r>
              <w:rPr>
                <w:rFonts w:eastAsia="Times New Roman"/>
                <w:sz w:val="20"/>
                <w:szCs w:val="20"/>
              </w:rPr>
              <w:t>s</w:t>
            </w:r>
            <w:r w:rsidRPr="00775CD3">
              <w:rPr>
                <w:rFonts w:eastAsia="Times New Roman"/>
                <w:sz w:val="20"/>
                <w:szCs w:val="20"/>
              </w:rPr>
              <w:t xml:space="preserve"> </w:t>
            </w:r>
            <w:r w:rsidR="00775CD3" w:rsidRPr="00775CD3">
              <w:rPr>
                <w:rFonts w:eastAsia="Times New Roman"/>
                <w:sz w:val="20"/>
                <w:szCs w:val="20"/>
              </w:rPr>
              <w:t xml:space="preserve">un </w:t>
            </w:r>
            <w:r w:rsidRPr="00775CD3">
              <w:rPr>
                <w:rFonts w:eastAsia="Times New Roman"/>
                <w:sz w:val="20"/>
                <w:szCs w:val="20"/>
              </w:rPr>
              <w:t>iesniegt</w:t>
            </w:r>
            <w:r>
              <w:rPr>
                <w:rFonts w:eastAsia="Times New Roman"/>
                <w:sz w:val="20"/>
                <w:szCs w:val="20"/>
              </w:rPr>
              <w:t>s</w:t>
            </w:r>
            <w:r w:rsidRPr="00775CD3">
              <w:rPr>
                <w:rFonts w:eastAsia="Times New Roman"/>
                <w:sz w:val="20"/>
                <w:szCs w:val="20"/>
              </w:rPr>
              <w:t xml:space="preserve"> </w:t>
            </w:r>
            <w:r w:rsidR="00775CD3" w:rsidRPr="00775CD3">
              <w:rPr>
                <w:rFonts w:eastAsia="Times New Roman"/>
                <w:sz w:val="20"/>
                <w:szCs w:val="20"/>
              </w:rPr>
              <w:t xml:space="preserve">MK </w:t>
            </w:r>
            <w:r>
              <w:rPr>
                <w:rFonts w:eastAsia="Times New Roman"/>
                <w:sz w:val="20"/>
                <w:szCs w:val="20"/>
              </w:rPr>
              <w:t>informatīvais ziņojums</w:t>
            </w:r>
          </w:p>
        </w:tc>
        <w:tc>
          <w:tcPr>
            <w:tcW w:w="1276" w:type="dxa"/>
          </w:tcPr>
          <w:p w14:paraId="04E2C18D" w14:textId="0BCF2B4C" w:rsidR="004A6AB2" w:rsidRPr="0027104D" w:rsidRDefault="004614C6" w:rsidP="00055C32">
            <w:pPr>
              <w:spacing w:line="259" w:lineRule="auto"/>
              <w:jc w:val="both"/>
              <w:rPr>
                <w:rFonts w:eastAsia="Times New Roman"/>
                <w:sz w:val="20"/>
                <w:szCs w:val="20"/>
              </w:rPr>
            </w:pPr>
            <w:r>
              <w:rPr>
                <w:rFonts w:eastAsia="Times New Roman"/>
                <w:sz w:val="20"/>
                <w:szCs w:val="20"/>
              </w:rPr>
              <w:t>31.12.2026</w:t>
            </w:r>
          </w:p>
        </w:tc>
        <w:tc>
          <w:tcPr>
            <w:tcW w:w="1134" w:type="dxa"/>
          </w:tcPr>
          <w:p w14:paraId="46152AA9"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FM</w:t>
            </w:r>
          </w:p>
          <w:p w14:paraId="0A27ED82" w14:textId="6964B3C7" w:rsidR="00B52B05" w:rsidRPr="0027104D" w:rsidRDefault="00B52B05" w:rsidP="00055C32">
            <w:pPr>
              <w:spacing w:line="259" w:lineRule="auto"/>
              <w:jc w:val="both"/>
              <w:rPr>
                <w:rFonts w:eastAsia="Times New Roman"/>
                <w:sz w:val="20"/>
                <w:szCs w:val="20"/>
              </w:rPr>
            </w:pPr>
          </w:p>
        </w:tc>
        <w:tc>
          <w:tcPr>
            <w:tcW w:w="992" w:type="dxa"/>
          </w:tcPr>
          <w:p w14:paraId="38CF38F1" w14:textId="77777777" w:rsidR="004A6AB2" w:rsidRPr="23292859" w:rsidRDefault="004A6AB2" w:rsidP="00055C32">
            <w:pPr>
              <w:spacing w:line="259" w:lineRule="auto"/>
              <w:jc w:val="both"/>
              <w:rPr>
                <w:rFonts w:eastAsia="Times New Roman"/>
                <w:sz w:val="20"/>
                <w:szCs w:val="20"/>
              </w:rPr>
            </w:pPr>
            <w:r w:rsidRPr="23292859">
              <w:rPr>
                <w:rFonts w:eastAsia="Times New Roman"/>
                <w:sz w:val="20"/>
                <w:szCs w:val="20"/>
              </w:rPr>
              <w:t>LB</w:t>
            </w:r>
          </w:p>
        </w:tc>
      </w:tr>
      <w:tr w:rsidR="004A6AB2" w:rsidRPr="00EB71E2" w14:paraId="68206B7F" w14:textId="77777777" w:rsidTr="009C6EE2">
        <w:tc>
          <w:tcPr>
            <w:tcW w:w="704" w:type="dxa"/>
          </w:tcPr>
          <w:p w14:paraId="1E130374" w14:textId="578CF2E5" w:rsidR="004A6AB2" w:rsidRPr="23292859" w:rsidRDefault="00EB24A2" w:rsidP="00055C32">
            <w:pPr>
              <w:spacing w:line="259" w:lineRule="auto"/>
              <w:jc w:val="both"/>
              <w:rPr>
                <w:rFonts w:eastAsia="Times New Roman"/>
                <w:sz w:val="20"/>
                <w:szCs w:val="20"/>
              </w:rPr>
            </w:pPr>
            <w:r>
              <w:rPr>
                <w:rFonts w:eastAsia="Times New Roman"/>
                <w:sz w:val="20"/>
                <w:szCs w:val="20"/>
              </w:rPr>
              <w:t>3</w:t>
            </w:r>
            <w:r w:rsidR="00F27830">
              <w:rPr>
                <w:rFonts w:eastAsia="Times New Roman"/>
                <w:sz w:val="20"/>
                <w:szCs w:val="20"/>
              </w:rPr>
              <w:t>.</w:t>
            </w:r>
          </w:p>
        </w:tc>
        <w:tc>
          <w:tcPr>
            <w:tcW w:w="3402" w:type="dxa"/>
          </w:tcPr>
          <w:p w14:paraId="1FA040BE" w14:textId="18DAD466"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Pastāvīgi uzturēt krājobligāciju publisko piedāvājumu un sadarbībā ar krājobligāciju finanšu aģentu (Nasdaq CSD) turpināt krājobligāciju izplatīšanas kanāla (krājobligāciju iegādes vietnes www.krajobligacijas.lv) uzturēšanu un pilnveidošanu.</w:t>
            </w:r>
          </w:p>
        </w:tc>
        <w:tc>
          <w:tcPr>
            <w:tcW w:w="2405" w:type="dxa"/>
          </w:tcPr>
          <w:p w14:paraId="61E08A2C" w14:textId="77777777" w:rsidR="004A6AB2" w:rsidRPr="0027104D" w:rsidRDefault="004A6AB2" w:rsidP="00055C32">
            <w:pPr>
              <w:spacing w:line="259" w:lineRule="auto"/>
              <w:jc w:val="both"/>
              <w:rPr>
                <w:rFonts w:eastAsia="Times New Roman"/>
                <w:sz w:val="20"/>
                <w:szCs w:val="20"/>
                <w:highlight w:val="yellow"/>
              </w:rPr>
            </w:pPr>
            <w:r w:rsidRPr="008B61CF">
              <w:rPr>
                <w:rFonts w:eastAsia="Times New Roman"/>
                <w:sz w:val="20"/>
                <w:szCs w:val="20"/>
              </w:rPr>
              <w:t>Nodrošināta zema riska fiksēta ienākuma ieguldījumu alternatīva privātpersonām</w:t>
            </w:r>
          </w:p>
        </w:tc>
        <w:tc>
          <w:tcPr>
            <w:tcW w:w="1276" w:type="dxa"/>
          </w:tcPr>
          <w:p w14:paraId="7E219475"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Pastāvīgi</w:t>
            </w:r>
          </w:p>
        </w:tc>
        <w:tc>
          <w:tcPr>
            <w:tcW w:w="1134" w:type="dxa"/>
          </w:tcPr>
          <w:p w14:paraId="6949462F"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FM (Valsts kase)</w:t>
            </w:r>
          </w:p>
        </w:tc>
        <w:tc>
          <w:tcPr>
            <w:tcW w:w="992" w:type="dxa"/>
          </w:tcPr>
          <w:p w14:paraId="3B1678AD" w14:textId="3D46FCAE" w:rsidR="004A6AB2" w:rsidRPr="00307F59" w:rsidRDefault="004A6AB2" w:rsidP="00055C32">
            <w:pPr>
              <w:spacing w:line="259" w:lineRule="auto"/>
              <w:jc w:val="both"/>
              <w:rPr>
                <w:rFonts w:eastAsia="Times New Roman"/>
                <w:sz w:val="20"/>
                <w:szCs w:val="20"/>
              </w:rPr>
            </w:pPr>
            <w:r w:rsidRPr="00307F59">
              <w:rPr>
                <w:rFonts w:eastAsia="Times New Roman"/>
                <w:sz w:val="20"/>
                <w:szCs w:val="20"/>
              </w:rPr>
              <w:t>Nasdaq</w:t>
            </w:r>
            <w:r w:rsidR="00307F59" w:rsidRPr="00307F59">
              <w:rPr>
                <w:rFonts w:eastAsia="Times New Roman"/>
                <w:sz w:val="20"/>
                <w:szCs w:val="20"/>
              </w:rPr>
              <w:t xml:space="preserve"> </w:t>
            </w:r>
            <w:r w:rsidRPr="00307F59">
              <w:rPr>
                <w:rFonts w:eastAsia="Times New Roman"/>
                <w:sz w:val="20"/>
                <w:szCs w:val="20"/>
              </w:rPr>
              <w:t>CS</w:t>
            </w:r>
            <w:r w:rsidR="00F429C3" w:rsidRPr="00307F59">
              <w:rPr>
                <w:rFonts w:eastAsia="Times New Roman"/>
                <w:sz w:val="20"/>
                <w:szCs w:val="20"/>
              </w:rPr>
              <w:t>D</w:t>
            </w:r>
          </w:p>
        </w:tc>
      </w:tr>
      <w:tr w:rsidR="004A6AB2" w14:paraId="4C37A1D8" w14:textId="77777777" w:rsidTr="009C6EE2">
        <w:trPr>
          <w:trHeight w:val="300"/>
        </w:trPr>
        <w:tc>
          <w:tcPr>
            <w:tcW w:w="704" w:type="dxa"/>
          </w:tcPr>
          <w:p w14:paraId="6A8F451E" w14:textId="59C37917" w:rsidR="004A6AB2" w:rsidRPr="23292859" w:rsidRDefault="00EB24A2" w:rsidP="00055C32">
            <w:pPr>
              <w:spacing w:line="259" w:lineRule="auto"/>
              <w:jc w:val="both"/>
              <w:rPr>
                <w:rFonts w:eastAsia="Times New Roman"/>
                <w:sz w:val="20"/>
                <w:szCs w:val="20"/>
              </w:rPr>
            </w:pPr>
            <w:r>
              <w:rPr>
                <w:rFonts w:eastAsia="Times New Roman"/>
                <w:sz w:val="20"/>
                <w:szCs w:val="20"/>
              </w:rPr>
              <w:t>4</w:t>
            </w:r>
            <w:r w:rsidR="00F27830">
              <w:rPr>
                <w:rFonts w:eastAsia="Times New Roman"/>
                <w:sz w:val="20"/>
                <w:szCs w:val="20"/>
              </w:rPr>
              <w:t>.</w:t>
            </w:r>
          </w:p>
        </w:tc>
        <w:tc>
          <w:tcPr>
            <w:tcW w:w="3402" w:type="dxa"/>
          </w:tcPr>
          <w:p w14:paraId="3EC8E17F" w14:textId="15AEB62B" w:rsidR="004A6AB2" w:rsidRDefault="004A6AB2" w:rsidP="00055C32">
            <w:pPr>
              <w:spacing w:line="259" w:lineRule="auto"/>
              <w:jc w:val="both"/>
              <w:rPr>
                <w:rFonts w:eastAsia="Times New Roman"/>
                <w:sz w:val="20"/>
                <w:szCs w:val="20"/>
              </w:rPr>
            </w:pPr>
            <w:r w:rsidRPr="23292859">
              <w:rPr>
                <w:rFonts w:eastAsia="Times New Roman"/>
                <w:sz w:val="20"/>
                <w:szCs w:val="20"/>
              </w:rPr>
              <w:t>Turpināt publiskās komunikācijas pasākumus krājobligāciju popularizēšanai un pieprasījuma pēc krājobligācijām veicināšanai, nepieciešamības gadījumā nodrošinot ārpakalpojuma piesaisti saskaņā ar publisko iepirkumu regulējošiem normatīvajiem aktiem.</w:t>
            </w:r>
          </w:p>
        </w:tc>
        <w:tc>
          <w:tcPr>
            <w:tcW w:w="2405" w:type="dxa"/>
          </w:tcPr>
          <w:p w14:paraId="3B7F905E" w14:textId="77777777" w:rsidR="004A6AB2" w:rsidRDefault="004A6AB2" w:rsidP="00055C32">
            <w:pPr>
              <w:spacing w:line="259" w:lineRule="auto"/>
              <w:jc w:val="both"/>
              <w:rPr>
                <w:rFonts w:eastAsia="Times New Roman"/>
                <w:sz w:val="20"/>
                <w:szCs w:val="20"/>
                <w:highlight w:val="yellow"/>
              </w:rPr>
            </w:pPr>
            <w:r w:rsidRPr="008B61CF">
              <w:rPr>
                <w:rFonts w:eastAsia="Times New Roman"/>
                <w:sz w:val="20"/>
                <w:szCs w:val="20"/>
              </w:rPr>
              <w:t>Nodrošināta zema riska fiksēta ienākuma ieguldījumu alternatīva privātpersonām</w:t>
            </w:r>
          </w:p>
        </w:tc>
        <w:tc>
          <w:tcPr>
            <w:tcW w:w="1276" w:type="dxa"/>
          </w:tcPr>
          <w:p w14:paraId="27D227B6"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Pastāvīgi</w:t>
            </w:r>
          </w:p>
        </w:tc>
        <w:tc>
          <w:tcPr>
            <w:tcW w:w="1134" w:type="dxa"/>
          </w:tcPr>
          <w:p w14:paraId="444A487C" w14:textId="77777777" w:rsidR="004A6AB2" w:rsidRDefault="004A6AB2" w:rsidP="00055C32">
            <w:pPr>
              <w:spacing w:line="259" w:lineRule="auto"/>
              <w:jc w:val="both"/>
              <w:rPr>
                <w:rFonts w:eastAsia="Times New Roman"/>
                <w:sz w:val="20"/>
                <w:szCs w:val="20"/>
              </w:rPr>
            </w:pPr>
            <w:r w:rsidRPr="23292859">
              <w:rPr>
                <w:rFonts w:eastAsia="Times New Roman"/>
                <w:sz w:val="20"/>
                <w:szCs w:val="20"/>
              </w:rPr>
              <w:t>FM (Valsts kase)</w:t>
            </w:r>
          </w:p>
        </w:tc>
        <w:tc>
          <w:tcPr>
            <w:tcW w:w="992" w:type="dxa"/>
          </w:tcPr>
          <w:p w14:paraId="70CB8EF1" w14:textId="77777777" w:rsidR="004A6AB2" w:rsidRDefault="004A6AB2" w:rsidP="00055C32">
            <w:pPr>
              <w:spacing w:line="259" w:lineRule="auto"/>
              <w:jc w:val="both"/>
              <w:rPr>
                <w:rFonts w:eastAsia="Times New Roman"/>
                <w:sz w:val="20"/>
                <w:szCs w:val="20"/>
              </w:rPr>
            </w:pPr>
          </w:p>
        </w:tc>
      </w:tr>
      <w:tr w:rsidR="004A6AB2" w:rsidRPr="00EB71E2" w14:paraId="130AA957" w14:textId="77777777" w:rsidTr="009C6EE2">
        <w:tc>
          <w:tcPr>
            <w:tcW w:w="704" w:type="dxa"/>
          </w:tcPr>
          <w:p w14:paraId="6B0BD3A3" w14:textId="06EA3472" w:rsidR="004A6AB2" w:rsidRPr="23292859" w:rsidRDefault="00E3029D" w:rsidP="00055C32">
            <w:pPr>
              <w:spacing w:line="259" w:lineRule="auto"/>
              <w:jc w:val="both"/>
              <w:rPr>
                <w:rFonts w:eastAsia="Times New Roman"/>
                <w:sz w:val="20"/>
                <w:szCs w:val="20"/>
              </w:rPr>
            </w:pPr>
            <w:r>
              <w:rPr>
                <w:rFonts w:eastAsia="Times New Roman"/>
                <w:sz w:val="20"/>
                <w:szCs w:val="20"/>
              </w:rPr>
              <w:t>5</w:t>
            </w:r>
            <w:r w:rsidR="00F27830">
              <w:rPr>
                <w:rFonts w:eastAsia="Times New Roman"/>
                <w:sz w:val="20"/>
                <w:szCs w:val="20"/>
              </w:rPr>
              <w:t>.</w:t>
            </w:r>
          </w:p>
        </w:tc>
        <w:tc>
          <w:tcPr>
            <w:tcW w:w="3402" w:type="dxa"/>
          </w:tcPr>
          <w:p w14:paraId="075598DD" w14:textId="06B8651E"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Izvērtēt nepieciešamību veikt grozījumus Komerclikumā par pamatkapitāla palielināšanu </w:t>
            </w:r>
          </w:p>
        </w:tc>
        <w:tc>
          <w:tcPr>
            <w:tcW w:w="2405" w:type="dxa"/>
          </w:tcPr>
          <w:p w14:paraId="79D5FC58"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1.Organizēta diskusija par pamatkapitāla palielināšanas reģistrācijas problemātiku.</w:t>
            </w:r>
          </w:p>
          <w:p w14:paraId="213EC6AA" w14:textId="01B69D4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2.</w:t>
            </w:r>
            <w:r>
              <w:rPr>
                <w:rFonts w:eastAsia="Times New Roman"/>
                <w:sz w:val="20"/>
                <w:szCs w:val="20"/>
              </w:rPr>
              <w:t>Sagatavoti tiesību akta grozījumi</w:t>
            </w:r>
            <w:r w:rsidR="000D2A85">
              <w:rPr>
                <w:rFonts w:eastAsia="Times New Roman"/>
                <w:sz w:val="20"/>
                <w:szCs w:val="20"/>
              </w:rPr>
              <w:t xml:space="preserve"> pēc nepieciešamības</w:t>
            </w:r>
            <w:r>
              <w:rPr>
                <w:rFonts w:eastAsia="Times New Roman"/>
                <w:sz w:val="20"/>
                <w:szCs w:val="20"/>
              </w:rPr>
              <w:t>.</w:t>
            </w:r>
          </w:p>
        </w:tc>
        <w:tc>
          <w:tcPr>
            <w:tcW w:w="1276" w:type="dxa"/>
          </w:tcPr>
          <w:p w14:paraId="005823A1" w14:textId="55AAF6CC" w:rsidR="004A6AB2" w:rsidRPr="0027104D" w:rsidRDefault="004A6AB2" w:rsidP="00055C32">
            <w:pPr>
              <w:spacing w:line="259" w:lineRule="auto"/>
              <w:rPr>
                <w:rFonts w:eastAsia="Times New Roman"/>
                <w:sz w:val="20"/>
                <w:szCs w:val="20"/>
              </w:rPr>
            </w:pPr>
            <w:r w:rsidRPr="0027104D">
              <w:rPr>
                <w:rFonts w:eastAsia="Times New Roman"/>
                <w:sz w:val="20"/>
                <w:szCs w:val="20"/>
              </w:rPr>
              <w:t>1..</w:t>
            </w:r>
            <w:r w:rsidR="000F43E5">
              <w:rPr>
                <w:rFonts w:eastAsia="Times New Roman"/>
                <w:sz w:val="20"/>
                <w:szCs w:val="20"/>
              </w:rPr>
              <w:t xml:space="preserve">30.06. </w:t>
            </w:r>
            <w:r w:rsidR="00AE54DA" w:rsidRPr="0027104D">
              <w:rPr>
                <w:rFonts w:eastAsia="Times New Roman"/>
                <w:sz w:val="20"/>
                <w:szCs w:val="20"/>
              </w:rPr>
              <w:t>202</w:t>
            </w:r>
            <w:r w:rsidR="00AE54DA">
              <w:rPr>
                <w:rFonts w:eastAsia="Times New Roman"/>
                <w:sz w:val="20"/>
                <w:szCs w:val="20"/>
              </w:rPr>
              <w:t>7</w:t>
            </w:r>
          </w:p>
          <w:p w14:paraId="505B8FFC" w14:textId="748674D9" w:rsidR="004A6AB2" w:rsidRPr="0027104D" w:rsidRDefault="004A6AB2" w:rsidP="00055C32">
            <w:pPr>
              <w:spacing w:line="259" w:lineRule="auto"/>
              <w:rPr>
                <w:rFonts w:eastAsia="Times New Roman"/>
                <w:sz w:val="20"/>
                <w:szCs w:val="20"/>
              </w:rPr>
            </w:pPr>
            <w:r w:rsidRPr="0027104D">
              <w:rPr>
                <w:rFonts w:eastAsia="Times New Roman"/>
                <w:sz w:val="20"/>
                <w:szCs w:val="20"/>
              </w:rPr>
              <w:t>2.31.12.</w:t>
            </w:r>
            <w:r w:rsidR="00AE54DA" w:rsidRPr="0027104D">
              <w:rPr>
                <w:rFonts w:eastAsia="Times New Roman"/>
                <w:sz w:val="20"/>
                <w:szCs w:val="20"/>
              </w:rPr>
              <w:t>202</w:t>
            </w:r>
            <w:r w:rsidR="00AE54DA">
              <w:rPr>
                <w:rFonts w:eastAsia="Times New Roman"/>
                <w:sz w:val="20"/>
                <w:szCs w:val="20"/>
              </w:rPr>
              <w:t>8</w:t>
            </w:r>
          </w:p>
        </w:tc>
        <w:tc>
          <w:tcPr>
            <w:tcW w:w="1134" w:type="dxa"/>
          </w:tcPr>
          <w:p w14:paraId="63AF8EBD" w14:textId="381F29F2" w:rsidR="004A6AB2" w:rsidRPr="0027104D" w:rsidRDefault="00EF6D09" w:rsidP="005E1728">
            <w:pPr>
              <w:pStyle w:val="ListParagraph"/>
              <w:numPr>
                <w:ilvl w:val="0"/>
                <w:numId w:val="20"/>
              </w:numPr>
              <w:spacing w:line="259" w:lineRule="auto"/>
              <w:rPr>
                <w:rFonts w:eastAsia="Times New Roman"/>
                <w:sz w:val="20"/>
                <w:szCs w:val="20"/>
              </w:rPr>
            </w:pPr>
            <w:r>
              <w:rPr>
                <w:rFonts w:eastAsia="Times New Roman"/>
                <w:sz w:val="20"/>
                <w:szCs w:val="20"/>
              </w:rPr>
              <w:t>FM</w:t>
            </w:r>
            <w:r w:rsidR="00375B1D">
              <w:rPr>
                <w:rFonts w:eastAsia="Times New Roman"/>
                <w:sz w:val="20"/>
                <w:szCs w:val="20"/>
              </w:rPr>
              <w:t>, TM</w:t>
            </w:r>
          </w:p>
          <w:p w14:paraId="6103C8DE" w14:textId="0F85BCB4" w:rsidR="004A6AB2" w:rsidRPr="0027104D" w:rsidRDefault="00375B1D" w:rsidP="005E1728">
            <w:pPr>
              <w:pStyle w:val="ListParagraph"/>
              <w:numPr>
                <w:ilvl w:val="0"/>
                <w:numId w:val="20"/>
              </w:numPr>
              <w:spacing w:line="259" w:lineRule="auto"/>
              <w:rPr>
                <w:rFonts w:eastAsia="Times New Roman"/>
                <w:sz w:val="20"/>
                <w:szCs w:val="20"/>
              </w:rPr>
            </w:pPr>
            <w:r>
              <w:rPr>
                <w:rFonts w:eastAsia="Times New Roman"/>
                <w:sz w:val="20"/>
                <w:szCs w:val="20"/>
              </w:rPr>
              <w:t>FM, TM</w:t>
            </w:r>
          </w:p>
        </w:tc>
        <w:tc>
          <w:tcPr>
            <w:tcW w:w="992" w:type="dxa"/>
          </w:tcPr>
          <w:p w14:paraId="693DCF2D" w14:textId="0EFE0388" w:rsidR="004A6AB2" w:rsidRDefault="00375B1D" w:rsidP="00055C32">
            <w:pPr>
              <w:spacing w:line="259" w:lineRule="auto"/>
              <w:rPr>
                <w:rFonts w:eastAsia="Times New Roman"/>
                <w:sz w:val="20"/>
                <w:szCs w:val="20"/>
              </w:rPr>
            </w:pPr>
            <w:r>
              <w:rPr>
                <w:rFonts w:eastAsia="Times New Roman"/>
                <w:sz w:val="20"/>
                <w:szCs w:val="20"/>
              </w:rPr>
              <w:t>1. LB</w:t>
            </w:r>
          </w:p>
          <w:p w14:paraId="0341EC16" w14:textId="62069479" w:rsidR="004A6AB2" w:rsidRDefault="004A6AB2" w:rsidP="00055C32">
            <w:pPr>
              <w:spacing w:line="259" w:lineRule="auto"/>
              <w:rPr>
                <w:rFonts w:eastAsia="Times New Roman"/>
                <w:sz w:val="20"/>
                <w:szCs w:val="20"/>
              </w:rPr>
            </w:pPr>
            <w:r>
              <w:rPr>
                <w:rFonts w:eastAsia="Times New Roman"/>
                <w:sz w:val="20"/>
                <w:szCs w:val="20"/>
              </w:rPr>
              <w:t>2. LB</w:t>
            </w:r>
            <w:r w:rsidR="00D03C43">
              <w:rPr>
                <w:rFonts w:eastAsia="Times New Roman"/>
                <w:sz w:val="20"/>
                <w:szCs w:val="20"/>
              </w:rPr>
              <w:t>, EM</w:t>
            </w:r>
          </w:p>
        </w:tc>
      </w:tr>
      <w:tr w:rsidR="004A6AB2" w:rsidRPr="00EB71E2" w14:paraId="5ECD77DE" w14:textId="77777777" w:rsidTr="009C6EE2">
        <w:tc>
          <w:tcPr>
            <w:tcW w:w="704" w:type="dxa"/>
          </w:tcPr>
          <w:p w14:paraId="7993E495" w14:textId="03BDCF95" w:rsidR="004A6AB2" w:rsidRDefault="00E3029D" w:rsidP="00055C32">
            <w:pPr>
              <w:spacing w:line="259" w:lineRule="auto"/>
              <w:jc w:val="both"/>
              <w:rPr>
                <w:rFonts w:eastAsia="Times New Roman"/>
                <w:sz w:val="20"/>
                <w:szCs w:val="20"/>
              </w:rPr>
            </w:pPr>
            <w:r>
              <w:rPr>
                <w:rFonts w:eastAsia="Times New Roman"/>
                <w:sz w:val="20"/>
                <w:szCs w:val="20"/>
              </w:rPr>
              <w:t>6</w:t>
            </w:r>
            <w:r w:rsidR="00C40C97">
              <w:rPr>
                <w:rFonts w:eastAsia="Times New Roman"/>
                <w:sz w:val="20"/>
                <w:szCs w:val="20"/>
              </w:rPr>
              <w:t>.</w:t>
            </w:r>
          </w:p>
        </w:tc>
        <w:tc>
          <w:tcPr>
            <w:tcW w:w="3402" w:type="dxa"/>
          </w:tcPr>
          <w:p w14:paraId="1B0F1B91" w14:textId="6A91E1E4" w:rsidR="004A6AB2" w:rsidRPr="0027104D" w:rsidRDefault="004A6AB2" w:rsidP="00055C32">
            <w:pPr>
              <w:spacing w:line="259" w:lineRule="auto"/>
              <w:jc w:val="both"/>
              <w:rPr>
                <w:rFonts w:eastAsia="Times New Roman"/>
                <w:sz w:val="20"/>
                <w:szCs w:val="20"/>
              </w:rPr>
            </w:pPr>
            <w:r>
              <w:rPr>
                <w:rFonts w:eastAsia="Times New Roman"/>
                <w:sz w:val="20"/>
                <w:szCs w:val="20"/>
              </w:rPr>
              <w:t>V</w:t>
            </w:r>
            <w:r w:rsidRPr="00AF60D3">
              <w:rPr>
                <w:rFonts w:eastAsia="Times New Roman"/>
                <w:sz w:val="20"/>
                <w:szCs w:val="20"/>
              </w:rPr>
              <w:t xml:space="preserve">eikt normatīvo aktu analīzi un </w:t>
            </w:r>
            <w:r>
              <w:rPr>
                <w:rFonts w:eastAsia="Times New Roman"/>
                <w:sz w:val="20"/>
                <w:szCs w:val="20"/>
              </w:rPr>
              <w:t>i</w:t>
            </w:r>
            <w:r w:rsidRPr="23292859">
              <w:rPr>
                <w:rFonts w:eastAsia="Times New Roman"/>
                <w:sz w:val="20"/>
                <w:szCs w:val="20"/>
              </w:rPr>
              <w:t xml:space="preserve">zstrādāt nepieciešamos grozījumus normatīvajos aktos, lai ieviestu investoru pārstāvja institūtu Latvijas tiesību sistēmā. </w:t>
            </w:r>
          </w:p>
        </w:tc>
        <w:tc>
          <w:tcPr>
            <w:tcW w:w="2405" w:type="dxa"/>
          </w:tcPr>
          <w:p w14:paraId="2DA1538E"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Sagatavots un iesniegts MK likumprojekts</w:t>
            </w:r>
          </w:p>
        </w:tc>
        <w:tc>
          <w:tcPr>
            <w:tcW w:w="1276" w:type="dxa"/>
          </w:tcPr>
          <w:p w14:paraId="210F4C2C" w14:textId="653D9062" w:rsidR="004A6AB2" w:rsidRPr="0027104D" w:rsidRDefault="004A6AB2" w:rsidP="00055C32">
            <w:pPr>
              <w:spacing w:line="259" w:lineRule="auto"/>
              <w:rPr>
                <w:rFonts w:eastAsia="Times New Roman"/>
                <w:sz w:val="20"/>
                <w:szCs w:val="20"/>
              </w:rPr>
            </w:pPr>
            <w:r w:rsidRPr="0027104D">
              <w:rPr>
                <w:rFonts w:eastAsia="Times New Roman"/>
                <w:sz w:val="20"/>
                <w:szCs w:val="20"/>
              </w:rPr>
              <w:t>30.06.</w:t>
            </w:r>
            <w:r w:rsidR="00126ED3" w:rsidRPr="0027104D">
              <w:rPr>
                <w:rFonts w:eastAsia="Times New Roman"/>
                <w:sz w:val="20"/>
                <w:szCs w:val="20"/>
              </w:rPr>
              <w:t>202</w:t>
            </w:r>
            <w:r w:rsidR="00126ED3">
              <w:rPr>
                <w:rFonts w:eastAsia="Times New Roman"/>
                <w:sz w:val="20"/>
                <w:szCs w:val="20"/>
              </w:rPr>
              <w:t>7</w:t>
            </w:r>
            <w:r w:rsidRPr="0027104D">
              <w:rPr>
                <w:rFonts w:eastAsia="Times New Roman"/>
                <w:sz w:val="20"/>
                <w:szCs w:val="20"/>
              </w:rPr>
              <w:t>.</w:t>
            </w:r>
          </w:p>
        </w:tc>
        <w:tc>
          <w:tcPr>
            <w:tcW w:w="1134" w:type="dxa"/>
          </w:tcPr>
          <w:p w14:paraId="607D407F" w14:textId="77777777" w:rsidR="004A6AB2" w:rsidRDefault="004A6AB2" w:rsidP="00055C32">
            <w:pPr>
              <w:spacing w:line="259" w:lineRule="auto"/>
              <w:rPr>
                <w:rFonts w:eastAsia="Times New Roman"/>
                <w:sz w:val="20"/>
                <w:szCs w:val="20"/>
              </w:rPr>
            </w:pPr>
            <w:r w:rsidRPr="0027104D">
              <w:rPr>
                <w:rFonts w:eastAsia="Times New Roman"/>
                <w:sz w:val="20"/>
                <w:szCs w:val="20"/>
              </w:rPr>
              <w:t>FM</w:t>
            </w:r>
          </w:p>
          <w:p w14:paraId="62EA08CD" w14:textId="32A9442C" w:rsidR="00AE0615" w:rsidRPr="0027104D" w:rsidRDefault="00AE0615" w:rsidP="00055C32">
            <w:pPr>
              <w:spacing w:line="259" w:lineRule="auto"/>
              <w:rPr>
                <w:rFonts w:eastAsia="Times New Roman"/>
                <w:sz w:val="20"/>
                <w:szCs w:val="20"/>
              </w:rPr>
            </w:pPr>
          </w:p>
        </w:tc>
        <w:tc>
          <w:tcPr>
            <w:tcW w:w="992" w:type="dxa"/>
          </w:tcPr>
          <w:p w14:paraId="476091FD" w14:textId="1CE9DA7D" w:rsidR="004A6AB2" w:rsidRDefault="00982EE5" w:rsidP="00055C32">
            <w:pPr>
              <w:spacing w:line="259" w:lineRule="auto"/>
              <w:rPr>
                <w:rFonts w:eastAsia="Times New Roman"/>
                <w:sz w:val="20"/>
                <w:szCs w:val="20"/>
              </w:rPr>
            </w:pPr>
            <w:r>
              <w:rPr>
                <w:rFonts w:eastAsia="Times New Roman"/>
                <w:sz w:val="20"/>
                <w:szCs w:val="20"/>
              </w:rPr>
              <w:t xml:space="preserve">EM, </w:t>
            </w:r>
            <w:r w:rsidR="004A6AB2">
              <w:rPr>
                <w:rFonts w:eastAsia="Times New Roman"/>
                <w:sz w:val="20"/>
                <w:szCs w:val="20"/>
              </w:rPr>
              <w:t>TM, LB</w:t>
            </w:r>
          </w:p>
        </w:tc>
      </w:tr>
      <w:tr w:rsidR="004A6AB2" w:rsidRPr="00EB71E2" w14:paraId="19F259AC" w14:textId="77777777" w:rsidTr="009C6EE2">
        <w:tc>
          <w:tcPr>
            <w:tcW w:w="704" w:type="dxa"/>
          </w:tcPr>
          <w:p w14:paraId="78894267" w14:textId="2A525A0C" w:rsidR="004A6AB2" w:rsidRPr="23292859" w:rsidRDefault="00E3029D" w:rsidP="00055C32">
            <w:pPr>
              <w:spacing w:line="259" w:lineRule="auto"/>
              <w:jc w:val="both"/>
              <w:rPr>
                <w:rFonts w:eastAsia="Times New Roman"/>
                <w:sz w:val="20"/>
                <w:szCs w:val="20"/>
              </w:rPr>
            </w:pPr>
            <w:r>
              <w:rPr>
                <w:rFonts w:eastAsia="Times New Roman"/>
                <w:sz w:val="20"/>
                <w:szCs w:val="20"/>
              </w:rPr>
              <w:t>7</w:t>
            </w:r>
            <w:r w:rsidR="00F27830">
              <w:rPr>
                <w:rFonts w:eastAsia="Times New Roman"/>
                <w:sz w:val="20"/>
                <w:szCs w:val="20"/>
              </w:rPr>
              <w:t>.</w:t>
            </w:r>
          </w:p>
        </w:tc>
        <w:tc>
          <w:tcPr>
            <w:tcW w:w="3402" w:type="dxa"/>
          </w:tcPr>
          <w:p w14:paraId="0B7C5B24" w14:textId="18A736A6"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 xml:space="preserve">Izvērtēt lietderību un iespējas REIT regulējuma ieviešanai Latvijā un iesniegt informatīvo ziņojumu </w:t>
            </w:r>
            <w:r w:rsidR="00E34037" w:rsidRPr="00E34037">
              <w:rPr>
                <w:rFonts w:eastAsia="Times New Roman"/>
                <w:sz w:val="20"/>
                <w:szCs w:val="20"/>
              </w:rPr>
              <w:t>Ministru kabinetā par priekšlikumiem tā īstenošanai</w:t>
            </w:r>
            <w:r w:rsidRPr="23292859">
              <w:rPr>
                <w:rFonts w:eastAsia="Times New Roman"/>
                <w:sz w:val="20"/>
                <w:szCs w:val="20"/>
              </w:rPr>
              <w:t>.</w:t>
            </w:r>
          </w:p>
        </w:tc>
        <w:tc>
          <w:tcPr>
            <w:tcW w:w="2405" w:type="dxa"/>
          </w:tcPr>
          <w:p w14:paraId="3CC11F3D" w14:textId="77777777" w:rsidR="004A6AB2" w:rsidRPr="0027104D" w:rsidRDefault="004A6AB2" w:rsidP="00055C32">
            <w:pPr>
              <w:spacing w:line="259" w:lineRule="auto"/>
              <w:jc w:val="both"/>
              <w:rPr>
                <w:rFonts w:eastAsia="Times New Roman"/>
                <w:sz w:val="20"/>
                <w:szCs w:val="20"/>
              </w:rPr>
            </w:pPr>
            <w:r w:rsidRPr="23292859">
              <w:rPr>
                <w:rFonts w:eastAsia="Times New Roman"/>
                <w:sz w:val="20"/>
                <w:szCs w:val="20"/>
              </w:rPr>
              <w:t>Sagatavots un iesniegts MK informatīvais ziņojums</w:t>
            </w:r>
          </w:p>
        </w:tc>
        <w:tc>
          <w:tcPr>
            <w:tcW w:w="1276" w:type="dxa"/>
          </w:tcPr>
          <w:p w14:paraId="57D8329D" w14:textId="05D8DAA5" w:rsidR="004A6AB2" w:rsidRPr="0027104D" w:rsidRDefault="004A6AB2" w:rsidP="00055C32">
            <w:pPr>
              <w:spacing w:line="259" w:lineRule="auto"/>
              <w:rPr>
                <w:rFonts w:eastAsia="Times New Roman"/>
                <w:sz w:val="20"/>
                <w:szCs w:val="20"/>
              </w:rPr>
            </w:pPr>
            <w:r w:rsidRPr="0027104D">
              <w:rPr>
                <w:rFonts w:eastAsia="Times New Roman"/>
                <w:sz w:val="20"/>
                <w:szCs w:val="20"/>
              </w:rPr>
              <w:t>30.06.</w:t>
            </w:r>
            <w:r w:rsidR="00353FBE" w:rsidRPr="0027104D">
              <w:rPr>
                <w:rFonts w:eastAsia="Times New Roman"/>
                <w:sz w:val="20"/>
                <w:szCs w:val="20"/>
              </w:rPr>
              <w:t>202</w:t>
            </w:r>
            <w:r w:rsidR="00353FBE">
              <w:rPr>
                <w:rFonts w:eastAsia="Times New Roman"/>
                <w:sz w:val="20"/>
                <w:szCs w:val="20"/>
              </w:rPr>
              <w:t>7</w:t>
            </w:r>
            <w:r w:rsidRPr="0027104D">
              <w:rPr>
                <w:rFonts w:eastAsia="Times New Roman"/>
                <w:sz w:val="20"/>
                <w:szCs w:val="20"/>
              </w:rPr>
              <w:t>.</w:t>
            </w:r>
          </w:p>
        </w:tc>
        <w:tc>
          <w:tcPr>
            <w:tcW w:w="1134" w:type="dxa"/>
          </w:tcPr>
          <w:p w14:paraId="3AFDF4FC" w14:textId="77777777" w:rsidR="004A6AB2" w:rsidRDefault="004A6AB2" w:rsidP="00055C32">
            <w:pPr>
              <w:spacing w:line="259" w:lineRule="auto"/>
              <w:rPr>
                <w:rFonts w:eastAsia="Times New Roman"/>
                <w:sz w:val="20"/>
                <w:szCs w:val="20"/>
              </w:rPr>
            </w:pPr>
            <w:r w:rsidRPr="0027104D">
              <w:rPr>
                <w:rFonts w:eastAsia="Times New Roman"/>
                <w:sz w:val="20"/>
                <w:szCs w:val="20"/>
              </w:rPr>
              <w:t>FM</w:t>
            </w:r>
          </w:p>
          <w:p w14:paraId="1C1A8781" w14:textId="66E6A604" w:rsidR="001C008A" w:rsidRPr="0027104D" w:rsidRDefault="001C008A" w:rsidP="00055C32">
            <w:pPr>
              <w:spacing w:line="259" w:lineRule="auto"/>
              <w:rPr>
                <w:rFonts w:eastAsia="Times New Roman"/>
                <w:sz w:val="20"/>
                <w:szCs w:val="20"/>
              </w:rPr>
            </w:pPr>
          </w:p>
        </w:tc>
        <w:tc>
          <w:tcPr>
            <w:tcW w:w="992" w:type="dxa"/>
          </w:tcPr>
          <w:p w14:paraId="40CD2ADE" w14:textId="77777777" w:rsidR="004A6AB2" w:rsidRDefault="004A6AB2" w:rsidP="00055C32">
            <w:pPr>
              <w:spacing w:line="259" w:lineRule="auto"/>
              <w:rPr>
                <w:rFonts w:eastAsia="Times New Roman"/>
                <w:sz w:val="20"/>
                <w:szCs w:val="20"/>
              </w:rPr>
            </w:pPr>
            <w:r>
              <w:rPr>
                <w:rFonts w:eastAsia="Times New Roman"/>
                <w:sz w:val="20"/>
                <w:szCs w:val="20"/>
              </w:rPr>
              <w:t>EM, LB</w:t>
            </w:r>
          </w:p>
        </w:tc>
      </w:tr>
      <w:tr w:rsidR="004A6AB2" w:rsidRPr="00EB71E2" w14:paraId="0789FFAC" w14:textId="77777777" w:rsidTr="009C6EE2">
        <w:tc>
          <w:tcPr>
            <w:tcW w:w="704" w:type="dxa"/>
          </w:tcPr>
          <w:p w14:paraId="5BBBA946" w14:textId="451D7CA1" w:rsidR="004A6AB2" w:rsidRPr="000500B9" w:rsidRDefault="00E3029D" w:rsidP="00055C32">
            <w:pPr>
              <w:spacing w:line="259" w:lineRule="auto"/>
              <w:jc w:val="both"/>
              <w:rPr>
                <w:rFonts w:eastAsia="Times New Roman"/>
                <w:sz w:val="20"/>
                <w:szCs w:val="20"/>
              </w:rPr>
            </w:pPr>
            <w:r>
              <w:rPr>
                <w:rFonts w:eastAsia="Times New Roman"/>
                <w:sz w:val="20"/>
                <w:szCs w:val="20"/>
              </w:rPr>
              <w:t>8</w:t>
            </w:r>
            <w:r w:rsidR="00F27830">
              <w:rPr>
                <w:rFonts w:eastAsia="Times New Roman"/>
                <w:sz w:val="20"/>
                <w:szCs w:val="20"/>
              </w:rPr>
              <w:t>.</w:t>
            </w:r>
          </w:p>
        </w:tc>
        <w:tc>
          <w:tcPr>
            <w:tcW w:w="3402" w:type="dxa"/>
          </w:tcPr>
          <w:p w14:paraId="0166D8DB" w14:textId="4D79FBBF" w:rsidR="004A6AB2" w:rsidRPr="23292859" w:rsidRDefault="004A6AB2" w:rsidP="00055C32">
            <w:pPr>
              <w:spacing w:line="259" w:lineRule="auto"/>
              <w:jc w:val="both"/>
              <w:rPr>
                <w:rFonts w:eastAsia="Times New Roman"/>
                <w:sz w:val="20"/>
                <w:szCs w:val="20"/>
              </w:rPr>
            </w:pPr>
            <w:r w:rsidRPr="000500B9">
              <w:rPr>
                <w:rFonts w:eastAsia="Times New Roman"/>
                <w:sz w:val="20"/>
                <w:szCs w:val="20"/>
              </w:rPr>
              <w:t xml:space="preserve">Izvērtēt </w:t>
            </w:r>
            <w:r>
              <w:rPr>
                <w:rFonts w:eastAsia="Times New Roman"/>
                <w:sz w:val="20"/>
                <w:szCs w:val="20"/>
              </w:rPr>
              <w:t xml:space="preserve">un izstrādāt </w:t>
            </w:r>
            <w:r w:rsidRPr="000500B9">
              <w:rPr>
                <w:rFonts w:eastAsia="Times New Roman"/>
                <w:sz w:val="20"/>
                <w:szCs w:val="20"/>
              </w:rPr>
              <w:t>vietējam</w:t>
            </w:r>
            <w:r>
              <w:rPr>
                <w:rFonts w:eastAsia="Times New Roman"/>
                <w:sz w:val="20"/>
                <w:szCs w:val="20"/>
              </w:rPr>
              <w:t xml:space="preserve"> finanšu tirgus  dalībnieku </w:t>
            </w:r>
            <w:r w:rsidRPr="000500B9">
              <w:rPr>
                <w:rFonts w:eastAsia="Times New Roman"/>
                <w:sz w:val="20"/>
                <w:szCs w:val="20"/>
              </w:rPr>
              <w:t xml:space="preserve"> mērogam atbilstošus vērtspapīrošanas instrumentus.</w:t>
            </w:r>
          </w:p>
        </w:tc>
        <w:tc>
          <w:tcPr>
            <w:tcW w:w="2405" w:type="dxa"/>
          </w:tcPr>
          <w:p w14:paraId="6199F3F7" w14:textId="73D0CEA3" w:rsidR="004A6AB2" w:rsidRPr="23292859" w:rsidRDefault="00A66BA3" w:rsidP="00055C32">
            <w:pPr>
              <w:spacing w:line="259" w:lineRule="auto"/>
              <w:jc w:val="both"/>
              <w:rPr>
                <w:rFonts w:eastAsia="Times New Roman"/>
                <w:sz w:val="20"/>
                <w:szCs w:val="20"/>
              </w:rPr>
            </w:pPr>
            <w:r w:rsidRPr="00A66BA3">
              <w:rPr>
                <w:rFonts w:eastAsia="Times New Roman"/>
                <w:sz w:val="20"/>
                <w:szCs w:val="20"/>
              </w:rPr>
              <w:t>Sagatavots un iesniegts MK likumprojekts</w:t>
            </w:r>
          </w:p>
        </w:tc>
        <w:tc>
          <w:tcPr>
            <w:tcW w:w="1276" w:type="dxa"/>
          </w:tcPr>
          <w:p w14:paraId="6A314397" w14:textId="6B4893A7" w:rsidR="004A6AB2" w:rsidRPr="0027104D" w:rsidRDefault="004A6AB2" w:rsidP="00055C32">
            <w:pPr>
              <w:spacing w:line="259" w:lineRule="auto"/>
              <w:rPr>
                <w:rFonts w:eastAsia="Times New Roman"/>
                <w:sz w:val="20"/>
                <w:szCs w:val="20"/>
              </w:rPr>
            </w:pPr>
            <w:r>
              <w:rPr>
                <w:rFonts w:eastAsia="Times New Roman"/>
                <w:sz w:val="20"/>
                <w:szCs w:val="20"/>
              </w:rPr>
              <w:t>30.06.</w:t>
            </w:r>
            <w:r w:rsidR="00353FBE">
              <w:rPr>
                <w:rFonts w:eastAsia="Times New Roman"/>
                <w:sz w:val="20"/>
                <w:szCs w:val="20"/>
              </w:rPr>
              <w:t>2027</w:t>
            </w:r>
          </w:p>
        </w:tc>
        <w:tc>
          <w:tcPr>
            <w:tcW w:w="1134" w:type="dxa"/>
          </w:tcPr>
          <w:p w14:paraId="55CAD6A9" w14:textId="77777777" w:rsidR="004A6AB2" w:rsidRDefault="004A6AB2" w:rsidP="00055C32">
            <w:pPr>
              <w:spacing w:line="259" w:lineRule="auto"/>
              <w:rPr>
                <w:rFonts w:eastAsia="Times New Roman"/>
                <w:sz w:val="20"/>
                <w:szCs w:val="20"/>
              </w:rPr>
            </w:pPr>
            <w:r>
              <w:rPr>
                <w:rFonts w:eastAsia="Times New Roman"/>
                <w:sz w:val="20"/>
                <w:szCs w:val="20"/>
              </w:rPr>
              <w:t>FM</w:t>
            </w:r>
          </w:p>
          <w:p w14:paraId="7EFADCA1" w14:textId="397BD17A" w:rsidR="001C008A" w:rsidRPr="0027104D" w:rsidRDefault="001C008A" w:rsidP="00055C32">
            <w:pPr>
              <w:spacing w:line="259" w:lineRule="auto"/>
              <w:rPr>
                <w:rFonts w:eastAsia="Times New Roman"/>
                <w:sz w:val="20"/>
                <w:szCs w:val="20"/>
              </w:rPr>
            </w:pPr>
          </w:p>
        </w:tc>
        <w:tc>
          <w:tcPr>
            <w:tcW w:w="992" w:type="dxa"/>
          </w:tcPr>
          <w:p w14:paraId="78EF1874" w14:textId="77777777" w:rsidR="004A6AB2" w:rsidRDefault="004A6AB2" w:rsidP="00055C32">
            <w:pPr>
              <w:spacing w:line="259" w:lineRule="auto"/>
              <w:rPr>
                <w:rFonts w:eastAsia="Times New Roman"/>
                <w:sz w:val="20"/>
                <w:szCs w:val="20"/>
              </w:rPr>
            </w:pPr>
            <w:r>
              <w:rPr>
                <w:rFonts w:eastAsia="Times New Roman"/>
                <w:sz w:val="20"/>
                <w:szCs w:val="20"/>
              </w:rPr>
              <w:t>LB</w:t>
            </w:r>
          </w:p>
        </w:tc>
      </w:tr>
      <w:tr w:rsidR="004A6AB2" w:rsidRPr="00EB71E2" w14:paraId="0CFA26C3" w14:textId="77777777" w:rsidTr="009C6EE2">
        <w:tc>
          <w:tcPr>
            <w:tcW w:w="704" w:type="dxa"/>
          </w:tcPr>
          <w:p w14:paraId="7643C336" w14:textId="7EC453CD" w:rsidR="004A6AB2" w:rsidRPr="00124A55" w:rsidRDefault="00E3029D" w:rsidP="00055C32">
            <w:pPr>
              <w:spacing w:line="259" w:lineRule="auto"/>
              <w:jc w:val="both"/>
              <w:rPr>
                <w:rFonts w:eastAsia="Times New Roman"/>
                <w:sz w:val="20"/>
                <w:szCs w:val="20"/>
              </w:rPr>
            </w:pPr>
            <w:r>
              <w:rPr>
                <w:rFonts w:eastAsia="Times New Roman"/>
                <w:sz w:val="20"/>
                <w:szCs w:val="20"/>
              </w:rPr>
              <w:t>9</w:t>
            </w:r>
            <w:r w:rsidR="00F27830">
              <w:rPr>
                <w:rFonts w:eastAsia="Times New Roman"/>
                <w:sz w:val="20"/>
                <w:szCs w:val="20"/>
              </w:rPr>
              <w:t>.</w:t>
            </w:r>
          </w:p>
        </w:tc>
        <w:tc>
          <w:tcPr>
            <w:tcW w:w="3402" w:type="dxa"/>
          </w:tcPr>
          <w:p w14:paraId="542221C1" w14:textId="61E83BBF" w:rsidR="004A6AB2" w:rsidRPr="23292859" w:rsidRDefault="004A6AB2" w:rsidP="00055C32">
            <w:pPr>
              <w:spacing w:line="259" w:lineRule="auto"/>
              <w:jc w:val="both"/>
              <w:rPr>
                <w:rFonts w:eastAsia="Times New Roman"/>
                <w:sz w:val="20"/>
                <w:szCs w:val="20"/>
              </w:rPr>
            </w:pPr>
            <w:r w:rsidRPr="00124A55">
              <w:rPr>
                <w:rFonts w:eastAsia="Times New Roman"/>
                <w:sz w:val="20"/>
                <w:szCs w:val="20"/>
              </w:rPr>
              <w:t xml:space="preserve">Izstrādāt </w:t>
            </w:r>
            <w:r w:rsidR="003A4CCC" w:rsidRPr="003A4CCC">
              <w:rPr>
                <w:rFonts w:eastAsia="Times New Roman"/>
                <w:sz w:val="20"/>
                <w:szCs w:val="20"/>
              </w:rPr>
              <w:t>grozījumus normatīvajos aktos</w:t>
            </w:r>
            <w:r w:rsidRPr="00124A55">
              <w:rPr>
                <w:rFonts w:eastAsia="Times New Roman"/>
                <w:sz w:val="20"/>
                <w:szCs w:val="20"/>
              </w:rPr>
              <w:t>, kas ar atbilstošu pārejas periodu izbeigtu Sākotnējā reģistra darbību.</w:t>
            </w:r>
          </w:p>
        </w:tc>
        <w:tc>
          <w:tcPr>
            <w:tcW w:w="2405" w:type="dxa"/>
          </w:tcPr>
          <w:p w14:paraId="3C75D2C3" w14:textId="01762E9E" w:rsidR="004A6AB2" w:rsidRPr="23292859" w:rsidRDefault="004A6AB2" w:rsidP="00055C32">
            <w:pPr>
              <w:spacing w:line="259" w:lineRule="auto"/>
              <w:jc w:val="both"/>
              <w:rPr>
                <w:rFonts w:eastAsia="Times New Roman"/>
                <w:sz w:val="20"/>
                <w:szCs w:val="20"/>
              </w:rPr>
            </w:pPr>
            <w:r w:rsidRPr="00124A55">
              <w:rPr>
                <w:rFonts w:eastAsia="Times New Roman"/>
                <w:sz w:val="20"/>
                <w:szCs w:val="20"/>
              </w:rPr>
              <w:t>Sagatavots un</w:t>
            </w:r>
            <w:r>
              <w:rPr>
                <w:rFonts w:eastAsia="Times New Roman"/>
                <w:sz w:val="20"/>
                <w:szCs w:val="20"/>
              </w:rPr>
              <w:t xml:space="preserve"> MK</w:t>
            </w:r>
            <w:r w:rsidRPr="00124A55">
              <w:rPr>
                <w:rFonts w:eastAsia="Times New Roman"/>
                <w:sz w:val="20"/>
                <w:szCs w:val="20"/>
              </w:rPr>
              <w:t xml:space="preserve"> iesniegts likumprojekts</w:t>
            </w:r>
          </w:p>
        </w:tc>
        <w:tc>
          <w:tcPr>
            <w:tcW w:w="1276" w:type="dxa"/>
          </w:tcPr>
          <w:p w14:paraId="0F236107" w14:textId="5A5551D9" w:rsidR="004A6AB2" w:rsidRPr="0027104D" w:rsidRDefault="004A6AB2" w:rsidP="00055C32">
            <w:pPr>
              <w:spacing w:line="259" w:lineRule="auto"/>
              <w:rPr>
                <w:rFonts w:eastAsia="Times New Roman"/>
                <w:sz w:val="20"/>
                <w:szCs w:val="20"/>
              </w:rPr>
            </w:pPr>
            <w:r w:rsidRPr="00124A55">
              <w:rPr>
                <w:rFonts w:eastAsia="Times New Roman"/>
                <w:sz w:val="20"/>
                <w:szCs w:val="20"/>
              </w:rPr>
              <w:t>30.06.</w:t>
            </w:r>
            <w:r w:rsidR="00353FBE" w:rsidRPr="00124A55">
              <w:rPr>
                <w:rFonts w:eastAsia="Times New Roman"/>
                <w:sz w:val="20"/>
                <w:szCs w:val="20"/>
              </w:rPr>
              <w:t>20</w:t>
            </w:r>
            <w:r w:rsidR="00353FBE">
              <w:rPr>
                <w:rFonts w:eastAsia="Times New Roman"/>
                <w:sz w:val="20"/>
                <w:szCs w:val="20"/>
              </w:rPr>
              <w:t>27</w:t>
            </w:r>
          </w:p>
        </w:tc>
        <w:tc>
          <w:tcPr>
            <w:tcW w:w="1134" w:type="dxa"/>
          </w:tcPr>
          <w:p w14:paraId="3073E88A" w14:textId="77777777" w:rsidR="004A6AB2" w:rsidRDefault="004A6AB2" w:rsidP="00055C32">
            <w:pPr>
              <w:spacing w:line="259" w:lineRule="auto"/>
              <w:rPr>
                <w:rFonts w:eastAsia="Times New Roman"/>
                <w:sz w:val="20"/>
                <w:szCs w:val="20"/>
              </w:rPr>
            </w:pPr>
            <w:r w:rsidRPr="00124A55">
              <w:rPr>
                <w:rFonts w:eastAsia="Times New Roman"/>
                <w:sz w:val="20"/>
                <w:szCs w:val="20"/>
              </w:rPr>
              <w:t>FM</w:t>
            </w:r>
          </w:p>
          <w:p w14:paraId="5B4E0961" w14:textId="5E200FFB" w:rsidR="001C008A" w:rsidRDefault="001C008A" w:rsidP="00055C32">
            <w:pPr>
              <w:spacing w:line="259" w:lineRule="auto"/>
              <w:rPr>
                <w:rFonts w:eastAsia="Times New Roman"/>
                <w:sz w:val="20"/>
                <w:szCs w:val="20"/>
              </w:rPr>
            </w:pPr>
          </w:p>
        </w:tc>
        <w:tc>
          <w:tcPr>
            <w:tcW w:w="992" w:type="dxa"/>
          </w:tcPr>
          <w:p w14:paraId="5BCAC526" w14:textId="317AD6BA" w:rsidR="004A6AB2" w:rsidRDefault="000B0850" w:rsidP="00055C32">
            <w:pPr>
              <w:spacing w:line="259" w:lineRule="auto"/>
              <w:rPr>
                <w:rFonts w:eastAsia="Times New Roman"/>
                <w:sz w:val="20"/>
                <w:szCs w:val="20"/>
              </w:rPr>
            </w:pPr>
            <w:r>
              <w:rPr>
                <w:rFonts w:eastAsia="Times New Roman"/>
                <w:sz w:val="20"/>
                <w:szCs w:val="20"/>
              </w:rPr>
              <w:t xml:space="preserve">EM, </w:t>
            </w:r>
          </w:p>
        </w:tc>
      </w:tr>
    </w:tbl>
    <w:p w14:paraId="41F5ACBD" w14:textId="123F46BA" w:rsidR="001D5FE9" w:rsidRPr="001D5FE9" w:rsidRDefault="001D5FE9" w:rsidP="00F260E2">
      <w:pPr>
        <w:spacing w:before="120"/>
        <w:ind w:firstLine="720"/>
        <w:jc w:val="both"/>
        <w:rPr>
          <w:rFonts w:eastAsia="Times New Roman" w:cs="Times New Roman"/>
          <w:szCs w:val="24"/>
        </w:rPr>
      </w:pPr>
      <w:r w:rsidRPr="001D5FE9">
        <w:rPr>
          <w:rFonts w:eastAsia="Times New Roman" w:cs="Times New Roman"/>
          <w:szCs w:val="24"/>
        </w:rPr>
        <w:t>Finanšu ministrs                                                                                     A.Ašeradens</w:t>
      </w:r>
    </w:p>
    <w:sectPr w:rsidR="001D5FE9" w:rsidRPr="001D5FE9">
      <w:footerReference w:type="even" r:id="rId25"/>
      <w:footerReference w:type="default" r:id="rId26"/>
      <w:footerReference w:type="first" r:id="rId2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57C0C" w14:textId="77777777" w:rsidR="00684239" w:rsidRDefault="00684239" w:rsidP="002228AB">
      <w:r>
        <w:separator/>
      </w:r>
    </w:p>
  </w:endnote>
  <w:endnote w:type="continuationSeparator" w:id="0">
    <w:p w14:paraId="67B30953" w14:textId="77777777" w:rsidR="00684239" w:rsidRDefault="00684239" w:rsidP="002228AB">
      <w:r>
        <w:continuationSeparator/>
      </w:r>
    </w:p>
  </w:endnote>
  <w:endnote w:type="continuationNotice" w:id="1">
    <w:p w14:paraId="0549EE1F" w14:textId="77777777" w:rsidR="00684239" w:rsidRDefault="00684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6E59" w14:textId="2CBC3939" w:rsidR="00721CF3" w:rsidRDefault="00D22F3E">
    <w:pPr>
      <w:pStyle w:val="Footer"/>
    </w:pPr>
    <w:r>
      <w:rPr>
        <w:noProof/>
      </w:rPr>
      <mc:AlternateContent>
        <mc:Choice Requires="wps">
          <w:drawing>
            <wp:anchor distT="0" distB="0" distL="0" distR="0" simplePos="0" relativeHeight="251658241" behindDoc="0" locked="0" layoutInCell="1" allowOverlap="1" wp14:anchorId="4BEC0803" wp14:editId="06EA4DD3">
              <wp:simplePos x="635" y="635"/>
              <wp:positionH relativeFrom="page">
                <wp:align>center</wp:align>
              </wp:positionH>
              <wp:positionV relativeFrom="page">
                <wp:align>bottom</wp:align>
              </wp:positionV>
              <wp:extent cx="5274310" cy="562610"/>
              <wp:effectExtent l="0" t="0" r="2540" b="0"/>
              <wp:wrapNone/>
              <wp:docPr id="1371465579" name="Text Box 1371465579"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4310" cy="562610"/>
                      </a:xfrm>
                      <a:prstGeom prst="rect">
                        <a:avLst/>
                      </a:prstGeom>
                      <a:noFill/>
                      <a:ln>
                        <a:noFill/>
                      </a:ln>
                    </wps:spPr>
                    <wps:txbx>
                      <w:txbxContent>
                        <w:p w14:paraId="6061CBE3" w14:textId="22D7A1A7"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C0803" id="_x0000_t202" coordsize="21600,21600" o:spt="202" path="m,l,21600r21600,l21600,xe">
              <v:stroke joinstyle="miter"/>
              <v:path gradientshapeok="t" o:connecttype="rect"/>
            </v:shapetype>
            <v:shape id="Text Box 1371465579" o:spid="_x0000_s1026" type="#_x0000_t202" alt="Nasdaq - Internal Use: Distribution limited to Nasdaq personnel and authorized third parties subject to confidentiality obligations" style="position:absolute;margin-left:0;margin-top:0;width:415.3pt;height:44.3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" filled="f" stroked="f">
              <v:textbox style="mso-fit-shape-to-text:t" inset="0,0,0,15pt">
                <w:txbxContent>
                  <w:p w14:paraId="6061CBE3" w14:textId="22D7A1A7"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F452" w14:textId="6B8892C0" w:rsidR="00C82831" w:rsidRDefault="00D22F3E">
    <w:pPr>
      <w:pStyle w:val="Footer"/>
      <w:jc w:val="center"/>
    </w:pPr>
    <w:r>
      <w:rPr>
        <w:noProof/>
      </w:rPr>
      <mc:AlternateContent>
        <mc:Choice Requires="wps">
          <w:drawing>
            <wp:anchor distT="0" distB="0" distL="0" distR="0" simplePos="0" relativeHeight="251658242" behindDoc="0" locked="0" layoutInCell="1" allowOverlap="1" wp14:anchorId="7172C755" wp14:editId="44976C36">
              <wp:simplePos x="1141679" y="9894548"/>
              <wp:positionH relativeFrom="page">
                <wp:align>center</wp:align>
              </wp:positionH>
              <wp:positionV relativeFrom="page">
                <wp:align>bottom</wp:align>
              </wp:positionV>
              <wp:extent cx="5274310" cy="562610"/>
              <wp:effectExtent l="0" t="0" r="2540" b="0"/>
              <wp:wrapNone/>
              <wp:docPr id="1663159827" name="Text Box 1663159827"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4310" cy="562610"/>
                      </a:xfrm>
                      <a:prstGeom prst="rect">
                        <a:avLst/>
                      </a:prstGeom>
                      <a:noFill/>
                      <a:ln>
                        <a:noFill/>
                      </a:ln>
                    </wps:spPr>
                    <wps:txbx>
                      <w:txbxContent>
                        <w:p w14:paraId="1AB8C3EC" w14:textId="4D326940" w:rsidR="00D22F3E" w:rsidRPr="00D22F3E" w:rsidRDefault="00D22F3E" w:rsidP="00D22F3E">
                          <w:pPr>
                            <w:rPr>
                              <w:rFonts w:ascii="Calibri" w:eastAsia="Calibri" w:hAnsi="Calibri" w:cs="Calibri"/>
                              <w:noProof/>
                              <w:color w:val="00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2C755" id="_x0000_t202" coordsize="21600,21600" o:spt="202" path="m,l,21600r21600,l21600,xe">
              <v:stroke joinstyle="miter"/>
              <v:path gradientshapeok="t" o:connecttype="rect"/>
            </v:shapetype>
            <v:shape id="Text Box 1663159827" o:spid="_x0000_s1027" type="#_x0000_t202" alt="Nasdaq - Internal Use: Distribution limited to Nasdaq personnel and authorized third parties subject to confidentiality obligations" style="position:absolute;left:0;text-align:left;margin-left:0;margin-top:0;width:415.3pt;height:44.3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" filled="f" stroked="f">
              <v:textbox style="mso-fit-shape-to-text:t" inset="0,0,0,15pt">
                <w:txbxContent>
                  <w:p w14:paraId="1AB8C3EC" w14:textId="4D326940" w:rsidR="00D22F3E" w:rsidRPr="00D22F3E" w:rsidRDefault="00D22F3E" w:rsidP="00D22F3E">
                    <w:pPr>
                      <w:rPr>
                        <w:rFonts w:ascii="Calibri" w:eastAsia="Calibri" w:hAnsi="Calibri" w:cs="Calibri"/>
                        <w:noProof/>
                        <w:color w:val="000000"/>
                        <w:szCs w:val="24"/>
                      </w:rPr>
                    </w:pPr>
                  </w:p>
                </w:txbxContent>
              </v:textbox>
              <w10:wrap anchorx="page" anchory="page"/>
            </v:shape>
          </w:pict>
        </mc:Fallback>
      </mc:AlternateContent>
    </w:r>
    <w:sdt>
      <w:sdtPr>
        <w:id w:val="-2100633287"/>
        <w:docPartObj>
          <w:docPartGallery w:val="Page Numbers (Bottom of Page)"/>
          <w:docPartUnique/>
        </w:docPartObj>
      </w:sdtPr>
      <w:sdtEndPr>
        <w:rPr>
          <w:noProof/>
        </w:rPr>
      </w:sdtEndPr>
      <w:sdtContent>
        <w:r w:rsidR="00C82831">
          <w:fldChar w:fldCharType="begin"/>
        </w:r>
        <w:r w:rsidR="00C82831">
          <w:instrText xml:space="preserve"> PAGE   \* MERGEFORMAT </w:instrText>
        </w:r>
        <w:r w:rsidR="00C82831">
          <w:fldChar w:fldCharType="separate"/>
        </w:r>
        <w:r w:rsidR="00C82831">
          <w:rPr>
            <w:noProof/>
          </w:rPr>
          <w:t>2</w:t>
        </w:r>
        <w:r w:rsidR="00C82831">
          <w:rPr>
            <w:noProof/>
          </w:rPr>
          <w:fldChar w:fldCharType="end"/>
        </w:r>
      </w:sdtContent>
    </w:sdt>
  </w:p>
  <w:p w14:paraId="19F44CBF" w14:textId="77777777" w:rsidR="00C82831" w:rsidRDefault="00C82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8584" w14:textId="1C7E80B1" w:rsidR="00721CF3" w:rsidRDefault="00D22F3E">
    <w:pPr>
      <w:pStyle w:val="Footer"/>
    </w:pPr>
    <w:r>
      <w:rPr>
        <w:noProof/>
      </w:rPr>
      <mc:AlternateContent>
        <mc:Choice Requires="wps">
          <w:drawing>
            <wp:anchor distT="0" distB="0" distL="0" distR="0" simplePos="0" relativeHeight="251658240" behindDoc="0" locked="0" layoutInCell="1" allowOverlap="1" wp14:anchorId="3C1BD7E6" wp14:editId="4FB3DA94">
              <wp:simplePos x="635" y="635"/>
              <wp:positionH relativeFrom="page">
                <wp:align>center</wp:align>
              </wp:positionH>
              <wp:positionV relativeFrom="page">
                <wp:align>bottom</wp:align>
              </wp:positionV>
              <wp:extent cx="5274310" cy="562610"/>
              <wp:effectExtent l="0" t="0" r="2540" b="0"/>
              <wp:wrapNone/>
              <wp:docPr id="38014209" name="Text Box 38014209"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4310" cy="562610"/>
                      </a:xfrm>
                      <a:prstGeom prst="rect">
                        <a:avLst/>
                      </a:prstGeom>
                      <a:noFill/>
                      <a:ln>
                        <a:noFill/>
                      </a:ln>
                    </wps:spPr>
                    <wps:txbx>
                      <w:txbxContent>
                        <w:p w14:paraId="4CB64600" w14:textId="07A83D81"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1BD7E6" id="_x0000_t202" coordsize="21600,21600" o:spt="202" path="m,l,21600r21600,l21600,xe">
              <v:stroke joinstyle="miter"/>
              <v:path gradientshapeok="t" o:connecttype="rect"/>
            </v:shapetype>
            <v:shape id="Text Box 38014209" o:spid="_x0000_s1028" type="#_x0000_t202" alt="Nasdaq - Internal Use: Distribution limited to Nasdaq personnel and authorized third parties subject to confidentiality obligations" style="position:absolute;margin-left:0;margin-top:0;width:415.3pt;height:44.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" filled="f" stroked="f">
              <v:textbox style="mso-fit-shape-to-text:t" inset="0,0,0,15pt">
                <w:txbxContent>
                  <w:p w14:paraId="4CB64600" w14:textId="07A83D81" w:rsidR="00D22F3E" w:rsidRPr="00D22F3E" w:rsidRDefault="00D22F3E" w:rsidP="00D22F3E">
                    <w:pPr>
                      <w:rPr>
                        <w:rFonts w:ascii="Calibri" w:eastAsia="Calibri" w:hAnsi="Calibri" w:cs="Calibri"/>
                        <w:noProof/>
                        <w:color w:val="000000"/>
                        <w:szCs w:val="24"/>
                      </w:rPr>
                    </w:pPr>
                    <w:r w:rsidRPr="00D22F3E">
                      <w:rPr>
                        <w:rFonts w:ascii="Calibri" w:eastAsia="Calibri" w:hAnsi="Calibri" w:cs="Calibri"/>
                        <w:noProof/>
                        <w:color w:val="000000"/>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18C1" w14:textId="77777777" w:rsidR="00684239" w:rsidRDefault="00684239" w:rsidP="002228AB">
      <w:r>
        <w:separator/>
      </w:r>
    </w:p>
  </w:footnote>
  <w:footnote w:type="continuationSeparator" w:id="0">
    <w:p w14:paraId="3BEA7A72" w14:textId="77777777" w:rsidR="00684239" w:rsidRDefault="00684239" w:rsidP="002228AB">
      <w:r>
        <w:continuationSeparator/>
      </w:r>
    </w:p>
  </w:footnote>
  <w:footnote w:type="continuationNotice" w:id="1">
    <w:p w14:paraId="11128984" w14:textId="77777777" w:rsidR="00684239" w:rsidRDefault="00684239"/>
  </w:footnote>
  <w:footnote w:id="2">
    <w:p w14:paraId="62ABEED2" w14:textId="77777777" w:rsidR="002D7B21" w:rsidRDefault="002D7B21" w:rsidP="002D7B21">
      <w:pPr>
        <w:pStyle w:val="FootnoteText"/>
      </w:pPr>
      <w:r>
        <w:rPr>
          <w:rStyle w:val="FootnoteReference"/>
        </w:rPr>
        <w:footnoteRef/>
      </w:r>
      <w:r>
        <w:t xml:space="preserve"> Pieejams: </w:t>
      </w:r>
      <w:hyperlink r:id="rId1" w:history="1">
        <w:r>
          <w:rPr>
            <w:rStyle w:val="Hyperlink"/>
          </w:rPr>
          <w:t>https://www.fm.gov.lv/lv/informativais-zinojums-par-latvijas-kapitala-tirgus-talaku-attistibu?utm_source=https%3A%2F%2Fwww.google.com%2F</w:t>
        </w:r>
      </w:hyperlink>
      <w:r>
        <w:t xml:space="preserve"> </w:t>
      </w:r>
    </w:p>
    <w:p w14:paraId="78F5D038" w14:textId="77777777" w:rsidR="002D7B21" w:rsidRDefault="002D7B21" w:rsidP="002D7B21">
      <w:pPr>
        <w:pStyle w:val="FootnoteText"/>
      </w:pPr>
    </w:p>
  </w:footnote>
  <w:footnote w:id="3">
    <w:p w14:paraId="00766AFC" w14:textId="25D73C74" w:rsidR="00600723" w:rsidRPr="00600723" w:rsidRDefault="00600723" w:rsidP="00600723">
      <w:pPr>
        <w:pStyle w:val="FootnoteText"/>
        <w:rPr>
          <w:b/>
          <w:bCs/>
        </w:rPr>
      </w:pPr>
      <w:r>
        <w:rPr>
          <w:rStyle w:val="FootnoteReference"/>
        </w:rPr>
        <w:footnoteRef/>
      </w:r>
      <w:r>
        <w:t xml:space="preserve"> </w:t>
      </w:r>
      <w:r w:rsidRPr="00600723">
        <w:t>26.2.2025</w:t>
      </w:r>
      <w:r>
        <w:t xml:space="preserve"> </w:t>
      </w:r>
      <w:r w:rsidRPr="00600723">
        <w:t>COM(2025) 80 final</w:t>
      </w:r>
      <w:r>
        <w:t xml:space="preserve"> </w:t>
      </w:r>
      <w:r w:rsidRPr="00600723">
        <w:t>2025/0044(COD)</w:t>
      </w:r>
      <w:r w:rsidR="008A7993">
        <w:t xml:space="preserve"> </w:t>
      </w:r>
      <w:r w:rsidRPr="00600723">
        <w:t>Priekšlikums</w:t>
      </w:r>
      <w:r w:rsidR="008A7993">
        <w:t xml:space="preserve"> </w:t>
      </w:r>
      <w:r w:rsidRPr="009C6EE2">
        <w:t>EIROPAS PARLAMENTA UN PADOMES DIREKTĪVA,</w:t>
      </w:r>
      <w:r w:rsidR="008A7993" w:rsidRPr="009C6EE2">
        <w:t xml:space="preserve"> </w:t>
      </w:r>
      <w:r w:rsidRPr="009C6EE2">
        <w:t>ar ko Direktīvas (ES) 2022/2464 un (ES) 2024/1760 groza attiecībā uz datumiem, sākot no kuriem dalībvalstīm jāpiemēro noteiktas korporatīvo ilgtspējas ziņu sniegšanas un pienācīgas rūpības prasības</w:t>
      </w:r>
    </w:p>
    <w:p w14:paraId="7FBE85B9" w14:textId="59F2EA30" w:rsidR="00600723" w:rsidRDefault="00600723">
      <w:pPr>
        <w:pStyle w:val="FootnoteText"/>
      </w:pPr>
    </w:p>
  </w:footnote>
  <w:footnote w:id="4">
    <w:p w14:paraId="369C8251" w14:textId="0FDBE42D" w:rsidR="00D545C2" w:rsidRPr="00D545C2" w:rsidRDefault="00FF7935" w:rsidP="00D545C2">
      <w:pPr>
        <w:pStyle w:val="FootnoteText"/>
        <w:rPr>
          <w:b/>
          <w:bCs/>
        </w:rPr>
      </w:pPr>
      <w:r>
        <w:rPr>
          <w:rStyle w:val="FootnoteReference"/>
        </w:rPr>
        <w:footnoteRef/>
      </w:r>
      <w:r>
        <w:t xml:space="preserve"> </w:t>
      </w:r>
      <w:r w:rsidR="00D545C2" w:rsidRPr="00D545C2">
        <w:t>26.2.2025</w:t>
      </w:r>
      <w:r w:rsidR="001440F8">
        <w:t xml:space="preserve"> </w:t>
      </w:r>
      <w:r w:rsidR="00D545C2" w:rsidRPr="00D545C2">
        <w:t>COM(2025) 81 final</w:t>
      </w:r>
      <w:r w:rsidR="001440F8">
        <w:t xml:space="preserve"> </w:t>
      </w:r>
      <w:r w:rsidR="00D545C2" w:rsidRPr="00D545C2">
        <w:t>2025/0045(COD)</w:t>
      </w:r>
      <w:r w:rsidR="001440F8">
        <w:t xml:space="preserve"> </w:t>
      </w:r>
      <w:r w:rsidR="00D545C2" w:rsidRPr="00D545C2">
        <w:t>Priekšlikums</w:t>
      </w:r>
      <w:r w:rsidR="001440F8">
        <w:t xml:space="preserve"> </w:t>
      </w:r>
      <w:r w:rsidR="00D545C2" w:rsidRPr="009C6EE2">
        <w:t>EIROPAS PARLAMENTA UN PADOMES DIREKTĪVA,</w:t>
      </w:r>
      <w:r w:rsidR="001440F8" w:rsidRPr="009C6EE2">
        <w:t xml:space="preserve"> </w:t>
      </w:r>
      <w:r w:rsidR="00D545C2" w:rsidRPr="009C6EE2">
        <w:t>ar ko attiecībā uz noteiktām korporatīvās ilgtspējas ziņu sniegšanas un pienācīgas rūpības prasībām groza Direktīvas 2006/43/EK, 2013/34/ES, (ES) 2022/2464 un (ES) 2024/1760</w:t>
      </w:r>
    </w:p>
    <w:p w14:paraId="2566692A" w14:textId="2D402C07" w:rsidR="00FF7935" w:rsidRDefault="00FF7935">
      <w:pPr>
        <w:pStyle w:val="FootnoteText"/>
      </w:pPr>
    </w:p>
  </w:footnote>
  <w:footnote w:id="5">
    <w:p w14:paraId="68F2180F" w14:textId="15F67F6A" w:rsidR="00061B9B" w:rsidRDefault="00061B9B" w:rsidP="00290F2A">
      <w:pPr>
        <w:pStyle w:val="FootnoteText"/>
      </w:pPr>
      <w:r>
        <w:rPr>
          <w:rStyle w:val="FootnoteReference"/>
        </w:rPr>
        <w:footnoteRef/>
      </w:r>
      <w:r>
        <w:t xml:space="preserve"> </w:t>
      </w:r>
      <w:r w:rsidR="00290F2A">
        <w:t>12.2.2025 COM(2025) 38 final 2025/0022(COD)</w:t>
      </w:r>
      <w:r w:rsidR="00CF29C7">
        <w:t xml:space="preserve"> </w:t>
      </w:r>
      <w:r w:rsidR="00290F2A">
        <w:t>Priekšlikums</w:t>
      </w:r>
      <w:r w:rsidR="00CF29C7">
        <w:t xml:space="preserve"> </w:t>
      </w:r>
      <w:r w:rsidR="00290F2A">
        <w:t>EIROPAS PARLAMENTA UN PADOMES REGULA,</w:t>
      </w:r>
      <w:r w:rsidR="00CF29C7">
        <w:t xml:space="preserve"> </w:t>
      </w:r>
      <w:r w:rsidR="00327081">
        <w:t>-</w:t>
      </w:r>
      <w:r w:rsidR="00290F2A">
        <w:t>ar ko Regulu (ES) Nr. 909/2014 groza attiecībā uz īsāku norēķinu ciklu Savienībā</w:t>
      </w:r>
    </w:p>
  </w:footnote>
  <w:footnote w:id="6">
    <w:p w14:paraId="5F7137E9" w14:textId="09A93196" w:rsidR="00F0306B" w:rsidRPr="008B15B1" w:rsidRDefault="00F0306B">
      <w:pPr>
        <w:pStyle w:val="FootnoteText"/>
        <w:rPr>
          <w:lang w:val="en-GB"/>
        </w:rPr>
      </w:pPr>
      <w:r w:rsidRPr="008B15B1">
        <w:rPr>
          <w:rStyle w:val="FootnoteReference"/>
          <w:lang w:val="en-GB"/>
        </w:rPr>
        <w:footnoteRef/>
      </w:r>
      <w:r w:rsidRPr="008B15B1">
        <w:rPr>
          <w:lang w:val="en-GB"/>
        </w:rPr>
        <w:t xml:space="preserve">  23.5.2025</w:t>
      </w:r>
      <w:r w:rsidR="005F7F70" w:rsidRPr="008B15B1">
        <w:rPr>
          <w:lang w:val="en-GB"/>
        </w:rPr>
        <w:t xml:space="preserve"> </w:t>
      </w:r>
      <w:r w:rsidRPr="008B15B1">
        <w:rPr>
          <w:lang w:val="en-GB"/>
        </w:rPr>
        <w:t>COM(2025) 502 final/2</w:t>
      </w:r>
      <w:r w:rsidR="005F7F70" w:rsidRPr="008B15B1">
        <w:rPr>
          <w:lang w:val="en-GB"/>
        </w:rPr>
        <w:t xml:space="preserve"> </w:t>
      </w:r>
      <w:r w:rsidRPr="008B15B1">
        <w:rPr>
          <w:lang w:val="en-GB"/>
        </w:rPr>
        <w:t>2025/0131(COD)</w:t>
      </w:r>
      <w:r w:rsidR="005F7F70" w:rsidRPr="008B15B1">
        <w:rPr>
          <w:lang w:val="en-GB"/>
        </w:rPr>
        <w:t xml:space="preserve">  </w:t>
      </w:r>
      <w:r w:rsidRPr="008B15B1">
        <w:rPr>
          <w:lang w:val="en-GB"/>
        </w:rPr>
        <w:t>Proposal for a</w:t>
      </w:r>
      <w:r w:rsidR="005F7F70" w:rsidRPr="008B15B1">
        <w:rPr>
          <w:lang w:val="en-GB"/>
        </w:rPr>
        <w:t xml:space="preserve"> </w:t>
      </w:r>
      <w:r w:rsidRPr="008B15B1">
        <w:rPr>
          <w:lang w:val="en-GB"/>
        </w:rPr>
        <w:t>DIRECTIVE OF THE EUROPEAN PARLIAMENT AND OF THE COUNCIL</w:t>
      </w:r>
      <w:r w:rsidR="005F7F70" w:rsidRPr="008B15B1">
        <w:rPr>
          <w:lang w:val="en-GB"/>
        </w:rPr>
        <w:t xml:space="preserve"> </w:t>
      </w:r>
      <w:r w:rsidRPr="008B15B1">
        <w:rPr>
          <w:lang w:val="en-GB"/>
        </w:rPr>
        <w:t>amending Directives 2014/65/EU and (EU) 2022/2557 as regards the extension of certain mitigating measures available for small and medium sized enterprises to small mid-cap enterprises and further simplifying measures</w:t>
      </w:r>
      <w:r w:rsidR="005F7F70" w:rsidRPr="008B15B1">
        <w:rPr>
          <w:lang w:val="en-GB"/>
        </w:rPr>
        <w:t xml:space="preserve"> (</w:t>
      </w:r>
      <w:r w:rsidR="00CC1E6D" w:rsidRPr="008B15B1">
        <w:rPr>
          <w:lang w:val="en-GB"/>
        </w:rPr>
        <w:t xml:space="preserve">dokuments </w:t>
      </w:r>
      <w:r w:rsidR="005F7F70" w:rsidRPr="008B15B1">
        <w:rPr>
          <w:lang w:val="en-GB"/>
        </w:rPr>
        <w:t xml:space="preserve">pieejams angļu val). </w:t>
      </w:r>
    </w:p>
  </w:footnote>
  <w:footnote w:id="7">
    <w:p w14:paraId="7745B68C" w14:textId="5FBB6AA1" w:rsidR="00FD72A7" w:rsidRPr="008B15B1" w:rsidRDefault="00FD72A7">
      <w:pPr>
        <w:pStyle w:val="FootnoteText"/>
        <w:rPr>
          <w:lang w:val="en-GB"/>
        </w:rPr>
      </w:pPr>
      <w:r w:rsidRPr="008B15B1">
        <w:rPr>
          <w:rStyle w:val="FootnoteReference"/>
          <w:lang w:val="en-GB"/>
        </w:rPr>
        <w:footnoteRef/>
      </w:r>
      <w:r w:rsidRPr="008B15B1">
        <w:rPr>
          <w:lang w:val="en-GB"/>
        </w:rPr>
        <w:t xml:space="preserve"> 17.6.2025 COM(2025) 826 final 2025/0826 (COD) Proposal for a REGULATION OF THE EUROPEAN PARLIAMENT AND OF THE COUNCIL amending Regulation (EU) 2017/2402 of the European Parliament and of the Council of 12 December 2017 laying down a general framework for securitisation and creating a specific framework for simple, transparent and standardised securitisation</w:t>
      </w:r>
      <w:r w:rsidR="00A75217" w:rsidRPr="008B15B1">
        <w:rPr>
          <w:lang w:val="en-GB"/>
        </w:rPr>
        <w:t xml:space="preserve"> (</w:t>
      </w:r>
      <w:r w:rsidR="00CC1E6D" w:rsidRPr="008B15B1">
        <w:rPr>
          <w:lang w:val="en-GB"/>
        </w:rPr>
        <w:t xml:space="preserve">dokuments </w:t>
      </w:r>
      <w:r w:rsidR="00A75217" w:rsidRPr="008B15B1">
        <w:rPr>
          <w:lang w:val="en-GB"/>
        </w:rPr>
        <w:t>pieejams angļu val).</w:t>
      </w:r>
    </w:p>
  </w:footnote>
  <w:footnote w:id="8">
    <w:p w14:paraId="0B3860C1" w14:textId="3A61E9DF" w:rsidR="00344007" w:rsidRDefault="00344007">
      <w:pPr>
        <w:pStyle w:val="FootnoteText"/>
      </w:pPr>
      <w:r w:rsidRPr="008B15B1">
        <w:rPr>
          <w:rStyle w:val="FootnoteReference"/>
          <w:lang w:val="en-GB"/>
        </w:rPr>
        <w:footnoteRef/>
      </w:r>
      <w:r w:rsidRPr="008B15B1">
        <w:rPr>
          <w:lang w:val="en-GB"/>
        </w:rPr>
        <w:t xml:space="preserve"> 04.12.2025</w:t>
      </w:r>
      <w:r w:rsidR="004B3846" w:rsidRPr="008B15B1">
        <w:rPr>
          <w:lang w:val="en-GB"/>
        </w:rPr>
        <w:t xml:space="preserve"> COM(2025) 940 final: Communication</w:t>
      </w:r>
      <w:r w:rsidR="00BA36E1" w:rsidRPr="008B15B1">
        <w:rPr>
          <w:lang w:val="en-GB"/>
        </w:rPr>
        <w:t xml:space="preserve"> from the Commission to the European Parliament, the European Council, the Council, the European Central Bank, the European Economic and Social Committee</w:t>
      </w:r>
      <w:r w:rsidR="00342BDF" w:rsidRPr="008B15B1">
        <w:rPr>
          <w:lang w:val="en-GB"/>
        </w:rPr>
        <w:t xml:space="preserve"> and the Committee of Regions “Further development of capital market integration and super</w:t>
      </w:r>
      <w:r w:rsidR="00A93D75" w:rsidRPr="008B15B1">
        <w:rPr>
          <w:lang w:val="en-GB"/>
        </w:rPr>
        <w:t>vision within</w:t>
      </w:r>
      <w:r w:rsidR="008B15B1">
        <w:rPr>
          <w:lang w:val="en-GB"/>
        </w:rPr>
        <w:t xml:space="preserve"> </w:t>
      </w:r>
      <w:r w:rsidR="00A93D75" w:rsidRPr="008B15B1">
        <w:rPr>
          <w:lang w:val="en-GB"/>
        </w:rPr>
        <w:t>the Union”</w:t>
      </w:r>
      <w:r w:rsidR="008B15B1">
        <w:rPr>
          <w:lang w:val="en-GB"/>
        </w:rPr>
        <w:t xml:space="preserve"> (dokuments pieejams angļu val)</w:t>
      </w:r>
      <w:r w:rsidR="00A93D75" w:rsidRPr="008B15B1">
        <w:rPr>
          <w:lang w:val="en-GB"/>
        </w:rPr>
        <w:t>.</w:t>
      </w:r>
    </w:p>
  </w:footnote>
  <w:footnote w:id="9">
    <w:p w14:paraId="327E9E81" w14:textId="77777777" w:rsidR="001829AC" w:rsidRDefault="001829AC" w:rsidP="001829AC">
      <w:pPr>
        <w:pStyle w:val="FootnoteText"/>
      </w:pPr>
      <w:r>
        <w:rPr>
          <w:rStyle w:val="FootnoteReference"/>
        </w:rPr>
        <w:footnoteRef/>
      </w:r>
      <w:r>
        <w:t xml:space="preserve"> </w:t>
      </w:r>
      <w:hyperlink r:id="rId2" w:history="1">
        <w:r w:rsidRPr="00CD57D5">
          <w:rPr>
            <w:rStyle w:val="Hyperlink"/>
          </w:rPr>
          <w:t>www.manapensija.lv</w:t>
        </w:r>
      </w:hyperlink>
      <w:r>
        <w:t xml:space="preserve"> dati uz 19.03.2025. </w:t>
      </w:r>
    </w:p>
  </w:footnote>
  <w:footnote w:id="10">
    <w:p w14:paraId="3E938917" w14:textId="1631C621" w:rsidR="001829AC" w:rsidRDefault="001829AC" w:rsidP="001829AC">
      <w:pPr>
        <w:pStyle w:val="FootnoteText"/>
      </w:pPr>
      <w:r>
        <w:rPr>
          <w:rStyle w:val="FootnoteReference"/>
        </w:rPr>
        <w:footnoteRef/>
      </w:r>
      <w:r>
        <w:t xml:space="preserve"> </w:t>
      </w:r>
      <w:hyperlink r:id="rId3" w:history="1">
        <w:r w:rsidRPr="00CD57D5">
          <w:rPr>
            <w:rStyle w:val="Hyperlink"/>
          </w:rPr>
          <w:t>www.bank.lv</w:t>
        </w:r>
      </w:hyperlink>
      <w:r>
        <w:t xml:space="preserve"> </w:t>
      </w:r>
      <w:r w:rsidR="00E05740">
        <w:t>04 Pensiju un ieguldījumu plānu ieguldījumi valstu dalījumā</w:t>
      </w:r>
      <w:r w:rsidR="004D7D55">
        <w:t xml:space="preserve">, Valsts fondēto pensiju </w:t>
      </w:r>
      <w:r w:rsidR="006E3DCC">
        <w:t>shēmas līdzekļi 2025.gada 3.ceturksnis.</w:t>
      </w:r>
    </w:p>
  </w:footnote>
  <w:footnote w:id="11">
    <w:p w14:paraId="639F6C2A" w14:textId="2D41F621" w:rsidR="001C7386" w:rsidRDefault="001C7386">
      <w:pPr>
        <w:pStyle w:val="FootnoteText"/>
      </w:pPr>
      <w:r>
        <w:rPr>
          <w:rStyle w:val="FootnoteReference"/>
        </w:rPr>
        <w:footnoteRef/>
      </w:r>
      <w:r>
        <w:t xml:space="preserve"> </w:t>
      </w:r>
      <w:hyperlink r:id="rId4" w:history="1">
        <w:r w:rsidRPr="008803AD">
          <w:rPr>
            <w:rStyle w:val="Hyperlink"/>
          </w:rPr>
          <w:t>https://eur-lex.europa.eu/legal-content/LV/TXT/HTML/?uri=CELEX:52025PC0826</w:t>
        </w:r>
      </w:hyperlink>
      <w:r>
        <w:t xml:space="preserve"> </w:t>
      </w:r>
    </w:p>
  </w:footnote>
  <w:footnote w:id="12">
    <w:p w14:paraId="7568708A" w14:textId="77777777" w:rsidR="002228AB" w:rsidRDefault="002228AB" w:rsidP="002228AB">
      <w:pPr>
        <w:pStyle w:val="FootnoteText"/>
      </w:pPr>
      <w:r>
        <w:rPr>
          <w:rStyle w:val="FootnoteReference"/>
        </w:rPr>
        <w:footnoteRef/>
      </w:r>
      <w:r>
        <w:t xml:space="preserve"> </w:t>
      </w:r>
      <w:hyperlink r:id="rId5" w:anchor="meeting-protocol-preview-15" w:history="1">
        <w:r w:rsidRPr="001C7521">
          <w:rPr>
            <w:rStyle w:val="Hyperlink"/>
          </w:rPr>
          <w:t>https://tapportals.mk.gov.lv/meetings/protocols/463eb5ed-c47b-4553-8ef6-ac549719161e#meeting-protocol-preview-15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5B7"/>
    <w:multiLevelType w:val="hybridMultilevel"/>
    <w:tmpl w:val="E36C27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193AC2"/>
    <w:multiLevelType w:val="hybridMultilevel"/>
    <w:tmpl w:val="13668B14"/>
    <w:lvl w:ilvl="0" w:tplc="F0827602">
      <w:start w:val="1"/>
      <w:numFmt w:val="bullet"/>
      <w:lvlText w:val="­"/>
      <w:lvlJc w:val="left"/>
      <w:pPr>
        <w:ind w:left="1440" w:hanging="360"/>
      </w:pPr>
      <w:rPr>
        <w:rFonts w:ascii="Courier New" w:hAnsi="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D062F9"/>
    <w:multiLevelType w:val="hybridMultilevel"/>
    <w:tmpl w:val="BBDC9C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944BEF"/>
    <w:multiLevelType w:val="hybridMultilevel"/>
    <w:tmpl w:val="B93CA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754BCF"/>
    <w:multiLevelType w:val="hybridMultilevel"/>
    <w:tmpl w:val="1D3AC12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0AAF1513"/>
    <w:multiLevelType w:val="hybridMultilevel"/>
    <w:tmpl w:val="EF60F04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D768B2"/>
    <w:multiLevelType w:val="hybridMultilevel"/>
    <w:tmpl w:val="9F92337A"/>
    <w:lvl w:ilvl="0" w:tplc="0426000F">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48B43C6"/>
    <w:multiLevelType w:val="hybridMultilevel"/>
    <w:tmpl w:val="A5D67E72"/>
    <w:lvl w:ilvl="0" w:tplc="FFFFFFFF">
      <w:start w:val="1"/>
      <w:numFmt w:val="bullet"/>
      <w:lvlText w:val="o"/>
      <w:lvlJc w:val="left"/>
      <w:pPr>
        <w:ind w:left="720" w:hanging="360"/>
      </w:pPr>
      <w:rPr>
        <w:rFonts w:ascii="Courier New"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200D9D"/>
    <w:multiLevelType w:val="hybridMultilevel"/>
    <w:tmpl w:val="A5E6E430"/>
    <w:lvl w:ilvl="0" w:tplc="95987E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639065A"/>
    <w:multiLevelType w:val="hybridMultilevel"/>
    <w:tmpl w:val="ACA23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B21F40"/>
    <w:multiLevelType w:val="hybridMultilevel"/>
    <w:tmpl w:val="091E31E8"/>
    <w:lvl w:ilvl="0" w:tplc="F6BEA2B6">
      <w:start w:val="1"/>
      <w:numFmt w:val="bullet"/>
      <w:lvlText w:val=""/>
      <w:lvlJc w:val="left"/>
      <w:pPr>
        <w:tabs>
          <w:tab w:val="num" w:pos="720"/>
        </w:tabs>
        <w:ind w:left="720" w:hanging="360"/>
      </w:pPr>
      <w:rPr>
        <w:rFonts w:ascii="Wingdings" w:hAnsi="Wingdings" w:hint="default"/>
      </w:rPr>
    </w:lvl>
    <w:lvl w:ilvl="1" w:tplc="A404DEB6" w:tentative="1">
      <w:start w:val="1"/>
      <w:numFmt w:val="bullet"/>
      <w:lvlText w:val=""/>
      <w:lvlJc w:val="left"/>
      <w:pPr>
        <w:tabs>
          <w:tab w:val="num" w:pos="1440"/>
        </w:tabs>
        <w:ind w:left="1440" w:hanging="360"/>
      </w:pPr>
      <w:rPr>
        <w:rFonts w:ascii="Wingdings" w:hAnsi="Wingdings" w:hint="default"/>
      </w:rPr>
    </w:lvl>
    <w:lvl w:ilvl="2" w:tplc="65CEF60E" w:tentative="1">
      <w:start w:val="1"/>
      <w:numFmt w:val="bullet"/>
      <w:lvlText w:val=""/>
      <w:lvlJc w:val="left"/>
      <w:pPr>
        <w:tabs>
          <w:tab w:val="num" w:pos="2160"/>
        </w:tabs>
        <w:ind w:left="2160" w:hanging="360"/>
      </w:pPr>
      <w:rPr>
        <w:rFonts w:ascii="Wingdings" w:hAnsi="Wingdings" w:hint="default"/>
      </w:rPr>
    </w:lvl>
    <w:lvl w:ilvl="3" w:tplc="08E0F424" w:tentative="1">
      <w:start w:val="1"/>
      <w:numFmt w:val="bullet"/>
      <w:lvlText w:val=""/>
      <w:lvlJc w:val="left"/>
      <w:pPr>
        <w:tabs>
          <w:tab w:val="num" w:pos="2880"/>
        </w:tabs>
        <w:ind w:left="2880" w:hanging="360"/>
      </w:pPr>
      <w:rPr>
        <w:rFonts w:ascii="Wingdings" w:hAnsi="Wingdings" w:hint="default"/>
      </w:rPr>
    </w:lvl>
    <w:lvl w:ilvl="4" w:tplc="98546AFE" w:tentative="1">
      <w:start w:val="1"/>
      <w:numFmt w:val="bullet"/>
      <w:lvlText w:val=""/>
      <w:lvlJc w:val="left"/>
      <w:pPr>
        <w:tabs>
          <w:tab w:val="num" w:pos="3600"/>
        </w:tabs>
        <w:ind w:left="3600" w:hanging="360"/>
      </w:pPr>
      <w:rPr>
        <w:rFonts w:ascii="Wingdings" w:hAnsi="Wingdings" w:hint="default"/>
      </w:rPr>
    </w:lvl>
    <w:lvl w:ilvl="5" w:tplc="1CFC3A20" w:tentative="1">
      <w:start w:val="1"/>
      <w:numFmt w:val="bullet"/>
      <w:lvlText w:val=""/>
      <w:lvlJc w:val="left"/>
      <w:pPr>
        <w:tabs>
          <w:tab w:val="num" w:pos="4320"/>
        </w:tabs>
        <w:ind w:left="4320" w:hanging="360"/>
      </w:pPr>
      <w:rPr>
        <w:rFonts w:ascii="Wingdings" w:hAnsi="Wingdings" w:hint="default"/>
      </w:rPr>
    </w:lvl>
    <w:lvl w:ilvl="6" w:tplc="26BED19C" w:tentative="1">
      <w:start w:val="1"/>
      <w:numFmt w:val="bullet"/>
      <w:lvlText w:val=""/>
      <w:lvlJc w:val="left"/>
      <w:pPr>
        <w:tabs>
          <w:tab w:val="num" w:pos="5040"/>
        </w:tabs>
        <w:ind w:left="5040" w:hanging="360"/>
      </w:pPr>
      <w:rPr>
        <w:rFonts w:ascii="Wingdings" w:hAnsi="Wingdings" w:hint="default"/>
      </w:rPr>
    </w:lvl>
    <w:lvl w:ilvl="7" w:tplc="D19CF2E4" w:tentative="1">
      <w:start w:val="1"/>
      <w:numFmt w:val="bullet"/>
      <w:lvlText w:val=""/>
      <w:lvlJc w:val="left"/>
      <w:pPr>
        <w:tabs>
          <w:tab w:val="num" w:pos="5760"/>
        </w:tabs>
        <w:ind w:left="5760" w:hanging="360"/>
      </w:pPr>
      <w:rPr>
        <w:rFonts w:ascii="Wingdings" w:hAnsi="Wingdings" w:hint="default"/>
      </w:rPr>
    </w:lvl>
    <w:lvl w:ilvl="8" w:tplc="A2E825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C1275"/>
    <w:multiLevelType w:val="hybridMultilevel"/>
    <w:tmpl w:val="20F4BC7C"/>
    <w:lvl w:ilvl="0" w:tplc="4C4C8EB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A8A14D"/>
    <w:multiLevelType w:val="hybridMultilevel"/>
    <w:tmpl w:val="D146E37E"/>
    <w:lvl w:ilvl="0" w:tplc="9D02E796">
      <w:start w:val="1"/>
      <w:numFmt w:val="bullet"/>
      <w:lvlText w:val="o"/>
      <w:lvlJc w:val="left"/>
      <w:pPr>
        <w:ind w:left="1440" w:hanging="360"/>
      </w:pPr>
      <w:rPr>
        <w:rFonts w:ascii="Courier New" w:hAnsi="Courier New" w:hint="default"/>
      </w:rPr>
    </w:lvl>
    <w:lvl w:ilvl="1" w:tplc="070477CE">
      <w:start w:val="1"/>
      <w:numFmt w:val="bullet"/>
      <w:lvlText w:val="o"/>
      <w:lvlJc w:val="left"/>
      <w:pPr>
        <w:ind w:left="2160" w:hanging="360"/>
      </w:pPr>
      <w:rPr>
        <w:rFonts w:ascii="Courier New" w:hAnsi="Courier New" w:hint="default"/>
      </w:rPr>
    </w:lvl>
    <w:lvl w:ilvl="2" w:tplc="A7C2411E">
      <w:start w:val="1"/>
      <w:numFmt w:val="bullet"/>
      <w:lvlText w:val=""/>
      <w:lvlJc w:val="left"/>
      <w:pPr>
        <w:ind w:left="2880" w:hanging="360"/>
      </w:pPr>
      <w:rPr>
        <w:rFonts w:ascii="Wingdings" w:hAnsi="Wingdings" w:hint="default"/>
      </w:rPr>
    </w:lvl>
    <w:lvl w:ilvl="3" w:tplc="A4DC34BC">
      <w:start w:val="1"/>
      <w:numFmt w:val="bullet"/>
      <w:lvlText w:val=""/>
      <w:lvlJc w:val="left"/>
      <w:pPr>
        <w:ind w:left="3600" w:hanging="360"/>
      </w:pPr>
      <w:rPr>
        <w:rFonts w:ascii="Symbol" w:hAnsi="Symbol" w:hint="default"/>
      </w:rPr>
    </w:lvl>
    <w:lvl w:ilvl="4" w:tplc="933022A2">
      <w:start w:val="1"/>
      <w:numFmt w:val="bullet"/>
      <w:lvlText w:val="o"/>
      <w:lvlJc w:val="left"/>
      <w:pPr>
        <w:ind w:left="4320" w:hanging="360"/>
      </w:pPr>
      <w:rPr>
        <w:rFonts w:ascii="Courier New" w:hAnsi="Courier New" w:hint="default"/>
      </w:rPr>
    </w:lvl>
    <w:lvl w:ilvl="5" w:tplc="003C72D8">
      <w:start w:val="1"/>
      <w:numFmt w:val="bullet"/>
      <w:lvlText w:val=""/>
      <w:lvlJc w:val="left"/>
      <w:pPr>
        <w:ind w:left="5040" w:hanging="360"/>
      </w:pPr>
      <w:rPr>
        <w:rFonts w:ascii="Wingdings" w:hAnsi="Wingdings" w:hint="default"/>
      </w:rPr>
    </w:lvl>
    <w:lvl w:ilvl="6" w:tplc="6AEEC8AA">
      <w:start w:val="1"/>
      <w:numFmt w:val="bullet"/>
      <w:lvlText w:val=""/>
      <w:lvlJc w:val="left"/>
      <w:pPr>
        <w:ind w:left="5760" w:hanging="360"/>
      </w:pPr>
      <w:rPr>
        <w:rFonts w:ascii="Symbol" w:hAnsi="Symbol" w:hint="default"/>
      </w:rPr>
    </w:lvl>
    <w:lvl w:ilvl="7" w:tplc="A022CAD4">
      <w:start w:val="1"/>
      <w:numFmt w:val="bullet"/>
      <w:lvlText w:val="o"/>
      <w:lvlJc w:val="left"/>
      <w:pPr>
        <w:ind w:left="6480" w:hanging="360"/>
      </w:pPr>
      <w:rPr>
        <w:rFonts w:ascii="Courier New" w:hAnsi="Courier New" w:hint="default"/>
      </w:rPr>
    </w:lvl>
    <w:lvl w:ilvl="8" w:tplc="BB402220">
      <w:start w:val="1"/>
      <w:numFmt w:val="bullet"/>
      <w:lvlText w:val=""/>
      <w:lvlJc w:val="left"/>
      <w:pPr>
        <w:ind w:left="7200" w:hanging="360"/>
      </w:pPr>
      <w:rPr>
        <w:rFonts w:ascii="Wingdings" w:hAnsi="Wingdings" w:hint="default"/>
      </w:rPr>
    </w:lvl>
  </w:abstractNum>
  <w:abstractNum w:abstractNumId="13" w15:restartNumberingAfterBreak="0">
    <w:nsid w:val="2D683DC7"/>
    <w:multiLevelType w:val="hybridMultilevel"/>
    <w:tmpl w:val="E5241864"/>
    <w:lvl w:ilvl="0" w:tplc="0426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E635493"/>
    <w:multiLevelType w:val="hybridMultilevel"/>
    <w:tmpl w:val="7CF408DA"/>
    <w:lvl w:ilvl="0" w:tplc="FFFFFFFF">
      <w:start w:val="1"/>
      <w:numFmt w:val="bullet"/>
      <w:lvlText w:val="o"/>
      <w:lvlJc w:val="left"/>
      <w:pPr>
        <w:ind w:left="720" w:hanging="360"/>
      </w:pPr>
      <w:rPr>
        <w:rFonts w:ascii="Courier New" w:hAnsi="Courier New" w:hint="default"/>
      </w:rPr>
    </w:lvl>
    <w:lvl w:ilvl="1" w:tplc="F0827602">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2A57BF"/>
    <w:multiLevelType w:val="hybridMultilevel"/>
    <w:tmpl w:val="FAA6577E"/>
    <w:lvl w:ilvl="0" w:tplc="134E1B6A">
      <w:start w:val="1"/>
      <w:numFmt w:val="decimal"/>
      <w:lvlText w:val="%1."/>
      <w:lvlJc w:val="left"/>
      <w:pPr>
        <w:ind w:left="720" w:hanging="360"/>
      </w:pPr>
    </w:lvl>
    <w:lvl w:ilvl="1" w:tplc="2C8A08BC">
      <w:start w:val="1"/>
      <w:numFmt w:val="lowerLetter"/>
      <w:lvlText w:val="%2."/>
      <w:lvlJc w:val="left"/>
      <w:pPr>
        <w:ind w:left="1440" w:hanging="360"/>
      </w:pPr>
    </w:lvl>
    <w:lvl w:ilvl="2" w:tplc="96BC16F0">
      <w:start w:val="1"/>
      <w:numFmt w:val="lowerRoman"/>
      <w:lvlText w:val="%3."/>
      <w:lvlJc w:val="right"/>
      <w:pPr>
        <w:ind w:left="2160" w:hanging="180"/>
      </w:pPr>
    </w:lvl>
    <w:lvl w:ilvl="3" w:tplc="398AABF2">
      <w:start w:val="1"/>
      <w:numFmt w:val="decimal"/>
      <w:lvlText w:val="%4."/>
      <w:lvlJc w:val="left"/>
      <w:pPr>
        <w:ind w:left="2880" w:hanging="360"/>
      </w:pPr>
    </w:lvl>
    <w:lvl w:ilvl="4" w:tplc="F718058A">
      <w:start w:val="1"/>
      <w:numFmt w:val="lowerLetter"/>
      <w:lvlText w:val="%5."/>
      <w:lvlJc w:val="left"/>
      <w:pPr>
        <w:ind w:left="3600" w:hanging="360"/>
      </w:pPr>
    </w:lvl>
    <w:lvl w:ilvl="5" w:tplc="D3760E20">
      <w:start w:val="1"/>
      <w:numFmt w:val="lowerRoman"/>
      <w:lvlText w:val="%6."/>
      <w:lvlJc w:val="right"/>
      <w:pPr>
        <w:ind w:left="4320" w:hanging="180"/>
      </w:pPr>
    </w:lvl>
    <w:lvl w:ilvl="6" w:tplc="2F702214">
      <w:start w:val="1"/>
      <w:numFmt w:val="decimal"/>
      <w:lvlText w:val="%7."/>
      <w:lvlJc w:val="left"/>
      <w:pPr>
        <w:ind w:left="5040" w:hanging="360"/>
      </w:pPr>
    </w:lvl>
    <w:lvl w:ilvl="7" w:tplc="C706E6AA">
      <w:start w:val="1"/>
      <w:numFmt w:val="lowerLetter"/>
      <w:lvlText w:val="%8."/>
      <w:lvlJc w:val="left"/>
      <w:pPr>
        <w:ind w:left="5760" w:hanging="360"/>
      </w:pPr>
    </w:lvl>
    <w:lvl w:ilvl="8" w:tplc="A7D8BC3A">
      <w:start w:val="1"/>
      <w:numFmt w:val="lowerRoman"/>
      <w:lvlText w:val="%9."/>
      <w:lvlJc w:val="right"/>
      <w:pPr>
        <w:ind w:left="6480" w:hanging="180"/>
      </w:pPr>
    </w:lvl>
  </w:abstractNum>
  <w:abstractNum w:abstractNumId="16" w15:restartNumberingAfterBreak="0">
    <w:nsid w:val="31513EA6"/>
    <w:multiLevelType w:val="hybridMultilevel"/>
    <w:tmpl w:val="B2702ABC"/>
    <w:lvl w:ilvl="0" w:tplc="D65C0AEA">
      <w:start w:val="1"/>
      <w:numFmt w:val="decimal"/>
      <w:lvlText w:val="%1."/>
      <w:lvlJc w:val="left"/>
      <w:pPr>
        <w:ind w:left="720" w:hanging="360"/>
      </w:pPr>
    </w:lvl>
    <w:lvl w:ilvl="1" w:tplc="232C9FBC">
      <w:start w:val="1"/>
      <w:numFmt w:val="lowerLetter"/>
      <w:lvlText w:val="%2."/>
      <w:lvlJc w:val="left"/>
      <w:pPr>
        <w:ind w:left="1440" w:hanging="360"/>
      </w:pPr>
    </w:lvl>
    <w:lvl w:ilvl="2" w:tplc="5880A6E0">
      <w:start w:val="1"/>
      <w:numFmt w:val="lowerRoman"/>
      <w:lvlText w:val="%3."/>
      <w:lvlJc w:val="right"/>
      <w:pPr>
        <w:ind w:left="2160" w:hanging="180"/>
      </w:pPr>
    </w:lvl>
    <w:lvl w:ilvl="3" w:tplc="720A7582">
      <w:start w:val="1"/>
      <w:numFmt w:val="decimal"/>
      <w:lvlText w:val="%4."/>
      <w:lvlJc w:val="left"/>
      <w:pPr>
        <w:ind w:left="2880" w:hanging="360"/>
      </w:pPr>
    </w:lvl>
    <w:lvl w:ilvl="4" w:tplc="72D4A51E">
      <w:start w:val="1"/>
      <w:numFmt w:val="lowerLetter"/>
      <w:lvlText w:val="%5."/>
      <w:lvlJc w:val="left"/>
      <w:pPr>
        <w:ind w:left="3600" w:hanging="360"/>
      </w:pPr>
    </w:lvl>
    <w:lvl w:ilvl="5" w:tplc="E7A64704">
      <w:start w:val="1"/>
      <w:numFmt w:val="lowerRoman"/>
      <w:lvlText w:val="%6."/>
      <w:lvlJc w:val="right"/>
      <w:pPr>
        <w:ind w:left="4320" w:hanging="180"/>
      </w:pPr>
    </w:lvl>
    <w:lvl w:ilvl="6" w:tplc="D4B844B4">
      <w:start w:val="1"/>
      <w:numFmt w:val="decimal"/>
      <w:lvlText w:val="%7."/>
      <w:lvlJc w:val="left"/>
      <w:pPr>
        <w:ind w:left="5040" w:hanging="360"/>
      </w:pPr>
    </w:lvl>
    <w:lvl w:ilvl="7" w:tplc="274872A6">
      <w:start w:val="1"/>
      <w:numFmt w:val="lowerLetter"/>
      <w:lvlText w:val="%8."/>
      <w:lvlJc w:val="left"/>
      <w:pPr>
        <w:ind w:left="5760" w:hanging="360"/>
      </w:pPr>
    </w:lvl>
    <w:lvl w:ilvl="8" w:tplc="E3C8210C">
      <w:start w:val="1"/>
      <w:numFmt w:val="lowerRoman"/>
      <w:lvlText w:val="%9."/>
      <w:lvlJc w:val="right"/>
      <w:pPr>
        <w:ind w:left="6480" w:hanging="180"/>
      </w:pPr>
    </w:lvl>
  </w:abstractNum>
  <w:abstractNum w:abstractNumId="17" w15:restartNumberingAfterBreak="0">
    <w:nsid w:val="3157B5C3"/>
    <w:multiLevelType w:val="hybridMultilevel"/>
    <w:tmpl w:val="75F01274"/>
    <w:lvl w:ilvl="0" w:tplc="41D88B04">
      <w:start w:val="1"/>
      <w:numFmt w:val="decimal"/>
      <w:lvlText w:val="%1."/>
      <w:lvlJc w:val="left"/>
      <w:pPr>
        <w:ind w:left="720" w:hanging="360"/>
      </w:pPr>
    </w:lvl>
    <w:lvl w:ilvl="1" w:tplc="8DD0FC0A">
      <w:start w:val="1"/>
      <w:numFmt w:val="lowerLetter"/>
      <w:lvlText w:val="%2."/>
      <w:lvlJc w:val="left"/>
      <w:pPr>
        <w:ind w:left="1440" w:hanging="360"/>
      </w:pPr>
    </w:lvl>
    <w:lvl w:ilvl="2" w:tplc="C1521E50">
      <w:start w:val="1"/>
      <w:numFmt w:val="lowerRoman"/>
      <w:lvlText w:val="%3."/>
      <w:lvlJc w:val="right"/>
      <w:pPr>
        <w:ind w:left="2160" w:hanging="180"/>
      </w:pPr>
    </w:lvl>
    <w:lvl w:ilvl="3" w:tplc="5A223ED0">
      <w:start w:val="1"/>
      <w:numFmt w:val="decimal"/>
      <w:lvlText w:val="%4."/>
      <w:lvlJc w:val="left"/>
      <w:pPr>
        <w:ind w:left="2880" w:hanging="360"/>
      </w:pPr>
    </w:lvl>
    <w:lvl w:ilvl="4" w:tplc="312819CC">
      <w:start w:val="1"/>
      <w:numFmt w:val="lowerLetter"/>
      <w:lvlText w:val="%5."/>
      <w:lvlJc w:val="left"/>
      <w:pPr>
        <w:ind w:left="3600" w:hanging="360"/>
      </w:pPr>
    </w:lvl>
    <w:lvl w:ilvl="5" w:tplc="040ED540">
      <w:start w:val="1"/>
      <w:numFmt w:val="lowerRoman"/>
      <w:lvlText w:val="%6."/>
      <w:lvlJc w:val="right"/>
      <w:pPr>
        <w:ind w:left="4320" w:hanging="180"/>
      </w:pPr>
    </w:lvl>
    <w:lvl w:ilvl="6" w:tplc="8916860A">
      <w:start w:val="1"/>
      <w:numFmt w:val="decimal"/>
      <w:lvlText w:val="%7."/>
      <w:lvlJc w:val="left"/>
      <w:pPr>
        <w:ind w:left="5040" w:hanging="360"/>
      </w:pPr>
    </w:lvl>
    <w:lvl w:ilvl="7" w:tplc="ACC6979A">
      <w:start w:val="1"/>
      <w:numFmt w:val="lowerLetter"/>
      <w:lvlText w:val="%8."/>
      <w:lvlJc w:val="left"/>
      <w:pPr>
        <w:ind w:left="5760" w:hanging="360"/>
      </w:pPr>
    </w:lvl>
    <w:lvl w:ilvl="8" w:tplc="83FAB670">
      <w:start w:val="1"/>
      <w:numFmt w:val="lowerRoman"/>
      <w:lvlText w:val="%9."/>
      <w:lvlJc w:val="right"/>
      <w:pPr>
        <w:ind w:left="6480" w:hanging="180"/>
      </w:pPr>
    </w:lvl>
  </w:abstractNum>
  <w:abstractNum w:abstractNumId="18" w15:restartNumberingAfterBreak="0">
    <w:nsid w:val="3DB91F7E"/>
    <w:multiLevelType w:val="hybridMultilevel"/>
    <w:tmpl w:val="89D2B75E"/>
    <w:lvl w:ilvl="0" w:tplc="0426000F">
      <w:start w:val="1"/>
      <w:numFmt w:val="decimal"/>
      <w:lvlText w:val="%1."/>
      <w:lvlJc w:val="left"/>
      <w:pPr>
        <w:ind w:left="1440" w:hanging="360"/>
      </w:pPr>
      <w:rPr>
        <w:rFonts w:hint="default"/>
      </w:rPr>
    </w:lvl>
    <w:lvl w:ilvl="1" w:tplc="9CB2DA2C" w:tentative="1">
      <w:start w:val="1"/>
      <w:numFmt w:val="lowerLetter"/>
      <w:lvlText w:val="%2."/>
      <w:lvlJc w:val="left"/>
      <w:pPr>
        <w:ind w:left="2160" w:hanging="360"/>
      </w:pPr>
    </w:lvl>
    <w:lvl w:ilvl="2" w:tplc="559A4860" w:tentative="1">
      <w:start w:val="1"/>
      <w:numFmt w:val="lowerRoman"/>
      <w:lvlText w:val="%3."/>
      <w:lvlJc w:val="right"/>
      <w:pPr>
        <w:ind w:left="2880" w:hanging="180"/>
      </w:pPr>
    </w:lvl>
    <w:lvl w:ilvl="3" w:tplc="00F4DCC6" w:tentative="1">
      <w:start w:val="1"/>
      <w:numFmt w:val="decimal"/>
      <w:lvlText w:val="%4."/>
      <w:lvlJc w:val="left"/>
      <w:pPr>
        <w:ind w:left="3600" w:hanging="360"/>
      </w:pPr>
    </w:lvl>
    <w:lvl w:ilvl="4" w:tplc="1FDA5B2E" w:tentative="1">
      <w:start w:val="1"/>
      <w:numFmt w:val="lowerLetter"/>
      <w:lvlText w:val="%5."/>
      <w:lvlJc w:val="left"/>
      <w:pPr>
        <w:ind w:left="4320" w:hanging="360"/>
      </w:pPr>
    </w:lvl>
    <w:lvl w:ilvl="5" w:tplc="72A46246" w:tentative="1">
      <w:start w:val="1"/>
      <w:numFmt w:val="lowerRoman"/>
      <w:lvlText w:val="%6."/>
      <w:lvlJc w:val="right"/>
      <w:pPr>
        <w:ind w:left="5040" w:hanging="180"/>
      </w:pPr>
    </w:lvl>
    <w:lvl w:ilvl="6" w:tplc="AA74B540" w:tentative="1">
      <w:start w:val="1"/>
      <w:numFmt w:val="decimal"/>
      <w:lvlText w:val="%7."/>
      <w:lvlJc w:val="left"/>
      <w:pPr>
        <w:ind w:left="5760" w:hanging="360"/>
      </w:pPr>
    </w:lvl>
    <w:lvl w:ilvl="7" w:tplc="10F03B1A" w:tentative="1">
      <w:start w:val="1"/>
      <w:numFmt w:val="lowerLetter"/>
      <w:lvlText w:val="%8."/>
      <w:lvlJc w:val="left"/>
      <w:pPr>
        <w:ind w:left="6480" w:hanging="360"/>
      </w:pPr>
    </w:lvl>
    <w:lvl w:ilvl="8" w:tplc="DDD27716" w:tentative="1">
      <w:start w:val="1"/>
      <w:numFmt w:val="lowerRoman"/>
      <w:lvlText w:val="%9."/>
      <w:lvlJc w:val="right"/>
      <w:pPr>
        <w:ind w:left="7200" w:hanging="180"/>
      </w:pPr>
    </w:lvl>
  </w:abstractNum>
  <w:abstractNum w:abstractNumId="19" w15:restartNumberingAfterBreak="0">
    <w:nsid w:val="403F62B0"/>
    <w:multiLevelType w:val="hybridMultilevel"/>
    <w:tmpl w:val="9D4AB1D0"/>
    <w:lvl w:ilvl="0" w:tplc="16B47DEC">
      <w:start w:val="1"/>
      <w:numFmt w:val="bullet"/>
      <w:lvlText w:val="x"/>
      <w:lvlJc w:val="left"/>
      <w:pPr>
        <w:tabs>
          <w:tab w:val="num" w:pos="720"/>
        </w:tabs>
        <w:ind w:left="720" w:hanging="360"/>
      </w:pPr>
      <w:rPr>
        <w:rFonts w:ascii="Times New Roman" w:hAnsi="Times New Roman" w:hint="default"/>
      </w:rPr>
    </w:lvl>
    <w:lvl w:ilvl="1" w:tplc="478C308A" w:tentative="1">
      <w:start w:val="1"/>
      <w:numFmt w:val="bullet"/>
      <w:lvlText w:val="x"/>
      <w:lvlJc w:val="left"/>
      <w:pPr>
        <w:tabs>
          <w:tab w:val="num" w:pos="1440"/>
        </w:tabs>
        <w:ind w:left="1440" w:hanging="360"/>
      </w:pPr>
      <w:rPr>
        <w:rFonts w:ascii="Times New Roman" w:hAnsi="Times New Roman" w:hint="default"/>
      </w:rPr>
    </w:lvl>
    <w:lvl w:ilvl="2" w:tplc="8CC272A8" w:tentative="1">
      <w:start w:val="1"/>
      <w:numFmt w:val="bullet"/>
      <w:lvlText w:val="x"/>
      <w:lvlJc w:val="left"/>
      <w:pPr>
        <w:tabs>
          <w:tab w:val="num" w:pos="2160"/>
        </w:tabs>
        <w:ind w:left="2160" w:hanging="360"/>
      </w:pPr>
      <w:rPr>
        <w:rFonts w:ascii="Times New Roman" w:hAnsi="Times New Roman" w:hint="default"/>
      </w:rPr>
    </w:lvl>
    <w:lvl w:ilvl="3" w:tplc="1C2C2916" w:tentative="1">
      <w:start w:val="1"/>
      <w:numFmt w:val="bullet"/>
      <w:lvlText w:val="x"/>
      <w:lvlJc w:val="left"/>
      <w:pPr>
        <w:tabs>
          <w:tab w:val="num" w:pos="2880"/>
        </w:tabs>
        <w:ind w:left="2880" w:hanging="360"/>
      </w:pPr>
      <w:rPr>
        <w:rFonts w:ascii="Times New Roman" w:hAnsi="Times New Roman" w:hint="default"/>
      </w:rPr>
    </w:lvl>
    <w:lvl w:ilvl="4" w:tplc="737008B6" w:tentative="1">
      <w:start w:val="1"/>
      <w:numFmt w:val="bullet"/>
      <w:lvlText w:val="x"/>
      <w:lvlJc w:val="left"/>
      <w:pPr>
        <w:tabs>
          <w:tab w:val="num" w:pos="3600"/>
        </w:tabs>
        <w:ind w:left="3600" w:hanging="360"/>
      </w:pPr>
      <w:rPr>
        <w:rFonts w:ascii="Times New Roman" w:hAnsi="Times New Roman" w:hint="default"/>
      </w:rPr>
    </w:lvl>
    <w:lvl w:ilvl="5" w:tplc="7A1043E0" w:tentative="1">
      <w:start w:val="1"/>
      <w:numFmt w:val="bullet"/>
      <w:lvlText w:val="x"/>
      <w:lvlJc w:val="left"/>
      <w:pPr>
        <w:tabs>
          <w:tab w:val="num" w:pos="4320"/>
        </w:tabs>
        <w:ind w:left="4320" w:hanging="360"/>
      </w:pPr>
      <w:rPr>
        <w:rFonts w:ascii="Times New Roman" w:hAnsi="Times New Roman" w:hint="default"/>
      </w:rPr>
    </w:lvl>
    <w:lvl w:ilvl="6" w:tplc="5B8EC540" w:tentative="1">
      <w:start w:val="1"/>
      <w:numFmt w:val="bullet"/>
      <w:lvlText w:val="x"/>
      <w:lvlJc w:val="left"/>
      <w:pPr>
        <w:tabs>
          <w:tab w:val="num" w:pos="5040"/>
        </w:tabs>
        <w:ind w:left="5040" w:hanging="360"/>
      </w:pPr>
      <w:rPr>
        <w:rFonts w:ascii="Times New Roman" w:hAnsi="Times New Roman" w:hint="default"/>
      </w:rPr>
    </w:lvl>
    <w:lvl w:ilvl="7" w:tplc="BEEE6202" w:tentative="1">
      <w:start w:val="1"/>
      <w:numFmt w:val="bullet"/>
      <w:lvlText w:val="x"/>
      <w:lvlJc w:val="left"/>
      <w:pPr>
        <w:tabs>
          <w:tab w:val="num" w:pos="5760"/>
        </w:tabs>
        <w:ind w:left="5760" w:hanging="360"/>
      </w:pPr>
      <w:rPr>
        <w:rFonts w:ascii="Times New Roman" w:hAnsi="Times New Roman" w:hint="default"/>
      </w:rPr>
    </w:lvl>
    <w:lvl w:ilvl="8" w:tplc="49747F96" w:tentative="1">
      <w:start w:val="1"/>
      <w:numFmt w:val="bullet"/>
      <w:lvlText w:val="x"/>
      <w:lvlJc w:val="left"/>
      <w:pPr>
        <w:tabs>
          <w:tab w:val="num" w:pos="6480"/>
        </w:tabs>
        <w:ind w:left="6480" w:hanging="360"/>
      </w:pPr>
      <w:rPr>
        <w:rFonts w:ascii="Times New Roman" w:hAnsi="Times New Roman" w:hint="default"/>
      </w:rPr>
    </w:lvl>
  </w:abstractNum>
  <w:abstractNum w:abstractNumId="20" w15:restartNumberingAfterBreak="0">
    <w:nsid w:val="41F34E0D"/>
    <w:multiLevelType w:val="hybridMultilevel"/>
    <w:tmpl w:val="A60A5688"/>
    <w:lvl w:ilvl="0" w:tplc="0426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429060D6"/>
    <w:multiLevelType w:val="hybridMultilevel"/>
    <w:tmpl w:val="0030973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0E585C"/>
    <w:multiLevelType w:val="hybridMultilevel"/>
    <w:tmpl w:val="3332869C"/>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9A0374A"/>
    <w:multiLevelType w:val="hybridMultilevel"/>
    <w:tmpl w:val="B3DEBF2E"/>
    <w:lvl w:ilvl="0" w:tplc="14CE8A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774436A"/>
    <w:multiLevelType w:val="hybridMultilevel"/>
    <w:tmpl w:val="D3F4BB4C"/>
    <w:lvl w:ilvl="0" w:tplc="F11A2024">
      <w:start w:val="1"/>
      <w:numFmt w:val="bullet"/>
      <w:lvlText w:val="x"/>
      <w:lvlJc w:val="left"/>
      <w:pPr>
        <w:tabs>
          <w:tab w:val="num" w:pos="720"/>
        </w:tabs>
        <w:ind w:left="720" w:hanging="360"/>
      </w:pPr>
      <w:rPr>
        <w:rFonts w:ascii="Times New Roman" w:hAnsi="Times New Roman" w:hint="default"/>
      </w:rPr>
    </w:lvl>
    <w:lvl w:ilvl="1" w:tplc="8B944428" w:tentative="1">
      <w:start w:val="1"/>
      <w:numFmt w:val="bullet"/>
      <w:lvlText w:val="x"/>
      <w:lvlJc w:val="left"/>
      <w:pPr>
        <w:tabs>
          <w:tab w:val="num" w:pos="1440"/>
        </w:tabs>
        <w:ind w:left="1440" w:hanging="360"/>
      </w:pPr>
      <w:rPr>
        <w:rFonts w:ascii="Times New Roman" w:hAnsi="Times New Roman" w:hint="default"/>
      </w:rPr>
    </w:lvl>
    <w:lvl w:ilvl="2" w:tplc="1ED416BE" w:tentative="1">
      <w:start w:val="1"/>
      <w:numFmt w:val="bullet"/>
      <w:lvlText w:val="x"/>
      <w:lvlJc w:val="left"/>
      <w:pPr>
        <w:tabs>
          <w:tab w:val="num" w:pos="2160"/>
        </w:tabs>
        <w:ind w:left="2160" w:hanging="360"/>
      </w:pPr>
      <w:rPr>
        <w:rFonts w:ascii="Times New Roman" w:hAnsi="Times New Roman" w:hint="default"/>
      </w:rPr>
    </w:lvl>
    <w:lvl w:ilvl="3" w:tplc="CDE0B504" w:tentative="1">
      <w:start w:val="1"/>
      <w:numFmt w:val="bullet"/>
      <w:lvlText w:val="x"/>
      <w:lvlJc w:val="left"/>
      <w:pPr>
        <w:tabs>
          <w:tab w:val="num" w:pos="2880"/>
        </w:tabs>
        <w:ind w:left="2880" w:hanging="360"/>
      </w:pPr>
      <w:rPr>
        <w:rFonts w:ascii="Times New Roman" w:hAnsi="Times New Roman" w:hint="default"/>
      </w:rPr>
    </w:lvl>
    <w:lvl w:ilvl="4" w:tplc="0CBE465A" w:tentative="1">
      <w:start w:val="1"/>
      <w:numFmt w:val="bullet"/>
      <w:lvlText w:val="x"/>
      <w:lvlJc w:val="left"/>
      <w:pPr>
        <w:tabs>
          <w:tab w:val="num" w:pos="3600"/>
        </w:tabs>
        <w:ind w:left="3600" w:hanging="360"/>
      </w:pPr>
      <w:rPr>
        <w:rFonts w:ascii="Times New Roman" w:hAnsi="Times New Roman" w:hint="default"/>
      </w:rPr>
    </w:lvl>
    <w:lvl w:ilvl="5" w:tplc="4F82BDD0" w:tentative="1">
      <w:start w:val="1"/>
      <w:numFmt w:val="bullet"/>
      <w:lvlText w:val="x"/>
      <w:lvlJc w:val="left"/>
      <w:pPr>
        <w:tabs>
          <w:tab w:val="num" w:pos="4320"/>
        </w:tabs>
        <w:ind w:left="4320" w:hanging="360"/>
      </w:pPr>
      <w:rPr>
        <w:rFonts w:ascii="Times New Roman" w:hAnsi="Times New Roman" w:hint="default"/>
      </w:rPr>
    </w:lvl>
    <w:lvl w:ilvl="6" w:tplc="740EB1D6" w:tentative="1">
      <w:start w:val="1"/>
      <w:numFmt w:val="bullet"/>
      <w:lvlText w:val="x"/>
      <w:lvlJc w:val="left"/>
      <w:pPr>
        <w:tabs>
          <w:tab w:val="num" w:pos="5040"/>
        </w:tabs>
        <w:ind w:left="5040" w:hanging="360"/>
      </w:pPr>
      <w:rPr>
        <w:rFonts w:ascii="Times New Roman" w:hAnsi="Times New Roman" w:hint="default"/>
      </w:rPr>
    </w:lvl>
    <w:lvl w:ilvl="7" w:tplc="D06C600E" w:tentative="1">
      <w:start w:val="1"/>
      <w:numFmt w:val="bullet"/>
      <w:lvlText w:val="x"/>
      <w:lvlJc w:val="left"/>
      <w:pPr>
        <w:tabs>
          <w:tab w:val="num" w:pos="5760"/>
        </w:tabs>
        <w:ind w:left="5760" w:hanging="360"/>
      </w:pPr>
      <w:rPr>
        <w:rFonts w:ascii="Times New Roman" w:hAnsi="Times New Roman" w:hint="default"/>
      </w:rPr>
    </w:lvl>
    <w:lvl w:ilvl="8" w:tplc="6A663F48" w:tentative="1">
      <w:start w:val="1"/>
      <w:numFmt w:val="bullet"/>
      <w:lvlText w:val="x"/>
      <w:lvlJc w:val="left"/>
      <w:pPr>
        <w:tabs>
          <w:tab w:val="num" w:pos="6480"/>
        </w:tabs>
        <w:ind w:left="6480" w:hanging="360"/>
      </w:pPr>
      <w:rPr>
        <w:rFonts w:ascii="Times New Roman" w:hAnsi="Times New Roman" w:hint="default"/>
      </w:rPr>
    </w:lvl>
  </w:abstractNum>
  <w:abstractNum w:abstractNumId="25" w15:restartNumberingAfterBreak="0">
    <w:nsid w:val="5C0317E5"/>
    <w:multiLevelType w:val="hybridMultilevel"/>
    <w:tmpl w:val="5E2645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CC0188"/>
    <w:multiLevelType w:val="hybridMultilevel"/>
    <w:tmpl w:val="D018A480"/>
    <w:lvl w:ilvl="0" w:tplc="71A425E4">
      <w:start w:val="1"/>
      <w:numFmt w:val="bullet"/>
      <w:lvlText w:val=""/>
      <w:lvlJc w:val="left"/>
      <w:pPr>
        <w:tabs>
          <w:tab w:val="num" w:pos="720"/>
        </w:tabs>
        <w:ind w:left="720" w:hanging="360"/>
      </w:pPr>
      <w:rPr>
        <w:rFonts w:ascii="Wingdings" w:hAnsi="Wingdings" w:hint="default"/>
      </w:rPr>
    </w:lvl>
    <w:lvl w:ilvl="1" w:tplc="0A5A9628" w:tentative="1">
      <w:start w:val="1"/>
      <w:numFmt w:val="bullet"/>
      <w:lvlText w:val=""/>
      <w:lvlJc w:val="left"/>
      <w:pPr>
        <w:tabs>
          <w:tab w:val="num" w:pos="1440"/>
        </w:tabs>
        <w:ind w:left="1440" w:hanging="360"/>
      </w:pPr>
      <w:rPr>
        <w:rFonts w:ascii="Wingdings" w:hAnsi="Wingdings" w:hint="default"/>
      </w:rPr>
    </w:lvl>
    <w:lvl w:ilvl="2" w:tplc="260AA766" w:tentative="1">
      <w:start w:val="1"/>
      <w:numFmt w:val="bullet"/>
      <w:lvlText w:val=""/>
      <w:lvlJc w:val="left"/>
      <w:pPr>
        <w:tabs>
          <w:tab w:val="num" w:pos="2160"/>
        </w:tabs>
        <w:ind w:left="2160" w:hanging="360"/>
      </w:pPr>
      <w:rPr>
        <w:rFonts w:ascii="Wingdings" w:hAnsi="Wingdings" w:hint="default"/>
      </w:rPr>
    </w:lvl>
    <w:lvl w:ilvl="3" w:tplc="5C9C5D9E" w:tentative="1">
      <w:start w:val="1"/>
      <w:numFmt w:val="bullet"/>
      <w:lvlText w:val=""/>
      <w:lvlJc w:val="left"/>
      <w:pPr>
        <w:tabs>
          <w:tab w:val="num" w:pos="2880"/>
        </w:tabs>
        <w:ind w:left="2880" w:hanging="360"/>
      </w:pPr>
      <w:rPr>
        <w:rFonts w:ascii="Wingdings" w:hAnsi="Wingdings" w:hint="default"/>
      </w:rPr>
    </w:lvl>
    <w:lvl w:ilvl="4" w:tplc="003C58C4" w:tentative="1">
      <w:start w:val="1"/>
      <w:numFmt w:val="bullet"/>
      <w:lvlText w:val=""/>
      <w:lvlJc w:val="left"/>
      <w:pPr>
        <w:tabs>
          <w:tab w:val="num" w:pos="3600"/>
        </w:tabs>
        <w:ind w:left="3600" w:hanging="360"/>
      </w:pPr>
      <w:rPr>
        <w:rFonts w:ascii="Wingdings" w:hAnsi="Wingdings" w:hint="default"/>
      </w:rPr>
    </w:lvl>
    <w:lvl w:ilvl="5" w:tplc="F23A5716" w:tentative="1">
      <w:start w:val="1"/>
      <w:numFmt w:val="bullet"/>
      <w:lvlText w:val=""/>
      <w:lvlJc w:val="left"/>
      <w:pPr>
        <w:tabs>
          <w:tab w:val="num" w:pos="4320"/>
        </w:tabs>
        <w:ind w:left="4320" w:hanging="360"/>
      </w:pPr>
      <w:rPr>
        <w:rFonts w:ascii="Wingdings" w:hAnsi="Wingdings" w:hint="default"/>
      </w:rPr>
    </w:lvl>
    <w:lvl w:ilvl="6" w:tplc="568E14AE" w:tentative="1">
      <w:start w:val="1"/>
      <w:numFmt w:val="bullet"/>
      <w:lvlText w:val=""/>
      <w:lvlJc w:val="left"/>
      <w:pPr>
        <w:tabs>
          <w:tab w:val="num" w:pos="5040"/>
        </w:tabs>
        <w:ind w:left="5040" w:hanging="360"/>
      </w:pPr>
      <w:rPr>
        <w:rFonts w:ascii="Wingdings" w:hAnsi="Wingdings" w:hint="default"/>
      </w:rPr>
    </w:lvl>
    <w:lvl w:ilvl="7" w:tplc="D3887F60" w:tentative="1">
      <w:start w:val="1"/>
      <w:numFmt w:val="bullet"/>
      <w:lvlText w:val=""/>
      <w:lvlJc w:val="left"/>
      <w:pPr>
        <w:tabs>
          <w:tab w:val="num" w:pos="5760"/>
        </w:tabs>
        <w:ind w:left="5760" w:hanging="360"/>
      </w:pPr>
      <w:rPr>
        <w:rFonts w:ascii="Wingdings" w:hAnsi="Wingdings" w:hint="default"/>
      </w:rPr>
    </w:lvl>
    <w:lvl w:ilvl="8" w:tplc="EE6C6E2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E9532E"/>
    <w:multiLevelType w:val="hybridMultilevel"/>
    <w:tmpl w:val="846202E8"/>
    <w:lvl w:ilvl="0" w:tplc="E864F0D6">
      <w:start w:val="2"/>
      <w:numFmt w:val="decimal"/>
      <w:lvlText w:val="%1."/>
      <w:lvlJc w:val="left"/>
      <w:pPr>
        <w:ind w:left="720" w:hanging="360"/>
      </w:pPr>
    </w:lvl>
    <w:lvl w:ilvl="1" w:tplc="F460AA0C">
      <w:start w:val="1"/>
      <w:numFmt w:val="lowerLetter"/>
      <w:lvlText w:val="%2."/>
      <w:lvlJc w:val="left"/>
      <w:pPr>
        <w:ind w:left="1440" w:hanging="360"/>
      </w:pPr>
    </w:lvl>
    <w:lvl w:ilvl="2" w:tplc="016498C6">
      <w:start w:val="1"/>
      <w:numFmt w:val="lowerRoman"/>
      <w:lvlText w:val="%3."/>
      <w:lvlJc w:val="right"/>
      <w:pPr>
        <w:ind w:left="2160" w:hanging="180"/>
      </w:pPr>
    </w:lvl>
    <w:lvl w:ilvl="3" w:tplc="82C2AFF4">
      <w:start w:val="1"/>
      <w:numFmt w:val="decimal"/>
      <w:lvlText w:val="%4."/>
      <w:lvlJc w:val="left"/>
      <w:pPr>
        <w:ind w:left="2880" w:hanging="360"/>
      </w:pPr>
    </w:lvl>
    <w:lvl w:ilvl="4" w:tplc="C6A6443E">
      <w:start w:val="1"/>
      <w:numFmt w:val="lowerLetter"/>
      <w:lvlText w:val="%5."/>
      <w:lvlJc w:val="left"/>
      <w:pPr>
        <w:ind w:left="3600" w:hanging="360"/>
      </w:pPr>
    </w:lvl>
    <w:lvl w:ilvl="5" w:tplc="6890F8F4">
      <w:start w:val="1"/>
      <w:numFmt w:val="lowerRoman"/>
      <w:lvlText w:val="%6."/>
      <w:lvlJc w:val="right"/>
      <w:pPr>
        <w:ind w:left="4320" w:hanging="180"/>
      </w:pPr>
    </w:lvl>
    <w:lvl w:ilvl="6" w:tplc="52E815CA">
      <w:start w:val="1"/>
      <w:numFmt w:val="decimal"/>
      <w:lvlText w:val="%7."/>
      <w:lvlJc w:val="left"/>
      <w:pPr>
        <w:ind w:left="5040" w:hanging="360"/>
      </w:pPr>
    </w:lvl>
    <w:lvl w:ilvl="7" w:tplc="35F8D476">
      <w:start w:val="1"/>
      <w:numFmt w:val="lowerLetter"/>
      <w:lvlText w:val="%8."/>
      <w:lvlJc w:val="left"/>
      <w:pPr>
        <w:ind w:left="5760" w:hanging="360"/>
      </w:pPr>
    </w:lvl>
    <w:lvl w:ilvl="8" w:tplc="53704B1C">
      <w:start w:val="1"/>
      <w:numFmt w:val="lowerRoman"/>
      <w:lvlText w:val="%9."/>
      <w:lvlJc w:val="right"/>
      <w:pPr>
        <w:ind w:left="6480" w:hanging="180"/>
      </w:pPr>
    </w:lvl>
  </w:abstractNum>
  <w:abstractNum w:abstractNumId="28" w15:restartNumberingAfterBreak="0">
    <w:nsid w:val="6C0B2DA0"/>
    <w:multiLevelType w:val="hybridMultilevel"/>
    <w:tmpl w:val="AB9AD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3B4B34"/>
    <w:multiLevelType w:val="hybridMultilevel"/>
    <w:tmpl w:val="79F64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AF7591"/>
    <w:multiLevelType w:val="hybridMultilevel"/>
    <w:tmpl w:val="45AC3AB2"/>
    <w:lvl w:ilvl="0" w:tplc="EB26C14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810B27"/>
    <w:multiLevelType w:val="hybridMultilevel"/>
    <w:tmpl w:val="76D077A2"/>
    <w:lvl w:ilvl="0" w:tplc="FFFFFFFF">
      <w:start w:val="1"/>
      <w:numFmt w:val="bullet"/>
      <w:lvlText w:val="o"/>
      <w:lvlJc w:val="left"/>
      <w:pPr>
        <w:ind w:left="720" w:hanging="360"/>
      </w:pPr>
      <w:rPr>
        <w:rFonts w:ascii="Courier New" w:hAnsi="Courier New" w:hint="default"/>
      </w:rPr>
    </w:lvl>
    <w:lvl w:ilvl="1" w:tplc="04260001">
      <w:start w:val="1"/>
      <w:numFmt w:val="bullet"/>
      <w:lvlText w:val=""/>
      <w:lvlJc w:val="left"/>
      <w:pPr>
        <w:ind w:left="1440" w:hanging="360"/>
      </w:pPr>
      <w:rPr>
        <w:rFonts w:ascii="Symbol" w:hAnsi="Symbol" w:hint="default"/>
      </w:rPr>
    </w:lvl>
    <w:lvl w:ilvl="2" w:tplc="07604440">
      <w:start w:val="3"/>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2FE563D"/>
    <w:multiLevelType w:val="hybridMultilevel"/>
    <w:tmpl w:val="32567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C2C0900"/>
    <w:multiLevelType w:val="hybridMultilevel"/>
    <w:tmpl w:val="DBF616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C4E109F"/>
    <w:multiLevelType w:val="multilevel"/>
    <w:tmpl w:val="BB44C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FB7CCB"/>
    <w:multiLevelType w:val="hybridMultilevel"/>
    <w:tmpl w:val="C9461DAA"/>
    <w:lvl w:ilvl="0" w:tplc="2D42C42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768307391">
    <w:abstractNumId w:val="27"/>
  </w:num>
  <w:num w:numId="2" w16cid:durableId="1507987121">
    <w:abstractNumId w:val="15"/>
  </w:num>
  <w:num w:numId="3" w16cid:durableId="427385302">
    <w:abstractNumId w:val="12"/>
  </w:num>
  <w:num w:numId="4" w16cid:durableId="10684719">
    <w:abstractNumId w:val="16"/>
  </w:num>
  <w:num w:numId="5" w16cid:durableId="61755434">
    <w:abstractNumId w:val="17"/>
  </w:num>
  <w:num w:numId="6" w16cid:durableId="1835292887">
    <w:abstractNumId w:val="30"/>
  </w:num>
  <w:num w:numId="7" w16cid:durableId="950086799">
    <w:abstractNumId w:val="7"/>
  </w:num>
  <w:num w:numId="8" w16cid:durableId="1833065544">
    <w:abstractNumId w:val="18"/>
  </w:num>
  <w:num w:numId="9" w16cid:durableId="2013489408">
    <w:abstractNumId w:val="3"/>
  </w:num>
  <w:num w:numId="10" w16cid:durableId="2086371085">
    <w:abstractNumId w:val="2"/>
  </w:num>
  <w:num w:numId="11" w16cid:durableId="1499274976">
    <w:abstractNumId w:val="9"/>
  </w:num>
  <w:num w:numId="12" w16cid:durableId="1634095049">
    <w:abstractNumId w:val="23"/>
  </w:num>
  <w:num w:numId="13" w16cid:durableId="749083363">
    <w:abstractNumId w:val="22"/>
  </w:num>
  <w:num w:numId="14" w16cid:durableId="1038629252">
    <w:abstractNumId w:val="26"/>
  </w:num>
  <w:num w:numId="15" w16cid:durableId="472215517">
    <w:abstractNumId w:val="10"/>
  </w:num>
  <w:num w:numId="16" w16cid:durableId="119999280">
    <w:abstractNumId w:val="19"/>
  </w:num>
  <w:num w:numId="17" w16cid:durableId="175121093">
    <w:abstractNumId w:val="24"/>
  </w:num>
  <w:num w:numId="18" w16cid:durableId="1513107658">
    <w:abstractNumId w:val="0"/>
  </w:num>
  <w:num w:numId="19" w16cid:durableId="2004696573">
    <w:abstractNumId w:val="34"/>
  </w:num>
  <w:num w:numId="20" w16cid:durableId="1544170207">
    <w:abstractNumId w:val="5"/>
  </w:num>
  <w:num w:numId="21" w16cid:durableId="740098650">
    <w:abstractNumId w:val="28"/>
  </w:num>
  <w:num w:numId="22" w16cid:durableId="112867058">
    <w:abstractNumId w:val="11"/>
  </w:num>
  <w:num w:numId="23" w16cid:durableId="653921642">
    <w:abstractNumId w:val="29"/>
  </w:num>
  <w:num w:numId="24" w16cid:durableId="1105078140">
    <w:abstractNumId w:val="21"/>
  </w:num>
  <w:num w:numId="25" w16cid:durableId="1123379872">
    <w:abstractNumId w:val="14"/>
  </w:num>
  <w:num w:numId="26" w16cid:durableId="1681882971">
    <w:abstractNumId w:val="1"/>
  </w:num>
  <w:num w:numId="27" w16cid:durableId="971864471">
    <w:abstractNumId w:val="13"/>
  </w:num>
  <w:num w:numId="28" w16cid:durableId="449278519">
    <w:abstractNumId w:val="31"/>
  </w:num>
  <w:num w:numId="29" w16cid:durableId="1184779942">
    <w:abstractNumId w:val="4"/>
  </w:num>
  <w:num w:numId="30" w16cid:durableId="348876769">
    <w:abstractNumId w:val="20"/>
  </w:num>
  <w:num w:numId="31" w16cid:durableId="1978367020">
    <w:abstractNumId w:val="32"/>
  </w:num>
  <w:num w:numId="32" w16cid:durableId="684016048">
    <w:abstractNumId w:val="6"/>
  </w:num>
  <w:num w:numId="33" w16cid:durableId="1990206754">
    <w:abstractNumId w:val="8"/>
  </w:num>
  <w:num w:numId="34" w16cid:durableId="1325082509">
    <w:abstractNumId w:val="35"/>
  </w:num>
  <w:num w:numId="35" w16cid:durableId="1365397942">
    <w:abstractNumId w:val="33"/>
  </w:num>
  <w:num w:numId="36" w16cid:durableId="2948756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B8"/>
    <w:rsid w:val="000005C0"/>
    <w:rsid w:val="00000E37"/>
    <w:rsid w:val="0000109B"/>
    <w:rsid w:val="00001F50"/>
    <w:rsid w:val="000025C2"/>
    <w:rsid w:val="00003931"/>
    <w:rsid w:val="00004253"/>
    <w:rsid w:val="00004624"/>
    <w:rsid w:val="00004837"/>
    <w:rsid w:val="00007A95"/>
    <w:rsid w:val="000103A1"/>
    <w:rsid w:val="00010453"/>
    <w:rsid w:val="00013E69"/>
    <w:rsid w:val="00014262"/>
    <w:rsid w:val="00014313"/>
    <w:rsid w:val="00014AC6"/>
    <w:rsid w:val="00014E5E"/>
    <w:rsid w:val="0001649A"/>
    <w:rsid w:val="000175A3"/>
    <w:rsid w:val="00017C91"/>
    <w:rsid w:val="00020325"/>
    <w:rsid w:val="000206D2"/>
    <w:rsid w:val="00020BCD"/>
    <w:rsid w:val="000212CE"/>
    <w:rsid w:val="00022141"/>
    <w:rsid w:val="000221DE"/>
    <w:rsid w:val="00022A1E"/>
    <w:rsid w:val="00022F86"/>
    <w:rsid w:val="000231B3"/>
    <w:rsid w:val="000234E1"/>
    <w:rsid w:val="00023EB4"/>
    <w:rsid w:val="000246CD"/>
    <w:rsid w:val="00025F97"/>
    <w:rsid w:val="00026594"/>
    <w:rsid w:val="00026B01"/>
    <w:rsid w:val="00026D15"/>
    <w:rsid w:val="000278FE"/>
    <w:rsid w:val="000279A4"/>
    <w:rsid w:val="00027EE7"/>
    <w:rsid w:val="00027F23"/>
    <w:rsid w:val="00030717"/>
    <w:rsid w:val="0003126E"/>
    <w:rsid w:val="00032B28"/>
    <w:rsid w:val="000336F6"/>
    <w:rsid w:val="000340D4"/>
    <w:rsid w:val="000356C6"/>
    <w:rsid w:val="00035A63"/>
    <w:rsid w:val="000362DD"/>
    <w:rsid w:val="000401F5"/>
    <w:rsid w:val="00040E7E"/>
    <w:rsid w:val="00041E95"/>
    <w:rsid w:val="00041F54"/>
    <w:rsid w:val="00042E01"/>
    <w:rsid w:val="00043AE7"/>
    <w:rsid w:val="000450B6"/>
    <w:rsid w:val="000463E0"/>
    <w:rsid w:val="00046BBB"/>
    <w:rsid w:val="00047AD9"/>
    <w:rsid w:val="000500B9"/>
    <w:rsid w:val="000507DD"/>
    <w:rsid w:val="00051043"/>
    <w:rsid w:val="00051778"/>
    <w:rsid w:val="00051E75"/>
    <w:rsid w:val="00053C97"/>
    <w:rsid w:val="00054F21"/>
    <w:rsid w:val="00054FFA"/>
    <w:rsid w:val="0005669F"/>
    <w:rsid w:val="00057962"/>
    <w:rsid w:val="00057A72"/>
    <w:rsid w:val="0006017B"/>
    <w:rsid w:val="00060C5D"/>
    <w:rsid w:val="00061845"/>
    <w:rsid w:val="00061B9B"/>
    <w:rsid w:val="00061F53"/>
    <w:rsid w:val="00062184"/>
    <w:rsid w:val="00063C79"/>
    <w:rsid w:val="00064021"/>
    <w:rsid w:val="0006426D"/>
    <w:rsid w:val="000648DE"/>
    <w:rsid w:val="000652BF"/>
    <w:rsid w:val="000653E7"/>
    <w:rsid w:val="00066C19"/>
    <w:rsid w:val="0006755D"/>
    <w:rsid w:val="00067F13"/>
    <w:rsid w:val="000702F2"/>
    <w:rsid w:val="000718BF"/>
    <w:rsid w:val="00072DA0"/>
    <w:rsid w:val="00072E40"/>
    <w:rsid w:val="000730FC"/>
    <w:rsid w:val="00074A2C"/>
    <w:rsid w:val="00075279"/>
    <w:rsid w:val="00075349"/>
    <w:rsid w:val="00075A25"/>
    <w:rsid w:val="00080B07"/>
    <w:rsid w:val="00081066"/>
    <w:rsid w:val="00081891"/>
    <w:rsid w:val="00082CE9"/>
    <w:rsid w:val="00082F78"/>
    <w:rsid w:val="00083723"/>
    <w:rsid w:val="000860AC"/>
    <w:rsid w:val="00086FE6"/>
    <w:rsid w:val="00087682"/>
    <w:rsid w:val="00087D2A"/>
    <w:rsid w:val="00087F99"/>
    <w:rsid w:val="00091232"/>
    <w:rsid w:val="000919C9"/>
    <w:rsid w:val="00093695"/>
    <w:rsid w:val="00093A0F"/>
    <w:rsid w:val="00095717"/>
    <w:rsid w:val="00095BBF"/>
    <w:rsid w:val="000963AB"/>
    <w:rsid w:val="000A0A1F"/>
    <w:rsid w:val="000A0A27"/>
    <w:rsid w:val="000A1A26"/>
    <w:rsid w:val="000A1C69"/>
    <w:rsid w:val="000A2637"/>
    <w:rsid w:val="000A2726"/>
    <w:rsid w:val="000A428E"/>
    <w:rsid w:val="000A5A4D"/>
    <w:rsid w:val="000A70FE"/>
    <w:rsid w:val="000A72CC"/>
    <w:rsid w:val="000B033E"/>
    <w:rsid w:val="000B0850"/>
    <w:rsid w:val="000B0A61"/>
    <w:rsid w:val="000B66E7"/>
    <w:rsid w:val="000B7E65"/>
    <w:rsid w:val="000C07E4"/>
    <w:rsid w:val="000C218B"/>
    <w:rsid w:val="000C290E"/>
    <w:rsid w:val="000C2BD4"/>
    <w:rsid w:val="000C32BC"/>
    <w:rsid w:val="000C3438"/>
    <w:rsid w:val="000C53AE"/>
    <w:rsid w:val="000C7208"/>
    <w:rsid w:val="000D00F8"/>
    <w:rsid w:val="000D0C1E"/>
    <w:rsid w:val="000D263D"/>
    <w:rsid w:val="000D2A85"/>
    <w:rsid w:val="000D3625"/>
    <w:rsid w:val="000D3BEF"/>
    <w:rsid w:val="000D5269"/>
    <w:rsid w:val="000D58D8"/>
    <w:rsid w:val="000D75B3"/>
    <w:rsid w:val="000E20B5"/>
    <w:rsid w:val="000E3031"/>
    <w:rsid w:val="000E313E"/>
    <w:rsid w:val="000E361F"/>
    <w:rsid w:val="000E3D23"/>
    <w:rsid w:val="000E4AF6"/>
    <w:rsid w:val="000E4E81"/>
    <w:rsid w:val="000E5B91"/>
    <w:rsid w:val="000E7D15"/>
    <w:rsid w:val="000F1BFF"/>
    <w:rsid w:val="000F22B1"/>
    <w:rsid w:val="000F2CEF"/>
    <w:rsid w:val="000F3C21"/>
    <w:rsid w:val="000F3DA2"/>
    <w:rsid w:val="000F42BC"/>
    <w:rsid w:val="000F43E5"/>
    <w:rsid w:val="000F4AE6"/>
    <w:rsid w:val="000F4DF6"/>
    <w:rsid w:val="000F4E5B"/>
    <w:rsid w:val="000F4E64"/>
    <w:rsid w:val="000F5B91"/>
    <w:rsid w:val="000F646F"/>
    <w:rsid w:val="000F6B91"/>
    <w:rsid w:val="000F7A1C"/>
    <w:rsid w:val="000F7EB0"/>
    <w:rsid w:val="0010004C"/>
    <w:rsid w:val="00100BC6"/>
    <w:rsid w:val="00100F52"/>
    <w:rsid w:val="001020F7"/>
    <w:rsid w:val="001026AF"/>
    <w:rsid w:val="0010274D"/>
    <w:rsid w:val="00102F94"/>
    <w:rsid w:val="001030FD"/>
    <w:rsid w:val="00104251"/>
    <w:rsid w:val="00105878"/>
    <w:rsid w:val="00106ADC"/>
    <w:rsid w:val="00110460"/>
    <w:rsid w:val="001119B5"/>
    <w:rsid w:val="001123CA"/>
    <w:rsid w:val="00112451"/>
    <w:rsid w:val="001144E9"/>
    <w:rsid w:val="001158AC"/>
    <w:rsid w:val="0011609C"/>
    <w:rsid w:val="00116F74"/>
    <w:rsid w:val="001178CE"/>
    <w:rsid w:val="00120962"/>
    <w:rsid w:val="00121787"/>
    <w:rsid w:val="00122237"/>
    <w:rsid w:val="00122A4C"/>
    <w:rsid w:val="0012313E"/>
    <w:rsid w:val="0012335A"/>
    <w:rsid w:val="0012565D"/>
    <w:rsid w:val="00125F6E"/>
    <w:rsid w:val="00126ED3"/>
    <w:rsid w:val="0013046A"/>
    <w:rsid w:val="00130664"/>
    <w:rsid w:val="001325FB"/>
    <w:rsid w:val="00132AAF"/>
    <w:rsid w:val="00133820"/>
    <w:rsid w:val="00133EC9"/>
    <w:rsid w:val="00133F65"/>
    <w:rsid w:val="00134800"/>
    <w:rsid w:val="00134B36"/>
    <w:rsid w:val="00135F81"/>
    <w:rsid w:val="00136A90"/>
    <w:rsid w:val="00136C3E"/>
    <w:rsid w:val="00141D59"/>
    <w:rsid w:val="001440F8"/>
    <w:rsid w:val="00145CD7"/>
    <w:rsid w:val="00145E7F"/>
    <w:rsid w:val="0014646D"/>
    <w:rsid w:val="0014655B"/>
    <w:rsid w:val="0014708B"/>
    <w:rsid w:val="0014773E"/>
    <w:rsid w:val="00147A8D"/>
    <w:rsid w:val="00150FF6"/>
    <w:rsid w:val="001554D5"/>
    <w:rsid w:val="00157838"/>
    <w:rsid w:val="0015792A"/>
    <w:rsid w:val="001606D7"/>
    <w:rsid w:val="001611C5"/>
    <w:rsid w:val="00161C22"/>
    <w:rsid w:val="00162C7F"/>
    <w:rsid w:val="00164081"/>
    <w:rsid w:val="00166DDB"/>
    <w:rsid w:val="00167D1F"/>
    <w:rsid w:val="0017098C"/>
    <w:rsid w:val="001719BE"/>
    <w:rsid w:val="00171CD3"/>
    <w:rsid w:val="00172E0B"/>
    <w:rsid w:val="001735C4"/>
    <w:rsid w:val="00173D03"/>
    <w:rsid w:val="00173D9E"/>
    <w:rsid w:val="001749DD"/>
    <w:rsid w:val="00174CAF"/>
    <w:rsid w:val="00175A6E"/>
    <w:rsid w:val="00175E0E"/>
    <w:rsid w:val="001768FC"/>
    <w:rsid w:val="00176B77"/>
    <w:rsid w:val="001773B8"/>
    <w:rsid w:val="00180849"/>
    <w:rsid w:val="001809B6"/>
    <w:rsid w:val="00180CB0"/>
    <w:rsid w:val="0018195E"/>
    <w:rsid w:val="0018240B"/>
    <w:rsid w:val="00182697"/>
    <w:rsid w:val="001829AC"/>
    <w:rsid w:val="00183596"/>
    <w:rsid w:val="00183FC0"/>
    <w:rsid w:val="00183FEF"/>
    <w:rsid w:val="001847BB"/>
    <w:rsid w:val="00186127"/>
    <w:rsid w:val="001871C2"/>
    <w:rsid w:val="00192C96"/>
    <w:rsid w:val="00193D14"/>
    <w:rsid w:val="00195649"/>
    <w:rsid w:val="001963EC"/>
    <w:rsid w:val="001A07C5"/>
    <w:rsid w:val="001A081C"/>
    <w:rsid w:val="001A0ADD"/>
    <w:rsid w:val="001A1EF0"/>
    <w:rsid w:val="001A1EF2"/>
    <w:rsid w:val="001A31CC"/>
    <w:rsid w:val="001A37CE"/>
    <w:rsid w:val="001A3DE4"/>
    <w:rsid w:val="001A46BB"/>
    <w:rsid w:val="001A6082"/>
    <w:rsid w:val="001A6F45"/>
    <w:rsid w:val="001B209E"/>
    <w:rsid w:val="001B30C3"/>
    <w:rsid w:val="001B32A7"/>
    <w:rsid w:val="001B336E"/>
    <w:rsid w:val="001B34E7"/>
    <w:rsid w:val="001B3C4C"/>
    <w:rsid w:val="001B4CF5"/>
    <w:rsid w:val="001B57B4"/>
    <w:rsid w:val="001B5C87"/>
    <w:rsid w:val="001B5F60"/>
    <w:rsid w:val="001B65FA"/>
    <w:rsid w:val="001B7A60"/>
    <w:rsid w:val="001B7E05"/>
    <w:rsid w:val="001C008A"/>
    <w:rsid w:val="001C103D"/>
    <w:rsid w:val="001C1EA3"/>
    <w:rsid w:val="001C2317"/>
    <w:rsid w:val="001C3AF0"/>
    <w:rsid w:val="001C4379"/>
    <w:rsid w:val="001C4D48"/>
    <w:rsid w:val="001C52C6"/>
    <w:rsid w:val="001C5BF9"/>
    <w:rsid w:val="001C6579"/>
    <w:rsid w:val="001C7386"/>
    <w:rsid w:val="001C74E9"/>
    <w:rsid w:val="001C778B"/>
    <w:rsid w:val="001D1A94"/>
    <w:rsid w:val="001D35FA"/>
    <w:rsid w:val="001D37F0"/>
    <w:rsid w:val="001D4C39"/>
    <w:rsid w:val="001D5FE9"/>
    <w:rsid w:val="001D60C1"/>
    <w:rsid w:val="001E0DBD"/>
    <w:rsid w:val="001E1739"/>
    <w:rsid w:val="001E33B5"/>
    <w:rsid w:val="001E44C9"/>
    <w:rsid w:val="001E4F78"/>
    <w:rsid w:val="001E525C"/>
    <w:rsid w:val="001E76C2"/>
    <w:rsid w:val="001E7D2E"/>
    <w:rsid w:val="001E7EEE"/>
    <w:rsid w:val="001F4002"/>
    <w:rsid w:val="001F43DB"/>
    <w:rsid w:val="001F441F"/>
    <w:rsid w:val="001F53F6"/>
    <w:rsid w:val="001F5EAC"/>
    <w:rsid w:val="001F7CAC"/>
    <w:rsid w:val="00201599"/>
    <w:rsid w:val="00201CBA"/>
    <w:rsid w:val="00202CAB"/>
    <w:rsid w:val="0020320B"/>
    <w:rsid w:val="0020335F"/>
    <w:rsid w:val="002038CC"/>
    <w:rsid w:val="0020396D"/>
    <w:rsid w:val="00203ED7"/>
    <w:rsid w:val="002041DA"/>
    <w:rsid w:val="002047D2"/>
    <w:rsid w:val="0020529A"/>
    <w:rsid w:val="0020585B"/>
    <w:rsid w:val="0020673D"/>
    <w:rsid w:val="0020681B"/>
    <w:rsid w:val="00206B19"/>
    <w:rsid w:val="002074A9"/>
    <w:rsid w:val="002112CC"/>
    <w:rsid w:val="00211A2C"/>
    <w:rsid w:val="00211A94"/>
    <w:rsid w:val="002121A9"/>
    <w:rsid w:val="00212C08"/>
    <w:rsid w:val="002132EB"/>
    <w:rsid w:val="00213D81"/>
    <w:rsid w:val="00214865"/>
    <w:rsid w:val="0021535C"/>
    <w:rsid w:val="00215924"/>
    <w:rsid w:val="00216D1D"/>
    <w:rsid w:val="0021751C"/>
    <w:rsid w:val="00217640"/>
    <w:rsid w:val="00217891"/>
    <w:rsid w:val="00217910"/>
    <w:rsid w:val="00217A42"/>
    <w:rsid w:val="00220565"/>
    <w:rsid w:val="0022122A"/>
    <w:rsid w:val="002225C4"/>
    <w:rsid w:val="002228AB"/>
    <w:rsid w:val="0022352B"/>
    <w:rsid w:val="002235F1"/>
    <w:rsid w:val="00225C76"/>
    <w:rsid w:val="00225D7A"/>
    <w:rsid w:val="002277C8"/>
    <w:rsid w:val="002279BD"/>
    <w:rsid w:val="002337A2"/>
    <w:rsid w:val="00234D62"/>
    <w:rsid w:val="002361D9"/>
    <w:rsid w:val="002362A8"/>
    <w:rsid w:val="002373B5"/>
    <w:rsid w:val="002403B8"/>
    <w:rsid w:val="00240487"/>
    <w:rsid w:val="0024327A"/>
    <w:rsid w:val="00245421"/>
    <w:rsid w:val="00245D4A"/>
    <w:rsid w:val="002464F7"/>
    <w:rsid w:val="00246F41"/>
    <w:rsid w:val="0024732B"/>
    <w:rsid w:val="00247587"/>
    <w:rsid w:val="00247A73"/>
    <w:rsid w:val="0025050F"/>
    <w:rsid w:val="00252BE8"/>
    <w:rsid w:val="00253576"/>
    <w:rsid w:val="0025455D"/>
    <w:rsid w:val="0025491E"/>
    <w:rsid w:val="00255384"/>
    <w:rsid w:val="00255856"/>
    <w:rsid w:val="00255B2E"/>
    <w:rsid w:val="00256375"/>
    <w:rsid w:val="002563AA"/>
    <w:rsid w:val="00257DE8"/>
    <w:rsid w:val="002600A9"/>
    <w:rsid w:val="002604EE"/>
    <w:rsid w:val="00261E14"/>
    <w:rsid w:val="00262597"/>
    <w:rsid w:val="002625E6"/>
    <w:rsid w:val="00262D75"/>
    <w:rsid w:val="00263366"/>
    <w:rsid w:val="00263BE2"/>
    <w:rsid w:val="0026498B"/>
    <w:rsid w:val="00264C1A"/>
    <w:rsid w:val="002652F7"/>
    <w:rsid w:val="002661AE"/>
    <w:rsid w:val="0026688E"/>
    <w:rsid w:val="00267DDB"/>
    <w:rsid w:val="00270D9C"/>
    <w:rsid w:val="0027104D"/>
    <w:rsid w:val="00271527"/>
    <w:rsid w:val="0027248A"/>
    <w:rsid w:val="002738A3"/>
    <w:rsid w:val="0027457A"/>
    <w:rsid w:val="00274DDA"/>
    <w:rsid w:val="00275012"/>
    <w:rsid w:val="00275270"/>
    <w:rsid w:val="002754A8"/>
    <w:rsid w:val="002755DD"/>
    <w:rsid w:val="00275B6D"/>
    <w:rsid w:val="002766B0"/>
    <w:rsid w:val="00276984"/>
    <w:rsid w:val="00277DA9"/>
    <w:rsid w:val="00277E23"/>
    <w:rsid w:val="00281180"/>
    <w:rsid w:val="002812A0"/>
    <w:rsid w:val="00281DBE"/>
    <w:rsid w:val="002836D9"/>
    <w:rsid w:val="002857CB"/>
    <w:rsid w:val="0028724C"/>
    <w:rsid w:val="00287A54"/>
    <w:rsid w:val="00290F2A"/>
    <w:rsid w:val="0029104B"/>
    <w:rsid w:val="00294A8F"/>
    <w:rsid w:val="00294C29"/>
    <w:rsid w:val="0029698B"/>
    <w:rsid w:val="00297CA3"/>
    <w:rsid w:val="002A0802"/>
    <w:rsid w:val="002A1E46"/>
    <w:rsid w:val="002A3387"/>
    <w:rsid w:val="002A5408"/>
    <w:rsid w:val="002A7683"/>
    <w:rsid w:val="002B1D94"/>
    <w:rsid w:val="002B291B"/>
    <w:rsid w:val="002B2A71"/>
    <w:rsid w:val="002B3D80"/>
    <w:rsid w:val="002B6217"/>
    <w:rsid w:val="002B63C1"/>
    <w:rsid w:val="002B719B"/>
    <w:rsid w:val="002B7796"/>
    <w:rsid w:val="002C07D0"/>
    <w:rsid w:val="002C0ACF"/>
    <w:rsid w:val="002C29F2"/>
    <w:rsid w:val="002C337F"/>
    <w:rsid w:val="002C5469"/>
    <w:rsid w:val="002C5E81"/>
    <w:rsid w:val="002C6ED5"/>
    <w:rsid w:val="002C7B80"/>
    <w:rsid w:val="002D0530"/>
    <w:rsid w:val="002D1813"/>
    <w:rsid w:val="002D4CC4"/>
    <w:rsid w:val="002D5C93"/>
    <w:rsid w:val="002D7377"/>
    <w:rsid w:val="002D7B21"/>
    <w:rsid w:val="002E1148"/>
    <w:rsid w:val="002E2945"/>
    <w:rsid w:val="002E2C79"/>
    <w:rsid w:val="002E311C"/>
    <w:rsid w:val="002E4062"/>
    <w:rsid w:val="002E5A65"/>
    <w:rsid w:val="002E707C"/>
    <w:rsid w:val="002E7323"/>
    <w:rsid w:val="002E765B"/>
    <w:rsid w:val="002E7C0C"/>
    <w:rsid w:val="002F0B5E"/>
    <w:rsid w:val="002F14B7"/>
    <w:rsid w:val="002F1609"/>
    <w:rsid w:val="002F3C5B"/>
    <w:rsid w:val="002F4846"/>
    <w:rsid w:val="002F5135"/>
    <w:rsid w:val="002F534E"/>
    <w:rsid w:val="002F5C2F"/>
    <w:rsid w:val="002F699B"/>
    <w:rsid w:val="002F7F7A"/>
    <w:rsid w:val="00300175"/>
    <w:rsid w:val="003004A0"/>
    <w:rsid w:val="003037CE"/>
    <w:rsid w:val="00304BCA"/>
    <w:rsid w:val="00306152"/>
    <w:rsid w:val="0030677B"/>
    <w:rsid w:val="00307F59"/>
    <w:rsid w:val="00310124"/>
    <w:rsid w:val="00310195"/>
    <w:rsid w:val="00311851"/>
    <w:rsid w:val="0031279D"/>
    <w:rsid w:val="00312C33"/>
    <w:rsid w:val="0031327B"/>
    <w:rsid w:val="00314408"/>
    <w:rsid w:val="0031444F"/>
    <w:rsid w:val="00315DDA"/>
    <w:rsid w:val="003160FB"/>
    <w:rsid w:val="00321D0F"/>
    <w:rsid w:val="00322586"/>
    <w:rsid w:val="003229A6"/>
    <w:rsid w:val="0032456D"/>
    <w:rsid w:val="003247B0"/>
    <w:rsid w:val="00325544"/>
    <w:rsid w:val="00325C11"/>
    <w:rsid w:val="0032651E"/>
    <w:rsid w:val="00327081"/>
    <w:rsid w:val="00327EA1"/>
    <w:rsid w:val="00331729"/>
    <w:rsid w:val="003333DF"/>
    <w:rsid w:val="0033359A"/>
    <w:rsid w:val="00333DB0"/>
    <w:rsid w:val="00333E55"/>
    <w:rsid w:val="00333E72"/>
    <w:rsid w:val="003342EB"/>
    <w:rsid w:val="00334779"/>
    <w:rsid w:val="003358D9"/>
    <w:rsid w:val="003362C5"/>
    <w:rsid w:val="00337BC2"/>
    <w:rsid w:val="00337C77"/>
    <w:rsid w:val="00341DE3"/>
    <w:rsid w:val="0034218F"/>
    <w:rsid w:val="00342BDF"/>
    <w:rsid w:val="0034320B"/>
    <w:rsid w:val="00344007"/>
    <w:rsid w:val="00344EBA"/>
    <w:rsid w:val="00345E0A"/>
    <w:rsid w:val="00347DCD"/>
    <w:rsid w:val="0035008B"/>
    <w:rsid w:val="00350EC2"/>
    <w:rsid w:val="003518A5"/>
    <w:rsid w:val="00353FBE"/>
    <w:rsid w:val="003542D6"/>
    <w:rsid w:val="003546D2"/>
    <w:rsid w:val="00356EC4"/>
    <w:rsid w:val="00357689"/>
    <w:rsid w:val="00357E0A"/>
    <w:rsid w:val="00361765"/>
    <w:rsid w:val="0036359B"/>
    <w:rsid w:val="0036390F"/>
    <w:rsid w:val="00364957"/>
    <w:rsid w:val="00365339"/>
    <w:rsid w:val="003655F2"/>
    <w:rsid w:val="00365977"/>
    <w:rsid w:val="003659F3"/>
    <w:rsid w:val="0037078A"/>
    <w:rsid w:val="0037125A"/>
    <w:rsid w:val="00371639"/>
    <w:rsid w:val="003740D6"/>
    <w:rsid w:val="0037417A"/>
    <w:rsid w:val="00375B1D"/>
    <w:rsid w:val="00375B37"/>
    <w:rsid w:val="00376266"/>
    <w:rsid w:val="0037760E"/>
    <w:rsid w:val="00377C87"/>
    <w:rsid w:val="00380E68"/>
    <w:rsid w:val="00381EDD"/>
    <w:rsid w:val="0038375A"/>
    <w:rsid w:val="00383870"/>
    <w:rsid w:val="0038443C"/>
    <w:rsid w:val="00384935"/>
    <w:rsid w:val="00385AE9"/>
    <w:rsid w:val="003868E9"/>
    <w:rsid w:val="0038773D"/>
    <w:rsid w:val="00387DB2"/>
    <w:rsid w:val="00387F0B"/>
    <w:rsid w:val="00390109"/>
    <w:rsid w:val="003910A7"/>
    <w:rsid w:val="00391EDB"/>
    <w:rsid w:val="00392782"/>
    <w:rsid w:val="00392A25"/>
    <w:rsid w:val="00392FE2"/>
    <w:rsid w:val="00397057"/>
    <w:rsid w:val="0039713F"/>
    <w:rsid w:val="003979DC"/>
    <w:rsid w:val="00397B7A"/>
    <w:rsid w:val="00397FE2"/>
    <w:rsid w:val="003A0285"/>
    <w:rsid w:val="003A0451"/>
    <w:rsid w:val="003A09FE"/>
    <w:rsid w:val="003A0F0D"/>
    <w:rsid w:val="003A3756"/>
    <w:rsid w:val="003A42CE"/>
    <w:rsid w:val="003A43FA"/>
    <w:rsid w:val="003A4CCC"/>
    <w:rsid w:val="003A5FF5"/>
    <w:rsid w:val="003A7BD0"/>
    <w:rsid w:val="003A7F6A"/>
    <w:rsid w:val="003B1CC2"/>
    <w:rsid w:val="003B1E16"/>
    <w:rsid w:val="003B200B"/>
    <w:rsid w:val="003B282B"/>
    <w:rsid w:val="003B2906"/>
    <w:rsid w:val="003B418F"/>
    <w:rsid w:val="003B5BEC"/>
    <w:rsid w:val="003B7FF8"/>
    <w:rsid w:val="003C1A57"/>
    <w:rsid w:val="003C23E8"/>
    <w:rsid w:val="003C27E8"/>
    <w:rsid w:val="003C2E64"/>
    <w:rsid w:val="003C32AD"/>
    <w:rsid w:val="003C3453"/>
    <w:rsid w:val="003C53E1"/>
    <w:rsid w:val="003C6A63"/>
    <w:rsid w:val="003C6DD9"/>
    <w:rsid w:val="003C6E0F"/>
    <w:rsid w:val="003C77B4"/>
    <w:rsid w:val="003D1D24"/>
    <w:rsid w:val="003D258F"/>
    <w:rsid w:val="003D32B4"/>
    <w:rsid w:val="003D3570"/>
    <w:rsid w:val="003D378B"/>
    <w:rsid w:val="003D44A8"/>
    <w:rsid w:val="003D5100"/>
    <w:rsid w:val="003D5730"/>
    <w:rsid w:val="003D6AB3"/>
    <w:rsid w:val="003D7C9E"/>
    <w:rsid w:val="003E07C2"/>
    <w:rsid w:val="003E1145"/>
    <w:rsid w:val="003E2922"/>
    <w:rsid w:val="003E36E0"/>
    <w:rsid w:val="003E3A8B"/>
    <w:rsid w:val="003E44AA"/>
    <w:rsid w:val="003E4E0C"/>
    <w:rsid w:val="003E515A"/>
    <w:rsid w:val="003E54B1"/>
    <w:rsid w:val="003F0291"/>
    <w:rsid w:val="003F04BD"/>
    <w:rsid w:val="003F1CCB"/>
    <w:rsid w:val="003F1D08"/>
    <w:rsid w:val="003F4379"/>
    <w:rsid w:val="003F471C"/>
    <w:rsid w:val="003F4934"/>
    <w:rsid w:val="003F66D4"/>
    <w:rsid w:val="003F772D"/>
    <w:rsid w:val="004006E4"/>
    <w:rsid w:val="00400E43"/>
    <w:rsid w:val="00401898"/>
    <w:rsid w:val="00402244"/>
    <w:rsid w:val="0040256A"/>
    <w:rsid w:val="004035BE"/>
    <w:rsid w:val="00403E1D"/>
    <w:rsid w:val="00404B22"/>
    <w:rsid w:val="0040549B"/>
    <w:rsid w:val="0040568A"/>
    <w:rsid w:val="004057F2"/>
    <w:rsid w:val="004060C1"/>
    <w:rsid w:val="0040631E"/>
    <w:rsid w:val="00406964"/>
    <w:rsid w:val="00407503"/>
    <w:rsid w:val="00407823"/>
    <w:rsid w:val="00407927"/>
    <w:rsid w:val="0041251E"/>
    <w:rsid w:val="00414031"/>
    <w:rsid w:val="0041589B"/>
    <w:rsid w:val="004159AC"/>
    <w:rsid w:val="00415EB0"/>
    <w:rsid w:val="00417770"/>
    <w:rsid w:val="004178C5"/>
    <w:rsid w:val="00417E5C"/>
    <w:rsid w:val="0042079A"/>
    <w:rsid w:val="00420BD5"/>
    <w:rsid w:val="00420C68"/>
    <w:rsid w:val="00421EEA"/>
    <w:rsid w:val="0042285C"/>
    <w:rsid w:val="004242E1"/>
    <w:rsid w:val="00425B10"/>
    <w:rsid w:val="00425D41"/>
    <w:rsid w:val="004263AB"/>
    <w:rsid w:val="0042777A"/>
    <w:rsid w:val="0043145F"/>
    <w:rsid w:val="004315E2"/>
    <w:rsid w:val="004324E4"/>
    <w:rsid w:val="004327B4"/>
    <w:rsid w:val="00433E92"/>
    <w:rsid w:val="004357F5"/>
    <w:rsid w:val="00435854"/>
    <w:rsid w:val="00436AE9"/>
    <w:rsid w:val="00440B55"/>
    <w:rsid w:val="00441966"/>
    <w:rsid w:val="00441BEC"/>
    <w:rsid w:val="00441C9B"/>
    <w:rsid w:val="0044438D"/>
    <w:rsid w:val="004454C6"/>
    <w:rsid w:val="00445A4C"/>
    <w:rsid w:val="004466B3"/>
    <w:rsid w:val="004467EC"/>
    <w:rsid w:val="00447CFE"/>
    <w:rsid w:val="00447E1F"/>
    <w:rsid w:val="00450BBE"/>
    <w:rsid w:val="00454D07"/>
    <w:rsid w:val="00454D48"/>
    <w:rsid w:val="004555CA"/>
    <w:rsid w:val="00455E73"/>
    <w:rsid w:val="00456F80"/>
    <w:rsid w:val="0046053E"/>
    <w:rsid w:val="004614C6"/>
    <w:rsid w:val="004615A4"/>
    <w:rsid w:val="00463B88"/>
    <w:rsid w:val="00464584"/>
    <w:rsid w:val="00464A98"/>
    <w:rsid w:val="0046510C"/>
    <w:rsid w:val="0046521A"/>
    <w:rsid w:val="00465674"/>
    <w:rsid w:val="00465D03"/>
    <w:rsid w:val="00467BCA"/>
    <w:rsid w:val="00470576"/>
    <w:rsid w:val="00470745"/>
    <w:rsid w:val="00470B32"/>
    <w:rsid w:val="00473D17"/>
    <w:rsid w:val="00473D62"/>
    <w:rsid w:val="00474303"/>
    <w:rsid w:val="00474472"/>
    <w:rsid w:val="00474D29"/>
    <w:rsid w:val="00475194"/>
    <w:rsid w:val="00477A33"/>
    <w:rsid w:val="00480022"/>
    <w:rsid w:val="004810AF"/>
    <w:rsid w:val="004816E6"/>
    <w:rsid w:val="004825B7"/>
    <w:rsid w:val="004839BA"/>
    <w:rsid w:val="00483F2C"/>
    <w:rsid w:val="004850A2"/>
    <w:rsid w:val="0048612E"/>
    <w:rsid w:val="00486945"/>
    <w:rsid w:val="00490DB9"/>
    <w:rsid w:val="00493294"/>
    <w:rsid w:val="00493409"/>
    <w:rsid w:val="00493A0D"/>
    <w:rsid w:val="00493C20"/>
    <w:rsid w:val="00493DFA"/>
    <w:rsid w:val="0049459A"/>
    <w:rsid w:val="0049466F"/>
    <w:rsid w:val="0049487C"/>
    <w:rsid w:val="00494DDA"/>
    <w:rsid w:val="00495C18"/>
    <w:rsid w:val="00496DD8"/>
    <w:rsid w:val="00497742"/>
    <w:rsid w:val="004A0E35"/>
    <w:rsid w:val="004A1078"/>
    <w:rsid w:val="004A1840"/>
    <w:rsid w:val="004A31E4"/>
    <w:rsid w:val="004A43DD"/>
    <w:rsid w:val="004A50EE"/>
    <w:rsid w:val="004A5B4C"/>
    <w:rsid w:val="004A6AB2"/>
    <w:rsid w:val="004A76D0"/>
    <w:rsid w:val="004B0290"/>
    <w:rsid w:val="004B120E"/>
    <w:rsid w:val="004B1614"/>
    <w:rsid w:val="004B184B"/>
    <w:rsid w:val="004B3846"/>
    <w:rsid w:val="004B6106"/>
    <w:rsid w:val="004B642E"/>
    <w:rsid w:val="004C114A"/>
    <w:rsid w:val="004C2845"/>
    <w:rsid w:val="004C3548"/>
    <w:rsid w:val="004C467C"/>
    <w:rsid w:val="004C57BF"/>
    <w:rsid w:val="004C5C29"/>
    <w:rsid w:val="004C617A"/>
    <w:rsid w:val="004C715D"/>
    <w:rsid w:val="004C7DC3"/>
    <w:rsid w:val="004D0327"/>
    <w:rsid w:val="004D05C1"/>
    <w:rsid w:val="004D23E9"/>
    <w:rsid w:val="004D39CD"/>
    <w:rsid w:val="004D56AA"/>
    <w:rsid w:val="004D6614"/>
    <w:rsid w:val="004D7120"/>
    <w:rsid w:val="004D76A3"/>
    <w:rsid w:val="004D7D55"/>
    <w:rsid w:val="004E33BE"/>
    <w:rsid w:val="004E3723"/>
    <w:rsid w:val="004E3CE9"/>
    <w:rsid w:val="004E5385"/>
    <w:rsid w:val="004E7072"/>
    <w:rsid w:val="004E779C"/>
    <w:rsid w:val="004F07B0"/>
    <w:rsid w:val="004F0A78"/>
    <w:rsid w:val="004F0B97"/>
    <w:rsid w:val="004F2B0B"/>
    <w:rsid w:val="004F3252"/>
    <w:rsid w:val="004F41F3"/>
    <w:rsid w:val="004F51BC"/>
    <w:rsid w:val="004F5308"/>
    <w:rsid w:val="004F533C"/>
    <w:rsid w:val="004F577E"/>
    <w:rsid w:val="004F590C"/>
    <w:rsid w:val="00500A71"/>
    <w:rsid w:val="00502D46"/>
    <w:rsid w:val="00503207"/>
    <w:rsid w:val="00503980"/>
    <w:rsid w:val="00505501"/>
    <w:rsid w:val="00506379"/>
    <w:rsid w:val="00507162"/>
    <w:rsid w:val="005112BF"/>
    <w:rsid w:val="00512C6B"/>
    <w:rsid w:val="00512CF6"/>
    <w:rsid w:val="0051427D"/>
    <w:rsid w:val="00514747"/>
    <w:rsid w:val="005159EE"/>
    <w:rsid w:val="00515F27"/>
    <w:rsid w:val="005165AC"/>
    <w:rsid w:val="00517187"/>
    <w:rsid w:val="00517586"/>
    <w:rsid w:val="005204EB"/>
    <w:rsid w:val="00523385"/>
    <w:rsid w:val="00523A56"/>
    <w:rsid w:val="005252D1"/>
    <w:rsid w:val="00525369"/>
    <w:rsid w:val="00525C9B"/>
    <w:rsid w:val="00526477"/>
    <w:rsid w:val="005264B0"/>
    <w:rsid w:val="00527036"/>
    <w:rsid w:val="005270E5"/>
    <w:rsid w:val="00527A46"/>
    <w:rsid w:val="00527F74"/>
    <w:rsid w:val="005309CA"/>
    <w:rsid w:val="00531023"/>
    <w:rsid w:val="00531876"/>
    <w:rsid w:val="0053252A"/>
    <w:rsid w:val="005338CB"/>
    <w:rsid w:val="005344C3"/>
    <w:rsid w:val="005345BB"/>
    <w:rsid w:val="00536876"/>
    <w:rsid w:val="005406EE"/>
    <w:rsid w:val="005413B3"/>
    <w:rsid w:val="0054176A"/>
    <w:rsid w:val="00541C67"/>
    <w:rsid w:val="0054285C"/>
    <w:rsid w:val="00542D46"/>
    <w:rsid w:val="00543F51"/>
    <w:rsid w:val="00544C44"/>
    <w:rsid w:val="0054514D"/>
    <w:rsid w:val="00545768"/>
    <w:rsid w:val="00546629"/>
    <w:rsid w:val="00546A66"/>
    <w:rsid w:val="0055068B"/>
    <w:rsid w:val="00550988"/>
    <w:rsid w:val="005509F5"/>
    <w:rsid w:val="00550D07"/>
    <w:rsid w:val="00551BC2"/>
    <w:rsid w:val="00551C37"/>
    <w:rsid w:val="00551DD6"/>
    <w:rsid w:val="00553384"/>
    <w:rsid w:val="0055387E"/>
    <w:rsid w:val="00553A7D"/>
    <w:rsid w:val="005552C0"/>
    <w:rsid w:val="005558D1"/>
    <w:rsid w:val="005613A2"/>
    <w:rsid w:val="00561AB9"/>
    <w:rsid w:val="005633FB"/>
    <w:rsid w:val="0056531E"/>
    <w:rsid w:val="00565B73"/>
    <w:rsid w:val="00567032"/>
    <w:rsid w:val="005671F7"/>
    <w:rsid w:val="00567990"/>
    <w:rsid w:val="00567FC0"/>
    <w:rsid w:val="00567FED"/>
    <w:rsid w:val="00570C2F"/>
    <w:rsid w:val="0057104F"/>
    <w:rsid w:val="0057108D"/>
    <w:rsid w:val="00571B33"/>
    <w:rsid w:val="00572907"/>
    <w:rsid w:val="0057393F"/>
    <w:rsid w:val="005739C3"/>
    <w:rsid w:val="0057614D"/>
    <w:rsid w:val="00576196"/>
    <w:rsid w:val="00576985"/>
    <w:rsid w:val="00577F55"/>
    <w:rsid w:val="00580CE2"/>
    <w:rsid w:val="00581913"/>
    <w:rsid w:val="00582005"/>
    <w:rsid w:val="005825CD"/>
    <w:rsid w:val="005830D9"/>
    <w:rsid w:val="0058409C"/>
    <w:rsid w:val="0058452F"/>
    <w:rsid w:val="00584A83"/>
    <w:rsid w:val="00585B05"/>
    <w:rsid w:val="00586D58"/>
    <w:rsid w:val="00586EA9"/>
    <w:rsid w:val="00586F36"/>
    <w:rsid w:val="0058720F"/>
    <w:rsid w:val="005876FB"/>
    <w:rsid w:val="00590BC4"/>
    <w:rsid w:val="00590F53"/>
    <w:rsid w:val="00590FF4"/>
    <w:rsid w:val="00591301"/>
    <w:rsid w:val="0059196B"/>
    <w:rsid w:val="00591ACA"/>
    <w:rsid w:val="005944D5"/>
    <w:rsid w:val="00596323"/>
    <w:rsid w:val="00596B83"/>
    <w:rsid w:val="00596F82"/>
    <w:rsid w:val="00597C74"/>
    <w:rsid w:val="005A0B18"/>
    <w:rsid w:val="005A0C3E"/>
    <w:rsid w:val="005A0E57"/>
    <w:rsid w:val="005A164F"/>
    <w:rsid w:val="005A48F2"/>
    <w:rsid w:val="005A4F8A"/>
    <w:rsid w:val="005A500F"/>
    <w:rsid w:val="005A5D6A"/>
    <w:rsid w:val="005A748D"/>
    <w:rsid w:val="005B0C27"/>
    <w:rsid w:val="005B1004"/>
    <w:rsid w:val="005B2DEE"/>
    <w:rsid w:val="005B3FC1"/>
    <w:rsid w:val="005B4033"/>
    <w:rsid w:val="005B54C2"/>
    <w:rsid w:val="005B5940"/>
    <w:rsid w:val="005B5981"/>
    <w:rsid w:val="005B6AD8"/>
    <w:rsid w:val="005B6CD7"/>
    <w:rsid w:val="005C09C7"/>
    <w:rsid w:val="005C189E"/>
    <w:rsid w:val="005C18A3"/>
    <w:rsid w:val="005C4264"/>
    <w:rsid w:val="005C471F"/>
    <w:rsid w:val="005C5325"/>
    <w:rsid w:val="005C60C0"/>
    <w:rsid w:val="005C6E07"/>
    <w:rsid w:val="005C6E33"/>
    <w:rsid w:val="005D025D"/>
    <w:rsid w:val="005D0971"/>
    <w:rsid w:val="005D13A3"/>
    <w:rsid w:val="005D1763"/>
    <w:rsid w:val="005D1FDB"/>
    <w:rsid w:val="005D2504"/>
    <w:rsid w:val="005D4014"/>
    <w:rsid w:val="005D5018"/>
    <w:rsid w:val="005D5D19"/>
    <w:rsid w:val="005D68FC"/>
    <w:rsid w:val="005D747C"/>
    <w:rsid w:val="005E093A"/>
    <w:rsid w:val="005E0B24"/>
    <w:rsid w:val="005E1728"/>
    <w:rsid w:val="005E285D"/>
    <w:rsid w:val="005E317C"/>
    <w:rsid w:val="005E3940"/>
    <w:rsid w:val="005E5BCB"/>
    <w:rsid w:val="005E6634"/>
    <w:rsid w:val="005E6657"/>
    <w:rsid w:val="005E6D03"/>
    <w:rsid w:val="005E751A"/>
    <w:rsid w:val="005E7C62"/>
    <w:rsid w:val="005F037E"/>
    <w:rsid w:val="005F06C9"/>
    <w:rsid w:val="005F0F63"/>
    <w:rsid w:val="005F1614"/>
    <w:rsid w:val="005F4B82"/>
    <w:rsid w:val="005F4BBD"/>
    <w:rsid w:val="005F4DCD"/>
    <w:rsid w:val="005F553C"/>
    <w:rsid w:val="005F64A4"/>
    <w:rsid w:val="005F6584"/>
    <w:rsid w:val="005F6CF1"/>
    <w:rsid w:val="005F79CE"/>
    <w:rsid w:val="005F7CD5"/>
    <w:rsid w:val="005F7D96"/>
    <w:rsid w:val="005F7F70"/>
    <w:rsid w:val="00600723"/>
    <w:rsid w:val="00602127"/>
    <w:rsid w:val="00602696"/>
    <w:rsid w:val="00603C90"/>
    <w:rsid w:val="00603D75"/>
    <w:rsid w:val="00605C00"/>
    <w:rsid w:val="00610F0E"/>
    <w:rsid w:val="00611CD9"/>
    <w:rsid w:val="00612250"/>
    <w:rsid w:val="00612923"/>
    <w:rsid w:val="00613653"/>
    <w:rsid w:val="00613AF9"/>
    <w:rsid w:val="00617CA0"/>
    <w:rsid w:val="00620327"/>
    <w:rsid w:val="006203EA"/>
    <w:rsid w:val="0062079D"/>
    <w:rsid w:val="00623B4E"/>
    <w:rsid w:val="00625128"/>
    <w:rsid w:val="006258A2"/>
    <w:rsid w:val="00627E75"/>
    <w:rsid w:val="0063035F"/>
    <w:rsid w:val="0063084D"/>
    <w:rsid w:val="006318FD"/>
    <w:rsid w:val="00631B70"/>
    <w:rsid w:val="00634F17"/>
    <w:rsid w:val="00635916"/>
    <w:rsid w:val="00636019"/>
    <w:rsid w:val="006374C9"/>
    <w:rsid w:val="0063771E"/>
    <w:rsid w:val="00637E13"/>
    <w:rsid w:val="006405B9"/>
    <w:rsid w:val="00641B22"/>
    <w:rsid w:val="00641E70"/>
    <w:rsid w:val="0064563D"/>
    <w:rsid w:val="00645C8C"/>
    <w:rsid w:val="006461E8"/>
    <w:rsid w:val="00647299"/>
    <w:rsid w:val="00650A8D"/>
    <w:rsid w:val="0065111D"/>
    <w:rsid w:val="00651992"/>
    <w:rsid w:val="00651C99"/>
    <w:rsid w:val="00652623"/>
    <w:rsid w:val="00652C3C"/>
    <w:rsid w:val="006530BD"/>
    <w:rsid w:val="006533A6"/>
    <w:rsid w:val="006548DB"/>
    <w:rsid w:val="00654ABB"/>
    <w:rsid w:val="00654C80"/>
    <w:rsid w:val="006551FC"/>
    <w:rsid w:val="006552CA"/>
    <w:rsid w:val="0065563A"/>
    <w:rsid w:val="00655AB3"/>
    <w:rsid w:val="00656A2E"/>
    <w:rsid w:val="00661500"/>
    <w:rsid w:val="0066378A"/>
    <w:rsid w:val="006646C0"/>
    <w:rsid w:val="00664F64"/>
    <w:rsid w:val="00665952"/>
    <w:rsid w:val="006662BC"/>
    <w:rsid w:val="00666E7E"/>
    <w:rsid w:val="006721ED"/>
    <w:rsid w:val="00672FF5"/>
    <w:rsid w:val="00673EC8"/>
    <w:rsid w:val="00674670"/>
    <w:rsid w:val="00675D4B"/>
    <w:rsid w:val="0067675B"/>
    <w:rsid w:val="0067694B"/>
    <w:rsid w:val="00676CF8"/>
    <w:rsid w:val="00676DBB"/>
    <w:rsid w:val="00677316"/>
    <w:rsid w:val="00677931"/>
    <w:rsid w:val="0068044C"/>
    <w:rsid w:val="006806F8"/>
    <w:rsid w:val="006813ED"/>
    <w:rsid w:val="0068222B"/>
    <w:rsid w:val="00682445"/>
    <w:rsid w:val="00683A68"/>
    <w:rsid w:val="00684239"/>
    <w:rsid w:val="00684E2F"/>
    <w:rsid w:val="0068658A"/>
    <w:rsid w:val="006874A7"/>
    <w:rsid w:val="00687795"/>
    <w:rsid w:val="00690A82"/>
    <w:rsid w:val="00691522"/>
    <w:rsid w:val="00691B5D"/>
    <w:rsid w:val="006923D0"/>
    <w:rsid w:val="00693095"/>
    <w:rsid w:val="0069371C"/>
    <w:rsid w:val="00696F42"/>
    <w:rsid w:val="006A05C9"/>
    <w:rsid w:val="006A1239"/>
    <w:rsid w:val="006A215E"/>
    <w:rsid w:val="006A2DC5"/>
    <w:rsid w:val="006A3519"/>
    <w:rsid w:val="006A4AF7"/>
    <w:rsid w:val="006A5F05"/>
    <w:rsid w:val="006A6C1F"/>
    <w:rsid w:val="006A7C44"/>
    <w:rsid w:val="006B15F2"/>
    <w:rsid w:val="006B18F7"/>
    <w:rsid w:val="006B3715"/>
    <w:rsid w:val="006B3EC4"/>
    <w:rsid w:val="006B4637"/>
    <w:rsid w:val="006B4FD2"/>
    <w:rsid w:val="006B5625"/>
    <w:rsid w:val="006B626E"/>
    <w:rsid w:val="006B7477"/>
    <w:rsid w:val="006B7E9D"/>
    <w:rsid w:val="006C09C9"/>
    <w:rsid w:val="006C2BFE"/>
    <w:rsid w:val="006C3BB0"/>
    <w:rsid w:val="006C3CA7"/>
    <w:rsid w:val="006C4149"/>
    <w:rsid w:val="006C4798"/>
    <w:rsid w:val="006C5ED3"/>
    <w:rsid w:val="006C65C1"/>
    <w:rsid w:val="006D04AF"/>
    <w:rsid w:val="006D11D3"/>
    <w:rsid w:val="006D1AC8"/>
    <w:rsid w:val="006D3715"/>
    <w:rsid w:val="006D3738"/>
    <w:rsid w:val="006D3B9C"/>
    <w:rsid w:val="006D5E70"/>
    <w:rsid w:val="006D7DF9"/>
    <w:rsid w:val="006D7F1E"/>
    <w:rsid w:val="006E2827"/>
    <w:rsid w:val="006E35CF"/>
    <w:rsid w:val="006E3DCC"/>
    <w:rsid w:val="006E4142"/>
    <w:rsid w:val="006E4F82"/>
    <w:rsid w:val="006E51E1"/>
    <w:rsid w:val="006E6149"/>
    <w:rsid w:val="006E691B"/>
    <w:rsid w:val="006E6CAB"/>
    <w:rsid w:val="006E7EFB"/>
    <w:rsid w:val="006F00BE"/>
    <w:rsid w:val="006F0DC9"/>
    <w:rsid w:val="006F434D"/>
    <w:rsid w:val="006F45EC"/>
    <w:rsid w:val="006F4833"/>
    <w:rsid w:val="006F48DA"/>
    <w:rsid w:val="006F50E3"/>
    <w:rsid w:val="006F6154"/>
    <w:rsid w:val="006F6F21"/>
    <w:rsid w:val="006F72B0"/>
    <w:rsid w:val="006F7B1B"/>
    <w:rsid w:val="007027A6"/>
    <w:rsid w:val="007029B4"/>
    <w:rsid w:val="00704415"/>
    <w:rsid w:val="007044A2"/>
    <w:rsid w:val="00704A2E"/>
    <w:rsid w:val="00704B06"/>
    <w:rsid w:val="0070525E"/>
    <w:rsid w:val="00707C2F"/>
    <w:rsid w:val="00707F2B"/>
    <w:rsid w:val="007106A0"/>
    <w:rsid w:val="00711E1F"/>
    <w:rsid w:val="00712644"/>
    <w:rsid w:val="007129F1"/>
    <w:rsid w:val="00712D4B"/>
    <w:rsid w:val="00712EBE"/>
    <w:rsid w:val="00713AC3"/>
    <w:rsid w:val="00714623"/>
    <w:rsid w:val="00714CEE"/>
    <w:rsid w:val="00715C98"/>
    <w:rsid w:val="00717B74"/>
    <w:rsid w:val="00720360"/>
    <w:rsid w:val="0072059E"/>
    <w:rsid w:val="0072129A"/>
    <w:rsid w:val="00721AAF"/>
    <w:rsid w:val="00721CF3"/>
    <w:rsid w:val="00721D39"/>
    <w:rsid w:val="00722381"/>
    <w:rsid w:val="00723DD8"/>
    <w:rsid w:val="00723EA1"/>
    <w:rsid w:val="0072563D"/>
    <w:rsid w:val="00725BA5"/>
    <w:rsid w:val="00726A2A"/>
    <w:rsid w:val="00730C9B"/>
    <w:rsid w:val="007323F5"/>
    <w:rsid w:val="00733259"/>
    <w:rsid w:val="007334FC"/>
    <w:rsid w:val="007365F0"/>
    <w:rsid w:val="0073675E"/>
    <w:rsid w:val="0074075B"/>
    <w:rsid w:val="007414E8"/>
    <w:rsid w:val="00741502"/>
    <w:rsid w:val="007444BC"/>
    <w:rsid w:val="00744AB9"/>
    <w:rsid w:val="00744D82"/>
    <w:rsid w:val="007454E5"/>
    <w:rsid w:val="00745808"/>
    <w:rsid w:val="00745C18"/>
    <w:rsid w:val="00746689"/>
    <w:rsid w:val="00747BA7"/>
    <w:rsid w:val="00750DCD"/>
    <w:rsid w:val="00751321"/>
    <w:rsid w:val="007516E8"/>
    <w:rsid w:val="00751DA5"/>
    <w:rsid w:val="0075298F"/>
    <w:rsid w:val="00752C32"/>
    <w:rsid w:val="00752F50"/>
    <w:rsid w:val="00753C9F"/>
    <w:rsid w:val="00754977"/>
    <w:rsid w:val="00754EF7"/>
    <w:rsid w:val="007557D2"/>
    <w:rsid w:val="00755DAF"/>
    <w:rsid w:val="0075686E"/>
    <w:rsid w:val="00757299"/>
    <w:rsid w:val="00757679"/>
    <w:rsid w:val="00757866"/>
    <w:rsid w:val="00757EA5"/>
    <w:rsid w:val="0076081D"/>
    <w:rsid w:val="00761BA1"/>
    <w:rsid w:val="00762E53"/>
    <w:rsid w:val="00766190"/>
    <w:rsid w:val="0076642F"/>
    <w:rsid w:val="00766AC0"/>
    <w:rsid w:val="0077179C"/>
    <w:rsid w:val="00772C6F"/>
    <w:rsid w:val="00772D4D"/>
    <w:rsid w:val="007737D7"/>
    <w:rsid w:val="0077468D"/>
    <w:rsid w:val="00774A1D"/>
    <w:rsid w:val="0077563C"/>
    <w:rsid w:val="00775CD3"/>
    <w:rsid w:val="00776642"/>
    <w:rsid w:val="007778C9"/>
    <w:rsid w:val="0078177D"/>
    <w:rsid w:val="00781856"/>
    <w:rsid w:val="007824B2"/>
    <w:rsid w:val="007827D0"/>
    <w:rsid w:val="007836D3"/>
    <w:rsid w:val="00783C0D"/>
    <w:rsid w:val="00783F85"/>
    <w:rsid w:val="00784A45"/>
    <w:rsid w:val="00784F61"/>
    <w:rsid w:val="00784F88"/>
    <w:rsid w:val="007855D3"/>
    <w:rsid w:val="0078588A"/>
    <w:rsid w:val="007858F5"/>
    <w:rsid w:val="007859FC"/>
    <w:rsid w:val="00786EFA"/>
    <w:rsid w:val="007915C0"/>
    <w:rsid w:val="007930AB"/>
    <w:rsid w:val="007944E5"/>
    <w:rsid w:val="00794EF0"/>
    <w:rsid w:val="00795252"/>
    <w:rsid w:val="007960A0"/>
    <w:rsid w:val="00796829"/>
    <w:rsid w:val="00796A7E"/>
    <w:rsid w:val="007A085E"/>
    <w:rsid w:val="007A10A8"/>
    <w:rsid w:val="007A1608"/>
    <w:rsid w:val="007A246E"/>
    <w:rsid w:val="007A2512"/>
    <w:rsid w:val="007A451D"/>
    <w:rsid w:val="007A70EB"/>
    <w:rsid w:val="007A7450"/>
    <w:rsid w:val="007B03CF"/>
    <w:rsid w:val="007B4E78"/>
    <w:rsid w:val="007B55D6"/>
    <w:rsid w:val="007B5734"/>
    <w:rsid w:val="007B657B"/>
    <w:rsid w:val="007C0366"/>
    <w:rsid w:val="007C078D"/>
    <w:rsid w:val="007C1010"/>
    <w:rsid w:val="007C10A3"/>
    <w:rsid w:val="007C1858"/>
    <w:rsid w:val="007C1977"/>
    <w:rsid w:val="007C3518"/>
    <w:rsid w:val="007C5489"/>
    <w:rsid w:val="007C5B14"/>
    <w:rsid w:val="007D17AB"/>
    <w:rsid w:val="007D1BDC"/>
    <w:rsid w:val="007D3D87"/>
    <w:rsid w:val="007D7DF7"/>
    <w:rsid w:val="007E0466"/>
    <w:rsid w:val="007E0485"/>
    <w:rsid w:val="007E057C"/>
    <w:rsid w:val="007E0704"/>
    <w:rsid w:val="007E0B5F"/>
    <w:rsid w:val="007E0CC7"/>
    <w:rsid w:val="007E0F86"/>
    <w:rsid w:val="007E14B4"/>
    <w:rsid w:val="007E1C74"/>
    <w:rsid w:val="007E1D35"/>
    <w:rsid w:val="007E40FE"/>
    <w:rsid w:val="007E4474"/>
    <w:rsid w:val="007E48B3"/>
    <w:rsid w:val="007E4D63"/>
    <w:rsid w:val="007F2A7A"/>
    <w:rsid w:val="007F3415"/>
    <w:rsid w:val="007F3B0A"/>
    <w:rsid w:val="007F5254"/>
    <w:rsid w:val="007F6277"/>
    <w:rsid w:val="007F6BAD"/>
    <w:rsid w:val="007F7482"/>
    <w:rsid w:val="008001D2"/>
    <w:rsid w:val="00800EDB"/>
    <w:rsid w:val="00801EB9"/>
    <w:rsid w:val="008027DA"/>
    <w:rsid w:val="00804735"/>
    <w:rsid w:val="008065E0"/>
    <w:rsid w:val="008103CF"/>
    <w:rsid w:val="0081043C"/>
    <w:rsid w:val="00811103"/>
    <w:rsid w:val="008113E1"/>
    <w:rsid w:val="0081147D"/>
    <w:rsid w:val="0081185F"/>
    <w:rsid w:val="0081218F"/>
    <w:rsid w:val="00814130"/>
    <w:rsid w:val="008153AD"/>
    <w:rsid w:val="008161F4"/>
    <w:rsid w:val="00816945"/>
    <w:rsid w:val="008173C6"/>
    <w:rsid w:val="008179B5"/>
    <w:rsid w:val="00817DAA"/>
    <w:rsid w:val="008206DB"/>
    <w:rsid w:val="00821347"/>
    <w:rsid w:val="008217FB"/>
    <w:rsid w:val="008220DD"/>
    <w:rsid w:val="008238F2"/>
    <w:rsid w:val="00824CEB"/>
    <w:rsid w:val="008266B0"/>
    <w:rsid w:val="00826DF4"/>
    <w:rsid w:val="0082766F"/>
    <w:rsid w:val="00833EB2"/>
    <w:rsid w:val="00834697"/>
    <w:rsid w:val="008349EC"/>
    <w:rsid w:val="00834DDE"/>
    <w:rsid w:val="00836088"/>
    <w:rsid w:val="0083747E"/>
    <w:rsid w:val="0084070C"/>
    <w:rsid w:val="00842932"/>
    <w:rsid w:val="00844F55"/>
    <w:rsid w:val="0084600B"/>
    <w:rsid w:val="008463D5"/>
    <w:rsid w:val="00847732"/>
    <w:rsid w:val="00847850"/>
    <w:rsid w:val="00847AD3"/>
    <w:rsid w:val="00847CCA"/>
    <w:rsid w:val="0085028D"/>
    <w:rsid w:val="0085146B"/>
    <w:rsid w:val="00851512"/>
    <w:rsid w:val="00851E1F"/>
    <w:rsid w:val="008534F9"/>
    <w:rsid w:val="00854218"/>
    <w:rsid w:val="008555F9"/>
    <w:rsid w:val="0085598D"/>
    <w:rsid w:val="00856ACA"/>
    <w:rsid w:val="00856DD2"/>
    <w:rsid w:val="00857894"/>
    <w:rsid w:val="00857B10"/>
    <w:rsid w:val="00860873"/>
    <w:rsid w:val="008624B9"/>
    <w:rsid w:val="008629B6"/>
    <w:rsid w:val="00862D84"/>
    <w:rsid w:val="00864727"/>
    <w:rsid w:val="008701FC"/>
    <w:rsid w:val="008705DD"/>
    <w:rsid w:val="00870E51"/>
    <w:rsid w:val="00871C50"/>
    <w:rsid w:val="00872020"/>
    <w:rsid w:val="008725BF"/>
    <w:rsid w:val="008726AE"/>
    <w:rsid w:val="008728E4"/>
    <w:rsid w:val="00873BAA"/>
    <w:rsid w:val="00875D9F"/>
    <w:rsid w:val="00875E3A"/>
    <w:rsid w:val="008768A2"/>
    <w:rsid w:val="00876CAD"/>
    <w:rsid w:val="00876D42"/>
    <w:rsid w:val="0087760C"/>
    <w:rsid w:val="00877850"/>
    <w:rsid w:val="008818D9"/>
    <w:rsid w:val="00882DBC"/>
    <w:rsid w:val="00883BB8"/>
    <w:rsid w:val="00884080"/>
    <w:rsid w:val="0088520E"/>
    <w:rsid w:val="00885A9A"/>
    <w:rsid w:val="00886CD7"/>
    <w:rsid w:val="00886CE3"/>
    <w:rsid w:val="00886EFB"/>
    <w:rsid w:val="00887DB8"/>
    <w:rsid w:val="00890148"/>
    <w:rsid w:val="00890DCD"/>
    <w:rsid w:val="008914D2"/>
    <w:rsid w:val="008915E8"/>
    <w:rsid w:val="008920E6"/>
    <w:rsid w:val="00893DD4"/>
    <w:rsid w:val="00894153"/>
    <w:rsid w:val="008942CB"/>
    <w:rsid w:val="00894C95"/>
    <w:rsid w:val="00895DCA"/>
    <w:rsid w:val="00896605"/>
    <w:rsid w:val="00896AD8"/>
    <w:rsid w:val="008A0309"/>
    <w:rsid w:val="008A08A5"/>
    <w:rsid w:val="008A0949"/>
    <w:rsid w:val="008A126F"/>
    <w:rsid w:val="008A24EC"/>
    <w:rsid w:val="008A3FB2"/>
    <w:rsid w:val="008A45E9"/>
    <w:rsid w:val="008A5492"/>
    <w:rsid w:val="008A5C5C"/>
    <w:rsid w:val="008A7993"/>
    <w:rsid w:val="008B04A8"/>
    <w:rsid w:val="008B15B1"/>
    <w:rsid w:val="008B2E03"/>
    <w:rsid w:val="008B3E78"/>
    <w:rsid w:val="008B5605"/>
    <w:rsid w:val="008B61CF"/>
    <w:rsid w:val="008B7827"/>
    <w:rsid w:val="008B7C55"/>
    <w:rsid w:val="008C04D6"/>
    <w:rsid w:val="008C1EA7"/>
    <w:rsid w:val="008C21B2"/>
    <w:rsid w:val="008C2701"/>
    <w:rsid w:val="008C3541"/>
    <w:rsid w:val="008C3A08"/>
    <w:rsid w:val="008C3FC7"/>
    <w:rsid w:val="008C4932"/>
    <w:rsid w:val="008C4983"/>
    <w:rsid w:val="008C5BD9"/>
    <w:rsid w:val="008C6A1C"/>
    <w:rsid w:val="008C7611"/>
    <w:rsid w:val="008D0C50"/>
    <w:rsid w:val="008D0FCC"/>
    <w:rsid w:val="008D2685"/>
    <w:rsid w:val="008D269F"/>
    <w:rsid w:val="008D49FA"/>
    <w:rsid w:val="008D5456"/>
    <w:rsid w:val="008D5875"/>
    <w:rsid w:val="008D6B7F"/>
    <w:rsid w:val="008D73D3"/>
    <w:rsid w:val="008D7601"/>
    <w:rsid w:val="008D7A1B"/>
    <w:rsid w:val="008E2747"/>
    <w:rsid w:val="008E3380"/>
    <w:rsid w:val="008E39B0"/>
    <w:rsid w:val="008E3BEB"/>
    <w:rsid w:val="008E3DB1"/>
    <w:rsid w:val="008E3ED8"/>
    <w:rsid w:val="008E4264"/>
    <w:rsid w:val="008E45A6"/>
    <w:rsid w:val="008E57FB"/>
    <w:rsid w:val="008E73C7"/>
    <w:rsid w:val="008E7712"/>
    <w:rsid w:val="008E7F59"/>
    <w:rsid w:val="008F053C"/>
    <w:rsid w:val="008F0FAD"/>
    <w:rsid w:val="008F13CC"/>
    <w:rsid w:val="008F2078"/>
    <w:rsid w:val="008F2D90"/>
    <w:rsid w:val="008F3129"/>
    <w:rsid w:val="008F4697"/>
    <w:rsid w:val="008F6AA9"/>
    <w:rsid w:val="008F6E16"/>
    <w:rsid w:val="008F6E92"/>
    <w:rsid w:val="00900049"/>
    <w:rsid w:val="00900F19"/>
    <w:rsid w:val="009016A1"/>
    <w:rsid w:val="00902496"/>
    <w:rsid w:val="00903E8A"/>
    <w:rsid w:val="00904197"/>
    <w:rsid w:val="00904BED"/>
    <w:rsid w:val="00905C21"/>
    <w:rsid w:val="00906AF6"/>
    <w:rsid w:val="00907C37"/>
    <w:rsid w:val="0091067A"/>
    <w:rsid w:val="00910BED"/>
    <w:rsid w:val="0091148A"/>
    <w:rsid w:val="00911B8E"/>
    <w:rsid w:val="009120FB"/>
    <w:rsid w:val="0091300E"/>
    <w:rsid w:val="009134BD"/>
    <w:rsid w:val="00913622"/>
    <w:rsid w:val="00913D10"/>
    <w:rsid w:val="00914EDE"/>
    <w:rsid w:val="009165A9"/>
    <w:rsid w:val="00916C47"/>
    <w:rsid w:val="0091702F"/>
    <w:rsid w:val="00917476"/>
    <w:rsid w:val="0092102A"/>
    <w:rsid w:val="00921289"/>
    <w:rsid w:val="009217BB"/>
    <w:rsid w:val="009230A2"/>
    <w:rsid w:val="00923508"/>
    <w:rsid w:val="00923718"/>
    <w:rsid w:val="009244FC"/>
    <w:rsid w:val="00924C39"/>
    <w:rsid w:val="00925E22"/>
    <w:rsid w:val="009264FC"/>
    <w:rsid w:val="009327DF"/>
    <w:rsid w:val="00933FED"/>
    <w:rsid w:val="0093470C"/>
    <w:rsid w:val="00934B1C"/>
    <w:rsid w:val="00936645"/>
    <w:rsid w:val="00937283"/>
    <w:rsid w:val="009400C8"/>
    <w:rsid w:val="00943E99"/>
    <w:rsid w:val="009460E3"/>
    <w:rsid w:val="009472A2"/>
    <w:rsid w:val="00950FAB"/>
    <w:rsid w:val="009559C7"/>
    <w:rsid w:val="009559EC"/>
    <w:rsid w:val="0095652C"/>
    <w:rsid w:val="009573C0"/>
    <w:rsid w:val="00957B69"/>
    <w:rsid w:val="00960C9F"/>
    <w:rsid w:val="0096179A"/>
    <w:rsid w:val="009617D2"/>
    <w:rsid w:val="0096247A"/>
    <w:rsid w:val="00962BC3"/>
    <w:rsid w:val="00963479"/>
    <w:rsid w:val="00963DA5"/>
    <w:rsid w:val="0096517A"/>
    <w:rsid w:val="00965D04"/>
    <w:rsid w:val="009675A1"/>
    <w:rsid w:val="0096789D"/>
    <w:rsid w:val="0097051E"/>
    <w:rsid w:val="009729D1"/>
    <w:rsid w:val="0097386F"/>
    <w:rsid w:val="00975D25"/>
    <w:rsid w:val="0097741F"/>
    <w:rsid w:val="00977467"/>
    <w:rsid w:val="009775ED"/>
    <w:rsid w:val="00980801"/>
    <w:rsid w:val="00981A0B"/>
    <w:rsid w:val="009822EC"/>
    <w:rsid w:val="00982AD8"/>
    <w:rsid w:val="00982C2E"/>
    <w:rsid w:val="00982EE5"/>
    <w:rsid w:val="009830A1"/>
    <w:rsid w:val="009846EA"/>
    <w:rsid w:val="00984A99"/>
    <w:rsid w:val="00985414"/>
    <w:rsid w:val="009870AC"/>
    <w:rsid w:val="00987445"/>
    <w:rsid w:val="00992AAD"/>
    <w:rsid w:val="00993519"/>
    <w:rsid w:val="00993AC0"/>
    <w:rsid w:val="009949D7"/>
    <w:rsid w:val="00994F10"/>
    <w:rsid w:val="00996103"/>
    <w:rsid w:val="009962F5"/>
    <w:rsid w:val="0099638C"/>
    <w:rsid w:val="009964CB"/>
    <w:rsid w:val="00997A96"/>
    <w:rsid w:val="00997BBE"/>
    <w:rsid w:val="009A0A98"/>
    <w:rsid w:val="009A0C53"/>
    <w:rsid w:val="009A3A88"/>
    <w:rsid w:val="009A3ADB"/>
    <w:rsid w:val="009A47A9"/>
    <w:rsid w:val="009A6199"/>
    <w:rsid w:val="009A6448"/>
    <w:rsid w:val="009A6E45"/>
    <w:rsid w:val="009A7E84"/>
    <w:rsid w:val="009B0845"/>
    <w:rsid w:val="009B1994"/>
    <w:rsid w:val="009B1CA3"/>
    <w:rsid w:val="009B1D8B"/>
    <w:rsid w:val="009B280F"/>
    <w:rsid w:val="009B3599"/>
    <w:rsid w:val="009B3DD8"/>
    <w:rsid w:val="009B3ED6"/>
    <w:rsid w:val="009B3EEF"/>
    <w:rsid w:val="009C10DE"/>
    <w:rsid w:val="009C2582"/>
    <w:rsid w:val="009C2C3E"/>
    <w:rsid w:val="009C3A7B"/>
    <w:rsid w:val="009C4C77"/>
    <w:rsid w:val="009C534C"/>
    <w:rsid w:val="009C5619"/>
    <w:rsid w:val="009C581C"/>
    <w:rsid w:val="009C6AD0"/>
    <w:rsid w:val="009C6B70"/>
    <w:rsid w:val="009C6EE2"/>
    <w:rsid w:val="009C73C3"/>
    <w:rsid w:val="009C7915"/>
    <w:rsid w:val="009D0B88"/>
    <w:rsid w:val="009D1E71"/>
    <w:rsid w:val="009D2374"/>
    <w:rsid w:val="009D2402"/>
    <w:rsid w:val="009D27A9"/>
    <w:rsid w:val="009D32E6"/>
    <w:rsid w:val="009D3A8D"/>
    <w:rsid w:val="009D3E22"/>
    <w:rsid w:val="009D425A"/>
    <w:rsid w:val="009D43C7"/>
    <w:rsid w:val="009D4A77"/>
    <w:rsid w:val="009D58A0"/>
    <w:rsid w:val="009D58BD"/>
    <w:rsid w:val="009D6BFB"/>
    <w:rsid w:val="009D71F1"/>
    <w:rsid w:val="009D7262"/>
    <w:rsid w:val="009E0445"/>
    <w:rsid w:val="009E11A2"/>
    <w:rsid w:val="009E209B"/>
    <w:rsid w:val="009E2BEE"/>
    <w:rsid w:val="009E2E0C"/>
    <w:rsid w:val="009E3731"/>
    <w:rsid w:val="009E5342"/>
    <w:rsid w:val="009E5DDE"/>
    <w:rsid w:val="009E5E0D"/>
    <w:rsid w:val="009F0AAE"/>
    <w:rsid w:val="009F1AC3"/>
    <w:rsid w:val="009F3009"/>
    <w:rsid w:val="009F30F0"/>
    <w:rsid w:val="009F3293"/>
    <w:rsid w:val="009F32FA"/>
    <w:rsid w:val="009F3531"/>
    <w:rsid w:val="009F3C17"/>
    <w:rsid w:val="009F46BA"/>
    <w:rsid w:val="009F5182"/>
    <w:rsid w:val="00A002CB"/>
    <w:rsid w:val="00A013DB"/>
    <w:rsid w:val="00A024BB"/>
    <w:rsid w:val="00A0449D"/>
    <w:rsid w:val="00A05D3A"/>
    <w:rsid w:val="00A0762B"/>
    <w:rsid w:val="00A07800"/>
    <w:rsid w:val="00A100FA"/>
    <w:rsid w:val="00A12532"/>
    <w:rsid w:val="00A12A3B"/>
    <w:rsid w:val="00A135B6"/>
    <w:rsid w:val="00A1361F"/>
    <w:rsid w:val="00A13A4E"/>
    <w:rsid w:val="00A13B58"/>
    <w:rsid w:val="00A13BE6"/>
    <w:rsid w:val="00A13D9B"/>
    <w:rsid w:val="00A1464F"/>
    <w:rsid w:val="00A1602C"/>
    <w:rsid w:val="00A162EF"/>
    <w:rsid w:val="00A166AE"/>
    <w:rsid w:val="00A17ACC"/>
    <w:rsid w:val="00A21053"/>
    <w:rsid w:val="00A21435"/>
    <w:rsid w:val="00A2160F"/>
    <w:rsid w:val="00A21802"/>
    <w:rsid w:val="00A21E4B"/>
    <w:rsid w:val="00A233FE"/>
    <w:rsid w:val="00A23A02"/>
    <w:rsid w:val="00A24081"/>
    <w:rsid w:val="00A249F2"/>
    <w:rsid w:val="00A26A0F"/>
    <w:rsid w:val="00A26A5E"/>
    <w:rsid w:val="00A2726F"/>
    <w:rsid w:val="00A31344"/>
    <w:rsid w:val="00A31677"/>
    <w:rsid w:val="00A31F30"/>
    <w:rsid w:val="00A3332A"/>
    <w:rsid w:val="00A336BF"/>
    <w:rsid w:val="00A3395E"/>
    <w:rsid w:val="00A33F9B"/>
    <w:rsid w:val="00A343A7"/>
    <w:rsid w:val="00A358CB"/>
    <w:rsid w:val="00A35F7F"/>
    <w:rsid w:val="00A363E5"/>
    <w:rsid w:val="00A36834"/>
    <w:rsid w:val="00A37187"/>
    <w:rsid w:val="00A3792A"/>
    <w:rsid w:val="00A412CE"/>
    <w:rsid w:val="00A42FAA"/>
    <w:rsid w:val="00A447C2"/>
    <w:rsid w:val="00A447E1"/>
    <w:rsid w:val="00A4575D"/>
    <w:rsid w:val="00A4770B"/>
    <w:rsid w:val="00A50CF1"/>
    <w:rsid w:val="00A5137E"/>
    <w:rsid w:val="00A51A62"/>
    <w:rsid w:val="00A51BC9"/>
    <w:rsid w:val="00A51CF3"/>
    <w:rsid w:val="00A51D36"/>
    <w:rsid w:val="00A53756"/>
    <w:rsid w:val="00A543AF"/>
    <w:rsid w:val="00A56B50"/>
    <w:rsid w:val="00A572CB"/>
    <w:rsid w:val="00A57D76"/>
    <w:rsid w:val="00A613DC"/>
    <w:rsid w:val="00A61FE2"/>
    <w:rsid w:val="00A62B95"/>
    <w:rsid w:val="00A63B78"/>
    <w:rsid w:val="00A64437"/>
    <w:rsid w:val="00A64525"/>
    <w:rsid w:val="00A649E4"/>
    <w:rsid w:val="00A669A6"/>
    <w:rsid w:val="00A66BA3"/>
    <w:rsid w:val="00A67106"/>
    <w:rsid w:val="00A67A9D"/>
    <w:rsid w:val="00A7013A"/>
    <w:rsid w:val="00A70C85"/>
    <w:rsid w:val="00A71877"/>
    <w:rsid w:val="00A71D81"/>
    <w:rsid w:val="00A72E59"/>
    <w:rsid w:val="00A736B2"/>
    <w:rsid w:val="00A73FCB"/>
    <w:rsid w:val="00A75217"/>
    <w:rsid w:val="00A76169"/>
    <w:rsid w:val="00A76B0E"/>
    <w:rsid w:val="00A76C1F"/>
    <w:rsid w:val="00A779DA"/>
    <w:rsid w:val="00A82B36"/>
    <w:rsid w:val="00A83E44"/>
    <w:rsid w:val="00A8457F"/>
    <w:rsid w:val="00A87167"/>
    <w:rsid w:val="00A937DF"/>
    <w:rsid w:val="00A93BBA"/>
    <w:rsid w:val="00A93D75"/>
    <w:rsid w:val="00A94392"/>
    <w:rsid w:val="00A9609B"/>
    <w:rsid w:val="00A9747D"/>
    <w:rsid w:val="00A97AE5"/>
    <w:rsid w:val="00AA158A"/>
    <w:rsid w:val="00AA26E6"/>
    <w:rsid w:val="00AA2C79"/>
    <w:rsid w:val="00AA39CA"/>
    <w:rsid w:val="00AA3CA3"/>
    <w:rsid w:val="00AA3E3A"/>
    <w:rsid w:val="00AA5677"/>
    <w:rsid w:val="00AA611A"/>
    <w:rsid w:val="00AA6979"/>
    <w:rsid w:val="00AA7099"/>
    <w:rsid w:val="00AA79C5"/>
    <w:rsid w:val="00AB02D4"/>
    <w:rsid w:val="00AB0325"/>
    <w:rsid w:val="00AB0FA6"/>
    <w:rsid w:val="00AB1C4F"/>
    <w:rsid w:val="00AB3B4E"/>
    <w:rsid w:val="00AB3D16"/>
    <w:rsid w:val="00AB44B6"/>
    <w:rsid w:val="00AB5904"/>
    <w:rsid w:val="00AB6714"/>
    <w:rsid w:val="00AB6C9D"/>
    <w:rsid w:val="00AC0AF3"/>
    <w:rsid w:val="00AC4329"/>
    <w:rsid w:val="00AC45F8"/>
    <w:rsid w:val="00AC513C"/>
    <w:rsid w:val="00AC54BD"/>
    <w:rsid w:val="00AD0865"/>
    <w:rsid w:val="00AD15AD"/>
    <w:rsid w:val="00AD21F9"/>
    <w:rsid w:val="00AD3324"/>
    <w:rsid w:val="00AD4745"/>
    <w:rsid w:val="00AD54EE"/>
    <w:rsid w:val="00AD5FD7"/>
    <w:rsid w:val="00AD6246"/>
    <w:rsid w:val="00AD6478"/>
    <w:rsid w:val="00AD6A1A"/>
    <w:rsid w:val="00AD6B15"/>
    <w:rsid w:val="00AD76A3"/>
    <w:rsid w:val="00AD7BBD"/>
    <w:rsid w:val="00AE0615"/>
    <w:rsid w:val="00AE1506"/>
    <w:rsid w:val="00AE25CF"/>
    <w:rsid w:val="00AE404D"/>
    <w:rsid w:val="00AE43B9"/>
    <w:rsid w:val="00AE54DA"/>
    <w:rsid w:val="00AE58AA"/>
    <w:rsid w:val="00AE5B26"/>
    <w:rsid w:val="00AE656A"/>
    <w:rsid w:val="00AE7739"/>
    <w:rsid w:val="00AF0181"/>
    <w:rsid w:val="00AF230E"/>
    <w:rsid w:val="00AF2E58"/>
    <w:rsid w:val="00AF34CA"/>
    <w:rsid w:val="00AF48B9"/>
    <w:rsid w:val="00AF564E"/>
    <w:rsid w:val="00AF59E4"/>
    <w:rsid w:val="00AF79CE"/>
    <w:rsid w:val="00B01163"/>
    <w:rsid w:val="00B01385"/>
    <w:rsid w:val="00B03161"/>
    <w:rsid w:val="00B03384"/>
    <w:rsid w:val="00B03829"/>
    <w:rsid w:val="00B04758"/>
    <w:rsid w:val="00B054B3"/>
    <w:rsid w:val="00B05FEC"/>
    <w:rsid w:val="00B07146"/>
    <w:rsid w:val="00B0754D"/>
    <w:rsid w:val="00B0757A"/>
    <w:rsid w:val="00B109E2"/>
    <w:rsid w:val="00B1158D"/>
    <w:rsid w:val="00B12749"/>
    <w:rsid w:val="00B12E24"/>
    <w:rsid w:val="00B1353C"/>
    <w:rsid w:val="00B13BEE"/>
    <w:rsid w:val="00B1422B"/>
    <w:rsid w:val="00B15230"/>
    <w:rsid w:val="00B15569"/>
    <w:rsid w:val="00B156D5"/>
    <w:rsid w:val="00B20BDB"/>
    <w:rsid w:val="00B2101A"/>
    <w:rsid w:val="00B24AA6"/>
    <w:rsid w:val="00B2511E"/>
    <w:rsid w:val="00B25505"/>
    <w:rsid w:val="00B2676F"/>
    <w:rsid w:val="00B26903"/>
    <w:rsid w:val="00B269B5"/>
    <w:rsid w:val="00B26A71"/>
    <w:rsid w:val="00B274F3"/>
    <w:rsid w:val="00B27747"/>
    <w:rsid w:val="00B27B8E"/>
    <w:rsid w:val="00B30263"/>
    <w:rsid w:val="00B327DF"/>
    <w:rsid w:val="00B340B3"/>
    <w:rsid w:val="00B3475F"/>
    <w:rsid w:val="00B34C42"/>
    <w:rsid w:val="00B350DA"/>
    <w:rsid w:val="00B3692E"/>
    <w:rsid w:val="00B45048"/>
    <w:rsid w:val="00B45797"/>
    <w:rsid w:val="00B46206"/>
    <w:rsid w:val="00B47B09"/>
    <w:rsid w:val="00B507C9"/>
    <w:rsid w:val="00B50EB4"/>
    <w:rsid w:val="00B523B6"/>
    <w:rsid w:val="00B526A2"/>
    <w:rsid w:val="00B52B05"/>
    <w:rsid w:val="00B52DE5"/>
    <w:rsid w:val="00B55459"/>
    <w:rsid w:val="00B56D55"/>
    <w:rsid w:val="00B6067F"/>
    <w:rsid w:val="00B607D0"/>
    <w:rsid w:val="00B609E3"/>
    <w:rsid w:val="00B612D3"/>
    <w:rsid w:val="00B61733"/>
    <w:rsid w:val="00B6249D"/>
    <w:rsid w:val="00B62CFC"/>
    <w:rsid w:val="00B62DF8"/>
    <w:rsid w:val="00B63B47"/>
    <w:rsid w:val="00B67D1B"/>
    <w:rsid w:val="00B70A04"/>
    <w:rsid w:val="00B71270"/>
    <w:rsid w:val="00B71D02"/>
    <w:rsid w:val="00B72281"/>
    <w:rsid w:val="00B733A3"/>
    <w:rsid w:val="00B73A5C"/>
    <w:rsid w:val="00B74BB0"/>
    <w:rsid w:val="00B76445"/>
    <w:rsid w:val="00B77E82"/>
    <w:rsid w:val="00B77FB1"/>
    <w:rsid w:val="00B8043F"/>
    <w:rsid w:val="00B81587"/>
    <w:rsid w:val="00B82235"/>
    <w:rsid w:val="00B842F3"/>
    <w:rsid w:val="00B8431C"/>
    <w:rsid w:val="00B84904"/>
    <w:rsid w:val="00B85268"/>
    <w:rsid w:val="00B866A5"/>
    <w:rsid w:val="00B9023B"/>
    <w:rsid w:val="00B90989"/>
    <w:rsid w:val="00B915A8"/>
    <w:rsid w:val="00B923BE"/>
    <w:rsid w:val="00B92465"/>
    <w:rsid w:val="00B92E83"/>
    <w:rsid w:val="00B935B7"/>
    <w:rsid w:val="00B93E67"/>
    <w:rsid w:val="00B95CE2"/>
    <w:rsid w:val="00B97BAF"/>
    <w:rsid w:val="00BA0A87"/>
    <w:rsid w:val="00BA0F88"/>
    <w:rsid w:val="00BA10E7"/>
    <w:rsid w:val="00BA1120"/>
    <w:rsid w:val="00BA2263"/>
    <w:rsid w:val="00BA30E4"/>
    <w:rsid w:val="00BA36E1"/>
    <w:rsid w:val="00BA4D12"/>
    <w:rsid w:val="00BA4FAC"/>
    <w:rsid w:val="00BA535A"/>
    <w:rsid w:val="00BA6854"/>
    <w:rsid w:val="00BA6AD1"/>
    <w:rsid w:val="00BA7096"/>
    <w:rsid w:val="00BA7D85"/>
    <w:rsid w:val="00BA7F0E"/>
    <w:rsid w:val="00BB12BD"/>
    <w:rsid w:val="00BB1926"/>
    <w:rsid w:val="00BB25B5"/>
    <w:rsid w:val="00BB25C4"/>
    <w:rsid w:val="00BB2B43"/>
    <w:rsid w:val="00BB5013"/>
    <w:rsid w:val="00BB5B02"/>
    <w:rsid w:val="00BB5F61"/>
    <w:rsid w:val="00BC002F"/>
    <w:rsid w:val="00BC09F7"/>
    <w:rsid w:val="00BC1D41"/>
    <w:rsid w:val="00BC1DF5"/>
    <w:rsid w:val="00BC2AD7"/>
    <w:rsid w:val="00BC2C78"/>
    <w:rsid w:val="00BC3129"/>
    <w:rsid w:val="00BC3929"/>
    <w:rsid w:val="00BC3EDD"/>
    <w:rsid w:val="00BC53CC"/>
    <w:rsid w:val="00BC5BC8"/>
    <w:rsid w:val="00BC5BF8"/>
    <w:rsid w:val="00BC5E83"/>
    <w:rsid w:val="00BC75C0"/>
    <w:rsid w:val="00BC7A84"/>
    <w:rsid w:val="00BC7BE2"/>
    <w:rsid w:val="00BD08EB"/>
    <w:rsid w:val="00BD1AFC"/>
    <w:rsid w:val="00BD21C8"/>
    <w:rsid w:val="00BD22C3"/>
    <w:rsid w:val="00BD280B"/>
    <w:rsid w:val="00BD35E8"/>
    <w:rsid w:val="00BD3EBA"/>
    <w:rsid w:val="00BD61D3"/>
    <w:rsid w:val="00BD6633"/>
    <w:rsid w:val="00BD6731"/>
    <w:rsid w:val="00BD6841"/>
    <w:rsid w:val="00BD7523"/>
    <w:rsid w:val="00BD75C3"/>
    <w:rsid w:val="00BD7BDB"/>
    <w:rsid w:val="00BE04D9"/>
    <w:rsid w:val="00BE13C6"/>
    <w:rsid w:val="00BE1D20"/>
    <w:rsid w:val="00BE4D9C"/>
    <w:rsid w:val="00BE629E"/>
    <w:rsid w:val="00BE77B9"/>
    <w:rsid w:val="00BF092C"/>
    <w:rsid w:val="00BF09F8"/>
    <w:rsid w:val="00BF0EA8"/>
    <w:rsid w:val="00BF236B"/>
    <w:rsid w:val="00BF3C05"/>
    <w:rsid w:val="00BF4419"/>
    <w:rsid w:val="00BF4939"/>
    <w:rsid w:val="00BF5A9F"/>
    <w:rsid w:val="00C00E86"/>
    <w:rsid w:val="00C013CA"/>
    <w:rsid w:val="00C019D5"/>
    <w:rsid w:val="00C03B75"/>
    <w:rsid w:val="00C0400F"/>
    <w:rsid w:val="00C0502A"/>
    <w:rsid w:val="00C0732E"/>
    <w:rsid w:val="00C0753D"/>
    <w:rsid w:val="00C07E57"/>
    <w:rsid w:val="00C132DE"/>
    <w:rsid w:val="00C1351A"/>
    <w:rsid w:val="00C13D5D"/>
    <w:rsid w:val="00C159DC"/>
    <w:rsid w:val="00C15EDD"/>
    <w:rsid w:val="00C16A31"/>
    <w:rsid w:val="00C17C91"/>
    <w:rsid w:val="00C20668"/>
    <w:rsid w:val="00C22100"/>
    <w:rsid w:val="00C23526"/>
    <w:rsid w:val="00C2400D"/>
    <w:rsid w:val="00C24943"/>
    <w:rsid w:val="00C24A7D"/>
    <w:rsid w:val="00C2591D"/>
    <w:rsid w:val="00C26B67"/>
    <w:rsid w:val="00C27CE2"/>
    <w:rsid w:val="00C27D1A"/>
    <w:rsid w:val="00C307A0"/>
    <w:rsid w:val="00C30C5B"/>
    <w:rsid w:val="00C311C2"/>
    <w:rsid w:val="00C319BF"/>
    <w:rsid w:val="00C32B0D"/>
    <w:rsid w:val="00C3375D"/>
    <w:rsid w:val="00C340DF"/>
    <w:rsid w:val="00C34F14"/>
    <w:rsid w:val="00C35465"/>
    <w:rsid w:val="00C40B20"/>
    <w:rsid w:val="00C40C97"/>
    <w:rsid w:val="00C41328"/>
    <w:rsid w:val="00C41614"/>
    <w:rsid w:val="00C4193C"/>
    <w:rsid w:val="00C4349B"/>
    <w:rsid w:val="00C43610"/>
    <w:rsid w:val="00C43CEF"/>
    <w:rsid w:val="00C4473D"/>
    <w:rsid w:val="00C45668"/>
    <w:rsid w:val="00C45C3E"/>
    <w:rsid w:val="00C50DCA"/>
    <w:rsid w:val="00C511ED"/>
    <w:rsid w:val="00C52EF8"/>
    <w:rsid w:val="00C5335B"/>
    <w:rsid w:val="00C54674"/>
    <w:rsid w:val="00C54DA7"/>
    <w:rsid w:val="00C553A3"/>
    <w:rsid w:val="00C557B1"/>
    <w:rsid w:val="00C57FE1"/>
    <w:rsid w:val="00C6027D"/>
    <w:rsid w:val="00C60A44"/>
    <w:rsid w:val="00C63292"/>
    <w:rsid w:val="00C6364B"/>
    <w:rsid w:val="00C63C6E"/>
    <w:rsid w:val="00C644FC"/>
    <w:rsid w:val="00C65D25"/>
    <w:rsid w:val="00C661FD"/>
    <w:rsid w:val="00C66428"/>
    <w:rsid w:val="00C713F5"/>
    <w:rsid w:val="00C7181A"/>
    <w:rsid w:val="00C73092"/>
    <w:rsid w:val="00C7382B"/>
    <w:rsid w:val="00C73D31"/>
    <w:rsid w:val="00C7410E"/>
    <w:rsid w:val="00C75A8E"/>
    <w:rsid w:val="00C80A5B"/>
    <w:rsid w:val="00C811DF"/>
    <w:rsid w:val="00C8174F"/>
    <w:rsid w:val="00C82831"/>
    <w:rsid w:val="00C83652"/>
    <w:rsid w:val="00C83F59"/>
    <w:rsid w:val="00C8462C"/>
    <w:rsid w:val="00C85391"/>
    <w:rsid w:val="00C8601C"/>
    <w:rsid w:val="00C90327"/>
    <w:rsid w:val="00C908AE"/>
    <w:rsid w:val="00C90A84"/>
    <w:rsid w:val="00C91317"/>
    <w:rsid w:val="00C9187F"/>
    <w:rsid w:val="00C919FA"/>
    <w:rsid w:val="00C925A3"/>
    <w:rsid w:val="00C94DFE"/>
    <w:rsid w:val="00C96971"/>
    <w:rsid w:val="00C97743"/>
    <w:rsid w:val="00CA04BC"/>
    <w:rsid w:val="00CA1205"/>
    <w:rsid w:val="00CA1D18"/>
    <w:rsid w:val="00CA2CA8"/>
    <w:rsid w:val="00CA3285"/>
    <w:rsid w:val="00CA44C7"/>
    <w:rsid w:val="00CA4B0D"/>
    <w:rsid w:val="00CA4FA1"/>
    <w:rsid w:val="00CA54D2"/>
    <w:rsid w:val="00CA5BAF"/>
    <w:rsid w:val="00CA6462"/>
    <w:rsid w:val="00CA6547"/>
    <w:rsid w:val="00CA667E"/>
    <w:rsid w:val="00CA6EA7"/>
    <w:rsid w:val="00CA7A91"/>
    <w:rsid w:val="00CB01E2"/>
    <w:rsid w:val="00CB04F9"/>
    <w:rsid w:val="00CB2494"/>
    <w:rsid w:val="00CB3CDB"/>
    <w:rsid w:val="00CB4062"/>
    <w:rsid w:val="00CB5803"/>
    <w:rsid w:val="00CB5E25"/>
    <w:rsid w:val="00CB7A76"/>
    <w:rsid w:val="00CB7BE8"/>
    <w:rsid w:val="00CC0400"/>
    <w:rsid w:val="00CC1518"/>
    <w:rsid w:val="00CC1A30"/>
    <w:rsid w:val="00CC1E6D"/>
    <w:rsid w:val="00CC23EA"/>
    <w:rsid w:val="00CC3818"/>
    <w:rsid w:val="00CC3BD2"/>
    <w:rsid w:val="00CC4BC6"/>
    <w:rsid w:val="00CC5504"/>
    <w:rsid w:val="00CC7F5D"/>
    <w:rsid w:val="00CD01D0"/>
    <w:rsid w:val="00CD18AC"/>
    <w:rsid w:val="00CD27A2"/>
    <w:rsid w:val="00CD2CA2"/>
    <w:rsid w:val="00CD3E29"/>
    <w:rsid w:val="00CD4A14"/>
    <w:rsid w:val="00CD5493"/>
    <w:rsid w:val="00CD7D23"/>
    <w:rsid w:val="00CD7FC9"/>
    <w:rsid w:val="00CE047C"/>
    <w:rsid w:val="00CE088C"/>
    <w:rsid w:val="00CE1A90"/>
    <w:rsid w:val="00CE2622"/>
    <w:rsid w:val="00CE3A0A"/>
    <w:rsid w:val="00CE3C00"/>
    <w:rsid w:val="00CE3F50"/>
    <w:rsid w:val="00CE4397"/>
    <w:rsid w:val="00CE4A26"/>
    <w:rsid w:val="00CE4BCC"/>
    <w:rsid w:val="00CE55E9"/>
    <w:rsid w:val="00CE698F"/>
    <w:rsid w:val="00CE6B16"/>
    <w:rsid w:val="00CF0560"/>
    <w:rsid w:val="00CF0B96"/>
    <w:rsid w:val="00CF0DB6"/>
    <w:rsid w:val="00CF12F9"/>
    <w:rsid w:val="00CF1983"/>
    <w:rsid w:val="00CF29C7"/>
    <w:rsid w:val="00CF2A7F"/>
    <w:rsid w:val="00CF3851"/>
    <w:rsid w:val="00CF4931"/>
    <w:rsid w:val="00CF6F31"/>
    <w:rsid w:val="00CF7DA7"/>
    <w:rsid w:val="00D0014A"/>
    <w:rsid w:val="00D03C43"/>
    <w:rsid w:val="00D03D38"/>
    <w:rsid w:val="00D0480E"/>
    <w:rsid w:val="00D04EFC"/>
    <w:rsid w:val="00D057EE"/>
    <w:rsid w:val="00D072CD"/>
    <w:rsid w:val="00D10F6E"/>
    <w:rsid w:val="00D11A97"/>
    <w:rsid w:val="00D11B7D"/>
    <w:rsid w:val="00D12746"/>
    <w:rsid w:val="00D12FA3"/>
    <w:rsid w:val="00D15A89"/>
    <w:rsid w:val="00D15DDE"/>
    <w:rsid w:val="00D15F54"/>
    <w:rsid w:val="00D16228"/>
    <w:rsid w:val="00D17658"/>
    <w:rsid w:val="00D20221"/>
    <w:rsid w:val="00D20B4A"/>
    <w:rsid w:val="00D21194"/>
    <w:rsid w:val="00D22448"/>
    <w:rsid w:val="00D22818"/>
    <w:rsid w:val="00D22F3E"/>
    <w:rsid w:val="00D23199"/>
    <w:rsid w:val="00D23221"/>
    <w:rsid w:val="00D238D9"/>
    <w:rsid w:val="00D2431A"/>
    <w:rsid w:val="00D2777C"/>
    <w:rsid w:val="00D31896"/>
    <w:rsid w:val="00D32171"/>
    <w:rsid w:val="00D33DBA"/>
    <w:rsid w:val="00D33EAF"/>
    <w:rsid w:val="00D33F55"/>
    <w:rsid w:val="00D34786"/>
    <w:rsid w:val="00D34965"/>
    <w:rsid w:val="00D36F39"/>
    <w:rsid w:val="00D37312"/>
    <w:rsid w:val="00D37E5E"/>
    <w:rsid w:val="00D40282"/>
    <w:rsid w:val="00D408B1"/>
    <w:rsid w:val="00D40939"/>
    <w:rsid w:val="00D41923"/>
    <w:rsid w:val="00D41E86"/>
    <w:rsid w:val="00D43951"/>
    <w:rsid w:val="00D44477"/>
    <w:rsid w:val="00D47338"/>
    <w:rsid w:val="00D47B1A"/>
    <w:rsid w:val="00D502B8"/>
    <w:rsid w:val="00D506EA"/>
    <w:rsid w:val="00D50B23"/>
    <w:rsid w:val="00D50D9F"/>
    <w:rsid w:val="00D51029"/>
    <w:rsid w:val="00D5170D"/>
    <w:rsid w:val="00D5221F"/>
    <w:rsid w:val="00D529D6"/>
    <w:rsid w:val="00D52C57"/>
    <w:rsid w:val="00D5320F"/>
    <w:rsid w:val="00D534EF"/>
    <w:rsid w:val="00D545C2"/>
    <w:rsid w:val="00D547E9"/>
    <w:rsid w:val="00D5581F"/>
    <w:rsid w:val="00D55CCB"/>
    <w:rsid w:val="00D566FB"/>
    <w:rsid w:val="00D57178"/>
    <w:rsid w:val="00D57312"/>
    <w:rsid w:val="00D579CD"/>
    <w:rsid w:val="00D607CD"/>
    <w:rsid w:val="00D60DE7"/>
    <w:rsid w:val="00D60EF0"/>
    <w:rsid w:val="00D61C80"/>
    <w:rsid w:val="00D6219F"/>
    <w:rsid w:val="00D6331E"/>
    <w:rsid w:val="00D64018"/>
    <w:rsid w:val="00D64BD5"/>
    <w:rsid w:val="00D64CCD"/>
    <w:rsid w:val="00D64E7A"/>
    <w:rsid w:val="00D64EE7"/>
    <w:rsid w:val="00D65A5B"/>
    <w:rsid w:val="00D65AD1"/>
    <w:rsid w:val="00D66056"/>
    <w:rsid w:val="00D66F6B"/>
    <w:rsid w:val="00D67DF8"/>
    <w:rsid w:val="00D7025E"/>
    <w:rsid w:val="00D70E4F"/>
    <w:rsid w:val="00D713FE"/>
    <w:rsid w:val="00D71EA1"/>
    <w:rsid w:val="00D724C2"/>
    <w:rsid w:val="00D740E2"/>
    <w:rsid w:val="00D7562E"/>
    <w:rsid w:val="00D75E63"/>
    <w:rsid w:val="00D76366"/>
    <w:rsid w:val="00D7680C"/>
    <w:rsid w:val="00D76A96"/>
    <w:rsid w:val="00D76C86"/>
    <w:rsid w:val="00D77A13"/>
    <w:rsid w:val="00D77D73"/>
    <w:rsid w:val="00D80892"/>
    <w:rsid w:val="00D80F21"/>
    <w:rsid w:val="00D81B00"/>
    <w:rsid w:val="00D8276A"/>
    <w:rsid w:val="00D82AD0"/>
    <w:rsid w:val="00D82B40"/>
    <w:rsid w:val="00D82C9C"/>
    <w:rsid w:val="00D855E7"/>
    <w:rsid w:val="00D902D4"/>
    <w:rsid w:val="00D9069E"/>
    <w:rsid w:val="00D90BDF"/>
    <w:rsid w:val="00D91624"/>
    <w:rsid w:val="00D9171D"/>
    <w:rsid w:val="00D91810"/>
    <w:rsid w:val="00D93300"/>
    <w:rsid w:val="00D93630"/>
    <w:rsid w:val="00D9497D"/>
    <w:rsid w:val="00D95B63"/>
    <w:rsid w:val="00D9653A"/>
    <w:rsid w:val="00D96D8B"/>
    <w:rsid w:val="00D97098"/>
    <w:rsid w:val="00D97D0D"/>
    <w:rsid w:val="00DA009B"/>
    <w:rsid w:val="00DA10E4"/>
    <w:rsid w:val="00DA1C38"/>
    <w:rsid w:val="00DA2733"/>
    <w:rsid w:val="00DA2D25"/>
    <w:rsid w:val="00DA37A5"/>
    <w:rsid w:val="00DA4B18"/>
    <w:rsid w:val="00DA6888"/>
    <w:rsid w:val="00DA704A"/>
    <w:rsid w:val="00DA724F"/>
    <w:rsid w:val="00DA73A3"/>
    <w:rsid w:val="00DA741C"/>
    <w:rsid w:val="00DA77DE"/>
    <w:rsid w:val="00DB0542"/>
    <w:rsid w:val="00DB06AC"/>
    <w:rsid w:val="00DB247A"/>
    <w:rsid w:val="00DB37A3"/>
    <w:rsid w:val="00DB3CCD"/>
    <w:rsid w:val="00DB48DB"/>
    <w:rsid w:val="00DB5830"/>
    <w:rsid w:val="00DB7090"/>
    <w:rsid w:val="00DB75FD"/>
    <w:rsid w:val="00DB7749"/>
    <w:rsid w:val="00DB77CF"/>
    <w:rsid w:val="00DC151F"/>
    <w:rsid w:val="00DC15C4"/>
    <w:rsid w:val="00DC25DF"/>
    <w:rsid w:val="00DC28E1"/>
    <w:rsid w:val="00DC580B"/>
    <w:rsid w:val="00DC61F7"/>
    <w:rsid w:val="00DC74CD"/>
    <w:rsid w:val="00DD06A8"/>
    <w:rsid w:val="00DD0E7A"/>
    <w:rsid w:val="00DD1152"/>
    <w:rsid w:val="00DD14A9"/>
    <w:rsid w:val="00DD20A8"/>
    <w:rsid w:val="00DD5136"/>
    <w:rsid w:val="00DE3EFA"/>
    <w:rsid w:val="00DE53EF"/>
    <w:rsid w:val="00DE6DF1"/>
    <w:rsid w:val="00DF0979"/>
    <w:rsid w:val="00DF1004"/>
    <w:rsid w:val="00DF134F"/>
    <w:rsid w:val="00DF1D88"/>
    <w:rsid w:val="00DF3AA5"/>
    <w:rsid w:val="00DF3BDB"/>
    <w:rsid w:val="00DF3D70"/>
    <w:rsid w:val="00DF5F2D"/>
    <w:rsid w:val="00DF663A"/>
    <w:rsid w:val="00DF6689"/>
    <w:rsid w:val="00DF71E1"/>
    <w:rsid w:val="00DF7CDE"/>
    <w:rsid w:val="00E01BB7"/>
    <w:rsid w:val="00E01CF8"/>
    <w:rsid w:val="00E03212"/>
    <w:rsid w:val="00E04ACE"/>
    <w:rsid w:val="00E05740"/>
    <w:rsid w:val="00E05A7A"/>
    <w:rsid w:val="00E05EC8"/>
    <w:rsid w:val="00E063B6"/>
    <w:rsid w:val="00E103A3"/>
    <w:rsid w:val="00E105C9"/>
    <w:rsid w:val="00E1083D"/>
    <w:rsid w:val="00E11EAD"/>
    <w:rsid w:val="00E12211"/>
    <w:rsid w:val="00E1232B"/>
    <w:rsid w:val="00E12735"/>
    <w:rsid w:val="00E14464"/>
    <w:rsid w:val="00E15441"/>
    <w:rsid w:val="00E16ABC"/>
    <w:rsid w:val="00E201CF"/>
    <w:rsid w:val="00E203A6"/>
    <w:rsid w:val="00E20686"/>
    <w:rsid w:val="00E21417"/>
    <w:rsid w:val="00E21A35"/>
    <w:rsid w:val="00E22E14"/>
    <w:rsid w:val="00E23246"/>
    <w:rsid w:val="00E2379C"/>
    <w:rsid w:val="00E24A38"/>
    <w:rsid w:val="00E2539D"/>
    <w:rsid w:val="00E25925"/>
    <w:rsid w:val="00E25BB0"/>
    <w:rsid w:val="00E268DE"/>
    <w:rsid w:val="00E26D1B"/>
    <w:rsid w:val="00E27115"/>
    <w:rsid w:val="00E27623"/>
    <w:rsid w:val="00E27A27"/>
    <w:rsid w:val="00E30174"/>
    <w:rsid w:val="00E3029D"/>
    <w:rsid w:val="00E319F8"/>
    <w:rsid w:val="00E328EA"/>
    <w:rsid w:val="00E33271"/>
    <w:rsid w:val="00E33C92"/>
    <w:rsid w:val="00E33D1F"/>
    <w:rsid w:val="00E34037"/>
    <w:rsid w:val="00E355BF"/>
    <w:rsid w:val="00E35B6C"/>
    <w:rsid w:val="00E368DA"/>
    <w:rsid w:val="00E36E36"/>
    <w:rsid w:val="00E37332"/>
    <w:rsid w:val="00E40C8A"/>
    <w:rsid w:val="00E40DAB"/>
    <w:rsid w:val="00E412D8"/>
    <w:rsid w:val="00E41E67"/>
    <w:rsid w:val="00E44105"/>
    <w:rsid w:val="00E44957"/>
    <w:rsid w:val="00E46065"/>
    <w:rsid w:val="00E5000D"/>
    <w:rsid w:val="00E50A63"/>
    <w:rsid w:val="00E50BA5"/>
    <w:rsid w:val="00E518C2"/>
    <w:rsid w:val="00E5233B"/>
    <w:rsid w:val="00E53389"/>
    <w:rsid w:val="00E53968"/>
    <w:rsid w:val="00E53FB7"/>
    <w:rsid w:val="00E54DA4"/>
    <w:rsid w:val="00E55581"/>
    <w:rsid w:val="00E55AC1"/>
    <w:rsid w:val="00E5735C"/>
    <w:rsid w:val="00E606FD"/>
    <w:rsid w:val="00E6217C"/>
    <w:rsid w:val="00E6361F"/>
    <w:rsid w:val="00E6591F"/>
    <w:rsid w:val="00E65D1C"/>
    <w:rsid w:val="00E66A25"/>
    <w:rsid w:val="00E67B90"/>
    <w:rsid w:val="00E67BC2"/>
    <w:rsid w:val="00E70483"/>
    <w:rsid w:val="00E717E8"/>
    <w:rsid w:val="00E72276"/>
    <w:rsid w:val="00E725A4"/>
    <w:rsid w:val="00E73640"/>
    <w:rsid w:val="00E74768"/>
    <w:rsid w:val="00E75296"/>
    <w:rsid w:val="00E75646"/>
    <w:rsid w:val="00E75A77"/>
    <w:rsid w:val="00E75AF0"/>
    <w:rsid w:val="00E75D2F"/>
    <w:rsid w:val="00E75EF3"/>
    <w:rsid w:val="00E76A53"/>
    <w:rsid w:val="00E76EEB"/>
    <w:rsid w:val="00E8158F"/>
    <w:rsid w:val="00E83CF5"/>
    <w:rsid w:val="00E83EC2"/>
    <w:rsid w:val="00E85614"/>
    <w:rsid w:val="00E860F4"/>
    <w:rsid w:val="00E877EF"/>
    <w:rsid w:val="00E90133"/>
    <w:rsid w:val="00E90462"/>
    <w:rsid w:val="00E9153E"/>
    <w:rsid w:val="00E9162A"/>
    <w:rsid w:val="00E91C59"/>
    <w:rsid w:val="00E921D6"/>
    <w:rsid w:val="00E93241"/>
    <w:rsid w:val="00E93E08"/>
    <w:rsid w:val="00E96FB2"/>
    <w:rsid w:val="00EA045E"/>
    <w:rsid w:val="00EA1797"/>
    <w:rsid w:val="00EA3F85"/>
    <w:rsid w:val="00EA4683"/>
    <w:rsid w:val="00EA48F7"/>
    <w:rsid w:val="00EA5C78"/>
    <w:rsid w:val="00EA6083"/>
    <w:rsid w:val="00EA7B2E"/>
    <w:rsid w:val="00EA7D2D"/>
    <w:rsid w:val="00EB002A"/>
    <w:rsid w:val="00EB155B"/>
    <w:rsid w:val="00EB1E55"/>
    <w:rsid w:val="00EB24A2"/>
    <w:rsid w:val="00EB2643"/>
    <w:rsid w:val="00EB2C4F"/>
    <w:rsid w:val="00EB2F49"/>
    <w:rsid w:val="00EB36F6"/>
    <w:rsid w:val="00EB3FEA"/>
    <w:rsid w:val="00EB4A63"/>
    <w:rsid w:val="00EB6318"/>
    <w:rsid w:val="00EB64A1"/>
    <w:rsid w:val="00EB6BC7"/>
    <w:rsid w:val="00EC0708"/>
    <w:rsid w:val="00EC088B"/>
    <w:rsid w:val="00EC23B0"/>
    <w:rsid w:val="00EC2958"/>
    <w:rsid w:val="00EC3808"/>
    <w:rsid w:val="00EC4481"/>
    <w:rsid w:val="00EC5241"/>
    <w:rsid w:val="00EC6282"/>
    <w:rsid w:val="00EC6376"/>
    <w:rsid w:val="00EC6411"/>
    <w:rsid w:val="00EC7387"/>
    <w:rsid w:val="00ED0489"/>
    <w:rsid w:val="00ED2E62"/>
    <w:rsid w:val="00ED368A"/>
    <w:rsid w:val="00ED53BA"/>
    <w:rsid w:val="00ED6272"/>
    <w:rsid w:val="00ED78E5"/>
    <w:rsid w:val="00EE08C7"/>
    <w:rsid w:val="00EE21A0"/>
    <w:rsid w:val="00EE281F"/>
    <w:rsid w:val="00EE3A42"/>
    <w:rsid w:val="00EE4612"/>
    <w:rsid w:val="00EE609B"/>
    <w:rsid w:val="00EE768C"/>
    <w:rsid w:val="00EE7FD9"/>
    <w:rsid w:val="00EF0370"/>
    <w:rsid w:val="00EF2277"/>
    <w:rsid w:val="00EF34EC"/>
    <w:rsid w:val="00EF5682"/>
    <w:rsid w:val="00EF57D2"/>
    <w:rsid w:val="00EF69C9"/>
    <w:rsid w:val="00EF6D09"/>
    <w:rsid w:val="00EF7948"/>
    <w:rsid w:val="00F005D5"/>
    <w:rsid w:val="00F0083F"/>
    <w:rsid w:val="00F00E3F"/>
    <w:rsid w:val="00F00F72"/>
    <w:rsid w:val="00F023B6"/>
    <w:rsid w:val="00F0306B"/>
    <w:rsid w:val="00F039A6"/>
    <w:rsid w:val="00F03D5B"/>
    <w:rsid w:val="00F04109"/>
    <w:rsid w:val="00F0420F"/>
    <w:rsid w:val="00F05484"/>
    <w:rsid w:val="00F060BF"/>
    <w:rsid w:val="00F0642E"/>
    <w:rsid w:val="00F071C7"/>
    <w:rsid w:val="00F07F79"/>
    <w:rsid w:val="00F11CDE"/>
    <w:rsid w:val="00F124A2"/>
    <w:rsid w:val="00F124B4"/>
    <w:rsid w:val="00F138A6"/>
    <w:rsid w:val="00F13B1F"/>
    <w:rsid w:val="00F16A60"/>
    <w:rsid w:val="00F2025D"/>
    <w:rsid w:val="00F23CDD"/>
    <w:rsid w:val="00F23D02"/>
    <w:rsid w:val="00F23F26"/>
    <w:rsid w:val="00F2404C"/>
    <w:rsid w:val="00F25178"/>
    <w:rsid w:val="00F260E2"/>
    <w:rsid w:val="00F27830"/>
    <w:rsid w:val="00F27F98"/>
    <w:rsid w:val="00F3008F"/>
    <w:rsid w:val="00F301A5"/>
    <w:rsid w:val="00F30450"/>
    <w:rsid w:val="00F3285B"/>
    <w:rsid w:val="00F329E5"/>
    <w:rsid w:val="00F32C4D"/>
    <w:rsid w:val="00F32DA2"/>
    <w:rsid w:val="00F35A31"/>
    <w:rsid w:val="00F35F27"/>
    <w:rsid w:val="00F36BCA"/>
    <w:rsid w:val="00F4036D"/>
    <w:rsid w:val="00F40AB8"/>
    <w:rsid w:val="00F41390"/>
    <w:rsid w:val="00F418F9"/>
    <w:rsid w:val="00F42310"/>
    <w:rsid w:val="00F429C3"/>
    <w:rsid w:val="00F46355"/>
    <w:rsid w:val="00F464DB"/>
    <w:rsid w:val="00F46A29"/>
    <w:rsid w:val="00F47F71"/>
    <w:rsid w:val="00F505B9"/>
    <w:rsid w:val="00F50F36"/>
    <w:rsid w:val="00F52269"/>
    <w:rsid w:val="00F52F05"/>
    <w:rsid w:val="00F53DFA"/>
    <w:rsid w:val="00F543FA"/>
    <w:rsid w:val="00F54B69"/>
    <w:rsid w:val="00F56847"/>
    <w:rsid w:val="00F57125"/>
    <w:rsid w:val="00F5716E"/>
    <w:rsid w:val="00F57A21"/>
    <w:rsid w:val="00F57B6C"/>
    <w:rsid w:val="00F61156"/>
    <w:rsid w:val="00F61BF2"/>
    <w:rsid w:val="00F63860"/>
    <w:rsid w:val="00F639D9"/>
    <w:rsid w:val="00F646ED"/>
    <w:rsid w:val="00F64746"/>
    <w:rsid w:val="00F651A5"/>
    <w:rsid w:val="00F669CB"/>
    <w:rsid w:val="00F66A10"/>
    <w:rsid w:val="00F671CD"/>
    <w:rsid w:val="00F67960"/>
    <w:rsid w:val="00F70B40"/>
    <w:rsid w:val="00F718E3"/>
    <w:rsid w:val="00F72B8C"/>
    <w:rsid w:val="00F7320A"/>
    <w:rsid w:val="00F737B0"/>
    <w:rsid w:val="00F74445"/>
    <w:rsid w:val="00F7483E"/>
    <w:rsid w:val="00F74C94"/>
    <w:rsid w:val="00F76F2A"/>
    <w:rsid w:val="00F7703B"/>
    <w:rsid w:val="00F80345"/>
    <w:rsid w:val="00F812E3"/>
    <w:rsid w:val="00F8284E"/>
    <w:rsid w:val="00F83470"/>
    <w:rsid w:val="00F83734"/>
    <w:rsid w:val="00F846D6"/>
    <w:rsid w:val="00F85AA6"/>
    <w:rsid w:val="00F862D5"/>
    <w:rsid w:val="00F879B7"/>
    <w:rsid w:val="00F9017D"/>
    <w:rsid w:val="00F9023C"/>
    <w:rsid w:val="00F90731"/>
    <w:rsid w:val="00F91B92"/>
    <w:rsid w:val="00F91E29"/>
    <w:rsid w:val="00F93079"/>
    <w:rsid w:val="00F934C7"/>
    <w:rsid w:val="00F94036"/>
    <w:rsid w:val="00F94664"/>
    <w:rsid w:val="00F94B9D"/>
    <w:rsid w:val="00F94CC8"/>
    <w:rsid w:val="00F9532F"/>
    <w:rsid w:val="00FA1200"/>
    <w:rsid w:val="00FA1F37"/>
    <w:rsid w:val="00FA6361"/>
    <w:rsid w:val="00FA7636"/>
    <w:rsid w:val="00FA76D0"/>
    <w:rsid w:val="00FA7DD6"/>
    <w:rsid w:val="00FB0026"/>
    <w:rsid w:val="00FB0B7A"/>
    <w:rsid w:val="00FB2084"/>
    <w:rsid w:val="00FB2449"/>
    <w:rsid w:val="00FB4441"/>
    <w:rsid w:val="00FB5061"/>
    <w:rsid w:val="00FB78EE"/>
    <w:rsid w:val="00FC0609"/>
    <w:rsid w:val="00FC0E12"/>
    <w:rsid w:val="00FC1CC0"/>
    <w:rsid w:val="00FC259D"/>
    <w:rsid w:val="00FC264C"/>
    <w:rsid w:val="00FC2A81"/>
    <w:rsid w:val="00FC2F9D"/>
    <w:rsid w:val="00FC35E9"/>
    <w:rsid w:val="00FC3622"/>
    <w:rsid w:val="00FC54A5"/>
    <w:rsid w:val="00FC59DE"/>
    <w:rsid w:val="00FC7790"/>
    <w:rsid w:val="00FC7E58"/>
    <w:rsid w:val="00FD0779"/>
    <w:rsid w:val="00FD2451"/>
    <w:rsid w:val="00FD3CEE"/>
    <w:rsid w:val="00FD4281"/>
    <w:rsid w:val="00FD4946"/>
    <w:rsid w:val="00FD4AE5"/>
    <w:rsid w:val="00FD6292"/>
    <w:rsid w:val="00FD62A4"/>
    <w:rsid w:val="00FD6484"/>
    <w:rsid w:val="00FD72A7"/>
    <w:rsid w:val="00FD760B"/>
    <w:rsid w:val="00FD7C13"/>
    <w:rsid w:val="00FE0B9C"/>
    <w:rsid w:val="00FE2647"/>
    <w:rsid w:val="00FE3DC8"/>
    <w:rsid w:val="00FE4E26"/>
    <w:rsid w:val="00FE5526"/>
    <w:rsid w:val="00FE5CB5"/>
    <w:rsid w:val="00FE5CE9"/>
    <w:rsid w:val="00FE6987"/>
    <w:rsid w:val="00FE7D2C"/>
    <w:rsid w:val="00FF07D0"/>
    <w:rsid w:val="00FF2650"/>
    <w:rsid w:val="00FF34B6"/>
    <w:rsid w:val="00FF3EEE"/>
    <w:rsid w:val="00FF48B0"/>
    <w:rsid w:val="00FF528E"/>
    <w:rsid w:val="00FF55DE"/>
    <w:rsid w:val="00FF6585"/>
    <w:rsid w:val="00FF7935"/>
    <w:rsid w:val="00FF7C36"/>
    <w:rsid w:val="00FF7D82"/>
    <w:rsid w:val="01A53778"/>
    <w:rsid w:val="01BA6C34"/>
    <w:rsid w:val="0241AD26"/>
    <w:rsid w:val="027DCA38"/>
    <w:rsid w:val="0281CB58"/>
    <w:rsid w:val="02AF150F"/>
    <w:rsid w:val="02DDC865"/>
    <w:rsid w:val="03266ACA"/>
    <w:rsid w:val="0381E440"/>
    <w:rsid w:val="03B1A415"/>
    <w:rsid w:val="03BE19D9"/>
    <w:rsid w:val="04018788"/>
    <w:rsid w:val="041D8FDB"/>
    <w:rsid w:val="04A69703"/>
    <w:rsid w:val="04BFB61B"/>
    <w:rsid w:val="04EDD327"/>
    <w:rsid w:val="04FAA7D8"/>
    <w:rsid w:val="05744932"/>
    <w:rsid w:val="05780B8D"/>
    <w:rsid w:val="05A03030"/>
    <w:rsid w:val="06208D7E"/>
    <w:rsid w:val="0660C9DD"/>
    <w:rsid w:val="06711709"/>
    <w:rsid w:val="06874D7A"/>
    <w:rsid w:val="06964C60"/>
    <w:rsid w:val="06CF9126"/>
    <w:rsid w:val="07BFD7BA"/>
    <w:rsid w:val="07CE72D2"/>
    <w:rsid w:val="07D2FA21"/>
    <w:rsid w:val="07F30CE4"/>
    <w:rsid w:val="0816D7FC"/>
    <w:rsid w:val="0873B1EA"/>
    <w:rsid w:val="087F4CB5"/>
    <w:rsid w:val="08AE661C"/>
    <w:rsid w:val="08C34F97"/>
    <w:rsid w:val="08CDD739"/>
    <w:rsid w:val="099FD7FB"/>
    <w:rsid w:val="09D185B5"/>
    <w:rsid w:val="09D6AA3B"/>
    <w:rsid w:val="0A3FA68D"/>
    <w:rsid w:val="0A56E3FD"/>
    <w:rsid w:val="0A966FA2"/>
    <w:rsid w:val="0ADB866A"/>
    <w:rsid w:val="0B1E8007"/>
    <w:rsid w:val="0B7C5149"/>
    <w:rsid w:val="0B9DA56B"/>
    <w:rsid w:val="0C0668E0"/>
    <w:rsid w:val="0C274E29"/>
    <w:rsid w:val="0C7E8C60"/>
    <w:rsid w:val="0CB23D43"/>
    <w:rsid w:val="0CD916A1"/>
    <w:rsid w:val="0D743A8B"/>
    <w:rsid w:val="0DCDC990"/>
    <w:rsid w:val="0DFE66CF"/>
    <w:rsid w:val="0E0D748E"/>
    <w:rsid w:val="0E0E5F10"/>
    <w:rsid w:val="0E649587"/>
    <w:rsid w:val="0E6B3761"/>
    <w:rsid w:val="0E9073AC"/>
    <w:rsid w:val="0EA967F2"/>
    <w:rsid w:val="0EAEA217"/>
    <w:rsid w:val="0EFE2D1C"/>
    <w:rsid w:val="0EFF7DF6"/>
    <w:rsid w:val="0F005A04"/>
    <w:rsid w:val="0F1FB976"/>
    <w:rsid w:val="0F288D12"/>
    <w:rsid w:val="0F5376A4"/>
    <w:rsid w:val="0F62BFD8"/>
    <w:rsid w:val="0FA19B97"/>
    <w:rsid w:val="0FB8A2B9"/>
    <w:rsid w:val="1060D8E4"/>
    <w:rsid w:val="107AB448"/>
    <w:rsid w:val="10946BC2"/>
    <w:rsid w:val="109EF30B"/>
    <w:rsid w:val="10A827BD"/>
    <w:rsid w:val="115CB553"/>
    <w:rsid w:val="11C5E6EC"/>
    <w:rsid w:val="1239AC39"/>
    <w:rsid w:val="12A837B8"/>
    <w:rsid w:val="12B8FBF2"/>
    <w:rsid w:val="12C9212B"/>
    <w:rsid w:val="13391273"/>
    <w:rsid w:val="1375B718"/>
    <w:rsid w:val="13B50FB0"/>
    <w:rsid w:val="13B7BFA4"/>
    <w:rsid w:val="14BEEEC6"/>
    <w:rsid w:val="14CF4A1D"/>
    <w:rsid w:val="14FC9C08"/>
    <w:rsid w:val="151503E3"/>
    <w:rsid w:val="154FE2D9"/>
    <w:rsid w:val="155066A0"/>
    <w:rsid w:val="157FF109"/>
    <w:rsid w:val="15A11B12"/>
    <w:rsid w:val="15CBFF72"/>
    <w:rsid w:val="15D45B20"/>
    <w:rsid w:val="15E46E8A"/>
    <w:rsid w:val="16390271"/>
    <w:rsid w:val="16845DB6"/>
    <w:rsid w:val="16BFB6B0"/>
    <w:rsid w:val="171E18C5"/>
    <w:rsid w:val="172E8C9A"/>
    <w:rsid w:val="17317FEA"/>
    <w:rsid w:val="178526C0"/>
    <w:rsid w:val="178A736E"/>
    <w:rsid w:val="179CE74A"/>
    <w:rsid w:val="17BFA01A"/>
    <w:rsid w:val="17CBE1F4"/>
    <w:rsid w:val="17F035C5"/>
    <w:rsid w:val="1807547F"/>
    <w:rsid w:val="18116C92"/>
    <w:rsid w:val="1834A708"/>
    <w:rsid w:val="18741BB3"/>
    <w:rsid w:val="1874ECE3"/>
    <w:rsid w:val="18BE27EF"/>
    <w:rsid w:val="192F6979"/>
    <w:rsid w:val="1958206D"/>
    <w:rsid w:val="196A95E9"/>
    <w:rsid w:val="1989F62C"/>
    <w:rsid w:val="19A64275"/>
    <w:rsid w:val="1A1883E5"/>
    <w:rsid w:val="1A228B88"/>
    <w:rsid w:val="1A44CB87"/>
    <w:rsid w:val="1A7B3CC2"/>
    <w:rsid w:val="1A9D64F4"/>
    <w:rsid w:val="1B0EA397"/>
    <w:rsid w:val="1B370B0A"/>
    <w:rsid w:val="1B502CD0"/>
    <w:rsid w:val="1BC95E8F"/>
    <w:rsid w:val="1C289F1D"/>
    <w:rsid w:val="1C5EC1FB"/>
    <w:rsid w:val="1CA898AF"/>
    <w:rsid w:val="1CB86791"/>
    <w:rsid w:val="1CECADFD"/>
    <w:rsid w:val="1CFDE7F7"/>
    <w:rsid w:val="1D074208"/>
    <w:rsid w:val="1D2F0A3C"/>
    <w:rsid w:val="1D90B998"/>
    <w:rsid w:val="1DE0A1C0"/>
    <w:rsid w:val="1E0A1DDF"/>
    <w:rsid w:val="1E2F9069"/>
    <w:rsid w:val="1E53A58D"/>
    <w:rsid w:val="1E56C933"/>
    <w:rsid w:val="1E67EAD8"/>
    <w:rsid w:val="1E7F7498"/>
    <w:rsid w:val="1ED3B226"/>
    <w:rsid w:val="1F54D622"/>
    <w:rsid w:val="1F60D4B9"/>
    <w:rsid w:val="1F8689B2"/>
    <w:rsid w:val="1FAF2393"/>
    <w:rsid w:val="1FBF5E51"/>
    <w:rsid w:val="1FD59E60"/>
    <w:rsid w:val="20A205B8"/>
    <w:rsid w:val="20A3D735"/>
    <w:rsid w:val="215FAE48"/>
    <w:rsid w:val="216FEB74"/>
    <w:rsid w:val="21A8E31F"/>
    <w:rsid w:val="221DA45C"/>
    <w:rsid w:val="2234BD20"/>
    <w:rsid w:val="23012D65"/>
    <w:rsid w:val="231C93CA"/>
    <w:rsid w:val="23292859"/>
    <w:rsid w:val="23736AB5"/>
    <w:rsid w:val="23F92FAA"/>
    <w:rsid w:val="24B94252"/>
    <w:rsid w:val="24DDB7D3"/>
    <w:rsid w:val="24E155EC"/>
    <w:rsid w:val="2518672B"/>
    <w:rsid w:val="252AE01A"/>
    <w:rsid w:val="257ACA21"/>
    <w:rsid w:val="2592D3B8"/>
    <w:rsid w:val="25D9C5A3"/>
    <w:rsid w:val="26310C8A"/>
    <w:rsid w:val="26C354EB"/>
    <w:rsid w:val="2710709B"/>
    <w:rsid w:val="27A26E1C"/>
    <w:rsid w:val="27D0FD3E"/>
    <w:rsid w:val="2876924E"/>
    <w:rsid w:val="28776341"/>
    <w:rsid w:val="288535B1"/>
    <w:rsid w:val="28A6971E"/>
    <w:rsid w:val="28C523F9"/>
    <w:rsid w:val="29187247"/>
    <w:rsid w:val="294BB1BF"/>
    <w:rsid w:val="2A26E1BB"/>
    <w:rsid w:val="2A423362"/>
    <w:rsid w:val="2A4CE4AB"/>
    <w:rsid w:val="2ABA7B4D"/>
    <w:rsid w:val="2B91BA60"/>
    <w:rsid w:val="2BA86655"/>
    <w:rsid w:val="2BC9FB2A"/>
    <w:rsid w:val="2C814088"/>
    <w:rsid w:val="2C9506B2"/>
    <w:rsid w:val="2C96C09D"/>
    <w:rsid w:val="2CFD42B2"/>
    <w:rsid w:val="2D06C119"/>
    <w:rsid w:val="2D1A0261"/>
    <w:rsid w:val="2D6ABEE8"/>
    <w:rsid w:val="2D852739"/>
    <w:rsid w:val="2D86F860"/>
    <w:rsid w:val="2DB9DC51"/>
    <w:rsid w:val="2DC1C427"/>
    <w:rsid w:val="2DCACA37"/>
    <w:rsid w:val="2DE09E9B"/>
    <w:rsid w:val="2DE96F96"/>
    <w:rsid w:val="2E5E77A2"/>
    <w:rsid w:val="2E89E751"/>
    <w:rsid w:val="2EB738E3"/>
    <w:rsid w:val="2EDD9CA4"/>
    <w:rsid w:val="2EFFD0CF"/>
    <w:rsid w:val="2F2915E4"/>
    <w:rsid w:val="2F3D8956"/>
    <w:rsid w:val="2F5AD72C"/>
    <w:rsid w:val="2F6AB5AF"/>
    <w:rsid w:val="3003A31A"/>
    <w:rsid w:val="306BAD00"/>
    <w:rsid w:val="3071A390"/>
    <w:rsid w:val="31091C74"/>
    <w:rsid w:val="31115DDB"/>
    <w:rsid w:val="313E6C6C"/>
    <w:rsid w:val="314941B7"/>
    <w:rsid w:val="319D285F"/>
    <w:rsid w:val="31C2E6B6"/>
    <w:rsid w:val="31E2A8F8"/>
    <w:rsid w:val="31F8EC48"/>
    <w:rsid w:val="3215B83A"/>
    <w:rsid w:val="32BEB32A"/>
    <w:rsid w:val="32E4BDDE"/>
    <w:rsid w:val="338A42C2"/>
    <w:rsid w:val="33C82ECE"/>
    <w:rsid w:val="343A58B7"/>
    <w:rsid w:val="34493A97"/>
    <w:rsid w:val="34589733"/>
    <w:rsid w:val="34BDB190"/>
    <w:rsid w:val="34CCD655"/>
    <w:rsid w:val="34F49C24"/>
    <w:rsid w:val="3505DA3A"/>
    <w:rsid w:val="3509E091"/>
    <w:rsid w:val="350F74C6"/>
    <w:rsid w:val="359A5C1A"/>
    <w:rsid w:val="35B14B83"/>
    <w:rsid w:val="35D0E4A0"/>
    <w:rsid w:val="35EBEFB8"/>
    <w:rsid w:val="3601C51A"/>
    <w:rsid w:val="361A7BB6"/>
    <w:rsid w:val="364E31C8"/>
    <w:rsid w:val="36BF68B6"/>
    <w:rsid w:val="3713FCD2"/>
    <w:rsid w:val="37171FE1"/>
    <w:rsid w:val="375A3C58"/>
    <w:rsid w:val="376C8E9F"/>
    <w:rsid w:val="376D21D1"/>
    <w:rsid w:val="37D01633"/>
    <w:rsid w:val="381349F4"/>
    <w:rsid w:val="383A472F"/>
    <w:rsid w:val="388318A6"/>
    <w:rsid w:val="38FE92B4"/>
    <w:rsid w:val="3913E403"/>
    <w:rsid w:val="3915D40A"/>
    <w:rsid w:val="39F06E48"/>
    <w:rsid w:val="3A174AA0"/>
    <w:rsid w:val="3A4267FB"/>
    <w:rsid w:val="3A4499A2"/>
    <w:rsid w:val="3A52E58E"/>
    <w:rsid w:val="3A593C11"/>
    <w:rsid w:val="3A7EA9E6"/>
    <w:rsid w:val="3AA6FA28"/>
    <w:rsid w:val="3ABCF277"/>
    <w:rsid w:val="3AC4E05A"/>
    <w:rsid w:val="3B33F4A0"/>
    <w:rsid w:val="3B80D2DC"/>
    <w:rsid w:val="3B8EC389"/>
    <w:rsid w:val="3C1D8842"/>
    <w:rsid w:val="3C563A05"/>
    <w:rsid w:val="3D314731"/>
    <w:rsid w:val="3D997977"/>
    <w:rsid w:val="3DB8D997"/>
    <w:rsid w:val="3DDD983A"/>
    <w:rsid w:val="3E42223B"/>
    <w:rsid w:val="3E679FD3"/>
    <w:rsid w:val="3E7B1457"/>
    <w:rsid w:val="3EDC9BC7"/>
    <w:rsid w:val="3F699B4B"/>
    <w:rsid w:val="3FD6045B"/>
    <w:rsid w:val="4005219E"/>
    <w:rsid w:val="4047C03E"/>
    <w:rsid w:val="407C5897"/>
    <w:rsid w:val="40CFEFE3"/>
    <w:rsid w:val="40DEE155"/>
    <w:rsid w:val="412A6BE2"/>
    <w:rsid w:val="41813949"/>
    <w:rsid w:val="4194B797"/>
    <w:rsid w:val="4194BDC3"/>
    <w:rsid w:val="41C86A24"/>
    <w:rsid w:val="41FB2699"/>
    <w:rsid w:val="4202B2D9"/>
    <w:rsid w:val="42613F35"/>
    <w:rsid w:val="42995CDD"/>
    <w:rsid w:val="42A11CC4"/>
    <w:rsid w:val="42A1C37F"/>
    <w:rsid w:val="42B8C6D2"/>
    <w:rsid w:val="42BCCB23"/>
    <w:rsid w:val="43224326"/>
    <w:rsid w:val="4342BFFB"/>
    <w:rsid w:val="43893D6D"/>
    <w:rsid w:val="438AAEC2"/>
    <w:rsid w:val="43ECB2A7"/>
    <w:rsid w:val="43F1BF2F"/>
    <w:rsid w:val="441C2033"/>
    <w:rsid w:val="44D0DFBA"/>
    <w:rsid w:val="44D11D81"/>
    <w:rsid w:val="44E33C90"/>
    <w:rsid w:val="4546D82B"/>
    <w:rsid w:val="4568A80A"/>
    <w:rsid w:val="45732559"/>
    <w:rsid w:val="45C20E87"/>
    <w:rsid w:val="461996A4"/>
    <w:rsid w:val="463176CB"/>
    <w:rsid w:val="46442BF8"/>
    <w:rsid w:val="467506B2"/>
    <w:rsid w:val="46F2290B"/>
    <w:rsid w:val="47143BC0"/>
    <w:rsid w:val="474F3745"/>
    <w:rsid w:val="47A2AFF5"/>
    <w:rsid w:val="4830FFFA"/>
    <w:rsid w:val="486EEC8E"/>
    <w:rsid w:val="4899CD29"/>
    <w:rsid w:val="48FF7069"/>
    <w:rsid w:val="495A4AB8"/>
    <w:rsid w:val="4989612B"/>
    <w:rsid w:val="498C4997"/>
    <w:rsid w:val="49994666"/>
    <w:rsid w:val="49C39286"/>
    <w:rsid w:val="49C77300"/>
    <w:rsid w:val="4A0A894A"/>
    <w:rsid w:val="4A37F3B4"/>
    <w:rsid w:val="4A550261"/>
    <w:rsid w:val="4A6A1525"/>
    <w:rsid w:val="4A9FE359"/>
    <w:rsid w:val="4ACC7391"/>
    <w:rsid w:val="4AF16099"/>
    <w:rsid w:val="4B059480"/>
    <w:rsid w:val="4B685322"/>
    <w:rsid w:val="4B94A982"/>
    <w:rsid w:val="4BF69671"/>
    <w:rsid w:val="4C5EE5B5"/>
    <w:rsid w:val="4C85930D"/>
    <w:rsid w:val="4CBB3D64"/>
    <w:rsid w:val="4CCAB80D"/>
    <w:rsid w:val="4D2B528F"/>
    <w:rsid w:val="4D329043"/>
    <w:rsid w:val="4D45DACF"/>
    <w:rsid w:val="4D6216DD"/>
    <w:rsid w:val="4D62B12A"/>
    <w:rsid w:val="4D75CE0B"/>
    <w:rsid w:val="4D7C217F"/>
    <w:rsid w:val="4DBB3B78"/>
    <w:rsid w:val="4DCD2D9B"/>
    <w:rsid w:val="4E8EEF8F"/>
    <w:rsid w:val="4F2BB466"/>
    <w:rsid w:val="4F3F4B99"/>
    <w:rsid w:val="4F766EBC"/>
    <w:rsid w:val="4F84922E"/>
    <w:rsid w:val="4FBBF657"/>
    <w:rsid w:val="4FD21087"/>
    <w:rsid w:val="501B3F99"/>
    <w:rsid w:val="5062A948"/>
    <w:rsid w:val="50E6BE5E"/>
    <w:rsid w:val="50FF5295"/>
    <w:rsid w:val="5290F701"/>
    <w:rsid w:val="52FF6787"/>
    <w:rsid w:val="53237AB2"/>
    <w:rsid w:val="536C8ACD"/>
    <w:rsid w:val="5389BCB2"/>
    <w:rsid w:val="53BD5413"/>
    <w:rsid w:val="53D0F171"/>
    <w:rsid w:val="53EBABD9"/>
    <w:rsid w:val="540B790E"/>
    <w:rsid w:val="5430154B"/>
    <w:rsid w:val="544EC261"/>
    <w:rsid w:val="54754FA0"/>
    <w:rsid w:val="5476926C"/>
    <w:rsid w:val="54C59414"/>
    <w:rsid w:val="55033C60"/>
    <w:rsid w:val="55246779"/>
    <w:rsid w:val="55251D59"/>
    <w:rsid w:val="5558CFBF"/>
    <w:rsid w:val="55BA094D"/>
    <w:rsid w:val="55EBA845"/>
    <w:rsid w:val="561D208C"/>
    <w:rsid w:val="561DC3FC"/>
    <w:rsid w:val="56611831"/>
    <w:rsid w:val="56643788"/>
    <w:rsid w:val="56BF5E12"/>
    <w:rsid w:val="56F60570"/>
    <w:rsid w:val="57165520"/>
    <w:rsid w:val="57A3B7FD"/>
    <w:rsid w:val="57DB40A8"/>
    <w:rsid w:val="57DE0DD0"/>
    <w:rsid w:val="57FCE0D1"/>
    <w:rsid w:val="58C0EE03"/>
    <w:rsid w:val="58EEB454"/>
    <w:rsid w:val="5929AFA6"/>
    <w:rsid w:val="596B003B"/>
    <w:rsid w:val="599CCAFE"/>
    <w:rsid w:val="59F1CA56"/>
    <w:rsid w:val="5A519008"/>
    <w:rsid w:val="5A8A1396"/>
    <w:rsid w:val="5AAE6FB0"/>
    <w:rsid w:val="5AF576C0"/>
    <w:rsid w:val="5B1E5ADB"/>
    <w:rsid w:val="5B36B6CD"/>
    <w:rsid w:val="5B69333A"/>
    <w:rsid w:val="5B9628EB"/>
    <w:rsid w:val="5BAE7667"/>
    <w:rsid w:val="5C040532"/>
    <w:rsid w:val="5C190781"/>
    <w:rsid w:val="5C46AD8D"/>
    <w:rsid w:val="5C477588"/>
    <w:rsid w:val="5C845A0F"/>
    <w:rsid w:val="5DB464E8"/>
    <w:rsid w:val="5DB49AB8"/>
    <w:rsid w:val="5DBB144C"/>
    <w:rsid w:val="5DE8FD24"/>
    <w:rsid w:val="5E22B6C5"/>
    <w:rsid w:val="5E5A36A7"/>
    <w:rsid w:val="5E62DC1F"/>
    <w:rsid w:val="5E66FB97"/>
    <w:rsid w:val="5EA705B9"/>
    <w:rsid w:val="5ED39824"/>
    <w:rsid w:val="5EF7A2D1"/>
    <w:rsid w:val="5F178FD7"/>
    <w:rsid w:val="5F2D5E6E"/>
    <w:rsid w:val="5F652DA9"/>
    <w:rsid w:val="5F7B25CA"/>
    <w:rsid w:val="5F819A92"/>
    <w:rsid w:val="5F98231E"/>
    <w:rsid w:val="5FE41801"/>
    <w:rsid w:val="60029369"/>
    <w:rsid w:val="602BBEF4"/>
    <w:rsid w:val="606FC453"/>
    <w:rsid w:val="615112A1"/>
    <w:rsid w:val="6153CFAD"/>
    <w:rsid w:val="616136FE"/>
    <w:rsid w:val="61775A44"/>
    <w:rsid w:val="617B60F4"/>
    <w:rsid w:val="618E7863"/>
    <w:rsid w:val="61EDD0B5"/>
    <w:rsid w:val="61EFFA65"/>
    <w:rsid w:val="62312552"/>
    <w:rsid w:val="62791EA3"/>
    <w:rsid w:val="62A9349F"/>
    <w:rsid w:val="62C25CF6"/>
    <w:rsid w:val="62E72444"/>
    <w:rsid w:val="63002995"/>
    <w:rsid w:val="639FD70D"/>
    <w:rsid w:val="63E1D835"/>
    <w:rsid w:val="642C398F"/>
    <w:rsid w:val="64367D86"/>
    <w:rsid w:val="64416192"/>
    <w:rsid w:val="645B5B35"/>
    <w:rsid w:val="6469AEF8"/>
    <w:rsid w:val="64F9227A"/>
    <w:rsid w:val="6523F73D"/>
    <w:rsid w:val="65804442"/>
    <w:rsid w:val="65930C00"/>
    <w:rsid w:val="65A9FF07"/>
    <w:rsid w:val="65DD6C04"/>
    <w:rsid w:val="65F841E6"/>
    <w:rsid w:val="6697AA93"/>
    <w:rsid w:val="66C48943"/>
    <w:rsid w:val="66FEB17A"/>
    <w:rsid w:val="672315D3"/>
    <w:rsid w:val="67561A5C"/>
    <w:rsid w:val="675AE0AE"/>
    <w:rsid w:val="6762641D"/>
    <w:rsid w:val="6805F305"/>
    <w:rsid w:val="683AF251"/>
    <w:rsid w:val="684F9906"/>
    <w:rsid w:val="68A1E209"/>
    <w:rsid w:val="69303803"/>
    <w:rsid w:val="69378EFC"/>
    <w:rsid w:val="693C1896"/>
    <w:rsid w:val="694E3B15"/>
    <w:rsid w:val="695F43D2"/>
    <w:rsid w:val="699E3F1C"/>
    <w:rsid w:val="69B8DBD5"/>
    <w:rsid w:val="69C847E6"/>
    <w:rsid w:val="69DEAD06"/>
    <w:rsid w:val="69E2B20D"/>
    <w:rsid w:val="69FEA5E9"/>
    <w:rsid w:val="6A537EC4"/>
    <w:rsid w:val="6A75311A"/>
    <w:rsid w:val="6A7C2FD2"/>
    <w:rsid w:val="6ADE3069"/>
    <w:rsid w:val="6B1759B1"/>
    <w:rsid w:val="6B2C2308"/>
    <w:rsid w:val="6B7CD391"/>
    <w:rsid w:val="6C03F179"/>
    <w:rsid w:val="6C0C23AF"/>
    <w:rsid w:val="6C3CA6DF"/>
    <w:rsid w:val="6C423E1C"/>
    <w:rsid w:val="6C47EDCA"/>
    <w:rsid w:val="6C4A83CE"/>
    <w:rsid w:val="6C8FBEA0"/>
    <w:rsid w:val="6CC26412"/>
    <w:rsid w:val="6D21097C"/>
    <w:rsid w:val="6D4DD395"/>
    <w:rsid w:val="6D686F65"/>
    <w:rsid w:val="6D7300CF"/>
    <w:rsid w:val="6DB3F611"/>
    <w:rsid w:val="6DEC5C39"/>
    <w:rsid w:val="6E2D25FE"/>
    <w:rsid w:val="6E5763B8"/>
    <w:rsid w:val="6E97BA99"/>
    <w:rsid w:val="6EE1D5E2"/>
    <w:rsid w:val="6EEBC0E4"/>
    <w:rsid w:val="6EF77245"/>
    <w:rsid w:val="6F8D98BF"/>
    <w:rsid w:val="6FF920AE"/>
    <w:rsid w:val="701E1456"/>
    <w:rsid w:val="709E31C6"/>
    <w:rsid w:val="70BDE86F"/>
    <w:rsid w:val="70EB2848"/>
    <w:rsid w:val="71381652"/>
    <w:rsid w:val="716E382A"/>
    <w:rsid w:val="7232C961"/>
    <w:rsid w:val="72331873"/>
    <w:rsid w:val="7261CB24"/>
    <w:rsid w:val="728791CF"/>
    <w:rsid w:val="72998CC8"/>
    <w:rsid w:val="72B92C50"/>
    <w:rsid w:val="73223B8C"/>
    <w:rsid w:val="734950F5"/>
    <w:rsid w:val="7372E58A"/>
    <w:rsid w:val="73B61DB8"/>
    <w:rsid w:val="7450398F"/>
    <w:rsid w:val="746132DF"/>
    <w:rsid w:val="74E31000"/>
    <w:rsid w:val="74E6A47D"/>
    <w:rsid w:val="752AD2F1"/>
    <w:rsid w:val="7576C038"/>
    <w:rsid w:val="758F811D"/>
    <w:rsid w:val="7596CFB5"/>
    <w:rsid w:val="75ABB886"/>
    <w:rsid w:val="75BE06B8"/>
    <w:rsid w:val="76017A25"/>
    <w:rsid w:val="76040CEE"/>
    <w:rsid w:val="761B86B5"/>
    <w:rsid w:val="76840799"/>
    <w:rsid w:val="770EFDCB"/>
    <w:rsid w:val="77334207"/>
    <w:rsid w:val="7828EF59"/>
    <w:rsid w:val="783D45FC"/>
    <w:rsid w:val="790C4E75"/>
    <w:rsid w:val="7914AD01"/>
    <w:rsid w:val="792135E5"/>
    <w:rsid w:val="7943B03D"/>
    <w:rsid w:val="79AA03FF"/>
    <w:rsid w:val="7A0E656C"/>
    <w:rsid w:val="7A65FBC6"/>
    <w:rsid w:val="7AA6E6F9"/>
    <w:rsid w:val="7AD50F8D"/>
    <w:rsid w:val="7AFB8B04"/>
    <w:rsid w:val="7B002A6E"/>
    <w:rsid w:val="7BA443B6"/>
    <w:rsid w:val="7BEEC3F5"/>
    <w:rsid w:val="7C2F10E5"/>
    <w:rsid w:val="7C34A225"/>
    <w:rsid w:val="7C3C2351"/>
    <w:rsid w:val="7C75D891"/>
    <w:rsid w:val="7C96B532"/>
    <w:rsid w:val="7CA8BCE7"/>
    <w:rsid w:val="7CBF9B85"/>
    <w:rsid w:val="7D0ABD95"/>
    <w:rsid w:val="7D183DC4"/>
    <w:rsid w:val="7D6C37C4"/>
    <w:rsid w:val="7D74CD3E"/>
    <w:rsid w:val="7D848ECB"/>
    <w:rsid w:val="7E197A15"/>
    <w:rsid w:val="7F346F52"/>
    <w:rsid w:val="7F551DA1"/>
    <w:rsid w:val="7FA233F8"/>
    <w:rsid w:val="7FDB92B0"/>
    <w:rsid w:val="7FF098A6"/>
    <w:rsid w:val="7FFFCD9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F7BE2"/>
  <w15:chartTrackingRefBased/>
  <w15:docId w15:val="{9163D57B-A18E-4415-852D-D548C722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2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2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02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02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02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02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02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02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2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502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502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02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02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02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02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2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2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02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02B8"/>
    <w:rPr>
      <w:i/>
      <w:iCs/>
      <w:color w:val="404040" w:themeColor="text1" w:themeTint="BF"/>
    </w:rPr>
  </w:style>
  <w:style w:type="paragraph" w:styleId="ListParagraph">
    <w:name w:val="List Paragraph"/>
    <w:basedOn w:val="Normal"/>
    <w:uiPriority w:val="34"/>
    <w:qFormat/>
    <w:rsid w:val="00D502B8"/>
    <w:pPr>
      <w:ind w:left="720"/>
      <w:contextualSpacing/>
    </w:pPr>
  </w:style>
  <w:style w:type="character" w:styleId="IntenseEmphasis">
    <w:name w:val="Intense Emphasis"/>
    <w:basedOn w:val="DefaultParagraphFont"/>
    <w:uiPriority w:val="21"/>
    <w:qFormat/>
    <w:rsid w:val="00D502B8"/>
    <w:rPr>
      <w:i/>
      <w:iCs/>
      <w:color w:val="0F4761" w:themeColor="accent1" w:themeShade="BF"/>
    </w:rPr>
  </w:style>
  <w:style w:type="paragraph" w:styleId="IntenseQuote">
    <w:name w:val="Intense Quote"/>
    <w:basedOn w:val="Normal"/>
    <w:next w:val="Normal"/>
    <w:link w:val="IntenseQuoteChar"/>
    <w:uiPriority w:val="30"/>
    <w:qFormat/>
    <w:rsid w:val="00D50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2B8"/>
    <w:rPr>
      <w:i/>
      <w:iCs/>
      <w:color w:val="0F4761" w:themeColor="accent1" w:themeShade="BF"/>
    </w:rPr>
  </w:style>
  <w:style w:type="character" w:styleId="IntenseReference">
    <w:name w:val="Intense Reference"/>
    <w:basedOn w:val="DefaultParagraphFont"/>
    <w:uiPriority w:val="32"/>
    <w:qFormat/>
    <w:rsid w:val="00D502B8"/>
    <w:rPr>
      <w:b/>
      <w:bCs/>
      <w:smallCaps/>
      <w:color w:val="0F4761" w:themeColor="accent1" w:themeShade="BF"/>
      <w:spacing w:val="5"/>
    </w:rPr>
  </w:style>
  <w:style w:type="paragraph" w:styleId="FootnoteText">
    <w:name w:val="footnote text"/>
    <w:aliases w:val="Fußnote,Fußnote Char,Fußnote Char Char Char,Fußnotentext Char,Fußnotentext Char1 Char1,Fußnotentext Char Char Char Char,Fußnotentext Char1 Char Char Char,Fußnotentext Char Char,Fußnotentext Char1 Char Char Char Char,Fußn,stile 1,f, Char,Ch"/>
    <w:basedOn w:val="Normal"/>
    <w:link w:val="FootnoteTextChar"/>
    <w:uiPriority w:val="99"/>
    <w:unhideWhenUsed/>
    <w:qFormat/>
    <w:rsid w:val="002228AB"/>
    <w:rPr>
      <w:rFonts w:cs="Times New Roman"/>
      <w:sz w:val="20"/>
      <w:szCs w:val="20"/>
    </w:rPr>
  </w:style>
  <w:style w:type="character" w:customStyle="1" w:styleId="FootnoteTextChar">
    <w:name w:val="Footnote Text Char"/>
    <w:aliases w:val="Fußnote Char1,Fußnote Char Char,Fußnote Char Char Char Char,Fußnotentext Char Char1,Fußnotentext Char1 Char1 Char,Fußnotentext Char Char Char Char Char,Fußnotentext Char1 Char Char Char Char1,Fußnotentext Char Char Char,Fußn Char"/>
    <w:basedOn w:val="DefaultParagraphFont"/>
    <w:link w:val="FootnoteText"/>
    <w:uiPriority w:val="99"/>
    <w:qFormat/>
    <w:rsid w:val="002228AB"/>
    <w:rPr>
      <w:rFonts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2228AB"/>
    <w:rPr>
      <w:vertAlign w:val="superscript"/>
    </w:rPr>
  </w:style>
  <w:style w:type="character" w:styleId="Hyperlink">
    <w:name w:val="Hyperlink"/>
    <w:basedOn w:val="DefaultParagraphFont"/>
    <w:uiPriority w:val="99"/>
    <w:unhideWhenUsed/>
    <w:rsid w:val="002228AB"/>
    <w:rPr>
      <w:color w:val="467886" w:themeColor="hyperlink"/>
      <w:u w:val="single"/>
    </w:rPr>
  </w:style>
  <w:style w:type="paragraph" w:styleId="NoSpacing">
    <w:name w:val="No Spacing"/>
    <w:uiPriority w:val="1"/>
    <w:qFormat/>
    <w:rsid w:val="002228AB"/>
    <w:rPr>
      <w:rFonts w:ascii="Aptos" w:eastAsia="Aptos" w:hAnsi="Aptos" w:cs="Times New Roman"/>
      <w:sz w:val="22"/>
      <w14:ligatures w14:val="none"/>
    </w:rPr>
  </w:style>
  <w:style w:type="table" w:styleId="TableGrid">
    <w:name w:val="Table Grid"/>
    <w:basedOn w:val="TableNormal"/>
    <w:uiPriority w:val="39"/>
    <w:rsid w:val="002228AB"/>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228AB"/>
    <w:pPr>
      <w:spacing w:after="160" w:line="240" w:lineRule="exact"/>
      <w:jc w:val="both"/>
    </w:pPr>
    <w:rPr>
      <w:vertAlign w:val="superscript"/>
    </w:rPr>
  </w:style>
  <w:style w:type="character" w:customStyle="1" w:styleId="word">
    <w:name w:val="word"/>
    <w:basedOn w:val="DefaultParagraphFont"/>
    <w:rsid w:val="002228AB"/>
  </w:style>
  <w:style w:type="paragraph" w:styleId="Header">
    <w:name w:val="header"/>
    <w:basedOn w:val="Normal"/>
    <w:link w:val="HeaderChar"/>
    <w:uiPriority w:val="99"/>
    <w:unhideWhenUsed/>
    <w:rsid w:val="008173C6"/>
    <w:pPr>
      <w:tabs>
        <w:tab w:val="center" w:pos="4153"/>
        <w:tab w:val="right" w:pos="8306"/>
      </w:tabs>
    </w:pPr>
  </w:style>
  <w:style w:type="character" w:customStyle="1" w:styleId="HeaderChar">
    <w:name w:val="Header Char"/>
    <w:basedOn w:val="DefaultParagraphFont"/>
    <w:link w:val="Header"/>
    <w:uiPriority w:val="99"/>
    <w:rsid w:val="008173C6"/>
  </w:style>
  <w:style w:type="paragraph" w:styleId="Footer">
    <w:name w:val="footer"/>
    <w:basedOn w:val="Normal"/>
    <w:link w:val="FooterChar"/>
    <w:uiPriority w:val="99"/>
    <w:unhideWhenUsed/>
    <w:rsid w:val="008173C6"/>
    <w:pPr>
      <w:tabs>
        <w:tab w:val="center" w:pos="4153"/>
        <w:tab w:val="right" w:pos="8306"/>
      </w:tabs>
    </w:pPr>
  </w:style>
  <w:style w:type="character" w:customStyle="1" w:styleId="FooterChar">
    <w:name w:val="Footer Char"/>
    <w:basedOn w:val="DefaultParagraphFont"/>
    <w:link w:val="Footer"/>
    <w:uiPriority w:val="99"/>
    <w:rsid w:val="008173C6"/>
  </w:style>
  <w:style w:type="paragraph" w:styleId="NormalWeb">
    <w:name w:val="Normal (Web)"/>
    <w:basedOn w:val="Normal"/>
    <w:uiPriority w:val="99"/>
    <w:unhideWhenUsed/>
    <w:rsid w:val="004C5C29"/>
    <w:pPr>
      <w:spacing w:before="100" w:beforeAutospacing="1" w:after="100" w:afterAutospacing="1"/>
    </w:pPr>
    <w:rPr>
      <w:rFonts w:cs="Times New Roman"/>
      <w:kern w:val="0"/>
      <w:szCs w:val="24"/>
      <w:lang w:eastAsia="lv-LV"/>
      <w14:ligatures w14:val="none"/>
    </w:rPr>
  </w:style>
  <w:style w:type="paragraph" w:styleId="CommentText">
    <w:name w:val="annotation text"/>
    <w:basedOn w:val="Normal"/>
    <w:link w:val="CommentTextChar"/>
    <w:uiPriority w:val="99"/>
    <w:unhideWhenUsed/>
    <w:rsid w:val="00420C68"/>
    <w:rPr>
      <w:sz w:val="20"/>
      <w:szCs w:val="20"/>
    </w:rPr>
  </w:style>
  <w:style w:type="character" w:customStyle="1" w:styleId="CommentTextChar">
    <w:name w:val="Comment Text Char"/>
    <w:basedOn w:val="DefaultParagraphFont"/>
    <w:link w:val="CommentText"/>
    <w:uiPriority w:val="99"/>
    <w:rsid w:val="00420C68"/>
    <w:rPr>
      <w:sz w:val="20"/>
      <w:szCs w:val="20"/>
    </w:rPr>
  </w:style>
  <w:style w:type="character" w:styleId="CommentReference">
    <w:name w:val="annotation reference"/>
    <w:basedOn w:val="DefaultParagraphFont"/>
    <w:uiPriority w:val="99"/>
    <w:semiHidden/>
    <w:unhideWhenUsed/>
    <w:rsid w:val="00420C68"/>
    <w:rPr>
      <w:sz w:val="16"/>
      <w:szCs w:val="16"/>
    </w:rPr>
  </w:style>
  <w:style w:type="paragraph" w:styleId="Revision">
    <w:name w:val="Revision"/>
    <w:hidden/>
    <w:uiPriority w:val="99"/>
    <w:semiHidden/>
    <w:rsid w:val="00E105C9"/>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qFormat/>
    <w:rsid w:val="004466B3"/>
    <w:pPr>
      <w:spacing w:after="160" w:line="240" w:lineRule="exact"/>
    </w:pPr>
    <w:rPr>
      <w:rFonts w:eastAsia="Times New Roman" w:cs="Times New Roman"/>
      <w:kern w:val="0"/>
      <w:sz w:val="20"/>
      <w:szCs w:val="20"/>
      <w:vertAlign w:val="superscript"/>
      <w:lang w:eastAsia="lv-LV"/>
      <w14:ligatures w14:val="none"/>
    </w:rPr>
  </w:style>
  <w:style w:type="paragraph" w:styleId="CommentSubject">
    <w:name w:val="annotation subject"/>
    <w:basedOn w:val="CommentText"/>
    <w:next w:val="CommentText"/>
    <w:link w:val="CommentSubjectChar"/>
    <w:uiPriority w:val="99"/>
    <w:semiHidden/>
    <w:unhideWhenUsed/>
    <w:rsid w:val="009573C0"/>
    <w:rPr>
      <w:b/>
      <w:bCs/>
    </w:rPr>
  </w:style>
  <w:style w:type="character" w:customStyle="1" w:styleId="CommentSubjectChar">
    <w:name w:val="Comment Subject Char"/>
    <w:basedOn w:val="CommentTextChar"/>
    <w:link w:val="CommentSubject"/>
    <w:uiPriority w:val="99"/>
    <w:semiHidden/>
    <w:rsid w:val="009573C0"/>
    <w:rPr>
      <w:b/>
      <w:bCs/>
      <w:sz w:val="20"/>
      <w:szCs w:val="20"/>
    </w:rPr>
  </w:style>
  <w:style w:type="character" w:styleId="UnresolvedMention">
    <w:name w:val="Unresolved Mention"/>
    <w:basedOn w:val="DefaultParagraphFont"/>
    <w:uiPriority w:val="99"/>
    <w:semiHidden/>
    <w:unhideWhenUsed/>
    <w:rsid w:val="00D53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5175">
      <w:bodyDiv w:val="1"/>
      <w:marLeft w:val="0"/>
      <w:marRight w:val="0"/>
      <w:marTop w:val="0"/>
      <w:marBottom w:val="0"/>
      <w:divBdr>
        <w:top w:val="none" w:sz="0" w:space="0" w:color="auto"/>
        <w:left w:val="none" w:sz="0" w:space="0" w:color="auto"/>
        <w:bottom w:val="none" w:sz="0" w:space="0" w:color="auto"/>
        <w:right w:val="none" w:sz="0" w:space="0" w:color="auto"/>
      </w:divBdr>
    </w:div>
    <w:div w:id="96294093">
      <w:bodyDiv w:val="1"/>
      <w:marLeft w:val="0"/>
      <w:marRight w:val="0"/>
      <w:marTop w:val="0"/>
      <w:marBottom w:val="0"/>
      <w:divBdr>
        <w:top w:val="none" w:sz="0" w:space="0" w:color="auto"/>
        <w:left w:val="none" w:sz="0" w:space="0" w:color="auto"/>
        <w:bottom w:val="none" w:sz="0" w:space="0" w:color="auto"/>
        <w:right w:val="none" w:sz="0" w:space="0" w:color="auto"/>
      </w:divBdr>
    </w:div>
    <w:div w:id="264003715">
      <w:bodyDiv w:val="1"/>
      <w:marLeft w:val="0"/>
      <w:marRight w:val="0"/>
      <w:marTop w:val="0"/>
      <w:marBottom w:val="0"/>
      <w:divBdr>
        <w:top w:val="none" w:sz="0" w:space="0" w:color="auto"/>
        <w:left w:val="none" w:sz="0" w:space="0" w:color="auto"/>
        <w:bottom w:val="none" w:sz="0" w:space="0" w:color="auto"/>
        <w:right w:val="none" w:sz="0" w:space="0" w:color="auto"/>
      </w:divBdr>
    </w:div>
    <w:div w:id="285815089">
      <w:bodyDiv w:val="1"/>
      <w:marLeft w:val="0"/>
      <w:marRight w:val="0"/>
      <w:marTop w:val="0"/>
      <w:marBottom w:val="0"/>
      <w:divBdr>
        <w:top w:val="none" w:sz="0" w:space="0" w:color="auto"/>
        <w:left w:val="none" w:sz="0" w:space="0" w:color="auto"/>
        <w:bottom w:val="none" w:sz="0" w:space="0" w:color="auto"/>
        <w:right w:val="none" w:sz="0" w:space="0" w:color="auto"/>
      </w:divBdr>
    </w:div>
    <w:div w:id="362554547">
      <w:bodyDiv w:val="1"/>
      <w:marLeft w:val="0"/>
      <w:marRight w:val="0"/>
      <w:marTop w:val="0"/>
      <w:marBottom w:val="0"/>
      <w:divBdr>
        <w:top w:val="none" w:sz="0" w:space="0" w:color="auto"/>
        <w:left w:val="none" w:sz="0" w:space="0" w:color="auto"/>
        <w:bottom w:val="none" w:sz="0" w:space="0" w:color="auto"/>
        <w:right w:val="none" w:sz="0" w:space="0" w:color="auto"/>
      </w:divBdr>
    </w:div>
    <w:div w:id="460029633">
      <w:bodyDiv w:val="1"/>
      <w:marLeft w:val="0"/>
      <w:marRight w:val="0"/>
      <w:marTop w:val="0"/>
      <w:marBottom w:val="0"/>
      <w:divBdr>
        <w:top w:val="none" w:sz="0" w:space="0" w:color="auto"/>
        <w:left w:val="none" w:sz="0" w:space="0" w:color="auto"/>
        <w:bottom w:val="none" w:sz="0" w:space="0" w:color="auto"/>
        <w:right w:val="none" w:sz="0" w:space="0" w:color="auto"/>
      </w:divBdr>
    </w:div>
    <w:div w:id="509878485">
      <w:bodyDiv w:val="1"/>
      <w:marLeft w:val="0"/>
      <w:marRight w:val="0"/>
      <w:marTop w:val="0"/>
      <w:marBottom w:val="0"/>
      <w:divBdr>
        <w:top w:val="none" w:sz="0" w:space="0" w:color="auto"/>
        <w:left w:val="none" w:sz="0" w:space="0" w:color="auto"/>
        <w:bottom w:val="none" w:sz="0" w:space="0" w:color="auto"/>
        <w:right w:val="none" w:sz="0" w:space="0" w:color="auto"/>
      </w:divBdr>
      <w:divsChild>
        <w:div w:id="2050716302">
          <w:marLeft w:val="0"/>
          <w:marRight w:val="0"/>
          <w:marTop w:val="0"/>
          <w:marBottom w:val="0"/>
          <w:divBdr>
            <w:top w:val="none" w:sz="0" w:space="0" w:color="auto"/>
            <w:left w:val="none" w:sz="0" w:space="0" w:color="auto"/>
            <w:bottom w:val="none" w:sz="0" w:space="0" w:color="auto"/>
            <w:right w:val="none" w:sz="0" w:space="0" w:color="auto"/>
          </w:divBdr>
          <w:divsChild>
            <w:div w:id="16663354">
              <w:marLeft w:val="0"/>
              <w:marRight w:val="0"/>
              <w:marTop w:val="0"/>
              <w:marBottom w:val="0"/>
              <w:divBdr>
                <w:top w:val="none" w:sz="0" w:space="0" w:color="auto"/>
                <w:left w:val="none" w:sz="0" w:space="0" w:color="auto"/>
                <w:bottom w:val="none" w:sz="0" w:space="0" w:color="auto"/>
                <w:right w:val="none" w:sz="0" w:space="0" w:color="auto"/>
              </w:divBdr>
            </w:div>
            <w:div w:id="55050582">
              <w:marLeft w:val="0"/>
              <w:marRight w:val="0"/>
              <w:marTop w:val="0"/>
              <w:marBottom w:val="0"/>
              <w:divBdr>
                <w:top w:val="none" w:sz="0" w:space="0" w:color="auto"/>
                <w:left w:val="none" w:sz="0" w:space="0" w:color="auto"/>
                <w:bottom w:val="none" w:sz="0" w:space="0" w:color="auto"/>
                <w:right w:val="none" w:sz="0" w:space="0" w:color="auto"/>
              </w:divBdr>
            </w:div>
            <w:div w:id="139426271">
              <w:marLeft w:val="0"/>
              <w:marRight w:val="0"/>
              <w:marTop w:val="0"/>
              <w:marBottom w:val="0"/>
              <w:divBdr>
                <w:top w:val="none" w:sz="0" w:space="0" w:color="auto"/>
                <w:left w:val="none" w:sz="0" w:space="0" w:color="auto"/>
                <w:bottom w:val="none" w:sz="0" w:space="0" w:color="auto"/>
                <w:right w:val="none" w:sz="0" w:space="0" w:color="auto"/>
              </w:divBdr>
            </w:div>
            <w:div w:id="182860429">
              <w:marLeft w:val="0"/>
              <w:marRight w:val="0"/>
              <w:marTop w:val="0"/>
              <w:marBottom w:val="0"/>
              <w:divBdr>
                <w:top w:val="none" w:sz="0" w:space="0" w:color="auto"/>
                <w:left w:val="none" w:sz="0" w:space="0" w:color="auto"/>
                <w:bottom w:val="none" w:sz="0" w:space="0" w:color="auto"/>
                <w:right w:val="none" w:sz="0" w:space="0" w:color="auto"/>
              </w:divBdr>
            </w:div>
            <w:div w:id="198708054">
              <w:marLeft w:val="0"/>
              <w:marRight w:val="0"/>
              <w:marTop w:val="0"/>
              <w:marBottom w:val="0"/>
              <w:divBdr>
                <w:top w:val="none" w:sz="0" w:space="0" w:color="auto"/>
                <w:left w:val="none" w:sz="0" w:space="0" w:color="auto"/>
                <w:bottom w:val="none" w:sz="0" w:space="0" w:color="auto"/>
                <w:right w:val="none" w:sz="0" w:space="0" w:color="auto"/>
              </w:divBdr>
            </w:div>
            <w:div w:id="236408183">
              <w:marLeft w:val="0"/>
              <w:marRight w:val="0"/>
              <w:marTop w:val="0"/>
              <w:marBottom w:val="0"/>
              <w:divBdr>
                <w:top w:val="none" w:sz="0" w:space="0" w:color="auto"/>
                <w:left w:val="none" w:sz="0" w:space="0" w:color="auto"/>
                <w:bottom w:val="none" w:sz="0" w:space="0" w:color="auto"/>
                <w:right w:val="none" w:sz="0" w:space="0" w:color="auto"/>
              </w:divBdr>
            </w:div>
            <w:div w:id="321009879">
              <w:marLeft w:val="0"/>
              <w:marRight w:val="0"/>
              <w:marTop w:val="0"/>
              <w:marBottom w:val="0"/>
              <w:divBdr>
                <w:top w:val="none" w:sz="0" w:space="0" w:color="auto"/>
                <w:left w:val="none" w:sz="0" w:space="0" w:color="auto"/>
                <w:bottom w:val="none" w:sz="0" w:space="0" w:color="auto"/>
                <w:right w:val="none" w:sz="0" w:space="0" w:color="auto"/>
              </w:divBdr>
            </w:div>
            <w:div w:id="331808924">
              <w:marLeft w:val="0"/>
              <w:marRight w:val="0"/>
              <w:marTop w:val="0"/>
              <w:marBottom w:val="0"/>
              <w:divBdr>
                <w:top w:val="none" w:sz="0" w:space="0" w:color="auto"/>
                <w:left w:val="none" w:sz="0" w:space="0" w:color="auto"/>
                <w:bottom w:val="none" w:sz="0" w:space="0" w:color="auto"/>
                <w:right w:val="none" w:sz="0" w:space="0" w:color="auto"/>
              </w:divBdr>
            </w:div>
            <w:div w:id="450051929">
              <w:marLeft w:val="0"/>
              <w:marRight w:val="0"/>
              <w:marTop w:val="0"/>
              <w:marBottom w:val="0"/>
              <w:divBdr>
                <w:top w:val="none" w:sz="0" w:space="0" w:color="auto"/>
                <w:left w:val="none" w:sz="0" w:space="0" w:color="auto"/>
                <w:bottom w:val="none" w:sz="0" w:space="0" w:color="auto"/>
                <w:right w:val="none" w:sz="0" w:space="0" w:color="auto"/>
              </w:divBdr>
            </w:div>
            <w:div w:id="454718285">
              <w:marLeft w:val="0"/>
              <w:marRight w:val="0"/>
              <w:marTop w:val="0"/>
              <w:marBottom w:val="0"/>
              <w:divBdr>
                <w:top w:val="none" w:sz="0" w:space="0" w:color="auto"/>
                <w:left w:val="none" w:sz="0" w:space="0" w:color="auto"/>
                <w:bottom w:val="none" w:sz="0" w:space="0" w:color="auto"/>
                <w:right w:val="none" w:sz="0" w:space="0" w:color="auto"/>
              </w:divBdr>
            </w:div>
            <w:div w:id="508325652">
              <w:marLeft w:val="0"/>
              <w:marRight w:val="0"/>
              <w:marTop w:val="0"/>
              <w:marBottom w:val="0"/>
              <w:divBdr>
                <w:top w:val="none" w:sz="0" w:space="0" w:color="auto"/>
                <w:left w:val="none" w:sz="0" w:space="0" w:color="auto"/>
                <w:bottom w:val="none" w:sz="0" w:space="0" w:color="auto"/>
                <w:right w:val="none" w:sz="0" w:space="0" w:color="auto"/>
              </w:divBdr>
            </w:div>
            <w:div w:id="510140732">
              <w:marLeft w:val="0"/>
              <w:marRight w:val="0"/>
              <w:marTop w:val="0"/>
              <w:marBottom w:val="0"/>
              <w:divBdr>
                <w:top w:val="none" w:sz="0" w:space="0" w:color="auto"/>
                <w:left w:val="none" w:sz="0" w:space="0" w:color="auto"/>
                <w:bottom w:val="none" w:sz="0" w:space="0" w:color="auto"/>
                <w:right w:val="none" w:sz="0" w:space="0" w:color="auto"/>
              </w:divBdr>
            </w:div>
            <w:div w:id="552693644">
              <w:marLeft w:val="0"/>
              <w:marRight w:val="0"/>
              <w:marTop w:val="0"/>
              <w:marBottom w:val="0"/>
              <w:divBdr>
                <w:top w:val="none" w:sz="0" w:space="0" w:color="auto"/>
                <w:left w:val="none" w:sz="0" w:space="0" w:color="auto"/>
                <w:bottom w:val="none" w:sz="0" w:space="0" w:color="auto"/>
                <w:right w:val="none" w:sz="0" w:space="0" w:color="auto"/>
              </w:divBdr>
            </w:div>
            <w:div w:id="556597253">
              <w:marLeft w:val="0"/>
              <w:marRight w:val="0"/>
              <w:marTop w:val="0"/>
              <w:marBottom w:val="0"/>
              <w:divBdr>
                <w:top w:val="none" w:sz="0" w:space="0" w:color="auto"/>
                <w:left w:val="none" w:sz="0" w:space="0" w:color="auto"/>
                <w:bottom w:val="none" w:sz="0" w:space="0" w:color="auto"/>
                <w:right w:val="none" w:sz="0" w:space="0" w:color="auto"/>
              </w:divBdr>
            </w:div>
            <w:div w:id="620841479">
              <w:marLeft w:val="0"/>
              <w:marRight w:val="0"/>
              <w:marTop w:val="0"/>
              <w:marBottom w:val="0"/>
              <w:divBdr>
                <w:top w:val="none" w:sz="0" w:space="0" w:color="auto"/>
                <w:left w:val="none" w:sz="0" w:space="0" w:color="auto"/>
                <w:bottom w:val="none" w:sz="0" w:space="0" w:color="auto"/>
                <w:right w:val="none" w:sz="0" w:space="0" w:color="auto"/>
              </w:divBdr>
            </w:div>
            <w:div w:id="640503435">
              <w:marLeft w:val="0"/>
              <w:marRight w:val="0"/>
              <w:marTop w:val="0"/>
              <w:marBottom w:val="0"/>
              <w:divBdr>
                <w:top w:val="none" w:sz="0" w:space="0" w:color="auto"/>
                <w:left w:val="none" w:sz="0" w:space="0" w:color="auto"/>
                <w:bottom w:val="none" w:sz="0" w:space="0" w:color="auto"/>
                <w:right w:val="none" w:sz="0" w:space="0" w:color="auto"/>
              </w:divBdr>
            </w:div>
            <w:div w:id="680745859">
              <w:marLeft w:val="0"/>
              <w:marRight w:val="0"/>
              <w:marTop w:val="0"/>
              <w:marBottom w:val="0"/>
              <w:divBdr>
                <w:top w:val="none" w:sz="0" w:space="0" w:color="auto"/>
                <w:left w:val="none" w:sz="0" w:space="0" w:color="auto"/>
                <w:bottom w:val="none" w:sz="0" w:space="0" w:color="auto"/>
                <w:right w:val="none" w:sz="0" w:space="0" w:color="auto"/>
              </w:divBdr>
            </w:div>
            <w:div w:id="696933832">
              <w:marLeft w:val="0"/>
              <w:marRight w:val="0"/>
              <w:marTop w:val="0"/>
              <w:marBottom w:val="0"/>
              <w:divBdr>
                <w:top w:val="none" w:sz="0" w:space="0" w:color="auto"/>
                <w:left w:val="none" w:sz="0" w:space="0" w:color="auto"/>
                <w:bottom w:val="none" w:sz="0" w:space="0" w:color="auto"/>
                <w:right w:val="none" w:sz="0" w:space="0" w:color="auto"/>
              </w:divBdr>
            </w:div>
            <w:div w:id="711005461">
              <w:marLeft w:val="0"/>
              <w:marRight w:val="0"/>
              <w:marTop w:val="0"/>
              <w:marBottom w:val="0"/>
              <w:divBdr>
                <w:top w:val="none" w:sz="0" w:space="0" w:color="auto"/>
                <w:left w:val="none" w:sz="0" w:space="0" w:color="auto"/>
                <w:bottom w:val="none" w:sz="0" w:space="0" w:color="auto"/>
                <w:right w:val="none" w:sz="0" w:space="0" w:color="auto"/>
              </w:divBdr>
            </w:div>
            <w:div w:id="733165287">
              <w:marLeft w:val="0"/>
              <w:marRight w:val="0"/>
              <w:marTop w:val="0"/>
              <w:marBottom w:val="0"/>
              <w:divBdr>
                <w:top w:val="none" w:sz="0" w:space="0" w:color="auto"/>
                <w:left w:val="none" w:sz="0" w:space="0" w:color="auto"/>
                <w:bottom w:val="none" w:sz="0" w:space="0" w:color="auto"/>
                <w:right w:val="none" w:sz="0" w:space="0" w:color="auto"/>
              </w:divBdr>
            </w:div>
            <w:div w:id="754401021">
              <w:marLeft w:val="0"/>
              <w:marRight w:val="0"/>
              <w:marTop w:val="0"/>
              <w:marBottom w:val="0"/>
              <w:divBdr>
                <w:top w:val="none" w:sz="0" w:space="0" w:color="auto"/>
                <w:left w:val="none" w:sz="0" w:space="0" w:color="auto"/>
                <w:bottom w:val="none" w:sz="0" w:space="0" w:color="auto"/>
                <w:right w:val="none" w:sz="0" w:space="0" w:color="auto"/>
              </w:divBdr>
            </w:div>
            <w:div w:id="790168822">
              <w:marLeft w:val="0"/>
              <w:marRight w:val="0"/>
              <w:marTop w:val="0"/>
              <w:marBottom w:val="0"/>
              <w:divBdr>
                <w:top w:val="none" w:sz="0" w:space="0" w:color="auto"/>
                <w:left w:val="none" w:sz="0" w:space="0" w:color="auto"/>
                <w:bottom w:val="none" w:sz="0" w:space="0" w:color="auto"/>
                <w:right w:val="none" w:sz="0" w:space="0" w:color="auto"/>
              </w:divBdr>
            </w:div>
            <w:div w:id="866480907">
              <w:marLeft w:val="0"/>
              <w:marRight w:val="0"/>
              <w:marTop w:val="0"/>
              <w:marBottom w:val="0"/>
              <w:divBdr>
                <w:top w:val="none" w:sz="0" w:space="0" w:color="auto"/>
                <w:left w:val="none" w:sz="0" w:space="0" w:color="auto"/>
                <w:bottom w:val="none" w:sz="0" w:space="0" w:color="auto"/>
                <w:right w:val="none" w:sz="0" w:space="0" w:color="auto"/>
              </w:divBdr>
            </w:div>
            <w:div w:id="911545733">
              <w:marLeft w:val="0"/>
              <w:marRight w:val="0"/>
              <w:marTop w:val="0"/>
              <w:marBottom w:val="0"/>
              <w:divBdr>
                <w:top w:val="none" w:sz="0" w:space="0" w:color="auto"/>
                <w:left w:val="none" w:sz="0" w:space="0" w:color="auto"/>
                <w:bottom w:val="none" w:sz="0" w:space="0" w:color="auto"/>
                <w:right w:val="none" w:sz="0" w:space="0" w:color="auto"/>
              </w:divBdr>
            </w:div>
            <w:div w:id="913054006">
              <w:marLeft w:val="0"/>
              <w:marRight w:val="0"/>
              <w:marTop w:val="0"/>
              <w:marBottom w:val="0"/>
              <w:divBdr>
                <w:top w:val="none" w:sz="0" w:space="0" w:color="auto"/>
                <w:left w:val="none" w:sz="0" w:space="0" w:color="auto"/>
                <w:bottom w:val="none" w:sz="0" w:space="0" w:color="auto"/>
                <w:right w:val="none" w:sz="0" w:space="0" w:color="auto"/>
              </w:divBdr>
            </w:div>
            <w:div w:id="919023393">
              <w:marLeft w:val="0"/>
              <w:marRight w:val="0"/>
              <w:marTop w:val="0"/>
              <w:marBottom w:val="0"/>
              <w:divBdr>
                <w:top w:val="none" w:sz="0" w:space="0" w:color="auto"/>
                <w:left w:val="none" w:sz="0" w:space="0" w:color="auto"/>
                <w:bottom w:val="none" w:sz="0" w:space="0" w:color="auto"/>
                <w:right w:val="none" w:sz="0" w:space="0" w:color="auto"/>
              </w:divBdr>
            </w:div>
            <w:div w:id="954211188">
              <w:marLeft w:val="0"/>
              <w:marRight w:val="0"/>
              <w:marTop w:val="0"/>
              <w:marBottom w:val="0"/>
              <w:divBdr>
                <w:top w:val="none" w:sz="0" w:space="0" w:color="auto"/>
                <w:left w:val="none" w:sz="0" w:space="0" w:color="auto"/>
                <w:bottom w:val="none" w:sz="0" w:space="0" w:color="auto"/>
                <w:right w:val="none" w:sz="0" w:space="0" w:color="auto"/>
              </w:divBdr>
            </w:div>
            <w:div w:id="1057047282">
              <w:marLeft w:val="0"/>
              <w:marRight w:val="0"/>
              <w:marTop w:val="0"/>
              <w:marBottom w:val="0"/>
              <w:divBdr>
                <w:top w:val="none" w:sz="0" w:space="0" w:color="auto"/>
                <w:left w:val="none" w:sz="0" w:space="0" w:color="auto"/>
                <w:bottom w:val="none" w:sz="0" w:space="0" w:color="auto"/>
                <w:right w:val="none" w:sz="0" w:space="0" w:color="auto"/>
              </w:divBdr>
            </w:div>
            <w:div w:id="1057319448">
              <w:marLeft w:val="0"/>
              <w:marRight w:val="0"/>
              <w:marTop w:val="0"/>
              <w:marBottom w:val="0"/>
              <w:divBdr>
                <w:top w:val="none" w:sz="0" w:space="0" w:color="auto"/>
                <w:left w:val="none" w:sz="0" w:space="0" w:color="auto"/>
                <w:bottom w:val="none" w:sz="0" w:space="0" w:color="auto"/>
                <w:right w:val="none" w:sz="0" w:space="0" w:color="auto"/>
              </w:divBdr>
            </w:div>
            <w:div w:id="1068117693">
              <w:marLeft w:val="0"/>
              <w:marRight w:val="0"/>
              <w:marTop w:val="0"/>
              <w:marBottom w:val="0"/>
              <w:divBdr>
                <w:top w:val="none" w:sz="0" w:space="0" w:color="auto"/>
                <w:left w:val="none" w:sz="0" w:space="0" w:color="auto"/>
                <w:bottom w:val="none" w:sz="0" w:space="0" w:color="auto"/>
                <w:right w:val="none" w:sz="0" w:space="0" w:color="auto"/>
              </w:divBdr>
            </w:div>
            <w:div w:id="1084688032">
              <w:marLeft w:val="0"/>
              <w:marRight w:val="0"/>
              <w:marTop w:val="0"/>
              <w:marBottom w:val="0"/>
              <w:divBdr>
                <w:top w:val="none" w:sz="0" w:space="0" w:color="auto"/>
                <w:left w:val="none" w:sz="0" w:space="0" w:color="auto"/>
                <w:bottom w:val="none" w:sz="0" w:space="0" w:color="auto"/>
                <w:right w:val="none" w:sz="0" w:space="0" w:color="auto"/>
              </w:divBdr>
            </w:div>
            <w:div w:id="1103771096">
              <w:marLeft w:val="0"/>
              <w:marRight w:val="0"/>
              <w:marTop w:val="0"/>
              <w:marBottom w:val="0"/>
              <w:divBdr>
                <w:top w:val="none" w:sz="0" w:space="0" w:color="auto"/>
                <w:left w:val="none" w:sz="0" w:space="0" w:color="auto"/>
                <w:bottom w:val="none" w:sz="0" w:space="0" w:color="auto"/>
                <w:right w:val="none" w:sz="0" w:space="0" w:color="auto"/>
              </w:divBdr>
            </w:div>
            <w:div w:id="1106924417">
              <w:marLeft w:val="0"/>
              <w:marRight w:val="0"/>
              <w:marTop w:val="0"/>
              <w:marBottom w:val="0"/>
              <w:divBdr>
                <w:top w:val="none" w:sz="0" w:space="0" w:color="auto"/>
                <w:left w:val="none" w:sz="0" w:space="0" w:color="auto"/>
                <w:bottom w:val="none" w:sz="0" w:space="0" w:color="auto"/>
                <w:right w:val="none" w:sz="0" w:space="0" w:color="auto"/>
              </w:divBdr>
            </w:div>
            <w:div w:id="1132358205">
              <w:marLeft w:val="0"/>
              <w:marRight w:val="0"/>
              <w:marTop w:val="0"/>
              <w:marBottom w:val="0"/>
              <w:divBdr>
                <w:top w:val="none" w:sz="0" w:space="0" w:color="auto"/>
                <w:left w:val="none" w:sz="0" w:space="0" w:color="auto"/>
                <w:bottom w:val="none" w:sz="0" w:space="0" w:color="auto"/>
                <w:right w:val="none" w:sz="0" w:space="0" w:color="auto"/>
              </w:divBdr>
            </w:div>
            <w:div w:id="1155342324">
              <w:marLeft w:val="0"/>
              <w:marRight w:val="0"/>
              <w:marTop w:val="0"/>
              <w:marBottom w:val="0"/>
              <w:divBdr>
                <w:top w:val="none" w:sz="0" w:space="0" w:color="auto"/>
                <w:left w:val="none" w:sz="0" w:space="0" w:color="auto"/>
                <w:bottom w:val="none" w:sz="0" w:space="0" w:color="auto"/>
                <w:right w:val="none" w:sz="0" w:space="0" w:color="auto"/>
              </w:divBdr>
            </w:div>
            <w:div w:id="1191068554">
              <w:marLeft w:val="0"/>
              <w:marRight w:val="0"/>
              <w:marTop w:val="0"/>
              <w:marBottom w:val="0"/>
              <w:divBdr>
                <w:top w:val="none" w:sz="0" w:space="0" w:color="auto"/>
                <w:left w:val="none" w:sz="0" w:space="0" w:color="auto"/>
                <w:bottom w:val="none" w:sz="0" w:space="0" w:color="auto"/>
                <w:right w:val="none" w:sz="0" w:space="0" w:color="auto"/>
              </w:divBdr>
            </w:div>
            <w:div w:id="1201668571">
              <w:marLeft w:val="0"/>
              <w:marRight w:val="0"/>
              <w:marTop w:val="0"/>
              <w:marBottom w:val="0"/>
              <w:divBdr>
                <w:top w:val="none" w:sz="0" w:space="0" w:color="auto"/>
                <w:left w:val="none" w:sz="0" w:space="0" w:color="auto"/>
                <w:bottom w:val="none" w:sz="0" w:space="0" w:color="auto"/>
                <w:right w:val="none" w:sz="0" w:space="0" w:color="auto"/>
              </w:divBdr>
            </w:div>
            <w:div w:id="1207254638">
              <w:marLeft w:val="0"/>
              <w:marRight w:val="0"/>
              <w:marTop w:val="0"/>
              <w:marBottom w:val="0"/>
              <w:divBdr>
                <w:top w:val="none" w:sz="0" w:space="0" w:color="auto"/>
                <w:left w:val="none" w:sz="0" w:space="0" w:color="auto"/>
                <w:bottom w:val="none" w:sz="0" w:space="0" w:color="auto"/>
                <w:right w:val="none" w:sz="0" w:space="0" w:color="auto"/>
              </w:divBdr>
            </w:div>
            <w:div w:id="1248198747">
              <w:marLeft w:val="0"/>
              <w:marRight w:val="0"/>
              <w:marTop w:val="0"/>
              <w:marBottom w:val="0"/>
              <w:divBdr>
                <w:top w:val="none" w:sz="0" w:space="0" w:color="auto"/>
                <w:left w:val="none" w:sz="0" w:space="0" w:color="auto"/>
                <w:bottom w:val="none" w:sz="0" w:space="0" w:color="auto"/>
                <w:right w:val="none" w:sz="0" w:space="0" w:color="auto"/>
              </w:divBdr>
            </w:div>
            <w:div w:id="1274364175">
              <w:marLeft w:val="0"/>
              <w:marRight w:val="0"/>
              <w:marTop w:val="0"/>
              <w:marBottom w:val="0"/>
              <w:divBdr>
                <w:top w:val="none" w:sz="0" w:space="0" w:color="auto"/>
                <w:left w:val="none" w:sz="0" w:space="0" w:color="auto"/>
                <w:bottom w:val="none" w:sz="0" w:space="0" w:color="auto"/>
                <w:right w:val="none" w:sz="0" w:space="0" w:color="auto"/>
              </w:divBdr>
            </w:div>
            <w:div w:id="1277834551">
              <w:marLeft w:val="0"/>
              <w:marRight w:val="0"/>
              <w:marTop w:val="0"/>
              <w:marBottom w:val="0"/>
              <w:divBdr>
                <w:top w:val="none" w:sz="0" w:space="0" w:color="auto"/>
                <w:left w:val="none" w:sz="0" w:space="0" w:color="auto"/>
                <w:bottom w:val="none" w:sz="0" w:space="0" w:color="auto"/>
                <w:right w:val="none" w:sz="0" w:space="0" w:color="auto"/>
              </w:divBdr>
            </w:div>
            <w:div w:id="1283003245">
              <w:marLeft w:val="0"/>
              <w:marRight w:val="0"/>
              <w:marTop w:val="0"/>
              <w:marBottom w:val="0"/>
              <w:divBdr>
                <w:top w:val="none" w:sz="0" w:space="0" w:color="auto"/>
                <w:left w:val="none" w:sz="0" w:space="0" w:color="auto"/>
                <w:bottom w:val="none" w:sz="0" w:space="0" w:color="auto"/>
                <w:right w:val="none" w:sz="0" w:space="0" w:color="auto"/>
              </w:divBdr>
            </w:div>
            <w:div w:id="1335108295">
              <w:marLeft w:val="0"/>
              <w:marRight w:val="0"/>
              <w:marTop w:val="0"/>
              <w:marBottom w:val="0"/>
              <w:divBdr>
                <w:top w:val="none" w:sz="0" w:space="0" w:color="auto"/>
                <w:left w:val="none" w:sz="0" w:space="0" w:color="auto"/>
                <w:bottom w:val="none" w:sz="0" w:space="0" w:color="auto"/>
                <w:right w:val="none" w:sz="0" w:space="0" w:color="auto"/>
              </w:divBdr>
            </w:div>
            <w:div w:id="1385326183">
              <w:marLeft w:val="0"/>
              <w:marRight w:val="0"/>
              <w:marTop w:val="0"/>
              <w:marBottom w:val="0"/>
              <w:divBdr>
                <w:top w:val="none" w:sz="0" w:space="0" w:color="auto"/>
                <w:left w:val="none" w:sz="0" w:space="0" w:color="auto"/>
                <w:bottom w:val="none" w:sz="0" w:space="0" w:color="auto"/>
                <w:right w:val="none" w:sz="0" w:space="0" w:color="auto"/>
              </w:divBdr>
            </w:div>
            <w:div w:id="1387610557">
              <w:marLeft w:val="0"/>
              <w:marRight w:val="0"/>
              <w:marTop w:val="0"/>
              <w:marBottom w:val="0"/>
              <w:divBdr>
                <w:top w:val="none" w:sz="0" w:space="0" w:color="auto"/>
                <w:left w:val="none" w:sz="0" w:space="0" w:color="auto"/>
                <w:bottom w:val="none" w:sz="0" w:space="0" w:color="auto"/>
                <w:right w:val="none" w:sz="0" w:space="0" w:color="auto"/>
              </w:divBdr>
            </w:div>
            <w:div w:id="1399209000">
              <w:marLeft w:val="0"/>
              <w:marRight w:val="0"/>
              <w:marTop w:val="0"/>
              <w:marBottom w:val="0"/>
              <w:divBdr>
                <w:top w:val="none" w:sz="0" w:space="0" w:color="auto"/>
                <w:left w:val="none" w:sz="0" w:space="0" w:color="auto"/>
                <w:bottom w:val="none" w:sz="0" w:space="0" w:color="auto"/>
                <w:right w:val="none" w:sz="0" w:space="0" w:color="auto"/>
              </w:divBdr>
            </w:div>
            <w:div w:id="1432552107">
              <w:marLeft w:val="0"/>
              <w:marRight w:val="0"/>
              <w:marTop w:val="0"/>
              <w:marBottom w:val="0"/>
              <w:divBdr>
                <w:top w:val="none" w:sz="0" w:space="0" w:color="auto"/>
                <w:left w:val="none" w:sz="0" w:space="0" w:color="auto"/>
                <w:bottom w:val="none" w:sz="0" w:space="0" w:color="auto"/>
                <w:right w:val="none" w:sz="0" w:space="0" w:color="auto"/>
              </w:divBdr>
            </w:div>
            <w:div w:id="1461143834">
              <w:marLeft w:val="0"/>
              <w:marRight w:val="0"/>
              <w:marTop w:val="0"/>
              <w:marBottom w:val="0"/>
              <w:divBdr>
                <w:top w:val="none" w:sz="0" w:space="0" w:color="auto"/>
                <w:left w:val="none" w:sz="0" w:space="0" w:color="auto"/>
                <w:bottom w:val="none" w:sz="0" w:space="0" w:color="auto"/>
                <w:right w:val="none" w:sz="0" w:space="0" w:color="auto"/>
              </w:divBdr>
            </w:div>
            <w:div w:id="1499543127">
              <w:marLeft w:val="0"/>
              <w:marRight w:val="0"/>
              <w:marTop w:val="0"/>
              <w:marBottom w:val="0"/>
              <w:divBdr>
                <w:top w:val="none" w:sz="0" w:space="0" w:color="auto"/>
                <w:left w:val="none" w:sz="0" w:space="0" w:color="auto"/>
                <w:bottom w:val="none" w:sz="0" w:space="0" w:color="auto"/>
                <w:right w:val="none" w:sz="0" w:space="0" w:color="auto"/>
              </w:divBdr>
            </w:div>
            <w:div w:id="1540241919">
              <w:marLeft w:val="0"/>
              <w:marRight w:val="0"/>
              <w:marTop w:val="0"/>
              <w:marBottom w:val="0"/>
              <w:divBdr>
                <w:top w:val="none" w:sz="0" w:space="0" w:color="auto"/>
                <w:left w:val="none" w:sz="0" w:space="0" w:color="auto"/>
                <w:bottom w:val="none" w:sz="0" w:space="0" w:color="auto"/>
                <w:right w:val="none" w:sz="0" w:space="0" w:color="auto"/>
              </w:divBdr>
            </w:div>
            <w:div w:id="1571502529">
              <w:marLeft w:val="0"/>
              <w:marRight w:val="0"/>
              <w:marTop w:val="0"/>
              <w:marBottom w:val="0"/>
              <w:divBdr>
                <w:top w:val="none" w:sz="0" w:space="0" w:color="auto"/>
                <w:left w:val="none" w:sz="0" w:space="0" w:color="auto"/>
                <w:bottom w:val="none" w:sz="0" w:space="0" w:color="auto"/>
                <w:right w:val="none" w:sz="0" w:space="0" w:color="auto"/>
              </w:divBdr>
            </w:div>
            <w:div w:id="1670132938">
              <w:marLeft w:val="0"/>
              <w:marRight w:val="0"/>
              <w:marTop w:val="0"/>
              <w:marBottom w:val="0"/>
              <w:divBdr>
                <w:top w:val="none" w:sz="0" w:space="0" w:color="auto"/>
                <w:left w:val="none" w:sz="0" w:space="0" w:color="auto"/>
                <w:bottom w:val="none" w:sz="0" w:space="0" w:color="auto"/>
                <w:right w:val="none" w:sz="0" w:space="0" w:color="auto"/>
              </w:divBdr>
            </w:div>
            <w:div w:id="1704869364">
              <w:marLeft w:val="0"/>
              <w:marRight w:val="0"/>
              <w:marTop w:val="0"/>
              <w:marBottom w:val="0"/>
              <w:divBdr>
                <w:top w:val="none" w:sz="0" w:space="0" w:color="auto"/>
                <w:left w:val="none" w:sz="0" w:space="0" w:color="auto"/>
                <w:bottom w:val="none" w:sz="0" w:space="0" w:color="auto"/>
                <w:right w:val="none" w:sz="0" w:space="0" w:color="auto"/>
              </w:divBdr>
            </w:div>
            <w:div w:id="1893956061">
              <w:marLeft w:val="0"/>
              <w:marRight w:val="0"/>
              <w:marTop w:val="0"/>
              <w:marBottom w:val="0"/>
              <w:divBdr>
                <w:top w:val="none" w:sz="0" w:space="0" w:color="auto"/>
                <w:left w:val="none" w:sz="0" w:space="0" w:color="auto"/>
                <w:bottom w:val="none" w:sz="0" w:space="0" w:color="auto"/>
                <w:right w:val="none" w:sz="0" w:space="0" w:color="auto"/>
              </w:divBdr>
            </w:div>
            <w:div w:id="1987587674">
              <w:marLeft w:val="0"/>
              <w:marRight w:val="0"/>
              <w:marTop w:val="0"/>
              <w:marBottom w:val="0"/>
              <w:divBdr>
                <w:top w:val="none" w:sz="0" w:space="0" w:color="auto"/>
                <w:left w:val="none" w:sz="0" w:space="0" w:color="auto"/>
                <w:bottom w:val="none" w:sz="0" w:space="0" w:color="auto"/>
                <w:right w:val="none" w:sz="0" w:space="0" w:color="auto"/>
              </w:divBdr>
            </w:div>
            <w:div w:id="2084444543">
              <w:marLeft w:val="0"/>
              <w:marRight w:val="0"/>
              <w:marTop w:val="0"/>
              <w:marBottom w:val="0"/>
              <w:divBdr>
                <w:top w:val="none" w:sz="0" w:space="0" w:color="auto"/>
                <w:left w:val="none" w:sz="0" w:space="0" w:color="auto"/>
                <w:bottom w:val="none" w:sz="0" w:space="0" w:color="auto"/>
                <w:right w:val="none" w:sz="0" w:space="0" w:color="auto"/>
              </w:divBdr>
            </w:div>
            <w:div w:id="2112124236">
              <w:marLeft w:val="0"/>
              <w:marRight w:val="0"/>
              <w:marTop w:val="0"/>
              <w:marBottom w:val="0"/>
              <w:divBdr>
                <w:top w:val="none" w:sz="0" w:space="0" w:color="auto"/>
                <w:left w:val="none" w:sz="0" w:space="0" w:color="auto"/>
                <w:bottom w:val="none" w:sz="0" w:space="0" w:color="auto"/>
                <w:right w:val="none" w:sz="0" w:space="0" w:color="auto"/>
              </w:divBdr>
            </w:div>
            <w:div w:id="21466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2455">
      <w:bodyDiv w:val="1"/>
      <w:marLeft w:val="0"/>
      <w:marRight w:val="0"/>
      <w:marTop w:val="0"/>
      <w:marBottom w:val="0"/>
      <w:divBdr>
        <w:top w:val="none" w:sz="0" w:space="0" w:color="auto"/>
        <w:left w:val="none" w:sz="0" w:space="0" w:color="auto"/>
        <w:bottom w:val="none" w:sz="0" w:space="0" w:color="auto"/>
        <w:right w:val="none" w:sz="0" w:space="0" w:color="auto"/>
      </w:divBdr>
    </w:div>
    <w:div w:id="599070947">
      <w:bodyDiv w:val="1"/>
      <w:marLeft w:val="0"/>
      <w:marRight w:val="0"/>
      <w:marTop w:val="0"/>
      <w:marBottom w:val="0"/>
      <w:divBdr>
        <w:top w:val="none" w:sz="0" w:space="0" w:color="auto"/>
        <w:left w:val="none" w:sz="0" w:space="0" w:color="auto"/>
        <w:bottom w:val="none" w:sz="0" w:space="0" w:color="auto"/>
        <w:right w:val="none" w:sz="0" w:space="0" w:color="auto"/>
      </w:divBdr>
      <w:divsChild>
        <w:div w:id="27799062">
          <w:marLeft w:val="562"/>
          <w:marRight w:val="0"/>
          <w:marTop w:val="67"/>
          <w:marBottom w:val="0"/>
          <w:divBdr>
            <w:top w:val="none" w:sz="0" w:space="0" w:color="auto"/>
            <w:left w:val="none" w:sz="0" w:space="0" w:color="auto"/>
            <w:bottom w:val="none" w:sz="0" w:space="0" w:color="auto"/>
            <w:right w:val="none" w:sz="0" w:space="0" w:color="auto"/>
          </w:divBdr>
        </w:div>
        <w:div w:id="954024652">
          <w:marLeft w:val="562"/>
          <w:marRight w:val="0"/>
          <w:marTop w:val="67"/>
          <w:marBottom w:val="0"/>
          <w:divBdr>
            <w:top w:val="none" w:sz="0" w:space="0" w:color="auto"/>
            <w:left w:val="none" w:sz="0" w:space="0" w:color="auto"/>
            <w:bottom w:val="none" w:sz="0" w:space="0" w:color="auto"/>
            <w:right w:val="none" w:sz="0" w:space="0" w:color="auto"/>
          </w:divBdr>
        </w:div>
        <w:div w:id="1229612678">
          <w:marLeft w:val="562"/>
          <w:marRight w:val="0"/>
          <w:marTop w:val="67"/>
          <w:marBottom w:val="0"/>
          <w:divBdr>
            <w:top w:val="none" w:sz="0" w:space="0" w:color="auto"/>
            <w:left w:val="none" w:sz="0" w:space="0" w:color="auto"/>
            <w:bottom w:val="none" w:sz="0" w:space="0" w:color="auto"/>
            <w:right w:val="none" w:sz="0" w:space="0" w:color="auto"/>
          </w:divBdr>
        </w:div>
        <w:div w:id="1750732879">
          <w:marLeft w:val="562"/>
          <w:marRight w:val="0"/>
          <w:marTop w:val="67"/>
          <w:marBottom w:val="0"/>
          <w:divBdr>
            <w:top w:val="none" w:sz="0" w:space="0" w:color="auto"/>
            <w:left w:val="none" w:sz="0" w:space="0" w:color="auto"/>
            <w:bottom w:val="none" w:sz="0" w:space="0" w:color="auto"/>
            <w:right w:val="none" w:sz="0" w:space="0" w:color="auto"/>
          </w:divBdr>
        </w:div>
        <w:div w:id="2115057706">
          <w:marLeft w:val="562"/>
          <w:marRight w:val="0"/>
          <w:marTop w:val="67"/>
          <w:marBottom w:val="0"/>
          <w:divBdr>
            <w:top w:val="none" w:sz="0" w:space="0" w:color="auto"/>
            <w:left w:val="none" w:sz="0" w:space="0" w:color="auto"/>
            <w:bottom w:val="none" w:sz="0" w:space="0" w:color="auto"/>
            <w:right w:val="none" w:sz="0" w:space="0" w:color="auto"/>
          </w:divBdr>
        </w:div>
      </w:divsChild>
    </w:div>
    <w:div w:id="605117022">
      <w:bodyDiv w:val="1"/>
      <w:marLeft w:val="0"/>
      <w:marRight w:val="0"/>
      <w:marTop w:val="0"/>
      <w:marBottom w:val="0"/>
      <w:divBdr>
        <w:top w:val="none" w:sz="0" w:space="0" w:color="auto"/>
        <w:left w:val="none" w:sz="0" w:space="0" w:color="auto"/>
        <w:bottom w:val="none" w:sz="0" w:space="0" w:color="auto"/>
        <w:right w:val="none" w:sz="0" w:space="0" w:color="auto"/>
      </w:divBdr>
    </w:div>
    <w:div w:id="888417467">
      <w:bodyDiv w:val="1"/>
      <w:marLeft w:val="0"/>
      <w:marRight w:val="0"/>
      <w:marTop w:val="0"/>
      <w:marBottom w:val="0"/>
      <w:divBdr>
        <w:top w:val="none" w:sz="0" w:space="0" w:color="auto"/>
        <w:left w:val="none" w:sz="0" w:space="0" w:color="auto"/>
        <w:bottom w:val="none" w:sz="0" w:space="0" w:color="auto"/>
        <w:right w:val="none" w:sz="0" w:space="0" w:color="auto"/>
      </w:divBdr>
      <w:divsChild>
        <w:div w:id="2091193336">
          <w:marLeft w:val="0"/>
          <w:marRight w:val="0"/>
          <w:marTop w:val="0"/>
          <w:marBottom w:val="0"/>
          <w:divBdr>
            <w:top w:val="none" w:sz="0" w:space="0" w:color="auto"/>
            <w:left w:val="none" w:sz="0" w:space="0" w:color="auto"/>
            <w:bottom w:val="none" w:sz="0" w:space="0" w:color="auto"/>
            <w:right w:val="none" w:sz="0" w:space="0" w:color="auto"/>
          </w:divBdr>
          <w:divsChild>
            <w:div w:id="128062039">
              <w:marLeft w:val="0"/>
              <w:marRight w:val="0"/>
              <w:marTop w:val="0"/>
              <w:marBottom w:val="0"/>
              <w:divBdr>
                <w:top w:val="none" w:sz="0" w:space="0" w:color="auto"/>
                <w:left w:val="none" w:sz="0" w:space="0" w:color="auto"/>
                <w:bottom w:val="none" w:sz="0" w:space="0" w:color="auto"/>
                <w:right w:val="none" w:sz="0" w:space="0" w:color="auto"/>
              </w:divBdr>
            </w:div>
            <w:div w:id="170338391">
              <w:marLeft w:val="0"/>
              <w:marRight w:val="0"/>
              <w:marTop w:val="0"/>
              <w:marBottom w:val="0"/>
              <w:divBdr>
                <w:top w:val="none" w:sz="0" w:space="0" w:color="auto"/>
                <w:left w:val="none" w:sz="0" w:space="0" w:color="auto"/>
                <w:bottom w:val="none" w:sz="0" w:space="0" w:color="auto"/>
                <w:right w:val="none" w:sz="0" w:space="0" w:color="auto"/>
              </w:divBdr>
            </w:div>
            <w:div w:id="286472849">
              <w:marLeft w:val="0"/>
              <w:marRight w:val="0"/>
              <w:marTop w:val="0"/>
              <w:marBottom w:val="0"/>
              <w:divBdr>
                <w:top w:val="none" w:sz="0" w:space="0" w:color="auto"/>
                <w:left w:val="none" w:sz="0" w:space="0" w:color="auto"/>
                <w:bottom w:val="none" w:sz="0" w:space="0" w:color="auto"/>
                <w:right w:val="none" w:sz="0" w:space="0" w:color="auto"/>
              </w:divBdr>
            </w:div>
            <w:div w:id="302661376">
              <w:marLeft w:val="0"/>
              <w:marRight w:val="0"/>
              <w:marTop w:val="0"/>
              <w:marBottom w:val="0"/>
              <w:divBdr>
                <w:top w:val="none" w:sz="0" w:space="0" w:color="auto"/>
                <w:left w:val="none" w:sz="0" w:space="0" w:color="auto"/>
                <w:bottom w:val="none" w:sz="0" w:space="0" w:color="auto"/>
                <w:right w:val="none" w:sz="0" w:space="0" w:color="auto"/>
              </w:divBdr>
            </w:div>
            <w:div w:id="327372687">
              <w:marLeft w:val="0"/>
              <w:marRight w:val="0"/>
              <w:marTop w:val="0"/>
              <w:marBottom w:val="0"/>
              <w:divBdr>
                <w:top w:val="none" w:sz="0" w:space="0" w:color="auto"/>
                <w:left w:val="none" w:sz="0" w:space="0" w:color="auto"/>
                <w:bottom w:val="none" w:sz="0" w:space="0" w:color="auto"/>
                <w:right w:val="none" w:sz="0" w:space="0" w:color="auto"/>
              </w:divBdr>
            </w:div>
            <w:div w:id="348873673">
              <w:marLeft w:val="0"/>
              <w:marRight w:val="0"/>
              <w:marTop w:val="0"/>
              <w:marBottom w:val="0"/>
              <w:divBdr>
                <w:top w:val="none" w:sz="0" w:space="0" w:color="auto"/>
                <w:left w:val="none" w:sz="0" w:space="0" w:color="auto"/>
                <w:bottom w:val="none" w:sz="0" w:space="0" w:color="auto"/>
                <w:right w:val="none" w:sz="0" w:space="0" w:color="auto"/>
              </w:divBdr>
            </w:div>
            <w:div w:id="432828166">
              <w:marLeft w:val="0"/>
              <w:marRight w:val="0"/>
              <w:marTop w:val="0"/>
              <w:marBottom w:val="0"/>
              <w:divBdr>
                <w:top w:val="none" w:sz="0" w:space="0" w:color="auto"/>
                <w:left w:val="none" w:sz="0" w:space="0" w:color="auto"/>
                <w:bottom w:val="none" w:sz="0" w:space="0" w:color="auto"/>
                <w:right w:val="none" w:sz="0" w:space="0" w:color="auto"/>
              </w:divBdr>
            </w:div>
            <w:div w:id="444736624">
              <w:marLeft w:val="0"/>
              <w:marRight w:val="0"/>
              <w:marTop w:val="0"/>
              <w:marBottom w:val="0"/>
              <w:divBdr>
                <w:top w:val="none" w:sz="0" w:space="0" w:color="auto"/>
                <w:left w:val="none" w:sz="0" w:space="0" w:color="auto"/>
                <w:bottom w:val="none" w:sz="0" w:space="0" w:color="auto"/>
                <w:right w:val="none" w:sz="0" w:space="0" w:color="auto"/>
              </w:divBdr>
            </w:div>
            <w:div w:id="457768962">
              <w:marLeft w:val="0"/>
              <w:marRight w:val="0"/>
              <w:marTop w:val="0"/>
              <w:marBottom w:val="0"/>
              <w:divBdr>
                <w:top w:val="none" w:sz="0" w:space="0" w:color="auto"/>
                <w:left w:val="none" w:sz="0" w:space="0" w:color="auto"/>
                <w:bottom w:val="none" w:sz="0" w:space="0" w:color="auto"/>
                <w:right w:val="none" w:sz="0" w:space="0" w:color="auto"/>
              </w:divBdr>
            </w:div>
            <w:div w:id="511260808">
              <w:marLeft w:val="0"/>
              <w:marRight w:val="0"/>
              <w:marTop w:val="0"/>
              <w:marBottom w:val="0"/>
              <w:divBdr>
                <w:top w:val="none" w:sz="0" w:space="0" w:color="auto"/>
                <w:left w:val="none" w:sz="0" w:space="0" w:color="auto"/>
                <w:bottom w:val="none" w:sz="0" w:space="0" w:color="auto"/>
                <w:right w:val="none" w:sz="0" w:space="0" w:color="auto"/>
              </w:divBdr>
            </w:div>
            <w:div w:id="593708310">
              <w:marLeft w:val="0"/>
              <w:marRight w:val="0"/>
              <w:marTop w:val="0"/>
              <w:marBottom w:val="0"/>
              <w:divBdr>
                <w:top w:val="none" w:sz="0" w:space="0" w:color="auto"/>
                <w:left w:val="none" w:sz="0" w:space="0" w:color="auto"/>
                <w:bottom w:val="none" w:sz="0" w:space="0" w:color="auto"/>
                <w:right w:val="none" w:sz="0" w:space="0" w:color="auto"/>
              </w:divBdr>
            </w:div>
            <w:div w:id="623269161">
              <w:marLeft w:val="0"/>
              <w:marRight w:val="0"/>
              <w:marTop w:val="0"/>
              <w:marBottom w:val="0"/>
              <w:divBdr>
                <w:top w:val="none" w:sz="0" w:space="0" w:color="auto"/>
                <w:left w:val="none" w:sz="0" w:space="0" w:color="auto"/>
                <w:bottom w:val="none" w:sz="0" w:space="0" w:color="auto"/>
                <w:right w:val="none" w:sz="0" w:space="0" w:color="auto"/>
              </w:divBdr>
            </w:div>
            <w:div w:id="726102413">
              <w:marLeft w:val="0"/>
              <w:marRight w:val="0"/>
              <w:marTop w:val="0"/>
              <w:marBottom w:val="0"/>
              <w:divBdr>
                <w:top w:val="none" w:sz="0" w:space="0" w:color="auto"/>
                <w:left w:val="none" w:sz="0" w:space="0" w:color="auto"/>
                <w:bottom w:val="none" w:sz="0" w:space="0" w:color="auto"/>
                <w:right w:val="none" w:sz="0" w:space="0" w:color="auto"/>
              </w:divBdr>
            </w:div>
            <w:div w:id="727265609">
              <w:marLeft w:val="0"/>
              <w:marRight w:val="0"/>
              <w:marTop w:val="0"/>
              <w:marBottom w:val="0"/>
              <w:divBdr>
                <w:top w:val="none" w:sz="0" w:space="0" w:color="auto"/>
                <w:left w:val="none" w:sz="0" w:space="0" w:color="auto"/>
                <w:bottom w:val="none" w:sz="0" w:space="0" w:color="auto"/>
                <w:right w:val="none" w:sz="0" w:space="0" w:color="auto"/>
              </w:divBdr>
            </w:div>
            <w:div w:id="749959177">
              <w:marLeft w:val="0"/>
              <w:marRight w:val="0"/>
              <w:marTop w:val="0"/>
              <w:marBottom w:val="0"/>
              <w:divBdr>
                <w:top w:val="none" w:sz="0" w:space="0" w:color="auto"/>
                <w:left w:val="none" w:sz="0" w:space="0" w:color="auto"/>
                <w:bottom w:val="none" w:sz="0" w:space="0" w:color="auto"/>
                <w:right w:val="none" w:sz="0" w:space="0" w:color="auto"/>
              </w:divBdr>
            </w:div>
            <w:div w:id="772818874">
              <w:marLeft w:val="0"/>
              <w:marRight w:val="0"/>
              <w:marTop w:val="0"/>
              <w:marBottom w:val="0"/>
              <w:divBdr>
                <w:top w:val="none" w:sz="0" w:space="0" w:color="auto"/>
                <w:left w:val="none" w:sz="0" w:space="0" w:color="auto"/>
                <w:bottom w:val="none" w:sz="0" w:space="0" w:color="auto"/>
                <w:right w:val="none" w:sz="0" w:space="0" w:color="auto"/>
              </w:divBdr>
            </w:div>
            <w:div w:id="778717074">
              <w:marLeft w:val="0"/>
              <w:marRight w:val="0"/>
              <w:marTop w:val="0"/>
              <w:marBottom w:val="0"/>
              <w:divBdr>
                <w:top w:val="none" w:sz="0" w:space="0" w:color="auto"/>
                <w:left w:val="none" w:sz="0" w:space="0" w:color="auto"/>
                <w:bottom w:val="none" w:sz="0" w:space="0" w:color="auto"/>
                <w:right w:val="none" w:sz="0" w:space="0" w:color="auto"/>
              </w:divBdr>
            </w:div>
            <w:div w:id="793135184">
              <w:marLeft w:val="0"/>
              <w:marRight w:val="0"/>
              <w:marTop w:val="0"/>
              <w:marBottom w:val="0"/>
              <w:divBdr>
                <w:top w:val="none" w:sz="0" w:space="0" w:color="auto"/>
                <w:left w:val="none" w:sz="0" w:space="0" w:color="auto"/>
                <w:bottom w:val="none" w:sz="0" w:space="0" w:color="auto"/>
                <w:right w:val="none" w:sz="0" w:space="0" w:color="auto"/>
              </w:divBdr>
            </w:div>
            <w:div w:id="836387479">
              <w:marLeft w:val="0"/>
              <w:marRight w:val="0"/>
              <w:marTop w:val="0"/>
              <w:marBottom w:val="0"/>
              <w:divBdr>
                <w:top w:val="none" w:sz="0" w:space="0" w:color="auto"/>
                <w:left w:val="none" w:sz="0" w:space="0" w:color="auto"/>
                <w:bottom w:val="none" w:sz="0" w:space="0" w:color="auto"/>
                <w:right w:val="none" w:sz="0" w:space="0" w:color="auto"/>
              </w:divBdr>
            </w:div>
            <w:div w:id="874853575">
              <w:marLeft w:val="0"/>
              <w:marRight w:val="0"/>
              <w:marTop w:val="0"/>
              <w:marBottom w:val="0"/>
              <w:divBdr>
                <w:top w:val="none" w:sz="0" w:space="0" w:color="auto"/>
                <w:left w:val="none" w:sz="0" w:space="0" w:color="auto"/>
                <w:bottom w:val="none" w:sz="0" w:space="0" w:color="auto"/>
                <w:right w:val="none" w:sz="0" w:space="0" w:color="auto"/>
              </w:divBdr>
            </w:div>
            <w:div w:id="889220583">
              <w:marLeft w:val="0"/>
              <w:marRight w:val="0"/>
              <w:marTop w:val="0"/>
              <w:marBottom w:val="0"/>
              <w:divBdr>
                <w:top w:val="none" w:sz="0" w:space="0" w:color="auto"/>
                <w:left w:val="none" w:sz="0" w:space="0" w:color="auto"/>
                <w:bottom w:val="none" w:sz="0" w:space="0" w:color="auto"/>
                <w:right w:val="none" w:sz="0" w:space="0" w:color="auto"/>
              </w:divBdr>
            </w:div>
            <w:div w:id="940065204">
              <w:marLeft w:val="0"/>
              <w:marRight w:val="0"/>
              <w:marTop w:val="0"/>
              <w:marBottom w:val="0"/>
              <w:divBdr>
                <w:top w:val="none" w:sz="0" w:space="0" w:color="auto"/>
                <w:left w:val="none" w:sz="0" w:space="0" w:color="auto"/>
                <w:bottom w:val="none" w:sz="0" w:space="0" w:color="auto"/>
                <w:right w:val="none" w:sz="0" w:space="0" w:color="auto"/>
              </w:divBdr>
            </w:div>
            <w:div w:id="963006315">
              <w:marLeft w:val="0"/>
              <w:marRight w:val="0"/>
              <w:marTop w:val="0"/>
              <w:marBottom w:val="0"/>
              <w:divBdr>
                <w:top w:val="none" w:sz="0" w:space="0" w:color="auto"/>
                <w:left w:val="none" w:sz="0" w:space="0" w:color="auto"/>
                <w:bottom w:val="none" w:sz="0" w:space="0" w:color="auto"/>
                <w:right w:val="none" w:sz="0" w:space="0" w:color="auto"/>
              </w:divBdr>
            </w:div>
            <w:div w:id="1015040407">
              <w:marLeft w:val="0"/>
              <w:marRight w:val="0"/>
              <w:marTop w:val="0"/>
              <w:marBottom w:val="0"/>
              <w:divBdr>
                <w:top w:val="none" w:sz="0" w:space="0" w:color="auto"/>
                <w:left w:val="none" w:sz="0" w:space="0" w:color="auto"/>
                <w:bottom w:val="none" w:sz="0" w:space="0" w:color="auto"/>
                <w:right w:val="none" w:sz="0" w:space="0" w:color="auto"/>
              </w:divBdr>
            </w:div>
            <w:div w:id="1049919437">
              <w:marLeft w:val="0"/>
              <w:marRight w:val="0"/>
              <w:marTop w:val="0"/>
              <w:marBottom w:val="0"/>
              <w:divBdr>
                <w:top w:val="none" w:sz="0" w:space="0" w:color="auto"/>
                <w:left w:val="none" w:sz="0" w:space="0" w:color="auto"/>
                <w:bottom w:val="none" w:sz="0" w:space="0" w:color="auto"/>
                <w:right w:val="none" w:sz="0" w:space="0" w:color="auto"/>
              </w:divBdr>
            </w:div>
            <w:div w:id="1062680020">
              <w:marLeft w:val="0"/>
              <w:marRight w:val="0"/>
              <w:marTop w:val="0"/>
              <w:marBottom w:val="0"/>
              <w:divBdr>
                <w:top w:val="none" w:sz="0" w:space="0" w:color="auto"/>
                <w:left w:val="none" w:sz="0" w:space="0" w:color="auto"/>
                <w:bottom w:val="none" w:sz="0" w:space="0" w:color="auto"/>
                <w:right w:val="none" w:sz="0" w:space="0" w:color="auto"/>
              </w:divBdr>
            </w:div>
            <w:div w:id="1087730023">
              <w:marLeft w:val="0"/>
              <w:marRight w:val="0"/>
              <w:marTop w:val="0"/>
              <w:marBottom w:val="0"/>
              <w:divBdr>
                <w:top w:val="none" w:sz="0" w:space="0" w:color="auto"/>
                <w:left w:val="none" w:sz="0" w:space="0" w:color="auto"/>
                <w:bottom w:val="none" w:sz="0" w:space="0" w:color="auto"/>
                <w:right w:val="none" w:sz="0" w:space="0" w:color="auto"/>
              </w:divBdr>
            </w:div>
            <w:div w:id="1159538491">
              <w:marLeft w:val="0"/>
              <w:marRight w:val="0"/>
              <w:marTop w:val="0"/>
              <w:marBottom w:val="0"/>
              <w:divBdr>
                <w:top w:val="none" w:sz="0" w:space="0" w:color="auto"/>
                <w:left w:val="none" w:sz="0" w:space="0" w:color="auto"/>
                <w:bottom w:val="none" w:sz="0" w:space="0" w:color="auto"/>
                <w:right w:val="none" w:sz="0" w:space="0" w:color="auto"/>
              </w:divBdr>
            </w:div>
            <w:div w:id="1169441130">
              <w:marLeft w:val="0"/>
              <w:marRight w:val="0"/>
              <w:marTop w:val="0"/>
              <w:marBottom w:val="0"/>
              <w:divBdr>
                <w:top w:val="none" w:sz="0" w:space="0" w:color="auto"/>
                <w:left w:val="none" w:sz="0" w:space="0" w:color="auto"/>
                <w:bottom w:val="none" w:sz="0" w:space="0" w:color="auto"/>
                <w:right w:val="none" w:sz="0" w:space="0" w:color="auto"/>
              </w:divBdr>
            </w:div>
            <w:div w:id="1171214174">
              <w:marLeft w:val="0"/>
              <w:marRight w:val="0"/>
              <w:marTop w:val="0"/>
              <w:marBottom w:val="0"/>
              <w:divBdr>
                <w:top w:val="none" w:sz="0" w:space="0" w:color="auto"/>
                <w:left w:val="none" w:sz="0" w:space="0" w:color="auto"/>
                <w:bottom w:val="none" w:sz="0" w:space="0" w:color="auto"/>
                <w:right w:val="none" w:sz="0" w:space="0" w:color="auto"/>
              </w:divBdr>
            </w:div>
            <w:div w:id="1276212998">
              <w:marLeft w:val="0"/>
              <w:marRight w:val="0"/>
              <w:marTop w:val="0"/>
              <w:marBottom w:val="0"/>
              <w:divBdr>
                <w:top w:val="none" w:sz="0" w:space="0" w:color="auto"/>
                <w:left w:val="none" w:sz="0" w:space="0" w:color="auto"/>
                <w:bottom w:val="none" w:sz="0" w:space="0" w:color="auto"/>
                <w:right w:val="none" w:sz="0" w:space="0" w:color="auto"/>
              </w:divBdr>
            </w:div>
            <w:div w:id="1285230400">
              <w:marLeft w:val="0"/>
              <w:marRight w:val="0"/>
              <w:marTop w:val="0"/>
              <w:marBottom w:val="0"/>
              <w:divBdr>
                <w:top w:val="none" w:sz="0" w:space="0" w:color="auto"/>
                <w:left w:val="none" w:sz="0" w:space="0" w:color="auto"/>
                <w:bottom w:val="none" w:sz="0" w:space="0" w:color="auto"/>
                <w:right w:val="none" w:sz="0" w:space="0" w:color="auto"/>
              </w:divBdr>
            </w:div>
            <w:div w:id="1298342457">
              <w:marLeft w:val="0"/>
              <w:marRight w:val="0"/>
              <w:marTop w:val="0"/>
              <w:marBottom w:val="0"/>
              <w:divBdr>
                <w:top w:val="none" w:sz="0" w:space="0" w:color="auto"/>
                <w:left w:val="none" w:sz="0" w:space="0" w:color="auto"/>
                <w:bottom w:val="none" w:sz="0" w:space="0" w:color="auto"/>
                <w:right w:val="none" w:sz="0" w:space="0" w:color="auto"/>
              </w:divBdr>
            </w:div>
            <w:div w:id="1377239936">
              <w:marLeft w:val="0"/>
              <w:marRight w:val="0"/>
              <w:marTop w:val="0"/>
              <w:marBottom w:val="0"/>
              <w:divBdr>
                <w:top w:val="none" w:sz="0" w:space="0" w:color="auto"/>
                <w:left w:val="none" w:sz="0" w:space="0" w:color="auto"/>
                <w:bottom w:val="none" w:sz="0" w:space="0" w:color="auto"/>
                <w:right w:val="none" w:sz="0" w:space="0" w:color="auto"/>
              </w:divBdr>
            </w:div>
            <w:div w:id="1380781851">
              <w:marLeft w:val="0"/>
              <w:marRight w:val="0"/>
              <w:marTop w:val="0"/>
              <w:marBottom w:val="0"/>
              <w:divBdr>
                <w:top w:val="none" w:sz="0" w:space="0" w:color="auto"/>
                <w:left w:val="none" w:sz="0" w:space="0" w:color="auto"/>
                <w:bottom w:val="none" w:sz="0" w:space="0" w:color="auto"/>
                <w:right w:val="none" w:sz="0" w:space="0" w:color="auto"/>
              </w:divBdr>
            </w:div>
            <w:div w:id="1417089125">
              <w:marLeft w:val="0"/>
              <w:marRight w:val="0"/>
              <w:marTop w:val="0"/>
              <w:marBottom w:val="0"/>
              <w:divBdr>
                <w:top w:val="none" w:sz="0" w:space="0" w:color="auto"/>
                <w:left w:val="none" w:sz="0" w:space="0" w:color="auto"/>
                <w:bottom w:val="none" w:sz="0" w:space="0" w:color="auto"/>
                <w:right w:val="none" w:sz="0" w:space="0" w:color="auto"/>
              </w:divBdr>
            </w:div>
            <w:div w:id="1427651868">
              <w:marLeft w:val="0"/>
              <w:marRight w:val="0"/>
              <w:marTop w:val="0"/>
              <w:marBottom w:val="0"/>
              <w:divBdr>
                <w:top w:val="none" w:sz="0" w:space="0" w:color="auto"/>
                <w:left w:val="none" w:sz="0" w:space="0" w:color="auto"/>
                <w:bottom w:val="none" w:sz="0" w:space="0" w:color="auto"/>
                <w:right w:val="none" w:sz="0" w:space="0" w:color="auto"/>
              </w:divBdr>
            </w:div>
            <w:div w:id="1484463731">
              <w:marLeft w:val="0"/>
              <w:marRight w:val="0"/>
              <w:marTop w:val="0"/>
              <w:marBottom w:val="0"/>
              <w:divBdr>
                <w:top w:val="none" w:sz="0" w:space="0" w:color="auto"/>
                <w:left w:val="none" w:sz="0" w:space="0" w:color="auto"/>
                <w:bottom w:val="none" w:sz="0" w:space="0" w:color="auto"/>
                <w:right w:val="none" w:sz="0" w:space="0" w:color="auto"/>
              </w:divBdr>
            </w:div>
            <w:div w:id="1530023808">
              <w:marLeft w:val="0"/>
              <w:marRight w:val="0"/>
              <w:marTop w:val="0"/>
              <w:marBottom w:val="0"/>
              <w:divBdr>
                <w:top w:val="none" w:sz="0" w:space="0" w:color="auto"/>
                <w:left w:val="none" w:sz="0" w:space="0" w:color="auto"/>
                <w:bottom w:val="none" w:sz="0" w:space="0" w:color="auto"/>
                <w:right w:val="none" w:sz="0" w:space="0" w:color="auto"/>
              </w:divBdr>
            </w:div>
            <w:div w:id="1542086915">
              <w:marLeft w:val="0"/>
              <w:marRight w:val="0"/>
              <w:marTop w:val="0"/>
              <w:marBottom w:val="0"/>
              <w:divBdr>
                <w:top w:val="none" w:sz="0" w:space="0" w:color="auto"/>
                <w:left w:val="none" w:sz="0" w:space="0" w:color="auto"/>
                <w:bottom w:val="none" w:sz="0" w:space="0" w:color="auto"/>
                <w:right w:val="none" w:sz="0" w:space="0" w:color="auto"/>
              </w:divBdr>
            </w:div>
            <w:div w:id="1549418717">
              <w:marLeft w:val="0"/>
              <w:marRight w:val="0"/>
              <w:marTop w:val="0"/>
              <w:marBottom w:val="0"/>
              <w:divBdr>
                <w:top w:val="none" w:sz="0" w:space="0" w:color="auto"/>
                <w:left w:val="none" w:sz="0" w:space="0" w:color="auto"/>
                <w:bottom w:val="none" w:sz="0" w:space="0" w:color="auto"/>
                <w:right w:val="none" w:sz="0" w:space="0" w:color="auto"/>
              </w:divBdr>
            </w:div>
            <w:div w:id="1571380775">
              <w:marLeft w:val="0"/>
              <w:marRight w:val="0"/>
              <w:marTop w:val="0"/>
              <w:marBottom w:val="0"/>
              <w:divBdr>
                <w:top w:val="none" w:sz="0" w:space="0" w:color="auto"/>
                <w:left w:val="none" w:sz="0" w:space="0" w:color="auto"/>
                <w:bottom w:val="none" w:sz="0" w:space="0" w:color="auto"/>
                <w:right w:val="none" w:sz="0" w:space="0" w:color="auto"/>
              </w:divBdr>
            </w:div>
            <w:div w:id="1610971278">
              <w:marLeft w:val="0"/>
              <w:marRight w:val="0"/>
              <w:marTop w:val="0"/>
              <w:marBottom w:val="0"/>
              <w:divBdr>
                <w:top w:val="none" w:sz="0" w:space="0" w:color="auto"/>
                <w:left w:val="none" w:sz="0" w:space="0" w:color="auto"/>
                <w:bottom w:val="none" w:sz="0" w:space="0" w:color="auto"/>
                <w:right w:val="none" w:sz="0" w:space="0" w:color="auto"/>
              </w:divBdr>
            </w:div>
            <w:div w:id="1611937155">
              <w:marLeft w:val="0"/>
              <w:marRight w:val="0"/>
              <w:marTop w:val="0"/>
              <w:marBottom w:val="0"/>
              <w:divBdr>
                <w:top w:val="none" w:sz="0" w:space="0" w:color="auto"/>
                <w:left w:val="none" w:sz="0" w:space="0" w:color="auto"/>
                <w:bottom w:val="none" w:sz="0" w:space="0" w:color="auto"/>
                <w:right w:val="none" w:sz="0" w:space="0" w:color="auto"/>
              </w:divBdr>
            </w:div>
            <w:div w:id="1656908953">
              <w:marLeft w:val="0"/>
              <w:marRight w:val="0"/>
              <w:marTop w:val="0"/>
              <w:marBottom w:val="0"/>
              <w:divBdr>
                <w:top w:val="none" w:sz="0" w:space="0" w:color="auto"/>
                <w:left w:val="none" w:sz="0" w:space="0" w:color="auto"/>
                <w:bottom w:val="none" w:sz="0" w:space="0" w:color="auto"/>
                <w:right w:val="none" w:sz="0" w:space="0" w:color="auto"/>
              </w:divBdr>
            </w:div>
            <w:div w:id="1695421400">
              <w:marLeft w:val="0"/>
              <w:marRight w:val="0"/>
              <w:marTop w:val="0"/>
              <w:marBottom w:val="0"/>
              <w:divBdr>
                <w:top w:val="none" w:sz="0" w:space="0" w:color="auto"/>
                <w:left w:val="none" w:sz="0" w:space="0" w:color="auto"/>
                <w:bottom w:val="none" w:sz="0" w:space="0" w:color="auto"/>
                <w:right w:val="none" w:sz="0" w:space="0" w:color="auto"/>
              </w:divBdr>
            </w:div>
            <w:div w:id="1695495517">
              <w:marLeft w:val="0"/>
              <w:marRight w:val="0"/>
              <w:marTop w:val="0"/>
              <w:marBottom w:val="0"/>
              <w:divBdr>
                <w:top w:val="none" w:sz="0" w:space="0" w:color="auto"/>
                <w:left w:val="none" w:sz="0" w:space="0" w:color="auto"/>
                <w:bottom w:val="none" w:sz="0" w:space="0" w:color="auto"/>
                <w:right w:val="none" w:sz="0" w:space="0" w:color="auto"/>
              </w:divBdr>
            </w:div>
            <w:div w:id="1719208660">
              <w:marLeft w:val="0"/>
              <w:marRight w:val="0"/>
              <w:marTop w:val="0"/>
              <w:marBottom w:val="0"/>
              <w:divBdr>
                <w:top w:val="none" w:sz="0" w:space="0" w:color="auto"/>
                <w:left w:val="none" w:sz="0" w:space="0" w:color="auto"/>
                <w:bottom w:val="none" w:sz="0" w:space="0" w:color="auto"/>
                <w:right w:val="none" w:sz="0" w:space="0" w:color="auto"/>
              </w:divBdr>
            </w:div>
            <w:div w:id="1719628096">
              <w:marLeft w:val="0"/>
              <w:marRight w:val="0"/>
              <w:marTop w:val="0"/>
              <w:marBottom w:val="0"/>
              <w:divBdr>
                <w:top w:val="none" w:sz="0" w:space="0" w:color="auto"/>
                <w:left w:val="none" w:sz="0" w:space="0" w:color="auto"/>
                <w:bottom w:val="none" w:sz="0" w:space="0" w:color="auto"/>
                <w:right w:val="none" w:sz="0" w:space="0" w:color="auto"/>
              </w:divBdr>
            </w:div>
            <w:div w:id="1840077785">
              <w:marLeft w:val="0"/>
              <w:marRight w:val="0"/>
              <w:marTop w:val="0"/>
              <w:marBottom w:val="0"/>
              <w:divBdr>
                <w:top w:val="none" w:sz="0" w:space="0" w:color="auto"/>
                <w:left w:val="none" w:sz="0" w:space="0" w:color="auto"/>
                <w:bottom w:val="none" w:sz="0" w:space="0" w:color="auto"/>
                <w:right w:val="none" w:sz="0" w:space="0" w:color="auto"/>
              </w:divBdr>
            </w:div>
            <w:div w:id="1884051725">
              <w:marLeft w:val="0"/>
              <w:marRight w:val="0"/>
              <w:marTop w:val="0"/>
              <w:marBottom w:val="0"/>
              <w:divBdr>
                <w:top w:val="none" w:sz="0" w:space="0" w:color="auto"/>
                <w:left w:val="none" w:sz="0" w:space="0" w:color="auto"/>
                <w:bottom w:val="none" w:sz="0" w:space="0" w:color="auto"/>
                <w:right w:val="none" w:sz="0" w:space="0" w:color="auto"/>
              </w:divBdr>
            </w:div>
            <w:div w:id="1894928135">
              <w:marLeft w:val="0"/>
              <w:marRight w:val="0"/>
              <w:marTop w:val="0"/>
              <w:marBottom w:val="0"/>
              <w:divBdr>
                <w:top w:val="none" w:sz="0" w:space="0" w:color="auto"/>
                <w:left w:val="none" w:sz="0" w:space="0" w:color="auto"/>
                <w:bottom w:val="none" w:sz="0" w:space="0" w:color="auto"/>
                <w:right w:val="none" w:sz="0" w:space="0" w:color="auto"/>
              </w:divBdr>
            </w:div>
            <w:div w:id="1926645736">
              <w:marLeft w:val="0"/>
              <w:marRight w:val="0"/>
              <w:marTop w:val="0"/>
              <w:marBottom w:val="0"/>
              <w:divBdr>
                <w:top w:val="none" w:sz="0" w:space="0" w:color="auto"/>
                <w:left w:val="none" w:sz="0" w:space="0" w:color="auto"/>
                <w:bottom w:val="none" w:sz="0" w:space="0" w:color="auto"/>
                <w:right w:val="none" w:sz="0" w:space="0" w:color="auto"/>
              </w:divBdr>
            </w:div>
            <w:div w:id="1950314794">
              <w:marLeft w:val="0"/>
              <w:marRight w:val="0"/>
              <w:marTop w:val="0"/>
              <w:marBottom w:val="0"/>
              <w:divBdr>
                <w:top w:val="none" w:sz="0" w:space="0" w:color="auto"/>
                <w:left w:val="none" w:sz="0" w:space="0" w:color="auto"/>
                <w:bottom w:val="none" w:sz="0" w:space="0" w:color="auto"/>
                <w:right w:val="none" w:sz="0" w:space="0" w:color="auto"/>
              </w:divBdr>
            </w:div>
            <w:div w:id="1957449149">
              <w:marLeft w:val="0"/>
              <w:marRight w:val="0"/>
              <w:marTop w:val="0"/>
              <w:marBottom w:val="0"/>
              <w:divBdr>
                <w:top w:val="none" w:sz="0" w:space="0" w:color="auto"/>
                <w:left w:val="none" w:sz="0" w:space="0" w:color="auto"/>
                <w:bottom w:val="none" w:sz="0" w:space="0" w:color="auto"/>
                <w:right w:val="none" w:sz="0" w:space="0" w:color="auto"/>
              </w:divBdr>
            </w:div>
            <w:div w:id="2068142584">
              <w:marLeft w:val="0"/>
              <w:marRight w:val="0"/>
              <w:marTop w:val="0"/>
              <w:marBottom w:val="0"/>
              <w:divBdr>
                <w:top w:val="none" w:sz="0" w:space="0" w:color="auto"/>
                <w:left w:val="none" w:sz="0" w:space="0" w:color="auto"/>
                <w:bottom w:val="none" w:sz="0" w:space="0" w:color="auto"/>
                <w:right w:val="none" w:sz="0" w:space="0" w:color="auto"/>
              </w:divBdr>
            </w:div>
            <w:div w:id="2130195220">
              <w:marLeft w:val="0"/>
              <w:marRight w:val="0"/>
              <w:marTop w:val="0"/>
              <w:marBottom w:val="0"/>
              <w:divBdr>
                <w:top w:val="none" w:sz="0" w:space="0" w:color="auto"/>
                <w:left w:val="none" w:sz="0" w:space="0" w:color="auto"/>
                <w:bottom w:val="none" w:sz="0" w:space="0" w:color="auto"/>
                <w:right w:val="none" w:sz="0" w:space="0" w:color="auto"/>
              </w:divBdr>
            </w:div>
            <w:div w:id="21412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91257">
      <w:bodyDiv w:val="1"/>
      <w:marLeft w:val="0"/>
      <w:marRight w:val="0"/>
      <w:marTop w:val="0"/>
      <w:marBottom w:val="0"/>
      <w:divBdr>
        <w:top w:val="none" w:sz="0" w:space="0" w:color="auto"/>
        <w:left w:val="none" w:sz="0" w:space="0" w:color="auto"/>
        <w:bottom w:val="none" w:sz="0" w:space="0" w:color="auto"/>
        <w:right w:val="none" w:sz="0" w:space="0" w:color="auto"/>
      </w:divBdr>
      <w:divsChild>
        <w:div w:id="47537510">
          <w:marLeft w:val="562"/>
          <w:marRight w:val="0"/>
          <w:marTop w:val="0"/>
          <w:marBottom w:val="0"/>
          <w:divBdr>
            <w:top w:val="none" w:sz="0" w:space="0" w:color="auto"/>
            <w:left w:val="none" w:sz="0" w:space="0" w:color="auto"/>
            <w:bottom w:val="none" w:sz="0" w:space="0" w:color="auto"/>
            <w:right w:val="none" w:sz="0" w:space="0" w:color="auto"/>
          </w:divBdr>
        </w:div>
        <w:div w:id="295262748">
          <w:marLeft w:val="562"/>
          <w:marRight w:val="0"/>
          <w:marTop w:val="0"/>
          <w:marBottom w:val="0"/>
          <w:divBdr>
            <w:top w:val="none" w:sz="0" w:space="0" w:color="auto"/>
            <w:left w:val="none" w:sz="0" w:space="0" w:color="auto"/>
            <w:bottom w:val="none" w:sz="0" w:space="0" w:color="auto"/>
            <w:right w:val="none" w:sz="0" w:space="0" w:color="auto"/>
          </w:divBdr>
        </w:div>
        <w:div w:id="374428412">
          <w:marLeft w:val="562"/>
          <w:marRight w:val="0"/>
          <w:marTop w:val="0"/>
          <w:marBottom w:val="0"/>
          <w:divBdr>
            <w:top w:val="none" w:sz="0" w:space="0" w:color="auto"/>
            <w:left w:val="none" w:sz="0" w:space="0" w:color="auto"/>
            <w:bottom w:val="none" w:sz="0" w:space="0" w:color="auto"/>
            <w:right w:val="none" w:sz="0" w:space="0" w:color="auto"/>
          </w:divBdr>
        </w:div>
        <w:div w:id="712773679">
          <w:marLeft w:val="562"/>
          <w:marRight w:val="0"/>
          <w:marTop w:val="0"/>
          <w:marBottom w:val="0"/>
          <w:divBdr>
            <w:top w:val="none" w:sz="0" w:space="0" w:color="auto"/>
            <w:left w:val="none" w:sz="0" w:space="0" w:color="auto"/>
            <w:bottom w:val="none" w:sz="0" w:space="0" w:color="auto"/>
            <w:right w:val="none" w:sz="0" w:space="0" w:color="auto"/>
          </w:divBdr>
        </w:div>
        <w:div w:id="1220748113">
          <w:marLeft w:val="562"/>
          <w:marRight w:val="0"/>
          <w:marTop w:val="0"/>
          <w:marBottom w:val="0"/>
          <w:divBdr>
            <w:top w:val="none" w:sz="0" w:space="0" w:color="auto"/>
            <w:left w:val="none" w:sz="0" w:space="0" w:color="auto"/>
            <w:bottom w:val="none" w:sz="0" w:space="0" w:color="auto"/>
            <w:right w:val="none" w:sz="0" w:space="0" w:color="auto"/>
          </w:divBdr>
        </w:div>
        <w:div w:id="1349982962">
          <w:marLeft w:val="562"/>
          <w:marRight w:val="0"/>
          <w:marTop w:val="0"/>
          <w:marBottom w:val="0"/>
          <w:divBdr>
            <w:top w:val="none" w:sz="0" w:space="0" w:color="auto"/>
            <w:left w:val="none" w:sz="0" w:space="0" w:color="auto"/>
            <w:bottom w:val="none" w:sz="0" w:space="0" w:color="auto"/>
            <w:right w:val="none" w:sz="0" w:space="0" w:color="auto"/>
          </w:divBdr>
        </w:div>
      </w:divsChild>
    </w:div>
    <w:div w:id="1046415602">
      <w:bodyDiv w:val="1"/>
      <w:marLeft w:val="0"/>
      <w:marRight w:val="0"/>
      <w:marTop w:val="0"/>
      <w:marBottom w:val="0"/>
      <w:divBdr>
        <w:top w:val="none" w:sz="0" w:space="0" w:color="auto"/>
        <w:left w:val="none" w:sz="0" w:space="0" w:color="auto"/>
        <w:bottom w:val="none" w:sz="0" w:space="0" w:color="auto"/>
        <w:right w:val="none" w:sz="0" w:space="0" w:color="auto"/>
      </w:divBdr>
    </w:div>
    <w:div w:id="1224027857">
      <w:bodyDiv w:val="1"/>
      <w:marLeft w:val="0"/>
      <w:marRight w:val="0"/>
      <w:marTop w:val="0"/>
      <w:marBottom w:val="0"/>
      <w:divBdr>
        <w:top w:val="none" w:sz="0" w:space="0" w:color="auto"/>
        <w:left w:val="none" w:sz="0" w:space="0" w:color="auto"/>
        <w:bottom w:val="none" w:sz="0" w:space="0" w:color="auto"/>
        <w:right w:val="none" w:sz="0" w:space="0" w:color="auto"/>
      </w:divBdr>
    </w:div>
    <w:div w:id="1320770885">
      <w:bodyDiv w:val="1"/>
      <w:marLeft w:val="0"/>
      <w:marRight w:val="0"/>
      <w:marTop w:val="0"/>
      <w:marBottom w:val="0"/>
      <w:divBdr>
        <w:top w:val="none" w:sz="0" w:space="0" w:color="auto"/>
        <w:left w:val="none" w:sz="0" w:space="0" w:color="auto"/>
        <w:bottom w:val="none" w:sz="0" w:space="0" w:color="auto"/>
        <w:right w:val="none" w:sz="0" w:space="0" w:color="auto"/>
      </w:divBdr>
    </w:div>
    <w:div w:id="1331786577">
      <w:bodyDiv w:val="1"/>
      <w:marLeft w:val="0"/>
      <w:marRight w:val="0"/>
      <w:marTop w:val="0"/>
      <w:marBottom w:val="0"/>
      <w:divBdr>
        <w:top w:val="none" w:sz="0" w:space="0" w:color="auto"/>
        <w:left w:val="none" w:sz="0" w:space="0" w:color="auto"/>
        <w:bottom w:val="none" w:sz="0" w:space="0" w:color="auto"/>
        <w:right w:val="none" w:sz="0" w:space="0" w:color="auto"/>
      </w:divBdr>
    </w:div>
    <w:div w:id="1337802516">
      <w:bodyDiv w:val="1"/>
      <w:marLeft w:val="0"/>
      <w:marRight w:val="0"/>
      <w:marTop w:val="0"/>
      <w:marBottom w:val="0"/>
      <w:divBdr>
        <w:top w:val="none" w:sz="0" w:space="0" w:color="auto"/>
        <w:left w:val="none" w:sz="0" w:space="0" w:color="auto"/>
        <w:bottom w:val="none" w:sz="0" w:space="0" w:color="auto"/>
        <w:right w:val="none" w:sz="0" w:space="0" w:color="auto"/>
      </w:divBdr>
    </w:div>
    <w:div w:id="1546525217">
      <w:bodyDiv w:val="1"/>
      <w:marLeft w:val="0"/>
      <w:marRight w:val="0"/>
      <w:marTop w:val="0"/>
      <w:marBottom w:val="0"/>
      <w:divBdr>
        <w:top w:val="none" w:sz="0" w:space="0" w:color="auto"/>
        <w:left w:val="none" w:sz="0" w:space="0" w:color="auto"/>
        <w:bottom w:val="none" w:sz="0" w:space="0" w:color="auto"/>
        <w:right w:val="none" w:sz="0" w:space="0" w:color="auto"/>
      </w:divBdr>
    </w:div>
    <w:div w:id="1576354805">
      <w:bodyDiv w:val="1"/>
      <w:marLeft w:val="0"/>
      <w:marRight w:val="0"/>
      <w:marTop w:val="0"/>
      <w:marBottom w:val="0"/>
      <w:divBdr>
        <w:top w:val="none" w:sz="0" w:space="0" w:color="auto"/>
        <w:left w:val="none" w:sz="0" w:space="0" w:color="auto"/>
        <w:bottom w:val="none" w:sz="0" w:space="0" w:color="auto"/>
        <w:right w:val="none" w:sz="0" w:space="0" w:color="auto"/>
      </w:divBdr>
    </w:div>
    <w:div w:id="1605965241">
      <w:bodyDiv w:val="1"/>
      <w:marLeft w:val="0"/>
      <w:marRight w:val="0"/>
      <w:marTop w:val="0"/>
      <w:marBottom w:val="0"/>
      <w:divBdr>
        <w:top w:val="none" w:sz="0" w:space="0" w:color="auto"/>
        <w:left w:val="none" w:sz="0" w:space="0" w:color="auto"/>
        <w:bottom w:val="none" w:sz="0" w:space="0" w:color="auto"/>
        <w:right w:val="none" w:sz="0" w:space="0" w:color="auto"/>
      </w:divBdr>
    </w:div>
    <w:div w:id="1628049149">
      <w:bodyDiv w:val="1"/>
      <w:marLeft w:val="0"/>
      <w:marRight w:val="0"/>
      <w:marTop w:val="0"/>
      <w:marBottom w:val="0"/>
      <w:divBdr>
        <w:top w:val="none" w:sz="0" w:space="0" w:color="auto"/>
        <w:left w:val="none" w:sz="0" w:space="0" w:color="auto"/>
        <w:bottom w:val="none" w:sz="0" w:space="0" w:color="auto"/>
        <w:right w:val="none" w:sz="0" w:space="0" w:color="auto"/>
      </w:divBdr>
    </w:div>
    <w:div w:id="1925916991">
      <w:bodyDiv w:val="1"/>
      <w:marLeft w:val="0"/>
      <w:marRight w:val="0"/>
      <w:marTop w:val="0"/>
      <w:marBottom w:val="0"/>
      <w:divBdr>
        <w:top w:val="none" w:sz="0" w:space="0" w:color="auto"/>
        <w:left w:val="none" w:sz="0" w:space="0" w:color="auto"/>
        <w:bottom w:val="none" w:sz="0" w:space="0" w:color="auto"/>
        <w:right w:val="none" w:sz="0" w:space="0" w:color="auto"/>
      </w:divBdr>
    </w:div>
    <w:div w:id="1942831128">
      <w:bodyDiv w:val="1"/>
      <w:marLeft w:val="0"/>
      <w:marRight w:val="0"/>
      <w:marTop w:val="0"/>
      <w:marBottom w:val="0"/>
      <w:divBdr>
        <w:top w:val="none" w:sz="0" w:space="0" w:color="auto"/>
        <w:left w:val="none" w:sz="0" w:space="0" w:color="auto"/>
        <w:bottom w:val="none" w:sz="0" w:space="0" w:color="auto"/>
        <w:right w:val="none" w:sz="0" w:space="0" w:color="auto"/>
      </w:divBdr>
    </w:div>
    <w:div w:id="1958680589">
      <w:bodyDiv w:val="1"/>
      <w:marLeft w:val="0"/>
      <w:marRight w:val="0"/>
      <w:marTop w:val="0"/>
      <w:marBottom w:val="0"/>
      <w:divBdr>
        <w:top w:val="none" w:sz="0" w:space="0" w:color="auto"/>
        <w:left w:val="none" w:sz="0" w:space="0" w:color="auto"/>
        <w:bottom w:val="none" w:sz="0" w:space="0" w:color="auto"/>
        <w:right w:val="none" w:sz="0" w:space="0" w:color="auto"/>
      </w:divBdr>
    </w:div>
    <w:div w:id="19932198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fence-industry-space.ec.europa.eu/document/download/30b50d2c-49aa-4250-9ca6-27a0347cf009_en?filename=White%20Paper.pdf" TargetMode="Externa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chart" Target="charts/chart7.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bank.lv" TargetMode="External"/><Relationship Id="rId2" Type="http://schemas.openxmlformats.org/officeDocument/2006/relationships/hyperlink" Target="http://www.manapensija.lv" TargetMode="External"/><Relationship Id="rId1" Type="http://schemas.openxmlformats.org/officeDocument/2006/relationships/hyperlink" Target="https://www.fm.gov.lv/lv/informativais-zinojums-par-latvijas-kapitala-tirgus-talaku-attistibu?utm_source=https%3A%2F%2Fwww.google.com%2F" TargetMode="External"/><Relationship Id="rId5" Type="http://schemas.openxmlformats.org/officeDocument/2006/relationships/hyperlink" Target="https://tapportals.mk.gov.lv/meetings/protocols/463eb5ed-c47b-4553-8ef6-ac549719161e" TargetMode="External"/><Relationship Id="rId4" Type="http://schemas.openxmlformats.org/officeDocument/2006/relationships/hyperlink" Target="https://eur-lex.europa.eu/legal-content/LV/TXT/HTML/?uri=CELEX:52025PC082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ftpd\FTPD\Aija%20Zitcere\kapitala%20tirgus\zinojums%20apr%202025\3_limen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k\ftpd\FTPD\Aija%20Zitcere\kapitala%20tirgus\zinojums%20apr%202025\3_limen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5.att. Baltijas korporatīvo</a:t>
            </a:r>
            <a:r>
              <a:rPr lang="lv-LV" sz="1200" b="1" baseline="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obligāciju </a:t>
            </a:r>
            <a:r>
              <a:rPr lang="lv-LV" sz="12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kapitalizācija (mljrd.</a:t>
            </a:r>
            <a:r>
              <a:rPr lang="lv-LV" sz="1200" b="1" baseline="0"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EUR)</a:t>
            </a:r>
            <a:r>
              <a:rPr lang="lv-LV" sz="1200" b="1" dirty="0">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5.0091018702033495E-2"/>
          <c:y val="0.11961864642490505"/>
          <c:w val="0.86974738589416933"/>
          <c:h val="0.68900352983417867"/>
        </c:manualLayout>
      </c:layout>
      <c:barChart>
        <c:barDir val="col"/>
        <c:grouping val="clustered"/>
        <c:varyColors val="0"/>
        <c:ser>
          <c:idx val="0"/>
          <c:order val="0"/>
          <c:tx>
            <c:strRef>
              <c:f>'Baltija kapitalizācija'!$B$15</c:f>
              <c:strCache>
                <c:ptCount val="1"/>
                <c:pt idx="0">
                  <c:v>LV</c:v>
                </c:pt>
              </c:strCache>
            </c:strRef>
          </c:tx>
          <c:spPr>
            <a:solidFill>
              <a:srgbClr val="C00000"/>
            </a:solidFill>
            <a:ln>
              <a:noFill/>
            </a:ln>
            <a:effectLst/>
          </c:spPr>
          <c:invertIfNegative val="0"/>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kapitalizācija'!$C$15:$I$15</c:f>
              <c:numCache>
                <c:formatCode>#,##0</c:formatCode>
                <c:ptCount val="7"/>
                <c:pt idx="0">
                  <c:v>719118447.50591993</c:v>
                </c:pt>
                <c:pt idx="1">
                  <c:v>309414056.02452099</c:v>
                </c:pt>
                <c:pt idx="2">
                  <c:v>704944297.95748997</c:v>
                </c:pt>
                <c:pt idx="3">
                  <c:v>711638779.89969504</c:v>
                </c:pt>
                <c:pt idx="4">
                  <c:v>998954118.26379991</c:v>
                </c:pt>
                <c:pt idx="5">
                  <c:v>1395379713.5662</c:v>
                </c:pt>
                <c:pt idx="6">
                  <c:v>1797497130.28</c:v>
                </c:pt>
              </c:numCache>
            </c:numRef>
          </c:val>
          <c:extLst>
            <c:ext xmlns:c16="http://schemas.microsoft.com/office/drawing/2014/chart" uri="{C3380CC4-5D6E-409C-BE32-E72D297353CC}">
              <c16:uniqueId val="{00000000-1CDE-4534-9AB2-D104D3146FF0}"/>
            </c:ext>
          </c:extLst>
        </c:ser>
        <c:ser>
          <c:idx val="1"/>
          <c:order val="1"/>
          <c:tx>
            <c:strRef>
              <c:f>'Baltija kapitalizācija'!$B$16</c:f>
              <c:strCache>
                <c:ptCount val="1"/>
                <c:pt idx="0">
                  <c:v>LT</c:v>
                </c:pt>
              </c:strCache>
            </c:strRef>
          </c:tx>
          <c:spPr>
            <a:solidFill>
              <a:schemeClr val="accent4"/>
            </a:solidFill>
            <a:ln>
              <a:noFill/>
            </a:ln>
            <a:effectLst/>
          </c:spPr>
          <c:invertIfNegative val="0"/>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kapitalizācija'!$C$16:$I$16</c:f>
              <c:numCache>
                <c:formatCode>#,##0</c:formatCode>
                <c:ptCount val="7"/>
                <c:pt idx="0">
                  <c:v>932255141.84109998</c:v>
                </c:pt>
                <c:pt idx="1">
                  <c:v>1259395662.5316</c:v>
                </c:pt>
                <c:pt idx="2">
                  <c:v>1701806084.8046</c:v>
                </c:pt>
                <c:pt idx="3">
                  <c:v>2018380987.9816</c:v>
                </c:pt>
                <c:pt idx="4">
                  <c:v>2033241322.9811201</c:v>
                </c:pt>
                <c:pt idx="5">
                  <c:v>1983315440.6786301</c:v>
                </c:pt>
                <c:pt idx="6">
                  <c:v>2006502647.75</c:v>
                </c:pt>
              </c:numCache>
            </c:numRef>
          </c:val>
          <c:extLst>
            <c:ext xmlns:c16="http://schemas.microsoft.com/office/drawing/2014/chart" uri="{C3380CC4-5D6E-409C-BE32-E72D297353CC}">
              <c16:uniqueId val="{00000001-1CDE-4534-9AB2-D104D3146FF0}"/>
            </c:ext>
          </c:extLst>
        </c:ser>
        <c:ser>
          <c:idx val="2"/>
          <c:order val="2"/>
          <c:tx>
            <c:strRef>
              <c:f>'Baltija kapitalizācija'!$B$17</c:f>
              <c:strCache>
                <c:ptCount val="1"/>
                <c:pt idx="0">
                  <c:v>EE</c:v>
                </c:pt>
              </c:strCache>
            </c:strRef>
          </c:tx>
          <c:spPr>
            <a:solidFill>
              <a:schemeClr val="accent1"/>
            </a:solidFill>
            <a:ln>
              <a:noFill/>
            </a:ln>
            <a:effectLst/>
          </c:spPr>
          <c:invertIfNegative val="0"/>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kapitalizācija'!$C$17:$I$17</c:f>
              <c:numCache>
                <c:formatCode>#,##0</c:formatCode>
                <c:ptCount val="7"/>
                <c:pt idx="0">
                  <c:v>154898441.139972</c:v>
                </c:pt>
                <c:pt idx="1">
                  <c:v>177292898.89539999</c:v>
                </c:pt>
                <c:pt idx="2">
                  <c:v>302343106.63193405</c:v>
                </c:pt>
                <c:pt idx="3">
                  <c:v>309447858.75992405</c:v>
                </c:pt>
                <c:pt idx="4">
                  <c:v>381408683.60522401</c:v>
                </c:pt>
                <c:pt idx="5">
                  <c:v>401201204.24000001</c:v>
                </c:pt>
                <c:pt idx="6">
                  <c:v>593319616.46000004</c:v>
                </c:pt>
              </c:numCache>
            </c:numRef>
          </c:val>
          <c:extLst>
            <c:ext xmlns:c16="http://schemas.microsoft.com/office/drawing/2014/chart" uri="{C3380CC4-5D6E-409C-BE32-E72D297353CC}">
              <c16:uniqueId val="{00000002-1CDE-4534-9AB2-D104D3146FF0}"/>
            </c:ext>
          </c:extLst>
        </c:ser>
        <c:dLbls>
          <c:showLegendKey val="0"/>
          <c:showVal val="0"/>
          <c:showCatName val="0"/>
          <c:showSerName val="0"/>
          <c:showPercent val="0"/>
          <c:showBubbleSize val="0"/>
        </c:dLbls>
        <c:gapWidth val="219"/>
        <c:axId val="600731120"/>
        <c:axId val="600736400"/>
      </c:barChart>
      <c:lineChart>
        <c:grouping val="standard"/>
        <c:varyColors val="0"/>
        <c:ser>
          <c:idx val="3"/>
          <c:order val="3"/>
          <c:tx>
            <c:strRef>
              <c:f>'Baltija kapitalizācija'!$B$18</c:f>
              <c:strCache>
                <c:ptCount val="1"/>
                <c:pt idx="0">
                  <c:v>Listēto emisiju skaits</c:v>
                </c:pt>
              </c:strCache>
            </c:strRef>
          </c:tx>
          <c:spPr>
            <a:ln w="28575" cap="rnd">
              <a:solidFill>
                <a:schemeClr val="tx2"/>
              </a:solidFill>
              <a:round/>
            </a:ln>
            <a:effectLst/>
          </c:spPr>
          <c:marker>
            <c:symbol val="none"/>
          </c:marker>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'Baltija kapitalizācija'!$C$14:$I$14</c:f>
              <c:numCache>
                <c:formatCode>General</c:formatCode>
                <c:ptCount val="7"/>
                <c:pt idx="0">
                  <c:v>2019</c:v>
                </c:pt>
                <c:pt idx="1">
                  <c:v>2020</c:v>
                </c:pt>
                <c:pt idx="2">
                  <c:v>2021</c:v>
                </c:pt>
                <c:pt idx="3">
                  <c:v>2022</c:v>
                </c:pt>
                <c:pt idx="4" formatCode="0">
                  <c:v>2023</c:v>
                </c:pt>
                <c:pt idx="5" formatCode="0">
                  <c:v>2024</c:v>
                </c:pt>
                <c:pt idx="6">
                  <c:v>2025</c:v>
                </c:pt>
              </c:numCache>
            </c:numRef>
          </c:cat>
          <c:val>
            <c:numRef>
              <c:f>'Baltija kapitalizācija'!$C$18:$I$18</c:f>
              <c:numCache>
                <c:formatCode>#,##0</c:formatCode>
                <c:ptCount val="7"/>
                <c:pt idx="0">
                  <c:v>51</c:v>
                </c:pt>
                <c:pt idx="1">
                  <c:v>38</c:v>
                </c:pt>
                <c:pt idx="2">
                  <c:v>49</c:v>
                </c:pt>
                <c:pt idx="3">
                  <c:v>61</c:v>
                </c:pt>
                <c:pt idx="4">
                  <c:v>80</c:v>
                </c:pt>
                <c:pt idx="5">
                  <c:v>96</c:v>
                </c:pt>
                <c:pt idx="6">
                  <c:v>129</c:v>
                </c:pt>
              </c:numCache>
            </c:numRef>
          </c:val>
          <c:smooth val="0"/>
          <c:extLst>
            <c:ext xmlns:c16="http://schemas.microsoft.com/office/drawing/2014/chart" uri="{C3380CC4-5D6E-409C-BE32-E72D297353CC}">
              <c16:uniqueId val="{00000003-1CDE-4534-9AB2-D104D3146FF0}"/>
            </c:ext>
          </c:extLst>
        </c:ser>
        <c:dLbls>
          <c:showLegendKey val="0"/>
          <c:showVal val="0"/>
          <c:showCatName val="0"/>
          <c:showSerName val="0"/>
          <c:showPercent val="0"/>
          <c:showBubbleSize val="0"/>
        </c:dLbls>
        <c:marker val="1"/>
        <c:smooth val="0"/>
        <c:axId val="600739760"/>
        <c:axId val="600724880"/>
      </c:lineChart>
      <c:catAx>
        <c:axId val="60073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6400"/>
        <c:crosses val="autoZero"/>
        <c:auto val="1"/>
        <c:lblAlgn val="ctr"/>
        <c:lblOffset val="100"/>
        <c:noMultiLvlLbl val="0"/>
      </c:catAx>
      <c:valAx>
        <c:axId val="6007364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1120"/>
        <c:crosses val="autoZero"/>
        <c:crossBetween val="between"/>
        <c:dispUnits>
          <c:builtInUnit val="billions"/>
        </c:dispUnits>
      </c:valAx>
      <c:valAx>
        <c:axId val="6007248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600739760"/>
        <c:crosses val="max"/>
        <c:crossBetween val="between"/>
      </c:valAx>
      <c:catAx>
        <c:axId val="600739760"/>
        <c:scaling>
          <c:orientation val="minMax"/>
        </c:scaling>
        <c:delete val="1"/>
        <c:axPos val="b"/>
        <c:numFmt formatCode="General" sourceLinked="1"/>
        <c:majorTickMark val="out"/>
        <c:minorTickMark val="none"/>
        <c:tickLblPos val="nextTo"/>
        <c:crossAx val="600724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r>
              <a:rPr lang="lv-LV" sz="1200" b="1">
                <a:solidFill>
                  <a:schemeClr val="tx1"/>
                </a:solidFill>
                <a:latin typeface="Times New Roman" panose="02020603050405020304" pitchFamily="18" charset="0"/>
                <a:ea typeface="Verdana" panose="020B0604030504040204" pitchFamily="34" charset="0"/>
                <a:cs typeface="Times New Roman" panose="02020603050405020304" pitchFamily="18" charset="0"/>
              </a:rPr>
              <a:t>6.att. Akciju tirgus kapitalizācija (mljrd.</a:t>
            </a:r>
            <a:r>
              <a:rPr lang="lv-LV" sz="1200" b="1"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rPr>
              <a:t> EUR)</a:t>
            </a:r>
            <a:r>
              <a:rPr lang="lv-LV" sz="1200" b="1">
                <a:solidFill>
                  <a:schemeClr val="tx1"/>
                </a:solidFill>
                <a:latin typeface="Times New Roman" panose="02020603050405020304" pitchFamily="18" charset="0"/>
                <a:ea typeface="Verdana" panose="020B0604030504040204" pitchFamily="34"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autoTitleDeleted val="0"/>
    <c:plotArea>
      <c:layout/>
      <c:barChart>
        <c:barDir val="col"/>
        <c:grouping val="clustered"/>
        <c:varyColors val="0"/>
        <c:ser>
          <c:idx val="0"/>
          <c:order val="0"/>
          <c:tx>
            <c:strRef>
              <c:f>'Baltija kapitalizācija'!$B$9</c:f>
              <c:strCache>
                <c:ptCount val="1"/>
                <c:pt idx="0">
                  <c:v>LV</c:v>
                </c:pt>
              </c:strCache>
            </c:strRef>
          </c:tx>
          <c:spPr>
            <a:solidFill>
              <a:srgbClr val="C00000"/>
            </a:solidFill>
            <a:ln>
              <a:noFill/>
            </a:ln>
            <a:effectLst/>
          </c:spPr>
          <c:invertIfNegative val="0"/>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kapitalizācija'!$C$9:$I$9</c:f>
              <c:numCache>
                <c:formatCode>#,##0</c:formatCode>
                <c:ptCount val="7"/>
                <c:pt idx="0">
                  <c:v>840736325.5</c:v>
                </c:pt>
                <c:pt idx="1">
                  <c:v>948892264.39599991</c:v>
                </c:pt>
                <c:pt idx="2">
                  <c:v>986067889</c:v>
                </c:pt>
                <c:pt idx="3">
                  <c:v>737262717</c:v>
                </c:pt>
                <c:pt idx="4">
                  <c:v>733659268.45150006</c:v>
                </c:pt>
                <c:pt idx="5">
                  <c:v>531013872.91600007</c:v>
                </c:pt>
                <c:pt idx="6">
                  <c:v>584022774.20000005</c:v>
                </c:pt>
              </c:numCache>
            </c:numRef>
          </c:val>
          <c:extLst>
            <c:ext xmlns:c16="http://schemas.microsoft.com/office/drawing/2014/chart" uri="{C3380CC4-5D6E-409C-BE32-E72D297353CC}">
              <c16:uniqueId val="{00000000-DFC7-4BDB-87D6-6CCF284ED630}"/>
            </c:ext>
          </c:extLst>
        </c:ser>
        <c:ser>
          <c:idx val="1"/>
          <c:order val="1"/>
          <c:tx>
            <c:strRef>
              <c:f>'Baltija kapitalizācija'!$B$10</c:f>
              <c:strCache>
                <c:ptCount val="1"/>
                <c:pt idx="0">
                  <c:v>LT</c:v>
                </c:pt>
              </c:strCache>
            </c:strRef>
          </c:tx>
          <c:spPr>
            <a:solidFill>
              <a:schemeClr val="accent4"/>
            </a:solidFill>
            <a:ln>
              <a:noFill/>
            </a:ln>
            <a:effectLst/>
          </c:spPr>
          <c:invertIfNegative val="0"/>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kapitalizācija'!$C$10:$I$10</c:f>
              <c:numCache>
                <c:formatCode>#,##0</c:formatCode>
                <c:ptCount val="7"/>
                <c:pt idx="0">
                  <c:v>3685404929.4530005</c:v>
                </c:pt>
                <c:pt idx="1">
                  <c:v>4479974618.3169994</c:v>
                </c:pt>
                <c:pt idx="2">
                  <c:v>5290088443</c:v>
                </c:pt>
                <c:pt idx="3">
                  <c:v>4815337661</c:v>
                </c:pt>
                <c:pt idx="4">
                  <c:v>4606527705.3330002</c:v>
                </c:pt>
                <c:pt idx="5">
                  <c:v>4888946425.6300001</c:v>
                </c:pt>
                <c:pt idx="6">
                  <c:v>5708523090.4700003</c:v>
                </c:pt>
              </c:numCache>
            </c:numRef>
          </c:val>
          <c:extLst>
            <c:ext xmlns:c16="http://schemas.microsoft.com/office/drawing/2014/chart" uri="{C3380CC4-5D6E-409C-BE32-E72D297353CC}">
              <c16:uniqueId val="{00000001-DFC7-4BDB-87D6-6CCF284ED630}"/>
            </c:ext>
          </c:extLst>
        </c:ser>
        <c:ser>
          <c:idx val="2"/>
          <c:order val="2"/>
          <c:tx>
            <c:strRef>
              <c:f>'Baltija kapitalizācija'!$B$11</c:f>
              <c:strCache>
                <c:ptCount val="1"/>
                <c:pt idx="0">
                  <c:v>EE</c:v>
                </c:pt>
              </c:strCache>
            </c:strRef>
          </c:tx>
          <c:spPr>
            <a:solidFill>
              <a:schemeClr val="accent1"/>
            </a:solidFill>
            <a:ln>
              <a:noFill/>
            </a:ln>
            <a:effectLst/>
          </c:spPr>
          <c:invertIfNegative val="0"/>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kapitalizācija'!$C$11:$I$11</c:f>
              <c:numCache>
                <c:formatCode>#,##0</c:formatCode>
                <c:ptCount val="7"/>
                <c:pt idx="0">
                  <c:v>2786597552.1940002</c:v>
                </c:pt>
                <c:pt idx="1">
                  <c:v>2840878633.1030002</c:v>
                </c:pt>
                <c:pt idx="2">
                  <c:v>5337017612</c:v>
                </c:pt>
                <c:pt idx="3">
                  <c:v>4708123504</c:v>
                </c:pt>
                <c:pt idx="4">
                  <c:v>5157409800.7540007</c:v>
                </c:pt>
                <c:pt idx="5">
                  <c:v>5150966833.7189999</c:v>
                </c:pt>
                <c:pt idx="6">
                  <c:v>4926642740.7799997</c:v>
                </c:pt>
              </c:numCache>
            </c:numRef>
          </c:val>
          <c:extLst>
            <c:ext xmlns:c16="http://schemas.microsoft.com/office/drawing/2014/chart" uri="{C3380CC4-5D6E-409C-BE32-E72D297353CC}">
              <c16:uniqueId val="{00000002-DFC7-4BDB-87D6-6CCF284ED630}"/>
            </c:ext>
          </c:extLst>
        </c:ser>
        <c:dLbls>
          <c:showLegendKey val="0"/>
          <c:showVal val="0"/>
          <c:showCatName val="0"/>
          <c:showSerName val="0"/>
          <c:showPercent val="0"/>
          <c:showBubbleSize val="0"/>
        </c:dLbls>
        <c:gapWidth val="219"/>
        <c:axId val="600731120"/>
        <c:axId val="600736400"/>
      </c:barChart>
      <c:lineChart>
        <c:grouping val="standard"/>
        <c:varyColors val="0"/>
        <c:ser>
          <c:idx val="3"/>
          <c:order val="3"/>
          <c:tx>
            <c:strRef>
              <c:f>'Baltija kapitalizācija'!$B$12</c:f>
              <c:strCache>
                <c:ptCount val="1"/>
                <c:pt idx="0">
                  <c:v>Emitenti</c:v>
                </c:pt>
              </c:strCache>
            </c:strRef>
          </c:tx>
          <c:spPr>
            <a:ln w="28575" cap="rnd">
              <a:solidFill>
                <a:schemeClr val="tx2"/>
              </a:solidFill>
              <a:round/>
            </a:ln>
            <a:effectLst/>
          </c:spPr>
          <c:marker>
            <c:symbol val="none"/>
          </c:marker>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'Baltija kapitalizācija'!$C$8:$I$8</c:f>
              <c:numCache>
                <c:formatCode>General</c:formatCode>
                <c:ptCount val="7"/>
                <c:pt idx="0">
                  <c:v>2019</c:v>
                </c:pt>
                <c:pt idx="1">
                  <c:v>2020</c:v>
                </c:pt>
                <c:pt idx="2">
                  <c:v>2021</c:v>
                </c:pt>
                <c:pt idx="3">
                  <c:v>2022</c:v>
                </c:pt>
                <c:pt idx="4">
                  <c:v>2023</c:v>
                </c:pt>
                <c:pt idx="5">
                  <c:v>2024</c:v>
                </c:pt>
                <c:pt idx="6">
                  <c:v>2025</c:v>
                </c:pt>
              </c:numCache>
            </c:numRef>
          </c:cat>
          <c:val>
            <c:numRef>
              <c:f>'Baltija kapitalizācija'!$C$12:$I$12</c:f>
              <c:numCache>
                <c:formatCode>#,##0</c:formatCode>
                <c:ptCount val="7"/>
                <c:pt idx="0">
                  <c:v>69</c:v>
                </c:pt>
                <c:pt idx="1">
                  <c:v>69</c:v>
                </c:pt>
                <c:pt idx="2">
                  <c:v>74</c:v>
                </c:pt>
                <c:pt idx="3">
                  <c:v>75</c:v>
                </c:pt>
                <c:pt idx="4">
                  <c:v>72</c:v>
                </c:pt>
                <c:pt idx="5">
                  <c:v>71</c:v>
                </c:pt>
                <c:pt idx="6">
                  <c:v>71</c:v>
                </c:pt>
              </c:numCache>
            </c:numRef>
          </c:val>
          <c:smooth val="0"/>
          <c:extLst>
            <c:ext xmlns:c16="http://schemas.microsoft.com/office/drawing/2014/chart" uri="{C3380CC4-5D6E-409C-BE32-E72D297353CC}">
              <c16:uniqueId val="{00000003-DFC7-4BDB-87D6-6CCF284ED630}"/>
            </c:ext>
          </c:extLst>
        </c:ser>
        <c:dLbls>
          <c:showLegendKey val="0"/>
          <c:showVal val="0"/>
          <c:showCatName val="0"/>
          <c:showSerName val="0"/>
          <c:showPercent val="0"/>
          <c:showBubbleSize val="0"/>
        </c:dLbls>
        <c:marker val="1"/>
        <c:smooth val="0"/>
        <c:axId val="600775280"/>
        <c:axId val="600770000"/>
      </c:lineChart>
      <c:catAx>
        <c:axId val="60073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6400"/>
        <c:crosses val="autoZero"/>
        <c:auto val="1"/>
        <c:lblAlgn val="ctr"/>
        <c:lblOffset val="100"/>
        <c:noMultiLvlLbl val="0"/>
      </c:catAx>
      <c:valAx>
        <c:axId val="60073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00731120"/>
        <c:crosses val="autoZero"/>
        <c:crossBetween val="between"/>
        <c:dispUnits>
          <c:builtInUnit val="billions"/>
        </c:dispUnits>
      </c:valAx>
      <c:valAx>
        <c:axId val="60077000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600775280"/>
        <c:crosses val="max"/>
        <c:crossBetween val="between"/>
      </c:valAx>
      <c:catAx>
        <c:axId val="600775280"/>
        <c:scaling>
          <c:orientation val="minMax"/>
        </c:scaling>
        <c:delete val="1"/>
        <c:axPos val="b"/>
        <c:numFmt formatCode="General" sourceLinked="1"/>
        <c:majorTickMark val="out"/>
        <c:minorTickMark val="none"/>
        <c:tickLblPos val="nextTo"/>
        <c:crossAx val="6007700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a:t>7.att. Mājsaimniecību noguldījumi kredītiestādēs (mljrd. EUR)</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1">
                <a:shade val="76000"/>
              </a:schemeClr>
            </a:solidFill>
            <a:ln>
              <a:noFill/>
            </a:ln>
            <a:effectLst/>
          </c:spPr>
          <c:invertIfNegative val="0"/>
          <c:cat>
            <c:strRef>
              <c:f>Sheet1!$A$6:$A$16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Sheet1!$B$6:$B$15</c:f>
            </c:numRef>
          </c:val>
          <c:extLst>
            <c:ext xmlns:c16="http://schemas.microsoft.com/office/drawing/2014/chart" uri="{C3380CC4-5D6E-409C-BE32-E72D297353CC}">
              <c16:uniqueId val="{00000000-6598-408F-B69E-3B9FF9FBDA00}"/>
            </c:ext>
          </c:extLst>
        </c:ser>
        <c:ser>
          <c:idx val="1"/>
          <c:order val="1"/>
          <c:spPr>
            <a:solidFill>
              <a:schemeClr val="accent1">
                <a:tint val="77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Sheet1!$A$6:$A$16</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Sheet1!$C$6:$C$16</c:f>
              <c:numCache>
                <c:formatCode>General</c:formatCode>
                <c:ptCount val="11"/>
                <c:pt idx="0">
                  <c:v>5.3788226369999999</c:v>
                </c:pt>
                <c:pt idx="1">
                  <c:v>5.860198939</c:v>
                </c:pt>
                <c:pt idx="2">
                  <c:v>6.4983642959700001</c:v>
                </c:pt>
                <c:pt idx="3">
                  <c:v>7.0463115009999999</c:v>
                </c:pt>
                <c:pt idx="4">
                  <c:v>7.56801220976</c:v>
                </c:pt>
                <c:pt idx="5">
                  <c:v>8.5336592192000005</c:v>
                </c:pt>
                <c:pt idx="6">
                  <c:v>9.8327931998900002</c:v>
                </c:pt>
                <c:pt idx="7">
                  <c:v>10.342192985610001</c:v>
                </c:pt>
                <c:pt idx="8">
                  <c:v>10.281080516580001</c:v>
                </c:pt>
                <c:pt idx="9">
                  <c:v>11.204274165279999</c:v>
                </c:pt>
                <c:pt idx="10">
                  <c:v>11.739699999999999</c:v>
                </c:pt>
              </c:numCache>
            </c:numRef>
          </c:val>
          <c:extLst>
            <c:ext xmlns:c16="http://schemas.microsoft.com/office/drawing/2014/chart" uri="{C3380CC4-5D6E-409C-BE32-E72D297353CC}">
              <c16:uniqueId val="{00000001-6598-408F-B69E-3B9FF9FBDA00}"/>
            </c:ext>
          </c:extLst>
        </c:ser>
        <c:dLbls>
          <c:showLegendKey val="0"/>
          <c:showVal val="0"/>
          <c:showCatName val="0"/>
          <c:showSerName val="0"/>
          <c:showPercent val="0"/>
          <c:showBubbleSize val="0"/>
        </c:dLbls>
        <c:gapWidth val="219"/>
        <c:overlap val="-27"/>
        <c:axId val="1803283023"/>
        <c:axId val="1803296463"/>
      </c:barChart>
      <c:catAx>
        <c:axId val="180328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03296463"/>
        <c:crosses val="autoZero"/>
        <c:auto val="1"/>
        <c:lblAlgn val="ctr"/>
        <c:lblOffset val="100"/>
        <c:noMultiLvlLbl val="0"/>
      </c:catAx>
      <c:valAx>
        <c:axId val="1803296463"/>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3283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Sheet1!$G$12</c:f>
              <c:strCache>
                <c:ptCount val="1"/>
                <c:pt idx="0">
                  <c:v>3L pensiju plānu aktīvi, pieaugums % pret iepriekšējā gada attiecīgo periodu</c:v>
                </c:pt>
              </c:strCache>
            </c:strRef>
          </c:tx>
          <c:spPr>
            <a:ln w="28575" cap="rnd">
              <a:solidFill>
                <a:schemeClr val="accent2"/>
              </a:solidFill>
              <a:round/>
            </a:ln>
            <a:effectLst/>
          </c:spPr>
          <c:marker>
            <c:symbol val="none"/>
          </c:marker>
          <c:cat>
            <c:strRef>
              <c:f>Sheet1!$H$4:$Y$4</c:f>
              <c:strCache>
                <c:ptCount val="18"/>
                <c:pt idx="0">
                  <c:v>I / 2021</c:v>
                </c:pt>
                <c:pt idx="1">
                  <c:v>II / 2021</c:v>
                </c:pt>
                <c:pt idx="2">
                  <c:v>III / 2021</c:v>
                </c:pt>
                <c:pt idx="3">
                  <c:v>IV / 2021</c:v>
                </c:pt>
                <c:pt idx="4">
                  <c:v>I / 2022</c:v>
                </c:pt>
                <c:pt idx="5">
                  <c:v>II / 2022</c:v>
                </c:pt>
                <c:pt idx="6">
                  <c:v>III / 2022</c:v>
                </c:pt>
                <c:pt idx="7">
                  <c:v>IV / 2022</c:v>
                </c:pt>
                <c:pt idx="8">
                  <c:v>I / 2023</c:v>
                </c:pt>
                <c:pt idx="9">
                  <c:v>II / 2023</c:v>
                </c:pt>
                <c:pt idx="10">
                  <c:v>III / 2023</c:v>
                </c:pt>
                <c:pt idx="11">
                  <c:v>IV / 2023</c:v>
                </c:pt>
                <c:pt idx="12">
                  <c:v>I / 2024</c:v>
                </c:pt>
                <c:pt idx="13">
                  <c:v>II / 2024</c:v>
                </c:pt>
                <c:pt idx="14">
                  <c:v>III / 2024</c:v>
                </c:pt>
                <c:pt idx="15">
                  <c:v>IV / 2024</c:v>
                </c:pt>
                <c:pt idx="16">
                  <c:v>I / 2025</c:v>
                </c:pt>
                <c:pt idx="17">
                  <c:v>II / 2025</c:v>
                </c:pt>
              </c:strCache>
            </c:strRef>
          </c:cat>
          <c:val>
            <c:numRef>
              <c:f>Sheet1!$H$12:$Y$12</c:f>
              <c:numCache>
                <c:formatCode>0</c:formatCode>
                <c:ptCount val="18"/>
                <c:pt idx="0">
                  <c:v>24.689524522300445</c:v>
                </c:pt>
                <c:pt idx="1">
                  <c:v>22.331631033362754</c:v>
                </c:pt>
                <c:pt idx="2">
                  <c:v>22.823094998321579</c:v>
                </c:pt>
                <c:pt idx="3">
                  <c:v>19.749632245741754</c:v>
                </c:pt>
                <c:pt idx="4">
                  <c:v>9.9597975497137892</c:v>
                </c:pt>
                <c:pt idx="5">
                  <c:v>-2.635735661409</c:v>
                </c:pt>
                <c:pt idx="6">
                  <c:v>-7.0724448389003935</c:v>
                </c:pt>
                <c:pt idx="7">
                  <c:v>-7.9537526709036355</c:v>
                </c:pt>
                <c:pt idx="8">
                  <c:v>-0.27463428294438597</c:v>
                </c:pt>
                <c:pt idx="9">
                  <c:v>12.7691141533939</c:v>
                </c:pt>
                <c:pt idx="10">
                  <c:v>15.863187745346918</c:v>
                </c:pt>
                <c:pt idx="11">
                  <c:v>20.788786146753814</c:v>
                </c:pt>
                <c:pt idx="12">
                  <c:v>23.618164946425701</c:v>
                </c:pt>
                <c:pt idx="13">
                  <c:v>23.134892172333</c:v>
                </c:pt>
                <c:pt idx="14">
                  <c:v>26.765388027318494</c:v>
                </c:pt>
                <c:pt idx="15">
                  <c:v>21.252365379457316</c:v>
                </c:pt>
                <c:pt idx="16">
                  <c:v>12.974117950929509</c:v>
                </c:pt>
                <c:pt idx="17">
                  <c:v>13.764795427009236</c:v>
                </c:pt>
              </c:numCache>
            </c:numRef>
          </c:val>
          <c:smooth val="0"/>
          <c:extLst>
            <c:ext xmlns:c16="http://schemas.microsoft.com/office/drawing/2014/chart" uri="{C3380CC4-5D6E-409C-BE32-E72D297353CC}">
              <c16:uniqueId val="{00000000-68F5-4E86-ABAC-1CB9390E387A}"/>
            </c:ext>
          </c:extLst>
        </c:ser>
        <c:dLbls>
          <c:showLegendKey val="0"/>
          <c:showVal val="0"/>
          <c:showCatName val="0"/>
          <c:showSerName val="0"/>
          <c:showPercent val="0"/>
          <c:showBubbleSize val="0"/>
        </c:dLbls>
        <c:smooth val="0"/>
        <c:axId val="81900368"/>
        <c:axId val="81899408"/>
        <c:extLst>
          <c:ext xmlns:c15="http://schemas.microsoft.com/office/drawing/2012/chart" uri="{02D57815-91ED-43cb-92C2-25804820EDAC}">
            <c15:filteredLineSeries>
              <c15:ser>
                <c:idx val="0"/>
                <c:order val="0"/>
                <c:tx>
                  <c:strRef>
                    <c:extLst>
                      <c:ext uri="{02D57815-91ED-43cb-92C2-25804820EDAC}">
                        <c15:formulaRef>
                          <c15:sqref>Sheet1!$G$4</c15:sqref>
                        </c15:formulaRef>
                      </c:ext>
                    </c:extLst>
                    <c:strCache>
                      <c:ptCount val="1"/>
                    </c:strCache>
                  </c:strRef>
                </c:tx>
                <c:spPr>
                  <a:ln w="28575" cap="rnd">
                    <a:solidFill>
                      <a:schemeClr val="accent1"/>
                    </a:solidFill>
                    <a:round/>
                  </a:ln>
                  <a:effectLst/>
                </c:spPr>
                <c:marker>
                  <c:symbol val="none"/>
                </c:marker>
                <c:cat>
                  <c:strRef>
                    <c:extLst>
                      <c:ext uri="{02D57815-91ED-43cb-92C2-25804820EDAC}">
                        <c15:formulaRef>
                          <c15:sqref>Sheet1!$H$4:$Y$4</c15:sqref>
                        </c15:formulaRef>
                      </c:ext>
                    </c:extLst>
                    <c:strCache>
                      <c:ptCount val="18"/>
                      <c:pt idx="0">
                        <c:v>I / 2021</c:v>
                      </c:pt>
                      <c:pt idx="1">
                        <c:v>II / 2021</c:v>
                      </c:pt>
                      <c:pt idx="2">
                        <c:v>III / 2021</c:v>
                      </c:pt>
                      <c:pt idx="3">
                        <c:v>IV / 2021</c:v>
                      </c:pt>
                      <c:pt idx="4">
                        <c:v>I / 2022</c:v>
                      </c:pt>
                      <c:pt idx="5">
                        <c:v>II / 2022</c:v>
                      </c:pt>
                      <c:pt idx="6">
                        <c:v>III / 2022</c:v>
                      </c:pt>
                      <c:pt idx="7">
                        <c:v>IV / 2022</c:v>
                      </c:pt>
                      <c:pt idx="8">
                        <c:v>I / 2023</c:v>
                      </c:pt>
                      <c:pt idx="9">
                        <c:v>II / 2023</c:v>
                      </c:pt>
                      <c:pt idx="10">
                        <c:v>III / 2023</c:v>
                      </c:pt>
                      <c:pt idx="11">
                        <c:v>IV / 2023</c:v>
                      </c:pt>
                      <c:pt idx="12">
                        <c:v>I / 2024</c:v>
                      </c:pt>
                      <c:pt idx="13">
                        <c:v>II / 2024</c:v>
                      </c:pt>
                      <c:pt idx="14">
                        <c:v>III / 2024</c:v>
                      </c:pt>
                      <c:pt idx="15">
                        <c:v>IV / 2024</c:v>
                      </c:pt>
                      <c:pt idx="16">
                        <c:v>I / 2025</c:v>
                      </c:pt>
                      <c:pt idx="17">
                        <c:v>II / 2025</c:v>
                      </c:pt>
                    </c:strCache>
                  </c:strRef>
                </c:cat>
                <c:val>
                  <c:numRef>
                    <c:extLst>
                      <c:ext uri="{02D57815-91ED-43cb-92C2-25804820EDAC}">
                        <c15:formulaRef>
                          <c15:sqref>Sheet1!$H$4:$Y$4</c15:sqref>
                        </c15:formulaRef>
                      </c:ext>
                    </c:extLst>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smooth val="0"/>
                <c:extLst>
                  <c:ext xmlns:c16="http://schemas.microsoft.com/office/drawing/2014/chart" uri="{C3380CC4-5D6E-409C-BE32-E72D297353CC}">
                    <c16:uniqueId val="{00000001-68F5-4E86-ABAC-1CB9390E387A}"/>
                  </c:ext>
                </c:extLst>
              </c15:ser>
            </c15:filteredLineSeries>
          </c:ext>
        </c:extLst>
      </c:lineChart>
      <c:catAx>
        <c:axId val="81900368"/>
        <c:scaling>
          <c:orientation val="minMax"/>
        </c:scaling>
        <c:delete val="0"/>
        <c:axPos val="b"/>
        <c:numFmt formatCode="General" sourceLinked="1"/>
        <c:majorTickMark val="none"/>
        <c:minorTickMark val="none"/>
        <c:tickLblPos val="low"/>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1899408"/>
        <c:crosses val="autoZero"/>
        <c:auto val="1"/>
        <c:lblAlgn val="ctr"/>
        <c:lblOffset val="100"/>
        <c:noMultiLvlLbl val="0"/>
      </c:catAx>
      <c:valAx>
        <c:axId val="81899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190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Uzkrāšanas_ilgums!$B$5</c:f>
              <c:strCache>
                <c:ptCount val="1"/>
                <c:pt idx="0">
                  <c:v>%</c:v>
                </c:pt>
              </c:strCache>
            </c:strRef>
          </c:tx>
          <c:spPr>
            <a:solidFill>
              <a:schemeClr val="accent1"/>
            </a:solidFill>
            <a:ln>
              <a:noFill/>
            </a:ln>
            <a:effectLst/>
          </c:spPr>
          <c:invertIfNegative val="0"/>
          <c:dPt>
            <c:idx val="0"/>
            <c:invertIfNegative val="0"/>
            <c:bubble3D val="0"/>
            <c:spPr>
              <a:solidFill>
                <a:schemeClr val="tx2">
                  <a:lumMod val="10000"/>
                  <a:lumOff val="90000"/>
                </a:schemeClr>
              </a:solidFill>
              <a:ln>
                <a:noFill/>
              </a:ln>
              <a:effectLst/>
            </c:spPr>
            <c:extLst>
              <c:ext xmlns:c16="http://schemas.microsoft.com/office/drawing/2014/chart" uri="{C3380CC4-5D6E-409C-BE32-E72D297353CC}">
                <c16:uniqueId val="{00000001-64B2-4D07-AFAE-9BC90FA98486}"/>
              </c:ext>
            </c:extLst>
          </c:dPt>
          <c:dPt>
            <c:idx val="1"/>
            <c:invertIfNegative val="0"/>
            <c:bubble3D val="0"/>
            <c:spPr>
              <a:solidFill>
                <a:schemeClr val="tx2">
                  <a:lumMod val="10000"/>
                  <a:lumOff val="90000"/>
                </a:schemeClr>
              </a:solidFill>
              <a:ln>
                <a:noFill/>
              </a:ln>
              <a:effectLst/>
            </c:spPr>
            <c:extLst>
              <c:ext xmlns:c16="http://schemas.microsoft.com/office/drawing/2014/chart" uri="{C3380CC4-5D6E-409C-BE32-E72D297353CC}">
                <c16:uniqueId val="{00000003-64B2-4D07-AFAE-9BC90FA98486}"/>
              </c:ext>
            </c:extLst>
          </c:dPt>
          <c:dPt>
            <c:idx val="2"/>
            <c:invertIfNegative val="0"/>
            <c:bubble3D val="0"/>
            <c:spPr>
              <a:solidFill>
                <a:schemeClr val="tx2">
                  <a:lumMod val="10000"/>
                  <a:lumOff val="90000"/>
                </a:schemeClr>
              </a:solidFill>
              <a:ln>
                <a:noFill/>
              </a:ln>
              <a:effectLst/>
            </c:spPr>
            <c:extLst>
              <c:ext xmlns:c16="http://schemas.microsoft.com/office/drawing/2014/chart" uri="{C3380CC4-5D6E-409C-BE32-E72D297353CC}">
                <c16:uniqueId val="{00000005-64B2-4D07-AFAE-9BC90FA98486}"/>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Uzkrāšanas_ilgums!$C$3:$J$3</c:f>
              <c:strCache>
                <c:ptCount val="8"/>
                <c:pt idx="0">
                  <c:v>0</c:v>
                </c:pt>
                <c:pt idx="1">
                  <c:v>1-5</c:v>
                </c:pt>
                <c:pt idx="2">
                  <c:v>6-10</c:v>
                </c:pt>
                <c:pt idx="3">
                  <c:v>11-15</c:v>
                </c:pt>
                <c:pt idx="4">
                  <c:v>16-20</c:v>
                </c:pt>
                <c:pt idx="5">
                  <c:v>21-25</c:v>
                </c:pt>
                <c:pt idx="6">
                  <c:v>26-30</c:v>
                </c:pt>
                <c:pt idx="7">
                  <c:v>virs 30</c:v>
                </c:pt>
              </c:strCache>
            </c:strRef>
          </c:cat>
          <c:val>
            <c:numRef>
              <c:f>Uzkrāšanas_ilgums!$C$5:$J$5</c:f>
              <c:numCache>
                <c:formatCode>0.0%</c:formatCode>
                <c:ptCount val="8"/>
                <c:pt idx="0">
                  <c:v>7.6979547852636776E-2</c:v>
                </c:pt>
                <c:pt idx="1">
                  <c:v>0.2741059201221292</c:v>
                </c:pt>
                <c:pt idx="2">
                  <c:v>0.23185910244033855</c:v>
                </c:pt>
                <c:pt idx="3">
                  <c:v>9.5404440652852293E-2</c:v>
                </c:pt>
                <c:pt idx="4">
                  <c:v>0.28943941809038459</c:v>
                </c:pt>
                <c:pt idx="5">
                  <c:v>3.2031969108501895E-2</c:v>
                </c:pt>
                <c:pt idx="6">
                  <c:v>1.7960173315672496E-4</c:v>
                </c:pt>
                <c:pt idx="7">
                  <c:v>0</c:v>
                </c:pt>
              </c:numCache>
            </c:numRef>
          </c:val>
          <c:extLst>
            <c:ext xmlns:c16="http://schemas.microsoft.com/office/drawing/2014/chart" uri="{C3380CC4-5D6E-409C-BE32-E72D297353CC}">
              <c16:uniqueId val="{00000006-64B2-4D07-AFAE-9BC90FA98486}"/>
            </c:ext>
          </c:extLst>
        </c:ser>
        <c:dLbls>
          <c:dLblPos val="outEnd"/>
          <c:showLegendKey val="0"/>
          <c:showVal val="1"/>
          <c:showCatName val="0"/>
          <c:showSerName val="0"/>
          <c:showPercent val="0"/>
          <c:showBubbleSize val="0"/>
        </c:dLbls>
        <c:gapWidth val="219"/>
        <c:overlap val="-27"/>
        <c:axId val="1062927168"/>
        <c:axId val="1062926688"/>
      </c:barChart>
      <c:catAx>
        <c:axId val="106292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62926688"/>
        <c:crosses val="autoZero"/>
        <c:auto val="1"/>
        <c:lblAlgn val="ctr"/>
        <c:lblOffset val="100"/>
        <c:noMultiLvlLbl val="0"/>
      </c:catAx>
      <c:valAx>
        <c:axId val="10629266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629271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0D7D-429A-A74B-0E8C49B2BB29}"/>
              </c:ext>
            </c:extLst>
          </c:dPt>
          <c:dPt>
            <c:idx val="3"/>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3-0D7D-429A-A74B-0E8C49B2BB29}"/>
              </c:ext>
            </c:extLst>
          </c:dPt>
          <c:dPt>
            <c:idx val="5"/>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5-0D7D-429A-A74B-0E8C49B2BB29}"/>
              </c:ext>
            </c:extLst>
          </c:dPt>
          <c:dPt>
            <c:idx val="7"/>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7-0D7D-429A-A74B-0E8C49B2BB29}"/>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7D-429A-A74B-0E8C49B2BB2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7D-429A-A74B-0E8C49B2BB29}"/>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7D-429A-A74B-0E8C49B2BB29}"/>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7D-429A-A74B-0E8C49B2BB29}"/>
                </c:ext>
              </c:extLst>
            </c:dLbl>
            <c:dLbl>
              <c:idx val="4"/>
              <c:layout>
                <c:manualLayout>
                  <c:x val="-1.7435965606982277E-17"/>
                  <c:y val="1.8577157921567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7D-429A-A74B-0E8C49B2BB29}"/>
                </c:ext>
              </c:extLst>
            </c:dLbl>
            <c:dLbl>
              <c:idx val="5"/>
              <c:layout>
                <c:manualLayout>
                  <c:x val="-1.7435965606982277E-17"/>
                  <c:y val="1.393286844117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7D-429A-A74B-0E8C49B2BB29}"/>
                </c:ext>
              </c:extLst>
            </c:dLbl>
            <c:dLbl>
              <c:idx val="6"/>
              <c:layout>
                <c:manualLayout>
                  <c:x val="3.8042546244534191E-3"/>
                  <c:y val="1.8577157921567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D7D-429A-A74B-0E8C49B2BB29}"/>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7D-429A-A74B-0E8C49B2BB29}"/>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OECD_LIKMES!$B$5:$B$46</c:f>
              <c:strCache>
                <c:ptCount val="42"/>
                <c:pt idx="0">
                  <c:v>Jaunzēlande</c:v>
                </c:pt>
                <c:pt idx="1">
                  <c:v>Latvija</c:v>
                </c:pt>
                <c:pt idx="2">
                  <c:v>Itālija</c:v>
                </c:pt>
                <c:pt idx="3">
                  <c:v>Dānija </c:v>
                </c:pt>
                <c:pt idx="4">
                  <c:v>Austrālija </c:v>
                </c:pt>
                <c:pt idx="5">
                  <c:v>Zviedrija </c:v>
                </c:pt>
                <c:pt idx="6">
                  <c:v>Turcija</c:v>
                </c:pt>
                <c:pt idx="7">
                  <c:v>Grieķija</c:v>
                </c:pt>
                <c:pt idx="8">
                  <c:v>Austrija </c:v>
                </c:pt>
                <c:pt idx="9">
                  <c:v>Beļģija </c:v>
                </c:pt>
                <c:pt idx="10">
                  <c:v>Kanāda</c:v>
                </c:pt>
                <c:pt idx="11">
                  <c:v>Čīle </c:v>
                </c:pt>
                <c:pt idx="12">
                  <c:v>Kolumbija </c:v>
                </c:pt>
                <c:pt idx="13">
                  <c:v>Kostarika </c:v>
                </c:pt>
                <c:pt idx="14">
                  <c:v>Čehija </c:v>
                </c:pt>
                <c:pt idx="15">
                  <c:v>Igaunija </c:v>
                </c:pt>
                <c:pt idx="16">
                  <c:v>Somija </c:v>
                </c:pt>
                <c:pt idx="17">
                  <c:v>Francija </c:v>
                </c:pt>
                <c:pt idx="18">
                  <c:v>Vācija</c:v>
                </c:pt>
                <c:pt idx="19">
                  <c:v>Ungārija</c:v>
                </c:pt>
                <c:pt idx="20">
                  <c:v>Islande</c:v>
                </c:pt>
                <c:pt idx="21">
                  <c:v>Īrija </c:v>
                </c:pt>
                <c:pt idx="22">
                  <c:v>Izraēla</c:v>
                </c:pt>
                <c:pt idx="23">
                  <c:v>Japāna</c:v>
                </c:pt>
                <c:pt idx="24">
                  <c:v>Koreja</c:v>
                </c:pt>
                <c:pt idx="25">
                  <c:v>Lietuva </c:v>
                </c:pt>
                <c:pt idx="26">
                  <c:v>Luksemburga</c:v>
                </c:pt>
                <c:pt idx="27">
                  <c:v>Meksika</c:v>
                </c:pt>
                <c:pt idx="28">
                  <c:v>Nīderlande</c:v>
                </c:pt>
                <c:pt idx="29">
                  <c:v>Norvēģija </c:v>
                </c:pt>
                <c:pt idx="30">
                  <c:v>Polija</c:v>
                </c:pt>
                <c:pt idx="31">
                  <c:v>Portugāle</c:v>
                </c:pt>
                <c:pt idx="32">
                  <c:v>Slovākija</c:v>
                </c:pt>
                <c:pt idx="33">
                  <c:v>Slovēnija </c:v>
                </c:pt>
                <c:pt idx="34">
                  <c:v>Spānija</c:v>
                </c:pt>
                <c:pt idx="35">
                  <c:v>Šveice</c:v>
                </c:pt>
                <c:pt idx="36">
                  <c:v>Lielbritānija</c:v>
                </c:pt>
                <c:pt idx="37">
                  <c:v>ASV</c:v>
                </c:pt>
                <c:pt idx="38">
                  <c:v>Bulgārija</c:v>
                </c:pt>
                <c:pt idx="39">
                  <c:v>Horvātija</c:v>
                </c:pt>
                <c:pt idx="40">
                  <c:v>Rumānija </c:v>
                </c:pt>
                <c:pt idx="41">
                  <c:v>Peru</c:v>
                </c:pt>
              </c:strCache>
            </c:strRef>
          </c:cat>
          <c:val>
            <c:numRef>
              <c:f>OECD_LIKMES!$C$5:$C$46</c:f>
              <c:numCache>
                <c:formatCode>General</c:formatCode>
                <c:ptCount val="42"/>
                <c:pt idx="0">
                  <c:v>28</c:v>
                </c:pt>
                <c:pt idx="1">
                  <c:v>25.5</c:v>
                </c:pt>
                <c:pt idx="2">
                  <c:v>20</c:v>
                </c:pt>
                <c:pt idx="3">
                  <c:v>15.3</c:v>
                </c:pt>
                <c:pt idx="4">
                  <c:v>15</c:v>
                </c:pt>
                <c:pt idx="5">
                  <c:v>15</c:v>
                </c:pt>
                <c:pt idx="6">
                  <c:v>15</c:v>
                </c:pt>
                <c:pt idx="7">
                  <c:v>5</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numCache>
            </c:numRef>
          </c:val>
          <c:extLst>
            <c:ext xmlns:c16="http://schemas.microsoft.com/office/drawing/2014/chart" uri="{C3380CC4-5D6E-409C-BE32-E72D297353CC}">
              <c16:uniqueId val="{0000000C-0D7D-429A-A74B-0E8C49B2BB29}"/>
            </c:ext>
          </c:extLst>
        </c:ser>
        <c:dLbls>
          <c:showLegendKey val="0"/>
          <c:showVal val="0"/>
          <c:showCatName val="0"/>
          <c:showSerName val="0"/>
          <c:showPercent val="0"/>
          <c:showBubbleSize val="0"/>
        </c:dLbls>
        <c:gapWidth val="219"/>
        <c:overlap val="-27"/>
        <c:axId val="1595884551"/>
        <c:axId val="1595886599"/>
      </c:barChart>
      <c:catAx>
        <c:axId val="1595884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95886599"/>
        <c:crosses val="autoZero"/>
        <c:auto val="1"/>
        <c:lblAlgn val="ctr"/>
        <c:lblOffset val="100"/>
        <c:noMultiLvlLbl val="0"/>
      </c:catAx>
      <c:valAx>
        <c:axId val="159588659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958845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grafiks!$C$2</c:f>
              <c:strCache>
                <c:ptCount val="1"/>
                <c:pt idx="0">
                  <c:v>Finanšu zināšanas līmenis (skalā no 35)</c:v>
                </c:pt>
              </c:strCache>
            </c:strRef>
          </c:tx>
          <c:spPr>
            <a:solidFill>
              <a:schemeClr val="accent1"/>
            </a:solidFill>
            <a:ln>
              <a:noFill/>
            </a:ln>
            <a:effectLst/>
          </c:spPr>
          <c:invertIfNegative val="0"/>
          <c:cat>
            <c:strRef>
              <c:f>grafiks!$B$3:$B$23</c:f>
              <c:strCache>
                <c:ptCount val="21"/>
                <c:pt idx="0">
                  <c:v>Vācija</c:v>
                </c:pt>
                <c:pt idx="1">
                  <c:v>Īrija</c:v>
                </c:pt>
                <c:pt idx="2">
                  <c:v>Luksemburga</c:v>
                </c:pt>
                <c:pt idx="3">
                  <c:v>Malta</c:v>
                </c:pt>
                <c:pt idx="4">
                  <c:v>Igaunija</c:v>
                </c:pt>
                <c:pt idx="5">
                  <c:v>Zviedrija</c:v>
                </c:pt>
                <c:pt idx="6">
                  <c:v>Somija</c:v>
                </c:pt>
                <c:pt idx="7">
                  <c:v>Nīderlande</c:v>
                </c:pt>
                <c:pt idx="8">
                  <c:v>Spānija</c:v>
                </c:pt>
                <c:pt idx="9">
                  <c:v>Portugāle</c:v>
                </c:pt>
                <c:pt idx="10">
                  <c:v>OECD vidējais</c:v>
                </c:pt>
                <c:pt idx="11">
                  <c:v>Polija</c:v>
                </c:pt>
                <c:pt idx="12">
                  <c:v>Francija</c:v>
                </c:pt>
                <c:pt idx="13">
                  <c:v>Horvātija</c:v>
                </c:pt>
                <c:pt idx="14">
                  <c:v>Grieķiija</c:v>
                </c:pt>
                <c:pt idx="15">
                  <c:v>Latvija</c:v>
                </c:pt>
                <c:pt idx="16">
                  <c:v>Ungārija</c:v>
                </c:pt>
                <c:pt idx="17">
                  <c:v>Lietuva</c:v>
                </c:pt>
                <c:pt idx="18">
                  <c:v>Kipra</c:v>
                </c:pt>
                <c:pt idx="19">
                  <c:v>Rumānija</c:v>
                </c:pt>
                <c:pt idx="20">
                  <c:v>Itālija</c:v>
                </c:pt>
              </c:strCache>
            </c:strRef>
          </c:cat>
          <c:val>
            <c:numRef>
              <c:f>grafiks!$C$3:$C$23</c:f>
              <c:numCache>
                <c:formatCode>0</c:formatCode>
                <c:ptCount val="21"/>
                <c:pt idx="0">
                  <c:v>29.822637557983398</c:v>
                </c:pt>
                <c:pt idx="1">
                  <c:v>25.163549423217773</c:v>
                </c:pt>
                <c:pt idx="2">
                  <c:v>25.007810592651367</c:v>
                </c:pt>
                <c:pt idx="3">
                  <c:v>20.590795516967773</c:v>
                </c:pt>
                <c:pt idx="4">
                  <c:v>27.471561431884766</c:v>
                </c:pt>
                <c:pt idx="5">
                  <c:v>25.178749084472656</c:v>
                </c:pt>
                <c:pt idx="6">
                  <c:v>24.160406112670898</c:v>
                </c:pt>
                <c:pt idx="7">
                  <c:v>22.876499176025391</c:v>
                </c:pt>
                <c:pt idx="8">
                  <c:v>23.034168243408203</c:v>
                </c:pt>
                <c:pt idx="9">
                  <c:v>21.232179641723633</c:v>
                </c:pt>
                <c:pt idx="10">
                  <c:v>23.399188995361328</c:v>
                </c:pt>
                <c:pt idx="11">
                  <c:v>25.469999313354492</c:v>
                </c:pt>
                <c:pt idx="12">
                  <c:v>23.045341491699219</c:v>
                </c:pt>
                <c:pt idx="13">
                  <c:v>24.52897834777832</c:v>
                </c:pt>
                <c:pt idx="14">
                  <c:v>22.715827941894531</c:v>
                </c:pt>
                <c:pt idx="15">
                  <c:v>20.248403549194336</c:v>
                </c:pt>
                <c:pt idx="16">
                  <c:v>25.931985855102539</c:v>
                </c:pt>
                <c:pt idx="17">
                  <c:v>18.932584762573242</c:v>
                </c:pt>
                <c:pt idx="18">
                  <c:v>25.44927978515625</c:v>
                </c:pt>
                <c:pt idx="19">
                  <c:v>17.253730773925781</c:v>
                </c:pt>
                <c:pt idx="20">
                  <c:v>18.470623016357422</c:v>
                </c:pt>
              </c:numCache>
            </c:numRef>
          </c:val>
          <c:extLst>
            <c:ext xmlns:c16="http://schemas.microsoft.com/office/drawing/2014/chart" uri="{C3380CC4-5D6E-409C-BE32-E72D297353CC}">
              <c16:uniqueId val="{00000000-59DA-41B9-8667-F7554D2B1CE6}"/>
            </c:ext>
          </c:extLst>
        </c:ser>
        <c:ser>
          <c:idx val="1"/>
          <c:order val="1"/>
          <c:tx>
            <c:strRef>
              <c:f>grafiks!$D$2</c:f>
              <c:strCache>
                <c:ptCount val="1"/>
                <c:pt idx="0">
                  <c:v>Finanšu uzvedības līmenis (skalā no 45)</c:v>
                </c:pt>
              </c:strCache>
            </c:strRef>
          </c:tx>
          <c:spPr>
            <a:solidFill>
              <a:schemeClr val="accent2"/>
            </a:solidFill>
            <a:ln>
              <a:noFill/>
            </a:ln>
            <a:effectLst/>
          </c:spPr>
          <c:invertIfNegative val="0"/>
          <c:cat>
            <c:strRef>
              <c:f>grafiks!$B$3:$B$23</c:f>
              <c:strCache>
                <c:ptCount val="21"/>
                <c:pt idx="0">
                  <c:v>Vācija</c:v>
                </c:pt>
                <c:pt idx="1">
                  <c:v>Īrija</c:v>
                </c:pt>
                <c:pt idx="2">
                  <c:v>Luksemburga</c:v>
                </c:pt>
                <c:pt idx="3">
                  <c:v>Malta</c:v>
                </c:pt>
                <c:pt idx="4">
                  <c:v>Igaunija</c:v>
                </c:pt>
                <c:pt idx="5">
                  <c:v>Zviedrija</c:v>
                </c:pt>
                <c:pt idx="6">
                  <c:v>Somija</c:v>
                </c:pt>
                <c:pt idx="7">
                  <c:v>Nīderlande</c:v>
                </c:pt>
                <c:pt idx="8">
                  <c:v>Spānija</c:v>
                </c:pt>
                <c:pt idx="9">
                  <c:v>Portugāle</c:v>
                </c:pt>
                <c:pt idx="10">
                  <c:v>OECD vidējais</c:v>
                </c:pt>
                <c:pt idx="11">
                  <c:v>Polija</c:v>
                </c:pt>
                <c:pt idx="12">
                  <c:v>Francija</c:v>
                </c:pt>
                <c:pt idx="13">
                  <c:v>Horvātija</c:v>
                </c:pt>
                <c:pt idx="14">
                  <c:v>Grieķiija</c:v>
                </c:pt>
                <c:pt idx="15">
                  <c:v>Latvija</c:v>
                </c:pt>
                <c:pt idx="16">
                  <c:v>Ungārija</c:v>
                </c:pt>
                <c:pt idx="17">
                  <c:v>Lietuva</c:v>
                </c:pt>
                <c:pt idx="18">
                  <c:v>Kipra</c:v>
                </c:pt>
                <c:pt idx="19">
                  <c:v>Rumānija</c:v>
                </c:pt>
                <c:pt idx="20">
                  <c:v>Itālija</c:v>
                </c:pt>
              </c:strCache>
            </c:strRef>
          </c:cat>
          <c:val>
            <c:numRef>
              <c:f>grafiks!$D$3:$D$23</c:f>
              <c:numCache>
                <c:formatCode>0</c:formatCode>
                <c:ptCount val="21"/>
                <c:pt idx="0">
                  <c:v>33.157703399658203</c:v>
                </c:pt>
                <c:pt idx="1">
                  <c:v>32.896709442138672</c:v>
                </c:pt>
                <c:pt idx="2">
                  <c:v>30.087869644165039</c:v>
                </c:pt>
                <c:pt idx="3">
                  <c:v>34.592750549316406</c:v>
                </c:pt>
                <c:pt idx="4">
                  <c:v>27.465784072875977</c:v>
                </c:pt>
                <c:pt idx="5">
                  <c:v>27.576961517333984</c:v>
                </c:pt>
                <c:pt idx="6">
                  <c:v>27.940481185913086</c:v>
                </c:pt>
                <c:pt idx="7">
                  <c:v>29.163522720336914</c:v>
                </c:pt>
                <c:pt idx="8">
                  <c:v>26.833141326904297</c:v>
                </c:pt>
                <c:pt idx="9">
                  <c:v>29.501018524169922</c:v>
                </c:pt>
                <c:pt idx="10">
                  <c:v>27.71127815246582</c:v>
                </c:pt>
                <c:pt idx="11">
                  <c:v>26.754999160766602</c:v>
                </c:pt>
                <c:pt idx="12">
                  <c:v>27.240388870239258</c:v>
                </c:pt>
                <c:pt idx="13">
                  <c:v>26.626117706298828</c:v>
                </c:pt>
                <c:pt idx="14">
                  <c:v>27.953350067138672</c:v>
                </c:pt>
                <c:pt idx="15">
                  <c:v>27.419593811035156</c:v>
                </c:pt>
                <c:pt idx="16">
                  <c:v>20.337308883666992</c:v>
                </c:pt>
                <c:pt idx="17">
                  <c:v>28.305242538452148</c:v>
                </c:pt>
                <c:pt idx="18">
                  <c:v>20.385395050048828</c:v>
                </c:pt>
                <c:pt idx="19">
                  <c:v>25.199005126953125</c:v>
                </c:pt>
                <c:pt idx="20">
                  <c:v>23.383825302124023</c:v>
                </c:pt>
              </c:numCache>
            </c:numRef>
          </c:val>
          <c:extLst>
            <c:ext xmlns:c16="http://schemas.microsoft.com/office/drawing/2014/chart" uri="{C3380CC4-5D6E-409C-BE32-E72D297353CC}">
              <c16:uniqueId val="{00000001-59DA-41B9-8667-F7554D2B1CE6}"/>
            </c:ext>
          </c:extLst>
        </c:ser>
        <c:ser>
          <c:idx val="2"/>
          <c:order val="2"/>
          <c:tx>
            <c:strRef>
              <c:f>grafiks!$E$2</c:f>
              <c:strCache>
                <c:ptCount val="1"/>
                <c:pt idx="0">
                  <c:v>Finanšu attieksmes līmenis (skalā no 20)</c:v>
                </c:pt>
              </c:strCache>
            </c:strRef>
          </c:tx>
          <c:spPr>
            <a:solidFill>
              <a:schemeClr val="accent3"/>
            </a:solidFill>
            <a:ln>
              <a:noFill/>
            </a:ln>
            <a:effectLst/>
          </c:spPr>
          <c:invertIfNegative val="0"/>
          <c:cat>
            <c:strRef>
              <c:f>grafiks!$B$3:$B$23</c:f>
              <c:strCache>
                <c:ptCount val="21"/>
                <c:pt idx="0">
                  <c:v>Vācija</c:v>
                </c:pt>
                <c:pt idx="1">
                  <c:v>Īrija</c:v>
                </c:pt>
                <c:pt idx="2">
                  <c:v>Luksemburga</c:v>
                </c:pt>
                <c:pt idx="3">
                  <c:v>Malta</c:v>
                </c:pt>
                <c:pt idx="4">
                  <c:v>Igaunija</c:v>
                </c:pt>
                <c:pt idx="5">
                  <c:v>Zviedrija</c:v>
                </c:pt>
                <c:pt idx="6">
                  <c:v>Somija</c:v>
                </c:pt>
                <c:pt idx="7">
                  <c:v>Nīderlande</c:v>
                </c:pt>
                <c:pt idx="8">
                  <c:v>Spānija</c:v>
                </c:pt>
                <c:pt idx="9">
                  <c:v>Portugāle</c:v>
                </c:pt>
                <c:pt idx="10">
                  <c:v>OECD vidējais</c:v>
                </c:pt>
                <c:pt idx="11">
                  <c:v>Polija</c:v>
                </c:pt>
                <c:pt idx="12">
                  <c:v>Francija</c:v>
                </c:pt>
                <c:pt idx="13">
                  <c:v>Horvātija</c:v>
                </c:pt>
                <c:pt idx="14">
                  <c:v>Grieķiija</c:v>
                </c:pt>
                <c:pt idx="15">
                  <c:v>Latvija</c:v>
                </c:pt>
                <c:pt idx="16">
                  <c:v>Ungārija</c:v>
                </c:pt>
                <c:pt idx="17">
                  <c:v>Lietuva</c:v>
                </c:pt>
                <c:pt idx="18">
                  <c:v>Kipra</c:v>
                </c:pt>
                <c:pt idx="19">
                  <c:v>Rumānija</c:v>
                </c:pt>
                <c:pt idx="20">
                  <c:v>Itālija</c:v>
                </c:pt>
              </c:strCache>
            </c:strRef>
          </c:cat>
          <c:val>
            <c:numRef>
              <c:f>grafiks!$E$3:$E$23</c:f>
              <c:numCache>
                <c:formatCode>0</c:formatCode>
                <c:ptCount val="21"/>
                <c:pt idx="0">
                  <c:v>12.989780426025391</c:v>
                </c:pt>
                <c:pt idx="1">
                  <c:v>11.640682220458984</c:v>
                </c:pt>
                <c:pt idx="2">
                  <c:v>12.688861846923828</c:v>
                </c:pt>
                <c:pt idx="3">
                  <c:v>12.542288780212402</c:v>
                </c:pt>
                <c:pt idx="4">
                  <c:v>12.268930435180664</c:v>
                </c:pt>
                <c:pt idx="5">
                  <c:v>13.33167839050293</c:v>
                </c:pt>
                <c:pt idx="6">
                  <c:v>12.421185493469238</c:v>
                </c:pt>
                <c:pt idx="7">
                  <c:v>12.330315589904785</c:v>
                </c:pt>
                <c:pt idx="8">
                  <c:v>13.984654426574707</c:v>
                </c:pt>
                <c:pt idx="9">
                  <c:v>12.681602478027344</c:v>
                </c:pt>
                <c:pt idx="10">
                  <c:v>11.596130418777467</c:v>
                </c:pt>
                <c:pt idx="11">
                  <c:v>10.237500190734863</c:v>
                </c:pt>
                <c:pt idx="12">
                  <c:v>11.758134841918945</c:v>
                </c:pt>
                <c:pt idx="13">
                  <c:v>10.877952575683594</c:v>
                </c:pt>
                <c:pt idx="14">
                  <c:v>10.707547187805176</c:v>
                </c:pt>
                <c:pt idx="15">
                  <c:v>10.976879119873047</c:v>
                </c:pt>
                <c:pt idx="16">
                  <c:v>11.376331329345703</c:v>
                </c:pt>
                <c:pt idx="17">
                  <c:v>8.9021539688110352</c:v>
                </c:pt>
                <c:pt idx="18">
                  <c:v>9.9502992630004883</c:v>
                </c:pt>
                <c:pt idx="19">
                  <c:v>11.584577560424805</c:v>
                </c:pt>
                <c:pt idx="20">
                  <c:v>11.48289966583252</c:v>
                </c:pt>
              </c:numCache>
            </c:numRef>
          </c:val>
          <c:extLst>
            <c:ext xmlns:c16="http://schemas.microsoft.com/office/drawing/2014/chart" uri="{C3380CC4-5D6E-409C-BE32-E72D297353CC}">
              <c16:uniqueId val="{00000002-59DA-41B9-8667-F7554D2B1CE6}"/>
            </c:ext>
          </c:extLst>
        </c:ser>
        <c:dLbls>
          <c:showLegendKey val="0"/>
          <c:showVal val="0"/>
          <c:showCatName val="0"/>
          <c:showSerName val="0"/>
          <c:showPercent val="0"/>
          <c:showBubbleSize val="0"/>
        </c:dLbls>
        <c:gapWidth val="219"/>
        <c:overlap val="100"/>
        <c:axId val="96929376"/>
        <c:axId val="96928416"/>
      </c:barChart>
      <c:catAx>
        <c:axId val="969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6928416"/>
        <c:crosses val="autoZero"/>
        <c:auto val="1"/>
        <c:lblAlgn val="ctr"/>
        <c:lblOffset val="100"/>
        <c:noMultiLvlLbl val="0"/>
      </c:catAx>
      <c:valAx>
        <c:axId val="96928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6929376"/>
        <c:crosses val="autoZero"/>
        <c:crossBetween val="between"/>
      </c:valAx>
      <c:spPr>
        <a:noFill/>
        <a:ln>
          <a:solidFill>
            <a:schemeClr val="accent1">
              <a:alpha val="96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5452F664C6504FBC7CEE7C12B19202" ma:contentTypeVersion="4" ma:contentTypeDescription="Create a new document." ma:contentTypeScope="" ma:versionID="f0482a613557b8d01a75b75fdfd7dce3">
  <xsd:schema xmlns:xsd="http://www.w3.org/2001/XMLSchema" xmlns:xs="http://www.w3.org/2001/XMLSchema" xmlns:p="http://schemas.microsoft.com/office/2006/metadata/properties" xmlns:ns2="e91a6e61-7d6a-46fb-8a1a-b21c5052d0b4" targetNamespace="http://schemas.microsoft.com/office/2006/metadata/properties" ma:root="true" ma:fieldsID="dc99f369a348b5d2b9d7868f4768d1c7" ns2:_="">
    <xsd:import namespace="e91a6e61-7d6a-46fb-8a1a-b21c5052d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a6e61-7d6a-46fb-8a1a-b21c5052d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CAF21-CCA5-4BD8-AA1C-8681985C99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53337E-AC48-4E86-A063-5088D3A8E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1a6e61-7d6a-46fb-8a1a-b21c5052d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07CDA-43B7-44B9-8621-BDBD598C2A2E}">
  <ds:schemaRefs>
    <ds:schemaRef ds:uri="http://schemas.openxmlformats.org/officeDocument/2006/bibliography"/>
  </ds:schemaRefs>
</ds:datastoreItem>
</file>

<file path=customXml/itemProps4.xml><?xml version="1.0" encoding="utf-8"?>
<ds:datastoreItem xmlns:ds="http://schemas.openxmlformats.org/officeDocument/2006/customXml" ds:itemID="{E3A417C3-4B3C-447D-A3E2-DE2EE6FB744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fe63fdbc-9223-49ac-a12c-b8ae101f8b2d}" enabled="1" method="Standard" siteId="{d0b75e95-684a-45e3-8d2d-53fa2a6a513f}"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37</Pages>
  <Words>67519</Words>
  <Characters>38486</Characters>
  <Application>Microsoft Office Word</Application>
  <DocSecurity>0</DocSecurity>
  <Lines>320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105794</CharactersWithSpaces>
  <SharedDoc>false</SharedDoc>
  <HLinks>
    <vt:vector size="42" baseType="variant">
      <vt:variant>
        <vt:i4>5570615</vt:i4>
      </vt:variant>
      <vt:variant>
        <vt:i4>0</vt:i4>
      </vt:variant>
      <vt:variant>
        <vt:i4>0</vt:i4>
      </vt:variant>
      <vt:variant>
        <vt:i4>5</vt:i4>
      </vt:variant>
      <vt:variant>
        <vt:lpwstr>https://defence-industry-space.ec.europa.eu/document/download/30b50d2c-49aa-4250-9ca6-27a0347cf009_en?filename=White%20Paper.pdf</vt:lpwstr>
      </vt:variant>
      <vt:variant>
        <vt:lpwstr/>
      </vt:variant>
      <vt:variant>
        <vt:i4>8257636</vt:i4>
      </vt:variant>
      <vt:variant>
        <vt:i4>15</vt:i4>
      </vt:variant>
      <vt:variant>
        <vt:i4>0</vt:i4>
      </vt:variant>
      <vt:variant>
        <vt:i4>5</vt:i4>
      </vt:variant>
      <vt:variant>
        <vt:lpwstr>https://tapportals.mk.gov.lv/meetings/protocols/463eb5ed-c47b-4553-8ef6-ac549719161e</vt:lpwstr>
      </vt:variant>
      <vt:variant>
        <vt:lpwstr>meeting-protocol-preview-15</vt:lpwstr>
      </vt:variant>
      <vt:variant>
        <vt:i4>2752560</vt:i4>
      </vt:variant>
      <vt:variant>
        <vt:i4>12</vt:i4>
      </vt:variant>
      <vt:variant>
        <vt:i4>0</vt:i4>
      </vt:variant>
      <vt:variant>
        <vt:i4>5</vt:i4>
      </vt:variant>
      <vt:variant>
        <vt:lpwstr>https://eur-lex.europa.eu/legal-content/LV/TXT/HTML/?uri=CELEX:52025PC0826</vt:lpwstr>
      </vt:variant>
      <vt:variant>
        <vt:lpwstr/>
      </vt:variant>
      <vt:variant>
        <vt:i4>8323126</vt:i4>
      </vt:variant>
      <vt:variant>
        <vt:i4>9</vt:i4>
      </vt:variant>
      <vt:variant>
        <vt:i4>0</vt:i4>
      </vt:variant>
      <vt:variant>
        <vt:i4>5</vt:i4>
      </vt:variant>
      <vt:variant>
        <vt:lpwstr>http://www.bank.lv/</vt:lpwstr>
      </vt:variant>
      <vt:variant>
        <vt:lpwstr/>
      </vt:variant>
      <vt:variant>
        <vt:i4>8192116</vt:i4>
      </vt:variant>
      <vt:variant>
        <vt:i4>6</vt:i4>
      </vt:variant>
      <vt:variant>
        <vt:i4>0</vt:i4>
      </vt:variant>
      <vt:variant>
        <vt:i4>5</vt:i4>
      </vt:variant>
      <vt:variant>
        <vt:lpwstr>http://www.manapensija.lv/</vt:lpwstr>
      </vt:variant>
      <vt:variant>
        <vt:lpwstr/>
      </vt:variant>
      <vt:variant>
        <vt:i4>4653108</vt:i4>
      </vt:variant>
      <vt:variant>
        <vt:i4>3</vt:i4>
      </vt:variant>
      <vt:variant>
        <vt:i4>0</vt:i4>
      </vt:variant>
      <vt:variant>
        <vt:i4>5</vt:i4>
      </vt:variant>
      <vt:variant>
        <vt:lpwstr>https://commission.europa.eu/topics/strengthening-european-competitiveness/eu-competitiveness-looking-ahead_en</vt:lpwstr>
      </vt:variant>
      <vt:variant>
        <vt:lpwstr/>
      </vt:variant>
      <vt:variant>
        <vt:i4>3866697</vt:i4>
      </vt:variant>
      <vt:variant>
        <vt:i4>0</vt:i4>
      </vt:variant>
      <vt:variant>
        <vt:i4>0</vt:i4>
      </vt:variant>
      <vt:variant>
        <vt:i4>5</vt:i4>
      </vt:variant>
      <vt:variant>
        <vt:lpwstr>https://www.fm.gov.lv/lv/informativais-zinojums-par-latvijas-kapitala-tirgus-talaku-attistibu?utm_source=https%3A%2F%2Fwww.google.com%2F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Zitcere</dc:creator>
  <cp:keywords/>
  <dc:description/>
  <cp:lastModifiedBy>Imants Tiesnieks</cp:lastModifiedBy>
  <cp:revision>7</cp:revision>
  <cp:lastPrinted>2025-09-24T10:20:00Z</cp:lastPrinted>
  <dcterms:created xsi:type="dcterms:W3CDTF">2026-05-25T13:37:00Z</dcterms:created>
  <dcterms:modified xsi:type="dcterms:W3CDTF">2026-05-25T14:16:00Z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2440d01,51bee76b,6321ce13</vt:lpwstr>
  </property>
  <property fmtid="{D5CDD505-2E9C-101B-9397-08002B2CF9AE}" pid="3" name="ClassificationContentMarkingFooterFontProps">
    <vt:lpwstr>#000000,12,Calibri</vt:lpwstr>
  </property>
  <property fmtid="{D5CDD505-2E9C-101B-9397-08002B2CF9AE}" pid="4" name="ClassificationContentMarkingFooterText">
    <vt:lpwstr>Nasdaq - Internal Use: Distribution limited to Nasdaq personnel and authorized third parties subject to confidentiality obligations</vt:lpwstr>
  </property>
  <property fmtid="{D5CDD505-2E9C-101B-9397-08002B2CF9AE}" pid="5" name="ContentTypeId">
    <vt:lpwstr>0x010100BE5452F664C6504FBC7CEE7C12B19202</vt:lpwstr>
  </property>
</Properties>
</file>